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Layout w:type="autofit"/>
        <w:tblCellMar>
          <w:top w:w="0" w:type="dxa"/>
          <w:left w:w="108" w:type="dxa"/>
          <w:bottom w:w="0" w:type="dxa"/>
          <w:right w:w="108" w:type="dxa"/>
        </w:tblCellMar>
      </w:tblPr>
      <w:tblGrid>
        <w:gridCol w:w="9628"/>
      </w:tblGrid>
      <w:tr w14:paraId="30329DBD">
        <w:tblPrEx>
          <w:tblCellMar>
            <w:top w:w="0" w:type="dxa"/>
            <w:left w:w="108" w:type="dxa"/>
            <w:bottom w:w="0" w:type="dxa"/>
            <w:right w:w="108" w:type="dxa"/>
          </w:tblCellMar>
        </w:tblPrEx>
        <w:trPr>
          <w:trHeight w:val="2835" w:hRule="exact"/>
        </w:trPr>
        <w:tc>
          <w:tcPr>
            <w:tcW w:w="9628" w:type="dxa"/>
            <w:shd w:val="clear" w:color="auto" w:fill="auto"/>
          </w:tcPr>
          <w:p w14:paraId="0C71ADC9">
            <w:bookmarkStart w:id="5" w:name="_GoBack"/>
            <w:bookmarkEnd w:id="5"/>
          </w:p>
        </w:tc>
      </w:tr>
    </w:tbl>
    <w:p w14:paraId="7195E621">
      <w:pPr>
        <w:jc w:val="center"/>
        <w:rPr>
          <w:sz w:val="84"/>
          <w:szCs w:val="84"/>
        </w:rPr>
      </w:pPr>
      <w:r>
        <w:rPr>
          <w:sz w:val="84"/>
          <w:szCs w:val="84"/>
        </w:rPr>
        <w:fldChar w:fldCharType="begin"/>
      </w:r>
      <w:r>
        <w:rPr>
          <w:sz w:val="84"/>
          <w:szCs w:val="84"/>
        </w:rPr>
        <w:instrText xml:space="preserve"> </w:instrText>
      </w:r>
      <w:r>
        <w:rPr>
          <w:rFonts w:hint="eastAsia"/>
          <w:sz w:val="84"/>
          <w:szCs w:val="84"/>
        </w:rPr>
        <w:instrText xml:space="preserve">eq \o\ac(</w:instrText>
      </w:r>
      <w:r>
        <w:rPr>
          <w:rFonts w:hint="eastAsia" w:ascii="宋体"/>
          <w:position w:val="-16"/>
          <w:sz w:val="127"/>
          <w:szCs w:val="84"/>
        </w:rPr>
        <w:instrText xml:space="preserve">○</w:instrText>
      </w:r>
      <w:r>
        <w:rPr>
          <w:rFonts w:hint="eastAsia"/>
          <w:sz w:val="84"/>
          <w:szCs w:val="84"/>
        </w:rPr>
        <w:instrText xml:space="preserve">,P)</w:instrText>
      </w:r>
      <w:r>
        <w:rPr>
          <w:sz w:val="84"/>
          <w:szCs w:val="84"/>
        </w:rPr>
        <w:fldChar w:fldCharType="end"/>
      </w:r>
      <w:r>
        <w:rPr>
          <w:spacing w:val="-20"/>
          <w:sz w:val="84"/>
          <w:szCs w:val="84"/>
        </w:rPr>
        <w:t>能源统计报表制度</w:t>
      </w:r>
    </w:p>
    <w:p w14:paraId="2C6A1D32">
      <w:pPr>
        <w:spacing w:before="120" w:beforeLines="50"/>
        <w:jc w:val="center"/>
        <w:rPr>
          <w:rFonts w:eastAsia="楷体_GB2312"/>
          <w:sz w:val="32"/>
          <w:szCs w:val="32"/>
        </w:rPr>
      </w:pPr>
      <w:r>
        <w:rPr>
          <w:rFonts w:eastAsia="楷体_GB2312"/>
          <w:sz w:val="32"/>
          <w:szCs w:val="32"/>
        </w:rPr>
        <w:t>（</w:t>
      </w:r>
      <w:r>
        <w:rPr>
          <w:rFonts w:hint="eastAsia" w:ascii="楷体_GB2312" w:hAnsi="楷体_GB2312" w:eastAsia="楷体_GB2312" w:cs="楷体_GB2312"/>
          <w:sz w:val="32"/>
          <w:szCs w:val="32"/>
        </w:rPr>
        <w:t>202</w:t>
      </w:r>
      <w:del w:id="0" w:author="kylin" w:date="2025-10-17T16:04:33Z">
        <w:r>
          <w:rPr>
            <w:rFonts w:hint="default" w:ascii="楷体_GB2312" w:hAnsi="楷体_GB2312" w:eastAsia="楷体_GB2312" w:cs="楷体_GB2312"/>
            <w:sz w:val="32"/>
            <w:szCs w:val="32"/>
            <w:lang w:val="en-US" w:eastAsia="zh-CN"/>
          </w:rPr>
          <w:delText>4</w:delText>
        </w:r>
      </w:del>
      <w:ins w:id="1" w:author="kylin" w:date="2025-10-17T16:04:33Z">
        <w:r>
          <w:rPr>
            <w:rFonts w:hint="default" w:ascii="楷体_GB2312" w:hAnsi="楷体_GB2312" w:eastAsia="楷体_GB2312" w:cs="楷体_GB2312"/>
            <w:sz w:val="32"/>
            <w:szCs w:val="32"/>
            <w:lang w:val="en-US" w:eastAsia="zh-CN"/>
          </w:rPr>
          <w:t>5</w:t>
        </w:r>
      </w:ins>
      <w:r>
        <w:rPr>
          <w:rFonts w:hint="eastAsia" w:ascii="楷体_GB2312" w:hAnsi="楷体_GB2312" w:eastAsia="楷体_GB2312" w:cs="楷体_GB2312"/>
          <w:sz w:val="32"/>
          <w:szCs w:val="32"/>
        </w:rPr>
        <w:t>年统计年报和202</w:t>
      </w:r>
      <w:del w:id="2" w:author="kylin" w:date="2025-10-17T16:04:36Z">
        <w:r>
          <w:rPr>
            <w:rFonts w:hint="default" w:ascii="楷体_GB2312" w:hAnsi="楷体_GB2312" w:eastAsia="楷体_GB2312" w:cs="楷体_GB2312"/>
            <w:sz w:val="32"/>
            <w:szCs w:val="32"/>
            <w:lang w:val="en-US" w:eastAsia="zh-CN"/>
          </w:rPr>
          <w:delText>5</w:delText>
        </w:r>
      </w:del>
      <w:ins w:id="3" w:author="kylin" w:date="2025-10-17T16:04:36Z">
        <w:r>
          <w:rPr>
            <w:rFonts w:hint="default" w:ascii="楷体_GB2312" w:hAnsi="楷体_GB2312" w:eastAsia="楷体_GB2312" w:cs="楷体_GB2312"/>
            <w:sz w:val="32"/>
            <w:szCs w:val="32"/>
            <w:lang w:val="en-US" w:eastAsia="zh-CN"/>
          </w:rPr>
          <w:t>6</w:t>
        </w:r>
      </w:ins>
      <w:r>
        <w:rPr>
          <w:rFonts w:hint="eastAsia" w:ascii="楷体_GB2312" w:hAnsi="楷体_GB2312" w:eastAsia="楷体_GB2312" w:cs="楷体_GB2312"/>
          <w:sz w:val="32"/>
          <w:szCs w:val="32"/>
        </w:rPr>
        <w:t>年定期统计报表</w:t>
      </w:r>
      <w:r>
        <w:rPr>
          <w:rFonts w:eastAsia="楷体_GB2312"/>
          <w:sz w:val="32"/>
          <w:szCs w:val="32"/>
        </w:rPr>
        <w:t>）</w:t>
      </w:r>
    </w:p>
    <w:p w14:paraId="3E026CFA">
      <w:pPr>
        <w:rPr>
          <w:rFonts w:eastAsia="楷体_GB2312"/>
        </w:rPr>
      </w:pPr>
    </w:p>
    <w:p w14:paraId="4F828503">
      <w:pPr>
        <w:rPr>
          <w:rFonts w:eastAsia="楷体_GB2312"/>
        </w:rPr>
      </w:pPr>
    </w:p>
    <w:p w14:paraId="73E59D27">
      <w:pPr>
        <w:rPr>
          <w:rFonts w:eastAsia="楷体_GB2312"/>
        </w:rPr>
      </w:pPr>
    </w:p>
    <w:p w14:paraId="7CDC5BF6">
      <w:pPr>
        <w:rPr>
          <w:rFonts w:eastAsia="楷体_GB2312"/>
        </w:rPr>
      </w:pPr>
    </w:p>
    <w:p w14:paraId="492A7338">
      <w:pPr>
        <w:rPr>
          <w:rFonts w:eastAsia="楷体_GB2312"/>
        </w:rPr>
      </w:pPr>
    </w:p>
    <w:p w14:paraId="7C899E42">
      <w:pPr>
        <w:rPr>
          <w:rFonts w:eastAsia="楷体_GB2312"/>
        </w:rPr>
      </w:pPr>
    </w:p>
    <w:p w14:paraId="1E33EEB9">
      <w:pPr>
        <w:rPr>
          <w:rFonts w:eastAsia="楷体_GB2312"/>
        </w:rPr>
      </w:pPr>
    </w:p>
    <w:p w14:paraId="4788B4AB">
      <w:pPr>
        <w:rPr>
          <w:rFonts w:eastAsia="楷体_GB2312"/>
        </w:rPr>
      </w:pPr>
    </w:p>
    <w:p w14:paraId="6478B850">
      <w:pPr>
        <w:rPr>
          <w:rFonts w:eastAsia="楷体_GB2312"/>
        </w:rPr>
      </w:pPr>
    </w:p>
    <w:p w14:paraId="3B108B56">
      <w:pPr>
        <w:rPr>
          <w:rFonts w:eastAsia="楷体_GB2312"/>
        </w:rPr>
      </w:pPr>
    </w:p>
    <w:p w14:paraId="4C739356">
      <w:pPr>
        <w:rPr>
          <w:rFonts w:eastAsia="楷体_GB2312"/>
        </w:rPr>
      </w:pPr>
    </w:p>
    <w:p w14:paraId="13DF7379">
      <w:pPr>
        <w:rPr>
          <w:rFonts w:eastAsia="楷体_GB2312"/>
        </w:rPr>
      </w:pPr>
    </w:p>
    <w:p w14:paraId="7184A308">
      <w:pPr>
        <w:rPr>
          <w:rFonts w:eastAsia="楷体_GB2312"/>
        </w:rPr>
      </w:pPr>
    </w:p>
    <w:p w14:paraId="56554A6D">
      <w:pPr>
        <w:rPr>
          <w:rFonts w:eastAsia="楷体_GB2312"/>
        </w:rPr>
      </w:pPr>
    </w:p>
    <w:p w14:paraId="62F51BBA">
      <w:pPr>
        <w:rPr>
          <w:rFonts w:eastAsia="楷体_GB2312"/>
        </w:rPr>
      </w:pPr>
    </w:p>
    <w:p w14:paraId="68D3A140">
      <w:pPr>
        <w:rPr>
          <w:rFonts w:eastAsia="楷体_GB2312"/>
        </w:rPr>
      </w:pPr>
    </w:p>
    <w:p w14:paraId="25BA2122">
      <w:pPr>
        <w:rPr>
          <w:rFonts w:eastAsia="楷体_GB2312"/>
        </w:rPr>
      </w:pPr>
    </w:p>
    <w:p w14:paraId="7B21E0FA">
      <w:pPr>
        <w:rPr>
          <w:rFonts w:eastAsia="楷体_GB2312"/>
        </w:rPr>
      </w:pPr>
    </w:p>
    <w:p w14:paraId="79BFE914">
      <w:pPr>
        <w:rPr>
          <w:rFonts w:eastAsia="楷体_GB2312"/>
        </w:rPr>
      </w:pPr>
    </w:p>
    <w:p w14:paraId="23754D06">
      <w:pPr>
        <w:rPr>
          <w:rFonts w:eastAsia="楷体_GB2312"/>
        </w:rPr>
      </w:pPr>
    </w:p>
    <w:p w14:paraId="515D9609">
      <w:pPr>
        <w:rPr>
          <w:rFonts w:eastAsia="楷体_GB2312"/>
        </w:rPr>
      </w:pPr>
    </w:p>
    <w:p w14:paraId="15CE1736">
      <w:pPr>
        <w:rPr>
          <w:rFonts w:eastAsia="楷体_GB2312"/>
        </w:rPr>
      </w:pPr>
    </w:p>
    <w:p w14:paraId="215B0CEF">
      <w:pPr>
        <w:rPr>
          <w:rFonts w:eastAsia="楷体_GB2312"/>
        </w:rPr>
      </w:pPr>
    </w:p>
    <w:p w14:paraId="26D26A20">
      <w:pPr>
        <w:rPr>
          <w:rFonts w:eastAsia="楷体_GB2312"/>
        </w:rPr>
      </w:pPr>
    </w:p>
    <w:p w14:paraId="3CCED3F9">
      <w:pPr>
        <w:rPr>
          <w:rFonts w:eastAsia="楷体_GB2312"/>
        </w:rPr>
      </w:pPr>
    </w:p>
    <w:p w14:paraId="7C70D35C">
      <w:pPr>
        <w:snapToGrid w:val="0"/>
        <w:rPr>
          <w:rFonts w:eastAsia="楷体_GB2312"/>
        </w:rPr>
      </w:pPr>
    </w:p>
    <w:p w14:paraId="1CC04AFD">
      <w:pPr>
        <w:snapToGrid w:val="0"/>
        <w:rPr>
          <w:rFonts w:eastAsia="楷体_GB2312"/>
        </w:rPr>
      </w:pPr>
    </w:p>
    <w:p w14:paraId="770972A2">
      <w:pPr>
        <w:snapToGrid w:val="0"/>
        <w:rPr>
          <w:rFonts w:eastAsia="楷体_GB2312"/>
        </w:rPr>
      </w:pPr>
    </w:p>
    <w:p w14:paraId="113BD7AA">
      <w:pPr>
        <w:snapToGrid w:val="0"/>
        <w:rPr>
          <w:rFonts w:eastAsia="楷体_GB2312"/>
        </w:rPr>
      </w:pPr>
    </w:p>
    <w:p w14:paraId="63E8C6BD">
      <w:pPr>
        <w:snapToGrid w:val="0"/>
        <w:spacing w:before="100" w:beforeAutospacing="1" w:after="100" w:afterAutospacing="1"/>
        <w:jc w:val="center"/>
        <w:rPr>
          <w:rFonts w:ascii="楷体_GB2312" w:hAnsi="楷体" w:eastAsia="楷体_GB2312"/>
          <w:sz w:val="32"/>
          <w:szCs w:val="32"/>
        </w:rPr>
      </w:pPr>
      <w:r>
        <w:rPr>
          <w:rFonts w:hint="eastAsia" w:ascii="楷体_GB2312" w:hAnsi="楷体" w:eastAsia="楷体_GB2312"/>
          <w:sz w:val="32"/>
          <w:szCs w:val="32"/>
        </w:rPr>
        <w:t>国家统计局制定</w:t>
      </w:r>
    </w:p>
    <w:p w14:paraId="077D6332">
      <w:pPr>
        <w:snapToGrid w:val="0"/>
        <w:spacing w:before="100" w:beforeAutospacing="1" w:after="100" w:afterAutospacing="1"/>
        <w:jc w:val="center"/>
        <w:rPr>
          <w:rFonts w:ascii="楷体_GB2312" w:hAnsi="楷体" w:eastAsia="楷体_GB2312"/>
        </w:rPr>
      </w:pPr>
      <w:r>
        <w:rPr>
          <w:rFonts w:hint="eastAsia" w:ascii="楷体_GB2312" w:hAnsi="楷体" w:eastAsia="楷体_GB2312"/>
          <w:sz w:val="32"/>
          <w:szCs w:val="32"/>
        </w:rPr>
        <w:t>202</w:t>
      </w:r>
      <w:del w:id="4" w:author="kylin" w:date="2025-10-17T16:04:38Z">
        <w:r>
          <w:rPr>
            <w:rFonts w:hint="default" w:ascii="楷体_GB2312" w:hAnsi="楷体" w:eastAsia="楷体_GB2312"/>
            <w:sz w:val="32"/>
            <w:szCs w:val="32"/>
            <w:lang w:val="en-US" w:eastAsia="zh-CN"/>
          </w:rPr>
          <w:delText>4</w:delText>
        </w:r>
      </w:del>
      <w:ins w:id="5" w:author="kylin" w:date="2025-10-17T16:04:38Z">
        <w:r>
          <w:rPr>
            <w:rFonts w:hint="default" w:ascii="楷体_GB2312" w:hAnsi="楷体" w:eastAsia="楷体_GB2312"/>
            <w:sz w:val="32"/>
            <w:szCs w:val="32"/>
            <w:lang w:val="en-US" w:eastAsia="zh-CN"/>
          </w:rPr>
          <w:t>5</w:t>
        </w:r>
      </w:ins>
      <w:r>
        <w:rPr>
          <w:rFonts w:hint="eastAsia" w:ascii="楷体_GB2312" w:hAnsi="楷体" w:eastAsia="楷体_GB2312"/>
          <w:sz w:val="32"/>
          <w:szCs w:val="32"/>
        </w:rPr>
        <w:t>年1</w:t>
      </w:r>
      <w:r>
        <w:rPr>
          <w:rFonts w:hint="eastAsia" w:ascii="楷体_GB2312" w:hAnsi="楷体" w:eastAsia="楷体_GB2312"/>
          <w:sz w:val="32"/>
          <w:szCs w:val="32"/>
          <w:lang w:val="en-US" w:eastAsia="zh-CN"/>
        </w:rPr>
        <w:t>1</w:t>
      </w:r>
      <w:r>
        <w:rPr>
          <w:rFonts w:hint="eastAsia" w:ascii="楷体_GB2312" w:hAnsi="楷体" w:eastAsia="楷体_GB2312"/>
          <w:sz w:val="32"/>
          <w:szCs w:val="32"/>
        </w:rPr>
        <w:t>月</w:t>
      </w:r>
    </w:p>
    <w:p w14:paraId="58636500">
      <w:pPr>
        <w:spacing w:line="360" w:lineRule="exact"/>
        <w:jc w:val="center"/>
      </w:pPr>
    </w:p>
    <w:p w14:paraId="70056950">
      <w:pPr>
        <w:spacing w:line="360" w:lineRule="exact"/>
        <w:jc w:val="center"/>
      </w:pPr>
    </w:p>
    <w:p w14:paraId="35434220">
      <w:pPr>
        <w:spacing w:line="360" w:lineRule="exact"/>
        <w:jc w:val="center"/>
        <w:rPr>
          <w:spacing w:val="-8"/>
          <w:sz w:val="32"/>
          <w:szCs w:val="32"/>
        </w:rPr>
      </w:pPr>
      <w:r>
        <w:rPr>
          <w:spacing w:val="-8"/>
          <w:sz w:val="32"/>
          <w:szCs w:val="32"/>
        </w:rPr>
        <w:t>本报表制度根据《中华人民共和国统计法》的有关规定制定</w:t>
      </w:r>
    </w:p>
    <w:p w14:paraId="631645E0">
      <w:pPr>
        <w:spacing w:line="360" w:lineRule="exact"/>
        <w:jc w:val="center"/>
        <w:rPr>
          <w:spacing w:val="-8"/>
          <w:sz w:val="28"/>
          <w:szCs w:val="32"/>
        </w:rPr>
      </w:pPr>
    </w:p>
    <w:p w14:paraId="2FF7EAF0">
      <w:pPr>
        <w:spacing w:line="360" w:lineRule="exact"/>
        <w:ind w:firstLine="560" w:firstLineChars="200"/>
        <w:rPr>
          <w:rFonts w:eastAsia="仿宋_GB2312"/>
          <w:bCs/>
          <w:sz w:val="28"/>
        </w:rPr>
      </w:pPr>
    </w:p>
    <w:p w14:paraId="78793010">
      <w:pPr>
        <w:spacing w:line="360" w:lineRule="auto"/>
        <w:ind w:firstLine="560" w:firstLineChars="200"/>
        <w:rPr>
          <w:rFonts w:ascii="仿宋_GB2312" w:eastAsia="仿宋_GB2312"/>
          <w:bCs/>
          <w:sz w:val="28"/>
        </w:rPr>
      </w:pPr>
      <w:r>
        <w:rPr>
          <w:rFonts w:hint="eastAsia" w:ascii="仿宋_GB2312" w:eastAsia="仿宋_GB2312"/>
          <w:bCs/>
          <w:sz w:val="28"/>
        </w:rPr>
        <w:t>《中华人民共和国统计法》第</w:t>
      </w:r>
      <w:r>
        <w:rPr>
          <w:rFonts w:hint="eastAsia" w:ascii="仿宋_GB2312" w:eastAsia="仿宋_GB2312"/>
          <w:bCs/>
          <w:sz w:val="28"/>
          <w:lang w:eastAsia="zh-CN"/>
        </w:rPr>
        <w:t>八</w:t>
      </w:r>
      <w:r>
        <w:rPr>
          <w:rFonts w:hint="eastAsia" w:ascii="仿宋_GB2312" w:eastAsia="仿宋_GB2312"/>
          <w:bCs/>
          <w:sz w:val="28"/>
        </w:rPr>
        <w:t>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3FBBB8DE">
      <w:pPr>
        <w:spacing w:line="360" w:lineRule="auto"/>
        <w:ind w:firstLine="562" w:firstLineChars="200"/>
        <w:rPr>
          <w:rFonts w:ascii="仿宋_GB2312" w:eastAsia="仿宋_GB2312"/>
          <w:b/>
          <w:bCs/>
          <w:sz w:val="28"/>
        </w:rPr>
      </w:pPr>
    </w:p>
    <w:p w14:paraId="4874FE13">
      <w:pPr>
        <w:spacing w:line="360" w:lineRule="auto"/>
        <w:ind w:firstLine="560" w:firstLineChars="200"/>
        <w:rPr>
          <w:rFonts w:eastAsia="仿宋"/>
          <w:b/>
          <w:bCs/>
          <w:sz w:val="28"/>
        </w:rPr>
      </w:pPr>
      <w:r>
        <w:rPr>
          <w:rFonts w:hint="eastAsia" w:ascii="仿宋_GB2312" w:eastAsia="仿宋_GB2312"/>
          <w:bCs/>
          <w:sz w:val="28"/>
        </w:rPr>
        <w:t>《中华人民共和国统计法》第</w:t>
      </w:r>
      <w:r>
        <w:rPr>
          <w:rFonts w:hint="eastAsia" w:ascii="仿宋_GB2312" w:eastAsia="仿宋_GB2312"/>
          <w:bCs/>
          <w:sz w:val="28"/>
          <w:lang w:eastAsia="zh-CN"/>
        </w:rPr>
        <w:t>十一</w:t>
      </w:r>
      <w:r>
        <w:rPr>
          <w:rFonts w:hint="eastAsia" w:ascii="仿宋_GB2312" w:eastAsia="仿宋_GB2312"/>
          <w:bCs/>
          <w:sz w:val="28"/>
        </w:rPr>
        <w:t>条规定：统计机构和统计人员对在统计工作中知悉的国家秘密、</w:t>
      </w:r>
      <w:r>
        <w:rPr>
          <w:rFonts w:hint="eastAsia" w:ascii="仿宋_GB2312" w:eastAsia="仿宋_GB2312"/>
          <w:bCs/>
          <w:sz w:val="28"/>
          <w:lang w:eastAsia="zh-CN"/>
        </w:rPr>
        <w:t>工作秘密、</w:t>
      </w:r>
      <w:r>
        <w:rPr>
          <w:rFonts w:hint="eastAsia" w:ascii="仿宋_GB2312" w:eastAsia="仿宋_GB2312"/>
          <w:bCs/>
          <w:sz w:val="28"/>
        </w:rPr>
        <w:t>商业秘密</w:t>
      </w:r>
      <w:r>
        <w:rPr>
          <w:rFonts w:hint="eastAsia" w:ascii="仿宋_GB2312" w:eastAsia="仿宋_GB2312"/>
          <w:bCs/>
          <w:sz w:val="28"/>
          <w:lang w:eastAsia="zh-CN"/>
        </w:rPr>
        <w:t>、个人隐私</w:t>
      </w:r>
      <w:r>
        <w:rPr>
          <w:rFonts w:hint="eastAsia" w:ascii="仿宋_GB2312" w:eastAsia="仿宋_GB2312"/>
          <w:bCs/>
          <w:sz w:val="28"/>
        </w:rPr>
        <w:t>和个人信息，应当予以保密</w:t>
      </w:r>
      <w:r>
        <w:rPr>
          <w:rFonts w:hint="eastAsia" w:ascii="仿宋_GB2312" w:eastAsia="仿宋_GB2312"/>
          <w:bCs/>
          <w:sz w:val="28"/>
          <w:lang w:eastAsia="zh-CN"/>
        </w:rPr>
        <w:t>，不得泄露或者向他人非法提供</w:t>
      </w:r>
      <w:r>
        <w:rPr>
          <w:rFonts w:hint="eastAsia" w:ascii="仿宋_GB2312" w:eastAsia="仿宋_GB2312"/>
          <w:bCs/>
          <w:sz w:val="28"/>
        </w:rPr>
        <w:t>。</w:t>
      </w:r>
    </w:p>
    <w:p w14:paraId="006C62E7">
      <w:pPr>
        <w:spacing w:line="480" w:lineRule="exact"/>
        <w:ind w:firstLine="561"/>
        <w:rPr>
          <w:spacing w:val="-8"/>
          <w:sz w:val="28"/>
        </w:rPr>
      </w:pPr>
    </w:p>
    <w:p w14:paraId="6C14B541">
      <w:pPr>
        <w:spacing w:line="480" w:lineRule="exact"/>
        <w:ind w:firstLine="561"/>
        <w:rPr>
          <w:spacing w:val="-8"/>
          <w:sz w:val="28"/>
        </w:rPr>
      </w:pPr>
    </w:p>
    <w:p w14:paraId="22DC5C2A">
      <w:pPr>
        <w:spacing w:line="360" w:lineRule="exact"/>
        <w:rPr>
          <w:spacing w:val="-8"/>
          <w:sz w:val="28"/>
        </w:rPr>
      </w:pPr>
    </w:p>
    <w:p w14:paraId="5025DD32">
      <w:pPr>
        <w:spacing w:line="360" w:lineRule="exact"/>
        <w:rPr>
          <w:sz w:val="28"/>
        </w:rPr>
      </w:pPr>
    </w:p>
    <w:p w14:paraId="41F79E95">
      <w:pPr>
        <w:spacing w:line="360" w:lineRule="exact"/>
        <w:rPr>
          <w:sz w:val="28"/>
        </w:rPr>
      </w:pPr>
    </w:p>
    <w:p w14:paraId="38CF43A9">
      <w:pPr>
        <w:spacing w:line="360" w:lineRule="exact"/>
        <w:rPr>
          <w:sz w:val="28"/>
        </w:rPr>
      </w:pPr>
    </w:p>
    <w:p w14:paraId="2CFE5E7A">
      <w:pPr>
        <w:spacing w:line="360" w:lineRule="exact"/>
        <w:rPr>
          <w:sz w:val="28"/>
        </w:rPr>
      </w:pPr>
    </w:p>
    <w:p w14:paraId="30F81C11">
      <w:pPr>
        <w:spacing w:line="360" w:lineRule="exact"/>
        <w:rPr>
          <w:sz w:val="28"/>
        </w:rPr>
      </w:pPr>
    </w:p>
    <w:p w14:paraId="6915A01A">
      <w:pPr>
        <w:spacing w:line="360" w:lineRule="exact"/>
        <w:rPr>
          <w:sz w:val="28"/>
        </w:rPr>
      </w:pPr>
    </w:p>
    <w:p w14:paraId="3261D26C">
      <w:pPr>
        <w:spacing w:line="360" w:lineRule="exact"/>
        <w:rPr>
          <w:sz w:val="28"/>
        </w:rPr>
      </w:pPr>
    </w:p>
    <w:p w14:paraId="2885C681">
      <w:pPr>
        <w:spacing w:line="360" w:lineRule="exact"/>
        <w:rPr>
          <w:sz w:val="28"/>
        </w:rPr>
      </w:pPr>
    </w:p>
    <w:p w14:paraId="21FBB79F">
      <w:pPr>
        <w:spacing w:line="360" w:lineRule="exact"/>
        <w:rPr>
          <w:sz w:val="28"/>
        </w:rPr>
      </w:pPr>
    </w:p>
    <w:p w14:paraId="69FA09DF">
      <w:pPr>
        <w:spacing w:line="360" w:lineRule="exact"/>
        <w:rPr>
          <w:sz w:val="28"/>
        </w:rPr>
      </w:pPr>
    </w:p>
    <w:p w14:paraId="57B3B523">
      <w:pPr>
        <w:spacing w:line="360" w:lineRule="exact"/>
        <w:rPr>
          <w:sz w:val="28"/>
        </w:rPr>
      </w:pPr>
    </w:p>
    <w:p w14:paraId="5CACC8C9">
      <w:pPr>
        <w:spacing w:line="360" w:lineRule="exact"/>
        <w:rPr>
          <w:sz w:val="28"/>
        </w:rPr>
      </w:pPr>
    </w:p>
    <w:p w14:paraId="7C0BE52C">
      <w:pPr>
        <w:spacing w:line="360" w:lineRule="exact"/>
        <w:rPr>
          <w:sz w:val="28"/>
        </w:rPr>
      </w:pPr>
    </w:p>
    <w:p w14:paraId="277EE821">
      <w:pPr>
        <w:spacing w:line="360" w:lineRule="exact"/>
        <w:rPr>
          <w:sz w:val="28"/>
        </w:rPr>
      </w:pPr>
    </w:p>
    <w:p w14:paraId="55B6EE31">
      <w:pPr>
        <w:spacing w:line="360" w:lineRule="exact"/>
        <w:rPr>
          <w:sz w:val="28"/>
        </w:rPr>
      </w:pPr>
    </w:p>
    <w:p w14:paraId="2FBA4EEE">
      <w:pPr>
        <w:spacing w:line="360" w:lineRule="exact"/>
        <w:rPr>
          <w:sz w:val="28"/>
        </w:rPr>
      </w:pPr>
    </w:p>
    <w:p w14:paraId="24BA32B4">
      <w:pPr>
        <w:spacing w:line="360" w:lineRule="exact"/>
        <w:rPr>
          <w:sz w:val="28"/>
        </w:rPr>
      </w:pPr>
    </w:p>
    <w:p w14:paraId="3480BBAF">
      <w:pPr>
        <w:rPr>
          <w:b/>
          <w:sz w:val="28"/>
        </w:rPr>
      </w:pPr>
      <w:r>
        <w:rPr>
          <w:sz w:val="28"/>
        </w:rPr>
        <w:t>本制度由国家统计局负责解释</w:t>
      </w:r>
      <w:r>
        <w:rPr>
          <w:b/>
          <w:sz w:val="28"/>
        </w:rPr>
        <w:t>。</w:t>
      </w:r>
    </w:p>
    <w:p w14:paraId="517CC8A3">
      <w:pPr>
        <w:spacing w:line="240" w:lineRule="exact"/>
        <w:rPr>
          <w:rFonts w:eastAsia="黑体"/>
          <w:sz w:val="32"/>
        </w:rPr>
        <w:sectPr>
          <w:headerReference r:id="rId4" w:type="default"/>
          <w:headerReference r:id="rId5" w:type="even"/>
          <w:pgSz w:w="11906" w:h="16838"/>
          <w:pgMar w:top="1418" w:right="1247" w:bottom="1247" w:left="1247" w:header="851" w:footer="992" w:gutter="0"/>
          <w:pgBorders>
            <w:top w:val="none" w:sz="0" w:space="0"/>
            <w:left w:val="none" w:sz="0" w:space="0"/>
            <w:bottom w:val="none" w:sz="0" w:space="0"/>
            <w:right w:val="none" w:sz="0" w:space="0"/>
          </w:pgBorders>
          <w:cols w:space="425" w:num="1"/>
          <w:docGrid w:linePitch="286" w:charSpace="0"/>
        </w:sectPr>
      </w:pPr>
    </w:p>
    <w:p w14:paraId="092B8584">
      <w:pPr>
        <w:pStyle w:val="3"/>
        <w:snapToGrid w:val="0"/>
        <w:spacing w:before="720" w:beforeLines="300" w:after="480" w:afterLines="200" w:line="240" w:lineRule="auto"/>
        <w:jc w:val="center"/>
        <w:rPr>
          <w:sz w:val="32"/>
          <w:szCs w:val="32"/>
        </w:rPr>
      </w:pPr>
      <w:r>
        <w:rPr>
          <w:rFonts w:eastAsia="黑体"/>
          <w:b w:val="0"/>
          <w:sz w:val="32"/>
          <w:szCs w:val="32"/>
        </w:rPr>
        <w:t>目    录</w:t>
      </w:r>
    </w:p>
    <w:p w14:paraId="47278116">
      <w:pPr>
        <w:tabs>
          <w:tab w:val="right" w:leader="middleDot" w:pos="9030"/>
        </w:tabs>
        <w:spacing w:line="360" w:lineRule="exact"/>
      </w:pPr>
      <w:r>
        <w:t>一、总说明</w:t>
      </w:r>
      <w:r>
        <w:tab/>
      </w:r>
      <w:r>
        <w:t>3</w:t>
      </w:r>
    </w:p>
    <w:p w14:paraId="612DA6EC">
      <w:pPr>
        <w:tabs>
          <w:tab w:val="right" w:leader="middleDot" w:pos="9030"/>
        </w:tabs>
        <w:spacing w:line="360" w:lineRule="exact"/>
      </w:pPr>
      <w:r>
        <w:t>二、报表目录</w:t>
      </w:r>
      <w:r>
        <w:tab/>
      </w:r>
      <w:r>
        <w:t>5</w:t>
      </w:r>
    </w:p>
    <w:p w14:paraId="6DB0D8DA">
      <w:pPr>
        <w:tabs>
          <w:tab w:val="right" w:leader="middleDot" w:pos="9030"/>
        </w:tabs>
        <w:spacing w:line="360" w:lineRule="exact"/>
      </w:pPr>
      <w:r>
        <w:t>三、调查表式</w:t>
      </w:r>
      <w:r>
        <w:tab/>
      </w:r>
      <w:r>
        <w:t>8</w:t>
      </w:r>
    </w:p>
    <w:p w14:paraId="33F301A2">
      <w:pPr>
        <w:tabs>
          <w:tab w:val="right" w:leader="middleDot" w:pos="9030"/>
        </w:tabs>
        <w:spacing w:line="360" w:lineRule="exact"/>
        <w:ind w:firstLine="180" w:firstLineChars="86"/>
        <w:rPr>
          <w:rFonts w:hint="eastAsia" w:eastAsia="宋体"/>
          <w:lang w:eastAsia="zh-CN"/>
        </w:rPr>
      </w:pPr>
      <w:r>
        <w:t>（</w:t>
      </w:r>
      <w:r>
        <w:rPr>
          <w:rFonts w:hint="eastAsia"/>
          <w:lang w:eastAsia="zh-CN"/>
        </w:rPr>
        <w:t>一</w:t>
      </w:r>
      <w:r>
        <w:t>）基层定报表式</w:t>
      </w:r>
      <w:r>
        <w:tab/>
      </w:r>
      <w:r>
        <w:rPr>
          <w:rFonts w:hint="eastAsia"/>
          <w:lang w:val="en-US" w:eastAsia="zh-CN"/>
        </w:rPr>
        <w:t>8</w:t>
      </w:r>
    </w:p>
    <w:p w14:paraId="6393EC53">
      <w:pPr>
        <w:tabs>
          <w:tab w:val="right" w:leader="middleDot" w:pos="9030"/>
        </w:tabs>
        <w:spacing w:line="360" w:lineRule="exact"/>
        <w:ind w:firstLine="798" w:firstLineChars="380"/>
        <w:rPr>
          <w:rFonts w:hint="eastAsia" w:eastAsia="宋体"/>
          <w:lang w:eastAsia="zh-CN"/>
        </w:rPr>
      </w:pPr>
      <w:r>
        <w:t>1.能源购进、消费与库存（205-1表）</w:t>
      </w:r>
      <w:r>
        <w:tab/>
      </w:r>
      <w:r>
        <w:rPr>
          <w:rFonts w:hint="eastAsia"/>
          <w:lang w:val="en-US" w:eastAsia="zh-CN"/>
        </w:rPr>
        <w:t>8</w:t>
      </w:r>
    </w:p>
    <w:p w14:paraId="74E0F311">
      <w:pPr>
        <w:tabs>
          <w:tab w:val="right" w:leader="middleDot" w:pos="9030"/>
        </w:tabs>
        <w:spacing w:line="360" w:lineRule="exact"/>
        <w:ind w:firstLine="798" w:firstLineChars="380"/>
        <w:rPr>
          <w:rFonts w:hint="eastAsia" w:eastAsia="宋体"/>
          <w:lang w:eastAsia="zh-CN"/>
        </w:rPr>
      </w:pPr>
      <w:r>
        <w:t>2.能源加工转换与回收利用（205-2表）</w:t>
      </w:r>
      <w:r>
        <w:tab/>
      </w:r>
      <w:r>
        <w:rPr>
          <w:rFonts w:hint="eastAsia"/>
          <w:lang w:val="en-US" w:eastAsia="zh-CN"/>
        </w:rPr>
        <w:t>9</w:t>
      </w:r>
    </w:p>
    <w:p w14:paraId="6A698367">
      <w:pPr>
        <w:tabs>
          <w:tab w:val="right" w:leader="middleDot" w:pos="9030"/>
        </w:tabs>
        <w:spacing w:line="360" w:lineRule="exact"/>
        <w:ind w:firstLine="798" w:firstLineChars="380"/>
        <w:rPr>
          <w:rFonts w:hint="eastAsia" w:eastAsia="宋体"/>
          <w:lang w:eastAsia="zh-CN"/>
        </w:rPr>
      </w:pPr>
      <w:r>
        <w:t>3.主要耗能工业企业单位产品能源</w:t>
      </w:r>
      <w:r>
        <w:rPr>
          <w:rFonts w:hint="eastAsia"/>
        </w:rPr>
        <w:t>消费</w:t>
      </w:r>
      <w:r>
        <w:t>情况（205-3表）</w:t>
      </w:r>
      <w:r>
        <w:tab/>
      </w:r>
      <w:r>
        <w:t>1</w:t>
      </w:r>
      <w:r>
        <w:rPr>
          <w:rFonts w:hint="eastAsia"/>
          <w:lang w:val="en-US" w:eastAsia="zh-CN"/>
        </w:rPr>
        <w:t>0</w:t>
      </w:r>
    </w:p>
    <w:p w14:paraId="6BEE0AA0">
      <w:pPr>
        <w:tabs>
          <w:tab w:val="right" w:leader="middleDot" w:pos="9030"/>
        </w:tabs>
        <w:spacing w:line="360" w:lineRule="exact"/>
        <w:ind w:firstLine="798" w:firstLineChars="380"/>
        <w:rPr>
          <w:rFonts w:hint="eastAsia" w:eastAsia="宋体"/>
          <w:lang w:eastAsia="zh-CN"/>
        </w:rPr>
      </w:pPr>
      <w:r>
        <w:t>4.工业企业用水情况（205-4表）</w:t>
      </w:r>
      <w:r>
        <w:tab/>
      </w:r>
      <w:r>
        <w:t>1</w:t>
      </w:r>
      <w:r>
        <w:rPr>
          <w:rFonts w:hint="eastAsia"/>
          <w:lang w:val="en-US" w:eastAsia="zh-CN"/>
        </w:rPr>
        <w:t>1</w:t>
      </w:r>
    </w:p>
    <w:p w14:paraId="0AE03DB2">
      <w:pPr>
        <w:tabs>
          <w:tab w:val="right" w:leader="middleDot" w:pos="9030"/>
        </w:tabs>
        <w:spacing w:line="360" w:lineRule="exact"/>
        <w:ind w:firstLine="798" w:firstLineChars="380"/>
        <w:rPr>
          <w:rFonts w:hint="eastAsia" w:eastAsia="宋体"/>
          <w:lang w:eastAsia="zh-CN"/>
        </w:rPr>
      </w:pPr>
      <w:r>
        <w:t>5.非工业重点耗能单位能源消费情况（205-5表）</w:t>
      </w:r>
      <w:r>
        <w:tab/>
      </w:r>
      <w:r>
        <w:t>1</w:t>
      </w:r>
      <w:r>
        <w:rPr>
          <w:rFonts w:hint="eastAsia"/>
          <w:lang w:val="en-US" w:eastAsia="zh-CN"/>
        </w:rPr>
        <w:t>2</w:t>
      </w:r>
    </w:p>
    <w:p w14:paraId="7829F01A">
      <w:pPr>
        <w:tabs>
          <w:tab w:val="right" w:leader="middleDot" w:pos="9030"/>
        </w:tabs>
        <w:spacing w:line="360" w:lineRule="exact"/>
        <w:ind w:firstLine="798" w:firstLineChars="380"/>
        <w:rPr>
          <w:rFonts w:hint="eastAsia" w:eastAsia="宋体"/>
          <w:lang w:eastAsia="zh-CN"/>
        </w:rPr>
      </w:pPr>
      <w:r>
        <w:t>6.能源生产、销售与库存（205-6表）</w:t>
      </w:r>
      <w:r>
        <w:tab/>
      </w:r>
      <w:r>
        <w:t>1</w:t>
      </w:r>
      <w:r>
        <w:rPr>
          <w:rFonts w:hint="eastAsia"/>
          <w:lang w:val="en-US" w:eastAsia="zh-CN"/>
        </w:rPr>
        <w:t>3</w:t>
      </w:r>
    </w:p>
    <w:p w14:paraId="42F299AE">
      <w:pPr>
        <w:tabs>
          <w:tab w:val="right" w:leader="middleDot" w:pos="9030"/>
        </w:tabs>
        <w:spacing w:line="360" w:lineRule="exact"/>
        <w:ind w:firstLine="798" w:firstLineChars="380"/>
        <w:rPr>
          <w:rFonts w:hint="eastAsia" w:eastAsia="宋体"/>
          <w:lang w:eastAsia="zh-CN"/>
        </w:rPr>
      </w:pPr>
      <w:r>
        <w:t>7.重点能源商品经销情况（205-7表）</w:t>
      </w:r>
      <w:r>
        <w:tab/>
      </w:r>
      <w:r>
        <w:t>1</w:t>
      </w:r>
      <w:r>
        <w:rPr>
          <w:rFonts w:hint="eastAsia"/>
          <w:lang w:val="en-US" w:eastAsia="zh-CN"/>
        </w:rPr>
        <w:t>4</w:t>
      </w:r>
    </w:p>
    <w:p w14:paraId="6FAB2325">
      <w:pPr>
        <w:tabs>
          <w:tab w:val="right" w:leader="middleDot" w:pos="9030"/>
        </w:tabs>
        <w:spacing w:line="360" w:lineRule="exact"/>
        <w:ind w:firstLine="798" w:firstLineChars="380"/>
        <w:rPr>
          <w:rFonts w:hint="eastAsia" w:eastAsia="宋体"/>
          <w:lang w:val="en-US" w:eastAsia="zh-CN"/>
        </w:rPr>
      </w:pPr>
      <w:r>
        <w:rPr>
          <w:rFonts w:hint="eastAsia"/>
          <w:lang w:val="en-US" w:eastAsia="zh-CN"/>
        </w:rPr>
        <w:t>8.四下企业主要能源产品产量（P206表）</w:t>
      </w:r>
      <w:r>
        <w:tab/>
      </w:r>
      <w:r>
        <w:t>1</w:t>
      </w:r>
      <w:r>
        <w:rPr>
          <w:rFonts w:hint="eastAsia"/>
          <w:lang w:val="en-US" w:eastAsia="zh-CN"/>
        </w:rPr>
        <w:t>5</w:t>
      </w:r>
    </w:p>
    <w:p w14:paraId="537F0D8B">
      <w:pPr>
        <w:tabs>
          <w:tab w:val="right" w:leader="middleDot" w:pos="9030"/>
        </w:tabs>
        <w:spacing w:line="360" w:lineRule="exact"/>
        <w:ind w:firstLine="180" w:firstLineChars="86"/>
        <w:rPr>
          <w:rFonts w:hint="eastAsia" w:eastAsia="宋体"/>
          <w:lang w:eastAsia="zh-CN"/>
        </w:rPr>
      </w:pPr>
      <w:r>
        <w:t>（</w:t>
      </w:r>
      <w:r>
        <w:rPr>
          <w:rFonts w:hint="eastAsia"/>
          <w:lang w:eastAsia="zh-CN"/>
        </w:rPr>
        <w:t>二</w:t>
      </w:r>
      <w:r>
        <w:t>）综合年报表式</w:t>
      </w:r>
      <w:r>
        <w:tab/>
      </w:r>
      <w:r>
        <w:t>1</w:t>
      </w:r>
      <w:r>
        <w:rPr>
          <w:rFonts w:hint="eastAsia"/>
          <w:lang w:val="en-US" w:eastAsia="zh-CN"/>
        </w:rPr>
        <w:t>6</w:t>
      </w:r>
    </w:p>
    <w:p w14:paraId="364F7698">
      <w:pPr>
        <w:tabs>
          <w:tab w:val="right" w:leader="middleDot" w:pos="9030"/>
        </w:tabs>
        <w:spacing w:line="360" w:lineRule="exact"/>
        <w:ind w:firstLine="798" w:firstLineChars="380"/>
        <w:rPr>
          <w:rFonts w:hint="eastAsia" w:eastAsia="宋体"/>
          <w:lang w:eastAsia="zh-CN"/>
        </w:rPr>
      </w:pPr>
      <w:r>
        <w:t>1.能源平衡表（实物量）（P303-1表）</w:t>
      </w:r>
      <w:r>
        <w:tab/>
      </w:r>
      <w:r>
        <w:t>1</w:t>
      </w:r>
      <w:r>
        <w:rPr>
          <w:rFonts w:hint="eastAsia"/>
          <w:lang w:val="en-US" w:eastAsia="zh-CN"/>
        </w:rPr>
        <w:t>6</w:t>
      </w:r>
    </w:p>
    <w:p w14:paraId="43BB270C">
      <w:pPr>
        <w:tabs>
          <w:tab w:val="right" w:leader="middleDot" w:pos="9030"/>
        </w:tabs>
        <w:spacing w:line="360" w:lineRule="exact"/>
        <w:ind w:firstLine="798" w:firstLineChars="380"/>
        <w:rPr>
          <w:rFonts w:hint="eastAsia" w:eastAsia="宋体"/>
          <w:lang w:val="en-US" w:eastAsia="zh-CN"/>
        </w:rPr>
      </w:pPr>
      <w:r>
        <w:t>2.分行业能源消费量（实物量）（P303-2表）</w:t>
      </w:r>
      <w:r>
        <w:tab/>
      </w:r>
      <w:r>
        <w:t>1</w:t>
      </w:r>
      <w:r>
        <w:rPr>
          <w:rFonts w:hint="eastAsia"/>
          <w:lang w:val="en-US" w:eastAsia="zh-CN"/>
        </w:rPr>
        <w:t>8</w:t>
      </w:r>
    </w:p>
    <w:p w14:paraId="69820B75">
      <w:pPr>
        <w:tabs>
          <w:tab w:val="right" w:leader="middleDot" w:pos="9030"/>
        </w:tabs>
        <w:spacing w:line="360" w:lineRule="exact"/>
        <w:ind w:firstLine="798" w:firstLineChars="380"/>
        <w:rPr>
          <w:rFonts w:hint="default" w:eastAsia="宋体"/>
          <w:lang w:val="en-US" w:eastAsia="zh-CN"/>
        </w:rPr>
      </w:pPr>
      <w:r>
        <w:t>3.分行业终端能源消费量（实物量）（P303-3表）</w:t>
      </w:r>
      <w:r>
        <w:tab/>
      </w:r>
      <w:r>
        <w:rPr>
          <w:rFonts w:hint="eastAsia"/>
          <w:lang w:val="en-US" w:eastAsia="zh-CN"/>
        </w:rPr>
        <w:t>19</w:t>
      </w:r>
    </w:p>
    <w:p w14:paraId="5FE00FAE">
      <w:pPr>
        <w:tabs>
          <w:tab w:val="right" w:leader="middleDot" w:pos="9030"/>
        </w:tabs>
        <w:spacing w:line="360" w:lineRule="exact"/>
        <w:ind w:firstLine="798" w:firstLineChars="380"/>
        <w:rPr>
          <w:rFonts w:hint="eastAsia" w:eastAsia="宋体"/>
          <w:lang w:eastAsia="zh-CN"/>
        </w:rPr>
      </w:pPr>
      <w:r>
        <w:t>4.能源平衡表（标准量）（P303-4表）</w:t>
      </w:r>
      <w:r>
        <w:tab/>
      </w:r>
      <w:r>
        <w:t>2</w:t>
      </w:r>
      <w:r>
        <w:rPr>
          <w:rFonts w:hint="eastAsia"/>
          <w:lang w:val="en-US" w:eastAsia="zh-CN"/>
        </w:rPr>
        <w:t>0</w:t>
      </w:r>
    </w:p>
    <w:p w14:paraId="3C2468FC">
      <w:pPr>
        <w:tabs>
          <w:tab w:val="right" w:leader="middleDot" w:pos="9030"/>
        </w:tabs>
        <w:spacing w:line="360" w:lineRule="exact"/>
        <w:ind w:firstLine="798" w:firstLineChars="380"/>
        <w:rPr>
          <w:rFonts w:hint="eastAsia" w:eastAsia="宋体"/>
          <w:lang w:eastAsia="zh-CN"/>
        </w:rPr>
      </w:pPr>
      <w:r>
        <w:t>5.分行业终端能源消费量（标准量）（P303-5表）</w:t>
      </w:r>
      <w:r>
        <w:tab/>
      </w:r>
      <w:r>
        <w:t>2</w:t>
      </w:r>
      <w:r>
        <w:rPr>
          <w:rFonts w:hint="eastAsia"/>
          <w:lang w:val="en-US" w:eastAsia="zh-CN"/>
        </w:rPr>
        <w:t>1</w:t>
      </w:r>
    </w:p>
    <w:p w14:paraId="3040A61B">
      <w:pPr>
        <w:tabs>
          <w:tab w:val="right" w:leader="middleDot" w:pos="9030"/>
        </w:tabs>
        <w:spacing w:line="360" w:lineRule="exact"/>
        <w:ind w:firstLine="798" w:firstLineChars="380"/>
        <w:rPr>
          <w:rFonts w:hint="eastAsia" w:eastAsia="宋体"/>
          <w:lang w:eastAsia="zh-CN"/>
        </w:rPr>
      </w:pPr>
      <w:r>
        <w:t>6.铁路企业主要能源消费与库存（TL301表）</w:t>
      </w:r>
      <w:r>
        <w:tab/>
      </w:r>
      <w:r>
        <w:t>2</w:t>
      </w:r>
      <w:r>
        <w:rPr>
          <w:rFonts w:hint="eastAsia"/>
          <w:lang w:val="en-US" w:eastAsia="zh-CN"/>
        </w:rPr>
        <w:t>2</w:t>
      </w:r>
    </w:p>
    <w:p w14:paraId="3A0E9012">
      <w:pPr>
        <w:tabs>
          <w:tab w:val="right" w:leader="middleDot" w:pos="9030"/>
        </w:tabs>
        <w:spacing w:line="360" w:lineRule="exact"/>
        <w:ind w:firstLine="798" w:firstLineChars="380"/>
        <w:rPr>
          <w:rFonts w:hint="eastAsia" w:eastAsia="宋体"/>
          <w:lang w:eastAsia="zh-CN"/>
        </w:rPr>
      </w:pPr>
      <w:r>
        <w:t>7.航空企业主要能源消费与库存（MH301表）</w:t>
      </w:r>
      <w:r>
        <w:tab/>
      </w:r>
      <w:r>
        <w:t>2</w:t>
      </w:r>
      <w:r>
        <w:rPr>
          <w:rFonts w:hint="eastAsia"/>
          <w:lang w:val="en-US" w:eastAsia="zh-CN"/>
        </w:rPr>
        <w:t>2</w:t>
      </w:r>
    </w:p>
    <w:p w14:paraId="6EB5ABB4">
      <w:pPr>
        <w:tabs>
          <w:tab w:val="right" w:leader="middleDot" w:pos="9030"/>
        </w:tabs>
        <w:spacing w:line="360" w:lineRule="exact"/>
        <w:ind w:firstLine="798" w:firstLineChars="380"/>
        <w:rPr>
          <w:rFonts w:hint="eastAsia"/>
          <w:lang w:val="en-US" w:eastAsia="zh-CN"/>
        </w:rPr>
      </w:pPr>
      <w:r>
        <w:t>8.公路、水上运输企业主要能源消费与库存（JT320表）</w:t>
      </w:r>
      <w:r>
        <w:tab/>
      </w:r>
      <w:r>
        <w:t>2</w:t>
      </w:r>
      <w:r>
        <w:rPr>
          <w:rFonts w:hint="eastAsia"/>
          <w:lang w:val="en-US" w:eastAsia="zh-CN"/>
        </w:rPr>
        <w:t>3</w:t>
      </w:r>
    </w:p>
    <w:p w14:paraId="78978351">
      <w:pPr>
        <w:tabs>
          <w:tab w:val="right" w:leader="middleDot" w:pos="9030"/>
        </w:tabs>
        <w:spacing w:line="360" w:lineRule="exact"/>
        <w:ind w:firstLine="180" w:firstLineChars="86"/>
        <w:rPr>
          <w:rFonts w:hint="eastAsia" w:eastAsia="宋体"/>
          <w:lang w:eastAsia="zh-CN"/>
        </w:rPr>
      </w:pPr>
      <w:r>
        <w:t>（</w:t>
      </w:r>
      <w:r>
        <w:rPr>
          <w:rFonts w:hint="eastAsia"/>
          <w:lang w:eastAsia="zh-CN"/>
        </w:rPr>
        <w:t>三</w:t>
      </w:r>
      <w:r>
        <w:t>）综合定报表式</w:t>
      </w:r>
      <w:r>
        <w:tab/>
      </w:r>
      <w:r>
        <w:t>2</w:t>
      </w:r>
      <w:r>
        <w:rPr>
          <w:rFonts w:hint="eastAsia"/>
          <w:lang w:val="en-US" w:eastAsia="zh-CN"/>
        </w:rPr>
        <w:t>4</w:t>
      </w:r>
    </w:p>
    <w:p w14:paraId="780CEA22">
      <w:pPr>
        <w:tabs>
          <w:tab w:val="right" w:leader="middleDot" w:pos="9030"/>
        </w:tabs>
        <w:spacing w:line="360" w:lineRule="exact"/>
        <w:ind w:firstLine="798" w:firstLineChars="380"/>
        <w:rPr>
          <w:rFonts w:hint="eastAsia" w:eastAsia="宋体"/>
          <w:lang w:eastAsia="zh-CN"/>
        </w:rPr>
      </w:pPr>
      <w:r>
        <w:rPr>
          <w:rFonts w:hint="eastAsia"/>
          <w:lang w:val="en-US" w:eastAsia="zh-CN"/>
        </w:rPr>
        <w:t>1</w:t>
      </w:r>
      <w:r>
        <w:t>.石油生产企业石油产品生产、销售与库存（ZY401表、ZS401表、ZH401表）</w:t>
      </w:r>
      <w:r>
        <w:tab/>
      </w:r>
      <w:r>
        <w:t>2</w:t>
      </w:r>
      <w:r>
        <w:rPr>
          <w:rFonts w:hint="eastAsia"/>
          <w:lang w:val="en-US" w:eastAsia="zh-CN"/>
        </w:rPr>
        <w:t>4</w:t>
      </w:r>
    </w:p>
    <w:p w14:paraId="495C527F">
      <w:pPr>
        <w:tabs>
          <w:tab w:val="right" w:leader="middleDot" w:pos="9030"/>
        </w:tabs>
        <w:spacing w:line="360" w:lineRule="exact"/>
        <w:ind w:firstLine="798" w:firstLineChars="380"/>
        <w:rPr>
          <w:rFonts w:hint="eastAsia" w:eastAsia="宋体"/>
          <w:lang w:eastAsia="zh-CN"/>
        </w:rPr>
      </w:pPr>
      <w:r>
        <w:rPr>
          <w:rFonts w:hint="eastAsia"/>
          <w:lang w:val="en-US" w:eastAsia="zh-CN"/>
        </w:rPr>
        <w:t>2</w:t>
      </w:r>
      <w:r>
        <w:t>.石油销售企业石油商品购进、销售与库存（ZY402表、ZS402表、ZH402表）</w:t>
      </w:r>
      <w:r>
        <w:tab/>
      </w:r>
      <w:r>
        <w:t>2</w:t>
      </w:r>
      <w:r>
        <w:rPr>
          <w:rFonts w:hint="eastAsia"/>
          <w:lang w:val="en-US" w:eastAsia="zh-CN"/>
        </w:rPr>
        <w:t>5</w:t>
      </w:r>
    </w:p>
    <w:p w14:paraId="1488D408">
      <w:pPr>
        <w:tabs>
          <w:tab w:val="right" w:leader="middleDot" w:pos="9030"/>
        </w:tabs>
        <w:spacing w:line="360" w:lineRule="exact"/>
        <w:ind w:firstLine="798" w:firstLineChars="380"/>
        <w:rPr>
          <w:rFonts w:hint="eastAsia" w:eastAsia="宋体"/>
          <w:lang w:eastAsia="zh-CN"/>
        </w:rPr>
      </w:pPr>
      <w:r>
        <w:rPr>
          <w:rFonts w:hint="eastAsia"/>
          <w:lang w:val="en-US" w:eastAsia="zh-CN"/>
        </w:rPr>
        <w:t>3</w:t>
      </w:r>
      <w:r>
        <w:t>.</w:t>
      </w:r>
      <w:r>
        <w:rPr>
          <w:rFonts w:hint="eastAsia"/>
        </w:rPr>
        <w:t>全国发电量情况</w:t>
      </w:r>
      <w:r>
        <w:t>（DW401表）</w:t>
      </w:r>
      <w:r>
        <w:tab/>
      </w:r>
      <w:r>
        <w:t>2</w:t>
      </w:r>
      <w:r>
        <w:rPr>
          <w:rFonts w:hint="eastAsia"/>
          <w:lang w:val="en-US" w:eastAsia="zh-CN"/>
        </w:rPr>
        <w:t>5</w:t>
      </w:r>
    </w:p>
    <w:p w14:paraId="09514FEA">
      <w:pPr>
        <w:tabs>
          <w:tab w:val="right" w:leader="middleDot" w:pos="9030"/>
        </w:tabs>
        <w:spacing w:line="360" w:lineRule="exact"/>
        <w:ind w:firstLine="798" w:firstLineChars="380"/>
        <w:rPr>
          <w:rFonts w:hint="eastAsia" w:eastAsia="宋体"/>
          <w:lang w:eastAsia="zh-CN"/>
        </w:rPr>
      </w:pPr>
      <w:r>
        <w:rPr>
          <w:rFonts w:hint="eastAsia"/>
          <w:lang w:val="en-US" w:eastAsia="zh-CN"/>
        </w:rPr>
        <w:t>4</w:t>
      </w:r>
      <w:r>
        <w:t>.</w:t>
      </w:r>
      <w:r>
        <w:rPr>
          <w:rFonts w:hint="eastAsia"/>
        </w:rPr>
        <w:t>分地区发受电量情况</w:t>
      </w:r>
      <w:r>
        <w:t>（DW402表）</w:t>
      </w:r>
      <w:r>
        <w:tab/>
      </w:r>
      <w:r>
        <w:t>2</w:t>
      </w:r>
      <w:r>
        <w:rPr>
          <w:rFonts w:hint="eastAsia"/>
          <w:lang w:val="en-US" w:eastAsia="zh-CN"/>
        </w:rPr>
        <w:t>6</w:t>
      </w:r>
    </w:p>
    <w:p w14:paraId="2F07CF23">
      <w:pPr>
        <w:tabs>
          <w:tab w:val="right" w:leader="middleDot" w:pos="9030"/>
        </w:tabs>
        <w:spacing w:line="360" w:lineRule="exact"/>
        <w:ind w:firstLine="798" w:firstLineChars="380"/>
        <w:rPr>
          <w:rFonts w:hint="eastAsia" w:eastAsia="宋体"/>
          <w:lang w:eastAsia="zh-CN"/>
        </w:rPr>
      </w:pPr>
      <w:r>
        <w:rPr>
          <w:rFonts w:hint="eastAsia"/>
          <w:lang w:val="en-US" w:eastAsia="zh-CN"/>
        </w:rPr>
        <w:t>5</w:t>
      </w:r>
      <w:r>
        <w:t>.天然气销售去向（ZY403表、ZS403表、ZH403表）</w:t>
      </w:r>
      <w:r>
        <w:tab/>
      </w:r>
      <w:r>
        <w:t>2</w:t>
      </w:r>
      <w:r>
        <w:rPr>
          <w:rFonts w:hint="eastAsia"/>
          <w:lang w:val="en-US" w:eastAsia="zh-CN"/>
        </w:rPr>
        <w:t>7</w:t>
      </w:r>
    </w:p>
    <w:p w14:paraId="14DB88EC">
      <w:pPr>
        <w:tabs>
          <w:tab w:val="right" w:leader="middleDot" w:pos="9030"/>
        </w:tabs>
        <w:spacing w:line="360" w:lineRule="exact"/>
        <w:ind w:firstLine="798" w:firstLineChars="380"/>
        <w:rPr>
          <w:rFonts w:hint="eastAsia" w:eastAsia="宋体"/>
          <w:lang w:val="en-US" w:eastAsia="zh-CN"/>
        </w:rPr>
      </w:pPr>
      <w:r>
        <w:rPr>
          <w:rFonts w:hint="eastAsia"/>
          <w:lang w:val="en-US" w:eastAsia="zh-CN"/>
        </w:rPr>
        <w:t>6</w:t>
      </w:r>
      <w:r>
        <w:t>.电力省际间输入、输出情况（DL401表）</w:t>
      </w:r>
      <w:r>
        <w:tab/>
      </w:r>
      <w:r>
        <w:t>2</w:t>
      </w:r>
      <w:r>
        <w:rPr>
          <w:rFonts w:hint="eastAsia"/>
          <w:lang w:val="en-US" w:eastAsia="zh-CN"/>
        </w:rPr>
        <w:t>8</w:t>
      </w:r>
    </w:p>
    <w:p w14:paraId="0CBF9F9C">
      <w:pPr>
        <w:tabs>
          <w:tab w:val="right" w:leader="middleDot" w:pos="9030"/>
        </w:tabs>
        <w:spacing w:line="360" w:lineRule="exact"/>
        <w:ind w:firstLine="798" w:firstLineChars="380"/>
        <w:rPr>
          <w:rFonts w:hint="default"/>
          <w:lang w:val="en-US"/>
        </w:rPr>
      </w:pPr>
      <w:r>
        <w:rPr>
          <w:rFonts w:hint="eastAsia"/>
          <w:lang w:val="en-US" w:eastAsia="zh-CN"/>
        </w:rPr>
        <w:t>7</w:t>
      </w:r>
      <w:r>
        <w:t>.</w:t>
      </w:r>
      <w:r>
        <w:rPr>
          <w:rFonts w:hint="eastAsia"/>
          <w:lang w:eastAsia="zh-CN"/>
        </w:rPr>
        <w:t>电力行业监测</w:t>
      </w:r>
      <w:r>
        <w:t>情况（DL403表）</w:t>
      </w:r>
      <w:r>
        <w:tab/>
      </w:r>
      <w:r>
        <w:rPr>
          <w:rFonts w:hint="eastAsia"/>
          <w:lang w:val="en-US" w:eastAsia="zh-CN"/>
        </w:rPr>
        <w:t>29</w:t>
      </w:r>
    </w:p>
    <w:p w14:paraId="31213CD5">
      <w:pPr>
        <w:tabs>
          <w:tab w:val="right" w:leader="middleDot" w:pos="9030"/>
        </w:tabs>
        <w:spacing w:line="360" w:lineRule="exact"/>
        <w:ind w:firstLine="798" w:firstLineChars="380"/>
        <w:rPr>
          <w:rFonts w:hint="default" w:eastAsia="宋体"/>
          <w:lang w:val="en-US" w:eastAsia="zh-CN"/>
        </w:rPr>
      </w:pPr>
      <w:r>
        <w:rPr>
          <w:rFonts w:hint="eastAsia"/>
          <w:lang w:val="en-US" w:eastAsia="zh-CN"/>
        </w:rPr>
        <w:t>8</w:t>
      </w:r>
      <w:r>
        <w:t>.地区能源消费与单位GDP能耗（P406表）</w:t>
      </w:r>
      <w:r>
        <w:tab/>
      </w:r>
      <w:r>
        <w:t>3</w:t>
      </w:r>
      <w:r>
        <w:rPr>
          <w:rFonts w:hint="eastAsia"/>
          <w:lang w:val="en-US" w:eastAsia="zh-CN"/>
        </w:rPr>
        <w:t>1</w:t>
      </w:r>
    </w:p>
    <w:p w14:paraId="0E84EAF6">
      <w:pPr>
        <w:tabs>
          <w:tab w:val="right" w:leader="middleDot" w:pos="9030"/>
        </w:tabs>
        <w:spacing w:line="360" w:lineRule="exact"/>
        <w:ind w:firstLine="798" w:firstLineChars="380"/>
        <w:rPr>
          <w:rFonts w:hint="default" w:eastAsia="宋体"/>
          <w:lang w:val="en-US" w:eastAsia="zh-CN"/>
        </w:rPr>
      </w:pPr>
      <w:r>
        <w:rPr>
          <w:rFonts w:hint="eastAsia"/>
          <w:lang w:val="en-US" w:eastAsia="zh-CN"/>
        </w:rPr>
        <w:t>9</w:t>
      </w:r>
      <w:r>
        <w:t>.全社会用电量情况（P407表）</w:t>
      </w:r>
      <w:r>
        <w:tab/>
      </w:r>
      <w:r>
        <w:t>3</w:t>
      </w:r>
      <w:r>
        <w:rPr>
          <w:rFonts w:hint="eastAsia"/>
          <w:lang w:val="en-US" w:eastAsia="zh-CN"/>
        </w:rPr>
        <w:t>1</w:t>
      </w:r>
    </w:p>
    <w:p w14:paraId="5C36B9E2">
      <w:pPr>
        <w:tabs>
          <w:tab w:val="right" w:leader="middleDot" w:pos="9030"/>
        </w:tabs>
        <w:spacing w:line="360" w:lineRule="exact"/>
        <w:sectPr>
          <w:headerReference r:id="rId6" w:type="default"/>
          <w:headerReference r:id="rId7" w:type="even"/>
          <w:pgSz w:w="11906" w:h="16838"/>
          <w:pgMar w:top="1418" w:right="1247" w:bottom="1247" w:left="1247" w:header="851" w:footer="992" w:gutter="0"/>
          <w:pgBorders>
            <w:top w:val="none" w:sz="0" w:space="0"/>
            <w:left w:val="none" w:sz="0" w:space="0"/>
            <w:bottom w:val="none" w:sz="0" w:space="0"/>
            <w:right w:val="none" w:sz="0" w:space="0"/>
          </w:pgBorders>
          <w:pgNumType w:fmt="numberInDash" w:start="1"/>
          <w:cols w:space="425" w:num="1"/>
          <w:docGrid w:linePitch="286" w:charSpace="0"/>
        </w:sectPr>
      </w:pPr>
    </w:p>
    <w:p w14:paraId="78172B54">
      <w:pPr>
        <w:tabs>
          <w:tab w:val="right" w:leader="middleDot" w:pos="9030"/>
        </w:tabs>
        <w:spacing w:line="360" w:lineRule="exact"/>
      </w:pPr>
    </w:p>
    <w:p w14:paraId="691414C9">
      <w:pPr>
        <w:tabs>
          <w:tab w:val="right" w:leader="middleDot" w:pos="9030"/>
        </w:tabs>
        <w:spacing w:line="360" w:lineRule="exact"/>
        <w:rPr>
          <w:rFonts w:hint="default" w:eastAsia="宋体"/>
          <w:lang w:val="en-US" w:eastAsia="zh-CN"/>
        </w:rPr>
      </w:pPr>
      <w:r>
        <w:t>四、填报目录</w:t>
      </w:r>
      <w:r>
        <w:tab/>
      </w:r>
      <w:r>
        <w:t>3</w:t>
      </w:r>
      <w:r>
        <w:rPr>
          <w:rFonts w:hint="eastAsia"/>
          <w:lang w:val="en-US" w:eastAsia="zh-CN"/>
        </w:rPr>
        <w:t>2</w:t>
      </w:r>
    </w:p>
    <w:p w14:paraId="25D135D9">
      <w:pPr>
        <w:tabs>
          <w:tab w:val="right" w:leader="middleDot" w:pos="9030"/>
        </w:tabs>
        <w:spacing w:line="360" w:lineRule="exact"/>
        <w:ind w:firstLine="180" w:firstLineChars="86"/>
        <w:rPr>
          <w:rFonts w:hint="eastAsia" w:eastAsia="宋体"/>
          <w:lang w:eastAsia="zh-CN"/>
        </w:rPr>
      </w:pPr>
      <w:r>
        <w:t>（一）能源购进、消费与库存</w:t>
      </w:r>
      <w:r>
        <w:rPr>
          <w:rFonts w:hint="eastAsia"/>
        </w:rPr>
        <w:t>和能源加工转换与回收利用</w:t>
      </w:r>
      <w:r>
        <w:t>目录（</w:t>
      </w:r>
      <w:r>
        <w:rPr>
          <w:rFonts w:hint="eastAsia"/>
        </w:rPr>
        <w:t>205-1表、</w:t>
      </w:r>
      <w:r>
        <w:t>205-2表）</w:t>
      </w:r>
      <w:r>
        <w:tab/>
      </w:r>
      <w:r>
        <w:t>3</w:t>
      </w:r>
      <w:r>
        <w:rPr>
          <w:rFonts w:hint="eastAsia"/>
          <w:lang w:val="en-US" w:eastAsia="zh-CN"/>
        </w:rPr>
        <w:t>2</w:t>
      </w:r>
    </w:p>
    <w:p w14:paraId="338E62E0">
      <w:pPr>
        <w:tabs>
          <w:tab w:val="right" w:leader="middleDot" w:pos="9030"/>
        </w:tabs>
        <w:spacing w:line="360" w:lineRule="exact"/>
        <w:ind w:firstLine="180" w:firstLineChars="86"/>
        <w:rPr>
          <w:rFonts w:hint="default"/>
          <w:lang w:val="en-US"/>
        </w:rPr>
      </w:pPr>
      <w:r>
        <w:t>（二）主要耗能工业企业单位产品能源消</w:t>
      </w:r>
      <w:r>
        <w:rPr>
          <w:rFonts w:hint="eastAsia"/>
        </w:rPr>
        <w:t>费</w:t>
      </w:r>
      <w:r>
        <w:t>情况目录（205-3表）</w:t>
      </w:r>
      <w:r>
        <w:tab/>
      </w:r>
      <w:r>
        <w:t>3</w:t>
      </w:r>
      <w:r>
        <w:rPr>
          <w:rFonts w:hint="default"/>
          <w:lang w:val="en-US" w:eastAsia="zh-CN"/>
        </w:rPr>
        <w:t>6</w:t>
      </w:r>
    </w:p>
    <w:p w14:paraId="0B5D8CBE">
      <w:pPr>
        <w:tabs>
          <w:tab w:val="right" w:leader="middleDot" w:pos="9030"/>
        </w:tabs>
        <w:spacing w:line="360" w:lineRule="exact"/>
        <w:ind w:firstLine="180" w:firstLineChars="86"/>
        <w:rPr>
          <w:rFonts w:hint="default"/>
          <w:lang w:val="en-US"/>
        </w:rPr>
      </w:pPr>
      <w:r>
        <w:t xml:space="preserve">（三）能源生产、销售与库存目录（205-6表） </w:t>
      </w:r>
      <w:r>
        <w:tab/>
      </w:r>
      <w:r>
        <w:rPr>
          <w:rFonts w:hint="eastAsia"/>
          <w:lang w:val="en-US" w:eastAsia="zh-CN"/>
        </w:rPr>
        <w:t>6</w:t>
      </w:r>
      <w:r>
        <w:rPr>
          <w:rFonts w:hint="default"/>
          <w:lang w:val="en-US" w:eastAsia="zh-CN"/>
        </w:rPr>
        <w:t>4</w:t>
      </w:r>
    </w:p>
    <w:p w14:paraId="13EA2429">
      <w:pPr>
        <w:tabs>
          <w:tab w:val="right" w:leader="middleDot" w:pos="9030"/>
        </w:tabs>
        <w:spacing w:line="360" w:lineRule="exact"/>
        <w:ind w:firstLine="180" w:firstLineChars="86"/>
        <w:rPr>
          <w:rFonts w:hint="default" w:eastAsia="宋体"/>
          <w:lang w:val="en-US" w:eastAsia="zh-CN"/>
        </w:rPr>
      </w:pPr>
      <w:r>
        <w:t>（四）分行业能源消费量目录（P303-2表、P303-3表、P303-5表）</w:t>
      </w:r>
      <w:r>
        <w:tab/>
      </w:r>
      <w:r>
        <w:rPr>
          <w:rFonts w:hint="eastAsia"/>
          <w:lang w:val="en-US" w:eastAsia="zh-CN"/>
        </w:rPr>
        <w:t>7</w:t>
      </w:r>
      <w:r>
        <w:rPr>
          <w:rFonts w:hint="default"/>
          <w:lang w:val="en-US" w:eastAsia="zh-CN"/>
        </w:rPr>
        <w:t>5</w:t>
      </w:r>
    </w:p>
    <w:p w14:paraId="67A63070">
      <w:pPr>
        <w:tabs>
          <w:tab w:val="right" w:leader="middleDot" w:pos="9030"/>
        </w:tabs>
        <w:spacing w:line="360" w:lineRule="exact"/>
        <w:ind w:firstLine="180" w:firstLineChars="86"/>
        <w:rPr>
          <w:rFonts w:hint="default" w:eastAsia="宋体"/>
          <w:lang w:val="en-US" w:eastAsia="zh-CN"/>
        </w:rPr>
      </w:pPr>
      <w:r>
        <w:t>（五）全社会用电量情况目录（P407表）</w:t>
      </w:r>
      <w:r>
        <w:tab/>
      </w:r>
      <w:r>
        <w:rPr>
          <w:rFonts w:hint="eastAsia"/>
          <w:lang w:val="en-US" w:eastAsia="zh-CN"/>
        </w:rPr>
        <w:t>7</w:t>
      </w:r>
      <w:r>
        <w:rPr>
          <w:rFonts w:hint="default"/>
          <w:lang w:val="en-US" w:eastAsia="zh-CN"/>
        </w:rPr>
        <w:t>6</w:t>
      </w:r>
    </w:p>
    <w:p w14:paraId="5CF1086B">
      <w:pPr>
        <w:tabs>
          <w:tab w:val="right" w:leader="middleDot" w:pos="9030"/>
        </w:tabs>
        <w:spacing w:line="360" w:lineRule="exact"/>
        <w:rPr>
          <w:rFonts w:hint="default" w:eastAsia="宋体"/>
          <w:lang w:val="en-US" w:eastAsia="zh-CN"/>
        </w:rPr>
      </w:pPr>
      <w:r>
        <w:t>五、主要指标解释</w:t>
      </w:r>
      <w:r>
        <w:tab/>
      </w:r>
      <w:r>
        <w:rPr>
          <w:rFonts w:hint="eastAsia"/>
          <w:lang w:val="en-US" w:eastAsia="zh-CN"/>
        </w:rPr>
        <w:t>7</w:t>
      </w:r>
      <w:r>
        <w:rPr>
          <w:rFonts w:hint="default"/>
          <w:lang w:val="en-US" w:eastAsia="zh-CN"/>
        </w:rPr>
        <w:t>7</w:t>
      </w:r>
    </w:p>
    <w:p w14:paraId="7288F16D">
      <w:pPr>
        <w:tabs>
          <w:tab w:val="right" w:leader="middleDot" w:pos="9030"/>
        </w:tabs>
        <w:spacing w:line="360" w:lineRule="exact"/>
        <w:ind w:firstLine="180" w:firstLineChars="86"/>
        <w:rPr>
          <w:rFonts w:hint="default" w:eastAsia="宋体"/>
          <w:lang w:val="en-US" w:eastAsia="zh-CN"/>
        </w:rPr>
      </w:pPr>
      <w:r>
        <w:t>（一）能源购进、消费与库存（205-1表）</w:t>
      </w:r>
      <w:r>
        <w:tab/>
      </w:r>
      <w:r>
        <w:rPr>
          <w:rFonts w:hint="eastAsia"/>
          <w:lang w:val="en-US" w:eastAsia="zh-CN"/>
        </w:rPr>
        <w:t>7</w:t>
      </w:r>
      <w:r>
        <w:rPr>
          <w:rFonts w:hint="default"/>
          <w:lang w:val="en-US" w:eastAsia="zh-CN"/>
        </w:rPr>
        <w:t>7</w:t>
      </w:r>
    </w:p>
    <w:p w14:paraId="551B4459">
      <w:pPr>
        <w:tabs>
          <w:tab w:val="right" w:leader="middleDot" w:pos="9030"/>
        </w:tabs>
        <w:spacing w:line="360" w:lineRule="exact"/>
        <w:ind w:firstLine="180" w:firstLineChars="86"/>
        <w:rPr>
          <w:rFonts w:hint="default" w:eastAsia="宋体"/>
          <w:lang w:val="en-US" w:eastAsia="zh-CN"/>
        </w:rPr>
      </w:pPr>
      <w:r>
        <w:t>（二）能源加工转换与回收利用（205-2表）</w:t>
      </w:r>
      <w:r>
        <w:tab/>
      </w:r>
      <w:r>
        <w:rPr>
          <w:rFonts w:hint="eastAsia"/>
          <w:lang w:val="en-US" w:eastAsia="zh-CN"/>
        </w:rPr>
        <w:t>7</w:t>
      </w:r>
      <w:r>
        <w:rPr>
          <w:rFonts w:hint="default"/>
          <w:lang w:val="en-US" w:eastAsia="zh-CN"/>
        </w:rPr>
        <w:t>9</w:t>
      </w:r>
    </w:p>
    <w:p w14:paraId="1A81D770">
      <w:pPr>
        <w:tabs>
          <w:tab w:val="right" w:leader="middleDot" w:pos="9030"/>
        </w:tabs>
        <w:spacing w:line="360" w:lineRule="exact"/>
        <w:ind w:left="181" w:leftChars="86"/>
        <w:rPr>
          <w:rFonts w:hint="default"/>
          <w:lang w:val="en-US"/>
        </w:rPr>
      </w:pPr>
      <w:r>
        <w:t>（</w:t>
      </w:r>
      <w:r>
        <w:rPr>
          <w:rFonts w:hint="eastAsia"/>
          <w:lang w:val="en-US" w:eastAsia="zh-CN"/>
        </w:rPr>
        <w:t>三</w:t>
      </w:r>
      <w:r>
        <w:t>）工业企业用水情况（205-4表）</w:t>
      </w:r>
      <w:r>
        <w:tab/>
      </w:r>
      <w:r>
        <w:rPr>
          <w:rFonts w:hint="eastAsia"/>
          <w:lang w:val="en-US" w:eastAsia="zh-CN"/>
        </w:rPr>
        <w:t>8</w:t>
      </w:r>
      <w:r>
        <w:rPr>
          <w:rFonts w:hint="default"/>
          <w:lang w:val="en-US" w:eastAsia="zh-CN"/>
        </w:rPr>
        <w:t>1</w:t>
      </w:r>
    </w:p>
    <w:p w14:paraId="6C19B855">
      <w:pPr>
        <w:tabs>
          <w:tab w:val="right" w:leader="middleDot" w:pos="9030"/>
        </w:tabs>
        <w:spacing w:line="360" w:lineRule="exact"/>
        <w:ind w:left="181" w:leftChars="86"/>
        <w:rPr>
          <w:rFonts w:hint="eastAsia" w:eastAsia="宋体"/>
          <w:lang w:eastAsia="zh-CN"/>
        </w:rPr>
      </w:pPr>
      <w:r>
        <w:t>（</w:t>
      </w:r>
      <w:r>
        <w:rPr>
          <w:rFonts w:hint="eastAsia"/>
          <w:lang w:val="en-US" w:eastAsia="zh-CN"/>
        </w:rPr>
        <w:t>四</w:t>
      </w:r>
      <w:r>
        <w:t>）非工业重点耗能单位能源消费情况（205-5表）</w:t>
      </w:r>
      <w:r>
        <w:tab/>
      </w:r>
      <w:r>
        <w:rPr>
          <w:rFonts w:hint="eastAsia"/>
          <w:lang w:val="en-US" w:eastAsia="zh-CN"/>
        </w:rPr>
        <w:t>8</w:t>
      </w:r>
      <w:r>
        <w:rPr>
          <w:rFonts w:hint="default"/>
          <w:lang w:val="en-US" w:eastAsia="zh-CN"/>
        </w:rPr>
        <w:t>2</w:t>
      </w:r>
    </w:p>
    <w:p w14:paraId="4B6CD3FE">
      <w:pPr>
        <w:tabs>
          <w:tab w:val="right" w:leader="middleDot" w:pos="9030"/>
        </w:tabs>
        <w:spacing w:line="360" w:lineRule="exact"/>
        <w:ind w:firstLine="180" w:firstLineChars="86"/>
        <w:rPr>
          <w:rFonts w:hint="eastAsia" w:eastAsia="宋体"/>
          <w:lang w:eastAsia="zh-CN"/>
        </w:rPr>
      </w:pPr>
      <w:r>
        <w:t>（</w:t>
      </w:r>
      <w:r>
        <w:rPr>
          <w:rFonts w:hint="eastAsia"/>
          <w:lang w:val="en-US" w:eastAsia="zh-CN"/>
        </w:rPr>
        <w:t>五</w:t>
      </w:r>
      <w:r>
        <w:t>）能源生产、销售与库存（205-6表）</w:t>
      </w:r>
      <w:r>
        <w:tab/>
      </w:r>
      <w:r>
        <w:rPr>
          <w:rFonts w:hint="eastAsia"/>
          <w:lang w:val="en-US" w:eastAsia="zh-CN"/>
        </w:rPr>
        <w:t>8</w:t>
      </w:r>
      <w:r>
        <w:rPr>
          <w:rFonts w:hint="default"/>
          <w:lang w:val="en-US" w:eastAsia="zh-CN"/>
        </w:rPr>
        <w:t>3</w:t>
      </w:r>
    </w:p>
    <w:p w14:paraId="723DEE79">
      <w:pPr>
        <w:tabs>
          <w:tab w:val="right" w:leader="middleDot" w:pos="9030"/>
        </w:tabs>
        <w:spacing w:line="360" w:lineRule="exact"/>
        <w:ind w:firstLine="180" w:firstLineChars="86"/>
        <w:rPr>
          <w:rFonts w:hint="eastAsia" w:eastAsia="宋体"/>
          <w:lang w:eastAsia="zh-CN"/>
        </w:rPr>
      </w:pPr>
      <w:r>
        <w:t>（</w:t>
      </w:r>
      <w:r>
        <w:rPr>
          <w:rFonts w:hint="eastAsia"/>
          <w:lang w:val="en-US" w:eastAsia="zh-CN"/>
        </w:rPr>
        <w:t>六</w:t>
      </w:r>
      <w:r>
        <w:t>）重点能源商品经销情况（205-7表）</w:t>
      </w:r>
      <w:r>
        <w:tab/>
      </w:r>
      <w:r>
        <w:rPr>
          <w:rFonts w:hint="eastAsia"/>
          <w:lang w:val="en-US" w:eastAsia="zh-CN"/>
        </w:rPr>
        <w:t>8</w:t>
      </w:r>
      <w:r>
        <w:rPr>
          <w:rFonts w:hint="default"/>
          <w:lang w:val="en-US" w:eastAsia="zh-CN"/>
        </w:rPr>
        <w:t>5</w:t>
      </w:r>
    </w:p>
    <w:p w14:paraId="0A0F8FD2">
      <w:pPr>
        <w:tabs>
          <w:tab w:val="right" w:leader="middleDot" w:pos="9030"/>
        </w:tabs>
        <w:spacing w:line="360" w:lineRule="exact"/>
      </w:pPr>
      <w:r>
        <w:t>六、附录</w:t>
      </w:r>
      <w:r>
        <w:tab/>
      </w:r>
      <w:r>
        <w:t>8</w:t>
      </w:r>
      <w:r>
        <w:rPr>
          <w:rFonts w:hint="default"/>
          <w:lang w:val="en-US" w:eastAsia="zh-CN"/>
        </w:rPr>
        <w:t>7</w:t>
      </w:r>
    </w:p>
    <w:p w14:paraId="586CC95B">
      <w:pPr>
        <w:tabs>
          <w:tab w:val="right" w:leader="middleDot" w:pos="9030"/>
        </w:tabs>
        <w:spacing w:line="360" w:lineRule="exact"/>
        <w:ind w:firstLine="180" w:firstLineChars="86"/>
      </w:pPr>
      <w:r>
        <w:t>（一）各种能源折标准煤参考系数</w:t>
      </w:r>
      <w:r>
        <w:tab/>
      </w:r>
      <w:r>
        <w:t>8</w:t>
      </w:r>
      <w:r>
        <w:rPr>
          <w:rFonts w:hint="default"/>
          <w:lang w:val="en-US" w:eastAsia="zh-CN"/>
        </w:rPr>
        <w:t>7</w:t>
      </w:r>
    </w:p>
    <w:p w14:paraId="378F2227">
      <w:pPr>
        <w:tabs>
          <w:tab w:val="right" w:leader="middleDot" w:pos="9030"/>
        </w:tabs>
        <w:spacing w:line="360" w:lineRule="exact"/>
        <w:ind w:firstLine="180" w:firstLineChars="86"/>
      </w:pPr>
      <w:r>
        <w:t>（二）热焓表（饱和蒸汽或过热蒸汽）</w:t>
      </w:r>
      <w:r>
        <w:tab/>
      </w:r>
      <w:r>
        <w:rPr>
          <w:rFonts w:hint="eastAsia"/>
          <w:lang w:val="en-US" w:eastAsia="zh-CN"/>
        </w:rPr>
        <w:t>8</w:t>
      </w:r>
      <w:r>
        <w:rPr>
          <w:rFonts w:hint="default"/>
          <w:lang w:val="en-US" w:eastAsia="zh-CN"/>
        </w:rPr>
        <w:t>9</w:t>
      </w:r>
    </w:p>
    <w:p w14:paraId="73022B01">
      <w:pPr>
        <w:tabs>
          <w:tab w:val="right" w:leader="middleDot" w:pos="9030"/>
        </w:tabs>
        <w:spacing w:line="360" w:lineRule="exact"/>
        <w:ind w:firstLine="180" w:firstLineChars="86"/>
        <w:rPr>
          <w:rFonts w:hint="eastAsia" w:eastAsia="宋体"/>
          <w:lang w:val="en-US" w:eastAsia="zh-CN"/>
        </w:rPr>
      </w:pPr>
      <w:r>
        <w:t>（三）季度地区能源消费总量核算方案</w:t>
      </w:r>
      <w:r>
        <w:tab/>
      </w:r>
      <w:r>
        <w:t>9</w:t>
      </w:r>
      <w:r>
        <w:rPr>
          <w:rFonts w:hint="default"/>
          <w:lang w:val="en-US" w:eastAsia="zh-CN"/>
        </w:rPr>
        <w:t>3</w:t>
      </w:r>
    </w:p>
    <w:p w14:paraId="46502602">
      <w:pPr>
        <w:tabs>
          <w:tab w:val="left" w:leader="middleDot" w:pos="9030"/>
          <w:tab w:val="left" w:leader="middleDot" w:pos="9127"/>
        </w:tabs>
        <w:spacing w:line="360" w:lineRule="exact"/>
        <w:ind w:firstLine="180" w:firstLineChars="86"/>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055D4563">
      <w:pPr>
        <w:pStyle w:val="3"/>
        <w:snapToGrid w:val="0"/>
        <w:spacing w:before="480" w:beforeLines="200" w:after="480" w:afterLines="200" w:line="240" w:lineRule="auto"/>
        <w:jc w:val="center"/>
        <w:rPr>
          <w:rFonts w:eastAsia="黑体"/>
          <w:b w:val="0"/>
          <w:sz w:val="32"/>
          <w:szCs w:val="32"/>
        </w:rPr>
      </w:pPr>
      <w:r>
        <w:rPr>
          <w:rFonts w:eastAsia="黑体"/>
          <w:b w:val="0"/>
          <w:sz w:val="32"/>
          <w:szCs w:val="32"/>
        </w:rPr>
        <w:t>一、总  说  明</w:t>
      </w:r>
    </w:p>
    <w:p w14:paraId="78017CB6">
      <w:pPr>
        <w:snapToGrid w:val="0"/>
        <w:spacing w:line="360" w:lineRule="exact"/>
        <w:ind w:firstLine="420" w:firstLineChars="200"/>
        <w:textAlignment w:val="center"/>
      </w:pPr>
      <w:r>
        <w:t>（一）为了解全国能源供应、需求的基本情况，为各级政府制定政策</w:t>
      </w:r>
      <w:r>
        <w:rPr>
          <w:rFonts w:hint="eastAsia"/>
        </w:rPr>
        <w:t>、</w:t>
      </w:r>
      <w:r>
        <w:t>进行经济管理与调控提供依据，依照《中华人民共和国统计法》，制定本制度。</w:t>
      </w:r>
    </w:p>
    <w:p w14:paraId="341D7B9A">
      <w:pPr>
        <w:snapToGrid w:val="0"/>
        <w:spacing w:line="360" w:lineRule="exact"/>
        <w:ind w:firstLine="420" w:firstLineChars="200"/>
        <w:textAlignment w:val="center"/>
      </w:pPr>
      <w:r>
        <w:t>（二）本制度是国家统计</w:t>
      </w:r>
      <w:r>
        <w:rPr>
          <w:rFonts w:hint="eastAsia"/>
          <w:lang w:eastAsia="zh-CN"/>
        </w:rPr>
        <w:t>报表制度</w:t>
      </w:r>
      <w:r>
        <w:t>的一部分，是国家统计局对各省、自治区、直辖市统计局和国务院各有关部门（局、公司）的综合要求。各地区和各部门应按照全国统一规定的统计范围、计算方法、统计口径和填报要求，根据国家统计局制定的能源统计报表制度的内容，认真组织实施，按时报送。地方、部门特殊需要的统计资料应通过地方统计调查和部门统计调查搜集，并避免与国家统计调查内容相重复。</w:t>
      </w:r>
    </w:p>
    <w:p w14:paraId="5F6BA467">
      <w:pPr>
        <w:snapToGrid w:val="0"/>
        <w:spacing w:line="360" w:lineRule="exact"/>
        <w:ind w:firstLine="420" w:firstLineChars="200"/>
        <w:textAlignment w:val="center"/>
        <w:rPr>
          <w:szCs w:val="21"/>
        </w:rPr>
      </w:pPr>
      <w:r>
        <w:t>（三）</w:t>
      </w:r>
      <w:r>
        <w:rPr>
          <w:szCs w:val="21"/>
        </w:rPr>
        <w:t>本制度主要由基层定期报表、综合年报表、综合定期报表构成，这些报表反映能源的生产、销售、进出口、库存、购进、消费和能耗强度等情况。</w:t>
      </w:r>
    </w:p>
    <w:p w14:paraId="1313375A">
      <w:pPr>
        <w:snapToGrid w:val="0"/>
        <w:spacing w:line="360" w:lineRule="exact"/>
        <w:ind w:firstLine="420" w:firstLineChars="200"/>
        <w:textAlignment w:val="center"/>
        <w:rPr>
          <w:color w:val="auto"/>
        </w:rPr>
      </w:pPr>
      <w:r>
        <w:t>（四）资料来源及调查方法。</w:t>
      </w:r>
      <w:r>
        <w:rPr>
          <w:rFonts w:hint="eastAsia" w:ascii="宋体" w:hAnsi="宋体" w:cs="宋体"/>
          <w:color w:val="auto"/>
          <w:lang w:eastAsia="zh-CN"/>
        </w:rPr>
        <w:t>“</w:t>
      </w:r>
      <w:r>
        <w:rPr>
          <w:rFonts w:hint="eastAsia" w:ascii="宋体" w:hAnsi="宋体" w:cs="宋体"/>
          <w:color w:val="auto"/>
        </w:rPr>
        <w:t>铁路企业主要能源消费与库存</w:t>
      </w:r>
      <w:r>
        <w:rPr>
          <w:rFonts w:hint="eastAsia" w:ascii="宋体" w:hAnsi="宋体" w:cs="宋体"/>
          <w:color w:val="auto"/>
          <w:lang w:eastAsia="zh-CN"/>
        </w:rPr>
        <w:t>”</w:t>
      </w:r>
      <w:r>
        <w:rPr>
          <w:color w:val="auto"/>
        </w:rPr>
        <w:t>（TL301表）由中国</w:t>
      </w:r>
      <w:r>
        <w:rPr>
          <w:rFonts w:hint="eastAsia"/>
          <w:color w:val="auto"/>
        </w:rPr>
        <w:t>国家</w:t>
      </w:r>
      <w:r>
        <w:rPr>
          <w:color w:val="auto"/>
        </w:rPr>
        <w:t>铁路</w:t>
      </w:r>
      <w:r>
        <w:rPr>
          <w:rFonts w:hint="eastAsia"/>
          <w:color w:val="auto"/>
        </w:rPr>
        <w:t>集团有限</w:t>
      </w:r>
      <w:r>
        <w:rPr>
          <w:color w:val="auto"/>
        </w:rPr>
        <w:t>公司负责组织实施；</w:t>
      </w:r>
      <w:r>
        <w:rPr>
          <w:rFonts w:hint="eastAsia"/>
          <w:color w:val="auto"/>
          <w:lang w:eastAsia="zh-CN"/>
        </w:rPr>
        <w:t>“</w:t>
      </w:r>
      <w:r>
        <w:rPr>
          <w:color w:val="auto"/>
        </w:rPr>
        <w:t>航空企业主要能源消费与库存</w:t>
      </w:r>
      <w:r>
        <w:rPr>
          <w:rFonts w:hint="eastAsia"/>
          <w:color w:val="auto"/>
          <w:lang w:eastAsia="zh-CN"/>
        </w:rPr>
        <w:t>”</w:t>
      </w:r>
      <w:r>
        <w:rPr>
          <w:color w:val="auto"/>
        </w:rPr>
        <w:t>（MH301表）由民</w:t>
      </w:r>
      <w:r>
        <w:rPr>
          <w:rFonts w:hint="eastAsia"/>
          <w:color w:val="auto"/>
        </w:rPr>
        <w:t>用</w:t>
      </w:r>
      <w:r>
        <w:rPr>
          <w:color w:val="auto"/>
        </w:rPr>
        <w:t>航</w:t>
      </w:r>
      <w:r>
        <w:rPr>
          <w:rFonts w:hint="eastAsia"/>
          <w:color w:val="auto"/>
        </w:rPr>
        <w:t>空</w:t>
      </w:r>
      <w:r>
        <w:rPr>
          <w:color w:val="auto"/>
        </w:rPr>
        <w:t>局负责组织实施；</w:t>
      </w:r>
      <w:r>
        <w:rPr>
          <w:rFonts w:hint="eastAsia"/>
          <w:color w:val="auto"/>
          <w:lang w:eastAsia="zh-CN"/>
        </w:rPr>
        <w:t>“</w:t>
      </w:r>
      <w:r>
        <w:rPr>
          <w:color w:val="auto"/>
        </w:rPr>
        <w:t>公路、水上运输企业主要能源消费与库存</w:t>
      </w:r>
      <w:r>
        <w:rPr>
          <w:rFonts w:hint="eastAsia"/>
          <w:color w:val="auto"/>
          <w:lang w:eastAsia="zh-CN"/>
        </w:rPr>
        <w:t>”</w:t>
      </w:r>
      <w:r>
        <w:rPr>
          <w:color w:val="auto"/>
        </w:rPr>
        <w:t>（JT320表）由交通运输部负责组织实施；</w:t>
      </w:r>
      <w:r>
        <w:rPr>
          <w:rFonts w:hint="eastAsia"/>
          <w:color w:val="auto"/>
          <w:lang w:eastAsia="zh-CN"/>
        </w:rPr>
        <w:t>“</w:t>
      </w:r>
      <w:r>
        <w:rPr>
          <w:color w:val="auto"/>
        </w:rPr>
        <w:t>石油生产企业石油产品生产、销售与库存</w:t>
      </w:r>
      <w:r>
        <w:rPr>
          <w:rFonts w:hint="eastAsia"/>
          <w:color w:val="auto"/>
          <w:lang w:eastAsia="zh-CN"/>
        </w:rPr>
        <w:t>”</w:t>
      </w:r>
      <w:r>
        <w:rPr>
          <w:color w:val="auto"/>
        </w:rPr>
        <w:t>（ZY401表，ZS401表，ZH401表）、</w:t>
      </w:r>
      <w:r>
        <w:rPr>
          <w:rFonts w:hint="eastAsia"/>
          <w:color w:val="auto"/>
          <w:lang w:eastAsia="zh-CN"/>
        </w:rPr>
        <w:t>“</w:t>
      </w:r>
      <w:r>
        <w:rPr>
          <w:color w:val="auto"/>
        </w:rPr>
        <w:t>石油销售企业石油商品购进、销售与库存</w:t>
      </w:r>
      <w:r>
        <w:rPr>
          <w:rFonts w:hint="eastAsia"/>
          <w:color w:val="auto"/>
          <w:lang w:eastAsia="zh-CN"/>
        </w:rPr>
        <w:t>”</w:t>
      </w:r>
      <w:r>
        <w:rPr>
          <w:color w:val="auto"/>
        </w:rPr>
        <w:t>（ZY402表，ZS402表，ZH 402表）和</w:t>
      </w:r>
      <w:r>
        <w:rPr>
          <w:rFonts w:hint="eastAsia"/>
          <w:color w:val="auto"/>
          <w:lang w:eastAsia="zh-CN"/>
        </w:rPr>
        <w:t>“</w:t>
      </w:r>
      <w:r>
        <w:rPr>
          <w:color w:val="auto"/>
        </w:rPr>
        <w:t>天然气销售去向</w:t>
      </w:r>
      <w:r>
        <w:rPr>
          <w:rFonts w:hint="eastAsia"/>
          <w:color w:val="auto"/>
          <w:lang w:eastAsia="zh-CN"/>
        </w:rPr>
        <w:t>”</w:t>
      </w:r>
      <w:r>
        <w:rPr>
          <w:color w:val="auto"/>
        </w:rPr>
        <w:t>（ZY403表，ZS403表，ZH403表）由</w:t>
      </w:r>
      <w:r>
        <w:rPr>
          <w:color w:val="auto"/>
          <w:szCs w:val="21"/>
        </w:rPr>
        <w:t>中国石油天然气股份有限公司、中国石油化工股份有限公司</w:t>
      </w:r>
      <w:r>
        <w:rPr>
          <w:color w:val="auto"/>
        </w:rPr>
        <w:t>、中国海洋石油总公司分别负责组织实施；</w:t>
      </w:r>
      <w:r>
        <w:rPr>
          <w:rFonts w:hint="eastAsia"/>
          <w:color w:val="auto"/>
          <w:lang w:eastAsia="zh-CN"/>
        </w:rPr>
        <w:t>“</w:t>
      </w:r>
      <w:r>
        <w:rPr>
          <w:rFonts w:hint="eastAsia"/>
          <w:color w:val="auto"/>
        </w:rPr>
        <w:t>全国发电量情况</w:t>
      </w:r>
      <w:r>
        <w:rPr>
          <w:rFonts w:hint="eastAsia"/>
          <w:color w:val="auto"/>
          <w:lang w:eastAsia="zh-CN"/>
        </w:rPr>
        <w:t>”</w:t>
      </w:r>
      <w:r>
        <w:rPr>
          <w:color w:val="auto"/>
        </w:rPr>
        <w:t>（DW401表）</w:t>
      </w:r>
      <w:r>
        <w:rPr>
          <w:rFonts w:hint="eastAsia"/>
          <w:color w:val="auto"/>
        </w:rPr>
        <w:t>和</w:t>
      </w:r>
      <w:r>
        <w:rPr>
          <w:rFonts w:hint="eastAsia"/>
          <w:color w:val="auto"/>
          <w:lang w:eastAsia="zh-CN"/>
        </w:rPr>
        <w:t>“</w:t>
      </w:r>
      <w:r>
        <w:rPr>
          <w:rFonts w:hint="eastAsia"/>
          <w:color w:val="auto"/>
        </w:rPr>
        <w:t>分地区</w:t>
      </w:r>
      <w:r>
        <w:rPr>
          <w:color w:val="auto"/>
        </w:rPr>
        <w:t>发受电量情况</w:t>
      </w:r>
      <w:r>
        <w:rPr>
          <w:rFonts w:hint="eastAsia"/>
          <w:color w:val="auto"/>
          <w:lang w:eastAsia="zh-CN"/>
        </w:rPr>
        <w:t>”</w:t>
      </w:r>
      <w:r>
        <w:rPr>
          <w:color w:val="auto"/>
        </w:rPr>
        <w:t>（DW402表）由</w:t>
      </w:r>
      <w:r>
        <w:rPr>
          <w:rFonts w:hint="eastAsia"/>
          <w:color w:val="auto"/>
        </w:rPr>
        <w:t>国家电网公司负责组织实施；</w:t>
      </w:r>
      <w:r>
        <w:rPr>
          <w:rFonts w:hint="eastAsia"/>
          <w:color w:val="auto"/>
          <w:lang w:eastAsia="zh-CN"/>
        </w:rPr>
        <w:t>“</w:t>
      </w:r>
      <w:r>
        <w:rPr>
          <w:color w:val="auto"/>
        </w:rPr>
        <w:t>电力省际间输入、输出情况</w:t>
      </w:r>
      <w:r>
        <w:rPr>
          <w:rFonts w:hint="eastAsia"/>
          <w:color w:val="auto"/>
          <w:lang w:eastAsia="zh-CN"/>
        </w:rPr>
        <w:t>”</w:t>
      </w:r>
      <w:r>
        <w:rPr>
          <w:color w:val="auto"/>
        </w:rPr>
        <w:t>（DL401表）</w:t>
      </w:r>
      <w:r>
        <w:rPr>
          <w:rFonts w:hint="eastAsia"/>
          <w:color w:val="auto"/>
          <w:lang w:val="en-US" w:eastAsia="zh-CN"/>
        </w:rPr>
        <w:t>和</w:t>
      </w:r>
      <w:r>
        <w:rPr>
          <w:rFonts w:hint="eastAsia"/>
          <w:color w:val="auto"/>
          <w:lang w:eastAsia="zh-CN"/>
        </w:rPr>
        <w:t>“电力行业监测</w:t>
      </w:r>
      <w:r>
        <w:rPr>
          <w:rFonts w:hint="eastAsia"/>
          <w:color w:val="auto"/>
        </w:rPr>
        <w:t>情况</w:t>
      </w:r>
      <w:r>
        <w:rPr>
          <w:rFonts w:hint="eastAsia"/>
          <w:color w:val="auto"/>
          <w:lang w:eastAsia="zh-CN"/>
        </w:rPr>
        <w:t>”</w:t>
      </w:r>
      <w:r>
        <w:rPr>
          <w:color w:val="auto"/>
        </w:rPr>
        <w:t>（DL403表</w:t>
      </w:r>
      <w:r>
        <w:rPr>
          <w:rFonts w:hint="eastAsia"/>
          <w:color w:val="auto"/>
        </w:rPr>
        <w:t>）</w:t>
      </w:r>
      <w:r>
        <w:rPr>
          <w:color w:val="auto"/>
        </w:rPr>
        <w:t>由中国电力企业联合会负责组织实施；</w:t>
      </w:r>
      <w:r>
        <w:rPr>
          <w:rFonts w:hint="eastAsia"/>
          <w:color w:val="auto"/>
          <w:lang w:eastAsia="zh-CN"/>
        </w:rPr>
        <w:t>“</w:t>
      </w:r>
      <w:r>
        <w:rPr>
          <w:color w:val="auto"/>
        </w:rPr>
        <w:t>能源平衡表（实物量）</w:t>
      </w:r>
      <w:r>
        <w:rPr>
          <w:rFonts w:hint="eastAsia"/>
          <w:color w:val="auto"/>
          <w:lang w:eastAsia="zh-CN"/>
        </w:rPr>
        <w:t>”</w:t>
      </w:r>
      <w:r>
        <w:rPr>
          <w:color w:val="auto"/>
        </w:rPr>
        <w:t>（P303-1表）、</w:t>
      </w:r>
      <w:r>
        <w:rPr>
          <w:rFonts w:hint="eastAsia"/>
          <w:color w:val="auto"/>
          <w:lang w:eastAsia="zh-CN"/>
        </w:rPr>
        <w:t>“</w:t>
      </w:r>
      <w:r>
        <w:rPr>
          <w:color w:val="auto"/>
        </w:rPr>
        <w:t>分行业能源消费量（实物量）</w:t>
      </w:r>
      <w:r>
        <w:rPr>
          <w:rFonts w:hint="eastAsia"/>
          <w:color w:val="auto"/>
          <w:lang w:eastAsia="zh-CN"/>
        </w:rPr>
        <w:t>”</w:t>
      </w:r>
      <w:r>
        <w:rPr>
          <w:color w:val="auto"/>
        </w:rPr>
        <w:t>（P303-2表）、</w:t>
      </w:r>
      <w:r>
        <w:rPr>
          <w:rFonts w:hint="eastAsia"/>
          <w:color w:val="auto"/>
          <w:lang w:eastAsia="zh-CN"/>
        </w:rPr>
        <w:t>“</w:t>
      </w:r>
      <w:r>
        <w:rPr>
          <w:color w:val="auto"/>
        </w:rPr>
        <w:t>分行业终端能源消费量（实物量）</w:t>
      </w:r>
      <w:r>
        <w:rPr>
          <w:rFonts w:hint="eastAsia"/>
          <w:color w:val="auto"/>
          <w:lang w:eastAsia="zh-CN"/>
        </w:rPr>
        <w:t>”</w:t>
      </w:r>
      <w:r>
        <w:rPr>
          <w:color w:val="auto"/>
        </w:rPr>
        <w:t>（P303-3表）、</w:t>
      </w:r>
      <w:r>
        <w:rPr>
          <w:rFonts w:hint="eastAsia"/>
          <w:color w:val="auto"/>
          <w:lang w:eastAsia="zh-CN"/>
        </w:rPr>
        <w:t>“</w:t>
      </w:r>
      <w:r>
        <w:rPr>
          <w:color w:val="auto"/>
        </w:rPr>
        <w:t>能源平衡表（标准量）</w:t>
      </w:r>
      <w:r>
        <w:rPr>
          <w:rFonts w:hint="eastAsia"/>
          <w:color w:val="auto"/>
          <w:lang w:eastAsia="zh-CN"/>
        </w:rPr>
        <w:t>”</w:t>
      </w:r>
      <w:r>
        <w:rPr>
          <w:color w:val="auto"/>
        </w:rPr>
        <w:t>（P303-4表）、</w:t>
      </w:r>
      <w:r>
        <w:rPr>
          <w:rFonts w:hint="eastAsia"/>
          <w:color w:val="auto"/>
          <w:lang w:eastAsia="zh-CN"/>
        </w:rPr>
        <w:t>“</w:t>
      </w:r>
      <w:r>
        <w:rPr>
          <w:color w:val="auto"/>
        </w:rPr>
        <w:t>分行业终端能源消费量（标准量）</w:t>
      </w:r>
      <w:r>
        <w:rPr>
          <w:rFonts w:hint="eastAsia"/>
          <w:color w:val="auto"/>
          <w:lang w:eastAsia="zh-CN"/>
        </w:rPr>
        <w:t>”</w:t>
      </w:r>
      <w:r>
        <w:rPr>
          <w:color w:val="auto"/>
        </w:rPr>
        <w:t>（P303-5表）调查方法由各省、自治区、直辖市统计局自行确定；</w:t>
      </w:r>
      <w:r>
        <w:rPr>
          <w:rFonts w:hint="eastAsia"/>
          <w:color w:val="auto"/>
          <w:lang w:eastAsia="zh-CN"/>
        </w:rPr>
        <w:t>“</w:t>
      </w:r>
      <w:r>
        <w:rPr>
          <w:color w:val="auto"/>
        </w:rPr>
        <w:t>地区能源消费与单位</w:t>
      </w:r>
      <w:r>
        <w:rPr>
          <w:color w:val="auto"/>
          <w:szCs w:val="21"/>
        </w:rPr>
        <w:t>GDP</w:t>
      </w:r>
      <w:r>
        <w:rPr>
          <w:color w:val="auto"/>
        </w:rPr>
        <w:t>能耗</w:t>
      </w:r>
      <w:r>
        <w:rPr>
          <w:rFonts w:hint="eastAsia"/>
          <w:color w:val="auto"/>
          <w:lang w:eastAsia="zh-CN"/>
        </w:rPr>
        <w:t>”</w:t>
      </w:r>
      <w:r>
        <w:rPr>
          <w:color w:val="auto"/>
        </w:rPr>
        <w:t>（P406表）根据相关指标计算和填报；</w:t>
      </w:r>
      <w:r>
        <w:rPr>
          <w:rFonts w:hint="eastAsia"/>
          <w:color w:val="auto"/>
          <w:lang w:eastAsia="zh-CN"/>
        </w:rPr>
        <w:t>“</w:t>
      </w:r>
      <w:r>
        <w:rPr>
          <w:color w:val="auto"/>
          <w:szCs w:val="21"/>
        </w:rPr>
        <w:t>全社会用电量情况</w:t>
      </w:r>
      <w:r>
        <w:rPr>
          <w:rFonts w:hint="eastAsia"/>
          <w:color w:val="auto"/>
          <w:lang w:eastAsia="zh-CN"/>
        </w:rPr>
        <w:t>”</w:t>
      </w:r>
      <w:r>
        <w:rPr>
          <w:color w:val="auto"/>
          <w:szCs w:val="21"/>
        </w:rPr>
        <w:t>（P407表）</w:t>
      </w:r>
      <w:r>
        <w:rPr>
          <w:color w:val="auto"/>
        </w:rPr>
        <w:t>由各地电力部门进行调查</w:t>
      </w:r>
      <w:r>
        <w:rPr>
          <w:rFonts w:hint="eastAsia"/>
          <w:color w:val="auto"/>
        </w:rPr>
        <w:t>；</w:t>
      </w:r>
      <w:r>
        <w:rPr>
          <w:color w:val="auto"/>
        </w:rPr>
        <w:t>其他年、定报报表由各省、自治区、直辖市统计局负责组织实施，按规定的范围对统计对象进行调查。</w:t>
      </w:r>
      <w:r>
        <w:rPr>
          <w:rFonts w:hint="eastAsia"/>
          <w:color w:val="auto"/>
        </w:rPr>
        <w:t>通过收集部门和行业监测数据，不断丰富能耗核算审核方法，持续提高能源统计数据质量，准确客观反映能源生产、购进、销售、消费和库存等情况。</w:t>
      </w:r>
    </w:p>
    <w:p w14:paraId="29F23D8F">
      <w:pPr>
        <w:snapToGrid w:val="0"/>
        <w:spacing w:line="360" w:lineRule="exact"/>
        <w:ind w:firstLine="420" w:firstLineChars="200"/>
        <w:textAlignment w:val="center"/>
      </w:pPr>
      <w:r>
        <w:t>（五）上报要求</w:t>
      </w:r>
    </w:p>
    <w:p w14:paraId="213E5F9E">
      <w:pPr>
        <w:snapToGrid w:val="0"/>
        <w:spacing w:line="360" w:lineRule="exact"/>
        <w:ind w:firstLine="420" w:firstLineChars="200"/>
        <w:textAlignment w:val="cente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r>
        <w:t>1.</w:t>
      </w:r>
      <w:r>
        <w:rPr>
          <w:rFonts w:hint="eastAsia"/>
          <w:lang w:eastAsia="zh-CN"/>
        </w:rPr>
        <w:t>“</w:t>
      </w:r>
      <w:r>
        <w:t>铁路企业主要能源消费与库存</w:t>
      </w:r>
      <w:r>
        <w:rPr>
          <w:rFonts w:hint="eastAsia"/>
          <w:lang w:eastAsia="zh-CN"/>
        </w:rPr>
        <w:t>”</w:t>
      </w:r>
      <w:r>
        <w:t>（TL301表）由中国</w:t>
      </w:r>
      <w:r>
        <w:rPr>
          <w:rFonts w:hint="eastAsia"/>
        </w:rPr>
        <w:t>国家</w:t>
      </w:r>
      <w:r>
        <w:t>铁路</w:t>
      </w:r>
      <w:r>
        <w:rPr>
          <w:rFonts w:hint="eastAsia"/>
        </w:rPr>
        <w:t>集团有限</w:t>
      </w:r>
      <w:r>
        <w:t>公司报送汇总表；</w:t>
      </w:r>
      <w:r>
        <w:rPr>
          <w:rFonts w:hint="eastAsia"/>
          <w:lang w:eastAsia="zh-CN"/>
        </w:rPr>
        <w:t>“</w:t>
      </w:r>
      <w:r>
        <w:t>航空企业主要能源消费与库存</w:t>
      </w:r>
      <w:r>
        <w:rPr>
          <w:rFonts w:hint="eastAsia"/>
          <w:lang w:eastAsia="zh-CN"/>
        </w:rPr>
        <w:t>”</w:t>
      </w:r>
      <w:r>
        <w:t>（MH301表）由民</w:t>
      </w:r>
      <w:r>
        <w:rPr>
          <w:rFonts w:hint="eastAsia"/>
        </w:rPr>
        <w:t>用</w:t>
      </w:r>
      <w:r>
        <w:t>航</w:t>
      </w:r>
      <w:r>
        <w:rPr>
          <w:rFonts w:hint="eastAsia"/>
        </w:rPr>
        <w:t>空</w:t>
      </w:r>
      <w:r>
        <w:t>局报送汇总表；</w:t>
      </w:r>
      <w:r>
        <w:rPr>
          <w:rFonts w:hint="eastAsia"/>
          <w:lang w:eastAsia="zh-CN"/>
        </w:rPr>
        <w:t>“</w:t>
      </w:r>
      <w:r>
        <w:t>公路、水上运输企业主要能源消费与库存</w:t>
      </w:r>
      <w:r>
        <w:rPr>
          <w:rFonts w:hint="eastAsia"/>
          <w:lang w:eastAsia="zh-CN"/>
        </w:rPr>
        <w:t>”</w:t>
      </w:r>
      <w:r>
        <w:t>（JT320表）由交通运输部报送汇总表；</w:t>
      </w:r>
      <w:r>
        <w:rPr>
          <w:rFonts w:hint="eastAsia"/>
          <w:lang w:eastAsia="zh-CN"/>
        </w:rPr>
        <w:t>“</w:t>
      </w:r>
      <w:r>
        <w:t>石油生产企业石油产品生产、销售与库存</w:t>
      </w:r>
      <w:r>
        <w:rPr>
          <w:rFonts w:hint="eastAsia"/>
          <w:lang w:eastAsia="zh-CN"/>
        </w:rPr>
        <w:t>”</w:t>
      </w:r>
      <w:r>
        <w:t>（ZY401表，ZS401表， ZH401表）、</w:t>
      </w:r>
      <w:r>
        <w:rPr>
          <w:rFonts w:hint="eastAsia"/>
          <w:lang w:eastAsia="zh-CN"/>
        </w:rPr>
        <w:t>“</w:t>
      </w:r>
      <w:r>
        <w:t>石油销售企业石油商品购进、销售与库存</w:t>
      </w:r>
      <w:r>
        <w:rPr>
          <w:rFonts w:hint="eastAsia"/>
          <w:lang w:eastAsia="zh-CN"/>
        </w:rPr>
        <w:t>”</w:t>
      </w:r>
      <w:r>
        <w:t>（ZY402表，ZS402表，ZH402表）和</w:t>
      </w:r>
      <w:r>
        <w:rPr>
          <w:rFonts w:hint="eastAsia"/>
          <w:lang w:eastAsia="zh-CN"/>
        </w:rPr>
        <w:t>“</w:t>
      </w:r>
      <w:r>
        <w:t>天然气销售去向</w:t>
      </w:r>
      <w:r>
        <w:rPr>
          <w:rFonts w:hint="eastAsia"/>
          <w:lang w:eastAsia="zh-CN"/>
        </w:rPr>
        <w:t>”</w:t>
      </w:r>
      <w:r>
        <w:t>（ZY403表，ZS403表，ZH403表）由</w:t>
      </w:r>
      <w:r>
        <w:rPr>
          <w:szCs w:val="21"/>
        </w:rPr>
        <w:t>中国石油天然气股份有限公司、中国石油化工股份有限公司、中国海洋石油总公司</w:t>
      </w:r>
      <w:r>
        <w:t>分别报送汇总表；</w:t>
      </w:r>
      <w:r>
        <w:rPr>
          <w:rFonts w:hint="eastAsia"/>
          <w:lang w:eastAsia="zh-CN"/>
        </w:rPr>
        <w:t>“</w:t>
      </w:r>
      <w:r>
        <w:rPr>
          <w:rFonts w:hint="eastAsia"/>
        </w:rPr>
        <w:t>全国发电量情况</w:t>
      </w:r>
      <w:r>
        <w:rPr>
          <w:rFonts w:hint="eastAsia"/>
          <w:lang w:eastAsia="zh-CN"/>
        </w:rPr>
        <w:t>”</w:t>
      </w:r>
      <w:r>
        <w:t>（DW401表）</w:t>
      </w:r>
      <w:r>
        <w:rPr>
          <w:rFonts w:hint="eastAsia"/>
        </w:rPr>
        <w:t>和</w:t>
      </w:r>
      <w:r>
        <w:rPr>
          <w:rFonts w:hint="eastAsia"/>
          <w:lang w:eastAsia="zh-CN"/>
        </w:rPr>
        <w:t>“</w:t>
      </w:r>
      <w:r>
        <w:rPr>
          <w:rFonts w:hint="eastAsia"/>
        </w:rPr>
        <w:t>分地区</w:t>
      </w:r>
      <w:r>
        <w:t>发受电量情况</w:t>
      </w:r>
      <w:r>
        <w:rPr>
          <w:rFonts w:hint="eastAsia"/>
          <w:lang w:eastAsia="zh-CN"/>
        </w:rPr>
        <w:t>”</w:t>
      </w:r>
      <w:r>
        <w:t>（DW402表）由</w:t>
      </w:r>
      <w:r>
        <w:rPr>
          <w:rFonts w:hint="eastAsia"/>
        </w:rPr>
        <w:t>国家电网公司报送汇总表；</w:t>
      </w:r>
      <w:r>
        <w:rPr>
          <w:rFonts w:hint="eastAsia"/>
          <w:lang w:eastAsia="zh-CN"/>
        </w:rPr>
        <w:t>“</w:t>
      </w:r>
      <w:r>
        <w:t>电力省际间输入、输出情况</w:t>
      </w:r>
      <w:r>
        <w:rPr>
          <w:rFonts w:hint="eastAsia"/>
          <w:lang w:eastAsia="zh-CN"/>
        </w:rPr>
        <w:t>”</w:t>
      </w:r>
      <w:r>
        <w:t>（DL401表）</w:t>
      </w:r>
      <w:r>
        <w:rPr>
          <w:rFonts w:hint="eastAsia"/>
          <w:lang w:eastAsia="zh-CN"/>
        </w:rPr>
        <w:t>和“</w:t>
      </w:r>
      <w:r>
        <w:rPr>
          <w:rFonts w:hint="eastAsia"/>
          <w:color w:val="auto"/>
          <w:lang w:eastAsia="zh-CN"/>
        </w:rPr>
        <w:t>电力行业监测</w:t>
      </w:r>
      <w:r>
        <w:rPr>
          <w:rFonts w:hint="eastAsia"/>
        </w:rPr>
        <w:t>情况</w:t>
      </w:r>
      <w:r>
        <w:rPr>
          <w:rFonts w:hint="eastAsia"/>
          <w:lang w:eastAsia="zh-CN"/>
        </w:rPr>
        <w:t>”</w:t>
      </w:r>
      <w:r>
        <w:t>（DL403表）由中国电力企业联合会报送汇总表。</w:t>
      </w:r>
    </w:p>
    <w:p w14:paraId="6E17AE5A">
      <w:pPr>
        <w:snapToGrid w:val="0"/>
        <w:spacing w:line="360" w:lineRule="exact"/>
        <w:ind w:firstLine="420" w:firstLineChars="200"/>
        <w:textAlignment w:val="center"/>
      </w:pPr>
      <w:r>
        <w:rPr>
          <w:szCs w:val="21"/>
        </w:rPr>
        <w:t>2.</w:t>
      </w:r>
      <w:r>
        <w:rPr>
          <w:rFonts w:hint="eastAsia"/>
          <w:lang w:eastAsia="zh-CN"/>
        </w:rPr>
        <w:t>“</w:t>
      </w:r>
      <w:r>
        <w:t>能源购进、消费与库存</w:t>
      </w:r>
      <w:r>
        <w:rPr>
          <w:rFonts w:hint="eastAsia"/>
          <w:lang w:eastAsia="zh-CN"/>
        </w:rPr>
        <w:t>”</w:t>
      </w:r>
      <w:r>
        <w:t>（205-1表）、</w:t>
      </w:r>
      <w:r>
        <w:rPr>
          <w:rFonts w:hint="eastAsia"/>
          <w:lang w:eastAsia="zh-CN"/>
        </w:rPr>
        <w:t>“</w:t>
      </w:r>
      <w:r>
        <w:t>能源加工转换与回收利用</w:t>
      </w:r>
      <w:r>
        <w:rPr>
          <w:rFonts w:hint="eastAsia"/>
          <w:lang w:eastAsia="zh-CN"/>
        </w:rPr>
        <w:t>”</w:t>
      </w:r>
      <w:r>
        <w:t>（205-2表）、</w:t>
      </w:r>
      <w:r>
        <w:rPr>
          <w:rFonts w:hint="eastAsia"/>
          <w:lang w:eastAsia="zh-CN"/>
        </w:rPr>
        <w:t>“</w:t>
      </w:r>
      <w:r>
        <w:t>主要耗能工业企业单位产品能源</w:t>
      </w:r>
      <w:r>
        <w:rPr>
          <w:rFonts w:hint="eastAsia"/>
        </w:rPr>
        <w:t>消费</w:t>
      </w:r>
      <w:r>
        <w:t>情况</w:t>
      </w:r>
      <w:r>
        <w:rPr>
          <w:rFonts w:hint="eastAsia"/>
          <w:lang w:eastAsia="zh-CN"/>
        </w:rPr>
        <w:t>”</w:t>
      </w:r>
      <w:r>
        <w:t>（205-3表）、</w:t>
      </w:r>
      <w:r>
        <w:rPr>
          <w:rFonts w:hint="eastAsia"/>
          <w:lang w:eastAsia="zh-CN"/>
        </w:rPr>
        <w:t>“</w:t>
      </w:r>
      <w:r>
        <w:t>工业企业用水情况</w:t>
      </w:r>
      <w:r>
        <w:rPr>
          <w:rFonts w:hint="eastAsia"/>
          <w:lang w:eastAsia="zh-CN"/>
        </w:rPr>
        <w:t>”</w:t>
      </w:r>
      <w:r>
        <w:t>（205-4表）、</w:t>
      </w:r>
      <w:r>
        <w:rPr>
          <w:rFonts w:hint="eastAsia"/>
          <w:lang w:eastAsia="zh-CN"/>
        </w:rPr>
        <w:t>“</w:t>
      </w:r>
      <w:r>
        <w:rPr>
          <w:szCs w:val="21"/>
        </w:rPr>
        <w:t>非工业重点耗能单位能源消费情况</w:t>
      </w:r>
      <w:r>
        <w:rPr>
          <w:rFonts w:hint="eastAsia"/>
          <w:szCs w:val="21"/>
          <w:lang w:eastAsia="zh-CN"/>
        </w:rPr>
        <w:t>”</w:t>
      </w:r>
      <w:r>
        <w:rPr>
          <w:szCs w:val="21"/>
        </w:rPr>
        <w:t>（205-5表）、</w:t>
      </w:r>
      <w:r>
        <w:rPr>
          <w:rFonts w:hint="eastAsia"/>
          <w:szCs w:val="21"/>
          <w:lang w:eastAsia="zh-CN"/>
        </w:rPr>
        <w:t>“</w:t>
      </w:r>
      <w:r>
        <w:rPr>
          <w:szCs w:val="21"/>
        </w:rPr>
        <w:t>能源生产、销售与库存</w:t>
      </w:r>
      <w:r>
        <w:rPr>
          <w:rFonts w:hint="eastAsia"/>
          <w:szCs w:val="21"/>
          <w:lang w:eastAsia="zh-CN"/>
        </w:rPr>
        <w:t>”</w:t>
      </w:r>
      <w:r>
        <w:rPr>
          <w:szCs w:val="21"/>
        </w:rPr>
        <w:t>（205-6表）和</w:t>
      </w:r>
      <w:r>
        <w:rPr>
          <w:rFonts w:hint="eastAsia"/>
          <w:szCs w:val="21"/>
          <w:lang w:eastAsia="zh-CN"/>
        </w:rPr>
        <w:t>“</w:t>
      </w:r>
      <w:r>
        <w:t>重点能源商品经销情况</w:t>
      </w:r>
      <w:r>
        <w:rPr>
          <w:rFonts w:hint="eastAsia"/>
          <w:szCs w:val="21"/>
          <w:lang w:eastAsia="zh-CN"/>
        </w:rPr>
        <w:t>”</w:t>
      </w:r>
      <w:r>
        <w:rPr>
          <w:szCs w:val="21"/>
        </w:rPr>
        <w:t>（205-7表）属于国家统计局《一套表统计调查制度》中的报表</w:t>
      </w:r>
      <w:r>
        <w:rPr>
          <w:rFonts w:hint="eastAsia"/>
          <w:szCs w:val="21"/>
          <w:lang w:eastAsia="zh-CN"/>
        </w:rPr>
        <w:t>，其中，</w:t>
      </w:r>
      <w:r>
        <w:rPr>
          <w:rFonts w:hint="eastAsia"/>
          <w:lang w:eastAsia="zh-CN"/>
        </w:rPr>
        <w:t>“</w:t>
      </w:r>
      <w:r>
        <w:t>能源购进、消费与库存</w:t>
      </w:r>
      <w:r>
        <w:rPr>
          <w:rFonts w:hint="eastAsia"/>
          <w:lang w:eastAsia="zh-CN"/>
        </w:rPr>
        <w:t>”</w:t>
      </w:r>
      <w:r>
        <w:t>（205-1表）、</w:t>
      </w:r>
      <w:r>
        <w:rPr>
          <w:rFonts w:hint="eastAsia"/>
          <w:lang w:eastAsia="zh-CN"/>
        </w:rPr>
        <w:t>“</w:t>
      </w:r>
      <w:r>
        <w:t>能源加工转换与回收利用</w:t>
      </w:r>
      <w:r>
        <w:rPr>
          <w:rFonts w:hint="eastAsia"/>
          <w:lang w:eastAsia="zh-CN"/>
        </w:rPr>
        <w:t>”</w:t>
      </w:r>
      <w:r>
        <w:t>（205-2表）、</w:t>
      </w:r>
      <w:r>
        <w:rPr>
          <w:rFonts w:hint="eastAsia"/>
          <w:lang w:eastAsia="zh-CN"/>
        </w:rPr>
        <w:t>“</w:t>
      </w:r>
      <w:r>
        <w:t>主要耗能工业企业单位产品能源</w:t>
      </w:r>
      <w:r>
        <w:rPr>
          <w:rFonts w:hint="eastAsia"/>
        </w:rPr>
        <w:t>消费</w:t>
      </w:r>
      <w:r>
        <w:t>情况</w:t>
      </w:r>
      <w:r>
        <w:rPr>
          <w:rFonts w:hint="eastAsia"/>
          <w:lang w:eastAsia="zh-CN"/>
        </w:rPr>
        <w:t>”</w:t>
      </w:r>
      <w:r>
        <w:t>（205-3表）、</w:t>
      </w:r>
      <w:r>
        <w:rPr>
          <w:rFonts w:hint="eastAsia"/>
          <w:lang w:eastAsia="zh-CN"/>
        </w:rPr>
        <w:t>“</w:t>
      </w:r>
      <w:r>
        <w:t>工业企业用水情况</w:t>
      </w:r>
      <w:r>
        <w:rPr>
          <w:rFonts w:hint="eastAsia"/>
          <w:lang w:eastAsia="zh-CN"/>
        </w:rPr>
        <w:t>”</w:t>
      </w:r>
      <w:r>
        <w:t>（205-4表）</w:t>
      </w:r>
      <w:r>
        <w:rPr>
          <w:rFonts w:hint="eastAsia"/>
          <w:lang w:eastAsia="zh-CN"/>
        </w:rPr>
        <w:t>和</w:t>
      </w:r>
      <w:r>
        <w:rPr>
          <w:rFonts w:hint="eastAsia"/>
          <w:szCs w:val="21"/>
          <w:lang w:eastAsia="zh-CN"/>
        </w:rPr>
        <w:t>“</w:t>
      </w:r>
      <w:r>
        <w:rPr>
          <w:szCs w:val="21"/>
        </w:rPr>
        <w:t>能源生产、销售与库存</w:t>
      </w:r>
      <w:r>
        <w:rPr>
          <w:rFonts w:hint="eastAsia"/>
          <w:szCs w:val="21"/>
          <w:lang w:eastAsia="zh-CN"/>
        </w:rPr>
        <w:t>”</w:t>
      </w:r>
      <w:r>
        <w:rPr>
          <w:szCs w:val="21"/>
        </w:rPr>
        <w:t>（205-6表）</w:t>
      </w:r>
      <w:r>
        <w:t>由法人单位</w:t>
      </w:r>
      <w:r>
        <w:rPr>
          <w:rFonts w:hint="eastAsia"/>
          <w:lang w:eastAsia="zh-CN"/>
        </w:rPr>
        <w:t>和规模以上工业个体经营户</w:t>
      </w:r>
      <w:r>
        <w:t>网上报送数据</w:t>
      </w:r>
      <w:r>
        <w:rPr>
          <w:rFonts w:hint="eastAsia"/>
          <w:lang w:eastAsia="zh-CN"/>
        </w:rPr>
        <w:t>，“</w:t>
      </w:r>
      <w:r>
        <w:rPr>
          <w:szCs w:val="21"/>
        </w:rPr>
        <w:t>非工业重点耗能单位能源消费情况</w:t>
      </w:r>
      <w:r>
        <w:rPr>
          <w:rFonts w:hint="eastAsia"/>
          <w:szCs w:val="21"/>
          <w:lang w:eastAsia="zh-CN"/>
        </w:rPr>
        <w:t>”</w:t>
      </w:r>
      <w:r>
        <w:rPr>
          <w:szCs w:val="21"/>
        </w:rPr>
        <w:t>（205-5表）和</w:t>
      </w:r>
      <w:r>
        <w:rPr>
          <w:rFonts w:hint="eastAsia"/>
          <w:szCs w:val="21"/>
          <w:lang w:eastAsia="zh-CN"/>
        </w:rPr>
        <w:t>“</w:t>
      </w:r>
      <w:r>
        <w:t>重点能源商品经销情况</w:t>
      </w:r>
      <w:r>
        <w:rPr>
          <w:rFonts w:hint="eastAsia"/>
          <w:szCs w:val="21"/>
          <w:lang w:eastAsia="zh-CN"/>
        </w:rPr>
        <w:t>”</w:t>
      </w:r>
      <w:r>
        <w:rPr>
          <w:szCs w:val="21"/>
        </w:rPr>
        <w:t>（205-7表）</w:t>
      </w:r>
      <w:r>
        <w:t>由法人单位网上报送数据</w:t>
      </w:r>
      <w:r>
        <w:rPr>
          <w:rFonts w:hint="eastAsia"/>
        </w:rPr>
        <w:t>；</w:t>
      </w:r>
      <w:r>
        <w:rPr>
          <w:rFonts w:hint="eastAsia"/>
          <w:lang w:eastAsia="zh-CN"/>
        </w:rPr>
        <w:t>“四下企业主要能源产品产量”（</w:t>
      </w:r>
      <w:r>
        <w:rPr>
          <w:rFonts w:hint="eastAsia"/>
          <w:lang w:val="en-US" w:eastAsia="zh-CN"/>
        </w:rPr>
        <w:t>P206表</w:t>
      </w:r>
      <w:r>
        <w:rPr>
          <w:rFonts w:hint="eastAsia"/>
          <w:lang w:eastAsia="zh-CN"/>
        </w:rPr>
        <w:t>）</w:t>
      </w:r>
      <w:r>
        <w:rPr>
          <w:rFonts w:hint="eastAsia"/>
        </w:rPr>
        <w:t>网上报送数据。视同法人单位与法人单位履行相同的统计义务，填报法人单位调查表。</w:t>
      </w:r>
    </w:p>
    <w:p w14:paraId="7651E447">
      <w:pPr>
        <w:snapToGrid w:val="0"/>
        <w:spacing w:line="360" w:lineRule="exact"/>
        <w:ind w:firstLine="420" w:firstLineChars="200"/>
        <w:textAlignment w:val="center"/>
      </w:pPr>
      <w:r>
        <w:t>3.</w:t>
      </w:r>
      <w:r>
        <w:rPr>
          <w:rFonts w:hint="eastAsia"/>
          <w:lang w:eastAsia="zh-CN"/>
        </w:rPr>
        <w:t>“</w:t>
      </w:r>
      <w:r>
        <w:t>能源平衡表（实物量）</w:t>
      </w:r>
      <w:r>
        <w:rPr>
          <w:rFonts w:hint="eastAsia"/>
          <w:lang w:eastAsia="zh-CN"/>
        </w:rPr>
        <w:t>”</w:t>
      </w:r>
      <w:r>
        <w:t>（P303-1表）、</w:t>
      </w:r>
      <w:r>
        <w:rPr>
          <w:rFonts w:hint="eastAsia"/>
          <w:lang w:eastAsia="zh-CN"/>
        </w:rPr>
        <w:t>“</w:t>
      </w:r>
      <w:r>
        <w:t>分行业能源消费量（实物量）</w:t>
      </w:r>
      <w:r>
        <w:rPr>
          <w:rFonts w:hint="eastAsia"/>
          <w:lang w:eastAsia="zh-CN"/>
        </w:rPr>
        <w:t>”</w:t>
      </w:r>
      <w:r>
        <w:t>（P303-2表）、</w:t>
      </w:r>
      <w:r>
        <w:rPr>
          <w:rFonts w:hint="eastAsia"/>
          <w:lang w:eastAsia="zh-CN"/>
        </w:rPr>
        <w:t>“</w:t>
      </w:r>
      <w:r>
        <w:t>分行业终端能源消费量（实物量）</w:t>
      </w:r>
      <w:r>
        <w:rPr>
          <w:rFonts w:hint="eastAsia"/>
          <w:lang w:eastAsia="zh-CN"/>
        </w:rPr>
        <w:t>”</w:t>
      </w:r>
      <w:r>
        <w:t>（P303-3表）、</w:t>
      </w:r>
      <w:r>
        <w:rPr>
          <w:rFonts w:hint="eastAsia"/>
          <w:lang w:eastAsia="zh-CN"/>
        </w:rPr>
        <w:t>“</w:t>
      </w:r>
      <w:r>
        <w:t>能源平衡表（标准量）</w:t>
      </w:r>
      <w:r>
        <w:rPr>
          <w:rFonts w:hint="eastAsia"/>
          <w:lang w:eastAsia="zh-CN"/>
        </w:rPr>
        <w:t>”</w:t>
      </w:r>
      <w:r>
        <w:t>（P303-4表）、</w:t>
      </w:r>
      <w:r>
        <w:rPr>
          <w:rFonts w:hint="eastAsia"/>
          <w:lang w:eastAsia="zh-CN"/>
        </w:rPr>
        <w:t>“</w:t>
      </w:r>
      <w:r>
        <w:t>分行业终端能源消费量（标准量）</w:t>
      </w:r>
      <w:r>
        <w:rPr>
          <w:rFonts w:hint="eastAsia"/>
          <w:lang w:eastAsia="zh-CN"/>
        </w:rPr>
        <w:t>”</w:t>
      </w:r>
      <w:r>
        <w:t>（P303-5表）和</w:t>
      </w:r>
      <w:r>
        <w:rPr>
          <w:rFonts w:hint="eastAsia"/>
          <w:lang w:eastAsia="zh-CN"/>
        </w:rPr>
        <w:t>“</w:t>
      </w:r>
      <w:r>
        <w:t>地区能源消费与单位</w:t>
      </w:r>
      <w:r>
        <w:rPr>
          <w:szCs w:val="21"/>
        </w:rPr>
        <w:t>GDP</w:t>
      </w:r>
      <w:r>
        <w:t>能耗</w:t>
      </w:r>
      <w:r>
        <w:rPr>
          <w:rFonts w:hint="eastAsia"/>
          <w:lang w:eastAsia="zh-CN"/>
        </w:rPr>
        <w:t>”</w:t>
      </w:r>
      <w:r>
        <w:t>（P406表）由各省、自治区、直辖市统计局报送综合表；</w:t>
      </w:r>
      <w:r>
        <w:rPr>
          <w:rFonts w:hint="eastAsia"/>
          <w:lang w:eastAsia="zh-CN"/>
        </w:rPr>
        <w:t>“</w:t>
      </w:r>
      <w:r>
        <w:rPr>
          <w:szCs w:val="21"/>
        </w:rPr>
        <w:t>全社会用电量情况</w:t>
      </w:r>
      <w:r>
        <w:rPr>
          <w:rFonts w:hint="eastAsia"/>
          <w:lang w:eastAsia="zh-CN"/>
        </w:rPr>
        <w:t>”</w:t>
      </w:r>
      <w:r>
        <w:rPr>
          <w:szCs w:val="21"/>
        </w:rPr>
        <w:t>（P407表）</w:t>
      </w:r>
      <w:r>
        <w:t>由各地电力部门向各省、自治区、直辖市统计局报送汇总表，再由各省、自治区、直辖市统计局向国家统计局报送汇总表。</w:t>
      </w:r>
    </w:p>
    <w:p w14:paraId="02F0960A">
      <w:pPr>
        <w:spacing w:line="360" w:lineRule="exact"/>
        <w:ind w:firstLine="420" w:firstLineChars="200"/>
        <w:textAlignment w:val="center"/>
        <w:rPr>
          <w:rFonts w:ascii="宋体" w:hAnsi="宋体"/>
          <w:bCs/>
          <w:szCs w:val="21"/>
        </w:rPr>
      </w:pPr>
      <w:r>
        <w:rPr>
          <w:rFonts w:hint="default" w:ascii="Times New Roman" w:hAnsi="Times New Roman"/>
          <w:bCs w:val="0"/>
          <w:szCs w:val="24"/>
        </w:rPr>
        <w:t>4.</w:t>
      </w:r>
      <w:r>
        <w:rPr>
          <w:rFonts w:hint="eastAsia" w:ascii="宋体" w:hAnsi="宋体"/>
          <w:bCs/>
          <w:szCs w:val="21"/>
        </w:rPr>
        <w:t>经审核通过的注销或吊销、停业（歇业）退出单位，国家统计局将在调查单位基本情况表（201-1表）中分别设置摘抄标识，由程序自动摘抄有关后续表当期累计数和上年同期数，摘抄期满后退出一套表调查单位库，单位无需重新申报。其中，工业、批发和零售业、住宿和餐饮业、服务业单位在次年年报时停止摘抄数据并退库，建筑业、房地产开发经营业、其他有5000万元及以上在建项目法人单位在次年2月定报时停止摘抄数据并退库。如停业（歇业）退出单位在退出一套表调查单位库前恢复正常运营，需按要求重新申报。经审核通过的注销或吊销退出单位不再属于一套表调查单位，停业（歇业）退出单位摘抄期满后不再属于一套表调查单位。</w:t>
      </w:r>
    </w:p>
    <w:p w14:paraId="3AD8D5B3">
      <w:pPr>
        <w:spacing w:line="360" w:lineRule="exact"/>
        <w:ind w:firstLine="420" w:firstLineChars="200"/>
        <w:textAlignment w:val="center"/>
        <w:rPr>
          <w:rFonts w:ascii="宋体" w:hAnsi="宋体"/>
          <w:bCs/>
          <w:szCs w:val="21"/>
        </w:rPr>
      </w:pPr>
      <w:r>
        <w:rPr>
          <w:rFonts w:hint="default" w:ascii="Times New Roman" w:hAnsi="Times New Roman"/>
          <w:bCs w:val="0"/>
          <w:szCs w:val="24"/>
        </w:rPr>
        <w:t>5.</w:t>
      </w:r>
      <w:r>
        <w:rPr>
          <w:rFonts w:hint="eastAsia" w:ascii="宋体" w:hAnsi="宋体"/>
          <w:bCs/>
          <w:szCs w:val="21"/>
        </w:rPr>
        <w:t>找不到人的调查单位，由直管统计机构在调查单位数据上报截止日期之后，及时摸清具体原因，在联网直报平台对这部分调查单位设置相应标识（当年关闭、当年破产、停业歇业、其他等），系统自动提取并复制上月（季）数据(年报按照一定规则自动</w:t>
      </w:r>
      <w:r>
        <w:rPr>
          <w:rFonts w:hint="eastAsia" w:ascii="Times New Roman" w:hAnsi="Times New Roman"/>
          <w:bCs w:val="0"/>
          <w:szCs w:val="24"/>
        </w:rPr>
        <w:t>提取</w:t>
      </w:r>
      <w:r>
        <w:rPr>
          <w:rFonts w:hint="eastAsia" w:ascii="宋体" w:hAnsi="宋体"/>
          <w:bCs/>
          <w:szCs w:val="21"/>
        </w:rPr>
        <w:t>同年</w:t>
      </w:r>
      <w:r>
        <w:rPr>
          <w:rFonts w:hint="eastAsia" w:ascii="Times New Roman" w:hAnsi="Times New Roman"/>
          <w:bCs w:val="0"/>
          <w:szCs w:val="24"/>
        </w:rPr>
        <w:t>1-12</w:t>
      </w:r>
      <w:r>
        <w:rPr>
          <w:rFonts w:hint="eastAsia" w:ascii="宋体" w:hAnsi="宋体"/>
          <w:bCs/>
          <w:szCs w:val="21"/>
        </w:rPr>
        <w:t>月定报数据)更新调查单位当前报告期</w:t>
      </w:r>
      <w:r>
        <w:rPr>
          <w:rFonts w:hint="eastAsia" w:ascii="宋体" w:hAnsi="宋体"/>
          <w:bCs/>
          <w:szCs w:val="21"/>
          <w:lang w:eastAsia="zh-CN"/>
        </w:rPr>
        <w:t>“</w:t>
      </w:r>
      <w:r>
        <w:rPr>
          <w:rFonts w:hint="eastAsia" w:ascii="宋体" w:hAnsi="宋体"/>
          <w:bCs/>
          <w:szCs w:val="21"/>
        </w:rPr>
        <w:t>累计</w:t>
      </w:r>
      <w:r>
        <w:rPr>
          <w:rFonts w:hint="eastAsia" w:ascii="宋体" w:hAnsi="宋体"/>
          <w:bCs/>
          <w:szCs w:val="21"/>
          <w:lang w:eastAsia="zh-CN"/>
        </w:rPr>
        <w:t>”</w:t>
      </w:r>
      <w:r>
        <w:rPr>
          <w:rFonts w:hint="eastAsia" w:ascii="宋体" w:hAnsi="宋体"/>
          <w:bCs/>
          <w:szCs w:val="21"/>
        </w:rPr>
        <w:t>类指标。</w:t>
      </w:r>
    </w:p>
    <w:p w14:paraId="095FA2AA">
      <w:pPr>
        <w:snapToGrid w:val="0"/>
        <w:spacing w:line="360" w:lineRule="exact"/>
        <w:ind w:firstLine="420" w:firstLineChars="200"/>
        <w:textAlignment w:val="center"/>
      </w:pPr>
      <w:r>
        <w:rPr>
          <w:rFonts w:hint="eastAsia"/>
        </w:rPr>
        <w:t>6.</w:t>
      </w:r>
      <w:r>
        <w:rPr>
          <w:rFonts w:hint="eastAsia"/>
          <w:lang w:eastAsia="zh-CN"/>
        </w:rPr>
        <w:t>“</w:t>
      </w:r>
      <w:r>
        <w:t>能源平衡表（实物量）</w:t>
      </w:r>
      <w:r>
        <w:rPr>
          <w:rFonts w:hint="eastAsia"/>
          <w:lang w:eastAsia="zh-CN"/>
        </w:rPr>
        <w:t>”</w:t>
      </w:r>
      <w:r>
        <w:t>（P303-1表）、</w:t>
      </w:r>
      <w:r>
        <w:rPr>
          <w:rFonts w:hint="eastAsia"/>
          <w:lang w:eastAsia="zh-CN"/>
        </w:rPr>
        <w:t>“</w:t>
      </w:r>
      <w:r>
        <w:t>能源平衡表（标准量）</w:t>
      </w:r>
      <w:r>
        <w:rPr>
          <w:rFonts w:hint="eastAsia"/>
          <w:lang w:eastAsia="zh-CN"/>
        </w:rPr>
        <w:t>”</w:t>
      </w:r>
      <w:r>
        <w:t>（P303-4表）</w:t>
      </w:r>
      <w:r>
        <w:rPr>
          <w:rFonts w:hint="eastAsia"/>
        </w:rPr>
        <w:t>、</w:t>
      </w:r>
      <w:r>
        <w:rPr>
          <w:rFonts w:hint="eastAsia"/>
          <w:lang w:eastAsia="zh-CN"/>
        </w:rPr>
        <w:t>“</w:t>
      </w:r>
      <w:r>
        <w:t>地区能源消费与单位</w:t>
      </w:r>
      <w:r>
        <w:rPr>
          <w:szCs w:val="21"/>
        </w:rPr>
        <w:t>GDP</w:t>
      </w:r>
      <w:r>
        <w:t>能耗</w:t>
      </w:r>
      <w:r>
        <w:rPr>
          <w:rFonts w:hint="eastAsia"/>
          <w:lang w:eastAsia="zh-CN"/>
        </w:rPr>
        <w:t>”</w:t>
      </w:r>
      <w:r>
        <w:t>（P406表）</w:t>
      </w:r>
      <w:r>
        <w:rPr>
          <w:rFonts w:hint="eastAsia"/>
        </w:rPr>
        <w:t>、分行业能源消费量目录（P303-2表、P303-3表、P303-5表）和</w:t>
      </w:r>
      <w:r>
        <w:rPr>
          <w:rFonts w:hint="eastAsia"/>
          <w:lang w:eastAsia="zh-CN"/>
        </w:rPr>
        <w:t>“</w:t>
      </w:r>
      <w:r>
        <w:rPr>
          <w:rFonts w:hint="eastAsia"/>
        </w:rPr>
        <w:t>季度地区能源消费总量核算方案</w:t>
      </w:r>
      <w:r>
        <w:rPr>
          <w:rFonts w:hint="eastAsia"/>
          <w:lang w:eastAsia="zh-CN"/>
        </w:rPr>
        <w:t>”</w:t>
      </w:r>
      <w:r>
        <w:rPr>
          <w:rFonts w:hint="eastAsia"/>
        </w:rPr>
        <w:t>中的</w:t>
      </w:r>
      <w:r>
        <w:rPr>
          <w:rFonts w:hint="eastAsia"/>
          <w:lang w:eastAsia="zh-CN"/>
        </w:rPr>
        <w:t>“</w:t>
      </w:r>
      <w:r>
        <w:rPr>
          <w:rFonts w:hint="eastAsia"/>
        </w:rPr>
        <w:t>服务业</w:t>
      </w:r>
      <w:r>
        <w:rPr>
          <w:rFonts w:hint="eastAsia"/>
          <w:vertAlign w:val="superscript"/>
        </w:rPr>
        <w:t>*</w:t>
      </w:r>
      <w:r>
        <w:rPr>
          <w:rFonts w:hint="eastAsia"/>
          <w:lang w:eastAsia="zh-CN"/>
        </w:rPr>
        <w:t>”</w:t>
      </w:r>
      <w:r>
        <w:rPr>
          <w:rFonts w:hint="eastAsia"/>
        </w:rPr>
        <w:t>是指《国民经济行业分类》</w:t>
      </w:r>
      <w:r>
        <w:t>（</w:t>
      </w:r>
      <w:r>
        <w:rPr>
          <w:rFonts w:hint="eastAsia"/>
        </w:rPr>
        <w:t>GB/T 4754-2017</w:t>
      </w:r>
      <w:r>
        <w:t>）</w:t>
      </w:r>
      <w:r>
        <w:rPr>
          <w:rFonts w:hint="eastAsia"/>
        </w:rPr>
        <w:t>目录中的门类F批发和零售业至T国际组织，</w:t>
      </w:r>
      <w:r>
        <w:t>不包括</w:t>
      </w:r>
      <w:r>
        <w:rPr>
          <w:rFonts w:hint="eastAsia"/>
        </w:rPr>
        <w:t>行业大类05农、林、牧、渔专业及辅助性活动、11开采专业及辅助性活动、43金属制品、机械和设备修理业。</w:t>
      </w:r>
    </w:p>
    <w:p w14:paraId="11920FF5">
      <w:pPr>
        <w:snapToGrid w:val="0"/>
        <w:spacing w:line="360" w:lineRule="exact"/>
        <w:ind w:firstLine="420" w:firstLineChars="200"/>
        <w:textAlignment w:val="center"/>
      </w:pPr>
      <w:r>
        <w:t>（</w:t>
      </w:r>
      <w:r>
        <w:rPr>
          <w:rFonts w:hint="eastAsia"/>
        </w:rPr>
        <w:t>六</w:t>
      </w:r>
      <w:r>
        <w:t>）</w:t>
      </w:r>
      <w:r>
        <w:rPr>
          <w:rFonts w:hint="eastAsia"/>
        </w:rPr>
        <w:t>数据发布</w:t>
      </w:r>
    </w:p>
    <w:p w14:paraId="7334C11D">
      <w:pPr>
        <w:snapToGrid w:val="0"/>
        <w:spacing w:line="360" w:lineRule="exact"/>
        <w:ind w:firstLine="420" w:firstLineChars="200"/>
        <w:textAlignment w:val="center"/>
      </w:pPr>
      <w:r>
        <w:rPr>
          <w:rFonts w:hint="eastAsia"/>
        </w:rPr>
        <w:t>本制度取得的主要统计资料，将按月度、年度定期通过国家统计局官网、新闻发布会、统计公报、</w:t>
      </w:r>
      <w:r>
        <w:rPr>
          <w:rFonts w:hint="eastAsia"/>
          <w:lang w:eastAsia="zh-CN"/>
        </w:rPr>
        <w:t>国家统计数据库、</w:t>
      </w:r>
      <w:r>
        <w:rPr>
          <w:rFonts w:hint="eastAsia"/>
        </w:rPr>
        <w:t>《中国统计摘要》《中国统计年鉴》《中国能源统计年鉴》等形式对公众发布，具体发布时间以各渠道通知时间为准。</w:t>
      </w:r>
    </w:p>
    <w:p w14:paraId="1A1EC7A5">
      <w:pPr>
        <w:pStyle w:val="3"/>
        <w:snapToGrid w:val="0"/>
        <w:spacing w:before="0" w:after="0" w:line="240" w:lineRule="auto"/>
        <w:jc w:val="center"/>
        <w:rPr>
          <w:rFonts w:eastAsia="黑体"/>
          <w:b w:val="0"/>
          <w:sz w:val="32"/>
          <w:szCs w:val="32"/>
        </w:rPr>
      </w:pPr>
      <w:r>
        <w:br w:type="page"/>
      </w:r>
      <w:r>
        <w:rPr>
          <w:rFonts w:eastAsia="黑体"/>
          <w:b w:val="0"/>
          <w:sz w:val="32"/>
          <w:szCs w:val="32"/>
        </w:rPr>
        <w:t>二、报 表 目 录</w:t>
      </w:r>
    </w:p>
    <w:tbl>
      <w:tblPr>
        <w:tblStyle w:val="20"/>
        <w:tblW w:w="9432"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36"/>
        <w:gridCol w:w="1794"/>
        <w:gridCol w:w="525"/>
        <w:gridCol w:w="1958"/>
        <w:gridCol w:w="876"/>
        <w:gridCol w:w="1721"/>
        <w:gridCol w:w="1722"/>
      </w:tblGrid>
      <w:tr w14:paraId="6B8A55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836" w:type="dxa"/>
            <w:tcBorders>
              <w:top w:val="single" w:color="auto" w:sz="8" w:space="0"/>
              <w:bottom w:val="single" w:color="auto" w:sz="2" w:space="0"/>
            </w:tcBorders>
            <w:vAlign w:val="center"/>
          </w:tcPr>
          <w:p w14:paraId="441CB2B3">
            <w:pPr>
              <w:snapToGrid w:val="0"/>
              <w:jc w:val="center"/>
              <w:rPr>
                <w:rFonts w:ascii="宋体" w:hAnsi="宋体"/>
                <w:sz w:val="18"/>
                <w:szCs w:val="18"/>
              </w:rPr>
            </w:pPr>
            <w:r>
              <w:rPr>
                <w:rFonts w:ascii="宋体" w:hAnsi="宋体"/>
                <w:sz w:val="18"/>
                <w:szCs w:val="18"/>
              </w:rPr>
              <w:t>表号</w:t>
            </w:r>
          </w:p>
        </w:tc>
        <w:tc>
          <w:tcPr>
            <w:tcW w:w="1794" w:type="dxa"/>
            <w:tcBorders>
              <w:top w:val="single" w:color="auto" w:sz="8" w:space="0"/>
              <w:bottom w:val="single" w:color="auto" w:sz="2" w:space="0"/>
            </w:tcBorders>
            <w:vAlign w:val="center"/>
          </w:tcPr>
          <w:p w14:paraId="0B3B9992">
            <w:pPr>
              <w:snapToGrid w:val="0"/>
              <w:jc w:val="center"/>
              <w:rPr>
                <w:rFonts w:ascii="宋体" w:hAnsi="宋体"/>
                <w:sz w:val="18"/>
                <w:szCs w:val="18"/>
              </w:rPr>
            </w:pPr>
            <w:r>
              <w:rPr>
                <w:rFonts w:ascii="宋体" w:hAnsi="宋体"/>
                <w:sz w:val="18"/>
                <w:szCs w:val="18"/>
              </w:rPr>
              <w:t>表名</w:t>
            </w:r>
          </w:p>
        </w:tc>
        <w:tc>
          <w:tcPr>
            <w:tcW w:w="525" w:type="dxa"/>
            <w:tcBorders>
              <w:top w:val="single" w:color="auto" w:sz="8" w:space="0"/>
              <w:bottom w:val="single" w:color="auto" w:sz="2" w:space="0"/>
            </w:tcBorders>
            <w:vAlign w:val="center"/>
          </w:tcPr>
          <w:p w14:paraId="06A469DF">
            <w:pPr>
              <w:snapToGrid w:val="0"/>
              <w:jc w:val="center"/>
              <w:rPr>
                <w:rFonts w:ascii="宋体" w:hAnsi="宋体"/>
                <w:sz w:val="18"/>
                <w:szCs w:val="18"/>
              </w:rPr>
            </w:pPr>
            <w:r>
              <w:rPr>
                <w:rFonts w:ascii="宋体" w:hAnsi="宋体"/>
                <w:sz w:val="18"/>
                <w:szCs w:val="18"/>
              </w:rPr>
              <w:t>报告期别</w:t>
            </w:r>
          </w:p>
        </w:tc>
        <w:tc>
          <w:tcPr>
            <w:tcW w:w="1958" w:type="dxa"/>
            <w:tcBorders>
              <w:top w:val="single" w:color="auto" w:sz="8" w:space="0"/>
              <w:bottom w:val="single" w:color="auto" w:sz="2" w:space="0"/>
            </w:tcBorders>
            <w:vAlign w:val="center"/>
          </w:tcPr>
          <w:p w14:paraId="495A3FF7">
            <w:pPr>
              <w:snapToGrid w:val="0"/>
              <w:jc w:val="center"/>
              <w:rPr>
                <w:rFonts w:ascii="宋体" w:hAnsi="宋体"/>
                <w:sz w:val="18"/>
                <w:szCs w:val="18"/>
              </w:rPr>
            </w:pPr>
            <w:r>
              <w:rPr>
                <w:rFonts w:ascii="宋体" w:hAnsi="宋体"/>
                <w:sz w:val="18"/>
                <w:szCs w:val="18"/>
              </w:rPr>
              <w:t>统计范围</w:t>
            </w:r>
          </w:p>
        </w:tc>
        <w:tc>
          <w:tcPr>
            <w:tcW w:w="876" w:type="dxa"/>
            <w:tcBorders>
              <w:top w:val="single" w:color="auto" w:sz="8" w:space="0"/>
              <w:bottom w:val="single" w:color="auto" w:sz="2" w:space="0"/>
            </w:tcBorders>
            <w:vAlign w:val="center"/>
          </w:tcPr>
          <w:p w14:paraId="2E080DB3">
            <w:pPr>
              <w:snapToGrid w:val="0"/>
              <w:jc w:val="center"/>
              <w:rPr>
                <w:rFonts w:ascii="宋体" w:hAnsi="宋体"/>
                <w:sz w:val="18"/>
                <w:szCs w:val="18"/>
              </w:rPr>
            </w:pPr>
            <w:r>
              <w:rPr>
                <w:rFonts w:ascii="宋体" w:hAnsi="宋体"/>
                <w:sz w:val="18"/>
                <w:szCs w:val="18"/>
              </w:rPr>
              <w:t>报送单位</w:t>
            </w:r>
          </w:p>
        </w:tc>
        <w:tc>
          <w:tcPr>
            <w:tcW w:w="1721" w:type="dxa"/>
            <w:tcBorders>
              <w:top w:val="single" w:color="auto" w:sz="8" w:space="0"/>
              <w:bottom w:val="single" w:color="auto" w:sz="2" w:space="0"/>
            </w:tcBorders>
            <w:shd w:val="clear" w:color="auto" w:fill="auto"/>
            <w:vAlign w:val="center"/>
          </w:tcPr>
          <w:p w14:paraId="5187BE9D">
            <w:pPr>
              <w:snapToGrid w:val="0"/>
              <w:jc w:val="center"/>
              <w:rPr>
                <w:rFonts w:ascii="宋体" w:hAnsi="宋体"/>
                <w:sz w:val="18"/>
                <w:szCs w:val="18"/>
                <w:highlight w:val="yellow"/>
              </w:rPr>
            </w:pPr>
            <w:r>
              <w:rPr>
                <w:rFonts w:ascii="宋体" w:hAnsi="宋体"/>
                <w:sz w:val="18"/>
                <w:szCs w:val="18"/>
              </w:rPr>
              <w:t>报送时间</w:t>
            </w:r>
            <w:r>
              <w:rPr>
                <w:rFonts w:ascii="宋体" w:hAnsi="宋体"/>
                <w:sz w:val="18"/>
                <w:szCs w:val="18"/>
              </w:rPr>
              <w:br w:type="textWrapping"/>
            </w:r>
            <w:r>
              <w:rPr>
                <w:rFonts w:ascii="宋体" w:hAnsi="宋体"/>
                <w:sz w:val="18"/>
                <w:szCs w:val="18"/>
              </w:rPr>
              <w:t>及 方 式</w:t>
            </w:r>
          </w:p>
        </w:tc>
        <w:tc>
          <w:tcPr>
            <w:tcW w:w="1722" w:type="dxa"/>
            <w:tcBorders>
              <w:top w:val="single" w:color="auto" w:sz="8" w:space="0"/>
              <w:bottom w:val="single" w:color="auto" w:sz="2" w:space="0"/>
            </w:tcBorders>
            <w:shd w:val="clear" w:color="auto" w:fill="auto"/>
            <w:tcMar>
              <w:left w:w="0" w:type="dxa"/>
              <w:right w:w="0" w:type="dxa"/>
            </w:tcMar>
            <w:vAlign w:val="center"/>
          </w:tcPr>
          <w:p w14:paraId="58E76BE5">
            <w:pPr>
              <w:snapToGrid w:val="0"/>
              <w:jc w:val="center"/>
              <w:rPr>
                <w:rFonts w:ascii="宋体" w:hAnsi="宋体"/>
                <w:sz w:val="18"/>
                <w:szCs w:val="18"/>
              </w:rPr>
            </w:pPr>
            <w:r>
              <w:rPr>
                <w:rFonts w:ascii="宋体" w:hAnsi="宋体"/>
                <w:sz w:val="18"/>
                <w:szCs w:val="18"/>
              </w:rPr>
              <w:t>省级验收</w:t>
            </w:r>
          </w:p>
          <w:p w14:paraId="1271F1E7">
            <w:pPr>
              <w:snapToGrid w:val="0"/>
              <w:jc w:val="center"/>
              <w:rPr>
                <w:rFonts w:ascii="宋体" w:hAnsi="宋体"/>
                <w:sz w:val="18"/>
                <w:szCs w:val="18"/>
              </w:rPr>
            </w:pPr>
            <w:r>
              <w:rPr>
                <w:rFonts w:ascii="宋体" w:hAnsi="宋体"/>
                <w:sz w:val="18"/>
                <w:szCs w:val="18"/>
              </w:rPr>
              <w:t>截止时间</w:t>
            </w:r>
          </w:p>
        </w:tc>
      </w:tr>
      <w:tr w14:paraId="420C83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432" w:type="dxa"/>
            <w:gridSpan w:val="7"/>
            <w:tcBorders>
              <w:top w:val="single" w:color="auto" w:sz="2" w:space="0"/>
            </w:tcBorders>
            <w:vAlign w:val="center"/>
          </w:tcPr>
          <w:p w14:paraId="256F2497">
            <w:pPr>
              <w:rPr>
                <w:rFonts w:ascii="宋体" w:hAnsi="宋体"/>
                <w:sz w:val="18"/>
                <w:szCs w:val="18"/>
              </w:rPr>
            </w:pPr>
            <w:r>
              <w:rPr>
                <w:rFonts w:ascii="宋体" w:hAnsi="宋体"/>
                <w:sz w:val="18"/>
                <w:szCs w:val="18"/>
              </w:rPr>
              <w:t>（</w:t>
            </w:r>
            <w:r>
              <w:rPr>
                <w:rFonts w:hint="eastAsia" w:ascii="宋体" w:hAnsi="宋体"/>
                <w:sz w:val="18"/>
                <w:szCs w:val="18"/>
                <w:lang w:eastAsia="zh-CN"/>
              </w:rPr>
              <w:t>一</w:t>
            </w:r>
            <w:r>
              <w:rPr>
                <w:rFonts w:ascii="宋体" w:hAnsi="宋体"/>
                <w:sz w:val="18"/>
                <w:szCs w:val="18"/>
              </w:rPr>
              <w:t>）基层定报表式</w:t>
            </w:r>
          </w:p>
        </w:tc>
      </w:tr>
      <w:tr w14:paraId="1BBFC0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836" w:type="dxa"/>
            <w:vAlign w:val="center"/>
          </w:tcPr>
          <w:p w14:paraId="630E0883">
            <w:pPr>
              <w:spacing w:line="240" w:lineRule="exact"/>
              <w:rPr>
                <w:rFonts w:ascii="宋体" w:hAnsi="宋体"/>
                <w:sz w:val="18"/>
                <w:szCs w:val="18"/>
              </w:rPr>
            </w:pPr>
            <w:r>
              <w:rPr>
                <w:rFonts w:ascii="宋体" w:hAnsi="宋体"/>
                <w:sz w:val="18"/>
                <w:szCs w:val="18"/>
              </w:rPr>
              <w:t>205-1表</w:t>
            </w:r>
          </w:p>
        </w:tc>
        <w:tc>
          <w:tcPr>
            <w:tcW w:w="1794" w:type="dxa"/>
            <w:vAlign w:val="center"/>
          </w:tcPr>
          <w:p w14:paraId="7AE99F29">
            <w:pPr>
              <w:spacing w:line="240" w:lineRule="exact"/>
              <w:rPr>
                <w:rFonts w:ascii="宋体" w:hAnsi="宋体"/>
                <w:sz w:val="18"/>
                <w:szCs w:val="18"/>
              </w:rPr>
            </w:pPr>
            <w:r>
              <w:rPr>
                <w:rFonts w:ascii="宋体" w:hAnsi="宋体"/>
                <w:sz w:val="18"/>
                <w:szCs w:val="18"/>
              </w:rPr>
              <w:t>能源购进、消费与库存</w:t>
            </w:r>
          </w:p>
        </w:tc>
        <w:tc>
          <w:tcPr>
            <w:tcW w:w="525" w:type="dxa"/>
            <w:vAlign w:val="center"/>
          </w:tcPr>
          <w:p w14:paraId="13D1E516">
            <w:pPr>
              <w:pStyle w:val="14"/>
              <w:pBdr>
                <w:bottom w:val="none" w:color="auto" w:sz="0" w:space="0"/>
              </w:pBdr>
              <w:tabs>
                <w:tab w:val="clear" w:pos="4153"/>
                <w:tab w:val="clear" w:pos="8306"/>
              </w:tabs>
              <w:snapToGrid/>
              <w:spacing w:line="240" w:lineRule="exact"/>
              <w:rPr>
                <w:rFonts w:ascii="宋体" w:hAnsi="宋体"/>
              </w:rPr>
            </w:pPr>
            <w:r>
              <w:rPr>
                <w:rFonts w:ascii="宋体" w:hAnsi="宋体"/>
              </w:rPr>
              <w:t>月报</w:t>
            </w:r>
          </w:p>
        </w:tc>
        <w:tc>
          <w:tcPr>
            <w:tcW w:w="1958" w:type="dxa"/>
            <w:vAlign w:val="center"/>
          </w:tcPr>
          <w:p w14:paraId="0A41AC8B">
            <w:pPr>
              <w:spacing w:line="240" w:lineRule="exact"/>
              <w:rPr>
                <w:rFonts w:ascii="宋体" w:hAnsi="宋体"/>
                <w:sz w:val="18"/>
                <w:szCs w:val="18"/>
              </w:rPr>
            </w:pPr>
            <w:r>
              <w:rPr>
                <w:rFonts w:ascii="宋体" w:hAnsi="宋体"/>
                <w:sz w:val="18"/>
                <w:szCs w:val="18"/>
              </w:rPr>
              <w:t>辖区内规模以上工业法人单位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p>
        </w:tc>
        <w:tc>
          <w:tcPr>
            <w:tcW w:w="876" w:type="dxa"/>
            <w:vAlign w:val="center"/>
          </w:tcPr>
          <w:p w14:paraId="3B900446">
            <w:pPr>
              <w:spacing w:line="240" w:lineRule="exact"/>
              <w:jc w:val="center"/>
              <w:rPr>
                <w:rFonts w:hint="eastAsia" w:ascii="宋体" w:hAnsi="宋体" w:eastAsia="宋体"/>
                <w:sz w:val="18"/>
                <w:szCs w:val="18"/>
                <w:lang w:eastAsia="zh-CN"/>
              </w:rPr>
            </w:pPr>
            <w:r>
              <w:rPr>
                <w:rFonts w:ascii="宋体" w:hAnsi="宋体"/>
                <w:sz w:val="18"/>
                <w:szCs w:val="18"/>
              </w:rPr>
              <w:t>法人单位</w:t>
            </w:r>
            <w:r>
              <w:rPr>
                <w:rFonts w:hint="eastAsia" w:ascii="宋体" w:hAnsi="宋体"/>
                <w:sz w:val="18"/>
                <w:szCs w:val="18"/>
                <w:lang w:eastAsia="zh-CN"/>
              </w:rPr>
              <w:t>和个体经营户</w:t>
            </w:r>
          </w:p>
        </w:tc>
        <w:tc>
          <w:tcPr>
            <w:tcW w:w="1721" w:type="dxa"/>
            <w:vAlign w:val="center"/>
          </w:tcPr>
          <w:p w14:paraId="1E67386B">
            <w:pPr>
              <w:spacing w:line="240" w:lineRule="exact"/>
              <w:ind w:left="2"/>
              <w:rPr>
                <w:rFonts w:ascii="宋体" w:hAnsi="宋体"/>
                <w:sz w:val="18"/>
                <w:szCs w:val="18"/>
              </w:rPr>
            </w:pPr>
            <w:r>
              <w:rPr>
                <w:rFonts w:hint="eastAsia" w:ascii="宋体" w:hAnsi="宋体"/>
                <w:sz w:val="18"/>
                <w:szCs w:val="18"/>
              </w:rPr>
              <w:t>2、</w:t>
            </w:r>
            <w:ins w:id="6" w:author="kylin" w:date="2025-10-17T16:09:58Z">
              <w:r>
                <w:rPr>
                  <w:rFonts w:hint="default" w:ascii="宋体" w:hAnsi="宋体"/>
                  <w:sz w:val="18"/>
                  <w:szCs w:val="18"/>
                  <w:lang w:val="en-US"/>
                </w:rPr>
                <w:t>10</w:t>
              </w:r>
            </w:ins>
            <w:ins w:id="7" w:author="kylin" w:date="2025-10-17T16:10:04Z">
              <w:r>
                <w:rPr>
                  <w:rFonts w:hint="eastAsia" w:ascii="宋体" w:hAnsi="宋体"/>
                  <w:sz w:val="18"/>
                  <w:szCs w:val="18"/>
                  <w:lang w:val="en-US" w:eastAsia="zh-CN"/>
                </w:rPr>
                <w:t>月</w:t>
              </w:r>
            </w:ins>
            <w:ins w:id="8" w:author="kylin" w:date="2025-10-17T16:10:05Z">
              <w:r>
                <w:rPr>
                  <w:rFonts w:hint="eastAsia" w:ascii="宋体" w:hAnsi="宋体"/>
                  <w:sz w:val="18"/>
                  <w:szCs w:val="18"/>
                  <w:lang w:val="en-US" w:eastAsia="zh-CN"/>
                </w:rPr>
                <w:t>月后</w:t>
              </w:r>
            </w:ins>
            <w:ins w:id="9" w:author="kylin" w:date="2025-10-17T16:10:06Z">
              <w:r>
                <w:rPr>
                  <w:rFonts w:hint="eastAsia" w:ascii="宋体" w:hAnsi="宋体"/>
                  <w:sz w:val="18"/>
                  <w:szCs w:val="18"/>
                  <w:lang w:val="en-US" w:eastAsia="zh-CN"/>
                </w:rPr>
                <w:t>6</w:t>
              </w:r>
            </w:ins>
            <w:ins w:id="10" w:author="kylin" w:date="2025-10-17T16:10:07Z">
              <w:r>
                <w:rPr>
                  <w:rFonts w:hint="eastAsia" w:ascii="宋体" w:hAnsi="宋体"/>
                  <w:sz w:val="18"/>
                  <w:szCs w:val="18"/>
                  <w:lang w:val="en-US" w:eastAsia="zh-CN"/>
                </w:rPr>
                <w:t>日</w:t>
              </w:r>
            </w:ins>
            <w:ins w:id="11" w:author="kylin" w:date="2025-10-17T16:10:08Z">
              <w:r>
                <w:rPr>
                  <w:rFonts w:hint="eastAsia" w:ascii="宋体" w:hAnsi="宋体"/>
                  <w:sz w:val="18"/>
                  <w:szCs w:val="18"/>
                  <w:lang w:val="en-US" w:eastAsia="zh-CN"/>
                </w:rPr>
                <w:t>，</w:t>
              </w:r>
            </w:ins>
            <w:del w:id="12" w:author="kylin" w:date="2025-10-17T16:10:14Z">
              <w:r>
                <w:rPr>
                  <w:rFonts w:hint="eastAsia" w:ascii="宋体" w:hAnsi="宋体"/>
                  <w:sz w:val="18"/>
                  <w:szCs w:val="18"/>
                </w:rPr>
                <w:delText>5、</w:delText>
              </w:r>
            </w:del>
            <w:r>
              <w:rPr>
                <w:rFonts w:hint="eastAsia" w:ascii="宋体" w:hAnsi="宋体"/>
                <w:sz w:val="18"/>
                <w:szCs w:val="18"/>
              </w:rPr>
              <w:t>6、7、8</w:t>
            </w:r>
            <w:del w:id="13" w:author="kylin" w:date="2025-10-17T16:10:50Z">
              <w:r>
                <w:rPr>
                  <w:rFonts w:hint="eastAsia" w:ascii="宋体" w:hAnsi="宋体"/>
                  <w:sz w:val="18"/>
                  <w:szCs w:val="18"/>
                </w:rPr>
                <w:delText>、10</w:delText>
              </w:r>
            </w:del>
            <w:r>
              <w:rPr>
                <w:rFonts w:hint="eastAsia" w:ascii="宋体" w:hAnsi="宋体"/>
                <w:sz w:val="18"/>
                <w:szCs w:val="18"/>
              </w:rPr>
              <w:t>、11月月后7日，3</w:t>
            </w:r>
            <w:ins w:id="14" w:author="kylin" w:date="2025-10-17T16:10:57Z">
              <w:r>
                <w:rPr>
                  <w:rFonts w:hint="eastAsia" w:ascii="宋体" w:hAnsi="宋体"/>
                  <w:sz w:val="18"/>
                  <w:szCs w:val="18"/>
                  <w:lang w:eastAsia="zh-CN"/>
                </w:rPr>
                <w:t>、</w:t>
              </w:r>
            </w:ins>
            <w:ins w:id="15" w:author="kylin" w:date="2025-10-17T16:10:58Z">
              <w:r>
                <w:rPr>
                  <w:rFonts w:hint="eastAsia" w:ascii="宋体" w:hAnsi="宋体"/>
                  <w:sz w:val="18"/>
                  <w:szCs w:val="18"/>
                  <w:lang w:val="en-US" w:eastAsia="zh-CN"/>
                </w:rPr>
                <w:t>5、</w:t>
              </w:r>
            </w:ins>
            <w:ins w:id="16" w:author="kylin" w:date="2025-10-17T16:10:59Z">
              <w:r>
                <w:rPr>
                  <w:rFonts w:hint="eastAsia" w:ascii="宋体" w:hAnsi="宋体"/>
                  <w:sz w:val="18"/>
                  <w:szCs w:val="18"/>
                  <w:lang w:val="en-US" w:eastAsia="zh-CN"/>
                </w:rPr>
                <w:t>12</w:t>
              </w:r>
            </w:ins>
            <w:r>
              <w:rPr>
                <w:rFonts w:hint="eastAsia" w:ascii="宋体" w:hAnsi="宋体"/>
                <w:sz w:val="18"/>
                <w:szCs w:val="18"/>
              </w:rPr>
              <w:t>月月后8日，4</w:t>
            </w:r>
            <w:del w:id="17" w:author="kylin" w:date="2025-10-17T16:11:05Z">
              <w:r>
                <w:rPr>
                  <w:rFonts w:hint="eastAsia" w:ascii="宋体" w:hAnsi="宋体"/>
                  <w:sz w:val="18"/>
                  <w:szCs w:val="18"/>
                </w:rPr>
                <w:delText>、12</w:delText>
              </w:r>
            </w:del>
            <w:r>
              <w:rPr>
                <w:rFonts w:hint="eastAsia" w:ascii="宋体" w:hAnsi="宋体"/>
                <w:sz w:val="18"/>
                <w:szCs w:val="18"/>
              </w:rPr>
              <w:t>月月后9日</w:t>
            </w:r>
            <w:ins w:id="18" w:author="kylin" w:date="2025-10-17T16:11:11Z">
              <w:r>
                <w:rPr>
                  <w:rFonts w:hint="eastAsia" w:ascii="宋体" w:hAnsi="宋体"/>
                  <w:sz w:val="18"/>
                  <w:szCs w:val="18"/>
                  <w:lang w:eastAsia="zh-CN"/>
                </w:rPr>
                <w:t>，</w:t>
              </w:r>
            </w:ins>
            <w:ins w:id="19" w:author="kylin" w:date="2025-10-17T16:11:12Z">
              <w:r>
                <w:rPr>
                  <w:rFonts w:hint="eastAsia" w:ascii="宋体" w:hAnsi="宋体"/>
                  <w:sz w:val="18"/>
                  <w:szCs w:val="18"/>
                  <w:lang w:val="en-US" w:eastAsia="zh-CN"/>
                </w:rPr>
                <w:t>9</w:t>
              </w:r>
            </w:ins>
            <w:ins w:id="20" w:author="kylin" w:date="2025-10-17T16:11:21Z">
              <w:r>
                <w:rPr>
                  <w:rFonts w:hint="eastAsia" w:ascii="宋体" w:hAnsi="宋体"/>
                  <w:sz w:val="18"/>
                  <w:szCs w:val="18"/>
                  <w:lang w:val="en-US" w:eastAsia="zh-CN"/>
                </w:rPr>
                <w:t>月</w:t>
              </w:r>
            </w:ins>
            <w:ins w:id="21" w:author="kylin" w:date="2025-10-17T16:11:31Z">
              <w:r>
                <w:rPr>
                  <w:rFonts w:hint="eastAsia" w:ascii="宋体" w:hAnsi="宋体"/>
                  <w:sz w:val="18"/>
                  <w:szCs w:val="18"/>
                  <w:lang w:val="en-US" w:eastAsia="zh-CN"/>
                </w:rPr>
                <w:t>月后</w:t>
              </w:r>
            </w:ins>
            <w:ins w:id="22" w:author="kylin" w:date="2025-10-17T16:11:35Z">
              <w:r>
                <w:rPr>
                  <w:rFonts w:hint="eastAsia" w:ascii="宋体" w:hAnsi="宋体"/>
                  <w:sz w:val="18"/>
                  <w:szCs w:val="18"/>
                  <w:lang w:val="en-US" w:eastAsia="zh-CN"/>
                </w:rPr>
                <w:t>12</w:t>
              </w:r>
            </w:ins>
            <w:ins w:id="23" w:author="kylin" w:date="2025-10-17T16:11:36Z">
              <w:r>
                <w:rPr>
                  <w:rFonts w:hint="eastAsia" w:ascii="宋体" w:hAnsi="宋体"/>
                  <w:sz w:val="18"/>
                  <w:szCs w:val="18"/>
                  <w:lang w:val="en-US" w:eastAsia="zh-CN"/>
                </w:rPr>
                <w:t>日</w:t>
              </w:r>
            </w:ins>
            <w:r>
              <w:rPr>
                <w:rFonts w:hint="eastAsia" w:ascii="宋体" w:hAnsi="宋体"/>
                <w:sz w:val="18"/>
                <w:szCs w:val="18"/>
              </w:rPr>
              <w:t>12：00</w:t>
            </w:r>
            <w:del w:id="24" w:author="kylin" w:date="2025-10-17T16:11:40Z">
              <w:r>
                <w:rPr>
                  <w:rFonts w:hint="eastAsia" w:ascii="宋体" w:hAnsi="宋体"/>
                  <w:sz w:val="18"/>
                  <w:szCs w:val="18"/>
                </w:rPr>
                <w:delText>，9月月后11日18:00</w:delText>
              </w:r>
            </w:del>
            <w:r>
              <w:rPr>
                <w:rFonts w:hint="eastAsia" w:ascii="宋体" w:hAnsi="宋体"/>
                <w:sz w:val="18"/>
                <w:szCs w:val="18"/>
              </w:rPr>
              <w:t>前网上填报</w:t>
            </w:r>
          </w:p>
        </w:tc>
        <w:tc>
          <w:tcPr>
            <w:tcW w:w="1722" w:type="dxa"/>
            <w:vAlign w:val="center"/>
          </w:tcPr>
          <w:p w14:paraId="5C213333">
            <w:pPr>
              <w:spacing w:line="240" w:lineRule="exact"/>
              <w:ind w:left="2"/>
              <w:rPr>
                <w:rFonts w:ascii="宋体" w:hAnsi="宋体"/>
              </w:rPr>
            </w:pPr>
            <w:r>
              <w:rPr>
                <w:rFonts w:hint="eastAsia" w:ascii="宋体" w:hAnsi="宋体"/>
                <w:sz w:val="18"/>
                <w:szCs w:val="18"/>
              </w:rPr>
              <w:t>6、8、10、11月月后10日，2、3、5、7月月后11日，4月月后12日，12月月后13日，9月月后14日12:00</w:t>
            </w:r>
          </w:p>
        </w:tc>
      </w:tr>
      <w:tr w14:paraId="77065C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25" w:hRule="atLeast"/>
          <w:jc w:val="center"/>
        </w:trPr>
        <w:tc>
          <w:tcPr>
            <w:tcW w:w="836" w:type="dxa"/>
            <w:vAlign w:val="center"/>
          </w:tcPr>
          <w:p w14:paraId="0436ED37">
            <w:pPr>
              <w:spacing w:line="240" w:lineRule="exact"/>
              <w:rPr>
                <w:rFonts w:ascii="宋体" w:hAnsi="宋体"/>
                <w:sz w:val="18"/>
                <w:szCs w:val="18"/>
              </w:rPr>
            </w:pPr>
            <w:r>
              <w:rPr>
                <w:rFonts w:ascii="宋体" w:hAnsi="宋体"/>
                <w:sz w:val="18"/>
                <w:szCs w:val="18"/>
              </w:rPr>
              <w:t>205-2表</w:t>
            </w:r>
          </w:p>
        </w:tc>
        <w:tc>
          <w:tcPr>
            <w:tcW w:w="1794" w:type="dxa"/>
            <w:vAlign w:val="center"/>
          </w:tcPr>
          <w:p w14:paraId="7AAC3BCE">
            <w:pPr>
              <w:spacing w:line="240" w:lineRule="exact"/>
              <w:rPr>
                <w:rFonts w:ascii="宋体" w:hAnsi="宋体"/>
                <w:sz w:val="18"/>
                <w:szCs w:val="18"/>
              </w:rPr>
            </w:pPr>
            <w:r>
              <w:rPr>
                <w:rFonts w:ascii="宋体" w:hAnsi="宋体"/>
                <w:sz w:val="18"/>
                <w:szCs w:val="18"/>
              </w:rPr>
              <w:t>能源加工转换与回收利用</w:t>
            </w:r>
          </w:p>
        </w:tc>
        <w:tc>
          <w:tcPr>
            <w:tcW w:w="525" w:type="dxa"/>
            <w:vAlign w:val="center"/>
          </w:tcPr>
          <w:p w14:paraId="379DE94E">
            <w:pPr>
              <w:spacing w:line="240" w:lineRule="exact"/>
              <w:jc w:val="center"/>
              <w:rPr>
                <w:rFonts w:ascii="宋体" w:hAnsi="宋体"/>
                <w:sz w:val="18"/>
                <w:szCs w:val="18"/>
              </w:rPr>
            </w:pPr>
            <w:r>
              <w:rPr>
                <w:rFonts w:ascii="宋体" w:hAnsi="宋体"/>
                <w:sz w:val="18"/>
                <w:szCs w:val="18"/>
              </w:rPr>
              <w:t>月报</w:t>
            </w:r>
          </w:p>
        </w:tc>
        <w:tc>
          <w:tcPr>
            <w:tcW w:w="1958" w:type="dxa"/>
            <w:vAlign w:val="center"/>
          </w:tcPr>
          <w:p w14:paraId="7847DD4D">
            <w:pPr>
              <w:spacing w:line="240" w:lineRule="exact"/>
              <w:rPr>
                <w:rFonts w:ascii="宋体" w:hAnsi="宋体"/>
                <w:sz w:val="18"/>
                <w:szCs w:val="18"/>
              </w:rPr>
            </w:pPr>
            <w:r>
              <w:rPr>
                <w:rFonts w:ascii="宋体" w:hAnsi="宋体"/>
                <w:sz w:val="18"/>
                <w:szCs w:val="18"/>
              </w:rPr>
              <w:t>辖区内有能源加工转换或回收利用活动的规模以上工业法人单位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p>
        </w:tc>
        <w:tc>
          <w:tcPr>
            <w:tcW w:w="876" w:type="dxa"/>
            <w:vAlign w:val="center"/>
          </w:tcPr>
          <w:p w14:paraId="5610186A">
            <w:pPr>
              <w:spacing w:line="240" w:lineRule="exact"/>
              <w:jc w:val="center"/>
              <w:rPr>
                <w:rFonts w:ascii="宋体" w:hAnsi="宋体"/>
                <w:sz w:val="18"/>
                <w:szCs w:val="18"/>
              </w:rPr>
            </w:pPr>
            <w:r>
              <w:rPr>
                <w:rFonts w:ascii="宋体" w:hAnsi="宋体"/>
                <w:sz w:val="18"/>
                <w:szCs w:val="18"/>
              </w:rPr>
              <w:t>同上</w:t>
            </w:r>
          </w:p>
        </w:tc>
        <w:tc>
          <w:tcPr>
            <w:tcW w:w="1721" w:type="dxa"/>
            <w:vAlign w:val="center"/>
          </w:tcPr>
          <w:p w14:paraId="72815D92">
            <w:pPr>
              <w:spacing w:line="240" w:lineRule="exact"/>
              <w:jc w:val="center"/>
              <w:rPr>
                <w:rFonts w:ascii="宋体" w:hAnsi="宋体"/>
                <w:sz w:val="18"/>
                <w:szCs w:val="18"/>
              </w:rPr>
            </w:pPr>
            <w:r>
              <w:rPr>
                <w:rFonts w:ascii="宋体" w:hAnsi="宋体"/>
                <w:sz w:val="18"/>
                <w:szCs w:val="18"/>
              </w:rPr>
              <w:t>同上</w:t>
            </w:r>
          </w:p>
        </w:tc>
        <w:tc>
          <w:tcPr>
            <w:tcW w:w="1722" w:type="dxa"/>
            <w:vAlign w:val="center"/>
          </w:tcPr>
          <w:p w14:paraId="053E66B7">
            <w:pPr>
              <w:spacing w:line="240" w:lineRule="exact"/>
              <w:jc w:val="center"/>
              <w:rPr>
                <w:rFonts w:ascii="宋体" w:hAnsi="宋体"/>
                <w:sz w:val="18"/>
                <w:szCs w:val="18"/>
              </w:rPr>
            </w:pPr>
            <w:r>
              <w:rPr>
                <w:rFonts w:ascii="宋体" w:hAnsi="宋体"/>
                <w:sz w:val="18"/>
                <w:szCs w:val="18"/>
              </w:rPr>
              <w:t>同上</w:t>
            </w:r>
          </w:p>
        </w:tc>
      </w:tr>
      <w:tr w14:paraId="311FDD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165" w:hRule="atLeast"/>
          <w:jc w:val="center"/>
        </w:trPr>
        <w:tc>
          <w:tcPr>
            <w:tcW w:w="836" w:type="dxa"/>
            <w:vAlign w:val="center"/>
          </w:tcPr>
          <w:p w14:paraId="4CD35AFE">
            <w:pPr>
              <w:spacing w:line="240" w:lineRule="exact"/>
              <w:rPr>
                <w:rFonts w:ascii="宋体" w:hAnsi="宋体"/>
                <w:sz w:val="18"/>
                <w:szCs w:val="18"/>
              </w:rPr>
            </w:pPr>
            <w:r>
              <w:rPr>
                <w:rFonts w:ascii="宋体" w:hAnsi="宋体"/>
                <w:sz w:val="18"/>
                <w:szCs w:val="18"/>
              </w:rPr>
              <w:t>205-3表</w:t>
            </w:r>
          </w:p>
        </w:tc>
        <w:tc>
          <w:tcPr>
            <w:tcW w:w="1794" w:type="dxa"/>
            <w:vAlign w:val="center"/>
          </w:tcPr>
          <w:p w14:paraId="0DD8754F">
            <w:pPr>
              <w:spacing w:line="240" w:lineRule="exact"/>
              <w:rPr>
                <w:rFonts w:ascii="宋体" w:hAnsi="宋体"/>
                <w:sz w:val="18"/>
                <w:szCs w:val="18"/>
              </w:rPr>
            </w:pPr>
            <w:r>
              <w:rPr>
                <w:rFonts w:ascii="宋体" w:hAnsi="宋体"/>
                <w:sz w:val="18"/>
                <w:szCs w:val="18"/>
              </w:rPr>
              <w:t>主要耗能工业企业单位产品能源</w:t>
            </w:r>
            <w:r>
              <w:rPr>
                <w:rFonts w:hint="eastAsia" w:ascii="宋体" w:hAnsi="宋体"/>
                <w:sz w:val="18"/>
                <w:szCs w:val="18"/>
              </w:rPr>
              <w:t>消费</w:t>
            </w:r>
            <w:r>
              <w:rPr>
                <w:rFonts w:ascii="宋体" w:hAnsi="宋体"/>
                <w:sz w:val="18"/>
                <w:szCs w:val="18"/>
              </w:rPr>
              <w:t>情况</w:t>
            </w:r>
          </w:p>
        </w:tc>
        <w:tc>
          <w:tcPr>
            <w:tcW w:w="525" w:type="dxa"/>
            <w:vAlign w:val="center"/>
          </w:tcPr>
          <w:p w14:paraId="2C7CD849">
            <w:pPr>
              <w:spacing w:line="240" w:lineRule="exact"/>
              <w:jc w:val="center"/>
              <w:rPr>
                <w:rFonts w:ascii="宋体" w:hAnsi="宋体"/>
                <w:sz w:val="18"/>
                <w:szCs w:val="18"/>
              </w:rPr>
            </w:pPr>
            <w:r>
              <w:rPr>
                <w:rFonts w:hint="eastAsia" w:ascii="宋体" w:hAnsi="宋体"/>
                <w:sz w:val="18"/>
                <w:szCs w:val="18"/>
                <w:lang w:val="en-US" w:eastAsia="zh-CN"/>
              </w:rPr>
              <w:t>半年</w:t>
            </w:r>
            <w:r>
              <w:rPr>
                <w:rFonts w:ascii="宋体" w:hAnsi="宋体"/>
                <w:sz w:val="18"/>
                <w:szCs w:val="18"/>
              </w:rPr>
              <w:t>报</w:t>
            </w:r>
          </w:p>
        </w:tc>
        <w:tc>
          <w:tcPr>
            <w:tcW w:w="1958" w:type="dxa"/>
            <w:vAlign w:val="center"/>
          </w:tcPr>
          <w:p w14:paraId="7FA78C1C">
            <w:pPr>
              <w:spacing w:line="240" w:lineRule="exact"/>
              <w:rPr>
                <w:rFonts w:ascii="宋体" w:hAnsi="宋体"/>
                <w:sz w:val="18"/>
                <w:szCs w:val="18"/>
              </w:rPr>
            </w:pPr>
            <w:r>
              <w:rPr>
                <w:rFonts w:ascii="宋体" w:hAnsi="宋体"/>
                <w:sz w:val="18"/>
                <w:szCs w:val="18"/>
              </w:rPr>
              <w:t>辖区内年综合能源消费量1万吨标准煤及以上的规模以上工业法人单位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p>
        </w:tc>
        <w:tc>
          <w:tcPr>
            <w:tcW w:w="876" w:type="dxa"/>
            <w:vAlign w:val="center"/>
          </w:tcPr>
          <w:p w14:paraId="6C4BB973">
            <w:pPr>
              <w:spacing w:line="240" w:lineRule="exact"/>
              <w:jc w:val="center"/>
              <w:rPr>
                <w:rFonts w:ascii="宋体" w:hAnsi="宋体"/>
                <w:sz w:val="18"/>
                <w:szCs w:val="18"/>
              </w:rPr>
            </w:pPr>
            <w:r>
              <w:rPr>
                <w:rFonts w:ascii="宋体" w:hAnsi="宋体"/>
                <w:sz w:val="18"/>
                <w:szCs w:val="18"/>
              </w:rPr>
              <w:t>同上</w:t>
            </w:r>
          </w:p>
        </w:tc>
        <w:tc>
          <w:tcPr>
            <w:tcW w:w="1721" w:type="dxa"/>
            <w:vAlign w:val="center"/>
          </w:tcPr>
          <w:p w14:paraId="77DB74B5">
            <w:pPr>
              <w:spacing w:line="240" w:lineRule="exact"/>
              <w:ind w:left="2"/>
              <w:rPr>
                <w:rFonts w:ascii="宋体" w:hAnsi="宋体"/>
                <w:sz w:val="18"/>
                <w:szCs w:val="18"/>
              </w:rPr>
            </w:pPr>
            <w:r>
              <w:rPr>
                <w:rFonts w:hint="eastAsia" w:ascii="宋体" w:hAnsi="宋体"/>
                <w:sz w:val="18"/>
                <w:szCs w:val="18"/>
              </w:rPr>
              <w:t>上半年7月10日、下半年次年1月10日12:00前网上填报</w:t>
            </w:r>
          </w:p>
        </w:tc>
        <w:tc>
          <w:tcPr>
            <w:tcW w:w="1722" w:type="dxa"/>
            <w:vAlign w:val="center"/>
          </w:tcPr>
          <w:p w14:paraId="7113949D">
            <w:pPr>
              <w:spacing w:line="240" w:lineRule="exact"/>
              <w:rPr>
                <w:rFonts w:ascii="宋体" w:hAnsi="宋体"/>
                <w:sz w:val="18"/>
                <w:szCs w:val="18"/>
              </w:rPr>
            </w:pPr>
            <w:r>
              <w:rPr>
                <w:rFonts w:hint="eastAsia" w:ascii="宋体" w:hAnsi="宋体"/>
                <w:sz w:val="18"/>
                <w:szCs w:val="18"/>
              </w:rPr>
              <w:t>上半年7月12日、下半年次年1月15日12:00</w:t>
            </w:r>
          </w:p>
        </w:tc>
      </w:tr>
      <w:tr w14:paraId="02929A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836" w:type="dxa"/>
            <w:vAlign w:val="center"/>
          </w:tcPr>
          <w:p w14:paraId="706C77A9">
            <w:pPr>
              <w:spacing w:line="240" w:lineRule="exact"/>
              <w:rPr>
                <w:rFonts w:ascii="宋体" w:hAnsi="宋体"/>
                <w:sz w:val="18"/>
                <w:szCs w:val="18"/>
              </w:rPr>
            </w:pPr>
            <w:r>
              <w:rPr>
                <w:rFonts w:ascii="宋体" w:hAnsi="宋体"/>
                <w:sz w:val="18"/>
                <w:szCs w:val="18"/>
              </w:rPr>
              <w:t>205-4表</w:t>
            </w:r>
          </w:p>
        </w:tc>
        <w:tc>
          <w:tcPr>
            <w:tcW w:w="1794" w:type="dxa"/>
            <w:vAlign w:val="center"/>
          </w:tcPr>
          <w:p w14:paraId="0E50FF4D">
            <w:pPr>
              <w:spacing w:line="240" w:lineRule="exact"/>
              <w:rPr>
                <w:rFonts w:ascii="宋体" w:hAnsi="宋体"/>
                <w:sz w:val="18"/>
                <w:szCs w:val="18"/>
              </w:rPr>
            </w:pPr>
            <w:r>
              <w:rPr>
                <w:rFonts w:ascii="宋体" w:hAnsi="宋体"/>
                <w:sz w:val="18"/>
                <w:szCs w:val="18"/>
              </w:rPr>
              <w:t>工业企业用水情况</w:t>
            </w:r>
          </w:p>
        </w:tc>
        <w:tc>
          <w:tcPr>
            <w:tcW w:w="525" w:type="dxa"/>
            <w:vAlign w:val="center"/>
          </w:tcPr>
          <w:p w14:paraId="5DBEB488">
            <w:pPr>
              <w:spacing w:line="240" w:lineRule="exact"/>
              <w:jc w:val="center"/>
              <w:rPr>
                <w:rFonts w:ascii="宋体" w:hAnsi="宋体"/>
                <w:sz w:val="18"/>
                <w:szCs w:val="18"/>
              </w:rPr>
            </w:pPr>
            <w:r>
              <w:rPr>
                <w:rFonts w:ascii="宋体" w:hAnsi="宋体"/>
                <w:sz w:val="18"/>
                <w:szCs w:val="18"/>
              </w:rPr>
              <w:t>半年报</w:t>
            </w:r>
          </w:p>
        </w:tc>
        <w:tc>
          <w:tcPr>
            <w:tcW w:w="1958" w:type="dxa"/>
            <w:vAlign w:val="center"/>
          </w:tcPr>
          <w:p w14:paraId="2E89A51C">
            <w:pPr>
              <w:pStyle w:val="14"/>
              <w:pBdr>
                <w:bottom w:val="none" w:color="auto" w:sz="0" w:space="0"/>
              </w:pBdr>
              <w:tabs>
                <w:tab w:val="clear" w:pos="4153"/>
                <w:tab w:val="clear" w:pos="8306"/>
              </w:tabs>
              <w:snapToGrid/>
              <w:spacing w:line="240" w:lineRule="exact"/>
              <w:jc w:val="both"/>
              <w:rPr>
                <w:rFonts w:ascii="宋体" w:hAnsi="宋体"/>
              </w:rPr>
            </w:pPr>
            <w:r>
              <w:rPr>
                <w:rFonts w:ascii="宋体" w:hAnsi="宋体"/>
              </w:rPr>
              <w:t>辖区内规模以上工业法人单位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p>
        </w:tc>
        <w:tc>
          <w:tcPr>
            <w:tcW w:w="876" w:type="dxa"/>
            <w:vAlign w:val="center"/>
          </w:tcPr>
          <w:p w14:paraId="59518046">
            <w:pPr>
              <w:spacing w:line="240" w:lineRule="exact"/>
              <w:jc w:val="center"/>
              <w:rPr>
                <w:rFonts w:ascii="宋体" w:hAnsi="宋体"/>
                <w:sz w:val="18"/>
                <w:szCs w:val="18"/>
              </w:rPr>
            </w:pPr>
            <w:r>
              <w:rPr>
                <w:rFonts w:ascii="宋体" w:hAnsi="宋体"/>
                <w:sz w:val="18"/>
                <w:szCs w:val="18"/>
              </w:rPr>
              <w:t>同上</w:t>
            </w:r>
          </w:p>
        </w:tc>
        <w:tc>
          <w:tcPr>
            <w:tcW w:w="1721" w:type="dxa"/>
            <w:vAlign w:val="center"/>
          </w:tcPr>
          <w:p w14:paraId="07F547E0">
            <w:pPr>
              <w:spacing w:line="240" w:lineRule="exact"/>
              <w:ind w:left="2"/>
              <w:rPr>
                <w:rFonts w:ascii="宋体" w:hAnsi="宋体"/>
                <w:sz w:val="18"/>
                <w:szCs w:val="18"/>
              </w:rPr>
            </w:pPr>
            <w:r>
              <w:rPr>
                <w:rFonts w:hint="eastAsia" w:ascii="宋体" w:hAnsi="宋体"/>
                <w:sz w:val="18"/>
                <w:szCs w:val="18"/>
              </w:rPr>
              <w:t>上半年7月10日、下半年次年1月10日12:00前</w:t>
            </w:r>
            <w:r>
              <w:rPr>
                <w:rFonts w:ascii="宋体" w:hAnsi="宋体"/>
                <w:sz w:val="18"/>
                <w:szCs w:val="18"/>
              </w:rPr>
              <w:t>网上填报</w:t>
            </w:r>
          </w:p>
        </w:tc>
        <w:tc>
          <w:tcPr>
            <w:tcW w:w="1722" w:type="dxa"/>
            <w:vAlign w:val="center"/>
          </w:tcPr>
          <w:p w14:paraId="64B2D7B6">
            <w:pPr>
              <w:spacing w:line="240" w:lineRule="exact"/>
              <w:rPr>
                <w:rFonts w:ascii="宋体" w:hAnsi="宋体"/>
                <w:sz w:val="18"/>
                <w:szCs w:val="18"/>
              </w:rPr>
            </w:pPr>
            <w:r>
              <w:rPr>
                <w:rFonts w:hint="eastAsia" w:ascii="宋体" w:hAnsi="宋体"/>
                <w:sz w:val="18"/>
                <w:szCs w:val="18"/>
              </w:rPr>
              <w:t>上半年7月17日、下半年次年1月17日12:00</w:t>
            </w:r>
          </w:p>
        </w:tc>
      </w:tr>
      <w:tr w14:paraId="1E37F6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76" w:hRule="atLeast"/>
          <w:jc w:val="center"/>
        </w:trPr>
        <w:tc>
          <w:tcPr>
            <w:tcW w:w="836" w:type="dxa"/>
            <w:vAlign w:val="center"/>
          </w:tcPr>
          <w:p w14:paraId="70E1005D">
            <w:pPr>
              <w:spacing w:line="240" w:lineRule="exact"/>
              <w:rPr>
                <w:rFonts w:ascii="宋体" w:hAnsi="宋体"/>
                <w:sz w:val="18"/>
                <w:szCs w:val="18"/>
              </w:rPr>
            </w:pPr>
            <w:r>
              <w:rPr>
                <w:rFonts w:ascii="宋体" w:hAnsi="宋体"/>
                <w:sz w:val="18"/>
                <w:szCs w:val="18"/>
              </w:rPr>
              <w:t>205-5表</w:t>
            </w:r>
          </w:p>
        </w:tc>
        <w:tc>
          <w:tcPr>
            <w:tcW w:w="1794" w:type="dxa"/>
            <w:vAlign w:val="center"/>
          </w:tcPr>
          <w:p w14:paraId="71C67E90">
            <w:pPr>
              <w:spacing w:line="240" w:lineRule="exact"/>
              <w:rPr>
                <w:rFonts w:ascii="宋体" w:hAnsi="宋体"/>
                <w:sz w:val="18"/>
                <w:szCs w:val="18"/>
              </w:rPr>
            </w:pPr>
            <w:r>
              <w:rPr>
                <w:rFonts w:ascii="宋体" w:hAnsi="宋体"/>
                <w:sz w:val="18"/>
                <w:szCs w:val="18"/>
              </w:rPr>
              <w:t>非工业重点耗能单位能源消费情况</w:t>
            </w:r>
          </w:p>
        </w:tc>
        <w:tc>
          <w:tcPr>
            <w:tcW w:w="525" w:type="dxa"/>
            <w:vAlign w:val="center"/>
          </w:tcPr>
          <w:p w14:paraId="0B16AE59">
            <w:pPr>
              <w:spacing w:line="240" w:lineRule="exact"/>
              <w:jc w:val="center"/>
              <w:rPr>
                <w:rFonts w:ascii="宋体" w:hAnsi="宋体"/>
                <w:sz w:val="18"/>
                <w:szCs w:val="18"/>
              </w:rPr>
            </w:pPr>
            <w:r>
              <w:rPr>
                <w:rFonts w:ascii="宋体" w:hAnsi="宋体"/>
                <w:sz w:val="18"/>
                <w:szCs w:val="18"/>
              </w:rPr>
              <w:t>季报</w:t>
            </w:r>
          </w:p>
        </w:tc>
        <w:tc>
          <w:tcPr>
            <w:tcW w:w="1958" w:type="dxa"/>
            <w:vAlign w:val="center"/>
          </w:tcPr>
          <w:p w14:paraId="3A0CA608">
            <w:pPr>
              <w:pStyle w:val="14"/>
              <w:pBdr>
                <w:bottom w:val="none" w:color="auto" w:sz="0" w:space="0"/>
              </w:pBdr>
              <w:tabs>
                <w:tab w:val="clear" w:pos="4153"/>
                <w:tab w:val="clear" w:pos="8306"/>
              </w:tabs>
              <w:snapToGrid/>
              <w:spacing w:line="240" w:lineRule="exact"/>
              <w:jc w:val="both"/>
              <w:rPr>
                <w:rFonts w:ascii="宋体" w:hAnsi="宋体"/>
              </w:rPr>
            </w:pPr>
            <w:r>
              <w:rPr>
                <w:rFonts w:ascii="宋体" w:hAnsi="宋体"/>
              </w:rPr>
              <w:t>辖区内年综合能源消费量1万吨标准煤及以上的有资质的建筑业、限额以上批发和零售业、限额以上住宿和餐饮业、</w:t>
            </w:r>
            <w:r>
              <w:rPr>
                <w:rFonts w:hint="eastAsia" w:ascii="宋体" w:hAnsi="宋体"/>
                <w:lang w:eastAsia="zh-CN"/>
              </w:rPr>
              <w:t>有开发经营活动的房地产开发经营业</w:t>
            </w:r>
            <w:r>
              <w:rPr>
                <w:rFonts w:ascii="宋体" w:hAnsi="宋体"/>
              </w:rPr>
              <w:t>和规模以上服务业法人单位</w:t>
            </w:r>
          </w:p>
        </w:tc>
        <w:tc>
          <w:tcPr>
            <w:tcW w:w="876" w:type="dxa"/>
            <w:vAlign w:val="center"/>
          </w:tcPr>
          <w:p w14:paraId="19B1A7E6">
            <w:pPr>
              <w:spacing w:line="240" w:lineRule="exact"/>
              <w:jc w:val="center"/>
              <w:rPr>
                <w:rFonts w:ascii="宋体" w:hAnsi="宋体"/>
                <w:sz w:val="18"/>
                <w:szCs w:val="18"/>
              </w:rPr>
            </w:pPr>
            <w:r>
              <w:rPr>
                <w:rFonts w:ascii="宋体" w:hAnsi="宋体"/>
                <w:sz w:val="18"/>
                <w:szCs w:val="18"/>
              </w:rPr>
              <w:t>法人单位</w:t>
            </w:r>
          </w:p>
        </w:tc>
        <w:tc>
          <w:tcPr>
            <w:tcW w:w="1721" w:type="dxa"/>
            <w:vAlign w:val="center"/>
          </w:tcPr>
          <w:p w14:paraId="20AA9136">
            <w:pPr>
              <w:spacing w:line="240" w:lineRule="exact"/>
              <w:ind w:left="2"/>
              <w:rPr>
                <w:rFonts w:ascii="宋体" w:hAnsi="宋体"/>
                <w:sz w:val="18"/>
                <w:szCs w:val="18"/>
              </w:rPr>
            </w:pPr>
            <w:r>
              <w:rPr>
                <w:rFonts w:hint="eastAsia" w:ascii="宋体" w:hAnsi="宋体"/>
                <w:sz w:val="18"/>
                <w:szCs w:val="18"/>
              </w:rPr>
              <w:t>季后10日12:00</w:t>
            </w:r>
            <w:r>
              <w:rPr>
                <w:rFonts w:ascii="宋体" w:hAnsi="宋体"/>
                <w:sz w:val="18"/>
                <w:szCs w:val="18"/>
              </w:rPr>
              <w:t>前网上填报</w:t>
            </w:r>
          </w:p>
        </w:tc>
        <w:tc>
          <w:tcPr>
            <w:tcW w:w="1722" w:type="dxa"/>
            <w:vAlign w:val="center"/>
          </w:tcPr>
          <w:p w14:paraId="50457AFB">
            <w:pPr>
              <w:spacing w:line="240" w:lineRule="exact"/>
              <w:rPr>
                <w:rFonts w:ascii="宋体" w:hAnsi="宋体"/>
                <w:sz w:val="18"/>
                <w:szCs w:val="18"/>
              </w:rPr>
            </w:pPr>
            <w:r>
              <w:rPr>
                <w:rFonts w:hint="eastAsia" w:ascii="宋体" w:hAnsi="宋体"/>
                <w:sz w:val="18"/>
                <w:szCs w:val="18"/>
              </w:rPr>
              <w:t>一、二季度季后12日，三、四季度季后15日，12:00</w:t>
            </w:r>
          </w:p>
        </w:tc>
      </w:tr>
      <w:tr w14:paraId="34C23D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76" w:hRule="atLeast"/>
          <w:jc w:val="center"/>
        </w:trPr>
        <w:tc>
          <w:tcPr>
            <w:tcW w:w="836" w:type="dxa"/>
            <w:tcBorders>
              <w:bottom w:val="single" w:color="auto" w:sz="2" w:space="0"/>
            </w:tcBorders>
            <w:vAlign w:val="center"/>
          </w:tcPr>
          <w:p w14:paraId="43426059">
            <w:pPr>
              <w:spacing w:line="240" w:lineRule="exact"/>
              <w:rPr>
                <w:rFonts w:ascii="宋体" w:hAnsi="宋体"/>
                <w:sz w:val="18"/>
                <w:szCs w:val="18"/>
              </w:rPr>
            </w:pPr>
            <w:r>
              <w:rPr>
                <w:rFonts w:ascii="宋体" w:hAnsi="宋体"/>
                <w:sz w:val="18"/>
                <w:szCs w:val="18"/>
              </w:rPr>
              <w:t>205-6表</w:t>
            </w:r>
          </w:p>
        </w:tc>
        <w:tc>
          <w:tcPr>
            <w:tcW w:w="1794" w:type="dxa"/>
            <w:tcBorders>
              <w:bottom w:val="single" w:color="auto" w:sz="2" w:space="0"/>
            </w:tcBorders>
            <w:vAlign w:val="center"/>
          </w:tcPr>
          <w:p w14:paraId="567168A5">
            <w:pPr>
              <w:spacing w:line="240" w:lineRule="exact"/>
              <w:rPr>
                <w:rFonts w:ascii="宋体" w:hAnsi="宋体"/>
                <w:sz w:val="18"/>
                <w:szCs w:val="18"/>
              </w:rPr>
            </w:pPr>
            <w:r>
              <w:rPr>
                <w:rFonts w:ascii="宋体" w:hAnsi="宋体"/>
                <w:sz w:val="18"/>
                <w:szCs w:val="18"/>
              </w:rPr>
              <w:t>能源生产、销售与库存</w:t>
            </w:r>
          </w:p>
        </w:tc>
        <w:tc>
          <w:tcPr>
            <w:tcW w:w="525" w:type="dxa"/>
            <w:tcBorders>
              <w:bottom w:val="single" w:color="auto" w:sz="2" w:space="0"/>
            </w:tcBorders>
            <w:vAlign w:val="center"/>
          </w:tcPr>
          <w:p w14:paraId="17D299CC">
            <w:pPr>
              <w:spacing w:line="240" w:lineRule="exact"/>
              <w:jc w:val="center"/>
              <w:rPr>
                <w:rFonts w:ascii="宋体" w:hAnsi="宋体"/>
                <w:sz w:val="18"/>
                <w:szCs w:val="18"/>
              </w:rPr>
            </w:pPr>
            <w:r>
              <w:rPr>
                <w:rFonts w:ascii="宋体" w:hAnsi="宋体"/>
                <w:sz w:val="18"/>
                <w:szCs w:val="18"/>
              </w:rPr>
              <w:t>月报</w:t>
            </w:r>
          </w:p>
        </w:tc>
        <w:tc>
          <w:tcPr>
            <w:tcW w:w="1958" w:type="dxa"/>
            <w:tcBorders>
              <w:bottom w:val="single" w:color="auto" w:sz="2" w:space="0"/>
            </w:tcBorders>
            <w:vAlign w:val="center"/>
          </w:tcPr>
          <w:p w14:paraId="6FFC12E7">
            <w:pPr>
              <w:pStyle w:val="14"/>
              <w:pBdr>
                <w:bottom w:val="none" w:color="auto" w:sz="0" w:space="0"/>
              </w:pBdr>
              <w:tabs>
                <w:tab w:val="clear" w:pos="4153"/>
                <w:tab w:val="clear" w:pos="8306"/>
              </w:tabs>
              <w:snapToGrid/>
              <w:spacing w:line="240" w:lineRule="exact"/>
              <w:jc w:val="both"/>
              <w:rPr>
                <w:rFonts w:ascii="宋体" w:hAnsi="宋体"/>
              </w:rPr>
            </w:pPr>
            <w:r>
              <w:rPr>
                <w:rFonts w:ascii="宋体" w:hAnsi="宋体"/>
              </w:rPr>
              <w:t>辖区内规模以上工业、有资质的建筑业、限额以上批发和零售业、限额以上住宿和餐饮业、</w:t>
            </w:r>
            <w:r>
              <w:rPr>
                <w:rFonts w:hint="eastAsia" w:ascii="宋体" w:hAnsi="宋体"/>
                <w:lang w:eastAsia="zh-CN"/>
              </w:rPr>
              <w:t>有开发经营活动的房地产开发经营业</w:t>
            </w:r>
            <w:del w:id="25" w:author="kylin" w:date="2025-10-30T09:53:47Z">
              <w:r>
                <w:rPr>
                  <w:rFonts w:ascii="宋体" w:hAnsi="宋体"/>
                </w:rPr>
                <w:delText>和</w:delText>
              </w:r>
            </w:del>
            <w:ins w:id="26" w:author="kylin" w:date="2025-10-30T09:53:47Z">
              <w:r>
                <w:rPr>
                  <w:rFonts w:hint="eastAsia" w:ascii="宋体" w:hAnsi="宋体"/>
                  <w:lang w:eastAsia="zh-CN"/>
                </w:rPr>
                <w:t>、</w:t>
              </w:r>
            </w:ins>
            <w:r>
              <w:rPr>
                <w:rFonts w:ascii="宋体" w:hAnsi="宋体"/>
              </w:rPr>
              <w:t>规模以上服务业</w:t>
            </w:r>
            <w:r>
              <w:rPr>
                <w:rFonts w:hint="eastAsia" w:ascii="宋体" w:hAnsi="宋体"/>
              </w:rPr>
              <w:t>等重点</w:t>
            </w:r>
            <w:r>
              <w:rPr>
                <w:rFonts w:ascii="宋体" w:hAnsi="宋体"/>
              </w:rPr>
              <w:t>法人单位</w:t>
            </w:r>
            <w:r>
              <w:rPr>
                <w:rFonts w:hint="eastAsia" w:ascii="宋体"/>
                <w:sz w:val="18"/>
              </w:rPr>
              <w:t>和规模以上</w:t>
            </w:r>
            <w:r>
              <w:rPr>
                <w:rFonts w:hint="eastAsia" w:ascii="宋体"/>
                <w:sz w:val="18"/>
                <w:lang w:eastAsia="zh-CN"/>
              </w:rPr>
              <w:t>工业</w:t>
            </w:r>
            <w:r>
              <w:rPr>
                <w:rFonts w:hint="eastAsia" w:ascii="宋体"/>
                <w:sz w:val="18"/>
              </w:rPr>
              <w:t>个体经营户</w:t>
            </w:r>
          </w:p>
        </w:tc>
        <w:tc>
          <w:tcPr>
            <w:tcW w:w="876" w:type="dxa"/>
            <w:tcBorders>
              <w:bottom w:val="single" w:color="auto" w:sz="2" w:space="0"/>
            </w:tcBorders>
            <w:vAlign w:val="center"/>
          </w:tcPr>
          <w:p w14:paraId="538B4CFF">
            <w:pPr>
              <w:spacing w:line="240" w:lineRule="exact"/>
              <w:jc w:val="center"/>
              <w:rPr>
                <w:rFonts w:ascii="宋体" w:hAnsi="宋体"/>
                <w:sz w:val="18"/>
                <w:szCs w:val="18"/>
              </w:rPr>
            </w:pPr>
            <w:r>
              <w:rPr>
                <w:rFonts w:ascii="宋体" w:hAnsi="宋体"/>
                <w:sz w:val="18"/>
                <w:szCs w:val="18"/>
              </w:rPr>
              <w:t>法人单位</w:t>
            </w:r>
            <w:r>
              <w:rPr>
                <w:rFonts w:hint="eastAsia" w:ascii="宋体" w:hAnsi="宋体"/>
                <w:sz w:val="18"/>
                <w:szCs w:val="18"/>
                <w:lang w:eastAsia="zh-CN"/>
              </w:rPr>
              <w:t>和个体经营户</w:t>
            </w:r>
          </w:p>
        </w:tc>
        <w:tc>
          <w:tcPr>
            <w:tcW w:w="1721" w:type="dxa"/>
            <w:tcBorders>
              <w:bottom w:val="single" w:color="auto" w:sz="2" w:space="0"/>
            </w:tcBorders>
            <w:vAlign w:val="center"/>
          </w:tcPr>
          <w:p w14:paraId="75732FB5">
            <w:pPr>
              <w:spacing w:line="240" w:lineRule="exact"/>
              <w:ind w:left="2"/>
              <w:rPr>
                <w:rFonts w:ascii="宋体" w:hAnsi="宋体"/>
                <w:sz w:val="18"/>
                <w:szCs w:val="18"/>
              </w:rPr>
            </w:pPr>
            <w:ins w:id="27" w:author="kylin" w:date="2025-10-17T16:13:23Z">
              <w:r>
                <w:rPr>
                  <w:rFonts w:hint="eastAsia" w:ascii="宋体" w:hAnsi="宋体"/>
                  <w:sz w:val="18"/>
                  <w:szCs w:val="18"/>
                </w:rPr>
                <w:t>2、</w:t>
              </w:r>
            </w:ins>
            <w:ins w:id="28" w:author="kylin" w:date="2025-10-17T16:13:23Z">
              <w:r>
                <w:rPr>
                  <w:rFonts w:hint="default" w:ascii="宋体" w:hAnsi="宋体"/>
                  <w:sz w:val="18"/>
                  <w:szCs w:val="18"/>
                  <w:lang w:val="en-US"/>
                </w:rPr>
                <w:t>10</w:t>
              </w:r>
            </w:ins>
            <w:ins w:id="29" w:author="kylin" w:date="2025-10-17T16:13:23Z">
              <w:r>
                <w:rPr>
                  <w:rFonts w:hint="eastAsia" w:ascii="宋体" w:hAnsi="宋体"/>
                  <w:sz w:val="18"/>
                  <w:szCs w:val="18"/>
                  <w:lang w:val="en-US" w:eastAsia="zh-CN"/>
                </w:rPr>
                <w:t>月月后6日，</w:t>
              </w:r>
            </w:ins>
            <w:ins w:id="30" w:author="kylin" w:date="2025-10-17T16:13:23Z">
              <w:r>
                <w:rPr>
                  <w:rFonts w:hint="eastAsia" w:ascii="宋体" w:hAnsi="宋体"/>
                  <w:sz w:val="18"/>
                  <w:szCs w:val="18"/>
                </w:rPr>
                <w:t>6、7、8、11月月后7日，3</w:t>
              </w:r>
            </w:ins>
            <w:ins w:id="31" w:author="kylin" w:date="2025-10-17T16:13:23Z">
              <w:r>
                <w:rPr>
                  <w:rFonts w:hint="eastAsia" w:ascii="宋体" w:hAnsi="宋体"/>
                  <w:sz w:val="18"/>
                  <w:szCs w:val="18"/>
                  <w:lang w:eastAsia="zh-CN"/>
                </w:rPr>
                <w:t>、</w:t>
              </w:r>
            </w:ins>
            <w:ins w:id="32" w:author="kylin" w:date="2025-10-17T16:13:23Z">
              <w:r>
                <w:rPr>
                  <w:rFonts w:hint="eastAsia" w:ascii="宋体" w:hAnsi="宋体"/>
                  <w:sz w:val="18"/>
                  <w:szCs w:val="18"/>
                  <w:lang w:val="en-US" w:eastAsia="zh-CN"/>
                </w:rPr>
                <w:t>5、12</w:t>
              </w:r>
            </w:ins>
            <w:ins w:id="33" w:author="kylin" w:date="2025-10-17T16:13:23Z">
              <w:r>
                <w:rPr>
                  <w:rFonts w:hint="eastAsia" w:ascii="宋体" w:hAnsi="宋体"/>
                  <w:sz w:val="18"/>
                  <w:szCs w:val="18"/>
                </w:rPr>
                <w:t>月月后8日，4月月后9日</w:t>
              </w:r>
            </w:ins>
            <w:ins w:id="34" w:author="kylin" w:date="2025-10-17T16:13:23Z">
              <w:r>
                <w:rPr>
                  <w:rFonts w:hint="eastAsia" w:ascii="宋体" w:hAnsi="宋体"/>
                  <w:sz w:val="18"/>
                  <w:szCs w:val="18"/>
                  <w:lang w:eastAsia="zh-CN"/>
                </w:rPr>
                <w:t>，</w:t>
              </w:r>
            </w:ins>
            <w:ins w:id="35" w:author="kylin" w:date="2025-10-17T16:13:23Z">
              <w:r>
                <w:rPr>
                  <w:rFonts w:hint="eastAsia" w:ascii="宋体" w:hAnsi="宋体"/>
                  <w:sz w:val="18"/>
                  <w:szCs w:val="18"/>
                  <w:lang w:val="en-US" w:eastAsia="zh-CN"/>
                </w:rPr>
                <w:t>9月月后12日</w:t>
              </w:r>
            </w:ins>
            <w:ins w:id="36" w:author="kylin" w:date="2025-10-17T16:13:23Z">
              <w:r>
                <w:rPr>
                  <w:rFonts w:hint="eastAsia" w:ascii="宋体" w:hAnsi="宋体"/>
                  <w:sz w:val="18"/>
                  <w:szCs w:val="18"/>
                </w:rPr>
                <w:t>12：00前网上填报</w:t>
              </w:r>
            </w:ins>
            <w:del w:id="37" w:author="kylin" w:date="2025-10-17T16:13:23Z">
              <w:r>
                <w:rPr>
                  <w:rFonts w:hint="eastAsia" w:ascii="宋体" w:hAnsi="宋体"/>
                  <w:sz w:val="18"/>
                  <w:szCs w:val="18"/>
                </w:rPr>
                <w:delText>2、5、6、7、8、10、11月月后7日，3月月后8日，4、12月月后9日12：00，9月月后11日18:00前网上填报</w:delText>
              </w:r>
            </w:del>
          </w:p>
        </w:tc>
        <w:tc>
          <w:tcPr>
            <w:tcW w:w="1722" w:type="dxa"/>
            <w:tcBorders>
              <w:bottom w:val="single" w:color="auto" w:sz="2" w:space="0"/>
            </w:tcBorders>
            <w:vAlign w:val="center"/>
          </w:tcPr>
          <w:p w14:paraId="2CDED0DF">
            <w:pPr>
              <w:spacing w:line="240" w:lineRule="exact"/>
              <w:ind w:left="2"/>
              <w:rPr>
                <w:rFonts w:ascii="宋体" w:hAnsi="宋体"/>
                <w:sz w:val="18"/>
                <w:szCs w:val="18"/>
              </w:rPr>
            </w:pPr>
            <w:r>
              <w:rPr>
                <w:rFonts w:hint="eastAsia" w:ascii="宋体" w:hAnsi="宋体"/>
                <w:sz w:val="18"/>
                <w:szCs w:val="18"/>
              </w:rPr>
              <w:t>6、8、10、11月月后10日，2、3、5、7月月后11日，4月月后12日，12月月后13日，9月月后14日12:00</w:t>
            </w:r>
          </w:p>
        </w:tc>
      </w:tr>
      <w:tr w14:paraId="056B7B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76" w:hRule="atLeast"/>
          <w:jc w:val="center"/>
        </w:trPr>
        <w:tc>
          <w:tcPr>
            <w:tcW w:w="836" w:type="dxa"/>
            <w:tcBorders>
              <w:top w:val="single" w:color="auto" w:sz="2" w:space="0"/>
              <w:bottom w:val="single" w:color="auto" w:sz="2" w:space="0"/>
            </w:tcBorders>
            <w:vAlign w:val="center"/>
          </w:tcPr>
          <w:p w14:paraId="57B3F6EB">
            <w:pPr>
              <w:spacing w:line="240" w:lineRule="exact"/>
              <w:rPr>
                <w:rFonts w:ascii="宋体" w:hAnsi="宋体"/>
                <w:sz w:val="18"/>
                <w:szCs w:val="18"/>
              </w:rPr>
            </w:pPr>
            <w:r>
              <w:rPr>
                <w:rFonts w:ascii="宋体" w:hAnsi="宋体"/>
                <w:sz w:val="18"/>
                <w:szCs w:val="18"/>
              </w:rPr>
              <w:t>205-7表</w:t>
            </w:r>
          </w:p>
        </w:tc>
        <w:tc>
          <w:tcPr>
            <w:tcW w:w="1794" w:type="dxa"/>
            <w:tcBorders>
              <w:top w:val="single" w:color="auto" w:sz="2" w:space="0"/>
              <w:bottom w:val="single" w:color="auto" w:sz="2" w:space="0"/>
            </w:tcBorders>
            <w:vAlign w:val="center"/>
          </w:tcPr>
          <w:p w14:paraId="53775B28">
            <w:pPr>
              <w:spacing w:line="240" w:lineRule="exact"/>
              <w:rPr>
                <w:rFonts w:ascii="宋体" w:hAnsi="宋体"/>
                <w:sz w:val="18"/>
                <w:szCs w:val="18"/>
              </w:rPr>
            </w:pPr>
            <w:r>
              <w:rPr>
                <w:rFonts w:ascii="宋体" w:hAnsi="宋体"/>
                <w:sz w:val="18"/>
                <w:szCs w:val="18"/>
              </w:rPr>
              <w:t>重点能源商品经销情况</w:t>
            </w:r>
          </w:p>
        </w:tc>
        <w:tc>
          <w:tcPr>
            <w:tcW w:w="525" w:type="dxa"/>
            <w:tcBorders>
              <w:top w:val="single" w:color="auto" w:sz="2" w:space="0"/>
              <w:bottom w:val="single" w:color="auto" w:sz="2" w:space="0"/>
            </w:tcBorders>
            <w:vAlign w:val="center"/>
          </w:tcPr>
          <w:p w14:paraId="009358F1">
            <w:pPr>
              <w:spacing w:line="240" w:lineRule="exact"/>
              <w:jc w:val="center"/>
              <w:rPr>
                <w:rFonts w:ascii="宋体" w:hAnsi="宋体"/>
                <w:sz w:val="18"/>
                <w:szCs w:val="18"/>
              </w:rPr>
            </w:pPr>
            <w:r>
              <w:rPr>
                <w:rFonts w:ascii="宋体" w:hAnsi="宋体"/>
                <w:sz w:val="18"/>
                <w:szCs w:val="18"/>
              </w:rPr>
              <w:t>月报</w:t>
            </w:r>
          </w:p>
        </w:tc>
        <w:tc>
          <w:tcPr>
            <w:tcW w:w="1958" w:type="dxa"/>
            <w:tcBorders>
              <w:top w:val="single" w:color="auto" w:sz="2" w:space="0"/>
              <w:bottom w:val="single" w:color="auto" w:sz="2" w:space="0"/>
            </w:tcBorders>
            <w:vAlign w:val="center"/>
          </w:tcPr>
          <w:p w14:paraId="34928AA3">
            <w:pPr>
              <w:pStyle w:val="14"/>
              <w:pBdr>
                <w:bottom w:val="none" w:color="auto" w:sz="0" w:space="0"/>
              </w:pBdr>
              <w:tabs>
                <w:tab w:val="clear" w:pos="4153"/>
                <w:tab w:val="clear" w:pos="8306"/>
              </w:tabs>
              <w:snapToGrid/>
              <w:spacing w:line="240" w:lineRule="exact"/>
              <w:jc w:val="both"/>
              <w:rPr>
                <w:rFonts w:ascii="宋体" w:hAnsi="宋体"/>
              </w:rPr>
            </w:pPr>
            <w:r>
              <w:rPr>
                <w:rFonts w:ascii="宋体" w:hAnsi="宋体"/>
              </w:rPr>
              <w:t>辖区内有资质的建筑业、限额以上批发和零售业、限额以上住宿和餐饮业、</w:t>
            </w:r>
            <w:r>
              <w:rPr>
                <w:rFonts w:hint="eastAsia" w:ascii="宋体" w:hAnsi="宋体"/>
                <w:lang w:eastAsia="zh-CN"/>
              </w:rPr>
              <w:t>有开发经营活动的房地产开发经营业</w:t>
            </w:r>
            <w:r>
              <w:rPr>
                <w:rFonts w:ascii="宋体" w:hAnsi="宋体"/>
              </w:rPr>
              <w:t>和规模以上服务业</w:t>
            </w:r>
            <w:r>
              <w:rPr>
                <w:rFonts w:hint="eastAsia" w:ascii="宋体" w:hAnsi="宋体"/>
              </w:rPr>
              <w:t>等重点</w:t>
            </w:r>
            <w:r>
              <w:rPr>
                <w:rFonts w:ascii="宋体" w:hAnsi="宋体"/>
              </w:rPr>
              <w:t>法人单位</w:t>
            </w:r>
          </w:p>
        </w:tc>
        <w:tc>
          <w:tcPr>
            <w:tcW w:w="876" w:type="dxa"/>
            <w:tcBorders>
              <w:top w:val="single" w:color="auto" w:sz="2" w:space="0"/>
              <w:bottom w:val="single" w:color="auto" w:sz="2" w:space="0"/>
            </w:tcBorders>
            <w:vAlign w:val="center"/>
          </w:tcPr>
          <w:p w14:paraId="709329F9">
            <w:pPr>
              <w:spacing w:line="240" w:lineRule="exact"/>
              <w:jc w:val="center"/>
              <w:rPr>
                <w:rFonts w:ascii="宋体" w:hAnsi="宋体"/>
                <w:sz w:val="18"/>
                <w:szCs w:val="18"/>
              </w:rPr>
            </w:pPr>
            <w:r>
              <w:rPr>
                <w:rFonts w:ascii="宋体" w:hAnsi="宋体"/>
                <w:sz w:val="18"/>
                <w:szCs w:val="18"/>
              </w:rPr>
              <w:t>法人单位</w:t>
            </w:r>
          </w:p>
        </w:tc>
        <w:tc>
          <w:tcPr>
            <w:tcW w:w="1721" w:type="dxa"/>
            <w:tcBorders>
              <w:top w:val="single" w:color="auto" w:sz="2" w:space="0"/>
              <w:bottom w:val="single" w:color="auto" w:sz="2" w:space="0"/>
            </w:tcBorders>
            <w:vAlign w:val="center"/>
          </w:tcPr>
          <w:p w14:paraId="68F56B80">
            <w:pPr>
              <w:spacing w:line="240" w:lineRule="exact"/>
              <w:jc w:val="center"/>
              <w:rPr>
                <w:rFonts w:ascii="宋体" w:hAnsi="宋体"/>
                <w:sz w:val="18"/>
                <w:szCs w:val="18"/>
              </w:rPr>
            </w:pPr>
            <w:r>
              <w:rPr>
                <w:rFonts w:ascii="宋体" w:hAnsi="宋体"/>
                <w:sz w:val="18"/>
                <w:szCs w:val="18"/>
              </w:rPr>
              <w:t>同上</w:t>
            </w:r>
          </w:p>
        </w:tc>
        <w:tc>
          <w:tcPr>
            <w:tcW w:w="1722" w:type="dxa"/>
            <w:tcBorders>
              <w:top w:val="single" w:color="auto" w:sz="2" w:space="0"/>
              <w:bottom w:val="single" w:color="auto" w:sz="2" w:space="0"/>
            </w:tcBorders>
            <w:vAlign w:val="center"/>
          </w:tcPr>
          <w:p w14:paraId="60539F89">
            <w:pPr>
              <w:spacing w:line="240" w:lineRule="exact"/>
              <w:jc w:val="center"/>
              <w:rPr>
                <w:rFonts w:ascii="宋体" w:hAnsi="宋体"/>
                <w:sz w:val="18"/>
                <w:szCs w:val="18"/>
              </w:rPr>
            </w:pPr>
            <w:r>
              <w:rPr>
                <w:rFonts w:ascii="宋体" w:hAnsi="宋体"/>
                <w:sz w:val="18"/>
                <w:szCs w:val="18"/>
              </w:rPr>
              <w:t>同上</w:t>
            </w:r>
          </w:p>
        </w:tc>
      </w:tr>
      <w:tr w14:paraId="0189B7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076" w:hRule="atLeast"/>
          <w:jc w:val="center"/>
        </w:trPr>
        <w:tc>
          <w:tcPr>
            <w:tcW w:w="836" w:type="dxa"/>
            <w:tcBorders>
              <w:top w:val="single" w:color="auto" w:sz="2" w:space="0"/>
              <w:bottom w:val="single" w:color="auto" w:sz="8" w:space="0"/>
            </w:tcBorders>
            <w:vAlign w:val="center"/>
          </w:tcPr>
          <w:p w14:paraId="77337FC2">
            <w:pPr>
              <w:spacing w:line="240" w:lineRule="exact"/>
              <w:rPr>
                <w:rFonts w:hint="default" w:ascii="宋体" w:hAnsi="宋体" w:eastAsia="宋体"/>
                <w:sz w:val="18"/>
                <w:szCs w:val="18"/>
                <w:lang w:val="en-US" w:eastAsia="zh-CN"/>
              </w:rPr>
            </w:pPr>
            <w:r>
              <w:rPr>
                <w:rFonts w:hint="eastAsia" w:ascii="宋体" w:hAnsi="宋体"/>
                <w:sz w:val="18"/>
                <w:szCs w:val="18"/>
                <w:lang w:val="en-US" w:eastAsia="zh-CN"/>
              </w:rPr>
              <w:t>P206表</w:t>
            </w:r>
          </w:p>
        </w:tc>
        <w:tc>
          <w:tcPr>
            <w:tcW w:w="1794" w:type="dxa"/>
            <w:tcBorders>
              <w:top w:val="single" w:color="auto" w:sz="2" w:space="0"/>
              <w:bottom w:val="single" w:color="auto" w:sz="8" w:space="0"/>
            </w:tcBorders>
            <w:vAlign w:val="center"/>
          </w:tcPr>
          <w:p w14:paraId="08A25356">
            <w:pPr>
              <w:spacing w:line="240" w:lineRule="exact"/>
              <w:rPr>
                <w:rFonts w:hint="eastAsia" w:ascii="宋体" w:hAnsi="宋体" w:eastAsia="宋体"/>
                <w:sz w:val="18"/>
                <w:szCs w:val="18"/>
                <w:lang w:eastAsia="zh-CN"/>
              </w:rPr>
            </w:pPr>
            <w:r>
              <w:rPr>
                <w:rFonts w:hint="eastAsia" w:ascii="宋体" w:hAnsi="宋体"/>
                <w:sz w:val="18"/>
                <w:szCs w:val="18"/>
                <w:lang w:eastAsia="zh-CN"/>
              </w:rPr>
              <w:t>四下企业主要能源产品产量</w:t>
            </w:r>
          </w:p>
        </w:tc>
        <w:tc>
          <w:tcPr>
            <w:tcW w:w="525" w:type="dxa"/>
            <w:tcBorders>
              <w:top w:val="single" w:color="auto" w:sz="2" w:space="0"/>
              <w:bottom w:val="single" w:color="auto" w:sz="8" w:space="0"/>
            </w:tcBorders>
            <w:vAlign w:val="center"/>
          </w:tcPr>
          <w:p w14:paraId="3D828173">
            <w:pPr>
              <w:spacing w:line="240" w:lineRule="exact"/>
              <w:jc w:val="center"/>
              <w:rPr>
                <w:rFonts w:hint="eastAsia" w:ascii="宋体" w:hAnsi="宋体" w:eastAsia="宋体"/>
                <w:sz w:val="18"/>
                <w:szCs w:val="18"/>
                <w:lang w:eastAsia="zh-CN"/>
              </w:rPr>
            </w:pPr>
            <w:r>
              <w:rPr>
                <w:rFonts w:hint="eastAsia" w:ascii="宋体" w:hAnsi="宋体"/>
                <w:sz w:val="18"/>
                <w:szCs w:val="18"/>
                <w:lang w:eastAsia="zh-CN"/>
              </w:rPr>
              <w:t>半年报</w:t>
            </w:r>
          </w:p>
        </w:tc>
        <w:tc>
          <w:tcPr>
            <w:tcW w:w="1958" w:type="dxa"/>
            <w:tcBorders>
              <w:top w:val="single" w:color="auto" w:sz="2" w:space="0"/>
              <w:bottom w:val="single" w:color="auto" w:sz="8" w:space="0"/>
            </w:tcBorders>
            <w:vAlign w:val="center"/>
          </w:tcPr>
          <w:p w14:paraId="67790EC3">
            <w:pPr>
              <w:pStyle w:val="14"/>
              <w:pBdr>
                <w:bottom w:val="none" w:color="auto" w:sz="0" w:space="0"/>
              </w:pBdr>
              <w:tabs>
                <w:tab w:val="clear" w:pos="4153"/>
                <w:tab w:val="clear" w:pos="8306"/>
              </w:tabs>
              <w:snapToGrid/>
              <w:spacing w:line="240" w:lineRule="exact"/>
              <w:jc w:val="both"/>
              <w:rPr>
                <w:rFonts w:ascii="宋体" w:hAnsi="宋体"/>
              </w:rPr>
            </w:pPr>
            <w:r>
              <w:rPr>
                <w:rFonts w:hint="eastAsia" w:ascii="宋体" w:hAnsi="宋体"/>
                <w:sz w:val="18"/>
                <w:szCs w:val="18"/>
              </w:rPr>
              <w:t>辖区内有原煤、天然气和火电生产的规模以下工业、资质外的建筑业、限额以下批发和零售业、限额以下住宿和餐饮业和规模以下服务业等重点法人单位</w:t>
            </w:r>
          </w:p>
        </w:tc>
        <w:tc>
          <w:tcPr>
            <w:tcW w:w="876" w:type="dxa"/>
            <w:tcBorders>
              <w:top w:val="single" w:color="auto" w:sz="2" w:space="0"/>
              <w:bottom w:val="single" w:color="auto" w:sz="8" w:space="0"/>
            </w:tcBorders>
            <w:vAlign w:val="center"/>
          </w:tcPr>
          <w:p w14:paraId="4669A51E">
            <w:pPr>
              <w:spacing w:line="240" w:lineRule="exact"/>
              <w:jc w:val="center"/>
              <w:rPr>
                <w:rFonts w:hint="eastAsia" w:ascii="宋体" w:hAnsi="宋体" w:eastAsia="宋体"/>
                <w:sz w:val="18"/>
                <w:szCs w:val="18"/>
                <w:lang w:eastAsia="zh-CN"/>
              </w:rPr>
            </w:pPr>
            <w:r>
              <w:rPr>
                <w:rFonts w:hint="eastAsia" w:ascii="宋体" w:hAnsi="宋体"/>
                <w:sz w:val="18"/>
                <w:szCs w:val="18"/>
                <w:lang w:eastAsia="zh-CN"/>
              </w:rPr>
              <w:t>同上</w:t>
            </w:r>
          </w:p>
        </w:tc>
        <w:tc>
          <w:tcPr>
            <w:tcW w:w="1721" w:type="dxa"/>
            <w:tcBorders>
              <w:top w:val="single" w:color="auto" w:sz="2" w:space="0"/>
              <w:bottom w:val="single" w:color="auto" w:sz="8" w:space="0"/>
            </w:tcBorders>
            <w:vAlign w:val="center"/>
          </w:tcPr>
          <w:p w14:paraId="544BD333">
            <w:pPr>
              <w:spacing w:line="240" w:lineRule="exact"/>
              <w:jc w:val="both"/>
              <w:rPr>
                <w:rFonts w:hint="default" w:ascii="宋体" w:hAnsi="宋体" w:eastAsia="宋体"/>
                <w:sz w:val="18"/>
                <w:szCs w:val="18"/>
                <w:lang w:val="en-US" w:eastAsia="zh-CN"/>
              </w:rPr>
            </w:pPr>
            <w:r>
              <w:rPr>
                <w:rFonts w:hint="eastAsia" w:ascii="宋体" w:hAnsi="宋体"/>
                <w:sz w:val="18"/>
                <w:szCs w:val="18"/>
                <w:lang w:eastAsia="zh-CN"/>
              </w:rPr>
              <w:t>上半年免报，下半年次年</w:t>
            </w:r>
            <w:r>
              <w:rPr>
                <w:rFonts w:hint="eastAsia" w:ascii="宋体" w:hAnsi="宋体"/>
                <w:sz w:val="18"/>
                <w:szCs w:val="18"/>
                <w:lang w:val="en-US" w:eastAsia="zh-CN"/>
              </w:rPr>
              <w:t>1月12日</w:t>
            </w:r>
            <w:r>
              <w:rPr>
                <w:rFonts w:hint="eastAsia" w:ascii="宋体" w:hAnsi="宋体"/>
                <w:sz w:val="18"/>
                <w:szCs w:val="18"/>
              </w:rPr>
              <w:t>12:00前</w:t>
            </w:r>
            <w:r>
              <w:rPr>
                <w:rFonts w:ascii="宋体" w:hAnsi="宋体"/>
                <w:sz w:val="18"/>
                <w:szCs w:val="18"/>
              </w:rPr>
              <w:t>网上填报</w:t>
            </w:r>
          </w:p>
        </w:tc>
        <w:tc>
          <w:tcPr>
            <w:tcW w:w="1722" w:type="dxa"/>
            <w:tcBorders>
              <w:top w:val="single" w:color="auto" w:sz="2" w:space="0"/>
              <w:bottom w:val="single" w:color="auto" w:sz="8" w:space="0"/>
            </w:tcBorders>
            <w:vAlign w:val="center"/>
          </w:tcPr>
          <w:p w14:paraId="113F8F17">
            <w:pPr>
              <w:spacing w:line="240" w:lineRule="exact"/>
              <w:jc w:val="center"/>
              <w:rPr>
                <w:rFonts w:ascii="宋体" w:hAnsi="宋体"/>
                <w:sz w:val="18"/>
                <w:szCs w:val="18"/>
              </w:rPr>
            </w:pPr>
            <w:r>
              <w:rPr>
                <w:rFonts w:ascii="宋体" w:hAnsi="宋体"/>
              </w:rPr>
              <w:t>—</w:t>
            </w:r>
          </w:p>
        </w:tc>
      </w:tr>
    </w:tbl>
    <w:p w14:paraId="3601807D">
      <w:r>
        <w:br w:type="page"/>
      </w:r>
    </w:p>
    <w:tbl>
      <w:tblPr>
        <w:tblStyle w:val="20"/>
        <w:tblW w:w="5014"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899"/>
        <w:gridCol w:w="1498"/>
        <w:gridCol w:w="686"/>
        <w:gridCol w:w="2642"/>
        <w:gridCol w:w="1852"/>
        <w:gridCol w:w="1918"/>
      </w:tblGrid>
      <w:tr w14:paraId="1682AD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709" w:hRule="atLeast"/>
          <w:tblHeader/>
          <w:jc w:val="center"/>
        </w:trPr>
        <w:tc>
          <w:tcPr>
            <w:tcW w:w="474" w:type="pct"/>
            <w:tcBorders>
              <w:top w:val="single" w:color="auto" w:sz="8" w:space="0"/>
              <w:bottom w:val="single" w:color="auto" w:sz="2" w:space="0"/>
            </w:tcBorders>
            <w:vAlign w:val="center"/>
          </w:tcPr>
          <w:p w14:paraId="4FEC75CE">
            <w:pPr>
              <w:spacing w:line="200" w:lineRule="exact"/>
              <w:jc w:val="center"/>
              <w:rPr>
                <w:rFonts w:ascii="宋体" w:hAnsi="宋体"/>
                <w:sz w:val="18"/>
                <w:szCs w:val="18"/>
              </w:rPr>
            </w:pPr>
            <w:r>
              <w:rPr>
                <w:rFonts w:ascii="宋体" w:hAnsi="宋体"/>
                <w:sz w:val="18"/>
                <w:szCs w:val="18"/>
              </w:rPr>
              <w:t>表号</w:t>
            </w:r>
          </w:p>
        </w:tc>
        <w:tc>
          <w:tcPr>
            <w:tcW w:w="789" w:type="pct"/>
            <w:tcBorders>
              <w:top w:val="single" w:color="auto" w:sz="8" w:space="0"/>
              <w:bottom w:val="single" w:color="auto" w:sz="2" w:space="0"/>
            </w:tcBorders>
            <w:vAlign w:val="center"/>
          </w:tcPr>
          <w:p w14:paraId="6DF89B66">
            <w:pPr>
              <w:spacing w:line="200" w:lineRule="exact"/>
              <w:jc w:val="center"/>
              <w:rPr>
                <w:rFonts w:ascii="宋体" w:hAnsi="宋体"/>
                <w:sz w:val="18"/>
                <w:szCs w:val="18"/>
              </w:rPr>
            </w:pPr>
            <w:r>
              <w:rPr>
                <w:rFonts w:ascii="宋体" w:hAnsi="宋体"/>
                <w:sz w:val="18"/>
                <w:szCs w:val="18"/>
              </w:rPr>
              <w:t>表名</w:t>
            </w:r>
          </w:p>
        </w:tc>
        <w:tc>
          <w:tcPr>
            <w:tcW w:w="361" w:type="pct"/>
            <w:tcBorders>
              <w:top w:val="single" w:color="auto" w:sz="8" w:space="0"/>
              <w:bottom w:val="single" w:color="auto" w:sz="2" w:space="0"/>
            </w:tcBorders>
            <w:vAlign w:val="center"/>
          </w:tcPr>
          <w:p w14:paraId="637DB737">
            <w:pPr>
              <w:spacing w:line="200" w:lineRule="exact"/>
              <w:jc w:val="center"/>
              <w:rPr>
                <w:rFonts w:ascii="宋体" w:hAnsi="宋体"/>
                <w:sz w:val="18"/>
                <w:szCs w:val="18"/>
              </w:rPr>
            </w:pPr>
            <w:r>
              <w:rPr>
                <w:rFonts w:ascii="宋体" w:hAnsi="宋体"/>
                <w:sz w:val="18"/>
                <w:szCs w:val="18"/>
              </w:rPr>
              <w:t>报告</w:t>
            </w:r>
          </w:p>
          <w:p w14:paraId="666454C6">
            <w:pPr>
              <w:spacing w:line="200" w:lineRule="exact"/>
              <w:jc w:val="center"/>
              <w:rPr>
                <w:rFonts w:ascii="宋体" w:hAnsi="宋体"/>
                <w:sz w:val="18"/>
                <w:szCs w:val="18"/>
              </w:rPr>
            </w:pPr>
            <w:r>
              <w:rPr>
                <w:rFonts w:ascii="宋体" w:hAnsi="宋体"/>
                <w:sz w:val="18"/>
                <w:szCs w:val="18"/>
              </w:rPr>
              <w:t>期别</w:t>
            </w:r>
          </w:p>
        </w:tc>
        <w:tc>
          <w:tcPr>
            <w:tcW w:w="1391" w:type="pct"/>
            <w:tcBorders>
              <w:top w:val="single" w:color="auto" w:sz="8" w:space="0"/>
              <w:bottom w:val="single" w:color="auto" w:sz="2" w:space="0"/>
            </w:tcBorders>
            <w:vAlign w:val="center"/>
          </w:tcPr>
          <w:p w14:paraId="05EB3FFD">
            <w:pPr>
              <w:spacing w:line="200" w:lineRule="exact"/>
              <w:jc w:val="center"/>
              <w:rPr>
                <w:rFonts w:ascii="宋体" w:hAnsi="宋体"/>
                <w:sz w:val="18"/>
                <w:szCs w:val="18"/>
              </w:rPr>
            </w:pPr>
            <w:r>
              <w:rPr>
                <w:rFonts w:ascii="宋体" w:hAnsi="宋体"/>
                <w:sz w:val="18"/>
                <w:szCs w:val="18"/>
              </w:rPr>
              <w:t>统计范围</w:t>
            </w:r>
          </w:p>
        </w:tc>
        <w:tc>
          <w:tcPr>
            <w:tcW w:w="975" w:type="pct"/>
            <w:tcBorders>
              <w:top w:val="single" w:color="auto" w:sz="8" w:space="0"/>
              <w:bottom w:val="single" w:color="auto" w:sz="2" w:space="0"/>
            </w:tcBorders>
            <w:vAlign w:val="center"/>
          </w:tcPr>
          <w:p w14:paraId="4FE3FD9D">
            <w:pPr>
              <w:spacing w:line="200" w:lineRule="exact"/>
              <w:jc w:val="center"/>
              <w:rPr>
                <w:rFonts w:ascii="宋体" w:hAnsi="宋体"/>
                <w:sz w:val="18"/>
                <w:szCs w:val="18"/>
              </w:rPr>
            </w:pPr>
            <w:r>
              <w:rPr>
                <w:rFonts w:ascii="宋体" w:hAnsi="宋体"/>
                <w:sz w:val="18"/>
                <w:szCs w:val="18"/>
              </w:rPr>
              <w:t>报送单位</w:t>
            </w:r>
          </w:p>
        </w:tc>
        <w:tc>
          <w:tcPr>
            <w:tcW w:w="1007" w:type="pct"/>
            <w:tcBorders>
              <w:top w:val="single" w:color="auto" w:sz="8" w:space="0"/>
              <w:bottom w:val="single" w:color="auto" w:sz="2" w:space="0"/>
            </w:tcBorders>
            <w:vAlign w:val="center"/>
          </w:tcPr>
          <w:p w14:paraId="1FEDB175">
            <w:pPr>
              <w:spacing w:line="200" w:lineRule="exact"/>
              <w:jc w:val="center"/>
              <w:rPr>
                <w:rFonts w:ascii="宋体" w:hAnsi="宋体"/>
                <w:sz w:val="18"/>
                <w:szCs w:val="18"/>
              </w:rPr>
            </w:pPr>
            <w:r>
              <w:rPr>
                <w:rFonts w:ascii="宋体" w:hAnsi="宋体"/>
                <w:sz w:val="18"/>
                <w:szCs w:val="18"/>
              </w:rPr>
              <w:t>报送时间</w:t>
            </w:r>
          </w:p>
          <w:p w14:paraId="71A9639C">
            <w:pPr>
              <w:spacing w:line="200" w:lineRule="exact"/>
              <w:jc w:val="center"/>
              <w:rPr>
                <w:rFonts w:ascii="宋体" w:hAnsi="宋体"/>
                <w:sz w:val="18"/>
                <w:szCs w:val="18"/>
              </w:rPr>
            </w:pPr>
            <w:r>
              <w:rPr>
                <w:rFonts w:ascii="宋体" w:hAnsi="宋体"/>
                <w:sz w:val="18"/>
                <w:szCs w:val="18"/>
              </w:rPr>
              <w:t>及</w:t>
            </w:r>
            <w:r>
              <w:rPr>
                <w:rFonts w:hint="eastAsia" w:ascii="宋体" w:hAnsi="宋体"/>
                <w:sz w:val="18"/>
                <w:szCs w:val="18"/>
              </w:rPr>
              <w:t xml:space="preserve"> </w:t>
            </w:r>
            <w:r>
              <w:rPr>
                <w:rFonts w:ascii="宋体" w:hAnsi="宋体"/>
                <w:sz w:val="18"/>
                <w:szCs w:val="18"/>
              </w:rPr>
              <w:t>方</w:t>
            </w:r>
            <w:r>
              <w:rPr>
                <w:rFonts w:hint="eastAsia" w:ascii="宋体" w:hAnsi="宋体"/>
                <w:sz w:val="18"/>
                <w:szCs w:val="18"/>
              </w:rPr>
              <w:t xml:space="preserve"> </w:t>
            </w:r>
            <w:r>
              <w:rPr>
                <w:rFonts w:ascii="宋体" w:hAnsi="宋体"/>
                <w:sz w:val="18"/>
                <w:szCs w:val="18"/>
              </w:rPr>
              <w:t>式</w:t>
            </w:r>
          </w:p>
        </w:tc>
      </w:tr>
      <w:tr w14:paraId="593D5C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000" w:type="pct"/>
            <w:gridSpan w:val="6"/>
            <w:vAlign w:val="center"/>
          </w:tcPr>
          <w:p w14:paraId="5A9767E7">
            <w:pPr>
              <w:spacing w:line="240" w:lineRule="exact"/>
              <w:rPr>
                <w:rFonts w:ascii="宋体" w:hAnsi="宋体"/>
                <w:sz w:val="18"/>
                <w:szCs w:val="18"/>
              </w:rPr>
            </w:pPr>
            <w:r>
              <w:rPr>
                <w:rFonts w:ascii="宋体" w:hAnsi="宋体"/>
                <w:sz w:val="18"/>
                <w:szCs w:val="18"/>
              </w:rPr>
              <w:t>（</w:t>
            </w:r>
            <w:r>
              <w:rPr>
                <w:rFonts w:hint="eastAsia" w:ascii="宋体" w:hAnsi="宋体" w:eastAsia="宋体"/>
                <w:sz w:val="18"/>
                <w:szCs w:val="18"/>
                <w:lang w:eastAsia="zh-CN"/>
              </w:rPr>
              <w:t>二</w:t>
            </w:r>
            <w:r>
              <w:rPr>
                <w:rFonts w:ascii="宋体" w:hAnsi="宋体"/>
                <w:sz w:val="18"/>
                <w:szCs w:val="18"/>
              </w:rPr>
              <w:t>）</w:t>
            </w:r>
            <w:r>
              <w:rPr>
                <w:rFonts w:hint="default" w:ascii="宋体" w:hAnsi="宋体"/>
                <w:sz w:val="18"/>
                <w:szCs w:val="18"/>
              </w:rPr>
              <w:t>综合年报</w:t>
            </w:r>
            <w:r>
              <w:rPr>
                <w:rFonts w:ascii="宋体" w:hAnsi="宋体"/>
                <w:sz w:val="18"/>
                <w:szCs w:val="18"/>
              </w:rPr>
              <w:t>表式</w:t>
            </w:r>
          </w:p>
        </w:tc>
      </w:tr>
      <w:tr w14:paraId="7DD9B4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58" w:hRule="atLeast"/>
          <w:jc w:val="center"/>
        </w:trPr>
        <w:tc>
          <w:tcPr>
            <w:tcW w:w="474" w:type="pct"/>
            <w:vAlign w:val="center"/>
          </w:tcPr>
          <w:p w14:paraId="00CF461E">
            <w:pPr>
              <w:spacing w:line="240" w:lineRule="exact"/>
              <w:rPr>
                <w:rFonts w:ascii="宋体" w:hAnsi="宋体"/>
                <w:sz w:val="18"/>
                <w:szCs w:val="18"/>
              </w:rPr>
            </w:pPr>
            <w:r>
              <w:rPr>
                <w:rFonts w:ascii="宋体" w:hAnsi="宋体"/>
                <w:sz w:val="18"/>
                <w:szCs w:val="18"/>
              </w:rPr>
              <w:t>P303-1表</w:t>
            </w:r>
          </w:p>
        </w:tc>
        <w:tc>
          <w:tcPr>
            <w:tcW w:w="789" w:type="pct"/>
            <w:vAlign w:val="center"/>
          </w:tcPr>
          <w:p w14:paraId="68BD37F1">
            <w:pPr>
              <w:spacing w:line="240" w:lineRule="exact"/>
              <w:rPr>
                <w:rFonts w:ascii="宋体" w:hAnsi="宋体"/>
                <w:sz w:val="18"/>
                <w:szCs w:val="18"/>
              </w:rPr>
            </w:pPr>
            <w:r>
              <w:rPr>
                <w:rFonts w:ascii="宋体" w:hAnsi="宋体"/>
                <w:sz w:val="18"/>
                <w:szCs w:val="18"/>
              </w:rPr>
              <w:t>能源平衡表(实物量)</w:t>
            </w:r>
          </w:p>
        </w:tc>
        <w:tc>
          <w:tcPr>
            <w:tcW w:w="361" w:type="pct"/>
            <w:vAlign w:val="center"/>
          </w:tcPr>
          <w:p w14:paraId="44DDDE8F">
            <w:pPr>
              <w:pStyle w:val="14"/>
              <w:pBdr>
                <w:bottom w:val="none" w:color="auto" w:sz="0" w:space="0"/>
              </w:pBdr>
              <w:tabs>
                <w:tab w:val="clear" w:pos="4153"/>
                <w:tab w:val="clear" w:pos="8306"/>
              </w:tabs>
              <w:snapToGrid/>
              <w:spacing w:line="240" w:lineRule="exact"/>
              <w:rPr>
                <w:rFonts w:ascii="宋体" w:hAnsi="宋体"/>
                <w:sz w:val="18"/>
                <w:szCs w:val="18"/>
              </w:rPr>
            </w:pPr>
            <w:r>
              <w:rPr>
                <w:rFonts w:ascii="宋体" w:hAnsi="宋体"/>
              </w:rPr>
              <w:t>年报</w:t>
            </w:r>
          </w:p>
        </w:tc>
        <w:tc>
          <w:tcPr>
            <w:tcW w:w="1391" w:type="pct"/>
            <w:vAlign w:val="center"/>
          </w:tcPr>
          <w:p w14:paraId="11B490B2">
            <w:pPr>
              <w:spacing w:line="240" w:lineRule="exact"/>
              <w:rPr>
                <w:rFonts w:ascii="宋体" w:hAnsi="宋体"/>
                <w:sz w:val="18"/>
                <w:szCs w:val="18"/>
              </w:rPr>
            </w:pPr>
            <w:r>
              <w:rPr>
                <w:rFonts w:ascii="宋体" w:hAnsi="宋体"/>
                <w:sz w:val="18"/>
                <w:szCs w:val="18"/>
              </w:rPr>
              <w:t>辖区内除军队系统以外的全部能源生产和消费活动</w:t>
            </w:r>
          </w:p>
        </w:tc>
        <w:tc>
          <w:tcPr>
            <w:tcW w:w="975" w:type="pct"/>
            <w:vAlign w:val="center"/>
          </w:tcPr>
          <w:p w14:paraId="61A00126">
            <w:pPr>
              <w:spacing w:line="240" w:lineRule="exact"/>
              <w:rPr>
                <w:rFonts w:ascii="宋体" w:hAnsi="宋体"/>
                <w:sz w:val="18"/>
                <w:szCs w:val="18"/>
              </w:rPr>
            </w:pPr>
            <w:r>
              <w:rPr>
                <w:rFonts w:ascii="宋体" w:hAnsi="宋体"/>
                <w:sz w:val="18"/>
                <w:szCs w:val="18"/>
              </w:rPr>
              <w:t>各省、自治区、直辖市统计局</w:t>
            </w:r>
          </w:p>
        </w:tc>
        <w:tc>
          <w:tcPr>
            <w:tcW w:w="1007" w:type="pct"/>
            <w:vAlign w:val="center"/>
          </w:tcPr>
          <w:p w14:paraId="4960E6C3">
            <w:pPr>
              <w:spacing w:line="240" w:lineRule="exact"/>
              <w:rPr>
                <w:rFonts w:ascii="宋体" w:hAnsi="宋体"/>
                <w:sz w:val="18"/>
                <w:szCs w:val="18"/>
              </w:rPr>
            </w:pPr>
            <w:r>
              <w:rPr>
                <w:rFonts w:ascii="宋体" w:hAnsi="宋体"/>
                <w:sz w:val="18"/>
                <w:szCs w:val="18"/>
              </w:rPr>
              <w:t>次年5月31日前；电子邮件</w:t>
            </w:r>
          </w:p>
        </w:tc>
      </w:tr>
      <w:tr w14:paraId="792DAA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58" w:hRule="atLeast"/>
          <w:jc w:val="center"/>
        </w:trPr>
        <w:tc>
          <w:tcPr>
            <w:tcW w:w="474" w:type="pct"/>
            <w:vAlign w:val="center"/>
          </w:tcPr>
          <w:p w14:paraId="062B55C2">
            <w:pPr>
              <w:spacing w:line="240" w:lineRule="exact"/>
              <w:rPr>
                <w:rFonts w:ascii="宋体" w:hAnsi="宋体"/>
                <w:sz w:val="18"/>
                <w:szCs w:val="18"/>
              </w:rPr>
            </w:pPr>
            <w:r>
              <w:rPr>
                <w:rFonts w:ascii="宋体" w:hAnsi="宋体"/>
                <w:sz w:val="18"/>
                <w:szCs w:val="18"/>
              </w:rPr>
              <w:t>P303-2表</w:t>
            </w:r>
          </w:p>
        </w:tc>
        <w:tc>
          <w:tcPr>
            <w:tcW w:w="789" w:type="pct"/>
            <w:vAlign w:val="center"/>
          </w:tcPr>
          <w:p w14:paraId="333B336C">
            <w:pPr>
              <w:spacing w:line="240" w:lineRule="exact"/>
              <w:rPr>
                <w:rFonts w:ascii="宋体" w:hAnsi="宋体"/>
                <w:sz w:val="18"/>
                <w:szCs w:val="18"/>
              </w:rPr>
            </w:pPr>
            <w:r>
              <w:rPr>
                <w:rFonts w:ascii="宋体" w:hAnsi="宋体"/>
                <w:sz w:val="18"/>
                <w:szCs w:val="18"/>
              </w:rPr>
              <w:t>分行业能源消费量(实物量)</w:t>
            </w:r>
          </w:p>
        </w:tc>
        <w:tc>
          <w:tcPr>
            <w:tcW w:w="361" w:type="pct"/>
            <w:vAlign w:val="center"/>
          </w:tcPr>
          <w:p w14:paraId="6BEDF3A3">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03A405B0">
            <w:pPr>
              <w:spacing w:line="240" w:lineRule="exact"/>
              <w:jc w:val="center"/>
              <w:rPr>
                <w:rFonts w:ascii="宋体" w:hAnsi="宋体"/>
                <w:sz w:val="18"/>
                <w:szCs w:val="18"/>
              </w:rPr>
            </w:pPr>
            <w:r>
              <w:rPr>
                <w:rFonts w:ascii="宋体" w:hAnsi="宋体"/>
                <w:sz w:val="18"/>
                <w:szCs w:val="18"/>
              </w:rPr>
              <w:t>同上</w:t>
            </w:r>
          </w:p>
        </w:tc>
        <w:tc>
          <w:tcPr>
            <w:tcW w:w="975" w:type="pct"/>
            <w:vAlign w:val="center"/>
          </w:tcPr>
          <w:p w14:paraId="44962CF4">
            <w:pPr>
              <w:spacing w:line="240" w:lineRule="exact"/>
              <w:jc w:val="center"/>
              <w:rPr>
                <w:rFonts w:ascii="宋体" w:hAnsi="宋体"/>
                <w:sz w:val="18"/>
                <w:szCs w:val="18"/>
              </w:rPr>
            </w:pPr>
            <w:r>
              <w:rPr>
                <w:rFonts w:ascii="宋体" w:hAnsi="宋体"/>
                <w:sz w:val="18"/>
                <w:szCs w:val="18"/>
              </w:rPr>
              <w:t>同上</w:t>
            </w:r>
          </w:p>
        </w:tc>
        <w:tc>
          <w:tcPr>
            <w:tcW w:w="1007" w:type="pct"/>
            <w:vAlign w:val="center"/>
          </w:tcPr>
          <w:p w14:paraId="5D922D3F">
            <w:pPr>
              <w:spacing w:line="240" w:lineRule="exact"/>
              <w:jc w:val="center"/>
              <w:rPr>
                <w:rFonts w:ascii="宋体" w:hAnsi="宋体"/>
                <w:sz w:val="18"/>
                <w:szCs w:val="18"/>
              </w:rPr>
            </w:pPr>
            <w:r>
              <w:rPr>
                <w:rFonts w:ascii="宋体" w:hAnsi="宋体"/>
                <w:sz w:val="18"/>
                <w:szCs w:val="18"/>
              </w:rPr>
              <w:t>同上</w:t>
            </w:r>
          </w:p>
        </w:tc>
      </w:tr>
      <w:tr w14:paraId="19BF0B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58" w:hRule="atLeast"/>
          <w:jc w:val="center"/>
        </w:trPr>
        <w:tc>
          <w:tcPr>
            <w:tcW w:w="474" w:type="pct"/>
            <w:vAlign w:val="center"/>
          </w:tcPr>
          <w:p w14:paraId="682C5F94">
            <w:pPr>
              <w:spacing w:line="240" w:lineRule="exact"/>
              <w:rPr>
                <w:rFonts w:ascii="宋体" w:hAnsi="宋体"/>
                <w:sz w:val="18"/>
                <w:szCs w:val="18"/>
              </w:rPr>
            </w:pPr>
            <w:r>
              <w:rPr>
                <w:rFonts w:ascii="宋体" w:hAnsi="宋体"/>
                <w:sz w:val="18"/>
                <w:szCs w:val="18"/>
              </w:rPr>
              <w:t>P303-3表</w:t>
            </w:r>
          </w:p>
        </w:tc>
        <w:tc>
          <w:tcPr>
            <w:tcW w:w="789" w:type="pct"/>
            <w:vAlign w:val="center"/>
          </w:tcPr>
          <w:p w14:paraId="7419D792">
            <w:pPr>
              <w:spacing w:line="240" w:lineRule="exact"/>
              <w:rPr>
                <w:rFonts w:ascii="宋体" w:hAnsi="宋体"/>
                <w:sz w:val="18"/>
                <w:szCs w:val="18"/>
              </w:rPr>
            </w:pPr>
            <w:r>
              <w:rPr>
                <w:rFonts w:ascii="宋体" w:hAnsi="宋体"/>
                <w:sz w:val="18"/>
                <w:szCs w:val="18"/>
              </w:rPr>
              <w:t>分行业终端能源消费量(实物量)</w:t>
            </w:r>
          </w:p>
        </w:tc>
        <w:tc>
          <w:tcPr>
            <w:tcW w:w="361" w:type="pct"/>
            <w:vAlign w:val="center"/>
          </w:tcPr>
          <w:p w14:paraId="392B396D">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41DF7593">
            <w:pPr>
              <w:spacing w:line="240" w:lineRule="exact"/>
              <w:jc w:val="center"/>
              <w:rPr>
                <w:rFonts w:ascii="宋体" w:hAnsi="宋体"/>
                <w:dstrike/>
                <w:sz w:val="18"/>
                <w:szCs w:val="18"/>
              </w:rPr>
            </w:pPr>
            <w:r>
              <w:rPr>
                <w:rFonts w:ascii="宋体" w:hAnsi="宋体"/>
                <w:sz w:val="18"/>
                <w:szCs w:val="18"/>
              </w:rPr>
              <w:t>同上</w:t>
            </w:r>
          </w:p>
        </w:tc>
        <w:tc>
          <w:tcPr>
            <w:tcW w:w="975" w:type="pct"/>
            <w:vAlign w:val="center"/>
          </w:tcPr>
          <w:p w14:paraId="050917C8">
            <w:pPr>
              <w:spacing w:line="240" w:lineRule="exact"/>
              <w:jc w:val="center"/>
              <w:rPr>
                <w:rFonts w:ascii="宋体" w:hAnsi="宋体"/>
                <w:sz w:val="18"/>
                <w:szCs w:val="18"/>
              </w:rPr>
            </w:pPr>
            <w:r>
              <w:rPr>
                <w:rFonts w:ascii="宋体" w:hAnsi="宋体"/>
                <w:sz w:val="18"/>
                <w:szCs w:val="18"/>
              </w:rPr>
              <w:t>同上</w:t>
            </w:r>
          </w:p>
        </w:tc>
        <w:tc>
          <w:tcPr>
            <w:tcW w:w="1007" w:type="pct"/>
            <w:vAlign w:val="center"/>
          </w:tcPr>
          <w:p w14:paraId="2E956EEC">
            <w:pPr>
              <w:spacing w:line="240" w:lineRule="exact"/>
              <w:jc w:val="center"/>
              <w:rPr>
                <w:rFonts w:ascii="宋体" w:hAnsi="宋体"/>
                <w:sz w:val="18"/>
                <w:szCs w:val="18"/>
              </w:rPr>
            </w:pPr>
            <w:r>
              <w:rPr>
                <w:rFonts w:ascii="宋体" w:hAnsi="宋体"/>
                <w:sz w:val="18"/>
                <w:szCs w:val="18"/>
              </w:rPr>
              <w:t>同上</w:t>
            </w:r>
          </w:p>
        </w:tc>
      </w:tr>
      <w:tr w14:paraId="780D80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20" w:hRule="atLeast"/>
          <w:jc w:val="center"/>
        </w:trPr>
        <w:tc>
          <w:tcPr>
            <w:tcW w:w="474" w:type="pct"/>
            <w:vAlign w:val="center"/>
          </w:tcPr>
          <w:p w14:paraId="0351E295">
            <w:pPr>
              <w:spacing w:line="240" w:lineRule="exact"/>
              <w:rPr>
                <w:rFonts w:ascii="宋体" w:hAnsi="宋体"/>
                <w:sz w:val="18"/>
                <w:szCs w:val="18"/>
              </w:rPr>
            </w:pPr>
            <w:r>
              <w:rPr>
                <w:rFonts w:ascii="宋体" w:hAnsi="宋体"/>
                <w:sz w:val="18"/>
                <w:szCs w:val="18"/>
              </w:rPr>
              <w:t>P303-4表</w:t>
            </w:r>
          </w:p>
        </w:tc>
        <w:tc>
          <w:tcPr>
            <w:tcW w:w="789" w:type="pct"/>
            <w:vAlign w:val="center"/>
          </w:tcPr>
          <w:p w14:paraId="6288C85E">
            <w:pPr>
              <w:spacing w:line="240" w:lineRule="exact"/>
              <w:rPr>
                <w:rFonts w:ascii="宋体" w:hAnsi="宋体"/>
                <w:sz w:val="18"/>
                <w:szCs w:val="18"/>
              </w:rPr>
            </w:pPr>
            <w:r>
              <w:rPr>
                <w:rFonts w:ascii="宋体" w:hAnsi="宋体"/>
                <w:sz w:val="18"/>
                <w:szCs w:val="18"/>
              </w:rPr>
              <w:t>能源平衡表(标准量)</w:t>
            </w:r>
          </w:p>
        </w:tc>
        <w:tc>
          <w:tcPr>
            <w:tcW w:w="361" w:type="pct"/>
            <w:vAlign w:val="center"/>
          </w:tcPr>
          <w:p w14:paraId="4C632CEA">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3FDFD9E1">
            <w:pPr>
              <w:spacing w:line="240" w:lineRule="exact"/>
              <w:jc w:val="center"/>
              <w:rPr>
                <w:rFonts w:ascii="宋体" w:hAnsi="宋体"/>
                <w:dstrike/>
                <w:sz w:val="18"/>
                <w:szCs w:val="18"/>
              </w:rPr>
            </w:pPr>
            <w:r>
              <w:rPr>
                <w:rFonts w:ascii="宋体" w:hAnsi="宋体"/>
                <w:sz w:val="18"/>
                <w:szCs w:val="18"/>
              </w:rPr>
              <w:t>同上</w:t>
            </w:r>
          </w:p>
        </w:tc>
        <w:tc>
          <w:tcPr>
            <w:tcW w:w="975" w:type="pct"/>
            <w:vAlign w:val="center"/>
          </w:tcPr>
          <w:p w14:paraId="7930C10C">
            <w:pPr>
              <w:spacing w:line="240" w:lineRule="exact"/>
              <w:jc w:val="center"/>
              <w:rPr>
                <w:rFonts w:ascii="宋体" w:hAnsi="宋体"/>
                <w:sz w:val="18"/>
                <w:szCs w:val="18"/>
              </w:rPr>
            </w:pPr>
            <w:r>
              <w:rPr>
                <w:rFonts w:ascii="宋体" w:hAnsi="宋体"/>
                <w:sz w:val="18"/>
                <w:szCs w:val="18"/>
              </w:rPr>
              <w:t>同上</w:t>
            </w:r>
          </w:p>
        </w:tc>
        <w:tc>
          <w:tcPr>
            <w:tcW w:w="1007" w:type="pct"/>
            <w:vAlign w:val="center"/>
          </w:tcPr>
          <w:p w14:paraId="231B6F34">
            <w:pPr>
              <w:spacing w:line="240" w:lineRule="exact"/>
              <w:jc w:val="center"/>
              <w:rPr>
                <w:rFonts w:ascii="宋体" w:hAnsi="宋体"/>
                <w:sz w:val="18"/>
                <w:szCs w:val="18"/>
              </w:rPr>
            </w:pPr>
            <w:r>
              <w:rPr>
                <w:rFonts w:ascii="宋体" w:hAnsi="宋体"/>
                <w:sz w:val="18"/>
                <w:szCs w:val="18"/>
              </w:rPr>
              <w:t>同上</w:t>
            </w:r>
          </w:p>
        </w:tc>
      </w:tr>
      <w:tr w14:paraId="3E15A4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70" w:hRule="atLeast"/>
          <w:jc w:val="center"/>
        </w:trPr>
        <w:tc>
          <w:tcPr>
            <w:tcW w:w="474" w:type="pct"/>
            <w:vAlign w:val="center"/>
          </w:tcPr>
          <w:p w14:paraId="20C551F8">
            <w:pPr>
              <w:spacing w:line="240" w:lineRule="exact"/>
              <w:rPr>
                <w:rFonts w:ascii="宋体" w:hAnsi="宋体"/>
                <w:sz w:val="18"/>
                <w:szCs w:val="18"/>
              </w:rPr>
            </w:pPr>
            <w:r>
              <w:rPr>
                <w:rFonts w:ascii="宋体" w:hAnsi="宋体"/>
                <w:sz w:val="18"/>
                <w:szCs w:val="18"/>
              </w:rPr>
              <w:t>P303-5表</w:t>
            </w:r>
          </w:p>
        </w:tc>
        <w:tc>
          <w:tcPr>
            <w:tcW w:w="789" w:type="pct"/>
            <w:vAlign w:val="center"/>
          </w:tcPr>
          <w:p w14:paraId="5BBAE7FD">
            <w:pPr>
              <w:spacing w:line="240" w:lineRule="exact"/>
              <w:rPr>
                <w:rFonts w:ascii="宋体" w:hAnsi="宋体"/>
                <w:sz w:val="18"/>
                <w:szCs w:val="18"/>
              </w:rPr>
            </w:pPr>
            <w:r>
              <w:rPr>
                <w:rFonts w:ascii="宋体" w:hAnsi="宋体"/>
                <w:sz w:val="18"/>
                <w:szCs w:val="18"/>
              </w:rPr>
              <w:t>分行业终端能源消费量(标准量)</w:t>
            </w:r>
          </w:p>
        </w:tc>
        <w:tc>
          <w:tcPr>
            <w:tcW w:w="361" w:type="pct"/>
            <w:vAlign w:val="center"/>
          </w:tcPr>
          <w:p w14:paraId="77AE438E">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5A6AA7A9">
            <w:pPr>
              <w:spacing w:line="240" w:lineRule="exact"/>
              <w:jc w:val="center"/>
              <w:rPr>
                <w:rFonts w:ascii="宋体" w:hAnsi="宋体"/>
                <w:dstrike/>
                <w:sz w:val="18"/>
                <w:szCs w:val="18"/>
              </w:rPr>
            </w:pPr>
            <w:r>
              <w:rPr>
                <w:rFonts w:ascii="宋体" w:hAnsi="宋体"/>
                <w:sz w:val="18"/>
                <w:szCs w:val="18"/>
              </w:rPr>
              <w:t>同上</w:t>
            </w:r>
          </w:p>
        </w:tc>
        <w:tc>
          <w:tcPr>
            <w:tcW w:w="975" w:type="pct"/>
            <w:vAlign w:val="center"/>
          </w:tcPr>
          <w:p w14:paraId="41ADADD5">
            <w:pPr>
              <w:spacing w:line="240" w:lineRule="exact"/>
              <w:jc w:val="center"/>
              <w:rPr>
                <w:rFonts w:ascii="宋体" w:hAnsi="宋体"/>
                <w:sz w:val="18"/>
                <w:szCs w:val="18"/>
              </w:rPr>
            </w:pPr>
            <w:r>
              <w:rPr>
                <w:rFonts w:ascii="宋体" w:hAnsi="宋体"/>
                <w:sz w:val="18"/>
                <w:szCs w:val="18"/>
              </w:rPr>
              <w:t>同上</w:t>
            </w:r>
          </w:p>
        </w:tc>
        <w:tc>
          <w:tcPr>
            <w:tcW w:w="1007" w:type="pct"/>
            <w:shd w:val="clear" w:color="auto" w:fill="auto"/>
            <w:vAlign w:val="center"/>
          </w:tcPr>
          <w:p w14:paraId="7F5C4F2F">
            <w:pPr>
              <w:spacing w:line="240" w:lineRule="exact"/>
              <w:jc w:val="center"/>
              <w:rPr>
                <w:rFonts w:ascii="宋体" w:hAnsi="宋体"/>
                <w:sz w:val="18"/>
                <w:szCs w:val="18"/>
              </w:rPr>
            </w:pPr>
            <w:r>
              <w:rPr>
                <w:rFonts w:ascii="宋体" w:hAnsi="宋体"/>
                <w:sz w:val="18"/>
                <w:szCs w:val="18"/>
              </w:rPr>
              <w:t>同上</w:t>
            </w:r>
          </w:p>
        </w:tc>
      </w:tr>
      <w:tr w14:paraId="70E459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68" w:hRule="atLeast"/>
          <w:jc w:val="center"/>
        </w:trPr>
        <w:tc>
          <w:tcPr>
            <w:tcW w:w="474" w:type="pct"/>
            <w:vAlign w:val="center"/>
          </w:tcPr>
          <w:p w14:paraId="5338AABF">
            <w:pPr>
              <w:spacing w:line="240" w:lineRule="exact"/>
              <w:rPr>
                <w:rFonts w:ascii="宋体" w:hAnsi="宋体"/>
                <w:sz w:val="18"/>
                <w:szCs w:val="18"/>
              </w:rPr>
            </w:pPr>
            <w:r>
              <w:rPr>
                <w:rFonts w:ascii="宋体" w:hAnsi="宋体"/>
                <w:sz w:val="18"/>
                <w:szCs w:val="18"/>
              </w:rPr>
              <w:t>TL301表</w:t>
            </w:r>
          </w:p>
        </w:tc>
        <w:tc>
          <w:tcPr>
            <w:tcW w:w="789" w:type="pct"/>
            <w:vAlign w:val="center"/>
          </w:tcPr>
          <w:p w14:paraId="1A8E1865">
            <w:pPr>
              <w:spacing w:line="240" w:lineRule="exact"/>
              <w:rPr>
                <w:rFonts w:ascii="宋体" w:hAnsi="宋体"/>
                <w:sz w:val="18"/>
                <w:szCs w:val="18"/>
              </w:rPr>
            </w:pPr>
            <w:r>
              <w:rPr>
                <w:rFonts w:ascii="宋体" w:hAnsi="宋体"/>
                <w:sz w:val="18"/>
                <w:szCs w:val="18"/>
              </w:rPr>
              <w:t>铁路企业主要能源消费与库存</w:t>
            </w:r>
          </w:p>
        </w:tc>
        <w:tc>
          <w:tcPr>
            <w:tcW w:w="361" w:type="pct"/>
            <w:vAlign w:val="center"/>
          </w:tcPr>
          <w:p w14:paraId="4B672079">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6DEBDE0C">
            <w:pPr>
              <w:spacing w:line="240" w:lineRule="exact"/>
              <w:rPr>
                <w:rFonts w:ascii="宋体" w:hAnsi="宋体"/>
                <w:sz w:val="18"/>
                <w:szCs w:val="18"/>
              </w:rPr>
            </w:pPr>
            <w:r>
              <w:rPr>
                <w:rFonts w:ascii="宋体" w:hAnsi="宋体"/>
                <w:sz w:val="18"/>
                <w:szCs w:val="18"/>
              </w:rPr>
              <w:t>铁路运输企业</w:t>
            </w:r>
          </w:p>
        </w:tc>
        <w:tc>
          <w:tcPr>
            <w:tcW w:w="975" w:type="pct"/>
            <w:vAlign w:val="center"/>
          </w:tcPr>
          <w:p w14:paraId="6E18CB05">
            <w:pPr>
              <w:spacing w:line="240" w:lineRule="exact"/>
              <w:rPr>
                <w:rFonts w:ascii="宋体" w:hAnsi="宋体"/>
                <w:sz w:val="18"/>
                <w:szCs w:val="18"/>
              </w:rPr>
            </w:pPr>
            <w:r>
              <w:rPr>
                <w:sz w:val="18"/>
                <w:szCs w:val="18"/>
              </w:rPr>
              <w:t>中国</w:t>
            </w:r>
            <w:r>
              <w:rPr>
                <w:rFonts w:hint="eastAsia"/>
                <w:sz w:val="18"/>
                <w:szCs w:val="18"/>
              </w:rPr>
              <w:t>国家</w:t>
            </w:r>
            <w:r>
              <w:rPr>
                <w:sz w:val="18"/>
                <w:szCs w:val="18"/>
              </w:rPr>
              <w:t>铁路</w:t>
            </w:r>
            <w:r>
              <w:rPr>
                <w:rFonts w:hint="eastAsia"/>
                <w:sz w:val="18"/>
                <w:szCs w:val="18"/>
              </w:rPr>
              <w:t>集团有限</w:t>
            </w:r>
            <w:r>
              <w:rPr>
                <w:sz w:val="18"/>
                <w:szCs w:val="18"/>
              </w:rPr>
              <w:t>公司</w:t>
            </w:r>
          </w:p>
        </w:tc>
        <w:tc>
          <w:tcPr>
            <w:tcW w:w="1007" w:type="pct"/>
            <w:shd w:val="clear" w:color="auto" w:fill="auto"/>
            <w:vAlign w:val="center"/>
          </w:tcPr>
          <w:p w14:paraId="191B9CCE">
            <w:pPr>
              <w:spacing w:line="240" w:lineRule="exact"/>
              <w:rPr>
                <w:rFonts w:ascii="宋体" w:hAnsi="宋体"/>
              </w:rPr>
            </w:pPr>
            <w:r>
              <w:rPr>
                <w:rFonts w:ascii="宋体" w:hAnsi="宋体"/>
                <w:sz w:val="18"/>
                <w:szCs w:val="18"/>
              </w:rPr>
              <w:t>次年3月31日前；邮寄或电子邮件</w:t>
            </w:r>
          </w:p>
        </w:tc>
      </w:tr>
      <w:tr w14:paraId="515655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68" w:hRule="atLeast"/>
          <w:jc w:val="center"/>
        </w:trPr>
        <w:tc>
          <w:tcPr>
            <w:tcW w:w="474" w:type="pct"/>
            <w:vAlign w:val="center"/>
          </w:tcPr>
          <w:p w14:paraId="2C64CCA3">
            <w:pPr>
              <w:spacing w:line="240" w:lineRule="exact"/>
              <w:rPr>
                <w:rFonts w:ascii="宋体" w:hAnsi="宋体"/>
                <w:sz w:val="18"/>
                <w:szCs w:val="18"/>
              </w:rPr>
            </w:pPr>
            <w:r>
              <w:rPr>
                <w:rFonts w:ascii="宋体" w:hAnsi="宋体"/>
                <w:sz w:val="18"/>
                <w:szCs w:val="18"/>
              </w:rPr>
              <w:t>MH301表</w:t>
            </w:r>
          </w:p>
        </w:tc>
        <w:tc>
          <w:tcPr>
            <w:tcW w:w="789" w:type="pct"/>
            <w:vAlign w:val="center"/>
          </w:tcPr>
          <w:p w14:paraId="2FFA6569">
            <w:pPr>
              <w:spacing w:line="240" w:lineRule="exact"/>
              <w:rPr>
                <w:rFonts w:ascii="宋体" w:hAnsi="宋体"/>
                <w:sz w:val="18"/>
                <w:szCs w:val="18"/>
              </w:rPr>
            </w:pPr>
            <w:r>
              <w:rPr>
                <w:rFonts w:ascii="宋体" w:hAnsi="宋体"/>
                <w:sz w:val="18"/>
                <w:szCs w:val="18"/>
              </w:rPr>
              <w:t>航空企业主要能源消费与库存</w:t>
            </w:r>
          </w:p>
        </w:tc>
        <w:tc>
          <w:tcPr>
            <w:tcW w:w="361" w:type="pct"/>
            <w:vAlign w:val="center"/>
          </w:tcPr>
          <w:p w14:paraId="0F978350">
            <w:pPr>
              <w:spacing w:line="240" w:lineRule="exact"/>
              <w:jc w:val="center"/>
              <w:rPr>
                <w:rFonts w:ascii="宋体" w:hAnsi="宋体"/>
                <w:sz w:val="18"/>
                <w:szCs w:val="18"/>
              </w:rPr>
            </w:pPr>
            <w:r>
              <w:rPr>
                <w:rFonts w:ascii="宋体" w:hAnsi="宋体"/>
                <w:sz w:val="18"/>
                <w:szCs w:val="18"/>
              </w:rPr>
              <w:t>年报</w:t>
            </w:r>
          </w:p>
        </w:tc>
        <w:tc>
          <w:tcPr>
            <w:tcW w:w="1391" w:type="pct"/>
            <w:vAlign w:val="center"/>
          </w:tcPr>
          <w:p w14:paraId="2962EAA4">
            <w:pPr>
              <w:spacing w:line="240" w:lineRule="exact"/>
              <w:rPr>
                <w:rFonts w:ascii="宋体" w:hAnsi="宋体"/>
                <w:sz w:val="18"/>
                <w:szCs w:val="18"/>
              </w:rPr>
            </w:pPr>
            <w:r>
              <w:rPr>
                <w:rFonts w:ascii="宋体" w:hAnsi="宋体"/>
                <w:sz w:val="18"/>
                <w:szCs w:val="18"/>
              </w:rPr>
              <w:t>航空运输企业</w:t>
            </w:r>
          </w:p>
        </w:tc>
        <w:tc>
          <w:tcPr>
            <w:tcW w:w="975" w:type="pct"/>
            <w:vAlign w:val="center"/>
          </w:tcPr>
          <w:p w14:paraId="664B3462">
            <w:pPr>
              <w:spacing w:line="240" w:lineRule="exact"/>
              <w:rPr>
                <w:rFonts w:ascii="宋体" w:hAnsi="宋体"/>
                <w:sz w:val="18"/>
                <w:szCs w:val="18"/>
              </w:rPr>
            </w:pPr>
            <w:r>
              <w:rPr>
                <w:rFonts w:ascii="宋体" w:hAnsi="宋体"/>
                <w:sz w:val="18"/>
                <w:szCs w:val="18"/>
              </w:rPr>
              <w:t>民用航空局</w:t>
            </w:r>
          </w:p>
        </w:tc>
        <w:tc>
          <w:tcPr>
            <w:tcW w:w="1007" w:type="pct"/>
            <w:shd w:val="clear" w:color="auto" w:fill="auto"/>
            <w:vAlign w:val="center"/>
          </w:tcPr>
          <w:p w14:paraId="61CEE7B0">
            <w:pPr>
              <w:spacing w:line="240" w:lineRule="exact"/>
              <w:jc w:val="center"/>
              <w:rPr>
                <w:rFonts w:ascii="宋体" w:hAnsi="宋体"/>
              </w:rPr>
            </w:pPr>
            <w:r>
              <w:rPr>
                <w:rFonts w:ascii="宋体" w:hAnsi="宋体"/>
                <w:sz w:val="18"/>
                <w:szCs w:val="18"/>
              </w:rPr>
              <w:t>同上</w:t>
            </w:r>
          </w:p>
        </w:tc>
      </w:tr>
      <w:tr w14:paraId="05B078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68" w:hRule="atLeast"/>
          <w:jc w:val="center"/>
        </w:trPr>
        <w:tc>
          <w:tcPr>
            <w:tcW w:w="474" w:type="pct"/>
            <w:vAlign w:val="center"/>
          </w:tcPr>
          <w:p w14:paraId="7629FDE0">
            <w:pPr>
              <w:spacing w:line="240" w:lineRule="exact"/>
              <w:rPr>
                <w:rFonts w:ascii="宋体" w:hAnsi="宋体" w:eastAsia="宋体" w:cs="Times New Roman"/>
                <w:kern w:val="2"/>
                <w:sz w:val="18"/>
                <w:szCs w:val="18"/>
                <w:lang w:val="en-US" w:eastAsia="zh-CN" w:bidi="ar-SA"/>
              </w:rPr>
            </w:pPr>
            <w:r>
              <w:rPr>
                <w:rFonts w:ascii="宋体" w:hAnsi="宋体"/>
                <w:sz w:val="18"/>
                <w:szCs w:val="18"/>
              </w:rPr>
              <w:t>JT320表</w:t>
            </w:r>
          </w:p>
        </w:tc>
        <w:tc>
          <w:tcPr>
            <w:tcW w:w="789" w:type="pct"/>
            <w:vAlign w:val="center"/>
          </w:tcPr>
          <w:p w14:paraId="3062BA68">
            <w:pPr>
              <w:spacing w:line="240" w:lineRule="exact"/>
              <w:rPr>
                <w:rFonts w:ascii="宋体" w:hAnsi="宋体" w:eastAsia="宋体" w:cs="Times New Roman"/>
                <w:kern w:val="2"/>
                <w:sz w:val="18"/>
                <w:szCs w:val="18"/>
                <w:lang w:val="en-US" w:eastAsia="zh-CN" w:bidi="ar-SA"/>
              </w:rPr>
            </w:pPr>
            <w:r>
              <w:rPr>
                <w:rFonts w:ascii="宋体" w:hAnsi="宋体"/>
                <w:sz w:val="18"/>
                <w:szCs w:val="18"/>
              </w:rPr>
              <w:t>公路、水上运输企业主要能源消费与库存</w:t>
            </w:r>
          </w:p>
        </w:tc>
        <w:tc>
          <w:tcPr>
            <w:tcW w:w="361" w:type="pct"/>
            <w:vAlign w:val="center"/>
          </w:tcPr>
          <w:p w14:paraId="1B7E10D3">
            <w:pPr>
              <w:spacing w:line="240" w:lineRule="exact"/>
              <w:jc w:val="center"/>
              <w:rPr>
                <w:rFonts w:ascii="宋体" w:hAnsi="宋体" w:eastAsia="宋体" w:cs="Times New Roman"/>
                <w:kern w:val="2"/>
                <w:sz w:val="18"/>
                <w:szCs w:val="18"/>
                <w:lang w:val="en-US" w:eastAsia="zh-CN" w:bidi="ar-SA"/>
              </w:rPr>
            </w:pPr>
            <w:r>
              <w:rPr>
                <w:rFonts w:ascii="宋体" w:hAnsi="宋体"/>
                <w:sz w:val="18"/>
                <w:szCs w:val="18"/>
              </w:rPr>
              <w:t>年报</w:t>
            </w:r>
          </w:p>
        </w:tc>
        <w:tc>
          <w:tcPr>
            <w:tcW w:w="1391" w:type="pct"/>
            <w:vAlign w:val="center"/>
          </w:tcPr>
          <w:p w14:paraId="4E6FCEDE">
            <w:pPr>
              <w:spacing w:line="240" w:lineRule="exact"/>
              <w:rPr>
                <w:rFonts w:ascii="宋体" w:hAnsi="宋体" w:eastAsia="宋体" w:cs="Times New Roman"/>
                <w:kern w:val="2"/>
                <w:sz w:val="18"/>
                <w:szCs w:val="18"/>
                <w:lang w:val="en-US" w:eastAsia="zh-CN" w:bidi="ar-SA"/>
              </w:rPr>
            </w:pPr>
            <w:r>
              <w:rPr>
                <w:rFonts w:ascii="宋体" w:hAnsi="宋体"/>
                <w:sz w:val="18"/>
                <w:szCs w:val="18"/>
              </w:rPr>
              <w:t>公路、水上运输企业、港口</w:t>
            </w:r>
          </w:p>
        </w:tc>
        <w:tc>
          <w:tcPr>
            <w:tcW w:w="975" w:type="pct"/>
            <w:vAlign w:val="center"/>
          </w:tcPr>
          <w:p w14:paraId="31AB79C9">
            <w:pPr>
              <w:spacing w:line="240" w:lineRule="exact"/>
              <w:rPr>
                <w:rFonts w:ascii="宋体" w:hAnsi="宋体" w:eastAsia="宋体" w:cs="Times New Roman"/>
                <w:kern w:val="2"/>
                <w:sz w:val="18"/>
                <w:szCs w:val="18"/>
                <w:lang w:val="en-US" w:eastAsia="zh-CN" w:bidi="ar-SA"/>
              </w:rPr>
            </w:pPr>
            <w:r>
              <w:rPr>
                <w:rFonts w:ascii="宋体" w:hAnsi="宋体"/>
                <w:sz w:val="18"/>
                <w:szCs w:val="18"/>
              </w:rPr>
              <w:t>交通运输部</w:t>
            </w:r>
          </w:p>
        </w:tc>
        <w:tc>
          <w:tcPr>
            <w:tcW w:w="1007" w:type="pct"/>
            <w:shd w:val="clear" w:color="auto" w:fill="auto"/>
            <w:vAlign w:val="center"/>
          </w:tcPr>
          <w:p w14:paraId="002101E7">
            <w:pPr>
              <w:spacing w:line="240" w:lineRule="exact"/>
              <w:jc w:val="center"/>
              <w:rPr>
                <w:rFonts w:ascii="宋体" w:hAnsi="宋体" w:eastAsia="宋体" w:cs="Times New Roman"/>
                <w:kern w:val="2"/>
                <w:sz w:val="18"/>
                <w:szCs w:val="18"/>
                <w:lang w:val="en-US" w:eastAsia="zh-CN" w:bidi="ar-SA"/>
              </w:rPr>
            </w:pPr>
            <w:r>
              <w:rPr>
                <w:rFonts w:ascii="宋体" w:hAnsi="宋体"/>
                <w:sz w:val="18"/>
                <w:szCs w:val="18"/>
              </w:rPr>
              <w:t>同上</w:t>
            </w:r>
          </w:p>
        </w:tc>
      </w:tr>
      <w:tr w14:paraId="370150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000" w:type="pct"/>
            <w:gridSpan w:val="6"/>
            <w:vAlign w:val="center"/>
          </w:tcPr>
          <w:p w14:paraId="0229F97C">
            <w:pPr>
              <w:spacing w:line="200" w:lineRule="exact"/>
              <w:jc w:val="left"/>
              <w:rPr>
                <w:rFonts w:ascii="宋体" w:hAnsi="宋体"/>
                <w:sz w:val="18"/>
                <w:szCs w:val="18"/>
              </w:rPr>
            </w:pPr>
            <w:r>
              <w:rPr>
                <w:rFonts w:ascii="宋体" w:hAnsi="宋体"/>
                <w:sz w:val="18"/>
                <w:szCs w:val="18"/>
              </w:rPr>
              <w:t>（</w:t>
            </w:r>
            <w:r>
              <w:rPr>
                <w:rFonts w:hint="eastAsia" w:ascii="宋体" w:hAnsi="宋体"/>
                <w:sz w:val="18"/>
                <w:szCs w:val="18"/>
                <w:lang w:eastAsia="zh-CN"/>
              </w:rPr>
              <w:t>三</w:t>
            </w:r>
            <w:r>
              <w:rPr>
                <w:rFonts w:ascii="宋体" w:hAnsi="宋体"/>
                <w:sz w:val="18"/>
                <w:szCs w:val="18"/>
              </w:rPr>
              <w:t>）</w:t>
            </w:r>
            <w:r>
              <w:rPr>
                <w:rFonts w:hint="eastAsia" w:ascii="宋体" w:hAnsi="宋体"/>
                <w:sz w:val="18"/>
                <w:szCs w:val="18"/>
              </w:rPr>
              <w:t>综合定报表式</w:t>
            </w:r>
          </w:p>
        </w:tc>
      </w:tr>
      <w:tr w14:paraId="7D82E5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3AEC363E">
            <w:pPr>
              <w:spacing w:line="240" w:lineRule="exact"/>
              <w:rPr>
                <w:rFonts w:ascii="宋体" w:hAnsi="宋体"/>
                <w:sz w:val="18"/>
                <w:szCs w:val="18"/>
              </w:rPr>
            </w:pPr>
            <w:r>
              <w:rPr>
                <w:rFonts w:ascii="宋体" w:hAnsi="宋体"/>
                <w:sz w:val="18"/>
                <w:szCs w:val="18"/>
              </w:rPr>
              <w:t>ZY401表</w:t>
            </w:r>
          </w:p>
        </w:tc>
        <w:tc>
          <w:tcPr>
            <w:tcW w:w="789" w:type="pct"/>
            <w:vMerge w:val="restart"/>
            <w:vAlign w:val="center"/>
          </w:tcPr>
          <w:p w14:paraId="4B2053F0">
            <w:pPr>
              <w:spacing w:line="240" w:lineRule="exact"/>
              <w:rPr>
                <w:rFonts w:ascii="宋体" w:hAnsi="宋体"/>
                <w:sz w:val="18"/>
                <w:szCs w:val="18"/>
              </w:rPr>
            </w:pPr>
            <w:r>
              <w:rPr>
                <w:rFonts w:ascii="宋体" w:hAnsi="宋体"/>
                <w:sz w:val="18"/>
                <w:szCs w:val="18"/>
              </w:rPr>
              <w:t>石油生产企业石油产品生产、销售与库存</w:t>
            </w:r>
          </w:p>
        </w:tc>
        <w:tc>
          <w:tcPr>
            <w:tcW w:w="361" w:type="pct"/>
            <w:vMerge w:val="restart"/>
            <w:vAlign w:val="center"/>
          </w:tcPr>
          <w:p w14:paraId="7F4E9A20">
            <w:pPr>
              <w:spacing w:line="240" w:lineRule="exact"/>
              <w:jc w:val="center"/>
              <w:rPr>
                <w:rFonts w:ascii="宋体" w:hAnsi="宋体"/>
                <w:sz w:val="18"/>
                <w:szCs w:val="18"/>
              </w:rPr>
            </w:pPr>
            <w:r>
              <w:rPr>
                <w:rFonts w:ascii="宋体" w:hAnsi="宋体"/>
                <w:sz w:val="18"/>
                <w:szCs w:val="18"/>
              </w:rPr>
              <w:t>月报</w:t>
            </w:r>
          </w:p>
        </w:tc>
        <w:tc>
          <w:tcPr>
            <w:tcW w:w="1391" w:type="pct"/>
            <w:vAlign w:val="center"/>
          </w:tcPr>
          <w:p w14:paraId="74D36C65">
            <w:pPr>
              <w:spacing w:line="240" w:lineRule="exact"/>
              <w:rPr>
                <w:rFonts w:ascii="宋体" w:hAnsi="宋体"/>
                <w:sz w:val="18"/>
                <w:szCs w:val="18"/>
              </w:rPr>
            </w:pPr>
            <w:r>
              <w:rPr>
                <w:rFonts w:ascii="宋体" w:hAnsi="宋体"/>
                <w:sz w:val="18"/>
                <w:szCs w:val="18"/>
              </w:rPr>
              <w:t>中国石油天然气股份有限公司所属的石油生产企业</w:t>
            </w:r>
          </w:p>
        </w:tc>
        <w:tc>
          <w:tcPr>
            <w:tcW w:w="975" w:type="pct"/>
            <w:vAlign w:val="center"/>
          </w:tcPr>
          <w:p w14:paraId="2FA8381E">
            <w:pPr>
              <w:spacing w:line="240" w:lineRule="exact"/>
              <w:rPr>
                <w:rFonts w:ascii="宋体" w:hAnsi="宋体"/>
                <w:sz w:val="18"/>
                <w:szCs w:val="18"/>
              </w:rPr>
            </w:pPr>
            <w:r>
              <w:rPr>
                <w:rFonts w:ascii="宋体" w:hAnsi="宋体"/>
                <w:sz w:val="18"/>
                <w:szCs w:val="18"/>
              </w:rPr>
              <w:t>中国石油天然气股份有限公司</w:t>
            </w:r>
          </w:p>
        </w:tc>
        <w:tc>
          <w:tcPr>
            <w:tcW w:w="1007" w:type="pct"/>
            <w:vMerge w:val="restart"/>
            <w:shd w:val="clear" w:color="auto" w:fill="auto"/>
            <w:vAlign w:val="center"/>
          </w:tcPr>
          <w:p w14:paraId="62CB30DE">
            <w:pPr>
              <w:spacing w:line="240" w:lineRule="exact"/>
              <w:rPr>
                <w:rFonts w:ascii="宋体" w:hAnsi="宋体"/>
                <w:sz w:val="18"/>
                <w:szCs w:val="18"/>
              </w:rPr>
            </w:pPr>
            <w:r>
              <w:rPr>
                <w:rFonts w:ascii="宋体" w:hAnsi="宋体"/>
                <w:sz w:val="18"/>
                <w:szCs w:val="18"/>
              </w:rPr>
              <w:t>月后15日前；邮寄或电子邮件</w:t>
            </w:r>
          </w:p>
        </w:tc>
      </w:tr>
      <w:tr w14:paraId="3A12CF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47234DD7">
            <w:pPr>
              <w:spacing w:line="240" w:lineRule="exact"/>
              <w:rPr>
                <w:rFonts w:ascii="宋体" w:hAnsi="宋体"/>
                <w:sz w:val="18"/>
                <w:szCs w:val="18"/>
              </w:rPr>
            </w:pPr>
            <w:r>
              <w:rPr>
                <w:rFonts w:ascii="宋体" w:hAnsi="宋体"/>
                <w:sz w:val="18"/>
                <w:szCs w:val="18"/>
              </w:rPr>
              <w:t>ZS401表</w:t>
            </w:r>
          </w:p>
        </w:tc>
        <w:tc>
          <w:tcPr>
            <w:tcW w:w="789" w:type="pct"/>
            <w:vMerge w:val="continue"/>
            <w:vAlign w:val="center"/>
          </w:tcPr>
          <w:p w14:paraId="4A2A433B">
            <w:pPr>
              <w:spacing w:line="240" w:lineRule="exact"/>
              <w:rPr>
                <w:rFonts w:ascii="宋体" w:hAnsi="宋体"/>
                <w:sz w:val="18"/>
                <w:szCs w:val="18"/>
              </w:rPr>
            </w:pPr>
          </w:p>
        </w:tc>
        <w:tc>
          <w:tcPr>
            <w:tcW w:w="361" w:type="pct"/>
            <w:vMerge w:val="continue"/>
            <w:vAlign w:val="center"/>
          </w:tcPr>
          <w:p w14:paraId="211AF6EF">
            <w:pPr>
              <w:spacing w:line="240" w:lineRule="exact"/>
              <w:jc w:val="center"/>
              <w:rPr>
                <w:rFonts w:ascii="宋体" w:hAnsi="宋体"/>
                <w:sz w:val="18"/>
                <w:szCs w:val="18"/>
              </w:rPr>
            </w:pPr>
          </w:p>
        </w:tc>
        <w:tc>
          <w:tcPr>
            <w:tcW w:w="1391" w:type="pct"/>
            <w:vAlign w:val="center"/>
          </w:tcPr>
          <w:p w14:paraId="268A69F8">
            <w:pPr>
              <w:spacing w:line="240" w:lineRule="exact"/>
              <w:rPr>
                <w:rFonts w:ascii="宋体" w:hAnsi="宋体"/>
                <w:sz w:val="18"/>
                <w:szCs w:val="18"/>
              </w:rPr>
            </w:pPr>
            <w:r>
              <w:rPr>
                <w:rFonts w:ascii="宋体" w:hAnsi="宋体"/>
                <w:sz w:val="18"/>
                <w:szCs w:val="18"/>
              </w:rPr>
              <w:t>中国石油化工股份有限公司所属的石油生产企业</w:t>
            </w:r>
          </w:p>
        </w:tc>
        <w:tc>
          <w:tcPr>
            <w:tcW w:w="975" w:type="pct"/>
            <w:vAlign w:val="center"/>
          </w:tcPr>
          <w:p w14:paraId="00AFA4BF">
            <w:pPr>
              <w:spacing w:line="240" w:lineRule="exact"/>
              <w:rPr>
                <w:rFonts w:ascii="宋体" w:hAnsi="宋体"/>
                <w:sz w:val="18"/>
                <w:szCs w:val="18"/>
              </w:rPr>
            </w:pPr>
            <w:r>
              <w:rPr>
                <w:rFonts w:ascii="宋体" w:hAnsi="宋体"/>
                <w:sz w:val="18"/>
                <w:szCs w:val="18"/>
              </w:rPr>
              <w:t>中国石油化工股份有限公司</w:t>
            </w:r>
          </w:p>
        </w:tc>
        <w:tc>
          <w:tcPr>
            <w:tcW w:w="1007" w:type="pct"/>
            <w:vMerge w:val="continue"/>
            <w:shd w:val="clear" w:color="auto" w:fill="auto"/>
            <w:vAlign w:val="center"/>
          </w:tcPr>
          <w:p w14:paraId="261FC300">
            <w:pPr>
              <w:spacing w:line="200" w:lineRule="exact"/>
              <w:jc w:val="center"/>
              <w:rPr>
                <w:rFonts w:ascii="宋体" w:hAnsi="宋体"/>
                <w:sz w:val="18"/>
                <w:szCs w:val="18"/>
              </w:rPr>
            </w:pPr>
          </w:p>
        </w:tc>
      </w:tr>
      <w:tr w14:paraId="7F2EC3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0EACD39F">
            <w:pPr>
              <w:spacing w:line="240" w:lineRule="exact"/>
              <w:rPr>
                <w:rFonts w:ascii="宋体" w:hAnsi="宋体"/>
                <w:sz w:val="18"/>
                <w:szCs w:val="18"/>
              </w:rPr>
            </w:pPr>
            <w:r>
              <w:rPr>
                <w:rFonts w:ascii="宋体" w:hAnsi="宋体"/>
                <w:sz w:val="18"/>
                <w:szCs w:val="18"/>
              </w:rPr>
              <w:t>ZH401表</w:t>
            </w:r>
          </w:p>
        </w:tc>
        <w:tc>
          <w:tcPr>
            <w:tcW w:w="789" w:type="pct"/>
            <w:vMerge w:val="continue"/>
            <w:vAlign w:val="center"/>
          </w:tcPr>
          <w:p w14:paraId="362DF32C">
            <w:pPr>
              <w:spacing w:line="240" w:lineRule="exact"/>
              <w:rPr>
                <w:rFonts w:ascii="宋体" w:hAnsi="宋体"/>
                <w:sz w:val="18"/>
                <w:szCs w:val="18"/>
              </w:rPr>
            </w:pPr>
          </w:p>
        </w:tc>
        <w:tc>
          <w:tcPr>
            <w:tcW w:w="361" w:type="pct"/>
            <w:vMerge w:val="continue"/>
            <w:vAlign w:val="center"/>
          </w:tcPr>
          <w:p w14:paraId="707FB08F">
            <w:pPr>
              <w:spacing w:line="240" w:lineRule="exact"/>
              <w:jc w:val="center"/>
              <w:rPr>
                <w:rFonts w:ascii="宋体" w:hAnsi="宋体"/>
                <w:sz w:val="18"/>
                <w:szCs w:val="18"/>
              </w:rPr>
            </w:pPr>
          </w:p>
        </w:tc>
        <w:tc>
          <w:tcPr>
            <w:tcW w:w="1391" w:type="pct"/>
            <w:vAlign w:val="center"/>
          </w:tcPr>
          <w:p w14:paraId="2F1C950E">
            <w:pPr>
              <w:spacing w:line="240" w:lineRule="exact"/>
              <w:rPr>
                <w:rFonts w:ascii="宋体" w:hAnsi="宋体"/>
                <w:sz w:val="18"/>
                <w:szCs w:val="18"/>
              </w:rPr>
            </w:pPr>
            <w:r>
              <w:rPr>
                <w:rFonts w:ascii="宋体" w:hAnsi="宋体"/>
                <w:sz w:val="18"/>
                <w:szCs w:val="18"/>
              </w:rPr>
              <w:t>中国海洋石油总公司所属的石油生产企业</w:t>
            </w:r>
          </w:p>
        </w:tc>
        <w:tc>
          <w:tcPr>
            <w:tcW w:w="975" w:type="pct"/>
            <w:vAlign w:val="center"/>
          </w:tcPr>
          <w:p w14:paraId="29AA1E11">
            <w:pPr>
              <w:spacing w:line="240" w:lineRule="exact"/>
              <w:rPr>
                <w:rFonts w:ascii="宋体" w:hAnsi="宋体"/>
                <w:sz w:val="18"/>
                <w:szCs w:val="18"/>
              </w:rPr>
            </w:pPr>
            <w:r>
              <w:rPr>
                <w:rFonts w:ascii="宋体" w:hAnsi="宋体"/>
                <w:sz w:val="18"/>
                <w:szCs w:val="18"/>
              </w:rPr>
              <w:t>中国海洋石油总公司</w:t>
            </w:r>
          </w:p>
        </w:tc>
        <w:tc>
          <w:tcPr>
            <w:tcW w:w="1007" w:type="pct"/>
            <w:vMerge w:val="continue"/>
            <w:shd w:val="clear" w:color="auto" w:fill="auto"/>
            <w:vAlign w:val="center"/>
          </w:tcPr>
          <w:p w14:paraId="2AAAA84B">
            <w:pPr>
              <w:spacing w:line="200" w:lineRule="exact"/>
              <w:jc w:val="center"/>
              <w:rPr>
                <w:rFonts w:ascii="宋体" w:hAnsi="宋体"/>
                <w:sz w:val="18"/>
                <w:szCs w:val="18"/>
              </w:rPr>
            </w:pPr>
          </w:p>
        </w:tc>
      </w:tr>
      <w:tr w14:paraId="08676DE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30C603D2">
            <w:pPr>
              <w:spacing w:line="240" w:lineRule="exact"/>
              <w:rPr>
                <w:rFonts w:ascii="宋体" w:hAnsi="宋体"/>
                <w:sz w:val="18"/>
                <w:szCs w:val="18"/>
              </w:rPr>
            </w:pPr>
            <w:r>
              <w:rPr>
                <w:rFonts w:ascii="宋体" w:hAnsi="宋体"/>
                <w:sz w:val="18"/>
                <w:szCs w:val="18"/>
              </w:rPr>
              <w:t>ZY402表</w:t>
            </w:r>
          </w:p>
        </w:tc>
        <w:tc>
          <w:tcPr>
            <w:tcW w:w="789" w:type="pct"/>
            <w:vMerge w:val="restart"/>
            <w:vAlign w:val="center"/>
          </w:tcPr>
          <w:p w14:paraId="7C724FDC">
            <w:pPr>
              <w:spacing w:line="240" w:lineRule="exact"/>
              <w:rPr>
                <w:rFonts w:ascii="宋体" w:hAnsi="宋体"/>
                <w:sz w:val="18"/>
                <w:szCs w:val="18"/>
              </w:rPr>
            </w:pPr>
            <w:r>
              <w:rPr>
                <w:rFonts w:ascii="宋体" w:hAnsi="宋体"/>
                <w:sz w:val="18"/>
                <w:szCs w:val="18"/>
              </w:rPr>
              <w:t>石油销售企业石油商品购进、销售与库存</w:t>
            </w:r>
          </w:p>
        </w:tc>
        <w:tc>
          <w:tcPr>
            <w:tcW w:w="361" w:type="pct"/>
            <w:vMerge w:val="restart"/>
            <w:vAlign w:val="center"/>
          </w:tcPr>
          <w:p w14:paraId="6B095787">
            <w:pPr>
              <w:spacing w:line="240" w:lineRule="exact"/>
              <w:jc w:val="center"/>
              <w:rPr>
                <w:rFonts w:ascii="宋体" w:hAnsi="宋体"/>
                <w:sz w:val="18"/>
                <w:szCs w:val="18"/>
              </w:rPr>
            </w:pPr>
            <w:r>
              <w:rPr>
                <w:rFonts w:ascii="宋体" w:hAnsi="宋体"/>
                <w:sz w:val="18"/>
                <w:szCs w:val="18"/>
              </w:rPr>
              <w:t>月报</w:t>
            </w:r>
          </w:p>
        </w:tc>
        <w:tc>
          <w:tcPr>
            <w:tcW w:w="1391" w:type="pct"/>
            <w:vAlign w:val="center"/>
          </w:tcPr>
          <w:p w14:paraId="0D85FC87">
            <w:pPr>
              <w:spacing w:line="240" w:lineRule="exact"/>
              <w:rPr>
                <w:rFonts w:ascii="宋体" w:hAnsi="宋体"/>
                <w:sz w:val="18"/>
                <w:szCs w:val="18"/>
              </w:rPr>
            </w:pPr>
            <w:r>
              <w:rPr>
                <w:rFonts w:ascii="宋体" w:hAnsi="宋体"/>
                <w:sz w:val="18"/>
                <w:szCs w:val="18"/>
              </w:rPr>
              <w:t>中国石油天然气股份有限公司所属的石油销售企业</w:t>
            </w:r>
          </w:p>
        </w:tc>
        <w:tc>
          <w:tcPr>
            <w:tcW w:w="975" w:type="pct"/>
            <w:vAlign w:val="center"/>
          </w:tcPr>
          <w:p w14:paraId="670F300F">
            <w:pPr>
              <w:spacing w:line="240" w:lineRule="exact"/>
              <w:rPr>
                <w:rFonts w:ascii="宋体" w:hAnsi="宋体"/>
                <w:sz w:val="18"/>
                <w:szCs w:val="18"/>
              </w:rPr>
            </w:pPr>
            <w:r>
              <w:rPr>
                <w:rFonts w:ascii="宋体" w:hAnsi="宋体"/>
                <w:sz w:val="18"/>
                <w:szCs w:val="18"/>
              </w:rPr>
              <w:t>中国石油天然气股份有限公司</w:t>
            </w:r>
          </w:p>
        </w:tc>
        <w:tc>
          <w:tcPr>
            <w:tcW w:w="1007" w:type="pct"/>
            <w:vMerge w:val="restart"/>
            <w:shd w:val="clear" w:color="auto" w:fill="auto"/>
            <w:vAlign w:val="center"/>
          </w:tcPr>
          <w:p w14:paraId="0BD32837">
            <w:pPr>
              <w:spacing w:line="240" w:lineRule="exact"/>
              <w:jc w:val="center"/>
              <w:rPr>
                <w:rFonts w:ascii="宋体" w:hAnsi="宋体"/>
                <w:sz w:val="18"/>
                <w:szCs w:val="18"/>
              </w:rPr>
            </w:pPr>
            <w:r>
              <w:rPr>
                <w:rFonts w:hint="eastAsia" w:ascii="宋体" w:hAnsi="宋体"/>
                <w:sz w:val="18"/>
                <w:szCs w:val="18"/>
              </w:rPr>
              <w:t>同上</w:t>
            </w:r>
          </w:p>
        </w:tc>
      </w:tr>
      <w:tr w14:paraId="6E47FE1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565B8968">
            <w:pPr>
              <w:spacing w:line="240" w:lineRule="exact"/>
              <w:rPr>
                <w:rFonts w:ascii="宋体" w:hAnsi="宋体"/>
                <w:sz w:val="18"/>
                <w:szCs w:val="18"/>
              </w:rPr>
            </w:pPr>
            <w:r>
              <w:rPr>
                <w:rFonts w:ascii="宋体" w:hAnsi="宋体"/>
                <w:sz w:val="18"/>
                <w:szCs w:val="18"/>
              </w:rPr>
              <w:t>ZS402表</w:t>
            </w:r>
          </w:p>
        </w:tc>
        <w:tc>
          <w:tcPr>
            <w:tcW w:w="789" w:type="pct"/>
            <w:vMerge w:val="continue"/>
            <w:vAlign w:val="center"/>
          </w:tcPr>
          <w:p w14:paraId="215F8591">
            <w:pPr>
              <w:spacing w:line="240" w:lineRule="exact"/>
              <w:rPr>
                <w:rFonts w:ascii="宋体" w:hAnsi="宋体"/>
                <w:sz w:val="18"/>
                <w:szCs w:val="18"/>
              </w:rPr>
            </w:pPr>
          </w:p>
        </w:tc>
        <w:tc>
          <w:tcPr>
            <w:tcW w:w="361" w:type="pct"/>
            <w:vMerge w:val="continue"/>
            <w:vAlign w:val="center"/>
          </w:tcPr>
          <w:p w14:paraId="3D4D3236">
            <w:pPr>
              <w:spacing w:line="240" w:lineRule="exact"/>
              <w:jc w:val="center"/>
              <w:rPr>
                <w:rFonts w:ascii="宋体" w:hAnsi="宋体"/>
                <w:sz w:val="18"/>
                <w:szCs w:val="18"/>
              </w:rPr>
            </w:pPr>
          </w:p>
        </w:tc>
        <w:tc>
          <w:tcPr>
            <w:tcW w:w="1391" w:type="pct"/>
            <w:vAlign w:val="center"/>
          </w:tcPr>
          <w:p w14:paraId="2790F07F">
            <w:pPr>
              <w:spacing w:line="240" w:lineRule="exact"/>
              <w:rPr>
                <w:rFonts w:ascii="宋体" w:hAnsi="宋体"/>
                <w:sz w:val="18"/>
                <w:szCs w:val="18"/>
              </w:rPr>
            </w:pPr>
            <w:r>
              <w:rPr>
                <w:rFonts w:ascii="宋体" w:hAnsi="宋体"/>
                <w:sz w:val="18"/>
                <w:szCs w:val="18"/>
              </w:rPr>
              <w:t>中国石油化工股份有限公司所属的石油销售企业</w:t>
            </w:r>
          </w:p>
        </w:tc>
        <w:tc>
          <w:tcPr>
            <w:tcW w:w="975" w:type="pct"/>
            <w:vAlign w:val="center"/>
          </w:tcPr>
          <w:p w14:paraId="353722EF">
            <w:pPr>
              <w:spacing w:line="240" w:lineRule="exact"/>
              <w:rPr>
                <w:rFonts w:ascii="宋体" w:hAnsi="宋体"/>
                <w:sz w:val="18"/>
                <w:szCs w:val="18"/>
              </w:rPr>
            </w:pPr>
            <w:r>
              <w:rPr>
                <w:rFonts w:ascii="宋体" w:hAnsi="宋体"/>
                <w:sz w:val="18"/>
                <w:szCs w:val="18"/>
              </w:rPr>
              <w:t>中国石油化工股份有限公司</w:t>
            </w:r>
          </w:p>
        </w:tc>
        <w:tc>
          <w:tcPr>
            <w:tcW w:w="1007" w:type="pct"/>
            <w:vMerge w:val="continue"/>
            <w:shd w:val="clear" w:color="auto" w:fill="auto"/>
            <w:vAlign w:val="center"/>
          </w:tcPr>
          <w:p w14:paraId="3FF99593">
            <w:pPr>
              <w:spacing w:line="200" w:lineRule="exact"/>
              <w:jc w:val="center"/>
              <w:rPr>
                <w:rFonts w:ascii="宋体" w:hAnsi="宋体"/>
                <w:sz w:val="18"/>
                <w:szCs w:val="18"/>
              </w:rPr>
            </w:pPr>
          </w:p>
        </w:tc>
      </w:tr>
      <w:tr w14:paraId="0D8F40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2070F575">
            <w:pPr>
              <w:spacing w:line="240" w:lineRule="exact"/>
              <w:rPr>
                <w:rFonts w:ascii="宋体" w:hAnsi="宋体"/>
                <w:sz w:val="18"/>
                <w:szCs w:val="18"/>
              </w:rPr>
            </w:pPr>
            <w:r>
              <w:rPr>
                <w:rFonts w:ascii="宋体" w:hAnsi="宋体"/>
                <w:sz w:val="18"/>
                <w:szCs w:val="18"/>
              </w:rPr>
              <w:t>ZH402表</w:t>
            </w:r>
          </w:p>
        </w:tc>
        <w:tc>
          <w:tcPr>
            <w:tcW w:w="789" w:type="pct"/>
            <w:vMerge w:val="continue"/>
            <w:vAlign w:val="center"/>
          </w:tcPr>
          <w:p w14:paraId="67717728">
            <w:pPr>
              <w:spacing w:line="240" w:lineRule="exact"/>
              <w:rPr>
                <w:rFonts w:ascii="宋体" w:hAnsi="宋体"/>
                <w:sz w:val="18"/>
                <w:szCs w:val="18"/>
              </w:rPr>
            </w:pPr>
          </w:p>
        </w:tc>
        <w:tc>
          <w:tcPr>
            <w:tcW w:w="361" w:type="pct"/>
            <w:vMerge w:val="continue"/>
            <w:vAlign w:val="center"/>
          </w:tcPr>
          <w:p w14:paraId="464FD9ED">
            <w:pPr>
              <w:spacing w:line="240" w:lineRule="exact"/>
              <w:jc w:val="center"/>
              <w:rPr>
                <w:rFonts w:ascii="宋体" w:hAnsi="宋体"/>
                <w:sz w:val="18"/>
                <w:szCs w:val="18"/>
              </w:rPr>
            </w:pPr>
          </w:p>
        </w:tc>
        <w:tc>
          <w:tcPr>
            <w:tcW w:w="1391" w:type="pct"/>
            <w:vAlign w:val="center"/>
          </w:tcPr>
          <w:p w14:paraId="21DC39F2">
            <w:pPr>
              <w:spacing w:line="240" w:lineRule="exact"/>
              <w:rPr>
                <w:rFonts w:ascii="宋体" w:hAnsi="宋体"/>
                <w:sz w:val="18"/>
                <w:szCs w:val="18"/>
              </w:rPr>
            </w:pPr>
            <w:r>
              <w:rPr>
                <w:rFonts w:ascii="宋体" w:hAnsi="宋体"/>
                <w:sz w:val="18"/>
                <w:szCs w:val="18"/>
              </w:rPr>
              <w:t>中国海洋石油总公司所属的石油销售企业</w:t>
            </w:r>
          </w:p>
        </w:tc>
        <w:tc>
          <w:tcPr>
            <w:tcW w:w="975" w:type="pct"/>
            <w:vAlign w:val="center"/>
          </w:tcPr>
          <w:p w14:paraId="1721E0B4">
            <w:pPr>
              <w:spacing w:line="240" w:lineRule="exact"/>
              <w:rPr>
                <w:rFonts w:ascii="宋体" w:hAnsi="宋体"/>
                <w:sz w:val="18"/>
                <w:szCs w:val="18"/>
              </w:rPr>
            </w:pPr>
            <w:r>
              <w:rPr>
                <w:rFonts w:ascii="宋体" w:hAnsi="宋体"/>
                <w:sz w:val="18"/>
                <w:szCs w:val="18"/>
              </w:rPr>
              <w:t>中国海洋石油总公司</w:t>
            </w:r>
          </w:p>
        </w:tc>
        <w:tc>
          <w:tcPr>
            <w:tcW w:w="1007" w:type="pct"/>
            <w:vMerge w:val="continue"/>
            <w:shd w:val="clear" w:color="auto" w:fill="auto"/>
            <w:vAlign w:val="center"/>
          </w:tcPr>
          <w:p w14:paraId="3D1C9433">
            <w:pPr>
              <w:spacing w:line="200" w:lineRule="exact"/>
              <w:jc w:val="center"/>
              <w:rPr>
                <w:rFonts w:ascii="宋体" w:hAnsi="宋体"/>
                <w:sz w:val="18"/>
                <w:szCs w:val="18"/>
              </w:rPr>
            </w:pPr>
          </w:p>
        </w:tc>
      </w:tr>
      <w:tr w14:paraId="1B7936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70" w:hRule="atLeast"/>
          <w:jc w:val="center"/>
        </w:trPr>
        <w:tc>
          <w:tcPr>
            <w:tcW w:w="474" w:type="pct"/>
            <w:vAlign w:val="center"/>
          </w:tcPr>
          <w:p w14:paraId="0A43303D">
            <w:pPr>
              <w:spacing w:line="240" w:lineRule="exact"/>
              <w:rPr>
                <w:rFonts w:ascii="宋体" w:hAnsi="宋体"/>
                <w:sz w:val="18"/>
                <w:szCs w:val="18"/>
              </w:rPr>
            </w:pPr>
            <w:r>
              <w:rPr>
                <w:rFonts w:hint="eastAsia" w:ascii="宋体" w:hAnsi="宋体"/>
                <w:sz w:val="18"/>
                <w:szCs w:val="18"/>
              </w:rPr>
              <w:t>DW</w:t>
            </w:r>
            <w:r>
              <w:rPr>
                <w:rFonts w:ascii="宋体" w:hAnsi="宋体"/>
                <w:sz w:val="18"/>
                <w:szCs w:val="18"/>
              </w:rPr>
              <w:t>401</w:t>
            </w:r>
            <w:r>
              <w:rPr>
                <w:rFonts w:hint="eastAsia" w:ascii="宋体" w:hAnsi="宋体"/>
                <w:sz w:val="18"/>
                <w:szCs w:val="18"/>
              </w:rPr>
              <w:t>表</w:t>
            </w:r>
          </w:p>
        </w:tc>
        <w:tc>
          <w:tcPr>
            <w:tcW w:w="789" w:type="pct"/>
            <w:vAlign w:val="center"/>
          </w:tcPr>
          <w:p w14:paraId="51232E00">
            <w:pPr>
              <w:spacing w:line="240" w:lineRule="exact"/>
              <w:rPr>
                <w:rFonts w:ascii="宋体" w:hAnsi="宋体"/>
                <w:sz w:val="18"/>
                <w:szCs w:val="18"/>
              </w:rPr>
            </w:pPr>
            <w:r>
              <w:rPr>
                <w:rFonts w:hint="eastAsia" w:ascii="宋体" w:hAnsi="宋体"/>
                <w:sz w:val="18"/>
                <w:szCs w:val="18"/>
              </w:rPr>
              <w:t>全国发电量情况</w:t>
            </w:r>
          </w:p>
        </w:tc>
        <w:tc>
          <w:tcPr>
            <w:tcW w:w="361" w:type="pct"/>
            <w:vAlign w:val="center"/>
          </w:tcPr>
          <w:p w14:paraId="1060D89F">
            <w:pPr>
              <w:spacing w:line="240" w:lineRule="exact"/>
              <w:jc w:val="center"/>
              <w:rPr>
                <w:rFonts w:ascii="宋体" w:hAnsi="宋体"/>
                <w:sz w:val="18"/>
                <w:szCs w:val="18"/>
              </w:rPr>
            </w:pPr>
            <w:r>
              <w:rPr>
                <w:rFonts w:hint="eastAsia" w:ascii="宋体" w:hAnsi="宋体"/>
                <w:sz w:val="18"/>
                <w:szCs w:val="18"/>
              </w:rPr>
              <w:t>5日报</w:t>
            </w:r>
          </w:p>
        </w:tc>
        <w:tc>
          <w:tcPr>
            <w:tcW w:w="1391" w:type="pct"/>
            <w:vAlign w:val="center"/>
          </w:tcPr>
          <w:p w14:paraId="16D68394">
            <w:pPr>
              <w:spacing w:line="240" w:lineRule="exact"/>
              <w:rPr>
                <w:rFonts w:ascii="宋体" w:hAnsi="宋体"/>
                <w:sz w:val="18"/>
                <w:szCs w:val="18"/>
              </w:rPr>
            </w:pPr>
            <w:r>
              <w:rPr>
                <w:rFonts w:hint="eastAsia" w:ascii="宋体" w:hAnsi="宋体"/>
                <w:sz w:val="18"/>
                <w:szCs w:val="18"/>
              </w:rPr>
              <w:t>全国及六大电网区域</w:t>
            </w:r>
          </w:p>
        </w:tc>
        <w:tc>
          <w:tcPr>
            <w:tcW w:w="975" w:type="pct"/>
            <w:vAlign w:val="center"/>
          </w:tcPr>
          <w:p w14:paraId="7AE7975A">
            <w:pPr>
              <w:spacing w:line="240" w:lineRule="exact"/>
              <w:rPr>
                <w:rFonts w:ascii="宋体" w:hAnsi="宋体"/>
                <w:sz w:val="18"/>
                <w:szCs w:val="18"/>
              </w:rPr>
            </w:pPr>
            <w:r>
              <w:rPr>
                <w:rFonts w:hint="eastAsia" w:ascii="宋体" w:hAnsi="宋体"/>
                <w:sz w:val="18"/>
                <w:szCs w:val="18"/>
              </w:rPr>
              <w:t>国家电网公司</w:t>
            </w:r>
          </w:p>
        </w:tc>
        <w:tc>
          <w:tcPr>
            <w:tcW w:w="1007" w:type="pct"/>
            <w:shd w:val="clear" w:color="auto" w:fill="auto"/>
            <w:vAlign w:val="center"/>
          </w:tcPr>
          <w:p w14:paraId="1BE6FD07">
            <w:pPr>
              <w:spacing w:line="240" w:lineRule="exact"/>
              <w:rPr>
                <w:rFonts w:ascii="宋体" w:hAnsi="宋体"/>
                <w:sz w:val="18"/>
                <w:szCs w:val="18"/>
              </w:rPr>
            </w:pPr>
            <w:r>
              <w:rPr>
                <w:rFonts w:hint="eastAsia" w:ascii="宋体" w:hAnsi="宋体"/>
                <w:sz w:val="18"/>
                <w:szCs w:val="18"/>
              </w:rPr>
              <w:t>每月5日、10日、15日、20日、25日后第一个工作日及月后第一个工作日13</w:t>
            </w:r>
            <w:r>
              <w:rPr>
                <w:rFonts w:ascii="宋体" w:hAnsi="宋体"/>
                <w:sz w:val="18"/>
                <w:szCs w:val="18"/>
              </w:rPr>
              <w:t>:00</w:t>
            </w:r>
            <w:r>
              <w:rPr>
                <w:rFonts w:hint="eastAsia" w:ascii="宋体" w:hAnsi="宋体"/>
                <w:sz w:val="18"/>
                <w:szCs w:val="18"/>
              </w:rPr>
              <w:t>前；</w:t>
            </w:r>
            <w:r>
              <w:rPr>
                <w:rFonts w:hint="eastAsia" w:ascii="宋体" w:hAnsi="宋体"/>
                <w:sz w:val="18"/>
                <w:szCs w:val="18"/>
                <w:lang w:eastAsia="zh-CN"/>
              </w:rPr>
              <w:t>传真</w:t>
            </w:r>
          </w:p>
        </w:tc>
      </w:tr>
      <w:tr w14:paraId="54258B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70" w:hRule="atLeast"/>
          <w:jc w:val="center"/>
        </w:trPr>
        <w:tc>
          <w:tcPr>
            <w:tcW w:w="474" w:type="pct"/>
            <w:vAlign w:val="center"/>
          </w:tcPr>
          <w:p w14:paraId="2FF30952">
            <w:pPr>
              <w:spacing w:line="240" w:lineRule="exact"/>
              <w:rPr>
                <w:rFonts w:ascii="宋体" w:hAnsi="宋体"/>
                <w:sz w:val="18"/>
                <w:szCs w:val="18"/>
              </w:rPr>
            </w:pPr>
            <w:r>
              <w:rPr>
                <w:rFonts w:hint="eastAsia" w:ascii="宋体" w:hAnsi="宋体"/>
                <w:sz w:val="18"/>
                <w:szCs w:val="18"/>
              </w:rPr>
              <w:t>DW</w:t>
            </w:r>
            <w:r>
              <w:rPr>
                <w:rFonts w:ascii="宋体" w:hAnsi="宋体"/>
                <w:sz w:val="18"/>
                <w:szCs w:val="18"/>
              </w:rPr>
              <w:t>402</w:t>
            </w:r>
            <w:r>
              <w:rPr>
                <w:rFonts w:hint="eastAsia" w:ascii="宋体" w:hAnsi="宋体"/>
                <w:sz w:val="18"/>
                <w:szCs w:val="18"/>
              </w:rPr>
              <w:t>表</w:t>
            </w:r>
          </w:p>
        </w:tc>
        <w:tc>
          <w:tcPr>
            <w:tcW w:w="789" w:type="pct"/>
            <w:vAlign w:val="center"/>
          </w:tcPr>
          <w:p w14:paraId="7050DFC6">
            <w:pPr>
              <w:spacing w:line="240" w:lineRule="exact"/>
              <w:rPr>
                <w:rFonts w:ascii="宋体" w:hAnsi="宋体"/>
                <w:sz w:val="18"/>
                <w:szCs w:val="18"/>
              </w:rPr>
            </w:pPr>
            <w:r>
              <w:rPr>
                <w:rFonts w:hint="eastAsia" w:ascii="宋体" w:hAnsi="宋体"/>
                <w:sz w:val="18"/>
                <w:szCs w:val="18"/>
              </w:rPr>
              <w:t>分地区发受电量情况</w:t>
            </w:r>
          </w:p>
        </w:tc>
        <w:tc>
          <w:tcPr>
            <w:tcW w:w="361" w:type="pct"/>
            <w:vAlign w:val="center"/>
          </w:tcPr>
          <w:p w14:paraId="68F568AD">
            <w:pPr>
              <w:spacing w:line="240" w:lineRule="exact"/>
              <w:jc w:val="center"/>
              <w:rPr>
                <w:rFonts w:ascii="宋体" w:hAnsi="宋体"/>
                <w:sz w:val="18"/>
                <w:szCs w:val="18"/>
              </w:rPr>
            </w:pPr>
            <w:r>
              <w:rPr>
                <w:rFonts w:hint="eastAsia" w:ascii="宋体" w:hAnsi="宋体"/>
                <w:sz w:val="18"/>
                <w:szCs w:val="18"/>
              </w:rPr>
              <w:t>月报</w:t>
            </w:r>
          </w:p>
        </w:tc>
        <w:tc>
          <w:tcPr>
            <w:tcW w:w="1391" w:type="pct"/>
            <w:tcBorders>
              <w:bottom w:val="single" w:color="auto" w:sz="8" w:space="0"/>
            </w:tcBorders>
            <w:vAlign w:val="center"/>
          </w:tcPr>
          <w:p w14:paraId="75D58C2A">
            <w:pPr>
              <w:spacing w:line="240" w:lineRule="exact"/>
              <w:rPr>
                <w:rFonts w:ascii="宋体" w:hAnsi="宋体"/>
                <w:sz w:val="18"/>
                <w:szCs w:val="18"/>
              </w:rPr>
            </w:pPr>
            <w:r>
              <w:rPr>
                <w:rFonts w:hint="eastAsia" w:ascii="宋体" w:hAnsi="宋体"/>
                <w:sz w:val="18"/>
                <w:szCs w:val="18"/>
              </w:rPr>
              <w:t>全国及六大电网区域</w:t>
            </w:r>
          </w:p>
        </w:tc>
        <w:tc>
          <w:tcPr>
            <w:tcW w:w="975" w:type="pct"/>
            <w:tcBorders>
              <w:bottom w:val="single" w:color="auto" w:sz="8" w:space="0"/>
            </w:tcBorders>
            <w:vAlign w:val="center"/>
          </w:tcPr>
          <w:p w14:paraId="12872617">
            <w:pPr>
              <w:spacing w:line="240" w:lineRule="exact"/>
              <w:rPr>
                <w:rFonts w:ascii="宋体" w:hAnsi="宋体"/>
                <w:sz w:val="18"/>
                <w:szCs w:val="18"/>
              </w:rPr>
            </w:pPr>
            <w:r>
              <w:rPr>
                <w:rFonts w:hint="eastAsia" w:ascii="宋体" w:hAnsi="宋体"/>
                <w:sz w:val="18"/>
                <w:szCs w:val="18"/>
              </w:rPr>
              <w:t>国家电网公司</w:t>
            </w:r>
          </w:p>
        </w:tc>
        <w:tc>
          <w:tcPr>
            <w:tcW w:w="1007" w:type="pct"/>
            <w:shd w:val="clear" w:color="auto" w:fill="auto"/>
            <w:vAlign w:val="center"/>
          </w:tcPr>
          <w:p w14:paraId="05B89E20">
            <w:pPr>
              <w:spacing w:line="240" w:lineRule="exact"/>
              <w:rPr>
                <w:rFonts w:ascii="宋体" w:hAnsi="宋体"/>
                <w:sz w:val="18"/>
                <w:szCs w:val="18"/>
              </w:rPr>
            </w:pPr>
            <w:r>
              <w:rPr>
                <w:rFonts w:ascii="宋体" w:hAnsi="宋体"/>
                <w:sz w:val="18"/>
                <w:szCs w:val="18"/>
              </w:rPr>
              <w:t>月后</w:t>
            </w:r>
            <w:r>
              <w:rPr>
                <w:rFonts w:hint="eastAsia" w:ascii="宋体" w:hAnsi="宋体"/>
                <w:sz w:val="18"/>
                <w:szCs w:val="18"/>
              </w:rPr>
              <w:t>第</w:t>
            </w:r>
            <w:r>
              <w:rPr>
                <w:rFonts w:ascii="宋体" w:hAnsi="宋体"/>
                <w:sz w:val="18"/>
                <w:szCs w:val="18"/>
              </w:rPr>
              <w:t>2</w:t>
            </w:r>
            <w:r>
              <w:rPr>
                <w:rFonts w:hint="eastAsia" w:ascii="宋体" w:hAnsi="宋体"/>
                <w:sz w:val="18"/>
                <w:szCs w:val="18"/>
              </w:rPr>
              <w:t>个</w:t>
            </w:r>
            <w:r>
              <w:rPr>
                <w:rFonts w:ascii="宋体" w:hAnsi="宋体"/>
                <w:sz w:val="18"/>
                <w:szCs w:val="18"/>
              </w:rPr>
              <w:t>工作日</w:t>
            </w:r>
            <w:r>
              <w:rPr>
                <w:rFonts w:hint="eastAsia" w:ascii="宋体" w:hAnsi="宋体"/>
                <w:sz w:val="18"/>
                <w:szCs w:val="18"/>
              </w:rPr>
              <w:t>13</w:t>
            </w:r>
            <w:r>
              <w:rPr>
                <w:rFonts w:ascii="宋体" w:hAnsi="宋体"/>
                <w:sz w:val="18"/>
                <w:szCs w:val="18"/>
              </w:rPr>
              <w:t>:00前；电子邮件</w:t>
            </w:r>
          </w:p>
        </w:tc>
      </w:tr>
      <w:tr w14:paraId="1E6859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1310659C">
            <w:pPr>
              <w:spacing w:line="240" w:lineRule="exact"/>
              <w:rPr>
                <w:rFonts w:ascii="宋体" w:hAnsi="宋体"/>
                <w:sz w:val="18"/>
                <w:szCs w:val="18"/>
              </w:rPr>
            </w:pPr>
            <w:r>
              <w:rPr>
                <w:rFonts w:ascii="宋体" w:hAnsi="宋体"/>
                <w:sz w:val="18"/>
                <w:szCs w:val="18"/>
              </w:rPr>
              <w:t>ZY403表</w:t>
            </w:r>
          </w:p>
        </w:tc>
        <w:tc>
          <w:tcPr>
            <w:tcW w:w="789" w:type="pct"/>
            <w:vMerge w:val="restart"/>
            <w:tcBorders>
              <w:bottom w:val="single" w:color="auto" w:sz="8" w:space="0"/>
            </w:tcBorders>
            <w:vAlign w:val="center"/>
          </w:tcPr>
          <w:p w14:paraId="7172821B">
            <w:pPr>
              <w:spacing w:line="240" w:lineRule="exact"/>
              <w:rPr>
                <w:rFonts w:ascii="宋体" w:hAnsi="宋体"/>
                <w:sz w:val="18"/>
                <w:szCs w:val="18"/>
              </w:rPr>
            </w:pPr>
            <w:r>
              <w:rPr>
                <w:rFonts w:ascii="宋体" w:hAnsi="宋体"/>
                <w:sz w:val="18"/>
                <w:szCs w:val="18"/>
              </w:rPr>
              <w:t>天然气销售去向</w:t>
            </w:r>
          </w:p>
        </w:tc>
        <w:tc>
          <w:tcPr>
            <w:tcW w:w="361" w:type="pct"/>
            <w:vMerge w:val="restart"/>
            <w:tcBorders>
              <w:bottom w:val="single" w:color="auto" w:sz="8" w:space="0"/>
              <w:right w:val="single" w:color="auto" w:sz="8" w:space="0"/>
            </w:tcBorders>
            <w:vAlign w:val="center"/>
          </w:tcPr>
          <w:p w14:paraId="2CEFCC4F">
            <w:pPr>
              <w:spacing w:line="240" w:lineRule="exact"/>
              <w:jc w:val="center"/>
              <w:rPr>
                <w:rFonts w:ascii="宋体" w:hAnsi="宋体"/>
                <w:sz w:val="18"/>
                <w:szCs w:val="18"/>
              </w:rPr>
            </w:pPr>
            <w:r>
              <w:rPr>
                <w:rFonts w:ascii="宋体" w:hAnsi="宋体"/>
                <w:sz w:val="18"/>
                <w:szCs w:val="18"/>
              </w:rPr>
              <w:t>月报</w:t>
            </w:r>
          </w:p>
        </w:tc>
        <w:tc>
          <w:tcPr>
            <w:tcW w:w="1391" w:type="pct"/>
            <w:tcBorders>
              <w:top w:val="single" w:color="auto" w:sz="8" w:space="0"/>
              <w:left w:val="single" w:color="auto" w:sz="8" w:space="0"/>
              <w:bottom w:val="single" w:color="auto" w:sz="8" w:space="0"/>
              <w:right w:val="single" w:color="auto" w:sz="8" w:space="0"/>
            </w:tcBorders>
            <w:vAlign w:val="center"/>
          </w:tcPr>
          <w:p w14:paraId="42F0102A">
            <w:pPr>
              <w:spacing w:line="240" w:lineRule="exact"/>
              <w:rPr>
                <w:rFonts w:ascii="宋体" w:hAnsi="宋体"/>
                <w:sz w:val="18"/>
                <w:szCs w:val="18"/>
              </w:rPr>
            </w:pPr>
            <w:r>
              <w:rPr>
                <w:rFonts w:ascii="宋体" w:hAnsi="宋体"/>
                <w:sz w:val="18"/>
                <w:szCs w:val="18"/>
              </w:rPr>
              <w:t>中国石油天然气股份有限公司所属的天然气销售企业</w:t>
            </w:r>
          </w:p>
        </w:tc>
        <w:tc>
          <w:tcPr>
            <w:tcW w:w="975" w:type="pct"/>
            <w:tcBorders>
              <w:top w:val="single" w:color="auto" w:sz="8" w:space="0"/>
              <w:left w:val="single" w:color="auto" w:sz="8" w:space="0"/>
              <w:bottom w:val="single" w:color="auto" w:sz="8" w:space="0"/>
              <w:right w:val="single" w:color="auto" w:sz="8" w:space="0"/>
            </w:tcBorders>
            <w:vAlign w:val="center"/>
          </w:tcPr>
          <w:p w14:paraId="4152526D">
            <w:pPr>
              <w:spacing w:line="240" w:lineRule="exact"/>
              <w:rPr>
                <w:rFonts w:ascii="宋体" w:hAnsi="宋体"/>
                <w:sz w:val="18"/>
                <w:szCs w:val="18"/>
              </w:rPr>
            </w:pPr>
            <w:r>
              <w:rPr>
                <w:rFonts w:ascii="宋体" w:hAnsi="宋体"/>
                <w:sz w:val="18"/>
                <w:szCs w:val="18"/>
              </w:rPr>
              <w:t>中国石油天然气股份有限公司</w:t>
            </w:r>
          </w:p>
        </w:tc>
        <w:tc>
          <w:tcPr>
            <w:tcW w:w="1007" w:type="pct"/>
            <w:vMerge w:val="restart"/>
            <w:tcBorders>
              <w:left w:val="single" w:color="auto" w:sz="8" w:space="0"/>
              <w:bottom w:val="single" w:color="auto" w:sz="8" w:space="0"/>
            </w:tcBorders>
            <w:shd w:val="clear" w:color="auto" w:fill="auto"/>
            <w:vAlign w:val="center"/>
          </w:tcPr>
          <w:p w14:paraId="5A21ABAB">
            <w:pPr>
              <w:spacing w:line="240" w:lineRule="exact"/>
              <w:rPr>
                <w:rFonts w:ascii="宋体" w:hAnsi="宋体"/>
                <w:sz w:val="18"/>
                <w:szCs w:val="18"/>
              </w:rPr>
            </w:pPr>
            <w:r>
              <w:rPr>
                <w:rFonts w:ascii="宋体" w:hAnsi="宋体"/>
                <w:sz w:val="18"/>
                <w:szCs w:val="18"/>
              </w:rPr>
              <w:t>月后15日前；电子邮件</w:t>
            </w:r>
          </w:p>
        </w:tc>
      </w:tr>
      <w:tr w14:paraId="583F1C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vAlign w:val="center"/>
          </w:tcPr>
          <w:p w14:paraId="230C17FD">
            <w:pPr>
              <w:spacing w:line="240" w:lineRule="exact"/>
              <w:rPr>
                <w:rFonts w:ascii="宋体" w:hAnsi="宋体"/>
                <w:sz w:val="18"/>
                <w:szCs w:val="18"/>
              </w:rPr>
            </w:pPr>
            <w:r>
              <w:rPr>
                <w:rFonts w:ascii="宋体" w:hAnsi="宋体"/>
                <w:sz w:val="18"/>
                <w:szCs w:val="18"/>
              </w:rPr>
              <w:t>ZS403表</w:t>
            </w:r>
          </w:p>
        </w:tc>
        <w:tc>
          <w:tcPr>
            <w:tcW w:w="789" w:type="pct"/>
            <w:vMerge w:val="continue"/>
            <w:tcBorders>
              <w:top w:val="single" w:color="auto" w:sz="8" w:space="0"/>
              <w:bottom w:val="single" w:color="auto" w:sz="8" w:space="0"/>
            </w:tcBorders>
            <w:vAlign w:val="center"/>
          </w:tcPr>
          <w:p w14:paraId="0A511B0A">
            <w:pPr>
              <w:spacing w:line="240" w:lineRule="exact"/>
              <w:rPr>
                <w:rFonts w:ascii="宋体" w:hAnsi="宋体"/>
                <w:sz w:val="18"/>
                <w:szCs w:val="18"/>
              </w:rPr>
            </w:pPr>
          </w:p>
        </w:tc>
        <w:tc>
          <w:tcPr>
            <w:tcW w:w="361" w:type="pct"/>
            <w:vMerge w:val="continue"/>
            <w:tcBorders>
              <w:top w:val="single" w:color="auto" w:sz="8" w:space="0"/>
              <w:bottom w:val="single" w:color="auto" w:sz="8" w:space="0"/>
              <w:right w:val="single" w:color="auto" w:sz="8" w:space="0"/>
            </w:tcBorders>
            <w:vAlign w:val="center"/>
          </w:tcPr>
          <w:p w14:paraId="717B0588">
            <w:pPr>
              <w:spacing w:line="240" w:lineRule="exact"/>
              <w:jc w:val="center"/>
              <w:rPr>
                <w:rFonts w:ascii="宋体" w:hAnsi="宋体"/>
                <w:sz w:val="18"/>
                <w:szCs w:val="18"/>
              </w:rPr>
            </w:pPr>
          </w:p>
        </w:tc>
        <w:tc>
          <w:tcPr>
            <w:tcW w:w="1391" w:type="pct"/>
            <w:tcBorders>
              <w:top w:val="single" w:color="auto" w:sz="8" w:space="0"/>
              <w:left w:val="single" w:color="auto" w:sz="8" w:space="0"/>
              <w:bottom w:val="single" w:color="auto" w:sz="8" w:space="0"/>
              <w:right w:val="single" w:color="auto" w:sz="8" w:space="0"/>
            </w:tcBorders>
            <w:vAlign w:val="center"/>
          </w:tcPr>
          <w:p w14:paraId="79BCC5C4">
            <w:pPr>
              <w:spacing w:line="240" w:lineRule="exact"/>
              <w:rPr>
                <w:rFonts w:ascii="宋体" w:hAnsi="宋体"/>
                <w:sz w:val="18"/>
                <w:szCs w:val="18"/>
              </w:rPr>
            </w:pPr>
            <w:r>
              <w:rPr>
                <w:rFonts w:ascii="宋体" w:hAnsi="宋体"/>
                <w:sz w:val="18"/>
                <w:szCs w:val="18"/>
              </w:rPr>
              <w:t>中国石油化工股份有限公司所属的天然气销售企业</w:t>
            </w:r>
          </w:p>
        </w:tc>
        <w:tc>
          <w:tcPr>
            <w:tcW w:w="975" w:type="pct"/>
            <w:tcBorders>
              <w:top w:val="single" w:color="auto" w:sz="8" w:space="0"/>
              <w:left w:val="single" w:color="auto" w:sz="8" w:space="0"/>
              <w:bottom w:val="single" w:color="auto" w:sz="8" w:space="0"/>
              <w:right w:val="single" w:color="auto" w:sz="8" w:space="0"/>
            </w:tcBorders>
            <w:vAlign w:val="center"/>
          </w:tcPr>
          <w:p w14:paraId="0E3789F8">
            <w:pPr>
              <w:spacing w:line="240" w:lineRule="exact"/>
              <w:rPr>
                <w:rFonts w:ascii="宋体" w:hAnsi="宋体"/>
                <w:sz w:val="18"/>
                <w:szCs w:val="18"/>
              </w:rPr>
            </w:pPr>
            <w:r>
              <w:rPr>
                <w:rFonts w:ascii="宋体" w:hAnsi="宋体"/>
                <w:sz w:val="18"/>
                <w:szCs w:val="18"/>
              </w:rPr>
              <w:t>中国石油化工股份有限公司</w:t>
            </w:r>
          </w:p>
        </w:tc>
        <w:tc>
          <w:tcPr>
            <w:tcW w:w="1007" w:type="pct"/>
            <w:vMerge w:val="continue"/>
            <w:tcBorders>
              <w:top w:val="single" w:color="auto" w:sz="8" w:space="0"/>
              <w:left w:val="single" w:color="auto" w:sz="8" w:space="0"/>
              <w:bottom w:val="single" w:color="auto" w:sz="8" w:space="0"/>
            </w:tcBorders>
            <w:shd w:val="clear" w:color="auto" w:fill="auto"/>
            <w:vAlign w:val="center"/>
          </w:tcPr>
          <w:p w14:paraId="3B438A24">
            <w:pPr>
              <w:spacing w:line="200" w:lineRule="exact"/>
              <w:jc w:val="center"/>
              <w:rPr>
                <w:rFonts w:ascii="宋体" w:hAnsi="宋体"/>
                <w:sz w:val="18"/>
                <w:szCs w:val="18"/>
              </w:rPr>
            </w:pPr>
          </w:p>
        </w:tc>
      </w:tr>
      <w:tr w14:paraId="65B766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24" w:hRule="atLeast"/>
          <w:jc w:val="center"/>
        </w:trPr>
        <w:tc>
          <w:tcPr>
            <w:tcW w:w="474" w:type="pct"/>
            <w:tcBorders>
              <w:bottom w:val="single" w:color="auto" w:sz="8" w:space="0"/>
            </w:tcBorders>
            <w:vAlign w:val="center"/>
          </w:tcPr>
          <w:p w14:paraId="7F623CD8">
            <w:pPr>
              <w:spacing w:line="240" w:lineRule="exact"/>
              <w:rPr>
                <w:rFonts w:ascii="宋体" w:hAnsi="宋体"/>
                <w:sz w:val="18"/>
                <w:szCs w:val="18"/>
              </w:rPr>
            </w:pPr>
            <w:r>
              <w:rPr>
                <w:rFonts w:ascii="宋体" w:hAnsi="宋体"/>
                <w:sz w:val="18"/>
                <w:szCs w:val="18"/>
              </w:rPr>
              <w:t>ZH403表</w:t>
            </w:r>
          </w:p>
        </w:tc>
        <w:tc>
          <w:tcPr>
            <w:tcW w:w="789" w:type="pct"/>
            <w:vMerge w:val="continue"/>
            <w:tcBorders>
              <w:top w:val="single" w:color="auto" w:sz="8" w:space="0"/>
              <w:bottom w:val="single" w:color="auto" w:sz="8" w:space="0"/>
            </w:tcBorders>
            <w:vAlign w:val="center"/>
          </w:tcPr>
          <w:p w14:paraId="0BBB8C93">
            <w:pPr>
              <w:spacing w:line="240" w:lineRule="exact"/>
              <w:rPr>
                <w:rFonts w:ascii="宋体" w:hAnsi="宋体"/>
                <w:sz w:val="18"/>
                <w:szCs w:val="18"/>
              </w:rPr>
            </w:pPr>
          </w:p>
        </w:tc>
        <w:tc>
          <w:tcPr>
            <w:tcW w:w="361" w:type="pct"/>
            <w:vMerge w:val="continue"/>
            <w:tcBorders>
              <w:top w:val="single" w:color="auto" w:sz="8" w:space="0"/>
              <w:bottom w:val="single" w:color="auto" w:sz="8" w:space="0"/>
              <w:right w:val="single" w:color="auto" w:sz="8" w:space="0"/>
            </w:tcBorders>
            <w:vAlign w:val="center"/>
          </w:tcPr>
          <w:p w14:paraId="2E56080D">
            <w:pPr>
              <w:spacing w:line="240" w:lineRule="exact"/>
              <w:jc w:val="center"/>
              <w:rPr>
                <w:rFonts w:ascii="宋体" w:hAnsi="宋体"/>
                <w:sz w:val="18"/>
                <w:szCs w:val="18"/>
              </w:rPr>
            </w:pPr>
          </w:p>
        </w:tc>
        <w:tc>
          <w:tcPr>
            <w:tcW w:w="1391" w:type="pct"/>
            <w:tcBorders>
              <w:top w:val="single" w:color="auto" w:sz="8" w:space="0"/>
              <w:left w:val="single" w:color="auto" w:sz="8" w:space="0"/>
              <w:bottom w:val="single" w:color="auto" w:sz="8" w:space="0"/>
              <w:right w:val="single" w:color="auto" w:sz="8" w:space="0"/>
            </w:tcBorders>
            <w:vAlign w:val="center"/>
          </w:tcPr>
          <w:p w14:paraId="747083D0">
            <w:pPr>
              <w:spacing w:line="240" w:lineRule="exact"/>
              <w:rPr>
                <w:rFonts w:ascii="宋体" w:hAnsi="宋体"/>
                <w:sz w:val="18"/>
                <w:szCs w:val="18"/>
              </w:rPr>
            </w:pPr>
            <w:r>
              <w:rPr>
                <w:rFonts w:ascii="宋体" w:hAnsi="宋体"/>
                <w:sz w:val="18"/>
                <w:szCs w:val="18"/>
              </w:rPr>
              <w:t>中国海洋石油总公司所属的天然气销售企业</w:t>
            </w:r>
          </w:p>
        </w:tc>
        <w:tc>
          <w:tcPr>
            <w:tcW w:w="975" w:type="pct"/>
            <w:tcBorders>
              <w:top w:val="single" w:color="auto" w:sz="8" w:space="0"/>
              <w:left w:val="single" w:color="auto" w:sz="8" w:space="0"/>
              <w:bottom w:val="single" w:color="auto" w:sz="8" w:space="0"/>
              <w:right w:val="single" w:color="auto" w:sz="8" w:space="0"/>
            </w:tcBorders>
            <w:vAlign w:val="center"/>
          </w:tcPr>
          <w:p w14:paraId="362764F3">
            <w:pPr>
              <w:spacing w:line="240" w:lineRule="exact"/>
              <w:rPr>
                <w:rFonts w:ascii="宋体" w:hAnsi="宋体"/>
                <w:sz w:val="18"/>
                <w:szCs w:val="18"/>
              </w:rPr>
            </w:pPr>
            <w:r>
              <w:rPr>
                <w:rFonts w:ascii="宋体" w:hAnsi="宋体"/>
                <w:sz w:val="18"/>
                <w:szCs w:val="18"/>
              </w:rPr>
              <w:t>中国海洋石油总公司</w:t>
            </w:r>
          </w:p>
        </w:tc>
        <w:tc>
          <w:tcPr>
            <w:tcW w:w="1007" w:type="pct"/>
            <w:vMerge w:val="continue"/>
            <w:tcBorders>
              <w:top w:val="single" w:color="auto" w:sz="8" w:space="0"/>
              <w:left w:val="single" w:color="auto" w:sz="8" w:space="0"/>
              <w:bottom w:val="single" w:color="auto" w:sz="2" w:space="0"/>
            </w:tcBorders>
            <w:shd w:val="clear" w:color="auto" w:fill="auto"/>
            <w:vAlign w:val="center"/>
          </w:tcPr>
          <w:p w14:paraId="23B4B76C">
            <w:pPr>
              <w:spacing w:line="200" w:lineRule="exact"/>
              <w:jc w:val="center"/>
              <w:rPr>
                <w:rFonts w:ascii="宋体" w:hAnsi="宋体"/>
                <w:sz w:val="18"/>
                <w:szCs w:val="18"/>
              </w:rPr>
            </w:pPr>
          </w:p>
        </w:tc>
      </w:tr>
      <w:tr w14:paraId="5117AB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93" w:hRule="atLeast"/>
          <w:jc w:val="center"/>
        </w:trPr>
        <w:tc>
          <w:tcPr>
            <w:tcW w:w="474" w:type="pct"/>
            <w:tcBorders>
              <w:top w:val="single" w:color="auto" w:sz="8" w:space="0"/>
              <w:bottom w:val="single" w:color="auto" w:sz="2" w:space="0"/>
            </w:tcBorders>
            <w:vAlign w:val="center"/>
          </w:tcPr>
          <w:p w14:paraId="0F8D1C6B">
            <w:pPr>
              <w:spacing w:line="200" w:lineRule="exact"/>
              <w:rPr>
                <w:rFonts w:ascii="宋体" w:hAnsi="宋体"/>
                <w:sz w:val="18"/>
                <w:szCs w:val="18"/>
              </w:rPr>
            </w:pPr>
            <w:r>
              <w:rPr>
                <w:rFonts w:ascii="宋体" w:hAnsi="宋体"/>
                <w:sz w:val="18"/>
                <w:szCs w:val="18"/>
              </w:rPr>
              <w:t>DL401表</w:t>
            </w:r>
          </w:p>
        </w:tc>
        <w:tc>
          <w:tcPr>
            <w:tcW w:w="789" w:type="pct"/>
            <w:tcBorders>
              <w:top w:val="single" w:color="auto" w:sz="8" w:space="0"/>
              <w:bottom w:val="single" w:color="auto" w:sz="2" w:space="0"/>
            </w:tcBorders>
            <w:vAlign w:val="center"/>
          </w:tcPr>
          <w:p w14:paraId="7A174464">
            <w:pPr>
              <w:spacing w:line="200" w:lineRule="exact"/>
              <w:rPr>
                <w:rFonts w:ascii="宋体" w:hAnsi="宋体"/>
                <w:sz w:val="18"/>
                <w:szCs w:val="18"/>
              </w:rPr>
            </w:pPr>
            <w:r>
              <w:rPr>
                <w:rFonts w:ascii="宋体" w:hAnsi="宋体"/>
                <w:sz w:val="18"/>
                <w:szCs w:val="18"/>
              </w:rPr>
              <w:t>电力省际间输入、输出情况</w:t>
            </w:r>
          </w:p>
        </w:tc>
        <w:tc>
          <w:tcPr>
            <w:tcW w:w="361" w:type="pct"/>
            <w:tcBorders>
              <w:top w:val="single" w:color="auto" w:sz="8" w:space="0"/>
              <w:bottom w:val="single" w:color="auto" w:sz="2" w:space="0"/>
            </w:tcBorders>
            <w:vAlign w:val="center"/>
          </w:tcPr>
          <w:p w14:paraId="6BD6FC77">
            <w:pPr>
              <w:spacing w:line="200" w:lineRule="exact"/>
              <w:jc w:val="center"/>
              <w:rPr>
                <w:rFonts w:ascii="宋体" w:hAnsi="宋体"/>
                <w:sz w:val="18"/>
                <w:szCs w:val="18"/>
              </w:rPr>
            </w:pPr>
            <w:r>
              <w:rPr>
                <w:rFonts w:ascii="宋体" w:hAnsi="宋体"/>
                <w:sz w:val="18"/>
                <w:szCs w:val="18"/>
              </w:rPr>
              <w:t>月报</w:t>
            </w:r>
          </w:p>
        </w:tc>
        <w:tc>
          <w:tcPr>
            <w:tcW w:w="1391" w:type="pct"/>
            <w:tcBorders>
              <w:top w:val="single" w:color="auto" w:sz="8" w:space="0"/>
              <w:bottom w:val="single" w:color="auto" w:sz="2" w:space="0"/>
            </w:tcBorders>
            <w:vAlign w:val="center"/>
          </w:tcPr>
          <w:p w14:paraId="64CDE8B2">
            <w:pPr>
              <w:spacing w:line="200" w:lineRule="exact"/>
              <w:rPr>
                <w:rFonts w:ascii="宋体" w:hAnsi="宋体"/>
                <w:sz w:val="18"/>
                <w:szCs w:val="18"/>
              </w:rPr>
            </w:pPr>
            <w:r>
              <w:rPr>
                <w:rFonts w:ascii="宋体" w:hAnsi="宋体"/>
                <w:sz w:val="18"/>
                <w:szCs w:val="18"/>
              </w:rPr>
              <w:t>国家电网公司总（分）部、各省级电网公司；中国南方电网有限责任公司及其所属各省电网公司；内蒙古电力有限责任公司</w:t>
            </w:r>
          </w:p>
        </w:tc>
        <w:tc>
          <w:tcPr>
            <w:tcW w:w="975" w:type="pct"/>
            <w:tcBorders>
              <w:top w:val="single" w:color="auto" w:sz="8" w:space="0"/>
              <w:bottom w:val="single" w:color="auto" w:sz="2" w:space="0"/>
            </w:tcBorders>
            <w:vAlign w:val="center"/>
          </w:tcPr>
          <w:p w14:paraId="61523EF1">
            <w:pPr>
              <w:spacing w:line="200" w:lineRule="exact"/>
              <w:rPr>
                <w:rFonts w:ascii="宋体" w:hAnsi="宋体"/>
                <w:sz w:val="18"/>
                <w:szCs w:val="18"/>
              </w:rPr>
            </w:pPr>
            <w:r>
              <w:rPr>
                <w:rFonts w:ascii="宋体" w:hAnsi="宋体"/>
                <w:sz w:val="18"/>
                <w:szCs w:val="18"/>
              </w:rPr>
              <w:t>中国电力企业联合会</w:t>
            </w:r>
          </w:p>
        </w:tc>
        <w:tc>
          <w:tcPr>
            <w:tcW w:w="1007" w:type="pct"/>
            <w:tcBorders>
              <w:top w:val="single" w:color="auto" w:sz="2" w:space="0"/>
              <w:bottom w:val="single" w:color="auto" w:sz="2" w:space="0"/>
            </w:tcBorders>
            <w:shd w:val="clear" w:color="auto" w:fill="auto"/>
            <w:vAlign w:val="center"/>
          </w:tcPr>
          <w:p w14:paraId="4A93A484">
            <w:pPr>
              <w:spacing w:line="200" w:lineRule="exact"/>
              <w:rPr>
                <w:rFonts w:ascii="宋体" w:hAnsi="宋体"/>
                <w:sz w:val="18"/>
                <w:szCs w:val="18"/>
              </w:rPr>
            </w:pPr>
            <w:r>
              <w:rPr>
                <w:rFonts w:ascii="宋体" w:hAnsi="宋体"/>
                <w:sz w:val="18"/>
                <w:szCs w:val="18"/>
              </w:rPr>
              <w:t>月后15日前；电子邮件</w:t>
            </w:r>
          </w:p>
        </w:tc>
      </w:tr>
      <w:tr w14:paraId="744C8E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93" w:hRule="atLeast"/>
          <w:jc w:val="center"/>
        </w:trPr>
        <w:tc>
          <w:tcPr>
            <w:tcW w:w="474" w:type="pct"/>
            <w:tcBorders>
              <w:top w:val="single" w:color="auto" w:sz="2" w:space="0"/>
            </w:tcBorders>
            <w:vAlign w:val="center"/>
          </w:tcPr>
          <w:p w14:paraId="70B8937B">
            <w:pPr>
              <w:spacing w:line="200" w:lineRule="exact"/>
              <w:rPr>
                <w:rFonts w:ascii="宋体" w:hAnsi="宋体"/>
                <w:sz w:val="18"/>
                <w:szCs w:val="18"/>
              </w:rPr>
            </w:pPr>
            <w:r>
              <w:rPr>
                <w:rFonts w:ascii="宋体" w:hAnsi="宋体"/>
                <w:sz w:val="18"/>
                <w:szCs w:val="18"/>
              </w:rPr>
              <w:t>DL403表</w:t>
            </w:r>
          </w:p>
        </w:tc>
        <w:tc>
          <w:tcPr>
            <w:tcW w:w="789" w:type="pct"/>
            <w:tcBorders>
              <w:top w:val="single" w:color="auto" w:sz="2" w:space="0"/>
            </w:tcBorders>
            <w:vAlign w:val="center"/>
          </w:tcPr>
          <w:p w14:paraId="77ABD607">
            <w:pPr>
              <w:spacing w:line="200" w:lineRule="exact"/>
              <w:rPr>
                <w:rFonts w:ascii="宋体" w:hAnsi="宋体"/>
                <w:sz w:val="18"/>
                <w:szCs w:val="18"/>
              </w:rPr>
            </w:pPr>
            <w:r>
              <w:rPr>
                <w:rFonts w:hint="eastAsia" w:ascii="宋体" w:hAnsi="宋体"/>
                <w:sz w:val="18"/>
                <w:szCs w:val="18"/>
                <w:lang w:eastAsia="zh-CN"/>
              </w:rPr>
              <w:t>电力行业监测</w:t>
            </w:r>
            <w:r>
              <w:rPr>
                <w:rFonts w:hint="eastAsia" w:ascii="宋体" w:hAnsi="宋体"/>
                <w:sz w:val="18"/>
                <w:szCs w:val="18"/>
              </w:rPr>
              <w:t>情况</w:t>
            </w:r>
          </w:p>
        </w:tc>
        <w:tc>
          <w:tcPr>
            <w:tcW w:w="361" w:type="pct"/>
            <w:tcBorders>
              <w:top w:val="single" w:color="auto" w:sz="2" w:space="0"/>
            </w:tcBorders>
            <w:vAlign w:val="center"/>
          </w:tcPr>
          <w:p w14:paraId="723656C7">
            <w:pPr>
              <w:spacing w:line="200" w:lineRule="exact"/>
              <w:jc w:val="center"/>
              <w:rPr>
                <w:rFonts w:ascii="宋体" w:hAnsi="宋体"/>
                <w:sz w:val="18"/>
                <w:szCs w:val="18"/>
              </w:rPr>
            </w:pPr>
            <w:r>
              <w:rPr>
                <w:rFonts w:ascii="宋体" w:hAnsi="宋体"/>
                <w:sz w:val="18"/>
                <w:szCs w:val="18"/>
              </w:rPr>
              <w:t>月报</w:t>
            </w:r>
          </w:p>
        </w:tc>
        <w:tc>
          <w:tcPr>
            <w:tcW w:w="1391" w:type="pct"/>
            <w:tcBorders>
              <w:top w:val="single" w:color="auto" w:sz="2" w:space="0"/>
            </w:tcBorders>
            <w:vAlign w:val="center"/>
          </w:tcPr>
          <w:p w14:paraId="5B7A64AA">
            <w:pPr>
              <w:spacing w:line="200" w:lineRule="exact"/>
              <w:rPr>
                <w:rFonts w:hint="eastAsia" w:ascii="宋体" w:hAnsi="宋体" w:eastAsia="宋体"/>
                <w:sz w:val="18"/>
                <w:szCs w:val="18"/>
                <w:lang w:eastAsia="zh-CN"/>
              </w:rPr>
            </w:pPr>
            <w:r>
              <w:rPr>
                <w:rFonts w:hint="eastAsia"/>
                <w:sz w:val="18"/>
                <w:szCs w:val="18"/>
              </w:rPr>
              <w:t>全国各省、自治区、直辖市辖区内</w:t>
            </w:r>
            <w:r>
              <w:rPr>
                <w:rFonts w:hint="eastAsia"/>
                <w:sz w:val="18"/>
                <w:szCs w:val="18"/>
                <w:lang w:eastAsia="zh-CN"/>
              </w:rPr>
              <w:t>全部电力生产企业</w:t>
            </w:r>
          </w:p>
        </w:tc>
        <w:tc>
          <w:tcPr>
            <w:tcW w:w="975" w:type="pct"/>
            <w:tcBorders>
              <w:top w:val="single" w:color="auto" w:sz="2" w:space="0"/>
            </w:tcBorders>
            <w:vAlign w:val="center"/>
          </w:tcPr>
          <w:p w14:paraId="5BF42E1D">
            <w:pPr>
              <w:spacing w:line="200" w:lineRule="exact"/>
              <w:rPr>
                <w:rFonts w:ascii="宋体" w:hAnsi="宋体"/>
                <w:sz w:val="18"/>
                <w:szCs w:val="18"/>
              </w:rPr>
            </w:pPr>
            <w:r>
              <w:rPr>
                <w:rFonts w:ascii="宋体" w:hAnsi="宋体"/>
                <w:sz w:val="18"/>
                <w:szCs w:val="18"/>
              </w:rPr>
              <w:t>中国电力企业联合会</w:t>
            </w:r>
          </w:p>
        </w:tc>
        <w:tc>
          <w:tcPr>
            <w:tcW w:w="1007" w:type="pct"/>
            <w:tcBorders>
              <w:top w:val="single" w:color="auto" w:sz="2" w:space="0"/>
            </w:tcBorders>
            <w:shd w:val="clear" w:color="auto" w:fill="auto"/>
            <w:vAlign w:val="center"/>
          </w:tcPr>
          <w:p w14:paraId="678B5ED5">
            <w:pPr>
              <w:spacing w:line="200" w:lineRule="exact"/>
              <w:rPr>
                <w:rFonts w:ascii="宋体" w:hAnsi="宋体"/>
                <w:sz w:val="18"/>
                <w:szCs w:val="18"/>
              </w:rPr>
            </w:pPr>
            <w:r>
              <w:rPr>
                <w:rFonts w:ascii="宋体" w:hAnsi="宋体"/>
                <w:sz w:val="18"/>
                <w:szCs w:val="18"/>
              </w:rPr>
              <w:t>月后15日前；电子邮件</w:t>
            </w:r>
          </w:p>
        </w:tc>
      </w:tr>
      <w:tr w14:paraId="1BF792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93" w:hRule="atLeast"/>
          <w:jc w:val="center"/>
        </w:trPr>
        <w:tc>
          <w:tcPr>
            <w:tcW w:w="474" w:type="pct"/>
            <w:vAlign w:val="center"/>
          </w:tcPr>
          <w:p w14:paraId="49EDFCF9">
            <w:pPr>
              <w:spacing w:line="240" w:lineRule="exact"/>
              <w:rPr>
                <w:rFonts w:ascii="宋体" w:hAnsi="宋体"/>
                <w:sz w:val="18"/>
                <w:szCs w:val="18"/>
              </w:rPr>
            </w:pPr>
            <w:r>
              <w:rPr>
                <w:rFonts w:ascii="宋体" w:hAnsi="宋体"/>
                <w:sz w:val="18"/>
                <w:szCs w:val="18"/>
              </w:rPr>
              <w:t>P406表</w:t>
            </w:r>
          </w:p>
        </w:tc>
        <w:tc>
          <w:tcPr>
            <w:tcW w:w="789" w:type="pct"/>
            <w:vAlign w:val="center"/>
          </w:tcPr>
          <w:p w14:paraId="47D104C7">
            <w:pPr>
              <w:spacing w:line="240" w:lineRule="exact"/>
              <w:rPr>
                <w:rFonts w:ascii="宋体" w:hAnsi="宋体"/>
                <w:sz w:val="18"/>
                <w:szCs w:val="18"/>
              </w:rPr>
            </w:pPr>
            <w:r>
              <w:rPr>
                <w:rFonts w:ascii="宋体" w:hAnsi="宋体"/>
                <w:sz w:val="18"/>
                <w:szCs w:val="18"/>
              </w:rPr>
              <w:t>地区能源消费与单位GDP能耗</w:t>
            </w:r>
          </w:p>
        </w:tc>
        <w:tc>
          <w:tcPr>
            <w:tcW w:w="361" w:type="pct"/>
            <w:vAlign w:val="center"/>
          </w:tcPr>
          <w:p w14:paraId="79BD227D">
            <w:pPr>
              <w:spacing w:line="240" w:lineRule="exact"/>
              <w:jc w:val="center"/>
              <w:rPr>
                <w:rFonts w:ascii="宋体" w:hAnsi="宋体"/>
                <w:sz w:val="18"/>
                <w:szCs w:val="18"/>
              </w:rPr>
            </w:pPr>
            <w:r>
              <w:rPr>
                <w:rFonts w:ascii="宋体" w:hAnsi="宋体"/>
                <w:sz w:val="18"/>
                <w:szCs w:val="18"/>
              </w:rPr>
              <w:t>季报</w:t>
            </w:r>
          </w:p>
        </w:tc>
        <w:tc>
          <w:tcPr>
            <w:tcW w:w="1391" w:type="pct"/>
            <w:vAlign w:val="center"/>
          </w:tcPr>
          <w:p w14:paraId="352B0B7D">
            <w:pPr>
              <w:spacing w:line="240" w:lineRule="exact"/>
              <w:rPr>
                <w:rFonts w:ascii="宋体" w:hAnsi="宋体"/>
                <w:sz w:val="18"/>
                <w:szCs w:val="18"/>
              </w:rPr>
            </w:pPr>
            <w:r>
              <w:rPr>
                <w:rFonts w:ascii="宋体" w:hAnsi="宋体"/>
                <w:sz w:val="18"/>
                <w:szCs w:val="18"/>
              </w:rPr>
              <w:t>与表中所列各指标统计范围相同</w:t>
            </w:r>
          </w:p>
        </w:tc>
        <w:tc>
          <w:tcPr>
            <w:tcW w:w="975" w:type="pct"/>
            <w:vAlign w:val="center"/>
          </w:tcPr>
          <w:p w14:paraId="7A608CD5">
            <w:pPr>
              <w:spacing w:line="240" w:lineRule="exact"/>
              <w:rPr>
                <w:rFonts w:ascii="宋体" w:hAnsi="宋体"/>
                <w:sz w:val="18"/>
                <w:szCs w:val="18"/>
              </w:rPr>
            </w:pPr>
            <w:r>
              <w:rPr>
                <w:rFonts w:ascii="宋体" w:hAnsi="宋体"/>
                <w:sz w:val="18"/>
                <w:szCs w:val="18"/>
              </w:rPr>
              <w:t>各省、自治区、直辖市统计局</w:t>
            </w:r>
          </w:p>
        </w:tc>
        <w:tc>
          <w:tcPr>
            <w:tcW w:w="1007" w:type="pct"/>
            <w:shd w:val="clear" w:color="auto" w:fill="auto"/>
            <w:vAlign w:val="center"/>
          </w:tcPr>
          <w:p w14:paraId="7660E3BC">
            <w:pPr>
              <w:spacing w:line="240" w:lineRule="exact"/>
              <w:rPr>
                <w:rFonts w:ascii="宋体" w:hAnsi="宋体"/>
                <w:sz w:val="18"/>
                <w:szCs w:val="18"/>
              </w:rPr>
            </w:pPr>
            <w:r>
              <w:rPr>
                <w:rFonts w:ascii="宋体" w:hAnsi="宋体"/>
                <w:sz w:val="18"/>
                <w:szCs w:val="18"/>
              </w:rPr>
              <w:t>季后23日12:00前；电子邮件</w:t>
            </w:r>
          </w:p>
        </w:tc>
      </w:tr>
      <w:tr w14:paraId="03D085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650" w:hRule="atLeast"/>
          <w:jc w:val="center"/>
        </w:trPr>
        <w:tc>
          <w:tcPr>
            <w:tcW w:w="474" w:type="pct"/>
            <w:vAlign w:val="center"/>
          </w:tcPr>
          <w:p w14:paraId="744EE857">
            <w:pPr>
              <w:spacing w:line="240" w:lineRule="exact"/>
              <w:rPr>
                <w:rFonts w:ascii="宋体" w:hAnsi="宋体"/>
                <w:sz w:val="18"/>
                <w:szCs w:val="18"/>
              </w:rPr>
            </w:pPr>
            <w:r>
              <w:rPr>
                <w:rFonts w:ascii="宋体" w:hAnsi="宋体"/>
                <w:sz w:val="18"/>
                <w:szCs w:val="18"/>
              </w:rPr>
              <w:t>P407表</w:t>
            </w:r>
          </w:p>
        </w:tc>
        <w:tc>
          <w:tcPr>
            <w:tcW w:w="789" w:type="pct"/>
            <w:vAlign w:val="center"/>
          </w:tcPr>
          <w:p w14:paraId="55DA97A1">
            <w:pPr>
              <w:spacing w:line="240" w:lineRule="exact"/>
              <w:rPr>
                <w:rFonts w:ascii="宋体" w:hAnsi="宋体"/>
                <w:sz w:val="18"/>
                <w:szCs w:val="18"/>
              </w:rPr>
            </w:pPr>
            <w:r>
              <w:rPr>
                <w:rFonts w:ascii="宋体" w:hAnsi="宋体"/>
                <w:sz w:val="18"/>
                <w:szCs w:val="18"/>
                <w:highlight w:val="none"/>
              </w:rPr>
              <w:t>全社会用电量情况</w:t>
            </w:r>
          </w:p>
        </w:tc>
        <w:tc>
          <w:tcPr>
            <w:tcW w:w="361" w:type="pct"/>
            <w:vAlign w:val="center"/>
          </w:tcPr>
          <w:p w14:paraId="61848907">
            <w:pPr>
              <w:spacing w:line="240" w:lineRule="exact"/>
              <w:jc w:val="center"/>
              <w:rPr>
                <w:rFonts w:ascii="宋体" w:hAnsi="宋体"/>
                <w:sz w:val="18"/>
                <w:szCs w:val="18"/>
              </w:rPr>
            </w:pPr>
            <w:r>
              <w:rPr>
                <w:rFonts w:ascii="宋体" w:hAnsi="宋体"/>
                <w:sz w:val="18"/>
                <w:szCs w:val="18"/>
              </w:rPr>
              <w:t>月报</w:t>
            </w:r>
          </w:p>
        </w:tc>
        <w:tc>
          <w:tcPr>
            <w:tcW w:w="1391" w:type="pct"/>
            <w:vAlign w:val="center"/>
          </w:tcPr>
          <w:p w14:paraId="1771E59B">
            <w:pPr>
              <w:spacing w:line="240" w:lineRule="exact"/>
              <w:rPr>
                <w:rFonts w:ascii="宋体" w:hAnsi="宋体"/>
                <w:sz w:val="18"/>
                <w:szCs w:val="18"/>
              </w:rPr>
            </w:pPr>
            <w:r>
              <w:rPr>
                <w:rFonts w:ascii="宋体" w:hAnsi="宋体"/>
                <w:sz w:val="18"/>
                <w:szCs w:val="18"/>
              </w:rPr>
              <w:t>辖区内的电力消费单位和居民家庭</w:t>
            </w:r>
          </w:p>
        </w:tc>
        <w:tc>
          <w:tcPr>
            <w:tcW w:w="975" w:type="pct"/>
            <w:vAlign w:val="center"/>
          </w:tcPr>
          <w:p w14:paraId="70B25EAB">
            <w:pPr>
              <w:spacing w:line="240" w:lineRule="exact"/>
              <w:jc w:val="center"/>
              <w:rPr>
                <w:rFonts w:ascii="宋体" w:hAnsi="宋体"/>
                <w:sz w:val="18"/>
                <w:szCs w:val="18"/>
              </w:rPr>
            </w:pPr>
            <w:r>
              <w:rPr>
                <w:rFonts w:ascii="宋体" w:hAnsi="宋体"/>
                <w:sz w:val="18"/>
                <w:szCs w:val="18"/>
              </w:rPr>
              <w:t>同上</w:t>
            </w:r>
          </w:p>
        </w:tc>
        <w:tc>
          <w:tcPr>
            <w:tcW w:w="1007" w:type="pct"/>
            <w:shd w:val="clear" w:color="auto" w:fill="auto"/>
            <w:vAlign w:val="center"/>
          </w:tcPr>
          <w:p w14:paraId="4C2E015C">
            <w:pPr>
              <w:spacing w:line="240" w:lineRule="exact"/>
              <w:rPr>
                <w:rFonts w:ascii="宋体" w:hAnsi="宋体"/>
                <w:sz w:val="18"/>
                <w:szCs w:val="18"/>
              </w:rPr>
            </w:pPr>
            <w:r>
              <w:rPr>
                <w:rFonts w:hint="eastAsia" w:ascii="宋体" w:hAnsi="宋体"/>
                <w:sz w:val="18"/>
                <w:szCs w:val="18"/>
              </w:rPr>
              <w:t>6、8、10、11月月后9日，2、3、5、7月月后10日，4月月后11日，12月月后12日</w:t>
            </w:r>
            <w:r>
              <w:rPr>
                <w:rFonts w:hint="eastAsia" w:ascii="宋体" w:hAnsi="宋体"/>
                <w:sz w:val="18"/>
                <w:szCs w:val="18"/>
                <w:lang w:eastAsia="zh-CN"/>
              </w:rPr>
              <w:t>，</w:t>
            </w:r>
            <w:r>
              <w:rPr>
                <w:rFonts w:hint="eastAsia" w:ascii="宋体" w:hAnsi="宋体"/>
                <w:sz w:val="18"/>
                <w:szCs w:val="18"/>
              </w:rPr>
              <w:t>9月月后13日1</w:t>
            </w:r>
            <w:r>
              <w:rPr>
                <w:rFonts w:hint="default" w:ascii="宋体" w:hAnsi="宋体"/>
                <w:sz w:val="18"/>
                <w:szCs w:val="18"/>
                <w:lang w:val="en-US"/>
              </w:rPr>
              <w:t>2</w:t>
            </w:r>
            <w:r>
              <w:rPr>
                <w:rFonts w:hint="eastAsia" w:ascii="宋体" w:hAnsi="宋体"/>
                <w:sz w:val="18"/>
                <w:szCs w:val="18"/>
              </w:rPr>
              <w:t>：00前网上填报，1月免报</w:t>
            </w:r>
          </w:p>
        </w:tc>
      </w:tr>
    </w:tbl>
    <w:p w14:paraId="0ABBC44F">
      <w:pPr>
        <w:spacing w:line="14" w:lineRule="exact"/>
      </w:pPr>
    </w:p>
    <w:p w14:paraId="43F5F1D6">
      <w:pPr>
        <w:pStyle w:val="3"/>
        <w:snapToGrid w:val="0"/>
        <w:spacing w:before="287" w:beforeLines="100" w:after="240" w:afterLines="100" w:line="240" w:lineRule="auto"/>
        <w:jc w:val="center"/>
        <w:rPr>
          <w:rFonts w:eastAsia="黑体"/>
          <w:b w:val="0"/>
          <w:sz w:val="32"/>
          <w:szCs w:val="32"/>
        </w:rPr>
      </w:pPr>
      <w:r>
        <w:br w:type="page"/>
      </w:r>
      <w:r>
        <w:rPr>
          <w:rFonts w:eastAsia="黑体"/>
          <w:b w:val="0"/>
          <w:sz w:val="32"/>
          <w:szCs w:val="32"/>
        </w:rPr>
        <w:t>三、调 查 表 式</w:t>
      </w:r>
    </w:p>
    <w:p w14:paraId="38515205">
      <w:pPr>
        <w:spacing w:line="480" w:lineRule="exact"/>
        <w:jc w:val="center"/>
        <w:outlineLvl w:val="1"/>
        <w:rPr>
          <w:rFonts w:eastAsia="黑体"/>
          <w:sz w:val="28"/>
          <w:szCs w:val="28"/>
        </w:rPr>
      </w:pPr>
      <w:r>
        <w:rPr>
          <w:rFonts w:eastAsia="黑体"/>
          <w:kern w:val="0"/>
          <w:sz w:val="28"/>
          <w:szCs w:val="28"/>
        </w:rPr>
        <w:t>（</w:t>
      </w:r>
      <w:r>
        <w:rPr>
          <w:rFonts w:eastAsia="黑体"/>
          <w:sz w:val="28"/>
          <w:szCs w:val="28"/>
        </w:rPr>
        <w:t>一）基层</w:t>
      </w:r>
      <w:r>
        <w:rPr>
          <w:rFonts w:hint="eastAsia" w:eastAsia="黑体"/>
          <w:sz w:val="28"/>
          <w:szCs w:val="28"/>
          <w:lang w:eastAsia="zh-CN"/>
        </w:rPr>
        <w:t>定报</w:t>
      </w:r>
      <w:r>
        <w:rPr>
          <w:rFonts w:eastAsia="黑体"/>
          <w:sz w:val="28"/>
          <w:szCs w:val="28"/>
        </w:rPr>
        <w:t>表式</w:t>
      </w:r>
    </w:p>
    <w:p w14:paraId="3322C1A4">
      <w:pPr>
        <w:snapToGrid w:val="0"/>
        <w:spacing w:before="287" w:beforeLines="100" w:after="240" w:afterLines="100"/>
        <w:jc w:val="center"/>
        <w:outlineLvl w:val="2"/>
        <w:rPr>
          <w:sz w:val="32"/>
        </w:rPr>
      </w:pPr>
      <w:r>
        <w:rPr>
          <w:sz w:val="32"/>
        </w:rPr>
        <w:t>能源购进、消费与库存</w:t>
      </w:r>
    </w:p>
    <w:tbl>
      <w:tblPr>
        <w:tblStyle w:val="20"/>
        <w:tblW w:w="9402" w:type="dxa"/>
        <w:jc w:val="center"/>
        <w:tblLayout w:type="autofit"/>
        <w:tblCellMar>
          <w:top w:w="0" w:type="dxa"/>
          <w:left w:w="0" w:type="dxa"/>
          <w:bottom w:w="0" w:type="dxa"/>
          <w:right w:w="0" w:type="dxa"/>
        </w:tblCellMar>
      </w:tblPr>
      <w:tblGrid>
        <w:gridCol w:w="3181"/>
        <w:gridCol w:w="753"/>
        <w:gridCol w:w="2682"/>
        <w:gridCol w:w="875"/>
        <w:gridCol w:w="1911"/>
      </w:tblGrid>
      <w:tr w14:paraId="5E4B7863">
        <w:tblPrEx>
          <w:tblCellMar>
            <w:top w:w="0" w:type="dxa"/>
            <w:left w:w="0" w:type="dxa"/>
            <w:bottom w:w="0" w:type="dxa"/>
            <w:right w:w="0" w:type="dxa"/>
          </w:tblCellMar>
        </w:tblPrEx>
        <w:trPr>
          <w:jc w:val="center"/>
        </w:trPr>
        <w:tc>
          <w:tcPr>
            <w:tcW w:w="3181" w:type="dxa"/>
          </w:tcPr>
          <w:p w14:paraId="77A48B08">
            <w:pPr>
              <w:spacing w:line="260" w:lineRule="exact"/>
              <w:rPr>
                <w:sz w:val="18"/>
                <w:szCs w:val="18"/>
              </w:rPr>
            </w:pPr>
          </w:p>
        </w:tc>
        <w:tc>
          <w:tcPr>
            <w:tcW w:w="753" w:type="dxa"/>
          </w:tcPr>
          <w:p w14:paraId="6020AB9E">
            <w:pPr>
              <w:spacing w:line="260" w:lineRule="exact"/>
              <w:rPr>
                <w:sz w:val="18"/>
                <w:szCs w:val="18"/>
              </w:rPr>
            </w:pPr>
          </w:p>
        </w:tc>
        <w:tc>
          <w:tcPr>
            <w:tcW w:w="2682" w:type="dxa"/>
          </w:tcPr>
          <w:p w14:paraId="51D55676">
            <w:pPr>
              <w:spacing w:line="260" w:lineRule="exact"/>
              <w:rPr>
                <w:sz w:val="18"/>
                <w:szCs w:val="18"/>
              </w:rPr>
            </w:pPr>
          </w:p>
        </w:tc>
        <w:tc>
          <w:tcPr>
            <w:tcW w:w="875" w:type="dxa"/>
            <w:tcMar>
              <w:left w:w="0" w:type="dxa"/>
              <w:right w:w="0" w:type="dxa"/>
            </w:tcMar>
          </w:tcPr>
          <w:p w14:paraId="2E0CBDD1">
            <w:pPr>
              <w:spacing w:line="260" w:lineRule="exact"/>
              <w:rPr>
                <w:sz w:val="18"/>
                <w:szCs w:val="18"/>
              </w:rPr>
            </w:pPr>
            <w:r>
              <w:rPr>
                <w:sz w:val="18"/>
                <w:szCs w:val="18"/>
              </w:rPr>
              <w:t>表    号：</w:t>
            </w:r>
          </w:p>
        </w:tc>
        <w:tc>
          <w:tcPr>
            <w:tcW w:w="1911" w:type="dxa"/>
            <w:vAlign w:val="center"/>
          </w:tcPr>
          <w:p w14:paraId="2C8BB8B8">
            <w:pPr>
              <w:spacing w:line="260" w:lineRule="exact"/>
              <w:jc w:val="distribute"/>
              <w:rPr>
                <w:sz w:val="18"/>
                <w:szCs w:val="18"/>
              </w:rPr>
            </w:pPr>
            <w:r>
              <w:rPr>
                <w:sz w:val="18"/>
                <w:szCs w:val="18"/>
              </w:rPr>
              <w:t>２０５－１表</w:t>
            </w:r>
          </w:p>
        </w:tc>
      </w:tr>
      <w:tr w14:paraId="1D5D594E">
        <w:tblPrEx>
          <w:tblCellMar>
            <w:top w:w="0" w:type="dxa"/>
            <w:left w:w="0" w:type="dxa"/>
            <w:bottom w:w="0" w:type="dxa"/>
            <w:right w:w="0" w:type="dxa"/>
          </w:tblCellMar>
        </w:tblPrEx>
        <w:trPr>
          <w:jc w:val="center"/>
        </w:trPr>
        <w:tc>
          <w:tcPr>
            <w:tcW w:w="6616" w:type="dxa"/>
            <w:gridSpan w:val="3"/>
          </w:tcPr>
          <w:p w14:paraId="2300798B">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875" w:type="dxa"/>
            <w:tcMar>
              <w:left w:w="0" w:type="dxa"/>
              <w:right w:w="0" w:type="dxa"/>
            </w:tcMar>
            <w:vAlign w:val="center"/>
          </w:tcPr>
          <w:p w14:paraId="28EF1373">
            <w:pPr>
              <w:spacing w:line="260" w:lineRule="exact"/>
              <w:rPr>
                <w:sz w:val="18"/>
                <w:szCs w:val="18"/>
              </w:rPr>
            </w:pPr>
            <w:r>
              <w:rPr>
                <w:sz w:val="18"/>
                <w:szCs w:val="18"/>
              </w:rPr>
              <w:t>制定机关：</w:t>
            </w:r>
          </w:p>
        </w:tc>
        <w:tc>
          <w:tcPr>
            <w:tcW w:w="1911" w:type="dxa"/>
            <w:vAlign w:val="center"/>
          </w:tcPr>
          <w:p w14:paraId="5AEC37D3">
            <w:pPr>
              <w:spacing w:line="260" w:lineRule="exact"/>
              <w:jc w:val="distribute"/>
              <w:rPr>
                <w:sz w:val="18"/>
                <w:szCs w:val="18"/>
              </w:rPr>
            </w:pPr>
            <w:r>
              <w:rPr>
                <w:sz w:val="18"/>
                <w:szCs w:val="18"/>
              </w:rPr>
              <w:t>国 家 统 计 局</w:t>
            </w:r>
          </w:p>
        </w:tc>
      </w:tr>
      <w:tr w14:paraId="1992639F">
        <w:tblPrEx>
          <w:tblCellMar>
            <w:top w:w="0" w:type="dxa"/>
            <w:left w:w="0" w:type="dxa"/>
            <w:bottom w:w="0" w:type="dxa"/>
            <w:right w:w="0" w:type="dxa"/>
          </w:tblCellMar>
        </w:tblPrEx>
        <w:trPr>
          <w:jc w:val="center"/>
        </w:trPr>
        <w:tc>
          <w:tcPr>
            <w:tcW w:w="6616" w:type="dxa"/>
            <w:gridSpan w:val="3"/>
          </w:tcPr>
          <w:p w14:paraId="134B23E6">
            <w:pPr>
              <w:spacing w:line="260" w:lineRule="exact"/>
              <w:rPr>
                <w:rFonts w:hint="eastAsia" w:eastAsia="宋体"/>
                <w:sz w:val="18"/>
                <w:szCs w:val="18"/>
                <w:lang w:eastAsia="zh-CN"/>
              </w:rPr>
            </w:pPr>
          </w:p>
        </w:tc>
        <w:tc>
          <w:tcPr>
            <w:tcW w:w="875" w:type="dxa"/>
            <w:tcMar>
              <w:left w:w="0" w:type="dxa"/>
              <w:right w:w="0" w:type="dxa"/>
            </w:tcMar>
            <w:vAlign w:val="center"/>
          </w:tcPr>
          <w:p w14:paraId="3CFB4FFB">
            <w:pPr>
              <w:spacing w:line="260" w:lineRule="exact"/>
              <w:rPr>
                <w:sz w:val="18"/>
                <w:szCs w:val="18"/>
              </w:rPr>
            </w:pPr>
            <w:r>
              <w:rPr>
                <w:sz w:val="18"/>
                <w:szCs w:val="18"/>
              </w:rPr>
              <w:t>文    号：</w:t>
            </w:r>
          </w:p>
        </w:tc>
        <w:tc>
          <w:tcPr>
            <w:tcW w:w="1911" w:type="dxa"/>
            <w:vAlign w:val="center"/>
          </w:tcPr>
          <w:p w14:paraId="3D9F825E">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8" w:author="kylin" w:date="2025-10-17T16:17:10Z">
              <w:r>
                <w:rPr>
                  <w:rFonts w:hint="default" w:ascii="宋体" w:hAnsi="宋体"/>
                  <w:spacing w:val="-16"/>
                  <w:sz w:val="18"/>
                  <w:szCs w:val="18"/>
                  <w:lang w:val="en-US" w:eastAsia="zh-CN"/>
                </w:rPr>
                <w:delText>４</w:delText>
              </w:r>
            </w:del>
            <w:ins w:id="39" w:author="kylin" w:date="2025-10-17T16:17:10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40" w:author="kylin" w:date="2025-10-17T16:17:12Z">
              <w:r>
                <w:rPr>
                  <w:rFonts w:hint="default" w:ascii="宋体" w:hAnsi="宋体"/>
                  <w:spacing w:val="-16"/>
                  <w:sz w:val="18"/>
                  <w:szCs w:val="18"/>
                  <w:lang w:val="en-US" w:eastAsia="zh-CN"/>
                </w:rPr>
                <w:delText>77</w:delText>
              </w:r>
            </w:del>
            <w:ins w:id="41" w:author="kylin" w:date="2025-10-17T16:17:12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72F87D00">
        <w:tblPrEx>
          <w:tblCellMar>
            <w:top w:w="0" w:type="dxa"/>
            <w:left w:w="0" w:type="dxa"/>
            <w:bottom w:w="0" w:type="dxa"/>
            <w:right w:w="0" w:type="dxa"/>
          </w:tblCellMar>
        </w:tblPrEx>
        <w:trPr>
          <w:jc w:val="center"/>
        </w:trPr>
        <w:tc>
          <w:tcPr>
            <w:tcW w:w="3181" w:type="dxa"/>
          </w:tcPr>
          <w:p w14:paraId="6D498C6B">
            <w:pPr>
              <w:spacing w:line="260" w:lineRule="exact"/>
              <w:rPr>
                <w:sz w:val="18"/>
                <w:szCs w:val="18"/>
              </w:rPr>
            </w:pPr>
            <w:r>
              <w:rPr>
                <w:sz w:val="18"/>
              </w:rPr>
              <w:t>单位详细名称：</w:t>
            </w:r>
          </w:p>
        </w:tc>
        <w:tc>
          <w:tcPr>
            <w:tcW w:w="753" w:type="dxa"/>
          </w:tcPr>
          <w:p w14:paraId="52D1E353">
            <w:pPr>
              <w:spacing w:line="260" w:lineRule="exact"/>
              <w:rPr>
                <w:sz w:val="18"/>
                <w:szCs w:val="18"/>
              </w:rPr>
            </w:pPr>
          </w:p>
        </w:tc>
        <w:tc>
          <w:tcPr>
            <w:tcW w:w="2682" w:type="dxa"/>
          </w:tcPr>
          <w:p w14:paraId="4EB6672C">
            <w:pPr>
              <w:spacing w:line="260" w:lineRule="exact"/>
              <w:ind w:firstLine="180" w:firstLineChars="100"/>
              <w:rPr>
                <w:sz w:val="18"/>
                <w:szCs w:val="18"/>
              </w:rPr>
            </w:pPr>
            <w:r>
              <w:rPr>
                <w:sz w:val="18"/>
                <w:szCs w:val="18"/>
              </w:rPr>
              <w:t>２０　　年</w:t>
            </w:r>
            <w:r>
              <w:rPr>
                <w:rFonts w:hint="eastAsia"/>
                <w:sz w:val="18"/>
                <w:szCs w:val="18"/>
              </w:rPr>
              <w:t>　１</w:t>
            </w:r>
            <w:r>
              <w:rPr>
                <w:sz w:val="18"/>
                <w:szCs w:val="18"/>
              </w:rPr>
              <w:t>－　月</w:t>
            </w:r>
          </w:p>
        </w:tc>
        <w:tc>
          <w:tcPr>
            <w:tcW w:w="875" w:type="dxa"/>
            <w:tcMar>
              <w:left w:w="0" w:type="dxa"/>
              <w:right w:w="0" w:type="dxa"/>
            </w:tcMar>
            <w:vAlign w:val="center"/>
          </w:tcPr>
          <w:p w14:paraId="7078382F">
            <w:pPr>
              <w:spacing w:line="260" w:lineRule="exact"/>
              <w:rPr>
                <w:sz w:val="18"/>
                <w:szCs w:val="18"/>
              </w:rPr>
            </w:pPr>
            <w:r>
              <w:rPr>
                <w:sz w:val="18"/>
                <w:szCs w:val="18"/>
              </w:rPr>
              <w:t>有效期至：</w:t>
            </w:r>
          </w:p>
        </w:tc>
        <w:tc>
          <w:tcPr>
            <w:tcW w:w="1911" w:type="dxa"/>
            <w:vAlign w:val="center"/>
          </w:tcPr>
          <w:p w14:paraId="11C7DBBB">
            <w:pPr>
              <w:spacing w:line="260" w:lineRule="exact"/>
              <w:jc w:val="distribute"/>
              <w:rPr>
                <w:rFonts w:hint="default" w:eastAsia="宋体"/>
                <w:sz w:val="18"/>
                <w:szCs w:val="18"/>
                <w:lang w:val="en-US" w:eastAsia="zh-CN"/>
              </w:rPr>
            </w:pPr>
            <w:r>
              <w:rPr>
                <w:rFonts w:hint="default"/>
                <w:sz w:val="18"/>
                <w:szCs w:val="18"/>
                <w:lang w:val="en-US" w:eastAsia="zh-CN"/>
              </w:rPr>
              <w:t>２０２</w:t>
            </w:r>
            <w:del w:id="42" w:author="kylin" w:date="2025-10-17T16:17:16Z">
              <w:r>
                <w:rPr>
                  <w:rFonts w:hint="default"/>
                  <w:sz w:val="18"/>
                  <w:szCs w:val="18"/>
                  <w:lang w:val="en-US" w:eastAsia="zh-CN"/>
                </w:rPr>
                <w:delText>６</w:delText>
              </w:r>
            </w:del>
            <w:ins w:id="43" w:author="kylin" w:date="2025-10-17T16:17:16Z">
              <w:r>
                <w:rPr>
                  <w:rFonts w:hint="eastAsia"/>
                  <w:sz w:val="18"/>
                  <w:szCs w:val="18"/>
                  <w:lang w:val="en-US" w:eastAsia="zh-CN"/>
                </w:rPr>
                <w:t>7</w:t>
              </w:r>
            </w:ins>
            <w:r>
              <w:rPr>
                <w:rFonts w:hint="default"/>
                <w:sz w:val="18"/>
                <w:szCs w:val="18"/>
                <w:lang w:val="en-US" w:eastAsia="zh-CN"/>
              </w:rPr>
              <w:t>年１月</w:t>
            </w:r>
          </w:p>
        </w:tc>
      </w:tr>
    </w:tbl>
    <w:p w14:paraId="5F3E56AC">
      <w:pPr>
        <w:spacing w:line="20" w:lineRule="exact"/>
        <w:rPr>
          <w:sz w:val="18"/>
          <w:szCs w:val="18"/>
        </w:rPr>
      </w:pPr>
    </w:p>
    <w:tbl>
      <w:tblPr>
        <w:tblStyle w:val="20"/>
        <w:tblW w:w="5000" w:type="pct"/>
        <w:jc w:val="center"/>
        <w:tblLayout w:type="autofit"/>
        <w:tblCellMar>
          <w:top w:w="0" w:type="dxa"/>
          <w:left w:w="0" w:type="dxa"/>
          <w:bottom w:w="0" w:type="dxa"/>
          <w:right w:w="0" w:type="dxa"/>
        </w:tblCellMar>
      </w:tblPr>
      <w:tblGrid>
        <w:gridCol w:w="553"/>
        <w:gridCol w:w="503"/>
        <w:gridCol w:w="506"/>
        <w:gridCol w:w="783"/>
        <w:gridCol w:w="783"/>
        <w:gridCol w:w="783"/>
        <w:gridCol w:w="783"/>
        <w:gridCol w:w="783"/>
        <w:gridCol w:w="783"/>
        <w:gridCol w:w="783"/>
        <w:gridCol w:w="783"/>
        <w:gridCol w:w="783"/>
        <w:gridCol w:w="803"/>
      </w:tblGrid>
      <w:tr w14:paraId="1893FCC1">
        <w:tblPrEx>
          <w:tblCellMar>
            <w:top w:w="0" w:type="dxa"/>
            <w:left w:w="0" w:type="dxa"/>
            <w:bottom w:w="0" w:type="dxa"/>
            <w:right w:w="0" w:type="dxa"/>
          </w:tblCellMar>
        </w:tblPrEx>
        <w:trPr>
          <w:trHeight w:val="454" w:hRule="atLeast"/>
          <w:jc w:val="center"/>
        </w:trPr>
        <w:tc>
          <w:tcPr>
            <w:tcW w:w="294" w:type="pct"/>
            <w:vMerge w:val="restart"/>
            <w:tcBorders>
              <w:top w:val="single" w:color="auto" w:sz="8" w:space="0"/>
              <w:left w:val="nil"/>
              <w:bottom w:val="single" w:color="auto" w:sz="2" w:space="0"/>
              <w:right w:val="single" w:color="auto" w:sz="2" w:space="0"/>
            </w:tcBorders>
            <w:shd w:val="clear" w:color="auto" w:fill="auto"/>
            <w:vAlign w:val="center"/>
          </w:tcPr>
          <w:p w14:paraId="1BDA488E">
            <w:pPr>
              <w:widowControl/>
              <w:adjustRightInd w:val="0"/>
              <w:spacing w:line="240" w:lineRule="exact"/>
              <w:jc w:val="center"/>
              <w:rPr>
                <w:bCs/>
                <w:sz w:val="18"/>
                <w:szCs w:val="18"/>
              </w:rPr>
            </w:pPr>
            <w:r>
              <w:rPr>
                <w:bCs/>
                <w:sz w:val="18"/>
                <w:szCs w:val="18"/>
              </w:rPr>
              <w:t>能源               名称</w:t>
            </w:r>
          </w:p>
        </w:tc>
        <w:tc>
          <w:tcPr>
            <w:tcW w:w="267"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432B1145">
            <w:pPr>
              <w:adjustRightInd w:val="0"/>
              <w:spacing w:line="240" w:lineRule="exact"/>
              <w:jc w:val="center"/>
              <w:rPr>
                <w:bCs/>
                <w:sz w:val="18"/>
                <w:szCs w:val="18"/>
              </w:rPr>
            </w:pPr>
            <w:r>
              <w:rPr>
                <w:bCs/>
                <w:sz w:val="18"/>
                <w:szCs w:val="18"/>
              </w:rPr>
              <w:t>计量  单位</w:t>
            </w:r>
          </w:p>
        </w:tc>
        <w:tc>
          <w:tcPr>
            <w:tcW w:w="269"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776180C5">
            <w:pPr>
              <w:widowControl/>
              <w:adjustRightInd w:val="0"/>
              <w:spacing w:line="240" w:lineRule="exact"/>
              <w:jc w:val="center"/>
              <w:rPr>
                <w:bCs/>
                <w:sz w:val="18"/>
                <w:szCs w:val="18"/>
              </w:rPr>
            </w:pPr>
            <w:r>
              <w:rPr>
                <w:bCs/>
                <w:sz w:val="18"/>
                <w:szCs w:val="18"/>
              </w:rPr>
              <w:t>代码</w:t>
            </w:r>
          </w:p>
        </w:tc>
        <w:tc>
          <w:tcPr>
            <w:tcW w:w="416"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3DF49A22">
            <w:pPr>
              <w:adjustRightInd w:val="0"/>
              <w:spacing w:line="240" w:lineRule="exact"/>
              <w:jc w:val="center"/>
              <w:rPr>
                <w:bCs/>
                <w:sz w:val="18"/>
                <w:szCs w:val="18"/>
              </w:rPr>
            </w:pPr>
            <w:r>
              <w:rPr>
                <w:bCs/>
                <w:sz w:val="18"/>
                <w:szCs w:val="18"/>
              </w:rPr>
              <w:t>年</w:t>
            </w:r>
            <w:r>
              <w:rPr>
                <w:rFonts w:hint="eastAsia"/>
                <w:bCs/>
                <w:sz w:val="18"/>
                <w:szCs w:val="18"/>
                <w:lang w:val="en-US" w:eastAsia="zh-CN"/>
              </w:rPr>
              <w:t xml:space="preserve"> </w:t>
            </w:r>
            <w:r>
              <w:rPr>
                <w:bCs/>
                <w:sz w:val="18"/>
                <w:szCs w:val="18"/>
              </w:rPr>
              <w:t>初</w:t>
            </w:r>
          </w:p>
          <w:p w14:paraId="3AF8663A">
            <w:pPr>
              <w:adjustRightInd w:val="0"/>
              <w:spacing w:line="240" w:lineRule="exact"/>
              <w:jc w:val="center"/>
              <w:rPr>
                <w:bCs/>
                <w:sz w:val="18"/>
                <w:szCs w:val="18"/>
              </w:rPr>
            </w:pPr>
            <w:r>
              <w:rPr>
                <w:bCs/>
                <w:sz w:val="18"/>
                <w:szCs w:val="18"/>
              </w:rPr>
              <w:t>库存量</w:t>
            </w:r>
          </w:p>
        </w:tc>
        <w:tc>
          <w:tcPr>
            <w:tcW w:w="2496" w:type="pct"/>
            <w:gridSpan w:val="6"/>
            <w:tcBorders>
              <w:top w:val="single" w:color="auto" w:sz="8" w:space="0"/>
              <w:left w:val="single" w:color="auto" w:sz="2" w:space="0"/>
              <w:bottom w:val="single" w:color="auto" w:sz="2" w:space="0"/>
              <w:right w:val="single" w:color="auto" w:sz="2" w:space="0"/>
            </w:tcBorders>
            <w:shd w:val="clear" w:color="auto" w:fill="auto"/>
            <w:vAlign w:val="center"/>
          </w:tcPr>
          <w:p w14:paraId="2A5609E3">
            <w:pPr>
              <w:adjustRightInd w:val="0"/>
              <w:spacing w:line="240" w:lineRule="exact"/>
              <w:jc w:val="center"/>
              <w:rPr>
                <w:bCs/>
                <w:sz w:val="18"/>
                <w:szCs w:val="18"/>
              </w:rPr>
            </w:pPr>
            <w:r>
              <w:rPr>
                <w:rFonts w:hint="eastAsia"/>
                <w:bCs/>
                <w:sz w:val="18"/>
                <w:szCs w:val="18"/>
              </w:rPr>
              <w:t>1</w:t>
            </w:r>
            <w:r>
              <w:rPr>
                <w:kern w:val="0"/>
                <w:sz w:val="18"/>
                <w:szCs w:val="18"/>
              </w:rPr>
              <w:t>－</w:t>
            </w:r>
            <w:r>
              <w:rPr>
                <w:bCs/>
                <w:sz w:val="18"/>
                <w:szCs w:val="18"/>
              </w:rPr>
              <w:t>本月</w:t>
            </w:r>
          </w:p>
        </w:tc>
        <w:tc>
          <w:tcPr>
            <w:tcW w:w="416" w:type="pct"/>
            <w:vMerge w:val="restart"/>
            <w:tcBorders>
              <w:top w:val="single" w:color="auto" w:sz="8" w:space="0"/>
              <w:left w:val="single" w:color="auto" w:sz="2" w:space="0"/>
              <w:bottom w:val="single" w:color="auto" w:sz="2" w:space="0"/>
            </w:tcBorders>
            <w:shd w:val="clear" w:color="auto" w:fill="auto"/>
            <w:vAlign w:val="center"/>
          </w:tcPr>
          <w:p w14:paraId="6AB362C2">
            <w:pPr>
              <w:widowControl/>
              <w:adjustRightInd w:val="0"/>
              <w:spacing w:line="240" w:lineRule="exact"/>
              <w:jc w:val="center"/>
              <w:rPr>
                <w:bCs/>
                <w:sz w:val="18"/>
                <w:szCs w:val="18"/>
              </w:rPr>
            </w:pPr>
            <w:r>
              <w:rPr>
                <w:bCs/>
                <w:sz w:val="18"/>
                <w:szCs w:val="18"/>
              </w:rPr>
              <w:t xml:space="preserve">期  末         </w:t>
            </w:r>
            <w:r>
              <w:rPr>
                <w:bCs/>
                <w:sz w:val="18"/>
              </w:rPr>
              <w:t>库存量</w:t>
            </w:r>
          </w:p>
        </w:tc>
        <w:tc>
          <w:tcPr>
            <w:tcW w:w="416" w:type="pct"/>
            <w:vMerge w:val="restart"/>
            <w:tcBorders>
              <w:top w:val="single" w:color="auto" w:sz="8" w:space="0"/>
              <w:left w:val="single" w:color="auto" w:sz="2" w:space="0"/>
              <w:bottom w:val="single" w:color="auto" w:sz="2" w:space="0"/>
            </w:tcBorders>
            <w:shd w:val="clear" w:color="auto" w:fill="auto"/>
            <w:vAlign w:val="center"/>
          </w:tcPr>
          <w:p w14:paraId="2FE254FA">
            <w:pPr>
              <w:widowControl/>
              <w:adjustRightInd w:val="0"/>
              <w:spacing w:line="240" w:lineRule="exact"/>
              <w:jc w:val="center"/>
              <w:rPr>
                <w:bCs/>
                <w:sz w:val="18"/>
                <w:szCs w:val="18"/>
              </w:rPr>
            </w:pPr>
            <w:r>
              <w:rPr>
                <w:bCs/>
                <w:sz w:val="18"/>
                <w:szCs w:val="18"/>
              </w:rPr>
              <w:t>采用折标</w:t>
            </w:r>
          </w:p>
          <w:p w14:paraId="20259EC5">
            <w:pPr>
              <w:widowControl/>
              <w:adjustRightInd w:val="0"/>
              <w:spacing w:line="240" w:lineRule="exact"/>
              <w:jc w:val="center"/>
              <w:rPr>
                <w:bCs/>
                <w:sz w:val="18"/>
                <w:szCs w:val="18"/>
              </w:rPr>
            </w:pPr>
            <w:r>
              <w:rPr>
                <w:bCs/>
                <w:sz w:val="18"/>
                <w:szCs w:val="18"/>
              </w:rPr>
              <w:t>系    数</w:t>
            </w:r>
          </w:p>
        </w:tc>
        <w:tc>
          <w:tcPr>
            <w:tcW w:w="426" w:type="pct"/>
            <w:vMerge w:val="restart"/>
            <w:tcBorders>
              <w:top w:val="single" w:color="auto" w:sz="8" w:space="0"/>
              <w:left w:val="single" w:color="auto" w:sz="2" w:space="0"/>
              <w:bottom w:val="single" w:color="auto" w:sz="2" w:space="0"/>
            </w:tcBorders>
            <w:shd w:val="clear" w:color="auto" w:fill="auto"/>
            <w:vAlign w:val="center"/>
          </w:tcPr>
          <w:p w14:paraId="76E26C86">
            <w:pPr>
              <w:widowControl/>
              <w:adjustRightInd w:val="0"/>
              <w:spacing w:line="240" w:lineRule="exact"/>
              <w:jc w:val="center"/>
              <w:rPr>
                <w:bCs/>
                <w:sz w:val="18"/>
                <w:szCs w:val="18"/>
              </w:rPr>
            </w:pPr>
            <w:r>
              <w:rPr>
                <w:bCs/>
                <w:sz w:val="18"/>
                <w:szCs w:val="18"/>
              </w:rPr>
              <w:t>参考折标系    数</w:t>
            </w:r>
          </w:p>
        </w:tc>
      </w:tr>
      <w:tr w14:paraId="097A1E96">
        <w:tblPrEx>
          <w:tblCellMar>
            <w:top w:w="0" w:type="dxa"/>
            <w:left w:w="0" w:type="dxa"/>
            <w:bottom w:w="0" w:type="dxa"/>
            <w:right w:w="0" w:type="dxa"/>
          </w:tblCellMar>
        </w:tblPrEx>
        <w:trPr>
          <w:trHeight w:val="20" w:hRule="atLeast"/>
          <w:jc w:val="center"/>
        </w:trPr>
        <w:tc>
          <w:tcPr>
            <w:tcW w:w="294" w:type="pct"/>
            <w:vMerge w:val="continue"/>
            <w:tcBorders>
              <w:top w:val="single" w:color="auto" w:sz="2" w:space="0"/>
              <w:left w:val="nil"/>
              <w:bottom w:val="single" w:color="auto" w:sz="2" w:space="0"/>
              <w:right w:val="single" w:color="auto" w:sz="2" w:space="0"/>
            </w:tcBorders>
            <w:shd w:val="clear" w:color="auto" w:fill="auto"/>
            <w:vAlign w:val="center"/>
          </w:tcPr>
          <w:p w14:paraId="4BB1D4D1">
            <w:pPr>
              <w:widowControl/>
              <w:adjustRightInd w:val="0"/>
              <w:spacing w:line="240" w:lineRule="exact"/>
              <w:jc w:val="center"/>
              <w:rPr>
                <w:bCs/>
                <w:sz w:val="18"/>
                <w:szCs w:val="18"/>
              </w:rPr>
            </w:pPr>
          </w:p>
        </w:tc>
        <w:tc>
          <w:tcPr>
            <w:tcW w:w="267"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1F4BD36">
            <w:pPr>
              <w:adjustRightInd w:val="0"/>
              <w:spacing w:line="240" w:lineRule="exact"/>
              <w:jc w:val="center"/>
              <w:rPr>
                <w:bCs/>
                <w:sz w:val="18"/>
                <w:szCs w:val="18"/>
              </w:rPr>
            </w:pPr>
          </w:p>
        </w:tc>
        <w:tc>
          <w:tcPr>
            <w:tcW w:w="26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72F874B">
            <w:pPr>
              <w:widowControl/>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E6813FD">
            <w:pPr>
              <w:adjustRightInd w:val="0"/>
              <w:spacing w:line="240" w:lineRule="exact"/>
              <w:jc w:val="center"/>
              <w:rPr>
                <w:bCs/>
                <w:sz w:val="18"/>
                <w:szCs w:val="18"/>
              </w:rPr>
            </w:pPr>
          </w:p>
        </w:tc>
        <w:tc>
          <w:tcPr>
            <w:tcW w:w="416" w:type="pct"/>
            <w:vMerge w:val="restart"/>
            <w:tcBorders>
              <w:top w:val="single" w:color="auto" w:sz="2" w:space="0"/>
              <w:left w:val="single" w:color="auto" w:sz="2" w:space="0"/>
              <w:bottom w:val="single" w:color="auto" w:sz="2" w:space="0"/>
            </w:tcBorders>
            <w:shd w:val="clear" w:color="auto" w:fill="auto"/>
            <w:vAlign w:val="center"/>
          </w:tcPr>
          <w:p w14:paraId="1BA2ABBC">
            <w:pPr>
              <w:adjustRightInd w:val="0"/>
              <w:spacing w:line="240" w:lineRule="exact"/>
              <w:jc w:val="center"/>
              <w:rPr>
                <w:bCs/>
                <w:sz w:val="18"/>
                <w:szCs w:val="18"/>
              </w:rPr>
            </w:pPr>
            <w:r>
              <w:rPr>
                <w:rFonts w:hint="eastAsia"/>
                <w:bCs/>
                <w:sz w:val="18"/>
                <w:szCs w:val="18"/>
              </w:rPr>
              <w:t>购进量</w:t>
            </w:r>
          </w:p>
        </w:tc>
        <w:tc>
          <w:tcPr>
            <w:tcW w:w="416" w:type="pct"/>
            <w:tcBorders>
              <w:top w:val="single" w:color="auto" w:sz="2" w:space="0"/>
              <w:bottom w:val="single" w:color="auto" w:sz="2" w:space="0"/>
              <w:right w:val="single" w:color="auto" w:sz="2" w:space="0"/>
            </w:tcBorders>
            <w:shd w:val="clear" w:color="auto" w:fill="auto"/>
            <w:vAlign w:val="center"/>
          </w:tcPr>
          <w:p w14:paraId="686DC3C9">
            <w:pPr>
              <w:adjustRightInd w:val="0"/>
              <w:spacing w:line="240" w:lineRule="exact"/>
              <w:jc w:val="center"/>
              <w:rPr>
                <w:bCs/>
                <w:sz w:val="18"/>
                <w:szCs w:val="18"/>
              </w:rPr>
            </w:pPr>
          </w:p>
        </w:tc>
        <w:tc>
          <w:tcPr>
            <w:tcW w:w="416"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7B729B2">
            <w:pPr>
              <w:adjustRightInd w:val="0"/>
              <w:spacing w:line="240" w:lineRule="exact"/>
              <w:jc w:val="center"/>
              <w:rPr>
                <w:bCs/>
                <w:sz w:val="18"/>
                <w:szCs w:val="18"/>
              </w:rPr>
            </w:pPr>
            <w:r>
              <w:rPr>
                <w:rFonts w:hint="eastAsia"/>
                <w:bCs/>
                <w:sz w:val="18"/>
                <w:szCs w:val="18"/>
              </w:rPr>
              <w:t>购进金额</w:t>
            </w:r>
          </w:p>
          <w:p w14:paraId="1957888A">
            <w:pPr>
              <w:adjustRightInd w:val="0"/>
              <w:spacing w:line="240" w:lineRule="exact"/>
              <w:jc w:val="center"/>
              <w:rPr>
                <w:bCs/>
                <w:sz w:val="18"/>
                <w:szCs w:val="18"/>
              </w:rPr>
            </w:pPr>
            <w:r>
              <w:rPr>
                <w:rFonts w:hint="eastAsia"/>
                <w:bCs/>
                <w:sz w:val="18"/>
                <w:szCs w:val="18"/>
              </w:rPr>
              <w:t>（千元）</w:t>
            </w:r>
          </w:p>
        </w:tc>
        <w:tc>
          <w:tcPr>
            <w:tcW w:w="416" w:type="pct"/>
            <w:vMerge w:val="restart"/>
            <w:tcBorders>
              <w:top w:val="single" w:color="auto" w:sz="2" w:space="0"/>
              <w:left w:val="single" w:color="auto" w:sz="2" w:space="0"/>
              <w:bottom w:val="single" w:color="auto" w:sz="2" w:space="0"/>
            </w:tcBorders>
            <w:shd w:val="clear" w:color="auto" w:fill="auto"/>
            <w:vAlign w:val="center"/>
          </w:tcPr>
          <w:p w14:paraId="35C0E611">
            <w:pPr>
              <w:adjustRightInd w:val="0"/>
              <w:spacing w:line="240" w:lineRule="exact"/>
              <w:jc w:val="center"/>
              <w:rPr>
                <w:bCs/>
                <w:sz w:val="18"/>
                <w:szCs w:val="18"/>
              </w:rPr>
            </w:pPr>
            <w:r>
              <w:rPr>
                <w:rFonts w:hint="eastAsia"/>
                <w:bCs/>
                <w:sz w:val="18"/>
                <w:szCs w:val="18"/>
              </w:rPr>
              <w:t>工  业</w:t>
            </w:r>
          </w:p>
          <w:p w14:paraId="5F73D16E">
            <w:pPr>
              <w:adjustRightInd w:val="0"/>
              <w:spacing w:line="240" w:lineRule="exact"/>
              <w:jc w:val="center"/>
              <w:rPr>
                <w:bCs/>
                <w:sz w:val="18"/>
                <w:szCs w:val="18"/>
              </w:rPr>
            </w:pPr>
            <w:r>
              <w:rPr>
                <w:rFonts w:hint="eastAsia"/>
                <w:bCs/>
                <w:sz w:val="18"/>
                <w:szCs w:val="18"/>
              </w:rPr>
              <w:t>生  产</w:t>
            </w:r>
          </w:p>
          <w:p w14:paraId="4932E902">
            <w:pPr>
              <w:adjustRightInd w:val="0"/>
              <w:spacing w:line="240" w:lineRule="exact"/>
              <w:jc w:val="center"/>
              <w:rPr>
                <w:bCs/>
                <w:sz w:val="18"/>
                <w:szCs w:val="18"/>
              </w:rPr>
            </w:pPr>
            <w:r>
              <w:rPr>
                <w:rFonts w:hint="eastAsia"/>
                <w:bCs/>
                <w:sz w:val="18"/>
                <w:szCs w:val="18"/>
              </w:rPr>
              <w:t>消费量</w:t>
            </w:r>
          </w:p>
        </w:tc>
        <w:tc>
          <w:tcPr>
            <w:tcW w:w="832" w:type="pct"/>
            <w:gridSpan w:val="2"/>
            <w:tcBorders>
              <w:top w:val="single" w:color="auto" w:sz="2" w:space="0"/>
              <w:bottom w:val="single" w:color="auto" w:sz="2" w:space="0"/>
              <w:right w:val="single" w:color="auto" w:sz="2" w:space="0"/>
            </w:tcBorders>
            <w:shd w:val="clear" w:color="auto" w:fill="auto"/>
            <w:vAlign w:val="center"/>
          </w:tcPr>
          <w:p w14:paraId="2FB027D7">
            <w:pPr>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9E9BD96">
            <w:pPr>
              <w:widowControl/>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674B415">
            <w:pPr>
              <w:widowControl/>
              <w:adjustRightInd w:val="0"/>
              <w:spacing w:line="240" w:lineRule="exact"/>
              <w:jc w:val="center"/>
              <w:rPr>
                <w:bCs/>
                <w:sz w:val="18"/>
                <w:szCs w:val="18"/>
              </w:rPr>
            </w:pPr>
          </w:p>
        </w:tc>
        <w:tc>
          <w:tcPr>
            <w:tcW w:w="426" w:type="pct"/>
            <w:vMerge w:val="continue"/>
            <w:tcBorders>
              <w:top w:val="single" w:color="auto" w:sz="2" w:space="0"/>
              <w:left w:val="single" w:color="auto" w:sz="2" w:space="0"/>
              <w:bottom w:val="single" w:color="auto" w:sz="2" w:space="0"/>
            </w:tcBorders>
            <w:shd w:val="clear" w:color="auto" w:fill="auto"/>
            <w:vAlign w:val="center"/>
          </w:tcPr>
          <w:p w14:paraId="1124437D">
            <w:pPr>
              <w:widowControl/>
              <w:adjustRightInd w:val="0"/>
              <w:spacing w:line="240" w:lineRule="exact"/>
              <w:jc w:val="center"/>
              <w:rPr>
                <w:bCs/>
                <w:sz w:val="18"/>
                <w:szCs w:val="18"/>
              </w:rPr>
            </w:pPr>
          </w:p>
        </w:tc>
      </w:tr>
      <w:tr w14:paraId="5F6DC15A">
        <w:trPr>
          <w:trHeight w:val="640" w:hRule="atLeast"/>
          <w:jc w:val="center"/>
        </w:trPr>
        <w:tc>
          <w:tcPr>
            <w:tcW w:w="294" w:type="pct"/>
            <w:vMerge w:val="continue"/>
            <w:tcBorders>
              <w:top w:val="single" w:color="auto" w:sz="2" w:space="0"/>
              <w:left w:val="nil"/>
              <w:bottom w:val="single" w:color="auto" w:sz="2" w:space="0"/>
              <w:right w:val="single" w:color="auto" w:sz="2" w:space="0"/>
            </w:tcBorders>
            <w:shd w:val="clear" w:color="auto" w:fill="auto"/>
            <w:vAlign w:val="center"/>
          </w:tcPr>
          <w:p w14:paraId="117F13C1">
            <w:pPr>
              <w:widowControl/>
              <w:adjustRightInd w:val="0"/>
              <w:spacing w:line="240" w:lineRule="exact"/>
              <w:jc w:val="center"/>
              <w:rPr>
                <w:bCs/>
                <w:sz w:val="18"/>
                <w:szCs w:val="18"/>
              </w:rPr>
            </w:pPr>
          </w:p>
        </w:tc>
        <w:tc>
          <w:tcPr>
            <w:tcW w:w="267"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FD515D8">
            <w:pPr>
              <w:adjustRightInd w:val="0"/>
              <w:spacing w:line="240" w:lineRule="exact"/>
              <w:jc w:val="center"/>
              <w:rPr>
                <w:bCs/>
                <w:sz w:val="18"/>
                <w:szCs w:val="18"/>
              </w:rPr>
            </w:pPr>
          </w:p>
        </w:tc>
        <w:tc>
          <w:tcPr>
            <w:tcW w:w="26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5FECD4B">
            <w:pPr>
              <w:widowControl/>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B6BD584">
            <w:pPr>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3DA8C80">
            <w:pPr>
              <w:adjustRightInd w:val="0"/>
              <w:spacing w:line="240" w:lineRule="exact"/>
              <w:jc w:val="center"/>
              <w:rPr>
                <w:bCs/>
                <w:sz w:val="18"/>
                <w:szCs w:val="18"/>
              </w:rPr>
            </w:pP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0F2F3B10">
            <w:pPr>
              <w:adjustRightInd w:val="0"/>
              <w:spacing w:line="240" w:lineRule="exact"/>
              <w:jc w:val="center"/>
              <w:rPr>
                <w:bCs/>
                <w:sz w:val="18"/>
                <w:szCs w:val="18"/>
              </w:rPr>
            </w:pPr>
            <w:r>
              <w:rPr>
                <w:rFonts w:hint="eastAsia"/>
                <w:bCs/>
                <w:sz w:val="18"/>
                <w:szCs w:val="18"/>
              </w:rPr>
              <w:t>购自</w:t>
            </w:r>
          </w:p>
          <w:p w14:paraId="1BF3BEBA">
            <w:pPr>
              <w:adjustRightInd w:val="0"/>
              <w:spacing w:line="240" w:lineRule="exact"/>
              <w:jc w:val="center"/>
              <w:rPr>
                <w:bCs/>
                <w:sz w:val="18"/>
                <w:szCs w:val="18"/>
              </w:rPr>
            </w:pPr>
            <w:r>
              <w:rPr>
                <w:rFonts w:hint="eastAsia"/>
                <w:bCs/>
                <w:sz w:val="18"/>
                <w:szCs w:val="18"/>
              </w:rPr>
              <w:t>省外</w:t>
            </w: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768CDED">
            <w:pPr>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177803C">
            <w:pPr>
              <w:adjustRightInd w:val="0"/>
              <w:spacing w:line="240" w:lineRule="exact"/>
              <w:jc w:val="center"/>
              <w:rPr>
                <w:bCs/>
                <w:sz w:val="18"/>
                <w:szCs w:val="18"/>
              </w:rPr>
            </w:pP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2BE0DDA5">
            <w:pPr>
              <w:adjustRightInd w:val="0"/>
              <w:spacing w:line="240" w:lineRule="exact"/>
              <w:jc w:val="center"/>
              <w:rPr>
                <w:bCs/>
                <w:sz w:val="18"/>
                <w:szCs w:val="18"/>
              </w:rPr>
            </w:pPr>
            <w:r>
              <w:rPr>
                <w:bCs/>
                <w:sz w:val="18"/>
                <w:szCs w:val="18"/>
              </w:rPr>
              <w:t>用  于      原材料</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0DF0A8DE">
            <w:pPr>
              <w:adjustRightInd w:val="0"/>
              <w:spacing w:line="240" w:lineRule="exact"/>
              <w:jc w:val="center"/>
              <w:rPr>
                <w:bCs/>
                <w:sz w:val="18"/>
                <w:szCs w:val="18"/>
              </w:rPr>
            </w:pPr>
            <w:r>
              <w:rPr>
                <w:bCs/>
                <w:sz w:val="18"/>
                <w:szCs w:val="18"/>
              </w:rPr>
              <w:t>运输工</w:t>
            </w:r>
            <w:r>
              <w:rPr>
                <w:rFonts w:hint="eastAsia"/>
                <w:bCs/>
                <w:sz w:val="18"/>
                <w:szCs w:val="18"/>
              </w:rPr>
              <w:t xml:space="preserve">  </w:t>
            </w:r>
            <w:r>
              <w:rPr>
                <w:bCs/>
                <w:sz w:val="18"/>
                <w:szCs w:val="18"/>
              </w:rPr>
              <w:t>具消费</w:t>
            </w: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3F0803E">
            <w:pPr>
              <w:widowControl/>
              <w:adjustRightInd w:val="0"/>
              <w:spacing w:line="240" w:lineRule="exact"/>
              <w:jc w:val="center"/>
              <w:rPr>
                <w:bCs/>
                <w:sz w:val="18"/>
                <w:szCs w:val="18"/>
              </w:rPr>
            </w:pPr>
          </w:p>
        </w:tc>
        <w:tc>
          <w:tcPr>
            <w:tcW w:w="416"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EC619DD">
            <w:pPr>
              <w:widowControl/>
              <w:adjustRightInd w:val="0"/>
              <w:spacing w:line="240" w:lineRule="exact"/>
              <w:jc w:val="center"/>
              <w:rPr>
                <w:bCs/>
                <w:sz w:val="18"/>
                <w:szCs w:val="18"/>
              </w:rPr>
            </w:pPr>
          </w:p>
        </w:tc>
        <w:tc>
          <w:tcPr>
            <w:tcW w:w="426" w:type="pct"/>
            <w:vMerge w:val="continue"/>
            <w:tcBorders>
              <w:top w:val="single" w:color="auto" w:sz="2" w:space="0"/>
              <w:left w:val="single" w:color="auto" w:sz="2" w:space="0"/>
              <w:bottom w:val="single" w:color="auto" w:sz="2" w:space="0"/>
            </w:tcBorders>
            <w:shd w:val="clear" w:color="auto" w:fill="auto"/>
            <w:vAlign w:val="center"/>
          </w:tcPr>
          <w:p w14:paraId="2BBF8386">
            <w:pPr>
              <w:widowControl/>
              <w:adjustRightInd w:val="0"/>
              <w:spacing w:line="240" w:lineRule="exact"/>
              <w:jc w:val="center"/>
              <w:rPr>
                <w:bCs/>
                <w:sz w:val="18"/>
                <w:szCs w:val="18"/>
              </w:rPr>
            </w:pPr>
          </w:p>
        </w:tc>
      </w:tr>
      <w:tr w14:paraId="50C3EB27">
        <w:tblPrEx>
          <w:tblCellMar>
            <w:top w:w="0" w:type="dxa"/>
            <w:left w:w="0" w:type="dxa"/>
            <w:bottom w:w="0" w:type="dxa"/>
            <w:right w:w="0" w:type="dxa"/>
          </w:tblCellMar>
        </w:tblPrEx>
        <w:trPr>
          <w:trHeight w:val="306" w:hRule="atLeast"/>
          <w:jc w:val="center"/>
        </w:trPr>
        <w:tc>
          <w:tcPr>
            <w:tcW w:w="294" w:type="pct"/>
            <w:tcBorders>
              <w:top w:val="single" w:color="auto" w:sz="2" w:space="0"/>
              <w:left w:val="nil"/>
              <w:bottom w:val="single" w:color="auto" w:sz="2" w:space="0"/>
              <w:right w:val="single" w:color="auto" w:sz="2" w:space="0"/>
            </w:tcBorders>
            <w:shd w:val="clear" w:color="auto" w:fill="auto"/>
            <w:vAlign w:val="center"/>
          </w:tcPr>
          <w:p w14:paraId="486ABABA">
            <w:pPr>
              <w:widowControl/>
              <w:adjustRightInd w:val="0"/>
              <w:spacing w:line="200" w:lineRule="exact"/>
              <w:jc w:val="center"/>
              <w:textAlignment w:val="center"/>
              <w:rPr>
                <w:bCs/>
                <w:sz w:val="18"/>
                <w:szCs w:val="18"/>
              </w:rPr>
            </w:pPr>
            <w:r>
              <w:rPr>
                <w:bCs/>
                <w:sz w:val="18"/>
                <w:szCs w:val="18"/>
              </w:rPr>
              <w:t>甲</w:t>
            </w: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14:paraId="3863C5B8">
            <w:pPr>
              <w:widowControl/>
              <w:adjustRightInd w:val="0"/>
              <w:spacing w:line="200" w:lineRule="exact"/>
              <w:jc w:val="center"/>
              <w:textAlignment w:val="center"/>
              <w:rPr>
                <w:bCs/>
                <w:sz w:val="18"/>
                <w:szCs w:val="18"/>
              </w:rPr>
            </w:pPr>
            <w:r>
              <w:rPr>
                <w:bCs/>
                <w:sz w:val="18"/>
                <w:szCs w:val="18"/>
              </w:rPr>
              <w:t>乙</w:t>
            </w:r>
          </w:p>
        </w:tc>
        <w:tc>
          <w:tcPr>
            <w:tcW w:w="269" w:type="pct"/>
            <w:tcBorders>
              <w:top w:val="single" w:color="auto" w:sz="2" w:space="0"/>
              <w:left w:val="single" w:color="auto" w:sz="2" w:space="0"/>
              <w:bottom w:val="single" w:color="auto" w:sz="2" w:space="0"/>
              <w:right w:val="single" w:color="auto" w:sz="2" w:space="0"/>
            </w:tcBorders>
            <w:shd w:val="clear" w:color="auto" w:fill="auto"/>
            <w:vAlign w:val="center"/>
          </w:tcPr>
          <w:p w14:paraId="59C3DB98">
            <w:pPr>
              <w:widowControl/>
              <w:adjustRightInd w:val="0"/>
              <w:spacing w:line="200" w:lineRule="exact"/>
              <w:jc w:val="center"/>
              <w:textAlignment w:val="center"/>
              <w:rPr>
                <w:bCs/>
                <w:sz w:val="18"/>
                <w:szCs w:val="18"/>
              </w:rPr>
            </w:pPr>
            <w:r>
              <w:rPr>
                <w:bCs/>
                <w:sz w:val="18"/>
                <w:szCs w:val="18"/>
              </w:rPr>
              <w:t>丙</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521F80AE">
            <w:pPr>
              <w:widowControl/>
              <w:adjustRightInd w:val="0"/>
              <w:spacing w:line="200" w:lineRule="exact"/>
              <w:jc w:val="center"/>
              <w:textAlignment w:val="center"/>
              <w:rPr>
                <w:bCs/>
                <w:sz w:val="18"/>
                <w:szCs w:val="18"/>
              </w:rPr>
            </w:pPr>
            <w:r>
              <w:rPr>
                <w:bCs/>
                <w:sz w:val="18"/>
                <w:szCs w:val="18"/>
              </w:rPr>
              <w:t>1</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33ECA40D">
            <w:pPr>
              <w:widowControl/>
              <w:adjustRightInd w:val="0"/>
              <w:spacing w:line="200" w:lineRule="exact"/>
              <w:jc w:val="center"/>
              <w:textAlignment w:val="center"/>
              <w:rPr>
                <w:bCs/>
                <w:sz w:val="18"/>
                <w:szCs w:val="18"/>
              </w:rPr>
            </w:pPr>
            <w:r>
              <w:rPr>
                <w:bCs/>
                <w:sz w:val="18"/>
                <w:szCs w:val="18"/>
              </w:rPr>
              <w:t>2</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5D017584">
            <w:pPr>
              <w:widowControl/>
              <w:adjustRightInd w:val="0"/>
              <w:spacing w:line="200" w:lineRule="exact"/>
              <w:jc w:val="center"/>
              <w:textAlignment w:val="center"/>
              <w:rPr>
                <w:bCs/>
                <w:sz w:val="18"/>
                <w:szCs w:val="18"/>
              </w:rPr>
            </w:pPr>
            <w:r>
              <w:rPr>
                <w:bCs/>
                <w:sz w:val="18"/>
                <w:szCs w:val="18"/>
              </w:rPr>
              <w:t>3</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19982BD4">
            <w:pPr>
              <w:widowControl/>
              <w:adjustRightInd w:val="0"/>
              <w:spacing w:line="200" w:lineRule="exact"/>
              <w:jc w:val="center"/>
              <w:textAlignment w:val="center"/>
              <w:rPr>
                <w:bCs/>
                <w:sz w:val="18"/>
                <w:szCs w:val="18"/>
              </w:rPr>
            </w:pPr>
            <w:r>
              <w:rPr>
                <w:bCs/>
                <w:sz w:val="18"/>
                <w:szCs w:val="18"/>
              </w:rPr>
              <w:t>4</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2C20D8B8">
            <w:pPr>
              <w:widowControl/>
              <w:adjustRightInd w:val="0"/>
              <w:spacing w:line="200" w:lineRule="exact"/>
              <w:jc w:val="center"/>
              <w:textAlignment w:val="center"/>
              <w:rPr>
                <w:bCs/>
                <w:sz w:val="18"/>
                <w:szCs w:val="18"/>
              </w:rPr>
            </w:pPr>
            <w:r>
              <w:rPr>
                <w:bCs/>
                <w:sz w:val="18"/>
                <w:szCs w:val="18"/>
              </w:rPr>
              <w:t>5</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0AAEEE1C">
            <w:pPr>
              <w:widowControl/>
              <w:adjustRightInd w:val="0"/>
              <w:spacing w:line="200" w:lineRule="exact"/>
              <w:jc w:val="center"/>
              <w:textAlignment w:val="center"/>
              <w:rPr>
                <w:bCs/>
                <w:sz w:val="18"/>
                <w:szCs w:val="18"/>
              </w:rPr>
            </w:pPr>
            <w:r>
              <w:rPr>
                <w:bCs/>
                <w:sz w:val="18"/>
                <w:szCs w:val="18"/>
              </w:rPr>
              <w:t>6</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433873A1">
            <w:pPr>
              <w:widowControl/>
              <w:adjustRightInd w:val="0"/>
              <w:spacing w:line="200" w:lineRule="exact"/>
              <w:jc w:val="center"/>
              <w:textAlignment w:val="center"/>
              <w:rPr>
                <w:bCs/>
                <w:sz w:val="18"/>
                <w:szCs w:val="18"/>
              </w:rPr>
            </w:pPr>
            <w:r>
              <w:rPr>
                <w:bCs/>
                <w:sz w:val="18"/>
                <w:szCs w:val="18"/>
              </w:rPr>
              <w:t>7</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51DFD2BA">
            <w:pPr>
              <w:widowControl/>
              <w:adjustRightInd w:val="0"/>
              <w:spacing w:line="200" w:lineRule="exact"/>
              <w:jc w:val="center"/>
              <w:textAlignment w:val="center"/>
              <w:rPr>
                <w:bCs/>
                <w:sz w:val="18"/>
                <w:szCs w:val="18"/>
              </w:rPr>
            </w:pPr>
            <w:r>
              <w:rPr>
                <w:bCs/>
                <w:sz w:val="18"/>
                <w:szCs w:val="18"/>
              </w:rPr>
              <w:t>8</w:t>
            </w:r>
          </w:p>
        </w:tc>
        <w:tc>
          <w:tcPr>
            <w:tcW w:w="416" w:type="pct"/>
            <w:tcBorders>
              <w:top w:val="single" w:color="auto" w:sz="2" w:space="0"/>
              <w:left w:val="single" w:color="auto" w:sz="2" w:space="0"/>
              <w:bottom w:val="single" w:color="auto" w:sz="2" w:space="0"/>
              <w:right w:val="single" w:color="auto" w:sz="2" w:space="0"/>
            </w:tcBorders>
            <w:shd w:val="clear" w:color="auto" w:fill="auto"/>
            <w:vAlign w:val="center"/>
          </w:tcPr>
          <w:p w14:paraId="14720611">
            <w:pPr>
              <w:widowControl/>
              <w:adjustRightInd w:val="0"/>
              <w:spacing w:line="200" w:lineRule="exact"/>
              <w:jc w:val="center"/>
              <w:textAlignment w:val="center"/>
              <w:rPr>
                <w:bCs/>
                <w:sz w:val="18"/>
                <w:szCs w:val="18"/>
              </w:rPr>
            </w:pPr>
            <w:r>
              <w:rPr>
                <w:bCs/>
                <w:sz w:val="18"/>
                <w:szCs w:val="18"/>
              </w:rPr>
              <w:t>9</w:t>
            </w:r>
          </w:p>
        </w:tc>
        <w:tc>
          <w:tcPr>
            <w:tcW w:w="426" w:type="pct"/>
            <w:tcBorders>
              <w:top w:val="single" w:color="auto" w:sz="2" w:space="0"/>
              <w:left w:val="single" w:color="auto" w:sz="2" w:space="0"/>
              <w:bottom w:val="single" w:color="auto" w:sz="2" w:space="0"/>
            </w:tcBorders>
            <w:shd w:val="clear" w:color="auto" w:fill="auto"/>
            <w:vAlign w:val="center"/>
          </w:tcPr>
          <w:p w14:paraId="549E5626">
            <w:pPr>
              <w:widowControl/>
              <w:adjustRightInd w:val="0"/>
              <w:spacing w:line="200" w:lineRule="exact"/>
              <w:jc w:val="center"/>
              <w:textAlignment w:val="center"/>
              <w:rPr>
                <w:bCs/>
                <w:sz w:val="18"/>
                <w:szCs w:val="18"/>
              </w:rPr>
            </w:pPr>
            <w:r>
              <w:rPr>
                <w:bCs/>
                <w:sz w:val="18"/>
                <w:szCs w:val="18"/>
              </w:rPr>
              <w:t>丁</w:t>
            </w:r>
          </w:p>
        </w:tc>
      </w:tr>
      <w:tr w14:paraId="45FF745E">
        <w:tblPrEx>
          <w:tblCellMar>
            <w:top w:w="0" w:type="dxa"/>
            <w:left w:w="0" w:type="dxa"/>
            <w:bottom w:w="0" w:type="dxa"/>
            <w:right w:w="0" w:type="dxa"/>
          </w:tblCellMar>
        </w:tblPrEx>
        <w:trPr>
          <w:trHeight w:val="850" w:hRule="atLeast"/>
          <w:jc w:val="center"/>
        </w:trPr>
        <w:tc>
          <w:tcPr>
            <w:tcW w:w="294" w:type="pct"/>
            <w:tcBorders>
              <w:top w:val="single" w:color="auto" w:sz="2" w:space="0"/>
              <w:left w:val="nil"/>
              <w:bottom w:val="single" w:color="auto" w:sz="2" w:space="0"/>
              <w:right w:val="single" w:color="auto" w:sz="2" w:space="0"/>
            </w:tcBorders>
            <w:shd w:val="clear" w:color="auto" w:fill="auto"/>
            <w:vAlign w:val="center"/>
          </w:tcPr>
          <w:p w14:paraId="7762ED23">
            <w:pPr>
              <w:widowControl/>
              <w:adjustRightInd w:val="0"/>
              <w:spacing w:line="240" w:lineRule="exact"/>
              <w:jc w:val="left"/>
              <w:rPr>
                <w:bCs/>
                <w:sz w:val="18"/>
                <w:szCs w:val="18"/>
              </w:rPr>
            </w:pPr>
          </w:p>
        </w:tc>
        <w:tc>
          <w:tcPr>
            <w:tcW w:w="267" w:type="pct"/>
            <w:tcBorders>
              <w:top w:val="single" w:color="auto" w:sz="2" w:space="0"/>
              <w:left w:val="single" w:color="auto" w:sz="2" w:space="0"/>
              <w:bottom w:val="single" w:color="auto" w:sz="2" w:space="0"/>
              <w:right w:val="single" w:color="auto" w:sz="2" w:space="0"/>
            </w:tcBorders>
            <w:shd w:val="clear" w:color="auto" w:fill="auto"/>
            <w:vAlign w:val="center"/>
          </w:tcPr>
          <w:p w14:paraId="3E8467B2">
            <w:pPr>
              <w:widowControl/>
              <w:adjustRightInd w:val="0"/>
              <w:spacing w:line="240" w:lineRule="exact"/>
              <w:rPr>
                <w:bCs/>
                <w:spacing w:val="-4"/>
                <w:sz w:val="18"/>
                <w:szCs w:val="18"/>
              </w:rPr>
            </w:pPr>
          </w:p>
        </w:tc>
        <w:tc>
          <w:tcPr>
            <w:tcW w:w="269" w:type="pct"/>
            <w:tcBorders>
              <w:top w:val="single" w:color="auto" w:sz="2" w:space="0"/>
              <w:left w:val="single" w:color="auto" w:sz="2" w:space="0"/>
              <w:bottom w:val="single" w:color="auto" w:sz="2" w:space="0"/>
              <w:right w:val="single" w:color="auto" w:sz="2" w:space="0"/>
            </w:tcBorders>
            <w:shd w:val="clear" w:color="auto" w:fill="auto"/>
            <w:vAlign w:val="center"/>
          </w:tcPr>
          <w:p w14:paraId="27F1A3BE">
            <w:pPr>
              <w:widowControl/>
              <w:adjustRightInd w:val="0"/>
              <w:spacing w:line="240" w:lineRule="exact"/>
              <w:jc w:val="center"/>
              <w:rPr>
                <w:bCs/>
                <w:sz w:val="18"/>
                <w:szCs w:val="18"/>
              </w:rPr>
            </w:pPr>
          </w:p>
        </w:tc>
        <w:tc>
          <w:tcPr>
            <w:tcW w:w="3744" w:type="pct"/>
            <w:gridSpan w:val="9"/>
            <w:tcBorders>
              <w:top w:val="single" w:color="auto" w:sz="2" w:space="0"/>
              <w:left w:val="single" w:color="auto" w:sz="2" w:space="0"/>
              <w:bottom w:val="single" w:color="auto" w:sz="2" w:space="0"/>
            </w:tcBorders>
            <w:shd w:val="clear" w:color="auto" w:fill="auto"/>
            <w:vAlign w:val="center"/>
          </w:tcPr>
          <w:p w14:paraId="0B5600A3">
            <w:pPr>
              <w:adjustRightInd w:val="0"/>
              <w:spacing w:line="240" w:lineRule="exact"/>
              <w:jc w:val="center"/>
              <w:rPr>
                <w:bCs/>
                <w:spacing w:val="-10"/>
                <w:sz w:val="18"/>
                <w:szCs w:val="18"/>
              </w:rPr>
            </w:pPr>
          </w:p>
        </w:tc>
        <w:tc>
          <w:tcPr>
            <w:tcW w:w="426" w:type="pct"/>
            <w:tcBorders>
              <w:top w:val="single" w:color="auto" w:sz="2" w:space="0"/>
              <w:left w:val="single" w:color="auto" w:sz="2" w:space="0"/>
              <w:bottom w:val="single" w:color="auto" w:sz="2" w:space="0"/>
            </w:tcBorders>
            <w:shd w:val="clear" w:color="auto" w:fill="auto"/>
            <w:vAlign w:val="center"/>
          </w:tcPr>
          <w:p w14:paraId="6CA2AE51">
            <w:pPr>
              <w:adjustRightInd w:val="0"/>
              <w:spacing w:line="240" w:lineRule="exact"/>
              <w:jc w:val="center"/>
              <w:rPr>
                <w:bCs/>
                <w:spacing w:val="-10"/>
                <w:sz w:val="18"/>
                <w:szCs w:val="18"/>
              </w:rPr>
            </w:pPr>
          </w:p>
        </w:tc>
      </w:tr>
      <w:tr w14:paraId="3440E414">
        <w:trPr>
          <w:trHeight w:val="1365" w:hRule="atLeast"/>
          <w:jc w:val="center"/>
        </w:trPr>
        <w:tc>
          <w:tcPr>
            <w:tcW w:w="5000" w:type="pct"/>
            <w:gridSpan w:val="13"/>
            <w:tcBorders>
              <w:top w:val="single" w:color="auto" w:sz="2" w:space="0"/>
              <w:left w:val="nil"/>
              <w:bottom w:val="single" w:color="auto" w:sz="8" w:space="0"/>
            </w:tcBorders>
            <w:shd w:val="clear" w:color="auto" w:fill="auto"/>
            <w:vAlign w:val="center"/>
          </w:tcPr>
          <w:p w14:paraId="48B9CA7D">
            <w:pPr>
              <w:spacing w:line="260" w:lineRule="exact"/>
              <w:rPr>
                <w:bCs/>
                <w:sz w:val="18"/>
                <w:szCs w:val="18"/>
              </w:rPr>
            </w:pPr>
            <w:r>
              <w:rPr>
                <w:bCs/>
                <w:sz w:val="18"/>
                <w:szCs w:val="18"/>
              </w:rPr>
              <w:t>补充资料：</w:t>
            </w:r>
          </w:p>
          <w:p w14:paraId="6E7F0FF8">
            <w:pPr>
              <w:spacing w:line="260" w:lineRule="exact"/>
              <w:ind w:firstLine="180" w:firstLineChars="100"/>
              <w:rPr>
                <w:sz w:val="18"/>
                <w:szCs w:val="18"/>
              </w:rPr>
            </w:pPr>
            <w:r>
              <w:rPr>
                <w:sz w:val="18"/>
                <w:szCs w:val="18"/>
              </w:rPr>
              <w:t>上年同期：</w:t>
            </w:r>
            <w:r>
              <w:rPr>
                <w:sz w:val="18"/>
                <w:szCs w:val="18"/>
                <w:shd w:val="clear" w:color="auto" w:fill="D9D9D9"/>
              </w:rPr>
              <w:t>综合能源消费量(41)</w:t>
            </w:r>
            <w:r>
              <w:rPr>
                <w:sz w:val="18"/>
                <w:szCs w:val="18"/>
                <w:u w:val="single"/>
                <w:shd w:val="clear" w:color="auto" w:fill="D9D9D9"/>
              </w:rPr>
              <w:t xml:space="preserve">　        </w:t>
            </w:r>
            <w:r>
              <w:rPr>
                <w:sz w:val="18"/>
                <w:szCs w:val="18"/>
                <w:shd w:val="clear" w:color="auto" w:fill="D9D9D9"/>
              </w:rPr>
              <w:t xml:space="preserve">吨标准煤          </w:t>
            </w:r>
            <w:r>
              <w:rPr>
                <w:rFonts w:hint="eastAsia"/>
                <w:sz w:val="18"/>
                <w:szCs w:val="18"/>
                <w:shd w:val="clear" w:color="auto" w:fill="D9D9D9"/>
              </w:rPr>
              <w:t>综合能源消费量（当月）</w:t>
            </w:r>
            <w:r>
              <w:rPr>
                <w:sz w:val="18"/>
                <w:szCs w:val="18"/>
                <w:shd w:val="clear" w:color="auto" w:fill="D9D9D9"/>
              </w:rPr>
              <w:t>(42)</w:t>
            </w:r>
            <w:r>
              <w:rPr>
                <w:sz w:val="18"/>
                <w:szCs w:val="18"/>
                <w:u w:val="single"/>
                <w:shd w:val="clear" w:color="auto" w:fill="D9D9D9"/>
              </w:rPr>
              <w:t xml:space="preserve">      </w:t>
            </w:r>
            <w:r>
              <w:rPr>
                <w:sz w:val="18"/>
                <w:szCs w:val="18"/>
                <w:shd w:val="clear" w:color="auto" w:fill="D9D9D9"/>
              </w:rPr>
              <w:t>吨</w:t>
            </w:r>
            <w:r>
              <w:rPr>
                <w:rFonts w:hint="eastAsia"/>
                <w:sz w:val="18"/>
                <w:szCs w:val="18"/>
                <w:shd w:val="clear" w:color="auto" w:fill="D9D9D9"/>
              </w:rPr>
              <w:t>标准煤</w:t>
            </w:r>
          </w:p>
          <w:p w14:paraId="06DFAF42">
            <w:pPr>
              <w:spacing w:line="260" w:lineRule="exact"/>
              <w:rPr>
                <w:rFonts w:hint="eastAsia"/>
                <w:sz w:val="18"/>
                <w:szCs w:val="18"/>
                <w:shd w:val="clear" w:color="auto" w:fill="D9D9D9"/>
              </w:rPr>
            </w:pPr>
            <w:r>
              <w:rPr>
                <w:sz w:val="18"/>
                <w:szCs w:val="18"/>
              </w:rPr>
              <w:t>　　　　  　</w:t>
            </w:r>
            <w:r>
              <w:rPr>
                <w:rFonts w:hint="default"/>
                <w:sz w:val="18"/>
                <w:szCs w:val="18"/>
                <w:shd w:val="clear" w:color="auto" w:fill="D9D9D9"/>
              </w:rPr>
              <w:t>用于原材料的原煤采用折标系数</w:t>
            </w:r>
            <w:r>
              <w:rPr>
                <w:sz w:val="18"/>
                <w:szCs w:val="18"/>
                <w:shd w:val="clear" w:color="auto" w:fill="D9D9D9"/>
              </w:rPr>
              <w:t>(43)</w:t>
            </w:r>
            <w:r>
              <w:rPr>
                <w:sz w:val="18"/>
                <w:szCs w:val="18"/>
                <w:u w:val="single"/>
                <w:shd w:val="clear" w:color="auto" w:fill="D9D9D9"/>
              </w:rPr>
              <w:t xml:space="preserve">　            </w:t>
            </w:r>
            <w:r>
              <w:rPr>
                <w:sz w:val="18"/>
                <w:szCs w:val="18"/>
                <w:shd w:val="clear" w:color="auto" w:fill="D9D9D9"/>
              </w:rPr>
              <w:t>吨</w:t>
            </w:r>
            <w:r>
              <w:rPr>
                <w:rFonts w:hint="eastAsia"/>
                <w:sz w:val="18"/>
                <w:szCs w:val="18"/>
                <w:shd w:val="clear" w:color="auto" w:fill="D9D9D9"/>
              </w:rPr>
              <w:t>标准煤/吨</w:t>
            </w:r>
          </w:p>
          <w:p w14:paraId="31274028">
            <w:pPr>
              <w:spacing w:line="260" w:lineRule="exact"/>
              <w:ind w:left="0" w:leftChars="0" w:firstLine="1080" w:firstLineChars="600"/>
              <w:rPr>
                <w:sz w:val="18"/>
                <w:szCs w:val="18"/>
              </w:rPr>
            </w:pPr>
            <w:r>
              <w:rPr>
                <w:rFonts w:hint="eastAsia"/>
                <w:sz w:val="18"/>
                <w:szCs w:val="18"/>
                <w:shd w:val="clear" w:color="auto" w:fill="D9D9D9"/>
              </w:rPr>
              <w:t>工业生产用于原材料的能源消费量合计</w:t>
            </w:r>
            <w:r>
              <w:rPr>
                <w:sz w:val="18"/>
                <w:szCs w:val="18"/>
                <w:shd w:val="clear" w:color="auto" w:fill="D9D9D9"/>
              </w:rPr>
              <w:t>(44)</w:t>
            </w:r>
            <w:r>
              <w:rPr>
                <w:rFonts w:hint="eastAsia"/>
                <w:sz w:val="18"/>
                <w:szCs w:val="18"/>
                <w:u w:val="single"/>
                <w:shd w:val="clear" w:color="auto" w:fill="D9D9D9"/>
              </w:rPr>
              <w:t>　</w:t>
            </w:r>
            <w:r>
              <w:rPr>
                <w:sz w:val="18"/>
                <w:szCs w:val="18"/>
                <w:u w:val="single"/>
                <w:shd w:val="clear" w:color="auto" w:fill="D9D9D9"/>
              </w:rPr>
              <w:t xml:space="preserve">     </w:t>
            </w:r>
            <w:r>
              <w:rPr>
                <w:rFonts w:hint="eastAsia"/>
                <w:sz w:val="18"/>
                <w:szCs w:val="18"/>
                <w:u w:val="single"/>
                <w:shd w:val="clear" w:color="auto" w:fill="D9D9D9"/>
                <w:lang w:val="en-US" w:eastAsia="zh-CN"/>
              </w:rPr>
              <w:t xml:space="preserve">  </w:t>
            </w:r>
            <w:r>
              <w:rPr>
                <w:sz w:val="18"/>
                <w:szCs w:val="18"/>
                <w:u w:val="single"/>
                <w:shd w:val="clear" w:color="auto" w:fill="D9D9D9"/>
              </w:rPr>
              <w:t xml:space="preserve"> </w:t>
            </w:r>
            <w:r>
              <w:rPr>
                <w:rFonts w:hint="eastAsia"/>
                <w:spacing w:val="6"/>
                <w:sz w:val="18"/>
                <w:szCs w:val="18"/>
                <w:shd w:val="clear" w:color="auto" w:fill="D9D9D9"/>
              </w:rPr>
              <w:t>吨标准煤</w:t>
            </w:r>
          </w:p>
          <w:p w14:paraId="4721C70C">
            <w:pPr>
              <w:spacing w:line="260" w:lineRule="exact"/>
              <w:ind w:firstLine="1080" w:firstLineChars="600"/>
              <w:rPr>
                <w:sz w:val="18"/>
                <w:szCs w:val="18"/>
              </w:rPr>
            </w:pPr>
            <w:r>
              <w:rPr>
                <w:sz w:val="18"/>
                <w:szCs w:val="18"/>
                <w:shd w:val="clear" w:color="auto" w:fill="D9D9D9"/>
              </w:rPr>
              <w:t>工业生产电力消费(45)</w:t>
            </w:r>
            <w:r>
              <w:rPr>
                <w:sz w:val="18"/>
                <w:szCs w:val="18"/>
                <w:u w:val="single"/>
                <w:shd w:val="clear" w:color="auto" w:fill="D9D9D9"/>
              </w:rPr>
              <w:t xml:space="preserve">　　    </w:t>
            </w:r>
            <w:r>
              <w:rPr>
                <w:sz w:val="18"/>
                <w:szCs w:val="18"/>
                <w:shd w:val="clear" w:color="auto" w:fill="D9D9D9"/>
              </w:rPr>
              <w:t xml:space="preserve">万千瓦时          </w:t>
            </w:r>
            <w:r>
              <w:rPr>
                <w:rFonts w:hint="eastAsia"/>
                <w:sz w:val="18"/>
                <w:szCs w:val="18"/>
                <w:shd w:val="clear" w:color="auto" w:fill="D9D9D9"/>
                <w:lang w:val="en-US" w:eastAsia="zh-CN"/>
              </w:rPr>
              <w:t>火力发电</w:t>
            </w:r>
            <w:r>
              <w:rPr>
                <w:sz w:val="18"/>
                <w:szCs w:val="18"/>
                <w:shd w:val="clear" w:color="auto" w:fill="D9D9D9"/>
              </w:rPr>
              <w:t>产出(46)</w:t>
            </w:r>
            <w:r>
              <w:rPr>
                <w:sz w:val="18"/>
                <w:szCs w:val="18"/>
                <w:u w:val="single"/>
                <w:shd w:val="clear" w:color="auto" w:fill="D9D9D9"/>
              </w:rPr>
              <w:t xml:space="preserve">　              </w:t>
            </w:r>
            <w:r>
              <w:rPr>
                <w:sz w:val="18"/>
                <w:szCs w:val="18"/>
                <w:shd w:val="clear" w:color="auto" w:fill="D9D9D9"/>
              </w:rPr>
              <w:t>万千瓦时</w:t>
            </w:r>
          </w:p>
          <w:p w14:paraId="491E9779">
            <w:pPr>
              <w:spacing w:line="260" w:lineRule="exact"/>
              <w:ind w:firstLine="1080" w:firstLineChars="600"/>
              <w:rPr>
                <w:sz w:val="18"/>
                <w:szCs w:val="18"/>
              </w:rPr>
            </w:pPr>
            <w:r>
              <w:rPr>
                <w:sz w:val="18"/>
                <w:szCs w:val="18"/>
                <w:shd w:val="clear" w:color="auto" w:fill="D9D9D9"/>
              </w:rPr>
              <w:t>火力发电投入(47)</w:t>
            </w:r>
            <w:r>
              <w:rPr>
                <w:sz w:val="18"/>
                <w:szCs w:val="18"/>
                <w:u w:val="single"/>
                <w:shd w:val="clear" w:color="auto" w:fill="D9D9D9"/>
              </w:rPr>
              <w:t xml:space="preserve">　      　  </w:t>
            </w:r>
            <w:r>
              <w:rPr>
                <w:sz w:val="18"/>
                <w:szCs w:val="18"/>
                <w:shd w:val="clear" w:color="auto" w:fill="D9D9D9"/>
              </w:rPr>
              <w:t>吨标准煤</w:t>
            </w:r>
            <w:r>
              <w:rPr>
                <w:sz w:val="18"/>
                <w:szCs w:val="18"/>
              </w:rPr>
              <w:t xml:space="preserve">                    </w:t>
            </w:r>
          </w:p>
          <w:p w14:paraId="1363068A">
            <w:pPr>
              <w:adjustRightInd w:val="0"/>
              <w:spacing w:line="260" w:lineRule="exact"/>
              <w:ind w:firstLine="180" w:firstLineChars="100"/>
              <w:rPr>
                <w:sz w:val="18"/>
                <w:szCs w:val="18"/>
              </w:rPr>
            </w:pPr>
            <w:r>
              <w:rPr>
                <w:sz w:val="18"/>
                <w:szCs w:val="18"/>
              </w:rPr>
              <w:t>本    期：综合能源消费量(48)</w:t>
            </w:r>
            <w:r>
              <w:rPr>
                <w:sz w:val="18"/>
                <w:szCs w:val="18"/>
                <w:u w:val="single"/>
              </w:rPr>
              <w:t xml:space="preserve">　        </w:t>
            </w:r>
            <w:r>
              <w:rPr>
                <w:sz w:val="18"/>
                <w:szCs w:val="18"/>
              </w:rPr>
              <w:t xml:space="preserve">吨标准煤          </w:t>
            </w:r>
            <w:r>
              <w:rPr>
                <w:rFonts w:hint="eastAsia"/>
                <w:sz w:val="18"/>
                <w:szCs w:val="18"/>
              </w:rPr>
              <w:t>综合能源消费量（当月）</w:t>
            </w:r>
            <w:r>
              <w:rPr>
                <w:sz w:val="18"/>
                <w:szCs w:val="18"/>
              </w:rPr>
              <w:t>(49)</w:t>
            </w:r>
            <w:r>
              <w:rPr>
                <w:sz w:val="18"/>
                <w:szCs w:val="18"/>
                <w:u w:val="single"/>
              </w:rPr>
              <w:t xml:space="preserve">      </w:t>
            </w:r>
            <w:r>
              <w:rPr>
                <w:sz w:val="18"/>
                <w:szCs w:val="18"/>
              </w:rPr>
              <w:t>吨</w:t>
            </w:r>
            <w:r>
              <w:rPr>
                <w:rFonts w:hint="eastAsia"/>
                <w:sz w:val="18"/>
                <w:szCs w:val="18"/>
              </w:rPr>
              <w:t>标准煤</w:t>
            </w:r>
            <w:r>
              <w:rPr>
                <w:sz w:val="18"/>
                <w:szCs w:val="18"/>
              </w:rPr>
              <w:t xml:space="preserve">  </w:t>
            </w:r>
          </w:p>
          <w:p w14:paraId="5D420A37">
            <w:pPr>
              <w:pStyle w:val="2"/>
              <w:spacing w:line="260" w:lineRule="exact"/>
              <w:ind w:left="1050" w:leftChars="500" w:firstLine="0"/>
            </w:pPr>
            <w:r>
              <w:rPr>
                <w:rFonts w:hint="eastAsia"/>
                <w:sz w:val="18"/>
                <w:szCs w:val="18"/>
              </w:rPr>
              <w:t>用于原材料的原煤采用折标系数</w:t>
            </w:r>
            <w:r>
              <w:rPr>
                <w:rFonts w:hint="default" w:ascii="Times New Roman" w:hAnsi="Times New Roman"/>
                <w:sz w:val="18"/>
                <w:szCs w:val="18"/>
              </w:rPr>
              <w:t>(50)</w:t>
            </w:r>
            <w:r>
              <w:rPr>
                <w:sz w:val="18"/>
                <w:szCs w:val="18"/>
                <w:u w:val="single"/>
              </w:rPr>
              <w:t xml:space="preserve">　 </w:t>
            </w:r>
            <w:r>
              <w:rPr>
                <w:rFonts w:hint="eastAsia"/>
                <w:sz w:val="18"/>
                <w:szCs w:val="18"/>
                <w:u w:val="single"/>
                <w:lang w:val="en-US" w:eastAsia="zh-CN"/>
              </w:rPr>
              <w:t xml:space="preserve">  </w:t>
            </w:r>
            <w:r>
              <w:rPr>
                <w:sz w:val="18"/>
                <w:szCs w:val="18"/>
                <w:u w:val="single"/>
              </w:rPr>
              <w:t xml:space="preserve"> </w:t>
            </w:r>
            <w:r>
              <w:rPr>
                <w:rFonts w:hint="eastAsia"/>
                <w:sz w:val="18"/>
                <w:szCs w:val="18"/>
                <w:u w:val="single"/>
                <w:lang w:val="en-US" w:eastAsia="zh-CN"/>
              </w:rPr>
              <w:t xml:space="preserve">      </w:t>
            </w:r>
            <w:r>
              <w:rPr>
                <w:sz w:val="18"/>
                <w:szCs w:val="18"/>
                <w:u w:val="single"/>
              </w:rPr>
              <w:t xml:space="preserve">  </w:t>
            </w:r>
            <w:r>
              <w:rPr>
                <w:rFonts w:hint="eastAsia"/>
                <w:sz w:val="18"/>
                <w:szCs w:val="18"/>
              </w:rPr>
              <w:t>吨标准煤/吨</w:t>
            </w:r>
          </w:p>
        </w:tc>
      </w:tr>
    </w:tbl>
    <w:p w14:paraId="1584BE86">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7713C8D3">
      <w:pPr>
        <w:tabs>
          <w:tab w:val="left" w:pos="5430"/>
        </w:tabs>
        <w:adjustRightInd w:val="0"/>
        <w:spacing w:line="320" w:lineRule="exact"/>
        <w:ind w:right="-6" w:rightChars="-3"/>
        <w:rPr>
          <w:bCs/>
          <w:sz w:val="18"/>
          <w:szCs w:val="18"/>
        </w:rPr>
      </w:pPr>
    </w:p>
    <w:p w14:paraId="0CB57679">
      <w:pPr>
        <w:tabs>
          <w:tab w:val="left" w:pos="5430"/>
        </w:tabs>
        <w:adjustRightInd w:val="0"/>
        <w:spacing w:line="280" w:lineRule="exact"/>
        <w:ind w:right="-6" w:rightChars="-3"/>
        <w:rPr>
          <w:sz w:val="18"/>
          <w:szCs w:val="18"/>
        </w:rPr>
      </w:pPr>
      <w:r>
        <w:rPr>
          <w:bCs/>
          <w:spacing w:val="-4"/>
          <w:sz w:val="18"/>
          <w:szCs w:val="18"/>
        </w:rPr>
        <w:t>说明：1.</w:t>
      </w:r>
      <w:r>
        <w:rPr>
          <w:bCs/>
          <w:sz w:val="18"/>
          <w:szCs w:val="18"/>
        </w:rPr>
        <w:t>统计范围：</w:t>
      </w:r>
      <w:r>
        <w:rPr>
          <w:sz w:val="18"/>
          <w:szCs w:val="18"/>
        </w:rPr>
        <w:t>辖区内规模以上工业法人单位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r>
        <w:rPr>
          <w:sz w:val="18"/>
          <w:szCs w:val="18"/>
        </w:rPr>
        <w:t>。</w:t>
      </w:r>
    </w:p>
    <w:p w14:paraId="50644128">
      <w:pPr>
        <w:spacing w:line="280" w:lineRule="exact"/>
        <w:ind w:left="2083" w:leftChars="245" w:hanging="1569" w:hangingChars="872"/>
        <w:rPr>
          <w:sz w:val="18"/>
          <w:szCs w:val="18"/>
        </w:rPr>
      </w:pPr>
      <w:r>
        <w:rPr>
          <w:sz w:val="18"/>
          <w:szCs w:val="18"/>
        </w:rPr>
        <w:t>2.报送日期及方式：</w:t>
      </w:r>
      <w:r>
        <w:rPr>
          <w:rFonts w:hint="eastAsia" w:asciiTheme="majorEastAsia" w:hAnsiTheme="majorEastAsia" w:eastAsiaTheme="majorEastAsia" w:cstheme="majorEastAsia"/>
          <w:sz w:val="18"/>
          <w:szCs w:val="18"/>
        </w:rPr>
        <w:t>调查单位</w:t>
      </w:r>
      <w:r>
        <w:rPr>
          <w:rFonts w:hint="default" w:ascii="Times New Roman" w:hAnsi="Times New Roman" w:cs="Times New Roman" w:eastAsiaTheme="majorEastAsia"/>
          <w:sz w:val="18"/>
          <w:szCs w:val="18"/>
        </w:rPr>
        <w:t>2、</w:t>
      </w:r>
      <w:ins w:id="44" w:author="kylin" w:date="2025-10-17T17:03:15Z">
        <w:r>
          <w:rPr>
            <w:rFonts w:hint="eastAsia" w:cs="Times New Roman" w:eastAsiaTheme="majorEastAsia"/>
            <w:sz w:val="18"/>
            <w:szCs w:val="18"/>
            <w:lang w:val="en-US" w:eastAsia="zh-CN"/>
          </w:rPr>
          <w:t>1</w:t>
        </w:r>
      </w:ins>
      <w:ins w:id="45" w:author="kylin" w:date="2025-10-17T17:03:16Z">
        <w:r>
          <w:rPr>
            <w:rFonts w:hint="eastAsia" w:cs="Times New Roman" w:eastAsiaTheme="majorEastAsia"/>
            <w:sz w:val="18"/>
            <w:szCs w:val="18"/>
            <w:lang w:val="en-US" w:eastAsia="zh-CN"/>
          </w:rPr>
          <w:t>0</w:t>
        </w:r>
      </w:ins>
      <w:ins w:id="46" w:author="kylin" w:date="2025-10-17T17:03:18Z">
        <w:r>
          <w:rPr>
            <w:rFonts w:hint="eastAsia" w:cs="Times New Roman" w:eastAsiaTheme="majorEastAsia"/>
            <w:sz w:val="18"/>
            <w:szCs w:val="18"/>
            <w:lang w:val="en-US" w:eastAsia="zh-CN"/>
          </w:rPr>
          <w:t>月</w:t>
        </w:r>
      </w:ins>
      <w:ins w:id="47" w:author="kylin" w:date="2025-10-17T17:03:20Z">
        <w:r>
          <w:rPr>
            <w:rFonts w:hint="eastAsia" w:cs="Times New Roman" w:eastAsiaTheme="majorEastAsia"/>
            <w:sz w:val="18"/>
            <w:szCs w:val="18"/>
            <w:lang w:val="en-US" w:eastAsia="zh-CN"/>
          </w:rPr>
          <w:t>月后</w:t>
        </w:r>
      </w:ins>
      <w:ins w:id="48" w:author="kylin" w:date="2025-10-17T17:03:22Z">
        <w:r>
          <w:rPr>
            <w:rFonts w:hint="eastAsia" w:cs="Times New Roman" w:eastAsiaTheme="majorEastAsia"/>
            <w:sz w:val="18"/>
            <w:szCs w:val="18"/>
            <w:lang w:val="en-US" w:eastAsia="zh-CN"/>
          </w:rPr>
          <w:t>6</w:t>
        </w:r>
      </w:ins>
      <w:ins w:id="49" w:author="kylin" w:date="2025-10-17T17:03:23Z">
        <w:r>
          <w:rPr>
            <w:rFonts w:hint="eastAsia" w:cs="Times New Roman" w:eastAsiaTheme="majorEastAsia"/>
            <w:sz w:val="18"/>
            <w:szCs w:val="18"/>
            <w:lang w:val="en-US" w:eastAsia="zh-CN"/>
          </w:rPr>
          <w:t>日</w:t>
        </w:r>
      </w:ins>
      <w:ins w:id="50" w:author="kylin" w:date="2025-10-17T17:03:25Z">
        <w:r>
          <w:rPr>
            <w:rFonts w:hint="eastAsia" w:cs="Times New Roman" w:eastAsiaTheme="majorEastAsia"/>
            <w:sz w:val="18"/>
            <w:szCs w:val="18"/>
            <w:lang w:val="en-US" w:eastAsia="zh-CN"/>
          </w:rPr>
          <w:t>，</w:t>
        </w:r>
      </w:ins>
      <w:del w:id="51" w:author="kylin" w:date="2025-10-17T17:03:28Z">
        <w:r>
          <w:rPr>
            <w:rFonts w:hint="default" w:ascii="Times New Roman" w:hAnsi="Times New Roman" w:cs="Times New Roman" w:eastAsiaTheme="majorEastAsia"/>
            <w:sz w:val="18"/>
            <w:szCs w:val="18"/>
          </w:rPr>
          <w:delText>5、</w:delText>
        </w:r>
      </w:del>
      <w:r>
        <w:rPr>
          <w:rFonts w:hint="default" w:ascii="Times New Roman" w:hAnsi="Times New Roman" w:cs="Times New Roman" w:eastAsiaTheme="majorEastAsia"/>
          <w:sz w:val="18"/>
          <w:szCs w:val="18"/>
        </w:rPr>
        <w:t>6、7、8、</w:t>
      </w:r>
      <w:del w:id="52" w:author="kylin" w:date="2025-10-17T17:03:32Z">
        <w:r>
          <w:rPr>
            <w:rFonts w:hint="default" w:ascii="Times New Roman" w:hAnsi="Times New Roman" w:cs="Times New Roman" w:eastAsiaTheme="majorEastAsia"/>
            <w:sz w:val="18"/>
            <w:szCs w:val="18"/>
          </w:rPr>
          <w:delText>10、</w:delText>
        </w:r>
      </w:del>
      <w:r>
        <w:rPr>
          <w:rFonts w:hint="default" w:ascii="Times New Roman" w:hAnsi="Times New Roman" w:cs="Times New Roman" w:eastAsiaTheme="majorEastAsia"/>
          <w:sz w:val="18"/>
          <w:szCs w:val="18"/>
        </w:rPr>
        <w:t>11</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7</w:t>
      </w:r>
      <w:r>
        <w:rPr>
          <w:rFonts w:hint="eastAsia" w:asciiTheme="majorEastAsia" w:hAnsiTheme="majorEastAsia" w:eastAsiaTheme="majorEastAsia" w:cstheme="majorEastAsia"/>
          <w:sz w:val="18"/>
          <w:szCs w:val="18"/>
        </w:rPr>
        <w:t>日，</w:t>
      </w:r>
      <w:r>
        <w:rPr>
          <w:rFonts w:hint="default" w:ascii="Times New Roman" w:hAnsi="Times New Roman" w:eastAsia="7" w:cs="Times New Roman"/>
          <w:sz w:val="18"/>
          <w:szCs w:val="18"/>
        </w:rPr>
        <w:t>3</w:t>
      </w:r>
      <w:ins w:id="53" w:author="kylin" w:date="2025-10-17T17:03:38Z">
        <w:r>
          <w:rPr>
            <w:rFonts w:hint="eastAsia" w:eastAsia="7" w:cs="Times New Roman"/>
            <w:sz w:val="18"/>
            <w:szCs w:val="18"/>
            <w:lang w:eastAsia="zh-CN"/>
          </w:rPr>
          <w:t>、</w:t>
        </w:r>
      </w:ins>
      <w:ins w:id="54" w:author="kylin" w:date="2025-10-17T17:03:39Z">
        <w:r>
          <w:rPr>
            <w:rFonts w:hint="eastAsia" w:eastAsia="7" w:cs="Times New Roman"/>
            <w:sz w:val="18"/>
            <w:szCs w:val="18"/>
            <w:lang w:val="en-US" w:eastAsia="zh-CN"/>
          </w:rPr>
          <w:t>5、12</w:t>
        </w:r>
      </w:ins>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b w:val="0"/>
          <w:bCs w:val="0"/>
          <w:sz w:val="18"/>
          <w:szCs w:val="18"/>
        </w:rPr>
        <w:t>8</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4</w:t>
      </w:r>
      <w:del w:id="55" w:author="kylin" w:date="2025-10-17T17:03:44Z">
        <w:r>
          <w:rPr>
            <w:rFonts w:hint="default" w:ascii="Times New Roman" w:hAnsi="Times New Roman" w:cs="Times New Roman" w:eastAsiaTheme="majorEastAsia"/>
            <w:sz w:val="18"/>
            <w:szCs w:val="18"/>
          </w:rPr>
          <w:delText>、12</w:delText>
        </w:r>
      </w:del>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日</w:t>
      </w:r>
      <w:del w:id="56" w:author="kylin" w:date="2025-10-17T17:03:55Z">
        <w:r>
          <w:rPr>
            <w:rFonts w:hint="default" w:ascii="Times New Roman" w:hAnsi="Times New Roman" w:cs="Times New Roman" w:eastAsiaTheme="majorEastAsia"/>
            <w:sz w:val="18"/>
            <w:szCs w:val="18"/>
          </w:rPr>
          <w:delText>12：00</w:delText>
        </w:r>
      </w:del>
      <w:r>
        <w:rPr>
          <w:rFonts w:hint="eastAsia" w:asciiTheme="majorEastAsia" w:hAnsiTheme="majorEastAsia" w:eastAsiaTheme="majorEastAsia" w:cstheme="majorEastAsia"/>
          <w:sz w:val="18"/>
          <w:szCs w:val="18"/>
        </w:rPr>
        <w:t>，</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w:t>
      </w:r>
      <w:del w:id="57" w:author="kylin" w:date="2025-10-17T17:03:51Z">
        <w:r>
          <w:rPr>
            <w:rFonts w:hint="default" w:ascii="Times New Roman" w:hAnsi="Times New Roman" w:cs="Times New Roman" w:eastAsiaTheme="majorEastAsia"/>
            <w:sz w:val="18"/>
            <w:szCs w:val="18"/>
            <w:lang w:val="en-US"/>
          </w:rPr>
          <w:delText>1</w:delText>
        </w:r>
      </w:del>
      <w:ins w:id="58" w:author="kylin" w:date="2025-10-17T17:03:51Z">
        <w:r>
          <w:rPr>
            <w:rFonts w:hint="eastAsia" w:cs="Times New Roman" w:eastAsiaTheme="majorEastAsia"/>
            <w:sz w:val="18"/>
            <w:szCs w:val="18"/>
            <w:lang w:val="en-US" w:eastAsia="zh-CN"/>
          </w:rPr>
          <w:t>2</w:t>
        </w:r>
      </w:ins>
      <w:r>
        <w:rPr>
          <w:rFonts w:hint="eastAsia" w:asciiTheme="majorEastAsia" w:hAnsiTheme="majorEastAsia" w:eastAsiaTheme="majorEastAsia" w:cstheme="majorEastAsia"/>
          <w:sz w:val="18"/>
          <w:szCs w:val="18"/>
        </w:rPr>
        <w:t>日</w:t>
      </w:r>
      <w:ins w:id="59" w:author="kylin" w:date="2025-10-17T17:03:59Z">
        <w:r>
          <w:rPr>
            <w:rFonts w:hint="default" w:ascii="Times New Roman" w:hAnsi="Times New Roman" w:cs="Times New Roman" w:eastAsiaTheme="majorEastAsia"/>
            <w:sz w:val="18"/>
            <w:szCs w:val="18"/>
          </w:rPr>
          <w:t>12：00</w:t>
        </w:r>
      </w:ins>
      <w:del w:id="60" w:author="kylin" w:date="2025-10-17T17:03:59Z">
        <w:r>
          <w:rPr>
            <w:rFonts w:hint="default" w:ascii="Times New Roman" w:hAnsi="Times New Roman" w:cs="Times New Roman" w:eastAsiaTheme="majorEastAsia"/>
            <w:sz w:val="18"/>
            <w:szCs w:val="18"/>
          </w:rPr>
          <w:delText>18:00</w:delText>
        </w:r>
      </w:del>
      <w:r>
        <w:rPr>
          <w:rFonts w:hint="eastAsia" w:asciiTheme="majorEastAsia" w:hAnsiTheme="majorEastAsia" w:eastAsiaTheme="majorEastAsia" w:cstheme="majorEastAsia"/>
          <w:sz w:val="18"/>
          <w:szCs w:val="18"/>
        </w:rPr>
        <w:t>前独立自行网上填报，</w:t>
      </w:r>
      <w:r>
        <w:rPr>
          <w:rFonts w:hint="default" w:ascii="Times New Roman" w:hAnsi="Times New Roman" w:cs="Times New Roman" w:eastAsiaTheme="majorEastAsia"/>
          <w:sz w:val="18"/>
          <w:szCs w:val="18"/>
        </w:rPr>
        <w:t>1</w:t>
      </w:r>
      <w:r>
        <w:rPr>
          <w:rFonts w:hint="eastAsia" w:asciiTheme="majorEastAsia" w:hAnsiTheme="majorEastAsia" w:eastAsiaTheme="majorEastAsia" w:cstheme="majorEastAsia"/>
          <w:sz w:val="18"/>
          <w:szCs w:val="18"/>
        </w:rPr>
        <w:t>月免报；省级统计机构</w:t>
      </w:r>
      <w:r>
        <w:rPr>
          <w:rFonts w:hint="default" w:ascii="Times New Roman" w:hAnsi="Times New Roman" w:cs="Times New Roman" w:eastAsiaTheme="majorEastAsia"/>
          <w:sz w:val="18"/>
          <w:szCs w:val="18"/>
        </w:rPr>
        <w:t>6、8、10、11</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10</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2、3、5、7</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11</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4</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13</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14</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12:00</w:t>
      </w:r>
      <w:r>
        <w:rPr>
          <w:rFonts w:hint="eastAsia" w:asciiTheme="majorEastAsia" w:hAnsiTheme="majorEastAsia" w:eastAsiaTheme="majorEastAsia" w:cstheme="majorEastAsia"/>
          <w:sz w:val="18"/>
          <w:szCs w:val="18"/>
        </w:rPr>
        <w:t>前完成数据审核、验收、上报。</w:t>
      </w:r>
    </w:p>
    <w:p w14:paraId="68080D07">
      <w:pPr>
        <w:spacing w:line="280" w:lineRule="exact"/>
        <w:ind w:left="2062" w:leftChars="245" w:hanging="1548" w:hangingChars="860"/>
        <w:rPr>
          <w:sz w:val="18"/>
          <w:szCs w:val="18"/>
        </w:rPr>
      </w:pPr>
      <w:r>
        <w:rPr>
          <w:sz w:val="18"/>
          <w:szCs w:val="18"/>
        </w:rPr>
        <w:t>3.</w:t>
      </w:r>
      <w:r>
        <w:rPr>
          <w:bCs/>
          <w:spacing w:val="-4"/>
          <w:sz w:val="18"/>
          <w:szCs w:val="18"/>
        </w:rPr>
        <w:t>本表</w:t>
      </w:r>
      <w:r>
        <w:rPr>
          <w:bCs/>
          <w:sz w:val="18"/>
          <w:szCs w:val="18"/>
        </w:rPr>
        <w:t>甲栏下按《</w:t>
      </w:r>
      <w:r>
        <w:rPr>
          <w:rFonts w:hint="eastAsia"/>
          <w:bCs/>
          <w:sz w:val="18"/>
          <w:szCs w:val="18"/>
        </w:rPr>
        <w:t>能源购进、消费与库存和能源加工转换与回收利用目录</w:t>
      </w:r>
      <w:r>
        <w:rPr>
          <w:bCs/>
          <w:spacing w:val="8"/>
          <w:sz w:val="18"/>
          <w:szCs w:val="18"/>
        </w:rPr>
        <w:t>》</w:t>
      </w:r>
      <w:r>
        <w:rPr>
          <w:bCs/>
          <w:sz w:val="18"/>
          <w:szCs w:val="18"/>
        </w:rPr>
        <w:t>填报。</w:t>
      </w:r>
    </w:p>
    <w:p w14:paraId="1853EA27">
      <w:pPr>
        <w:spacing w:line="280" w:lineRule="exact"/>
        <w:ind w:left="639" w:leftChars="245" w:hanging="125" w:hangingChars="70"/>
        <w:jc w:val="left"/>
        <w:rPr>
          <w:sz w:val="18"/>
          <w:szCs w:val="18"/>
        </w:rPr>
      </w:pPr>
      <w:r>
        <w:rPr>
          <w:bCs/>
          <w:sz w:val="18"/>
          <w:szCs w:val="18"/>
        </w:rPr>
        <w:t>4</w:t>
      </w:r>
      <w:r>
        <w:rPr>
          <w:sz w:val="18"/>
          <w:szCs w:val="18"/>
        </w:rPr>
        <w:t>.</w:t>
      </w:r>
      <w:r>
        <w:rPr>
          <w:rFonts w:ascii="宋体" w:hAnsi="宋体"/>
          <w:sz w:val="18"/>
          <w:szCs w:val="18"/>
        </w:rPr>
        <w:t>本</w:t>
      </w:r>
      <w:r>
        <w:rPr>
          <w:rFonts w:hint="eastAsia" w:ascii="宋体" w:hAnsi="宋体"/>
          <w:sz w:val="18"/>
          <w:szCs w:val="18"/>
        </w:rPr>
        <w:t>表中</w:t>
      </w:r>
      <w:r>
        <w:rPr>
          <w:rFonts w:hint="eastAsia" w:ascii="宋体" w:hAnsi="宋体"/>
          <w:sz w:val="18"/>
          <w:szCs w:val="18"/>
          <w:lang w:eastAsia="zh-CN"/>
        </w:rPr>
        <w:t>“</w:t>
      </w:r>
      <w:r>
        <w:rPr>
          <w:rFonts w:hint="eastAsia" w:ascii="宋体" w:hAnsi="宋体"/>
          <w:sz w:val="18"/>
          <w:szCs w:val="18"/>
        </w:rPr>
        <w:t>上年同期</w:t>
      </w:r>
      <w:r>
        <w:rPr>
          <w:rFonts w:hint="eastAsia" w:ascii="宋体" w:hAnsi="宋体"/>
          <w:sz w:val="18"/>
          <w:szCs w:val="18"/>
          <w:lang w:eastAsia="zh-CN"/>
        </w:rPr>
        <w:t>”</w:t>
      </w:r>
      <w:r>
        <w:rPr>
          <w:rFonts w:hint="eastAsia" w:ascii="宋体" w:hAnsi="宋体"/>
          <w:sz w:val="18"/>
          <w:szCs w:val="18"/>
        </w:rPr>
        <w:t>数据统一由国家统计局在数据处理软件中复制，调查单位和各级统计机构原则上不得修改；本</w:t>
      </w:r>
      <w:r>
        <w:rPr>
          <w:rFonts w:hint="eastAsia"/>
          <w:sz w:val="18"/>
          <w:szCs w:val="18"/>
        </w:rPr>
        <w:t>年新增的调查单位自行填报</w:t>
      </w:r>
      <w:r>
        <w:rPr>
          <w:rFonts w:hint="eastAsia" w:ascii="宋体" w:hAnsi="宋体"/>
          <w:sz w:val="18"/>
          <w:szCs w:val="18"/>
          <w:lang w:eastAsia="zh-CN"/>
        </w:rPr>
        <w:t>“</w:t>
      </w:r>
      <w:r>
        <w:rPr>
          <w:rFonts w:hint="eastAsia" w:ascii="宋体" w:hAnsi="宋体"/>
          <w:sz w:val="18"/>
          <w:szCs w:val="18"/>
        </w:rPr>
        <w:t>上年同期</w:t>
      </w:r>
      <w:r>
        <w:rPr>
          <w:rFonts w:hint="eastAsia" w:ascii="宋体" w:hAnsi="宋体"/>
          <w:sz w:val="18"/>
          <w:szCs w:val="18"/>
          <w:lang w:eastAsia="zh-CN"/>
        </w:rPr>
        <w:t>”</w:t>
      </w:r>
      <w:r>
        <w:rPr>
          <w:rFonts w:hint="eastAsia"/>
          <w:sz w:val="18"/>
          <w:szCs w:val="18"/>
        </w:rPr>
        <w:t>数据；涉及兼并、重组等情况的企业，经国家统计局批准后，调查单位可调整同期数；本年新增指标的同期数由调查单位自行填报。</w:t>
      </w:r>
    </w:p>
    <w:p w14:paraId="66A08D0E">
      <w:pPr>
        <w:spacing w:line="280" w:lineRule="exact"/>
        <w:ind w:left="668" w:leftChars="245" w:hanging="154" w:hangingChars="86"/>
        <w:jc w:val="left"/>
        <w:rPr>
          <w:bCs/>
          <w:spacing w:val="-4"/>
          <w:sz w:val="18"/>
          <w:szCs w:val="18"/>
        </w:rPr>
      </w:pPr>
      <w:r>
        <w:rPr>
          <w:bCs/>
          <w:sz w:val="18"/>
          <w:szCs w:val="18"/>
        </w:rPr>
        <w:t>5.</w:t>
      </w:r>
      <w:r>
        <w:rPr>
          <w:bCs/>
          <w:spacing w:val="-4"/>
          <w:sz w:val="18"/>
          <w:szCs w:val="18"/>
        </w:rPr>
        <w:t>综合能源消费量计算方法：</w:t>
      </w:r>
    </w:p>
    <w:p w14:paraId="3038D791">
      <w:pPr>
        <w:spacing w:line="280" w:lineRule="exact"/>
        <w:ind w:firstLine="666" w:firstLineChars="370"/>
        <w:rPr>
          <w:sz w:val="18"/>
          <w:szCs w:val="18"/>
        </w:rPr>
      </w:pPr>
      <w:r>
        <w:rPr>
          <w:sz w:val="18"/>
          <w:szCs w:val="18"/>
        </w:rPr>
        <w:t>(1)没有能源加工转换</w:t>
      </w:r>
      <w:r>
        <w:rPr>
          <w:rFonts w:hint="eastAsia"/>
          <w:sz w:val="18"/>
          <w:szCs w:val="18"/>
        </w:rPr>
        <w:t>和</w:t>
      </w:r>
      <w:r>
        <w:rPr>
          <w:sz w:val="18"/>
          <w:szCs w:val="18"/>
        </w:rPr>
        <w:t>回收利用活动的调查单位：</w:t>
      </w:r>
    </w:p>
    <w:p w14:paraId="2F9B4AD7">
      <w:pPr>
        <w:spacing w:line="280" w:lineRule="exact"/>
        <w:ind w:firstLine="864" w:firstLineChars="480"/>
        <w:rPr>
          <w:sz w:val="18"/>
          <w:szCs w:val="18"/>
        </w:rPr>
      </w:pPr>
      <w:r>
        <w:rPr>
          <w:sz w:val="18"/>
          <w:szCs w:val="18"/>
        </w:rPr>
        <w:t>综合能源消费量(48)=工业生产消费(本表第5列能源合计)</w:t>
      </w:r>
    </w:p>
    <w:p w14:paraId="733385CA">
      <w:pPr>
        <w:spacing w:line="280" w:lineRule="exact"/>
        <w:ind w:left="651" w:leftChars="310"/>
        <w:rPr>
          <w:sz w:val="18"/>
          <w:szCs w:val="18"/>
        </w:rPr>
      </w:pPr>
      <w:r>
        <w:rPr>
          <w:sz w:val="18"/>
          <w:szCs w:val="18"/>
        </w:rPr>
        <w:t>(2)有能源加工转换或回收利用活动的调查单位：</w:t>
      </w:r>
    </w:p>
    <w:p w14:paraId="55E1CAA4">
      <w:pPr>
        <w:spacing w:line="280" w:lineRule="exact"/>
        <w:ind w:left="2516" w:leftChars="410" w:hanging="1655" w:hangingChars="920"/>
        <w:rPr>
          <w:sz w:val="18"/>
          <w:szCs w:val="18"/>
        </w:rPr>
      </w:pPr>
      <w:r>
        <w:rPr>
          <w:sz w:val="18"/>
          <w:szCs w:val="18"/>
        </w:rPr>
        <w:t>综合能源消费量(48)=工业生产消费(本表第5列能源合计)-能源加工转换产出(205-2表第11列能源合计)-回收利用(205-2表第12列能源合计)</w:t>
      </w:r>
    </w:p>
    <w:p w14:paraId="60EE551A">
      <w:pPr>
        <w:spacing w:line="280" w:lineRule="exact"/>
        <w:ind w:left="661" w:leftChars="315" w:firstLine="0" w:firstLineChars="0"/>
        <w:rPr>
          <w:rFonts w:hint="default" w:eastAsia="宋体"/>
          <w:sz w:val="18"/>
          <w:szCs w:val="18"/>
          <w:lang w:val="en-US" w:eastAsia="zh-CN"/>
        </w:rPr>
      </w:pPr>
      <w:r>
        <w:rPr>
          <w:rFonts w:hint="eastAsia"/>
          <w:sz w:val="18"/>
          <w:szCs w:val="18"/>
          <w:lang w:val="en-US" w:eastAsia="zh-CN"/>
        </w:rPr>
        <w:t>注：不计算原煤入洗损耗，下同。</w:t>
      </w:r>
    </w:p>
    <w:p w14:paraId="49F73C14">
      <w:pPr>
        <w:spacing w:line="280" w:lineRule="exact"/>
        <w:ind w:left="668" w:leftChars="245" w:hanging="154" w:hangingChars="86"/>
        <w:jc w:val="left"/>
        <w:rPr>
          <w:bCs/>
          <w:sz w:val="18"/>
          <w:szCs w:val="18"/>
        </w:rPr>
      </w:pPr>
      <w:r>
        <w:rPr>
          <w:rFonts w:hint="eastAsia"/>
          <w:bCs/>
          <w:sz w:val="18"/>
          <w:szCs w:val="18"/>
        </w:rPr>
        <w:t>6.补充资料中的上年同期和本期的综合能源消费量（当月）2月份免报，计算公式：</w:t>
      </w:r>
    </w:p>
    <w:p w14:paraId="4B1D5F6D">
      <w:pPr>
        <w:spacing w:line="280" w:lineRule="exact"/>
        <w:ind w:left="668" w:leftChars="245" w:hanging="154" w:hangingChars="86"/>
        <w:jc w:val="left"/>
        <w:rPr>
          <w:bCs/>
          <w:sz w:val="18"/>
          <w:szCs w:val="18"/>
        </w:rPr>
      </w:pPr>
      <w:r>
        <w:rPr>
          <w:rFonts w:hint="eastAsia"/>
          <w:bCs/>
          <w:sz w:val="18"/>
          <w:szCs w:val="18"/>
        </w:rPr>
        <w:t xml:space="preserve">  </w:t>
      </w:r>
      <w:r>
        <w:rPr>
          <w:bCs/>
          <w:sz w:val="18"/>
          <w:szCs w:val="18"/>
        </w:rPr>
        <w:t>上年同期：综合能源消费量</w:t>
      </w:r>
      <w:r>
        <w:rPr>
          <w:rFonts w:hint="eastAsia"/>
          <w:bCs/>
          <w:sz w:val="18"/>
          <w:szCs w:val="18"/>
        </w:rPr>
        <w:t>（</w:t>
      </w:r>
      <w:r>
        <w:rPr>
          <w:bCs/>
          <w:sz w:val="18"/>
          <w:szCs w:val="18"/>
        </w:rPr>
        <w:t>当月</w:t>
      </w:r>
      <w:r>
        <w:rPr>
          <w:rFonts w:hint="eastAsia"/>
          <w:bCs/>
          <w:sz w:val="18"/>
          <w:szCs w:val="18"/>
        </w:rPr>
        <w:t>）(</w:t>
      </w:r>
      <w:r>
        <w:rPr>
          <w:bCs/>
          <w:sz w:val="18"/>
          <w:szCs w:val="18"/>
        </w:rPr>
        <w:t>42</w:t>
      </w:r>
      <w:r>
        <w:rPr>
          <w:rFonts w:hint="eastAsia"/>
          <w:bCs/>
          <w:sz w:val="18"/>
          <w:szCs w:val="18"/>
        </w:rPr>
        <w:t>)</w:t>
      </w:r>
      <w:r>
        <w:rPr>
          <w:bCs/>
          <w:sz w:val="18"/>
          <w:szCs w:val="18"/>
        </w:rPr>
        <w:t>=本月综合能源消费量</w:t>
      </w:r>
      <w:r>
        <w:rPr>
          <w:rFonts w:hint="eastAsia"/>
          <w:bCs/>
          <w:sz w:val="18"/>
          <w:szCs w:val="18"/>
        </w:rPr>
        <w:t>(</w:t>
      </w:r>
      <w:r>
        <w:rPr>
          <w:bCs/>
          <w:sz w:val="18"/>
          <w:szCs w:val="18"/>
        </w:rPr>
        <w:t>41</w:t>
      </w:r>
      <w:r>
        <w:rPr>
          <w:rFonts w:hint="eastAsia"/>
          <w:bCs/>
          <w:sz w:val="18"/>
          <w:szCs w:val="18"/>
        </w:rPr>
        <w:t>)</w:t>
      </w:r>
      <w:r>
        <w:rPr>
          <w:bCs/>
          <w:sz w:val="18"/>
          <w:szCs w:val="18"/>
        </w:rPr>
        <w:t>-上月综合能源消费量</w:t>
      </w:r>
      <w:r>
        <w:rPr>
          <w:rFonts w:hint="eastAsia"/>
          <w:bCs/>
          <w:sz w:val="18"/>
          <w:szCs w:val="18"/>
        </w:rPr>
        <w:t>(</w:t>
      </w:r>
      <w:r>
        <w:rPr>
          <w:bCs/>
          <w:sz w:val="18"/>
          <w:szCs w:val="18"/>
        </w:rPr>
        <w:t>41</w:t>
      </w:r>
      <w:r>
        <w:rPr>
          <w:rFonts w:hint="eastAsia"/>
          <w:bCs/>
          <w:sz w:val="18"/>
          <w:szCs w:val="18"/>
        </w:rPr>
        <w:t>)</w:t>
      </w:r>
    </w:p>
    <w:p w14:paraId="467488F0">
      <w:pPr>
        <w:spacing w:line="280" w:lineRule="exact"/>
        <w:ind w:left="668" w:leftChars="245" w:hanging="154" w:hangingChars="86"/>
        <w:jc w:val="left"/>
        <w:rPr>
          <w:bCs/>
          <w:sz w:val="18"/>
          <w:szCs w:val="18"/>
        </w:rPr>
      </w:pPr>
      <w:r>
        <w:rPr>
          <w:bCs/>
          <w:sz w:val="18"/>
          <w:szCs w:val="18"/>
        </w:rPr>
        <w:t xml:space="preserve">  本    期：综合能源消费量（当月）</w:t>
      </w:r>
      <w:r>
        <w:rPr>
          <w:rFonts w:hint="eastAsia"/>
          <w:bCs/>
          <w:sz w:val="18"/>
          <w:szCs w:val="18"/>
        </w:rPr>
        <w:t>(</w:t>
      </w:r>
      <w:r>
        <w:rPr>
          <w:bCs/>
          <w:sz w:val="18"/>
          <w:szCs w:val="18"/>
        </w:rPr>
        <w:t>49</w:t>
      </w:r>
      <w:r>
        <w:rPr>
          <w:rFonts w:hint="eastAsia"/>
          <w:bCs/>
          <w:sz w:val="18"/>
          <w:szCs w:val="18"/>
        </w:rPr>
        <w:t>)</w:t>
      </w:r>
      <w:r>
        <w:rPr>
          <w:bCs/>
          <w:sz w:val="18"/>
          <w:szCs w:val="18"/>
        </w:rPr>
        <w:t>=本月综合能源消费量</w:t>
      </w:r>
      <w:r>
        <w:rPr>
          <w:rFonts w:hint="eastAsia"/>
          <w:bCs/>
          <w:sz w:val="18"/>
          <w:szCs w:val="18"/>
        </w:rPr>
        <w:t>(</w:t>
      </w:r>
      <w:r>
        <w:rPr>
          <w:bCs/>
          <w:sz w:val="18"/>
          <w:szCs w:val="18"/>
        </w:rPr>
        <w:t>48</w:t>
      </w:r>
      <w:r>
        <w:rPr>
          <w:rFonts w:hint="eastAsia"/>
          <w:bCs/>
          <w:sz w:val="18"/>
          <w:szCs w:val="18"/>
        </w:rPr>
        <w:t>)</w:t>
      </w:r>
      <w:r>
        <w:rPr>
          <w:bCs/>
          <w:sz w:val="18"/>
          <w:szCs w:val="18"/>
        </w:rPr>
        <w:t>-上月综合能源消费量</w:t>
      </w:r>
      <w:r>
        <w:rPr>
          <w:rFonts w:hint="eastAsia"/>
          <w:bCs/>
          <w:sz w:val="18"/>
          <w:szCs w:val="18"/>
        </w:rPr>
        <w:t>(</w:t>
      </w:r>
      <w:r>
        <w:rPr>
          <w:bCs/>
          <w:sz w:val="18"/>
          <w:szCs w:val="18"/>
        </w:rPr>
        <w:t>48</w:t>
      </w:r>
      <w:r>
        <w:rPr>
          <w:rFonts w:hint="eastAsia"/>
          <w:bCs/>
          <w:sz w:val="18"/>
          <w:szCs w:val="18"/>
        </w:rPr>
        <w:t>)</w:t>
      </w:r>
    </w:p>
    <w:p w14:paraId="57DBE6E6">
      <w:pPr>
        <w:snapToGrid w:val="0"/>
        <w:spacing w:before="480" w:beforeLines="200" w:after="240" w:afterLines="100"/>
        <w:jc w:val="center"/>
        <w:outlineLvl w:val="2"/>
        <w:rPr>
          <w:sz w:val="32"/>
        </w:rPr>
      </w:pPr>
      <w:r>
        <w:br w:type="page"/>
      </w:r>
      <w:r>
        <w:rPr>
          <w:sz w:val="32"/>
        </w:rPr>
        <w:t>能源加工转换与回收利用</w:t>
      </w:r>
    </w:p>
    <w:tbl>
      <w:tblPr>
        <w:tblStyle w:val="20"/>
        <w:tblW w:w="9402" w:type="dxa"/>
        <w:jc w:val="center"/>
        <w:tblLayout w:type="autofit"/>
        <w:tblCellMar>
          <w:top w:w="0" w:type="dxa"/>
          <w:left w:w="0" w:type="dxa"/>
          <w:bottom w:w="0" w:type="dxa"/>
          <w:right w:w="0" w:type="dxa"/>
        </w:tblCellMar>
      </w:tblPr>
      <w:tblGrid>
        <w:gridCol w:w="3181"/>
        <w:gridCol w:w="790"/>
        <w:gridCol w:w="2645"/>
        <w:gridCol w:w="887"/>
        <w:gridCol w:w="1899"/>
      </w:tblGrid>
      <w:tr w14:paraId="5628F5AC">
        <w:tblPrEx>
          <w:tblCellMar>
            <w:top w:w="0" w:type="dxa"/>
            <w:left w:w="0" w:type="dxa"/>
            <w:bottom w:w="0" w:type="dxa"/>
            <w:right w:w="0" w:type="dxa"/>
          </w:tblCellMar>
        </w:tblPrEx>
        <w:trPr>
          <w:jc w:val="center"/>
        </w:trPr>
        <w:tc>
          <w:tcPr>
            <w:tcW w:w="3181" w:type="dxa"/>
          </w:tcPr>
          <w:p w14:paraId="22895C39">
            <w:pPr>
              <w:spacing w:line="260" w:lineRule="exact"/>
              <w:rPr>
                <w:sz w:val="18"/>
                <w:szCs w:val="18"/>
              </w:rPr>
            </w:pPr>
          </w:p>
        </w:tc>
        <w:tc>
          <w:tcPr>
            <w:tcW w:w="790" w:type="dxa"/>
          </w:tcPr>
          <w:p w14:paraId="115AAE41">
            <w:pPr>
              <w:spacing w:line="260" w:lineRule="exact"/>
              <w:rPr>
                <w:sz w:val="18"/>
                <w:szCs w:val="18"/>
              </w:rPr>
            </w:pPr>
          </w:p>
        </w:tc>
        <w:tc>
          <w:tcPr>
            <w:tcW w:w="2645" w:type="dxa"/>
          </w:tcPr>
          <w:p w14:paraId="280CBCD6">
            <w:pPr>
              <w:spacing w:line="260" w:lineRule="exact"/>
              <w:rPr>
                <w:sz w:val="18"/>
                <w:szCs w:val="18"/>
              </w:rPr>
            </w:pPr>
          </w:p>
        </w:tc>
        <w:tc>
          <w:tcPr>
            <w:tcW w:w="887" w:type="dxa"/>
            <w:tcMar>
              <w:left w:w="0" w:type="dxa"/>
              <w:right w:w="0" w:type="dxa"/>
            </w:tcMar>
          </w:tcPr>
          <w:p w14:paraId="318C6ADE">
            <w:pPr>
              <w:spacing w:line="260" w:lineRule="exact"/>
              <w:rPr>
                <w:sz w:val="18"/>
                <w:szCs w:val="18"/>
              </w:rPr>
            </w:pPr>
            <w:r>
              <w:rPr>
                <w:sz w:val="18"/>
                <w:szCs w:val="18"/>
              </w:rPr>
              <w:t>表    号：</w:t>
            </w:r>
          </w:p>
        </w:tc>
        <w:tc>
          <w:tcPr>
            <w:tcW w:w="1899" w:type="dxa"/>
            <w:vAlign w:val="center"/>
          </w:tcPr>
          <w:p w14:paraId="5FBC150B">
            <w:pPr>
              <w:spacing w:line="260" w:lineRule="exact"/>
              <w:jc w:val="distribute"/>
              <w:rPr>
                <w:sz w:val="18"/>
                <w:szCs w:val="18"/>
              </w:rPr>
            </w:pPr>
            <w:r>
              <w:rPr>
                <w:sz w:val="18"/>
                <w:szCs w:val="18"/>
              </w:rPr>
              <w:t>２０５－２表</w:t>
            </w:r>
          </w:p>
        </w:tc>
      </w:tr>
      <w:tr w14:paraId="03BA81A9">
        <w:tblPrEx>
          <w:tblCellMar>
            <w:top w:w="0" w:type="dxa"/>
            <w:left w:w="0" w:type="dxa"/>
            <w:bottom w:w="0" w:type="dxa"/>
            <w:right w:w="0" w:type="dxa"/>
          </w:tblCellMar>
        </w:tblPrEx>
        <w:trPr>
          <w:jc w:val="center"/>
        </w:trPr>
        <w:tc>
          <w:tcPr>
            <w:tcW w:w="6616" w:type="dxa"/>
            <w:gridSpan w:val="3"/>
          </w:tcPr>
          <w:p w14:paraId="57709B99">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887" w:type="dxa"/>
            <w:tcMar>
              <w:left w:w="0" w:type="dxa"/>
              <w:right w:w="0" w:type="dxa"/>
            </w:tcMar>
            <w:vAlign w:val="center"/>
          </w:tcPr>
          <w:p w14:paraId="0C28C652">
            <w:pPr>
              <w:spacing w:line="260" w:lineRule="exact"/>
              <w:rPr>
                <w:sz w:val="18"/>
                <w:szCs w:val="18"/>
              </w:rPr>
            </w:pPr>
            <w:r>
              <w:rPr>
                <w:sz w:val="18"/>
                <w:szCs w:val="18"/>
              </w:rPr>
              <w:t>制定机关：</w:t>
            </w:r>
          </w:p>
        </w:tc>
        <w:tc>
          <w:tcPr>
            <w:tcW w:w="1899" w:type="dxa"/>
            <w:vAlign w:val="center"/>
          </w:tcPr>
          <w:p w14:paraId="5A23655C">
            <w:pPr>
              <w:spacing w:line="260" w:lineRule="exact"/>
              <w:jc w:val="distribute"/>
              <w:rPr>
                <w:sz w:val="18"/>
                <w:szCs w:val="18"/>
              </w:rPr>
            </w:pPr>
            <w:r>
              <w:rPr>
                <w:sz w:val="18"/>
                <w:szCs w:val="18"/>
              </w:rPr>
              <w:t>国 家 统 计 局</w:t>
            </w:r>
          </w:p>
        </w:tc>
      </w:tr>
      <w:tr w14:paraId="0C2B1845">
        <w:tblPrEx>
          <w:tblCellMar>
            <w:top w:w="0" w:type="dxa"/>
            <w:left w:w="0" w:type="dxa"/>
            <w:bottom w:w="0" w:type="dxa"/>
            <w:right w:w="0" w:type="dxa"/>
          </w:tblCellMar>
        </w:tblPrEx>
        <w:trPr>
          <w:jc w:val="center"/>
        </w:trPr>
        <w:tc>
          <w:tcPr>
            <w:tcW w:w="6616" w:type="dxa"/>
            <w:gridSpan w:val="3"/>
          </w:tcPr>
          <w:p w14:paraId="06087A36">
            <w:pPr>
              <w:spacing w:line="260" w:lineRule="exact"/>
              <w:rPr>
                <w:rFonts w:hint="eastAsia" w:eastAsia="宋体"/>
                <w:sz w:val="18"/>
                <w:szCs w:val="18"/>
                <w:lang w:eastAsia="zh-CN"/>
              </w:rPr>
            </w:pPr>
          </w:p>
        </w:tc>
        <w:tc>
          <w:tcPr>
            <w:tcW w:w="887" w:type="dxa"/>
            <w:tcMar>
              <w:left w:w="0" w:type="dxa"/>
              <w:right w:w="0" w:type="dxa"/>
            </w:tcMar>
            <w:vAlign w:val="center"/>
          </w:tcPr>
          <w:p w14:paraId="2E84592D">
            <w:pPr>
              <w:spacing w:line="260" w:lineRule="exact"/>
              <w:rPr>
                <w:sz w:val="18"/>
                <w:szCs w:val="18"/>
              </w:rPr>
            </w:pPr>
            <w:r>
              <w:rPr>
                <w:sz w:val="18"/>
                <w:szCs w:val="18"/>
              </w:rPr>
              <w:t>文    号：</w:t>
            </w:r>
          </w:p>
        </w:tc>
        <w:tc>
          <w:tcPr>
            <w:tcW w:w="1899" w:type="dxa"/>
            <w:vAlign w:val="center"/>
          </w:tcPr>
          <w:p w14:paraId="47594157">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61" w:author="kylin" w:date="2025-10-17T16:17:21Z">
              <w:r>
                <w:rPr>
                  <w:rFonts w:hint="default" w:ascii="宋体" w:hAnsi="宋体"/>
                  <w:spacing w:val="-16"/>
                  <w:sz w:val="18"/>
                  <w:szCs w:val="18"/>
                  <w:lang w:val="en-US" w:eastAsia="zh-CN"/>
                </w:rPr>
                <w:delText>４</w:delText>
              </w:r>
            </w:del>
            <w:ins w:id="62" w:author="kylin" w:date="2025-10-17T16:17:21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63" w:author="kylin" w:date="2025-10-17T16:17:24Z">
              <w:r>
                <w:rPr>
                  <w:rFonts w:hint="default" w:ascii="宋体" w:hAnsi="宋体"/>
                  <w:spacing w:val="-16"/>
                  <w:sz w:val="18"/>
                  <w:szCs w:val="18"/>
                  <w:lang w:val="en-US" w:eastAsia="zh-CN"/>
                </w:rPr>
                <w:delText>77</w:delText>
              </w:r>
            </w:del>
            <w:ins w:id="64" w:author="kylin" w:date="2025-10-17T16:17:24Z">
              <w:r>
                <w:rPr>
                  <w:rFonts w:hint="eastAsia" w:ascii="宋体" w:hAnsi="宋体"/>
                  <w:spacing w:val="-16"/>
                  <w:sz w:val="18"/>
                  <w:szCs w:val="18"/>
                  <w:lang w:val="en-US" w:eastAsia="zh-CN"/>
                </w:rPr>
                <w:t>8</w:t>
              </w:r>
            </w:ins>
            <w:ins w:id="65" w:author="kylin" w:date="2025-10-17T16:17:25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1AECF074">
        <w:tblPrEx>
          <w:tblCellMar>
            <w:top w:w="0" w:type="dxa"/>
            <w:left w:w="0" w:type="dxa"/>
            <w:bottom w:w="0" w:type="dxa"/>
            <w:right w:w="0" w:type="dxa"/>
          </w:tblCellMar>
        </w:tblPrEx>
        <w:trPr>
          <w:jc w:val="center"/>
        </w:trPr>
        <w:tc>
          <w:tcPr>
            <w:tcW w:w="3181" w:type="dxa"/>
          </w:tcPr>
          <w:p w14:paraId="1910B8D9">
            <w:pPr>
              <w:spacing w:line="260" w:lineRule="exact"/>
              <w:rPr>
                <w:sz w:val="18"/>
                <w:szCs w:val="18"/>
              </w:rPr>
            </w:pPr>
            <w:r>
              <w:rPr>
                <w:sz w:val="18"/>
              </w:rPr>
              <w:t>单位详细名称：</w:t>
            </w:r>
          </w:p>
        </w:tc>
        <w:tc>
          <w:tcPr>
            <w:tcW w:w="790" w:type="dxa"/>
          </w:tcPr>
          <w:p w14:paraId="22C00CD1">
            <w:pPr>
              <w:spacing w:line="260" w:lineRule="exact"/>
              <w:rPr>
                <w:sz w:val="18"/>
                <w:szCs w:val="18"/>
              </w:rPr>
            </w:pPr>
          </w:p>
        </w:tc>
        <w:tc>
          <w:tcPr>
            <w:tcW w:w="2645" w:type="dxa"/>
          </w:tcPr>
          <w:p w14:paraId="128638A1">
            <w:pPr>
              <w:spacing w:line="260" w:lineRule="exact"/>
              <w:rPr>
                <w:sz w:val="18"/>
                <w:szCs w:val="18"/>
              </w:rPr>
            </w:pPr>
            <w:r>
              <w:rPr>
                <w:sz w:val="18"/>
                <w:szCs w:val="18"/>
              </w:rPr>
              <w:t>２０　　年</w:t>
            </w:r>
            <w:r>
              <w:rPr>
                <w:rFonts w:hint="eastAsia"/>
                <w:sz w:val="18"/>
                <w:szCs w:val="18"/>
              </w:rPr>
              <w:t>　１</w:t>
            </w:r>
            <w:r>
              <w:rPr>
                <w:sz w:val="18"/>
                <w:szCs w:val="18"/>
              </w:rPr>
              <w:t>－　月</w:t>
            </w:r>
          </w:p>
        </w:tc>
        <w:tc>
          <w:tcPr>
            <w:tcW w:w="887" w:type="dxa"/>
            <w:tcMar>
              <w:left w:w="0" w:type="dxa"/>
              <w:right w:w="0" w:type="dxa"/>
            </w:tcMar>
            <w:vAlign w:val="center"/>
          </w:tcPr>
          <w:p w14:paraId="74AE3DE7">
            <w:pPr>
              <w:spacing w:line="260" w:lineRule="exact"/>
              <w:rPr>
                <w:sz w:val="18"/>
                <w:szCs w:val="18"/>
              </w:rPr>
            </w:pPr>
            <w:r>
              <w:rPr>
                <w:sz w:val="18"/>
                <w:szCs w:val="18"/>
              </w:rPr>
              <w:t>有效期至：</w:t>
            </w:r>
          </w:p>
        </w:tc>
        <w:tc>
          <w:tcPr>
            <w:tcW w:w="1899" w:type="dxa"/>
            <w:vAlign w:val="center"/>
          </w:tcPr>
          <w:p w14:paraId="01761CAF">
            <w:pPr>
              <w:spacing w:line="260" w:lineRule="exact"/>
              <w:jc w:val="distribute"/>
              <w:rPr>
                <w:rFonts w:hint="default" w:eastAsia="宋体"/>
                <w:sz w:val="18"/>
                <w:szCs w:val="18"/>
                <w:lang w:val="en-US" w:eastAsia="zh-CN"/>
              </w:rPr>
            </w:pPr>
            <w:r>
              <w:rPr>
                <w:rFonts w:hint="default"/>
                <w:sz w:val="18"/>
                <w:szCs w:val="18"/>
                <w:lang w:val="en-US" w:eastAsia="zh-CN"/>
              </w:rPr>
              <w:t>２０２</w:t>
            </w:r>
            <w:del w:id="66" w:author="kylin" w:date="2025-10-17T16:17:27Z">
              <w:r>
                <w:rPr>
                  <w:rFonts w:hint="default"/>
                  <w:sz w:val="18"/>
                  <w:szCs w:val="18"/>
                  <w:lang w:val="en-US" w:eastAsia="zh-CN"/>
                </w:rPr>
                <w:delText>６</w:delText>
              </w:r>
            </w:del>
            <w:ins w:id="67" w:author="kylin" w:date="2025-10-17T16:17:27Z">
              <w:r>
                <w:rPr>
                  <w:rFonts w:hint="eastAsia"/>
                  <w:sz w:val="18"/>
                  <w:szCs w:val="18"/>
                  <w:lang w:val="en-US" w:eastAsia="zh-CN"/>
                </w:rPr>
                <w:t>7</w:t>
              </w:r>
            </w:ins>
            <w:r>
              <w:rPr>
                <w:rFonts w:hint="default"/>
                <w:sz w:val="18"/>
                <w:szCs w:val="18"/>
                <w:lang w:val="en-US" w:eastAsia="zh-CN"/>
              </w:rPr>
              <w:t>年１月</w:t>
            </w:r>
          </w:p>
        </w:tc>
      </w:tr>
    </w:tbl>
    <w:p w14:paraId="22B07A98">
      <w:pPr>
        <w:spacing w:line="20" w:lineRule="exact"/>
        <w:rPr>
          <w:sz w:val="18"/>
          <w:szCs w:val="18"/>
        </w:rPr>
      </w:pPr>
    </w:p>
    <w:tbl>
      <w:tblPr>
        <w:tblStyle w:val="20"/>
        <w:tblW w:w="5000" w:type="pct"/>
        <w:jc w:val="center"/>
        <w:tblLayout w:type="autofit"/>
        <w:tblCellMar>
          <w:top w:w="0" w:type="dxa"/>
          <w:left w:w="0" w:type="dxa"/>
          <w:bottom w:w="0" w:type="dxa"/>
          <w:right w:w="0" w:type="dxa"/>
        </w:tblCellMar>
      </w:tblPr>
      <w:tblGrid>
        <w:gridCol w:w="1431"/>
        <w:gridCol w:w="563"/>
        <w:gridCol w:w="563"/>
        <w:gridCol w:w="640"/>
        <w:gridCol w:w="640"/>
        <w:gridCol w:w="553"/>
        <w:gridCol w:w="553"/>
        <w:gridCol w:w="553"/>
        <w:gridCol w:w="553"/>
        <w:gridCol w:w="553"/>
        <w:gridCol w:w="553"/>
        <w:gridCol w:w="553"/>
        <w:gridCol w:w="553"/>
        <w:gridCol w:w="583"/>
        <w:gridCol w:w="568"/>
      </w:tblGrid>
      <w:tr w14:paraId="0F06F8A7">
        <w:tblPrEx>
          <w:tblCellMar>
            <w:top w:w="0" w:type="dxa"/>
            <w:left w:w="0" w:type="dxa"/>
            <w:bottom w:w="0" w:type="dxa"/>
            <w:right w:w="0" w:type="dxa"/>
          </w:tblCellMar>
        </w:tblPrEx>
        <w:trPr>
          <w:cantSplit/>
          <w:trHeight w:val="283" w:hRule="atLeast"/>
          <w:jc w:val="center"/>
        </w:trPr>
        <w:tc>
          <w:tcPr>
            <w:tcW w:w="760" w:type="pct"/>
            <w:vMerge w:val="restart"/>
            <w:tcBorders>
              <w:top w:val="single" w:color="auto" w:sz="8" w:space="0"/>
              <w:left w:val="nil"/>
              <w:bottom w:val="single" w:color="auto" w:sz="2" w:space="0"/>
              <w:right w:val="single" w:color="auto" w:sz="2" w:space="0"/>
            </w:tcBorders>
            <w:shd w:val="clear" w:color="auto" w:fill="auto"/>
            <w:vAlign w:val="center"/>
          </w:tcPr>
          <w:p w14:paraId="04EAD06E">
            <w:pPr>
              <w:widowControl/>
              <w:adjustRightInd w:val="0"/>
              <w:jc w:val="center"/>
              <w:rPr>
                <w:sz w:val="18"/>
                <w:szCs w:val="18"/>
              </w:rPr>
            </w:pPr>
            <w:r>
              <w:rPr>
                <w:sz w:val="18"/>
                <w:szCs w:val="18"/>
              </w:rPr>
              <w:t>能源名称</w:t>
            </w:r>
          </w:p>
        </w:tc>
        <w:tc>
          <w:tcPr>
            <w:tcW w:w="299"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0E7A013F">
            <w:pPr>
              <w:adjustRightInd w:val="0"/>
              <w:jc w:val="center"/>
              <w:rPr>
                <w:sz w:val="18"/>
                <w:szCs w:val="18"/>
              </w:rPr>
            </w:pPr>
            <w:r>
              <w:rPr>
                <w:sz w:val="18"/>
                <w:szCs w:val="18"/>
              </w:rPr>
              <w:t>计量  单位</w:t>
            </w:r>
          </w:p>
        </w:tc>
        <w:tc>
          <w:tcPr>
            <w:tcW w:w="299"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09B85FDC">
            <w:pPr>
              <w:widowControl/>
              <w:adjustRightInd w:val="0"/>
              <w:jc w:val="center"/>
              <w:rPr>
                <w:sz w:val="18"/>
                <w:szCs w:val="18"/>
              </w:rPr>
            </w:pPr>
            <w:r>
              <w:rPr>
                <w:sz w:val="18"/>
                <w:szCs w:val="18"/>
              </w:rPr>
              <w:t>代码</w:t>
            </w:r>
          </w:p>
        </w:tc>
        <w:tc>
          <w:tcPr>
            <w:tcW w:w="340" w:type="pct"/>
            <w:vMerge w:val="restart"/>
            <w:tcBorders>
              <w:top w:val="single" w:color="auto" w:sz="8" w:space="0"/>
              <w:left w:val="single" w:color="auto" w:sz="2" w:space="0"/>
              <w:bottom w:val="single" w:color="auto" w:sz="2" w:space="0"/>
            </w:tcBorders>
            <w:shd w:val="clear" w:color="auto" w:fill="auto"/>
            <w:vAlign w:val="center"/>
          </w:tcPr>
          <w:p w14:paraId="0915A07F">
            <w:pPr>
              <w:adjustRightInd w:val="0"/>
              <w:jc w:val="center"/>
              <w:rPr>
                <w:sz w:val="18"/>
                <w:szCs w:val="18"/>
              </w:rPr>
            </w:pPr>
            <w:r>
              <w:rPr>
                <w:sz w:val="18"/>
                <w:szCs w:val="18"/>
              </w:rPr>
              <w:t>工  业      生  产  消费量</w:t>
            </w:r>
          </w:p>
        </w:tc>
        <w:tc>
          <w:tcPr>
            <w:tcW w:w="2690" w:type="pct"/>
            <w:gridSpan w:val="9"/>
            <w:tcBorders>
              <w:top w:val="single" w:color="auto" w:sz="8" w:space="0"/>
              <w:bottom w:val="single" w:color="auto" w:sz="2" w:space="0"/>
              <w:right w:val="single" w:color="auto" w:sz="2" w:space="0"/>
            </w:tcBorders>
            <w:shd w:val="clear" w:color="auto" w:fill="auto"/>
            <w:vAlign w:val="center"/>
          </w:tcPr>
          <w:p w14:paraId="534556F2">
            <w:pPr>
              <w:adjustRightInd w:val="0"/>
              <w:jc w:val="center"/>
              <w:rPr>
                <w:sz w:val="18"/>
                <w:szCs w:val="18"/>
              </w:rPr>
            </w:pPr>
          </w:p>
        </w:tc>
        <w:tc>
          <w:tcPr>
            <w:tcW w:w="309"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79CD22EE">
            <w:pPr>
              <w:adjustRightInd w:val="0"/>
              <w:jc w:val="center"/>
              <w:rPr>
                <w:sz w:val="18"/>
                <w:szCs w:val="18"/>
              </w:rPr>
            </w:pPr>
            <w:r>
              <w:rPr>
                <w:sz w:val="18"/>
                <w:szCs w:val="18"/>
              </w:rPr>
              <w:t>能源加工转换产  出</w:t>
            </w:r>
          </w:p>
        </w:tc>
        <w:tc>
          <w:tcPr>
            <w:tcW w:w="304" w:type="pct"/>
            <w:vMerge w:val="restart"/>
            <w:tcBorders>
              <w:top w:val="single" w:color="auto" w:sz="8" w:space="0"/>
              <w:left w:val="single" w:color="auto" w:sz="2" w:space="0"/>
              <w:bottom w:val="single" w:color="auto" w:sz="2" w:space="0"/>
              <w:right w:val="nil"/>
            </w:tcBorders>
            <w:shd w:val="clear" w:color="auto" w:fill="auto"/>
            <w:vAlign w:val="center"/>
          </w:tcPr>
          <w:p w14:paraId="4CAE69E1">
            <w:pPr>
              <w:adjustRightInd w:val="0"/>
              <w:jc w:val="center"/>
              <w:rPr>
                <w:sz w:val="18"/>
                <w:szCs w:val="18"/>
              </w:rPr>
            </w:pPr>
            <w:r>
              <w:rPr>
                <w:sz w:val="18"/>
                <w:szCs w:val="18"/>
              </w:rPr>
              <w:t>回收</w:t>
            </w:r>
          </w:p>
          <w:p w14:paraId="5932295C">
            <w:pPr>
              <w:adjustRightInd w:val="0"/>
              <w:jc w:val="center"/>
              <w:rPr>
                <w:sz w:val="18"/>
                <w:szCs w:val="18"/>
              </w:rPr>
            </w:pPr>
            <w:r>
              <w:rPr>
                <w:sz w:val="18"/>
                <w:szCs w:val="18"/>
              </w:rPr>
              <w:t>利用</w:t>
            </w:r>
          </w:p>
        </w:tc>
      </w:tr>
      <w:tr w14:paraId="190F2E60">
        <w:tblPrEx>
          <w:tblCellMar>
            <w:top w:w="0" w:type="dxa"/>
            <w:left w:w="0" w:type="dxa"/>
            <w:bottom w:w="0" w:type="dxa"/>
            <w:right w:w="0" w:type="dxa"/>
          </w:tblCellMar>
        </w:tblPrEx>
        <w:trPr>
          <w:cantSplit/>
          <w:trHeight w:val="283" w:hRule="atLeast"/>
          <w:jc w:val="center"/>
        </w:trPr>
        <w:tc>
          <w:tcPr>
            <w:tcW w:w="760" w:type="pct"/>
            <w:vMerge w:val="continue"/>
            <w:tcBorders>
              <w:top w:val="single" w:color="auto" w:sz="2" w:space="0"/>
              <w:left w:val="nil"/>
              <w:bottom w:val="single" w:color="auto" w:sz="2" w:space="0"/>
              <w:right w:val="single" w:color="auto" w:sz="2" w:space="0"/>
            </w:tcBorders>
            <w:shd w:val="clear" w:color="auto" w:fill="auto"/>
            <w:vAlign w:val="center"/>
          </w:tcPr>
          <w:p w14:paraId="1F608FDB">
            <w:pPr>
              <w:widowControl/>
              <w:jc w:val="left"/>
              <w:rPr>
                <w:sz w:val="18"/>
                <w:szCs w:val="18"/>
              </w:rPr>
            </w:p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369F075">
            <w:pPr>
              <w:widowControl/>
              <w:jc w:val="left"/>
              <w:rPr>
                <w:sz w:val="18"/>
                <w:szCs w:val="18"/>
              </w:rPr>
            </w:p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7F7C46D">
            <w:pPr>
              <w:widowControl/>
              <w:jc w:val="left"/>
              <w:rPr>
                <w:sz w:val="18"/>
                <w:szCs w:val="18"/>
              </w:rPr>
            </w:pPr>
          </w:p>
        </w:tc>
        <w:tc>
          <w:tcPr>
            <w:tcW w:w="34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87E9FC7">
            <w:pPr>
              <w:widowControl/>
              <w:jc w:val="left"/>
              <w:rPr>
                <w:sz w:val="18"/>
                <w:szCs w:val="18"/>
              </w:rPr>
            </w:pPr>
          </w:p>
        </w:tc>
        <w:tc>
          <w:tcPr>
            <w:tcW w:w="340" w:type="pct"/>
            <w:vMerge w:val="restart"/>
            <w:tcBorders>
              <w:top w:val="single" w:color="auto" w:sz="2" w:space="0"/>
              <w:left w:val="single" w:color="auto" w:sz="2" w:space="0"/>
              <w:bottom w:val="single" w:color="auto" w:sz="2" w:space="0"/>
            </w:tcBorders>
            <w:shd w:val="clear" w:color="auto" w:fill="auto"/>
            <w:vAlign w:val="center"/>
          </w:tcPr>
          <w:p w14:paraId="62451D0C">
            <w:pPr>
              <w:widowControl/>
              <w:adjustRightInd w:val="0"/>
              <w:jc w:val="center"/>
              <w:rPr>
                <w:spacing w:val="-10"/>
                <w:sz w:val="18"/>
                <w:szCs w:val="18"/>
              </w:rPr>
            </w:pPr>
            <w:r>
              <w:rPr>
                <w:spacing w:val="-10"/>
                <w:sz w:val="18"/>
                <w:szCs w:val="18"/>
              </w:rPr>
              <w:t>加工转  换投入  合  计</w:t>
            </w:r>
          </w:p>
        </w:tc>
        <w:tc>
          <w:tcPr>
            <w:tcW w:w="2350" w:type="pct"/>
            <w:gridSpan w:val="8"/>
            <w:tcBorders>
              <w:top w:val="single" w:color="auto" w:sz="2" w:space="0"/>
              <w:bottom w:val="single" w:color="auto" w:sz="2" w:space="0"/>
              <w:right w:val="single" w:color="auto" w:sz="2" w:space="0"/>
            </w:tcBorders>
            <w:shd w:val="clear" w:color="auto" w:fill="auto"/>
            <w:vAlign w:val="center"/>
          </w:tcPr>
          <w:p w14:paraId="2DA3E1BE">
            <w:pPr>
              <w:adjustRightInd w:val="0"/>
              <w:jc w:val="center"/>
              <w:rPr>
                <w:spacing w:val="-10"/>
                <w:sz w:val="18"/>
                <w:szCs w:val="18"/>
              </w:rPr>
            </w:pPr>
          </w:p>
        </w:tc>
        <w:tc>
          <w:tcPr>
            <w:tcW w:w="30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EF26B13">
            <w:pPr>
              <w:widowControl/>
              <w:jc w:val="left"/>
              <w:rPr>
                <w:sz w:val="18"/>
                <w:szCs w:val="18"/>
              </w:rPr>
            </w:pPr>
          </w:p>
        </w:tc>
        <w:tc>
          <w:tcPr>
            <w:tcW w:w="304" w:type="pct"/>
            <w:vMerge w:val="continue"/>
            <w:tcBorders>
              <w:top w:val="single" w:color="auto" w:sz="2" w:space="0"/>
              <w:left w:val="single" w:color="auto" w:sz="2" w:space="0"/>
              <w:bottom w:val="single" w:color="auto" w:sz="2" w:space="0"/>
              <w:right w:val="nil"/>
            </w:tcBorders>
            <w:shd w:val="clear" w:color="auto" w:fill="auto"/>
            <w:vAlign w:val="center"/>
          </w:tcPr>
          <w:p w14:paraId="4E9EC5D5">
            <w:pPr>
              <w:widowControl/>
              <w:jc w:val="left"/>
              <w:rPr>
                <w:sz w:val="18"/>
                <w:szCs w:val="18"/>
              </w:rPr>
            </w:pPr>
          </w:p>
        </w:tc>
      </w:tr>
      <w:tr w14:paraId="6CBABFD9">
        <w:tblPrEx>
          <w:tblCellMar>
            <w:top w:w="0" w:type="dxa"/>
            <w:left w:w="0" w:type="dxa"/>
            <w:bottom w:w="0" w:type="dxa"/>
            <w:right w:w="0" w:type="dxa"/>
          </w:tblCellMar>
        </w:tblPrEx>
        <w:trPr>
          <w:cantSplit/>
          <w:trHeight w:val="851" w:hRule="atLeast"/>
          <w:jc w:val="center"/>
        </w:trPr>
        <w:tc>
          <w:tcPr>
            <w:tcW w:w="760" w:type="pct"/>
            <w:vMerge w:val="continue"/>
            <w:tcBorders>
              <w:top w:val="single" w:color="auto" w:sz="2" w:space="0"/>
              <w:left w:val="nil"/>
              <w:bottom w:val="single" w:color="auto" w:sz="2" w:space="0"/>
              <w:right w:val="single" w:color="auto" w:sz="2" w:space="0"/>
            </w:tcBorders>
            <w:shd w:val="clear" w:color="auto" w:fill="auto"/>
            <w:vAlign w:val="center"/>
          </w:tcPr>
          <w:p w14:paraId="04734BE5">
            <w:pPr>
              <w:widowControl/>
              <w:jc w:val="left"/>
              <w:rPr>
                <w:sz w:val="18"/>
                <w:szCs w:val="18"/>
              </w:rPr>
            </w:p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FC70194">
            <w:pPr>
              <w:widowControl/>
              <w:jc w:val="left"/>
              <w:rPr>
                <w:sz w:val="18"/>
                <w:szCs w:val="18"/>
              </w:rPr>
            </w:pPr>
          </w:p>
        </w:tc>
        <w:tc>
          <w:tcPr>
            <w:tcW w:w="29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D387CC9">
            <w:pPr>
              <w:widowControl/>
              <w:jc w:val="left"/>
              <w:rPr>
                <w:sz w:val="18"/>
                <w:szCs w:val="18"/>
              </w:rPr>
            </w:pPr>
          </w:p>
        </w:tc>
        <w:tc>
          <w:tcPr>
            <w:tcW w:w="34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B29EF75">
            <w:pPr>
              <w:widowControl/>
              <w:jc w:val="left"/>
              <w:rPr>
                <w:sz w:val="18"/>
                <w:szCs w:val="18"/>
              </w:rPr>
            </w:pPr>
          </w:p>
        </w:tc>
        <w:tc>
          <w:tcPr>
            <w:tcW w:w="34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2954802">
            <w:pPr>
              <w:widowControl/>
              <w:jc w:val="left"/>
              <w:rPr>
                <w:spacing w:val="-10"/>
                <w:sz w:val="18"/>
                <w:szCs w:val="18"/>
              </w:rPr>
            </w:pP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21BA67C">
            <w:pPr>
              <w:widowControl/>
              <w:adjustRightInd w:val="0"/>
              <w:jc w:val="center"/>
              <w:rPr>
                <w:spacing w:val="-10"/>
                <w:sz w:val="18"/>
                <w:szCs w:val="18"/>
              </w:rPr>
            </w:pPr>
            <w:r>
              <w:rPr>
                <w:spacing w:val="-10"/>
                <w:sz w:val="18"/>
                <w:szCs w:val="18"/>
              </w:rPr>
              <w:t>火力   发电</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20BD14E3">
            <w:pPr>
              <w:adjustRightInd w:val="0"/>
              <w:jc w:val="center"/>
              <w:rPr>
                <w:spacing w:val="-10"/>
                <w:sz w:val="18"/>
                <w:szCs w:val="18"/>
              </w:rPr>
            </w:pPr>
            <w:r>
              <w:rPr>
                <w:spacing w:val="-10"/>
                <w:sz w:val="18"/>
                <w:szCs w:val="18"/>
              </w:rPr>
              <w:t>供热</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01B2849">
            <w:pPr>
              <w:adjustRightInd w:val="0"/>
              <w:jc w:val="center"/>
              <w:rPr>
                <w:spacing w:val="-10"/>
                <w:sz w:val="18"/>
                <w:szCs w:val="18"/>
              </w:rPr>
            </w:pPr>
            <w:r>
              <w:rPr>
                <w:spacing w:val="-10"/>
                <w:sz w:val="18"/>
                <w:szCs w:val="18"/>
              </w:rPr>
              <w:t>原煤   入洗</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918F549">
            <w:pPr>
              <w:adjustRightInd w:val="0"/>
              <w:jc w:val="center"/>
              <w:rPr>
                <w:spacing w:val="-10"/>
                <w:sz w:val="18"/>
                <w:szCs w:val="18"/>
              </w:rPr>
            </w:pPr>
            <w:r>
              <w:rPr>
                <w:spacing w:val="-10"/>
                <w:sz w:val="18"/>
                <w:szCs w:val="18"/>
              </w:rPr>
              <w:t>炼焦</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32B810D">
            <w:pPr>
              <w:adjustRightInd w:val="0"/>
              <w:jc w:val="center"/>
              <w:rPr>
                <w:spacing w:val="-10"/>
                <w:sz w:val="18"/>
                <w:szCs w:val="18"/>
              </w:rPr>
            </w:pPr>
            <w:r>
              <w:rPr>
                <w:spacing w:val="-10"/>
                <w:sz w:val="18"/>
                <w:szCs w:val="18"/>
              </w:rPr>
              <w:t>炼油及</w:t>
            </w:r>
          </w:p>
          <w:p w14:paraId="5F20747A">
            <w:pPr>
              <w:adjustRightInd w:val="0"/>
              <w:jc w:val="center"/>
              <w:rPr>
                <w:spacing w:val="-10"/>
                <w:sz w:val="18"/>
                <w:szCs w:val="18"/>
              </w:rPr>
            </w:pPr>
            <w:r>
              <w:rPr>
                <w:spacing w:val="-10"/>
                <w:sz w:val="18"/>
                <w:szCs w:val="18"/>
              </w:rPr>
              <w:t>煤制油</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493EBC0">
            <w:pPr>
              <w:adjustRightInd w:val="0"/>
              <w:jc w:val="center"/>
              <w:rPr>
                <w:spacing w:val="-10"/>
                <w:sz w:val="18"/>
                <w:szCs w:val="18"/>
              </w:rPr>
            </w:pPr>
            <w:r>
              <w:rPr>
                <w:spacing w:val="-10"/>
                <w:sz w:val="18"/>
                <w:szCs w:val="18"/>
              </w:rPr>
              <w:t>制气</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3117498">
            <w:pPr>
              <w:adjustRightInd w:val="0"/>
              <w:jc w:val="center"/>
              <w:rPr>
                <w:spacing w:val="-10"/>
                <w:sz w:val="18"/>
                <w:szCs w:val="18"/>
              </w:rPr>
            </w:pPr>
            <w:r>
              <w:rPr>
                <w:sz w:val="18"/>
                <w:szCs w:val="18"/>
              </w:rPr>
              <w:t>天然气</w:t>
            </w:r>
            <w:r>
              <w:rPr>
                <w:spacing w:val="-10"/>
                <w:sz w:val="18"/>
                <w:szCs w:val="18"/>
              </w:rPr>
              <w:t>液   化</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6B0686F5">
            <w:pPr>
              <w:adjustRightInd w:val="0"/>
              <w:jc w:val="center"/>
              <w:rPr>
                <w:spacing w:val="-10"/>
                <w:sz w:val="18"/>
                <w:szCs w:val="18"/>
              </w:rPr>
            </w:pPr>
          </w:p>
          <w:p w14:paraId="0CCE2AE8">
            <w:pPr>
              <w:adjustRightInd w:val="0"/>
              <w:jc w:val="center"/>
              <w:rPr>
                <w:spacing w:val="-10"/>
                <w:sz w:val="18"/>
                <w:szCs w:val="18"/>
              </w:rPr>
            </w:pPr>
            <w:r>
              <w:rPr>
                <w:spacing w:val="-10"/>
                <w:sz w:val="18"/>
                <w:szCs w:val="18"/>
              </w:rPr>
              <w:t>煤制品加  工</w:t>
            </w:r>
          </w:p>
          <w:p w14:paraId="7D25966A">
            <w:pPr>
              <w:adjustRightInd w:val="0"/>
              <w:jc w:val="center"/>
              <w:rPr>
                <w:spacing w:val="-10"/>
                <w:sz w:val="18"/>
                <w:szCs w:val="18"/>
              </w:rPr>
            </w:pPr>
          </w:p>
        </w:tc>
        <w:tc>
          <w:tcPr>
            <w:tcW w:w="309"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E8ED3A5">
            <w:pPr>
              <w:widowControl/>
              <w:jc w:val="left"/>
              <w:rPr>
                <w:sz w:val="18"/>
                <w:szCs w:val="18"/>
              </w:rPr>
            </w:pPr>
          </w:p>
        </w:tc>
        <w:tc>
          <w:tcPr>
            <w:tcW w:w="304" w:type="pct"/>
            <w:vMerge w:val="continue"/>
            <w:tcBorders>
              <w:top w:val="single" w:color="auto" w:sz="2" w:space="0"/>
              <w:left w:val="single" w:color="auto" w:sz="2" w:space="0"/>
              <w:bottom w:val="single" w:color="auto" w:sz="2" w:space="0"/>
              <w:right w:val="nil"/>
            </w:tcBorders>
            <w:shd w:val="clear" w:color="auto" w:fill="auto"/>
            <w:vAlign w:val="center"/>
          </w:tcPr>
          <w:p w14:paraId="70D8073E">
            <w:pPr>
              <w:widowControl/>
              <w:jc w:val="left"/>
              <w:rPr>
                <w:sz w:val="18"/>
                <w:szCs w:val="18"/>
              </w:rPr>
            </w:pPr>
          </w:p>
        </w:tc>
      </w:tr>
      <w:tr w14:paraId="60B57F73">
        <w:tblPrEx>
          <w:tblCellMar>
            <w:top w:w="0" w:type="dxa"/>
            <w:left w:w="0" w:type="dxa"/>
            <w:bottom w:w="0" w:type="dxa"/>
            <w:right w:w="0" w:type="dxa"/>
          </w:tblCellMar>
        </w:tblPrEx>
        <w:trPr>
          <w:trHeight w:val="306" w:hRule="atLeast"/>
          <w:jc w:val="center"/>
        </w:trPr>
        <w:tc>
          <w:tcPr>
            <w:tcW w:w="760" w:type="pct"/>
            <w:tcBorders>
              <w:top w:val="single" w:color="auto" w:sz="2" w:space="0"/>
              <w:left w:val="nil"/>
              <w:bottom w:val="single" w:color="auto" w:sz="2" w:space="0"/>
              <w:right w:val="single" w:color="auto" w:sz="2" w:space="0"/>
            </w:tcBorders>
            <w:shd w:val="clear" w:color="auto" w:fill="auto"/>
            <w:vAlign w:val="center"/>
          </w:tcPr>
          <w:p w14:paraId="20F27F47">
            <w:pPr>
              <w:widowControl/>
              <w:adjustRightInd w:val="0"/>
              <w:spacing w:line="200" w:lineRule="exact"/>
              <w:jc w:val="center"/>
              <w:textAlignment w:val="center"/>
              <w:rPr>
                <w:sz w:val="18"/>
                <w:szCs w:val="18"/>
              </w:rPr>
            </w:pPr>
            <w:r>
              <w:rPr>
                <w:sz w:val="18"/>
                <w:szCs w:val="18"/>
              </w:rPr>
              <w:t>甲</w:t>
            </w:r>
          </w:p>
        </w:tc>
        <w:tc>
          <w:tcPr>
            <w:tcW w:w="299" w:type="pct"/>
            <w:tcBorders>
              <w:top w:val="single" w:color="auto" w:sz="2" w:space="0"/>
              <w:left w:val="single" w:color="auto" w:sz="2" w:space="0"/>
              <w:bottom w:val="single" w:color="auto" w:sz="2" w:space="0"/>
              <w:right w:val="single" w:color="auto" w:sz="2" w:space="0"/>
            </w:tcBorders>
            <w:shd w:val="clear" w:color="auto" w:fill="auto"/>
            <w:vAlign w:val="center"/>
          </w:tcPr>
          <w:p w14:paraId="4B17D91F">
            <w:pPr>
              <w:widowControl/>
              <w:adjustRightInd w:val="0"/>
              <w:spacing w:line="200" w:lineRule="exact"/>
              <w:jc w:val="center"/>
              <w:textAlignment w:val="center"/>
              <w:rPr>
                <w:sz w:val="18"/>
                <w:szCs w:val="18"/>
              </w:rPr>
            </w:pPr>
            <w:r>
              <w:rPr>
                <w:sz w:val="18"/>
                <w:szCs w:val="18"/>
              </w:rPr>
              <w:t>乙</w:t>
            </w:r>
          </w:p>
        </w:tc>
        <w:tc>
          <w:tcPr>
            <w:tcW w:w="299" w:type="pct"/>
            <w:tcBorders>
              <w:top w:val="single" w:color="auto" w:sz="2" w:space="0"/>
              <w:left w:val="single" w:color="auto" w:sz="2" w:space="0"/>
              <w:bottom w:val="single" w:color="auto" w:sz="2" w:space="0"/>
              <w:right w:val="single" w:color="auto" w:sz="2" w:space="0"/>
            </w:tcBorders>
            <w:shd w:val="clear" w:color="auto" w:fill="auto"/>
            <w:vAlign w:val="center"/>
          </w:tcPr>
          <w:p w14:paraId="7158ACCF">
            <w:pPr>
              <w:widowControl/>
              <w:adjustRightInd w:val="0"/>
              <w:spacing w:line="200" w:lineRule="exact"/>
              <w:jc w:val="center"/>
              <w:textAlignment w:val="center"/>
              <w:rPr>
                <w:sz w:val="18"/>
                <w:szCs w:val="18"/>
              </w:rPr>
            </w:pPr>
            <w:r>
              <w:rPr>
                <w:sz w:val="18"/>
                <w:szCs w:val="18"/>
              </w:rPr>
              <w:t>丙</w:t>
            </w:r>
          </w:p>
        </w:tc>
        <w:tc>
          <w:tcPr>
            <w:tcW w:w="340" w:type="pct"/>
            <w:tcBorders>
              <w:top w:val="single" w:color="auto" w:sz="2" w:space="0"/>
              <w:left w:val="single" w:color="auto" w:sz="2" w:space="0"/>
              <w:bottom w:val="single" w:color="auto" w:sz="2" w:space="0"/>
              <w:right w:val="single" w:color="auto" w:sz="2" w:space="0"/>
            </w:tcBorders>
            <w:shd w:val="clear" w:color="auto" w:fill="auto"/>
            <w:vAlign w:val="center"/>
          </w:tcPr>
          <w:p w14:paraId="683C9931">
            <w:pPr>
              <w:widowControl/>
              <w:adjustRightInd w:val="0"/>
              <w:spacing w:line="200" w:lineRule="exact"/>
              <w:jc w:val="center"/>
              <w:textAlignment w:val="center"/>
              <w:rPr>
                <w:sz w:val="18"/>
                <w:szCs w:val="18"/>
              </w:rPr>
            </w:pPr>
            <w:r>
              <w:rPr>
                <w:sz w:val="18"/>
                <w:szCs w:val="18"/>
              </w:rPr>
              <w:t>1</w:t>
            </w:r>
          </w:p>
        </w:tc>
        <w:tc>
          <w:tcPr>
            <w:tcW w:w="340" w:type="pct"/>
            <w:tcBorders>
              <w:top w:val="single" w:color="auto" w:sz="2" w:space="0"/>
              <w:left w:val="single" w:color="auto" w:sz="2" w:space="0"/>
              <w:bottom w:val="single" w:color="auto" w:sz="2" w:space="0"/>
              <w:right w:val="single" w:color="auto" w:sz="2" w:space="0"/>
            </w:tcBorders>
            <w:shd w:val="clear" w:color="auto" w:fill="auto"/>
            <w:vAlign w:val="center"/>
          </w:tcPr>
          <w:p w14:paraId="4D11E755">
            <w:pPr>
              <w:widowControl/>
              <w:adjustRightInd w:val="0"/>
              <w:spacing w:line="200" w:lineRule="exact"/>
              <w:jc w:val="center"/>
              <w:textAlignment w:val="center"/>
              <w:rPr>
                <w:sz w:val="18"/>
                <w:szCs w:val="18"/>
              </w:rPr>
            </w:pPr>
            <w:r>
              <w:rPr>
                <w:sz w:val="18"/>
                <w:szCs w:val="18"/>
              </w:rPr>
              <w:t>2</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62EFD9C">
            <w:pPr>
              <w:widowControl/>
              <w:adjustRightInd w:val="0"/>
              <w:spacing w:line="200" w:lineRule="exact"/>
              <w:jc w:val="center"/>
              <w:textAlignment w:val="center"/>
              <w:rPr>
                <w:sz w:val="18"/>
                <w:szCs w:val="18"/>
              </w:rPr>
            </w:pPr>
            <w:r>
              <w:rPr>
                <w:sz w:val="18"/>
                <w:szCs w:val="18"/>
              </w:rPr>
              <w:t>3</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8E8CA0D">
            <w:pPr>
              <w:widowControl/>
              <w:adjustRightInd w:val="0"/>
              <w:spacing w:line="200" w:lineRule="exact"/>
              <w:jc w:val="center"/>
              <w:textAlignment w:val="center"/>
              <w:rPr>
                <w:sz w:val="18"/>
                <w:szCs w:val="18"/>
              </w:rPr>
            </w:pPr>
            <w:r>
              <w:rPr>
                <w:sz w:val="18"/>
                <w:szCs w:val="18"/>
              </w:rPr>
              <w:t>4</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18F46A06">
            <w:pPr>
              <w:widowControl/>
              <w:adjustRightInd w:val="0"/>
              <w:spacing w:line="200" w:lineRule="exact"/>
              <w:jc w:val="center"/>
              <w:textAlignment w:val="center"/>
              <w:rPr>
                <w:sz w:val="18"/>
                <w:szCs w:val="18"/>
              </w:rPr>
            </w:pPr>
            <w:r>
              <w:rPr>
                <w:sz w:val="18"/>
                <w:szCs w:val="18"/>
              </w:rPr>
              <w:t>5</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0EB5C042">
            <w:pPr>
              <w:widowControl/>
              <w:adjustRightInd w:val="0"/>
              <w:spacing w:line="200" w:lineRule="exact"/>
              <w:jc w:val="center"/>
              <w:textAlignment w:val="center"/>
              <w:rPr>
                <w:sz w:val="18"/>
                <w:szCs w:val="18"/>
              </w:rPr>
            </w:pPr>
            <w:r>
              <w:rPr>
                <w:sz w:val="18"/>
                <w:szCs w:val="18"/>
              </w:rPr>
              <w:t>6</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29F15843">
            <w:pPr>
              <w:widowControl/>
              <w:adjustRightInd w:val="0"/>
              <w:spacing w:line="200" w:lineRule="exact"/>
              <w:jc w:val="center"/>
              <w:textAlignment w:val="center"/>
              <w:rPr>
                <w:sz w:val="18"/>
                <w:szCs w:val="18"/>
              </w:rPr>
            </w:pPr>
            <w:r>
              <w:rPr>
                <w:sz w:val="18"/>
                <w:szCs w:val="18"/>
              </w:rPr>
              <w:t>7</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5B574C4D">
            <w:pPr>
              <w:widowControl/>
              <w:adjustRightInd w:val="0"/>
              <w:spacing w:line="200" w:lineRule="exact"/>
              <w:jc w:val="center"/>
              <w:textAlignment w:val="center"/>
              <w:rPr>
                <w:sz w:val="18"/>
                <w:szCs w:val="18"/>
              </w:rPr>
            </w:pPr>
            <w:r>
              <w:rPr>
                <w:sz w:val="18"/>
                <w:szCs w:val="18"/>
              </w:rPr>
              <w:t>8</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4F4E8DEE">
            <w:pPr>
              <w:widowControl/>
              <w:adjustRightInd w:val="0"/>
              <w:spacing w:line="200" w:lineRule="exact"/>
              <w:jc w:val="center"/>
              <w:textAlignment w:val="center"/>
              <w:rPr>
                <w:sz w:val="18"/>
                <w:szCs w:val="18"/>
              </w:rPr>
            </w:pPr>
            <w:r>
              <w:rPr>
                <w:sz w:val="18"/>
                <w:szCs w:val="18"/>
              </w:rPr>
              <w:t>9</w:t>
            </w:r>
          </w:p>
        </w:tc>
        <w:tc>
          <w:tcPr>
            <w:tcW w:w="294" w:type="pct"/>
            <w:tcBorders>
              <w:top w:val="single" w:color="auto" w:sz="2" w:space="0"/>
              <w:left w:val="single" w:color="auto" w:sz="2" w:space="0"/>
              <w:bottom w:val="single" w:color="auto" w:sz="2" w:space="0"/>
              <w:right w:val="single" w:color="auto" w:sz="2" w:space="0"/>
            </w:tcBorders>
            <w:shd w:val="clear" w:color="auto" w:fill="auto"/>
            <w:vAlign w:val="center"/>
          </w:tcPr>
          <w:p w14:paraId="5C67CA44">
            <w:pPr>
              <w:widowControl/>
              <w:adjustRightInd w:val="0"/>
              <w:spacing w:line="200" w:lineRule="exact"/>
              <w:jc w:val="center"/>
              <w:textAlignment w:val="center"/>
              <w:rPr>
                <w:sz w:val="18"/>
                <w:szCs w:val="18"/>
              </w:rPr>
            </w:pPr>
            <w:r>
              <w:rPr>
                <w:sz w:val="18"/>
                <w:szCs w:val="18"/>
              </w:rPr>
              <w:t>10</w:t>
            </w:r>
          </w:p>
        </w:tc>
        <w:tc>
          <w:tcPr>
            <w:tcW w:w="309" w:type="pct"/>
            <w:tcBorders>
              <w:top w:val="single" w:color="auto" w:sz="2" w:space="0"/>
              <w:left w:val="single" w:color="auto" w:sz="2" w:space="0"/>
              <w:bottom w:val="single" w:color="auto" w:sz="2" w:space="0"/>
              <w:right w:val="single" w:color="auto" w:sz="2" w:space="0"/>
            </w:tcBorders>
            <w:shd w:val="clear" w:color="auto" w:fill="auto"/>
            <w:vAlign w:val="center"/>
          </w:tcPr>
          <w:p w14:paraId="1A953352">
            <w:pPr>
              <w:widowControl/>
              <w:adjustRightInd w:val="0"/>
              <w:spacing w:line="200" w:lineRule="exact"/>
              <w:jc w:val="center"/>
              <w:textAlignment w:val="center"/>
              <w:rPr>
                <w:sz w:val="18"/>
                <w:szCs w:val="18"/>
              </w:rPr>
            </w:pPr>
            <w:r>
              <w:rPr>
                <w:sz w:val="18"/>
                <w:szCs w:val="18"/>
              </w:rPr>
              <w:t>11</w:t>
            </w:r>
          </w:p>
        </w:tc>
        <w:tc>
          <w:tcPr>
            <w:tcW w:w="304" w:type="pct"/>
            <w:tcBorders>
              <w:top w:val="single" w:color="auto" w:sz="2" w:space="0"/>
              <w:left w:val="single" w:color="auto" w:sz="2" w:space="0"/>
              <w:bottom w:val="single" w:color="auto" w:sz="2" w:space="0"/>
              <w:right w:val="nil"/>
            </w:tcBorders>
            <w:shd w:val="clear" w:color="auto" w:fill="auto"/>
            <w:vAlign w:val="center"/>
          </w:tcPr>
          <w:p w14:paraId="678CC50C">
            <w:pPr>
              <w:widowControl/>
              <w:adjustRightInd w:val="0"/>
              <w:spacing w:line="200" w:lineRule="exact"/>
              <w:jc w:val="center"/>
              <w:textAlignment w:val="center"/>
              <w:rPr>
                <w:sz w:val="18"/>
                <w:szCs w:val="18"/>
              </w:rPr>
            </w:pPr>
            <w:r>
              <w:rPr>
                <w:sz w:val="18"/>
                <w:szCs w:val="18"/>
              </w:rPr>
              <w:t>12</w:t>
            </w:r>
          </w:p>
        </w:tc>
      </w:tr>
      <w:tr w14:paraId="6BA6E60E">
        <w:tblPrEx>
          <w:tblCellMar>
            <w:top w:w="0" w:type="dxa"/>
            <w:left w:w="0" w:type="dxa"/>
            <w:bottom w:w="0" w:type="dxa"/>
            <w:right w:w="0" w:type="dxa"/>
          </w:tblCellMar>
        </w:tblPrEx>
        <w:trPr>
          <w:trHeight w:val="850" w:hRule="atLeast"/>
          <w:jc w:val="center"/>
        </w:trPr>
        <w:tc>
          <w:tcPr>
            <w:tcW w:w="760" w:type="pct"/>
            <w:tcBorders>
              <w:top w:val="single" w:color="auto" w:sz="2" w:space="0"/>
              <w:left w:val="nil"/>
              <w:bottom w:val="single" w:color="auto" w:sz="8" w:space="0"/>
              <w:right w:val="single" w:color="auto" w:sz="2" w:space="0"/>
            </w:tcBorders>
            <w:shd w:val="clear" w:color="auto" w:fill="auto"/>
            <w:vAlign w:val="center"/>
          </w:tcPr>
          <w:p w14:paraId="677C85DC">
            <w:pPr>
              <w:widowControl/>
              <w:adjustRightInd w:val="0"/>
              <w:jc w:val="center"/>
              <w:rPr>
                <w:sz w:val="18"/>
                <w:szCs w:val="18"/>
              </w:rPr>
            </w:pPr>
          </w:p>
        </w:tc>
        <w:tc>
          <w:tcPr>
            <w:tcW w:w="299" w:type="pct"/>
            <w:tcBorders>
              <w:top w:val="single" w:color="auto" w:sz="2" w:space="0"/>
              <w:left w:val="single" w:color="auto" w:sz="2" w:space="0"/>
              <w:bottom w:val="single" w:color="auto" w:sz="8" w:space="0"/>
              <w:right w:val="single" w:color="auto" w:sz="2" w:space="0"/>
            </w:tcBorders>
            <w:shd w:val="clear" w:color="auto" w:fill="auto"/>
            <w:vAlign w:val="center"/>
          </w:tcPr>
          <w:p w14:paraId="439C1060">
            <w:pPr>
              <w:widowControl/>
              <w:adjustRightInd w:val="0"/>
              <w:jc w:val="center"/>
              <w:rPr>
                <w:sz w:val="18"/>
                <w:szCs w:val="18"/>
              </w:rPr>
            </w:pPr>
          </w:p>
        </w:tc>
        <w:tc>
          <w:tcPr>
            <w:tcW w:w="299" w:type="pct"/>
            <w:tcBorders>
              <w:top w:val="single" w:color="auto" w:sz="2" w:space="0"/>
              <w:left w:val="single" w:color="auto" w:sz="2" w:space="0"/>
              <w:bottom w:val="single" w:color="auto" w:sz="8" w:space="0"/>
              <w:right w:val="single" w:color="auto" w:sz="2" w:space="0"/>
            </w:tcBorders>
            <w:shd w:val="clear" w:color="auto" w:fill="auto"/>
            <w:vAlign w:val="center"/>
          </w:tcPr>
          <w:p w14:paraId="59B62513">
            <w:pPr>
              <w:widowControl/>
              <w:adjustRightInd w:val="0"/>
              <w:jc w:val="center"/>
              <w:rPr>
                <w:sz w:val="18"/>
                <w:szCs w:val="18"/>
              </w:rPr>
            </w:pPr>
          </w:p>
        </w:tc>
        <w:tc>
          <w:tcPr>
            <w:tcW w:w="3643" w:type="pct"/>
            <w:gridSpan w:val="12"/>
            <w:tcBorders>
              <w:top w:val="single" w:color="auto" w:sz="2" w:space="0"/>
              <w:left w:val="single" w:color="auto" w:sz="2" w:space="0"/>
              <w:bottom w:val="single" w:color="auto" w:sz="8" w:space="0"/>
            </w:tcBorders>
            <w:shd w:val="clear" w:color="auto" w:fill="auto"/>
            <w:vAlign w:val="center"/>
          </w:tcPr>
          <w:p w14:paraId="105F8F72">
            <w:pPr>
              <w:pStyle w:val="14"/>
              <w:widowControl/>
              <w:pBdr>
                <w:bottom w:val="none" w:color="auto" w:sz="0" w:space="0"/>
              </w:pBdr>
              <w:tabs>
                <w:tab w:val="clear" w:pos="4153"/>
                <w:tab w:val="clear" w:pos="8306"/>
              </w:tabs>
              <w:adjustRightInd w:val="0"/>
              <w:snapToGrid/>
            </w:pPr>
          </w:p>
        </w:tc>
      </w:tr>
    </w:tbl>
    <w:p w14:paraId="472BDFCE">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1E713714">
      <w:pPr>
        <w:adjustRightInd w:val="0"/>
        <w:ind w:left="16" w:leftChars="-50" w:right="-1233" w:rightChars="-587" w:hanging="121" w:hangingChars="58"/>
        <w:rPr>
          <w:szCs w:val="20"/>
        </w:rPr>
      </w:pPr>
      <w:r>
        <w:rPr>
          <w:szCs w:val="20"/>
        </w:rPr>
        <w:t xml:space="preserve"> </w:t>
      </w:r>
    </w:p>
    <w:p w14:paraId="180B25A9">
      <w:pPr>
        <w:tabs>
          <w:tab w:val="left" w:pos="5430"/>
        </w:tabs>
        <w:adjustRightInd w:val="0"/>
        <w:spacing w:line="280" w:lineRule="exact"/>
        <w:ind w:left="1548" w:right="-6" w:rightChars="-3" w:hanging="1548" w:hangingChars="900"/>
        <w:rPr>
          <w:sz w:val="18"/>
          <w:szCs w:val="18"/>
        </w:rPr>
      </w:pPr>
      <w:r>
        <w:rPr>
          <w:bCs/>
          <w:spacing w:val="-4"/>
          <w:sz w:val="18"/>
          <w:szCs w:val="18"/>
        </w:rPr>
        <w:t>说明：1.</w:t>
      </w:r>
      <w:r>
        <w:rPr>
          <w:bCs/>
          <w:sz w:val="18"/>
        </w:rPr>
        <w:t>统计范围：</w:t>
      </w:r>
      <w:r>
        <w:rPr>
          <w:sz w:val="18"/>
          <w:szCs w:val="18"/>
        </w:rPr>
        <w:t>辖区内有能源加工转换或回收利用活动的规模以上工业法人单位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r>
        <w:rPr>
          <w:sz w:val="18"/>
          <w:szCs w:val="18"/>
        </w:rPr>
        <w:t>。</w:t>
      </w:r>
    </w:p>
    <w:p w14:paraId="3970DBF9">
      <w:pPr>
        <w:spacing w:line="280" w:lineRule="exact"/>
        <w:ind w:left="2083" w:leftChars="245" w:hanging="1569" w:hangingChars="872"/>
        <w:rPr>
          <w:sz w:val="18"/>
          <w:szCs w:val="18"/>
        </w:rPr>
      </w:pPr>
      <w:r>
        <w:rPr>
          <w:sz w:val="18"/>
        </w:rPr>
        <w:t>2.报送日期及方式：</w:t>
      </w:r>
      <w:r>
        <w:rPr>
          <w:rFonts w:hint="eastAsia" w:asciiTheme="majorEastAsia" w:hAnsiTheme="majorEastAsia" w:eastAsiaTheme="majorEastAsia" w:cstheme="majorEastAsia"/>
          <w:sz w:val="18"/>
          <w:szCs w:val="18"/>
        </w:rPr>
        <w:t>调查单位</w:t>
      </w:r>
      <w:r>
        <w:rPr>
          <w:rFonts w:hint="default" w:ascii="Times New Roman" w:hAnsi="Times New Roman" w:cs="Times New Roman" w:eastAsiaTheme="majorEastAsia"/>
          <w:sz w:val="18"/>
          <w:szCs w:val="18"/>
        </w:rPr>
        <w:t>2、</w:t>
      </w:r>
      <w:ins w:id="68" w:author="kylin" w:date="2025-10-17T17:05:48Z">
        <w:r>
          <w:rPr>
            <w:rFonts w:hint="eastAsia" w:cs="Times New Roman" w:eastAsiaTheme="majorEastAsia"/>
            <w:sz w:val="18"/>
            <w:szCs w:val="18"/>
            <w:lang w:val="en-US" w:eastAsia="zh-CN"/>
          </w:rPr>
          <w:t>10月月后6日，</w:t>
        </w:r>
      </w:ins>
      <w:ins w:id="69" w:author="kylin" w:date="2025-10-17T17:05:48Z">
        <w:r>
          <w:rPr>
            <w:rFonts w:hint="default" w:ascii="Times New Roman" w:hAnsi="Times New Roman" w:cs="Times New Roman" w:eastAsiaTheme="majorEastAsia"/>
            <w:sz w:val="18"/>
            <w:szCs w:val="18"/>
          </w:rPr>
          <w:t>6、7、8、11</w:t>
        </w:r>
      </w:ins>
      <w:ins w:id="70" w:author="kylin" w:date="2025-10-17T17:05:48Z">
        <w:r>
          <w:rPr>
            <w:rFonts w:hint="eastAsia" w:asciiTheme="majorEastAsia" w:hAnsiTheme="majorEastAsia" w:eastAsiaTheme="majorEastAsia" w:cstheme="majorEastAsia"/>
            <w:sz w:val="18"/>
            <w:szCs w:val="18"/>
          </w:rPr>
          <w:t>月月后</w:t>
        </w:r>
      </w:ins>
      <w:ins w:id="71" w:author="kylin" w:date="2025-10-17T17:05:48Z">
        <w:r>
          <w:rPr>
            <w:rFonts w:hint="default" w:ascii="Times New Roman" w:hAnsi="Times New Roman" w:cs="Times New Roman" w:eastAsiaTheme="majorEastAsia"/>
            <w:sz w:val="18"/>
            <w:szCs w:val="18"/>
          </w:rPr>
          <w:t>7</w:t>
        </w:r>
      </w:ins>
      <w:ins w:id="72" w:author="kylin" w:date="2025-10-17T17:05:48Z">
        <w:r>
          <w:rPr>
            <w:rFonts w:hint="eastAsia" w:asciiTheme="majorEastAsia" w:hAnsiTheme="majorEastAsia" w:eastAsiaTheme="majorEastAsia" w:cstheme="majorEastAsia"/>
            <w:sz w:val="18"/>
            <w:szCs w:val="18"/>
          </w:rPr>
          <w:t>日，</w:t>
        </w:r>
      </w:ins>
      <w:ins w:id="73" w:author="kylin" w:date="2025-10-17T17:05:48Z">
        <w:r>
          <w:rPr>
            <w:rFonts w:hint="default" w:ascii="Times New Roman" w:hAnsi="Times New Roman" w:eastAsia="7" w:cs="Times New Roman"/>
            <w:sz w:val="18"/>
            <w:szCs w:val="18"/>
          </w:rPr>
          <w:t>3</w:t>
        </w:r>
      </w:ins>
      <w:ins w:id="74" w:author="kylin" w:date="2025-10-17T17:05:48Z">
        <w:r>
          <w:rPr>
            <w:rFonts w:hint="eastAsia" w:eastAsia="7" w:cs="Times New Roman"/>
            <w:sz w:val="18"/>
            <w:szCs w:val="18"/>
            <w:lang w:eastAsia="zh-CN"/>
          </w:rPr>
          <w:t>、</w:t>
        </w:r>
      </w:ins>
      <w:ins w:id="75" w:author="kylin" w:date="2025-10-17T17:05:48Z">
        <w:r>
          <w:rPr>
            <w:rFonts w:hint="eastAsia" w:eastAsia="7" w:cs="Times New Roman"/>
            <w:sz w:val="18"/>
            <w:szCs w:val="18"/>
            <w:lang w:val="en-US" w:eastAsia="zh-CN"/>
          </w:rPr>
          <w:t>5、12</w:t>
        </w:r>
      </w:ins>
      <w:ins w:id="76" w:author="kylin" w:date="2025-10-17T17:05:48Z">
        <w:r>
          <w:rPr>
            <w:rFonts w:hint="eastAsia" w:asciiTheme="majorEastAsia" w:hAnsiTheme="majorEastAsia" w:eastAsiaTheme="majorEastAsia" w:cstheme="majorEastAsia"/>
            <w:sz w:val="18"/>
            <w:szCs w:val="18"/>
          </w:rPr>
          <w:t>月月后</w:t>
        </w:r>
      </w:ins>
      <w:ins w:id="77" w:author="kylin" w:date="2025-10-17T17:05:48Z">
        <w:r>
          <w:rPr>
            <w:rFonts w:hint="default" w:ascii="Times New Roman" w:hAnsi="Times New Roman" w:cs="Times New Roman" w:eastAsiaTheme="majorEastAsia"/>
            <w:b w:val="0"/>
            <w:bCs w:val="0"/>
            <w:sz w:val="18"/>
            <w:szCs w:val="18"/>
          </w:rPr>
          <w:t>8</w:t>
        </w:r>
      </w:ins>
      <w:ins w:id="78" w:author="kylin" w:date="2025-10-17T17:05:48Z">
        <w:r>
          <w:rPr>
            <w:rFonts w:hint="eastAsia" w:asciiTheme="majorEastAsia" w:hAnsiTheme="majorEastAsia" w:eastAsiaTheme="majorEastAsia" w:cstheme="majorEastAsia"/>
            <w:sz w:val="18"/>
            <w:szCs w:val="18"/>
          </w:rPr>
          <w:t>日，</w:t>
        </w:r>
      </w:ins>
      <w:ins w:id="79" w:author="kylin" w:date="2025-10-17T17:05:48Z">
        <w:r>
          <w:rPr>
            <w:rFonts w:hint="default" w:ascii="Times New Roman" w:hAnsi="Times New Roman" w:cs="Times New Roman" w:eastAsiaTheme="majorEastAsia"/>
            <w:sz w:val="18"/>
            <w:szCs w:val="18"/>
          </w:rPr>
          <w:t>4</w:t>
        </w:r>
      </w:ins>
      <w:ins w:id="80" w:author="kylin" w:date="2025-10-17T17:05:48Z">
        <w:r>
          <w:rPr>
            <w:rFonts w:hint="eastAsia" w:asciiTheme="majorEastAsia" w:hAnsiTheme="majorEastAsia" w:eastAsiaTheme="majorEastAsia" w:cstheme="majorEastAsia"/>
            <w:sz w:val="18"/>
            <w:szCs w:val="18"/>
          </w:rPr>
          <w:t>月月后</w:t>
        </w:r>
      </w:ins>
      <w:ins w:id="81" w:author="kylin" w:date="2025-10-17T17:05:48Z">
        <w:r>
          <w:rPr>
            <w:rFonts w:hint="default" w:ascii="Times New Roman)" w:hAnsi="Times New Roman)" w:cs="Times New Roman)" w:eastAsiaTheme="majorEastAsia"/>
            <w:sz w:val="18"/>
            <w:szCs w:val="18"/>
          </w:rPr>
          <w:t>9</w:t>
        </w:r>
      </w:ins>
      <w:ins w:id="82" w:author="kylin" w:date="2025-10-17T17:05:48Z">
        <w:r>
          <w:rPr>
            <w:rFonts w:hint="eastAsia" w:asciiTheme="majorEastAsia" w:hAnsiTheme="majorEastAsia" w:eastAsiaTheme="majorEastAsia" w:cstheme="majorEastAsia"/>
            <w:sz w:val="18"/>
            <w:szCs w:val="18"/>
          </w:rPr>
          <w:t>日，</w:t>
        </w:r>
      </w:ins>
      <w:ins w:id="83" w:author="kylin" w:date="2025-10-17T17:05:48Z">
        <w:r>
          <w:rPr>
            <w:rFonts w:hint="default" w:ascii="Times New Roman" w:hAnsi="Times New Roman" w:cs="Times New Roman" w:eastAsiaTheme="majorEastAsia"/>
            <w:sz w:val="18"/>
            <w:szCs w:val="18"/>
          </w:rPr>
          <w:t>9</w:t>
        </w:r>
      </w:ins>
      <w:ins w:id="84" w:author="kylin" w:date="2025-10-17T17:05:48Z">
        <w:r>
          <w:rPr>
            <w:rFonts w:hint="eastAsia" w:asciiTheme="majorEastAsia" w:hAnsiTheme="majorEastAsia" w:eastAsiaTheme="majorEastAsia" w:cstheme="majorEastAsia"/>
            <w:sz w:val="18"/>
            <w:szCs w:val="18"/>
          </w:rPr>
          <w:t>月月后</w:t>
        </w:r>
      </w:ins>
      <w:ins w:id="85" w:author="kylin" w:date="2025-10-17T17:05:48Z">
        <w:r>
          <w:rPr>
            <w:rFonts w:hint="default" w:ascii="Times New Roman" w:hAnsi="Times New Roman" w:cs="Times New Roman" w:eastAsiaTheme="majorEastAsia"/>
            <w:sz w:val="18"/>
            <w:szCs w:val="18"/>
          </w:rPr>
          <w:t>1</w:t>
        </w:r>
      </w:ins>
      <w:ins w:id="86" w:author="kylin" w:date="2025-10-17T17:05:48Z">
        <w:r>
          <w:rPr>
            <w:rFonts w:hint="eastAsia" w:cs="Times New Roman" w:eastAsiaTheme="majorEastAsia"/>
            <w:sz w:val="18"/>
            <w:szCs w:val="18"/>
            <w:lang w:val="en-US" w:eastAsia="zh-CN"/>
          </w:rPr>
          <w:t>2</w:t>
        </w:r>
      </w:ins>
      <w:ins w:id="87" w:author="kylin" w:date="2025-10-17T17:05:48Z">
        <w:r>
          <w:rPr>
            <w:rFonts w:hint="eastAsia" w:asciiTheme="majorEastAsia" w:hAnsiTheme="majorEastAsia" w:eastAsiaTheme="majorEastAsia" w:cstheme="majorEastAsia"/>
            <w:sz w:val="18"/>
            <w:szCs w:val="18"/>
          </w:rPr>
          <w:t>日</w:t>
        </w:r>
      </w:ins>
      <w:ins w:id="88" w:author="kylin" w:date="2025-10-17T17:05:48Z">
        <w:r>
          <w:rPr>
            <w:rFonts w:hint="default" w:ascii="Times New Roman" w:hAnsi="Times New Roman" w:cs="Times New Roman" w:eastAsiaTheme="majorEastAsia"/>
            <w:sz w:val="18"/>
            <w:szCs w:val="18"/>
          </w:rPr>
          <w:t>12：00</w:t>
        </w:r>
      </w:ins>
      <w:del w:id="89" w:author="kylin" w:date="2025-10-17T17:05:48Z">
        <w:r>
          <w:rPr>
            <w:rFonts w:hint="default" w:ascii="Times New Roman" w:hAnsi="Times New Roman" w:cs="Times New Roman" w:eastAsiaTheme="majorEastAsia"/>
            <w:sz w:val="18"/>
            <w:szCs w:val="18"/>
          </w:rPr>
          <w:delText>5、6、7、8、10、11</w:delText>
        </w:r>
      </w:del>
      <w:del w:id="90" w:author="kylin" w:date="2025-10-17T17:05:48Z">
        <w:r>
          <w:rPr>
            <w:rFonts w:hint="eastAsia" w:asciiTheme="majorEastAsia" w:hAnsiTheme="majorEastAsia" w:eastAsiaTheme="majorEastAsia" w:cstheme="majorEastAsia"/>
            <w:sz w:val="18"/>
            <w:szCs w:val="18"/>
          </w:rPr>
          <w:delText>月月后</w:delText>
        </w:r>
      </w:del>
      <w:del w:id="91" w:author="kylin" w:date="2025-10-17T17:05:48Z">
        <w:r>
          <w:rPr>
            <w:rFonts w:hint="default" w:ascii="Times New Roman" w:hAnsi="Times New Roman" w:cs="Times New Roman" w:eastAsiaTheme="majorEastAsia"/>
            <w:sz w:val="18"/>
            <w:szCs w:val="18"/>
          </w:rPr>
          <w:delText>7</w:delText>
        </w:r>
      </w:del>
      <w:del w:id="92" w:author="kylin" w:date="2025-10-17T17:05:48Z">
        <w:r>
          <w:rPr>
            <w:rFonts w:hint="eastAsia" w:asciiTheme="majorEastAsia" w:hAnsiTheme="majorEastAsia" w:eastAsiaTheme="majorEastAsia" w:cstheme="majorEastAsia"/>
            <w:sz w:val="18"/>
            <w:szCs w:val="18"/>
          </w:rPr>
          <w:delText>日，</w:delText>
        </w:r>
      </w:del>
      <w:del w:id="93" w:author="kylin" w:date="2025-10-17T17:05:48Z">
        <w:r>
          <w:rPr>
            <w:rFonts w:hint="default" w:ascii="Times New Roman" w:hAnsi="Times New Roman" w:eastAsia="7" w:cs="Times New Roman"/>
            <w:sz w:val="18"/>
            <w:szCs w:val="18"/>
          </w:rPr>
          <w:delText>3</w:delText>
        </w:r>
      </w:del>
      <w:del w:id="94" w:author="kylin" w:date="2025-10-17T17:05:48Z">
        <w:r>
          <w:rPr>
            <w:rFonts w:hint="eastAsia" w:asciiTheme="majorEastAsia" w:hAnsiTheme="majorEastAsia" w:eastAsiaTheme="majorEastAsia" w:cstheme="majorEastAsia"/>
            <w:sz w:val="18"/>
            <w:szCs w:val="18"/>
          </w:rPr>
          <w:delText>月月后</w:delText>
        </w:r>
      </w:del>
      <w:del w:id="95" w:author="kylin" w:date="2025-10-17T17:05:48Z">
        <w:r>
          <w:rPr>
            <w:rFonts w:hint="default" w:ascii="Times New Roman" w:hAnsi="Times New Roman" w:cs="Times New Roman" w:eastAsiaTheme="majorEastAsia"/>
            <w:b w:val="0"/>
            <w:bCs w:val="0"/>
            <w:sz w:val="18"/>
            <w:szCs w:val="18"/>
          </w:rPr>
          <w:delText>8</w:delText>
        </w:r>
      </w:del>
      <w:del w:id="96" w:author="kylin" w:date="2025-10-17T17:05:48Z">
        <w:r>
          <w:rPr>
            <w:rFonts w:hint="eastAsia" w:asciiTheme="majorEastAsia" w:hAnsiTheme="majorEastAsia" w:eastAsiaTheme="majorEastAsia" w:cstheme="majorEastAsia"/>
            <w:sz w:val="18"/>
            <w:szCs w:val="18"/>
          </w:rPr>
          <w:delText>日，</w:delText>
        </w:r>
      </w:del>
      <w:del w:id="97" w:author="kylin" w:date="2025-10-17T17:05:48Z">
        <w:r>
          <w:rPr>
            <w:rFonts w:hint="default" w:ascii="Times New Roman" w:hAnsi="Times New Roman" w:cs="Times New Roman" w:eastAsiaTheme="majorEastAsia"/>
            <w:sz w:val="18"/>
            <w:szCs w:val="18"/>
          </w:rPr>
          <w:delText>4、12</w:delText>
        </w:r>
      </w:del>
      <w:del w:id="98" w:author="kylin" w:date="2025-10-17T17:05:48Z">
        <w:r>
          <w:rPr>
            <w:rFonts w:hint="eastAsia" w:asciiTheme="majorEastAsia" w:hAnsiTheme="majorEastAsia" w:eastAsiaTheme="majorEastAsia" w:cstheme="majorEastAsia"/>
            <w:sz w:val="18"/>
            <w:szCs w:val="18"/>
          </w:rPr>
          <w:delText>月月后</w:delText>
        </w:r>
      </w:del>
      <w:del w:id="99" w:author="kylin" w:date="2025-10-17T17:05:48Z">
        <w:r>
          <w:rPr>
            <w:rFonts w:hint="default" w:ascii="Times New Roman)" w:hAnsi="Times New Roman)" w:cs="Times New Roman)" w:eastAsiaTheme="majorEastAsia"/>
            <w:sz w:val="18"/>
            <w:szCs w:val="18"/>
          </w:rPr>
          <w:delText>9</w:delText>
        </w:r>
      </w:del>
      <w:del w:id="100" w:author="kylin" w:date="2025-10-17T17:05:48Z">
        <w:r>
          <w:rPr>
            <w:rFonts w:hint="eastAsia" w:asciiTheme="majorEastAsia" w:hAnsiTheme="majorEastAsia" w:eastAsiaTheme="majorEastAsia" w:cstheme="majorEastAsia"/>
            <w:sz w:val="18"/>
            <w:szCs w:val="18"/>
          </w:rPr>
          <w:delText>日</w:delText>
        </w:r>
      </w:del>
      <w:del w:id="101" w:author="kylin" w:date="2025-10-17T17:05:48Z">
        <w:r>
          <w:rPr>
            <w:rFonts w:hint="default" w:ascii="Times New Roman" w:hAnsi="Times New Roman" w:cs="Times New Roman" w:eastAsiaTheme="majorEastAsia"/>
            <w:sz w:val="18"/>
            <w:szCs w:val="18"/>
          </w:rPr>
          <w:delText>12：00</w:delText>
        </w:r>
      </w:del>
      <w:del w:id="102" w:author="kylin" w:date="2025-10-17T17:05:48Z">
        <w:r>
          <w:rPr>
            <w:rFonts w:hint="eastAsia" w:asciiTheme="majorEastAsia" w:hAnsiTheme="majorEastAsia" w:eastAsiaTheme="majorEastAsia" w:cstheme="majorEastAsia"/>
            <w:sz w:val="18"/>
            <w:szCs w:val="18"/>
          </w:rPr>
          <w:delText>，</w:delText>
        </w:r>
      </w:del>
      <w:del w:id="103" w:author="kylin" w:date="2025-10-17T17:05:48Z">
        <w:r>
          <w:rPr>
            <w:rFonts w:hint="default" w:ascii="Times New Roman" w:hAnsi="Times New Roman" w:cs="Times New Roman" w:eastAsiaTheme="majorEastAsia"/>
            <w:sz w:val="18"/>
            <w:szCs w:val="18"/>
          </w:rPr>
          <w:delText>9</w:delText>
        </w:r>
      </w:del>
      <w:del w:id="104" w:author="kylin" w:date="2025-10-17T17:05:48Z">
        <w:r>
          <w:rPr>
            <w:rFonts w:hint="eastAsia" w:asciiTheme="majorEastAsia" w:hAnsiTheme="majorEastAsia" w:eastAsiaTheme="majorEastAsia" w:cstheme="majorEastAsia"/>
            <w:sz w:val="18"/>
            <w:szCs w:val="18"/>
          </w:rPr>
          <w:delText>月月后</w:delText>
        </w:r>
      </w:del>
      <w:del w:id="105" w:author="kylin" w:date="2025-10-17T17:05:48Z">
        <w:r>
          <w:rPr>
            <w:rFonts w:hint="default" w:ascii="Times New Roman" w:hAnsi="Times New Roman" w:cs="Times New Roman" w:eastAsiaTheme="majorEastAsia"/>
            <w:sz w:val="18"/>
            <w:szCs w:val="18"/>
          </w:rPr>
          <w:delText>11</w:delText>
        </w:r>
      </w:del>
      <w:del w:id="106" w:author="kylin" w:date="2025-10-17T17:05:48Z">
        <w:r>
          <w:rPr>
            <w:rFonts w:hint="eastAsia" w:asciiTheme="majorEastAsia" w:hAnsiTheme="majorEastAsia" w:eastAsiaTheme="majorEastAsia" w:cstheme="majorEastAsia"/>
            <w:sz w:val="18"/>
            <w:szCs w:val="18"/>
          </w:rPr>
          <w:delText>日</w:delText>
        </w:r>
      </w:del>
      <w:del w:id="107" w:author="kylin" w:date="2025-10-17T17:05:48Z">
        <w:r>
          <w:rPr>
            <w:rFonts w:hint="default" w:ascii="Times New Roman" w:hAnsi="Times New Roman" w:cs="Times New Roman" w:eastAsiaTheme="majorEastAsia"/>
            <w:sz w:val="18"/>
            <w:szCs w:val="18"/>
          </w:rPr>
          <w:delText>18:00</w:delText>
        </w:r>
      </w:del>
      <w:r>
        <w:rPr>
          <w:rFonts w:hint="eastAsia" w:asciiTheme="majorEastAsia" w:hAnsiTheme="majorEastAsia" w:eastAsiaTheme="majorEastAsia" w:cstheme="majorEastAsia"/>
          <w:sz w:val="18"/>
          <w:szCs w:val="18"/>
        </w:rPr>
        <w:t>前独立自行网上填报，</w:t>
      </w:r>
      <w:r>
        <w:rPr>
          <w:rFonts w:hint="default" w:ascii="Times New Roman" w:hAnsi="Times New Roman" w:cs="Times New Roman" w:eastAsiaTheme="majorEastAsia"/>
          <w:sz w:val="18"/>
          <w:szCs w:val="18"/>
        </w:rPr>
        <w:t>1</w:t>
      </w:r>
      <w:r>
        <w:rPr>
          <w:rFonts w:hint="eastAsia" w:asciiTheme="majorEastAsia" w:hAnsiTheme="majorEastAsia" w:eastAsiaTheme="majorEastAsia" w:cstheme="majorEastAsia"/>
          <w:sz w:val="18"/>
          <w:szCs w:val="18"/>
        </w:rPr>
        <w:t>月免报；省级统计机构</w:t>
      </w:r>
      <w:r>
        <w:rPr>
          <w:rFonts w:hint="default" w:ascii="Times New Roman" w:hAnsi="Times New Roman" w:cs="Times New Roman" w:eastAsiaTheme="majorEastAsia"/>
          <w:sz w:val="18"/>
          <w:szCs w:val="18"/>
        </w:rPr>
        <w:t>6、8、10、11</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10</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2、3、5、7</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11</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4</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13</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14</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12:00</w:t>
      </w:r>
      <w:r>
        <w:rPr>
          <w:rFonts w:hint="eastAsia" w:asciiTheme="majorEastAsia" w:hAnsiTheme="majorEastAsia" w:eastAsiaTheme="majorEastAsia" w:cstheme="majorEastAsia"/>
          <w:sz w:val="18"/>
          <w:szCs w:val="18"/>
        </w:rPr>
        <w:t>前完成数据审核、验收、上报</w:t>
      </w:r>
      <w:r>
        <w:rPr>
          <w:rFonts w:hint="eastAsia"/>
          <w:sz w:val="18"/>
        </w:rPr>
        <w:t>。</w:t>
      </w:r>
    </w:p>
    <w:p w14:paraId="723A4D70">
      <w:pPr>
        <w:spacing w:line="280" w:lineRule="exact"/>
        <w:ind w:left="2124" w:leftChars="245" w:hanging="1610" w:hangingChars="895"/>
        <w:rPr>
          <w:sz w:val="18"/>
          <w:szCs w:val="18"/>
        </w:rPr>
      </w:pPr>
      <w:r>
        <w:rPr>
          <w:sz w:val="18"/>
          <w:szCs w:val="18"/>
        </w:rPr>
        <w:t>3.本表甲栏下按</w:t>
      </w:r>
      <w:r>
        <w:rPr>
          <w:bCs/>
          <w:sz w:val="18"/>
        </w:rPr>
        <w:t>《</w:t>
      </w:r>
      <w:r>
        <w:rPr>
          <w:rFonts w:hint="eastAsia"/>
          <w:bCs/>
          <w:sz w:val="18"/>
        </w:rPr>
        <w:t>能源购进、消费与库存和能源加工转换与回收利用目录</w:t>
      </w:r>
      <w:r>
        <w:rPr>
          <w:bCs/>
          <w:spacing w:val="8"/>
          <w:sz w:val="18"/>
          <w:szCs w:val="18"/>
        </w:rPr>
        <w:t>》</w:t>
      </w:r>
      <w:r>
        <w:rPr>
          <w:sz w:val="18"/>
          <w:szCs w:val="18"/>
        </w:rPr>
        <w:t>填报。</w:t>
      </w:r>
    </w:p>
    <w:p w14:paraId="6AC41A76">
      <w:pPr>
        <w:spacing w:line="280" w:lineRule="exact"/>
        <w:ind w:left="514" w:leftChars="245"/>
        <w:rPr>
          <w:sz w:val="18"/>
          <w:szCs w:val="18"/>
        </w:rPr>
      </w:pPr>
      <w:r>
        <w:rPr>
          <w:sz w:val="18"/>
          <w:szCs w:val="18"/>
        </w:rPr>
        <w:t>4.审核关系：</w:t>
      </w:r>
    </w:p>
    <w:p w14:paraId="351D6ACC">
      <w:pPr>
        <w:spacing w:line="280" w:lineRule="exact"/>
        <w:ind w:left="2629" w:leftChars="310" w:hanging="1978" w:hangingChars="1099"/>
        <w:rPr>
          <w:sz w:val="18"/>
          <w:szCs w:val="18"/>
        </w:rPr>
      </w:pPr>
      <w:r>
        <w:rPr>
          <w:sz w:val="18"/>
          <w:szCs w:val="18"/>
        </w:rPr>
        <w:t>(1)工业生产消费量与205-1表的工业生产消费量数值一致</w:t>
      </w:r>
    </w:p>
    <w:p w14:paraId="16C928E6">
      <w:pPr>
        <w:spacing w:line="280" w:lineRule="exact"/>
        <w:ind w:left="2433" w:leftChars="310" w:hanging="1782" w:hangingChars="990"/>
        <w:rPr>
          <w:sz w:val="18"/>
          <w:szCs w:val="18"/>
        </w:rPr>
      </w:pPr>
      <w:r>
        <w:rPr>
          <w:sz w:val="18"/>
          <w:szCs w:val="18"/>
        </w:rPr>
        <w:t>(2)加工转换投入合计=火力发电投入+供热投入+原煤入洗投入+炼焦投入+炼油及煤制油投入+制气投入+天然气液化投入+煤制品加工投入</w:t>
      </w:r>
    </w:p>
    <w:p w14:paraId="31727B14">
      <w:pPr>
        <w:snapToGrid w:val="0"/>
        <w:spacing w:before="480" w:beforeLines="200" w:after="240" w:afterLines="100"/>
        <w:jc w:val="center"/>
        <w:outlineLvl w:val="2"/>
        <w:rPr>
          <w:sz w:val="32"/>
        </w:rPr>
      </w:pPr>
      <w:r>
        <w:rPr>
          <w:sz w:val="18"/>
          <w:szCs w:val="18"/>
        </w:rPr>
        <w:br w:type="page"/>
      </w:r>
      <w:r>
        <w:rPr>
          <w:sz w:val="32"/>
        </w:rPr>
        <w:t>主要耗能工业企业单位产品能源</w:t>
      </w:r>
      <w:r>
        <w:rPr>
          <w:rFonts w:hint="eastAsia"/>
          <w:sz w:val="32"/>
        </w:rPr>
        <w:t>消费</w:t>
      </w:r>
      <w:r>
        <w:rPr>
          <w:sz w:val="32"/>
        </w:rPr>
        <w:t>情况</w:t>
      </w:r>
    </w:p>
    <w:tbl>
      <w:tblPr>
        <w:tblStyle w:val="20"/>
        <w:tblW w:w="9430" w:type="dxa"/>
        <w:jc w:val="center"/>
        <w:tblLayout w:type="autofit"/>
        <w:tblCellMar>
          <w:top w:w="0" w:type="dxa"/>
          <w:left w:w="0" w:type="dxa"/>
          <w:bottom w:w="0" w:type="dxa"/>
          <w:right w:w="0" w:type="dxa"/>
        </w:tblCellMar>
      </w:tblPr>
      <w:tblGrid>
        <w:gridCol w:w="3209"/>
        <w:gridCol w:w="790"/>
        <w:gridCol w:w="2656"/>
        <w:gridCol w:w="850"/>
        <w:gridCol w:w="1925"/>
      </w:tblGrid>
      <w:tr w14:paraId="5F9744D9">
        <w:trPr>
          <w:jc w:val="center"/>
        </w:trPr>
        <w:tc>
          <w:tcPr>
            <w:tcW w:w="3209" w:type="dxa"/>
          </w:tcPr>
          <w:p w14:paraId="2ABFC813">
            <w:pPr>
              <w:spacing w:line="260" w:lineRule="exact"/>
              <w:rPr>
                <w:sz w:val="18"/>
                <w:szCs w:val="18"/>
              </w:rPr>
            </w:pPr>
          </w:p>
        </w:tc>
        <w:tc>
          <w:tcPr>
            <w:tcW w:w="790" w:type="dxa"/>
          </w:tcPr>
          <w:p w14:paraId="686DE470">
            <w:pPr>
              <w:spacing w:line="260" w:lineRule="exact"/>
              <w:rPr>
                <w:sz w:val="18"/>
                <w:szCs w:val="18"/>
              </w:rPr>
            </w:pPr>
          </w:p>
        </w:tc>
        <w:tc>
          <w:tcPr>
            <w:tcW w:w="2656" w:type="dxa"/>
          </w:tcPr>
          <w:p w14:paraId="5BF9F9A9">
            <w:pPr>
              <w:spacing w:line="260" w:lineRule="exact"/>
              <w:rPr>
                <w:sz w:val="18"/>
                <w:szCs w:val="18"/>
              </w:rPr>
            </w:pPr>
          </w:p>
        </w:tc>
        <w:tc>
          <w:tcPr>
            <w:tcW w:w="850" w:type="dxa"/>
            <w:tcMar>
              <w:left w:w="0" w:type="dxa"/>
              <w:right w:w="0" w:type="dxa"/>
            </w:tcMar>
          </w:tcPr>
          <w:p w14:paraId="255F06F7">
            <w:pPr>
              <w:spacing w:line="260" w:lineRule="exact"/>
              <w:rPr>
                <w:sz w:val="18"/>
                <w:szCs w:val="18"/>
              </w:rPr>
            </w:pPr>
            <w:r>
              <w:rPr>
                <w:sz w:val="18"/>
                <w:szCs w:val="18"/>
              </w:rPr>
              <w:t>表    号：</w:t>
            </w:r>
          </w:p>
        </w:tc>
        <w:tc>
          <w:tcPr>
            <w:tcW w:w="1925" w:type="dxa"/>
            <w:vAlign w:val="center"/>
          </w:tcPr>
          <w:p w14:paraId="3D05CD56">
            <w:pPr>
              <w:spacing w:line="260" w:lineRule="exact"/>
              <w:jc w:val="distribute"/>
              <w:rPr>
                <w:sz w:val="18"/>
                <w:szCs w:val="18"/>
              </w:rPr>
            </w:pPr>
            <w:r>
              <w:rPr>
                <w:sz w:val="18"/>
                <w:szCs w:val="18"/>
              </w:rPr>
              <w:t>２０５－３表</w:t>
            </w:r>
          </w:p>
        </w:tc>
      </w:tr>
      <w:tr w14:paraId="0FF66791">
        <w:tblPrEx>
          <w:tblCellMar>
            <w:top w:w="0" w:type="dxa"/>
            <w:left w:w="0" w:type="dxa"/>
            <w:bottom w:w="0" w:type="dxa"/>
            <w:right w:w="0" w:type="dxa"/>
          </w:tblCellMar>
        </w:tblPrEx>
        <w:trPr>
          <w:jc w:val="center"/>
        </w:trPr>
        <w:tc>
          <w:tcPr>
            <w:tcW w:w="6655" w:type="dxa"/>
            <w:gridSpan w:val="3"/>
          </w:tcPr>
          <w:p w14:paraId="7FCB2684">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850" w:type="dxa"/>
            <w:tcMar>
              <w:left w:w="0" w:type="dxa"/>
              <w:right w:w="0" w:type="dxa"/>
            </w:tcMar>
            <w:vAlign w:val="center"/>
          </w:tcPr>
          <w:p w14:paraId="4829C2E5">
            <w:pPr>
              <w:spacing w:line="260" w:lineRule="exact"/>
              <w:rPr>
                <w:sz w:val="18"/>
                <w:szCs w:val="18"/>
              </w:rPr>
            </w:pPr>
            <w:r>
              <w:rPr>
                <w:sz w:val="18"/>
                <w:szCs w:val="18"/>
              </w:rPr>
              <w:t>制定机关：</w:t>
            </w:r>
          </w:p>
        </w:tc>
        <w:tc>
          <w:tcPr>
            <w:tcW w:w="1925" w:type="dxa"/>
            <w:vAlign w:val="center"/>
          </w:tcPr>
          <w:p w14:paraId="60B3B256">
            <w:pPr>
              <w:spacing w:line="260" w:lineRule="exact"/>
              <w:jc w:val="distribute"/>
              <w:rPr>
                <w:sz w:val="18"/>
                <w:szCs w:val="18"/>
              </w:rPr>
            </w:pPr>
            <w:r>
              <w:rPr>
                <w:sz w:val="18"/>
                <w:szCs w:val="18"/>
              </w:rPr>
              <w:t>国 家 统 计 局</w:t>
            </w:r>
          </w:p>
        </w:tc>
      </w:tr>
      <w:tr w14:paraId="01B5FCAE">
        <w:tblPrEx>
          <w:tblCellMar>
            <w:top w:w="0" w:type="dxa"/>
            <w:left w:w="0" w:type="dxa"/>
            <w:bottom w:w="0" w:type="dxa"/>
            <w:right w:w="0" w:type="dxa"/>
          </w:tblCellMar>
        </w:tblPrEx>
        <w:trPr>
          <w:jc w:val="center"/>
        </w:trPr>
        <w:tc>
          <w:tcPr>
            <w:tcW w:w="6655" w:type="dxa"/>
            <w:gridSpan w:val="3"/>
          </w:tcPr>
          <w:p w14:paraId="72AB6D6C">
            <w:pPr>
              <w:spacing w:line="260" w:lineRule="exact"/>
              <w:rPr>
                <w:rFonts w:hint="eastAsia" w:eastAsia="宋体"/>
                <w:sz w:val="18"/>
                <w:szCs w:val="18"/>
                <w:lang w:eastAsia="zh-CN"/>
              </w:rPr>
            </w:pPr>
          </w:p>
        </w:tc>
        <w:tc>
          <w:tcPr>
            <w:tcW w:w="850" w:type="dxa"/>
            <w:tcMar>
              <w:left w:w="0" w:type="dxa"/>
              <w:right w:w="0" w:type="dxa"/>
            </w:tcMar>
            <w:vAlign w:val="center"/>
          </w:tcPr>
          <w:p w14:paraId="2D7EEDD4">
            <w:pPr>
              <w:spacing w:line="260" w:lineRule="exact"/>
              <w:rPr>
                <w:sz w:val="18"/>
                <w:szCs w:val="18"/>
              </w:rPr>
            </w:pPr>
            <w:r>
              <w:rPr>
                <w:sz w:val="18"/>
                <w:szCs w:val="18"/>
              </w:rPr>
              <w:t>文    号：</w:t>
            </w:r>
          </w:p>
        </w:tc>
        <w:tc>
          <w:tcPr>
            <w:tcW w:w="1925" w:type="dxa"/>
            <w:vAlign w:val="center"/>
          </w:tcPr>
          <w:p w14:paraId="15AB01BD">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108" w:author="kylin" w:date="2025-10-17T16:17:30Z">
              <w:r>
                <w:rPr>
                  <w:rFonts w:hint="default" w:ascii="宋体" w:hAnsi="宋体"/>
                  <w:spacing w:val="-16"/>
                  <w:sz w:val="18"/>
                  <w:szCs w:val="18"/>
                  <w:lang w:val="en-US" w:eastAsia="zh-CN"/>
                </w:rPr>
                <w:delText>４</w:delText>
              </w:r>
            </w:del>
            <w:ins w:id="109" w:author="kylin" w:date="2025-10-17T16:17:30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110" w:author="kylin" w:date="2025-10-17T16:17:32Z">
              <w:r>
                <w:rPr>
                  <w:rFonts w:hint="default" w:ascii="宋体" w:hAnsi="宋体"/>
                  <w:spacing w:val="-16"/>
                  <w:sz w:val="18"/>
                  <w:szCs w:val="18"/>
                  <w:lang w:val="en-US" w:eastAsia="zh-CN"/>
                </w:rPr>
                <w:delText>77</w:delText>
              </w:r>
            </w:del>
            <w:ins w:id="111" w:author="kylin" w:date="2025-10-17T16:17:32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2BA17981">
        <w:tblPrEx>
          <w:tblCellMar>
            <w:top w:w="0" w:type="dxa"/>
            <w:left w:w="0" w:type="dxa"/>
            <w:bottom w:w="0" w:type="dxa"/>
            <w:right w:w="0" w:type="dxa"/>
          </w:tblCellMar>
        </w:tblPrEx>
        <w:trPr>
          <w:jc w:val="center"/>
        </w:trPr>
        <w:tc>
          <w:tcPr>
            <w:tcW w:w="3209" w:type="dxa"/>
          </w:tcPr>
          <w:p w14:paraId="11A44B0F">
            <w:pPr>
              <w:spacing w:line="260" w:lineRule="exact"/>
              <w:rPr>
                <w:sz w:val="18"/>
                <w:szCs w:val="18"/>
              </w:rPr>
            </w:pPr>
            <w:r>
              <w:rPr>
                <w:sz w:val="18"/>
              </w:rPr>
              <w:t>单位详细名称：</w:t>
            </w:r>
          </w:p>
        </w:tc>
        <w:tc>
          <w:tcPr>
            <w:tcW w:w="790" w:type="dxa"/>
          </w:tcPr>
          <w:p w14:paraId="2565B393">
            <w:pPr>
              <w:spacing w:line="260" w:lineRule="exact"/>
              <w:rPr>
                <w:sz w:val="18"/>
                <w:szCs w:val="18"/>
              </w:rPr>
            </w:pPr>
          </w:p>
        </w:tc>
        <w:tc>
          <w:tcPr>
            <w:tcW w:w="2656" w:type="dxa"/>
          </w:tcPr>
          <w:p w14:paraId="668067B0">
            <w:pPr>
              <w:spacing w:line="260" w:lineRule="exact"/>
              <w:rPr>
                <w:rFonts w:hint="eastAsia" w:eastAsia="宋体"/>
                <w:sz w:val="18"/>
                <w:szCs w:val="18"/>
                <w:lang w:eastAsia="zh-CN"/>
              </w:rPr>
            </w:pPr>
            <w:r>
              <w:rPr>
                <w:sz w:val="18"/>
                <w:szCs w:val="18"/>
              </w:rPr>
              <w:t>２０　　年　１－　</w:t>
            </w:r>
            <w:r>
              <w:rPr>
                <w:rFonts w:hint="eastAsia"/>
                <w:sz w:val="18"/>
                <w:szCs w:val="18"/>
                <w:lang w:val="en-US" w:eastAsia="zh-CN"/>
              </w:rPr>
              <w:t>月</w:t>
            </w:r>
          </w:p>
        </w:tc>
        <w:tc>
          <w:tcPr>
            <w:tcW w:w="850" w:type="dxa"/>
            <w:tcMar>
              <w:left w:w="0" w:type="dxa"/>
              <w:right w:w="0" w:type="dxa"/>
            </w:tcMar>
            <w:vAlign w:val="center"/>
          </w:tcPr>
          <w:p w14:paraId="465EE192">
            <w:pPr>
              <w:spacing w:line="260" w:lineRule="exact"/>
              <w:rPr>
                <w:sz w:val="18"/>
                <w:szCs w:val="18"/>
              </w:rPr>
            </w:pPr>
            <w:r>
              <w:rPr>
                <w:sz w:val="18"/>
                <w:szCs w:val="18"/>
              </w:rPr>
              <w:t>有效期至：</w:t>
            </w:r>
          </w:p>
        </w:tc>
        <w:tc>
          <w:tcPr>
            <w:tcW w:w="1925" w:type="dxa"/>
            <w:vAlign w:val="center"/>
          </w:tcPr>
          <w:p w14:paraId="38A55079">
            <w:pPr>
              <w:spacing w:line="260" w:lineRule="exact"/>
              <w:jc w:val="distribute"/>
              <w:rPr>
                <w:rFonts w:hint="default" w:eastAsia="宋体"/>
                <w:sz w:val="18"/>
                <w:szCs w:val="18"/>
                <w:lang w:val="en-US" w:eastAsia="zh-CN"/>
              </w:rPr>
            </w:pPr>
            <w:r>
              <w:rPr>
                <w:rFonts w:hint="default"/>
                <w:sz w:val="18"/>
                <w:szCs w:val="18"/>
                <w:lang w:val="en-US" w:eastAsia="zh-CN"/>
              </w:rPr>
              <w:t>２０２</w:t>
            </w:r>
            <w:del w:id="112" w:author="kylin" w:date="2025-10-17T16:17:34Z">
              <w:r>
                <w:rPr>
                  <w:rFonts w:hint="default"/>
                  <w:sz w:val="18"/>
                  <w:szCs w:val="18"/>
                  <w:lang w:val="en-US" w:eastAsia="zh-CN"/>
                </w:rPr>
                <w:delText>６</w:delText>
              </w:r>
            </w:del>
            <w:ins w:id="113" w:author="kylin" w:date="2025-10-17T16:17:34Z">
              <w:r>
                <w:rPr>
                  <w:rFonts w:hint="eastAsia"/>
                  <w:sz w:val="18"/>
                  <w:szCs w:val="18"/>
                  <w:lang w:val="en-US" w:eastAsia="zh-CN"/>
                </w:rPr>
                <w:t>7</w:t>
              </w:r>
            </w:ins>
            <w:r>
              <w:rPr>
                <w:rFonts w:hint="default"/>
                <w:sz w:val="18"/>
                <w:szCs w:val="18"/>
                <w:lang w:val="en-US" w:eastAsia="zh-CN"/>
              </w:rPr>
              <w:t>年１月</w:t>
            </w:r>
          </w:p>
        </w:tc>
      </w:tr>
    </w:tbl>
    <w:p w14:paraId="0D875018">
      <w:pPr>
        <w:spacing w:line="20" w:lineRule="exact"/>
        <w:rPr>
          <w:sz w:val="18"/>
          <w:szCs w:val="18"/>
        </w:rPr>
      </w:pPr>
    </w:p>
    <w:tbl>
      <w:tblPr>
        <w:tblStyle w:val="20"/>
        <w:tblW w:w="5013" w:type="pct"/>
        <w:jc w:val="center"/>
        <w:tblLayout w:type="fixed"/>
        <w:tblCellMar>
          <w:top w:w="0" w:type="dxa"/>
          <w:left w:w="0" w:type="dxa"/>
          <w:bottom w:w="0" w:type="dxa"/>
          <w:right w:w="0" w:type="dxa"/>
        </w:tblCellMar>
      </w:tblPr>
      <w:tblGrid>
        <w:gridCol w:w="970"/>
        <w:gridCol w:w="680"/>
        <w:gridCol w:w="680"/>
        <w:gridCol w:w="680"/>
        <w:gridCol w:w="680"/>
        <w:gridCol w:w="798"/>
        <w:gridCol w:w="829"/>
        <w:gridCol w:w="830"/>
        <w:gridCol w:w="830"/>
        <w:gridCol w:w="830"/>
        <w:gridCol w:w="830"/>
        <w:gridCol w:w="830"/>
      </w:tblGrid>
      <w:tr w14:paraId="459EF35B">
        <w:tblPrEx>
          <w:tblCellMar>
            <w:top w:w="0" w:type="dxa"/>
            <w:left w:w="0" w:type="dxa"/>
            <w:bottom w:w="0" w:type="dxa"/>
            <w:right w:w="0" w:type="dxa"/>
          </w:tblCellMar>
        </w:tblPrEx>
        <w:trPr>
          <w:trHeight w:val="454" w:hRule="atLeast"/>
          <w:jc w:val="center"/>
        </w:trPr>
        <w:tc>
          <w:tcPr>
            <w:tcW w:w="970" w:type="dxa"/>
            <w:vMerge w:val="restart"/>
            <w:tcBorders>
              <w:top w:val="single" w:color="auto" w:sz="8" w:space="0"/>
              <w:bottom w:val="single" w:color="auto" w:sz="4" w:space="0"/>
              <w:right w:val="single" w:color="auto" w:sz="2" w:space="0"/>
            </w:tcBorders>
            <w:tcMar>
              <w:top w:w="15" w:type="dxa"/>
              <w:left w:w="15" w:type="dxa"/>
              <w:bottom w:w="0" w:type="dxa"/>
              <w:right w:w="15" w:type="dxa"/>
            </w:tcMar>
            <w:vAlign w:val="center"/>
          </w:tcPr>
          <w:p w14:paraId="4C89FBF4">
            <w:pPr>
              <w:spacing w:line="240" w:lineRule="exact"/>
              <w:jc w:val="center"/>
              <w:rPr>
                <w:bCs/>
                <w:sz w:val="18"/>
                <w:szCs w:val="18"/>
              </w:rPr>
            </w:pPr>
            <w:r>
              <w:rPr>
                <w:bCs/>
                <w:sz w:val="18"/>
                <w:szCs w:val="18"/>
              </w:rPr>
              <w:t>单位产品   能耗名称</w:t>
            </w:r>
          </w:p>
        </w:tc>
        <w:tc>
          <w:tcPr>
            <w:tcW w:w="2040"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03510A8">
            <w:pPr>
              <w:spacing w:line="240" w:lineRule="exact"/>
              <w:jc w:val="center"/>
              <w:rPr>
                <w:bCs/>
                <w:sz w:val="18"/>
                <w:szCs w:val="18"/>
              </w:rPr>
            </w:pPr>
            <w:r>
              <w:rPr>
                <w:bCs/>
                <w:sz w:val="18"/>
                <w:szCs w:val="18"/>
              </w:rPr>
              <w:t>计量单位</w:t>
            </w:r>
          </w:p>
        </w:tc>
        <w:tc>
          <w:tcPr>
            <w:tcW w:w="680" w:type="dxa"/>
            <w:vMerge w:val="restart"/>
            <w:tcBorders>
              <w:top w:val="single" w:color="auto" w:sz="8" w:space="0"/>
              <w:left w:val="single" w:color="auto" w:sz="2" w:space="0"/>
              <w:right w:val="single" w:color="auto" w:sz="2" w:space="0"/>
            </w:tcBorders>
            <w:shd w:val="clear" w:color="auto" w:fill="auto"/>
            <w:tcMar>
              <w:top w:w="15" w:type="dxa"/>
              <w:left w:w="15" w:type="dxa"/>
              <w:bottom w:w="0" w:type="dxa"/>
              <w:right w:w="15" w:type="dxa"/>
            </w:tcMar>
            <w:vAlign w:val="center"/>
          </w:tcPr>
          <w:p w14:paraId="1D5B78DE">
            <w:pPr>
              <w:spacing w:line="240" w:lineRule="exact"/>
              <w:jc w:val="center"/>
              <w:rPr>
                <w:bCs/>
                <w:sz w:val="18"/>
                <w:szCs w:val="18"/>
              </w:rPr>
            </w:pPr>
            <w:r>
              <w:rPr>
                <w:bCs/>
                <w:sz w:val="18"/>
                <w:szCs w:val="18"/>
              </w:rPr>
              <w:t>代码</w:t>
            </w:r>
          </w:p>
        </w:tc>
        <w:tc>
          <w:tcPr>
            <w:tcW w:w="798" w:type="dxa"/>
            <w:vMerge w:val="restart"/>
            <w:tcBorders>
              <w:top w:val="single" w:color="auto" w:sz="8" w:space="0"/>
              <w:left w:val="single" w:color="auto" w:sz="2" w:space="0"/>
              <w:right w:val="single" w:color="auto" w:sz="2" w:space="0"/>
            </w:tcBorders>
            <w:tcMar>
              <w:top w:w="15" w:type="dxa"/>
              <w:left w:w="15" w:type="dxa"/>
              <w:bottom w:w="0" w:type="dxa"/>
              <w:right w:w="15" w:type="dxa"/>
            </w:tcMar>
            <w:vAlign w:val="center"/>
          </w:tcPr>
          <w:p w14:paraId="263B3583">
            <w:pPr>
              <w:spacing w:line="240" w:lineRule="exact"/>
              <w:jc w:val="center"/>
              <w:rPr>
                <w:bCs/>
                <w:sz w:val="18"/>
                <w:szCs w:val="18"/>
              </w:rPr>
            </w:pPr>
            <w:r>
              <w:rPr>
                <w:bCs/>
                <w:sz w:val="18"/>
                <w:szCs w:val="18"/>
              </w:rPr>
              <w:t>单位换算　　　系    数</w:t>
            </w:r>
          </w:p>
        </w:tc>
        <w:tc>
          <w:tcPr>
            <w:tcW w:w="2489" w:type="dxa"/>
            <w:gridSpan w:val="3"/>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4059C7A">
            <w:pPr>
              <w:spacing w:line="240" w:lineRule="exact"/>
              <w:jc w:val="center"/>
              <w:rPr>
                <w:bCs/>
                <w:sz w:val="18"/>
                <w:szCs w:val="18"/>
              </w:rPr>
            </w:pPr>
            <w:r>
              <w:rPr>
                <w:bCs/>
                <w:sz w:val="18"/>
                <w:szCs w:val="18"/>
              </w:rPr>
              <w:t>本    期</w:t>
            </w:r>
          </w:p>
        </w:tc>
        <w:tc>
          <w:tcPr>
            <w:tcW w:w="2490" w:type="dxa"/>
            <w:gridSpan w:val="3"/>
            <w:tcBorders>
              <w:top w:val="single" w:color="auto" w:sz="8" w:space="0"/>
              <w:left w:val="single" w:color="auto" w:sz="2" w:space="0"/>
              <w:bottom w:val="single" w:color="auto" w:sz="2" w:space="0"/>
            </w:tcBorders>
            <w:shd w:val="clear" w:color="auto" w:fill="D9D9D9"/>
            <w:tcMar>
              <w:top w:w="15" w:type="dxa"/>
              <w:left w:w="15" w:type="dxa"/>
              <w:bottom w:w="0" w:type="dxa"/>
              <w:right w:w="15" w:type="dxa"/>
            </w:tcMar>
            <w:vAlign w:val="center"/>
          </w:tcPr>
          <w:p w14:paraId="1A27A14F">
            <w:pPr>
              <w:spacing w:line="240" w:lineRule="exact"/>
              <w:jc w:val="center"/>
              <w:rPr>
                <w:bCs/>
                <w:sz w:val="18"/>
                <w:szCs w:val="18"/>
              </w:rPr>
            </w:pPr>
            <w:r>
              <w:rPr>
                <w:bCs/>
                <w:sz w:val="18"/>
                <w:szCs w:val="18"/>
              </w:rPr>
              <w:t>上年同期</w:t>
            </w:r>
          </w:p>
        </w:tc>
      </w:tr>
      <w:tr w14:paraId="3FBED6DD">
        <w:tblPrEx>
          <w:tblCellMar>
            <w:top w:w="0" w:type="dxa"/>
            <w:left w:w="0" w:type="dxa"/>
            <w:bottom w:w="0" w:type="dxa"/>
            <w:right w:w="0" w:type="dxa"/>
          </w:tblCellMar>
        </w:tblPrEx>
        <w:trPr>
          <w:trHeight w:val="737" w:hRule="atLeast"/>
          <w:jc w:val="center"/>
        </w:trPr>
        <w:tc>
          <w:tcPr>
            <w:tcW w:w="970" w:type="dxa"/>
            <w:vMerge w:val="continue"/>
            <w:tcBorders>
              <w:top w:val="single" w:color="auto" w:sz="4" w:space="0"/>
              <w:bottom w:val="single" w:color="auto" w:sz="2" w:space="0"/>
              <w:right w:val="single" w:color="auto" w:sz="2" w:space="0"/>
            </w:tcBorders>
            <w:vAlign w:val="center"/>
          </w:tcPr>
          <w:p w14:paraId="69607F47">
            <w:pPr>
              <w:spacing w:line="240" w:lineRule="exact"/>
              <w:jc w:val="center"/>
              <w:rPr>
                <w:bCs/>
                <w:sz w:val="18"/>
                <w:szCs w:val="18"/>
              </w:rPr>
            </w:pPr>
          </w:p>
        </w:tc>
        <w:tc>
          <w:tcPr>
            <w:tcW w:w="680" w:type="dxa"/>
            <w:tcBorders>
              <w:top w:val="single" w:color="auto" w:sz="2" w:space="0"/>
              <w:left w:val="single" w:color="auto" w:sz="2" w:space="0"/>
              <w:bottom w:val="single" w:color="auto" w:sz="2" w:space="0"/>
              <w:right w:val="single" w:color="auto" w:sz="2" w:space="0"/>
            </w:tcBorders>
            <w:shd w:val="clear" w:color="auto" w:fill="auto"/>
            <w:vAlign w:val="center"/>
          </w:tcPr>
          <w:p w14:paraId="19DC232B">
            <w:pPr>
              <w:spacing w:line="240" w:lineRule="exact"/>
              <w:jc w:val="center"/>
              <w:rPr>
                <w:bCs/>
                <w:sz w:val="18"/>
                <w:szCs w:val="18"/>
              </w:rPr>
            </w:pPr>
            <w:r>
              <w:rPr>
                <w:bCs/>
                <w:sz w:val="18"/>
                <w:szCs w:val="18"/>
              </w:rPr>
              <w:t>指标    单位</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5144E45F">
            <w:pPr>
              <w:spacing w:line="240" w:lineRule="exact"/>
              <w:jc w:val="center"/>
              <w:rPr>
                <w:bCs/>
                <w:sz w:val="18"/>
                <w:szCs w:val="18"/>
              </w:rPr>
            </w:pPr>
            <w:r>
              <w:rPr>
                <w:bCs/>
                <w:sz w:val="18"/>
                <w:szCs w:val="18"/>
              </w:rPr>
              <w:t>子项    单位</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695B0260">
            <w:pPr>
              <w:spacing w:line="240" w:lineRule="exact"/>
              <w:jc w:val="center"/>
              <w:rPr>
                <w:bCs/>
                <w:sz w:val="18"/>
                <w:szCs w:val="18"/>
              </w:rPr>
            </w:pPr>
            <w:r>
              <w:rPr>
                <w:bCs/>
                <w:sz w:val="18"/>
                <w:szCs w:val="18"/>
              </w:rPr>
              <w:t>母项    单位</w:t>
            </w:r>
          </w:p>
        </w:tc>
        <w:tc>
          <w:tcPr>
            <w:tcW w:w="680"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14:paraId="4CC19AF6">
            <w:pPr>
              <w:spacing w:line="240" w:lineRule="exact"/>
              <w:jc w:val="center"/>
              <w:rPr>
                <w:bCs/>
                <w:sz w:val="18"/>
                <w:szCs w:val="18"/>
              </w:rPr>
            </w:pPr>
          </w:p>
        </w:tc>
        <w:tc>
          <w:tcPr>
            <w:tcW w:w="798"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14:paraId="28A72AEC">
            <w:pPr>
              <w:spacing w:line="240" w:lineRule="exact"/>
              <w:jc w:val="center"/>
              <w:rPr>
                <w:bCs/>
                <w:sz w:val="18"/>
                <w:szCs w:val="18"/>
              </w:rPr>
            </w:pPr>
          </w:p>
        </w:tc>
        <w:tc>
          <w:tcPr>
            <w:tcW w:w="82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04530854">
            <w:pPr>
              <w:spacing w:line="240" w:lineRule="exact"/>
              <w:jc w:val="center"/>
              <w:rPr>
                <w:bCs/>
                <w:sz w:val="18"/>
                <w:szCs w:val="18"/>
              </w:rPr>
            </w:pPr>
            <w:r>
              <w:rPr>
                <w:bCs/>
                <w:sz w:val="18"/>
                <w:szCs w:val="18"/>
              </w:rPr>
              <w:t>指标值</w:t>
            </w:r>
          </w:p>
        </w:tc>
        <w:tc>
          <w:tcPr>
            <w:tcW w:w="83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40C289A1">
            <w:pPr>
              <w:spacing w:line="240" w:lineRule="exact"/>
              <w:jc w:val="center"/>
              <w:rPr>
                <w:bCs/>
                <w:sz w:val="18"/>
              </w:rPr>
            </w:pPr>
            <w:r>
              <w:rPr>
                <w:bCs/>
                <w:sz w:val="18"/>
              </w:rPr>
              <w:t>子项值</w:t>
            </w:r>
          </w:p>
        </w:tc>
        <w:tc>
          <w:tcPr>
            <w:tcW w:w="83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422FFA43">
            <w:pPr>
              <w:spacing w:line="240" w:lineRule="exact"/>
              <w:jc w:val="center"/>
              <w:rPr>
                <w:bCs/>
                <w:sz w:val="18"/>
              </w:rPr>
            </w:pPr>
            <w:r>
              <w:rPr>
                <w:bCs/>
                <w:sz w:val="18"/>
              </w:rPr>
              <w:t>母项值</w:t>
            </w:r>
          </w:p>
        </w:tc>
        <w:tc>
          <w:tcPr>
            <w:tcW w:w="830"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14:paraId="507682DD">
            <w:pPr>
              <w:spacing w:line="240" w:lineRule="exact"/>
              <w:jc w:val="center"/>
              <w:rPr>
                <w:bCs/>
                <w:sz w:val="18"/>
                <w:szCs w:val="18"/>
              </w:rPr>
            </w:pPr>
            <w:r>
              <w:rPr>
                <w:bCs/>
                <w:sz w:val="18"/>
                <w:szCs w:val="18"/>
              </w:rPr>
              <w:t>指标值</w:t>
            </w:r>
          </w:p>
        </w:tc>
        <w:tc>
          <w:tcPr>
            <w:tcW w:w="830"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14:paraId="038B27A6">
            <w:pPr>
              <w:spacing w:line="240" w:lineRule="exact"/>
              <w:jc w:val="center"/>
              <w:rPr>
                <w:bCs/>
                <w:sz w:val="18"/>
                <w:szCs w:val="18"/>
              </w:rPr>
            </w:pPr>
            <w:r>
              <w:rPr>
                <w:bCs/>
                <w:sz w:val="18"/>
                <w:szCs w:val="18"/>
              </w:rPr>
              <w:t>子项值</w:t>
            </w:r>
          </w:p>
        </w:tc>
        <w:tc>
          <w:tcPr>
            <w:tcW w:w="830" w:type="dxa"/>
            <w:tcBorders>
              <w:top w:val="single" w:color="auto" w:sz="2" w:space="0"/>
              <w:left w:val="single" w:color="auto" w:sz="2" w:space="0"/>
              <w:bottom w:val="single" w:color="auto" w:sz="2" w:space="0"/>
            </w:tcBorders>
            <w:shd w:val="clear" w:color="auto" w:fill="D9D9D9"/>
            <w:tcMar>
              <w:top w:w="15" w:type="dxa"/>
              <w:left w:w="15" w:type="dxa"/>
              <w:bottom w:w="0" w:type="dxa"/>
              <w:right w:w="15" w:type="dxa"/>
            </w:tcMar>
            <w:vAlign w:val="center"/>
          </w:tcPr>
          <w:p w14:paraId="1F655135">
            <w:pPr>
              <w:spacing w:line="240" w:lineRule="exact"/>
              <w:jc w:val="center"/>
              <w:rPr>
                <w:bCs/>
                <w:sz w:val="18"/>
                <w:szCs w:val="18"/>
              </w:rPr>
            </w:pPr>
            <w:r>
              <w:rPr>
                <w:bCs/>
                <w:sz w:val="18"/>
                <w:szCs w:val="18"/>
              </w:rPr>
              <w:t>母项值</w:t>
            </w:r>
          </w:p>
        </w:tc>
      </w:tr>
      <w:tr w14:paraId="4372F371">
        <w:tblPrEx>
          <w:tblCellMar>
            <w:top w:w="0" w:type="dxa"/>
            <w:left w:w="0" w:type="dxa"/>
            <w:bottom w:w="0" w:type="dxa"/>
            <w:right w:w="0" w:type="dxa"/>
          </w:tblCellMar>
        </w:tblPrEx>
        <w:trPr>
          <w:trHeight w:val="306" w:hRule="atLeast"/>
          <w:jc w:val="center"/>
        </w:trPr>
        <w:tc>
          <w:tcPr>
            <w:tcW w:w="970"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14:paraId="4EFCF1C1">
            <w:pPr>
              <w:spacing w:line="240" w:lineRule="exact"/>
              <w:jc w:val="center"/>
              <w:textAlignment w:val="center"/>
              <w:rPr>
                <w:bCs/>
                <w:sz w:val="18"/>
                <w:szCs w:val="18"/>
              </w:rPr>
            </w:pPr>
            <w:r>
              <w:rPr>
                <w:bCs/>
                <w:sz w:val="18"/>
                <w:szCs w:val="18"/>
              </w:rPr>
              <w:t>甲</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517D2C55">
            <w:pPr>
              <w:spacing w:line="240" w:lineRule="exact"/>
              <w:jc w:val="center"/>
              <w:textAlignment w:val="center"/>
              <w:rPr>
                <w:bCs/>
                <w:sz w:val="18"/>
                <w:szCs w:val="18"/>
              </w:rPr>
            </w:pPr>
            <w:r>
              <w:rPr>
                <w:bCs/>
                <w:sz w:val="18"/>
                <w:szCs w:val="18"/>
              </w:rPr>
              <w:t>乙</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581D1D0A">
            <w:pPr>
              <w:spacing w:line="240" w:lineRule="exact"/>
              <w:jc w:val="center"/>
              <w:textAlignment w:val="center"/>
              <w:rPr>
                <w:bCs/>
                <w:sz w:val="18"/>
                <w:szCs w:val="18"/>
              </w:rPr>
            </w:pPr>
            <w:r>
              <w:rPr>
                <w:bCs/>
                <w:sz w:val="18"/>
                <w:szCs w:val="18"/>
              </w:rPr>
              <w:t>丙</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68F0BB35">
            <w:pPr>
              <w:spacing w:line="240" w:lineRule="exact"/>
              <w:jc w:val="center"/>
              <w:textAlignment w:val="center"/>
              <w:rPr>
                <w:bCs/>
                <w:sz w:val="18"/>
                <w:szCs w:val="18"/>
              </w:rPr>
            </w:pPr>
            <w:r>
              <w:rPr>
                <w:bCs/>
                <w:sz w:val="18"/>
                <w:szCs w:val="18"/>
              </w:rPr>
              <w:t>丁</w:t>
            </w:r>
          </w:p>
        </w:tc>
        <w:tc>
          <w:tcPr>
            <w:tcW w:w="68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526330AF">
            <w:pPr>
              <w:spacing w:line="240" w:lineRule="exact"/>
              <w:jc w:val="center"/>
              <w:textAlignment w:val="center"/>
              <w:rPr>
                <w:bCs/>
                <w:sz w:val="18"/>
                <w:szCs w:val="18"/>
              </w:rPr>
            </w:pPr>
            <w:r>
              <w:rPr>
                <w:bCs/>
                <w:sz w:val="18"/>
                <w:szCs w:val="18"/>
              </w:rPr>
              <w:t>戊</w:t>
            </w:r>
          </w:p>
        </w:tc>
        <w:tc>
          <w:tcPr>
            <w:tcW w:w="79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5DFBBDCD">
            <w:pPr>
              <w:spacing w:line="240" w:lineRule="exact"/>
              <w:jc w:val="center"/>
              <w:textAlignment w:val="center"/>
              <w:rPr>
                <w:bCs/>
                <w:sz w:val="18"/>
                <w:szCs w:val="18"/>
              </w:rPr>
            </w:pPr>
            <w:r>
              <w:rPr>
                <w:bCs/>
                <w:sz w:val="18"/>
                <w:szCs w:val="18"/>
              </w:rPr>
              <w:t>1</w:t>
            </w:r>
          </w:p>
        </w:tc>
        <w:tc>
          <w:tcPr>
            <w:tcW w:w="82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72612EB1">
            <w:pPr>
              <w:spacing w:line="240" w:lineRule="exact"/>
              <w:jc w:val="center"/>
              <w:textAlignment w:val="center"/>
              <w:rPr>
                <w:bCs/>
                <w:sz w:val="18"/>
                <w:szCs w:val="18"/>
              </w:rPr>
            </w:pPr>
            <w:r>
              <w:rPr>
                <w:bCs/>
                <w:sz w:val="18"/>
                <w:szCs w:val="18"/>
              </w:rPr>
              <w:t>2</w:t>
            </w:r>
          </w:p>
        </w:tc>
        <w:tc>
          <w:tcPr>
            <w:tcW w:w="83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2E451362">
            <w:pPr>
              <w:spacing w:line="240" w:lineRule="exact"/>
              <w:jc w:val="center"/>
              <w:textAlignment w:val="center"/>
              <w:rPr>
                <w:bCs/>
                <w:sz w:val="18"/>
                <w:szCs w:val="18"/>
              </w:rPr>
            </w:pPr>
            <w:r>
              <w:rPr>
                <w:bCs/>
                <w:sz w:val="18"/>
                <w:szCs w:val="18"/>
              </w:rPr>
              <w:t>3</w:t>
            </w:r>
          </w:p>
        </w:tc>
        <w:tc>
          <w:tcPr>
            <w:tcW w:w="83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14:paraId="175BB882">
            <w:pPr>
              <w:spacing w:line="240" w:lineRule="exact"/>
              <w:jc w:val="center"/>
              <w:textAlignment w:val="center"/>
              <w:rPr>
                <w:bCs/>
                <w:sz w:val="18"/>
                <w:szCs w:val="18"/>
              </w:rPr>
            </w:pPr>
            <w:r>
              <w:rPr>
                <w:bCs/>
                <w:sz w:val="18"/>
                <w:szCs w:val="18"/>
              </w:rPr>
              <w:t>4</w:t>
            </w:r>
          </w:p>
        </w:tc>
        <w:tc>
          <w:tcPr>
            <w:tcW w:w="830"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14:paraId="3B8AFFD2">
            <w:pPr>
              <w:spacing w:line="240" w:lineRule="exact"/>
              <w:jc w:val="center"/>
              <w:textAlignment w:val="center"/>
              <w:rPr>
                <w:bCs/>
                <w:sz w:val="18"/>
                <w:szCs w:val="18"/>
              </w:rPr>
            </w:pPr>
            <w:r>
              <w:rPr>
                <w:bCs/>
                <w:sz w:val="18"/>
                <w:szCs w:val="18"/>
              </w:rPr>
              <w:t>5</w:t>
            </w:r>
          </w:p>
        </w:tc>
        <w:tc>
          <w:tcPr>
            <w:tcW w:w="830" w:type="dxa"/>
            <w:tcBorders>
              <w:top w:val="single" w:color="auto" w:sz="2" w:space="0"/>
              <w:left w:val="single" w:color="auto" w:sz="2" w:space="0"/>
              <w:bottom w:val="single" w:color="auto" w:sz="2" w:space="0"/>
              <w:right w:val="single" w:color="auto" w:sz="2" w:space="0"/>
            </w:tcBorders>
            <w:shd w:val="clear" w:color="auto" w:fill="D9D9D9"/>
            <w:tcMar>
              <w:top w:w="15" w:type="dxa"/>
              <w:left w:w="15" w:type="dxa"/>
              <w:bottom w:w="0" w:type="dxa"/>
              <w:right w:w="15" w:type="dxa"/>
            </w:tcMar>
            <w:vAlign w:val="center"/>
          </w:tcPr>
          <w:p w14:paraId="6A6D3948">
            <w:pPr>
              <w:spacing w:line="240" w:lineRule="exact"/>
              <w:jc w:val="center"/>
              <w:textAlignment w:val="center"/>
              <w:rPr>
                <w:bCs/>
                <w:sz w:val="18"/>
                <w:szCs w:val="18"/>
              </w:rPr>
            </w:pPr>
            <w:r>
              <w:rPr>
                <w:bCs/>
                <w:sz w:val="18"/>
                <w:szCs w:val="18"/>
              </w:rPr>
              <w:t>6</w:t>
            </w:r>
          </w:p>
        </w:tc>
        <w:tc>
          <w:tcPr>
            <w:tcW w:w="830" w:type="dxa"/>
            <w:tcBorders>
              <w:top w:val="single" w:color="auto" w:sz="2" w:space="0"/>
              <w:left w:val="single" w:color="auto" w:sz="2" w:space="0"/>
              <w:bottom w:val="single" w:color="auto" w:sz="2" w:space="0"/>
              <w:right w:val="nil"/>
            </w:tcBorders>
            <w:shd w:val="clear" w:color="auto" w:fill="D9D9D9"/>
            <w:tcMar>
              <w:top w:w="15" w:type="dxa"/>
              <w:left w:w="15" w:type="dxa"/>
              <w:bottom w:w="0" w:type="dxa"/>
              <w:right w:w="15" w:type="dxa"/>
            </w:tcMar>
            <w:vAlign w:val="center"/>
          </w:tcPr>
          <w:p w14:paraId="01D6B44E">
            <w:pPr>
              <w:spacing w:line="240" w:lineRule="exact"/>
              <w:jc w:val="center"/>
              <w:textAlignment w:val="center"/>
              <w:rPr>
                <w:bCs/>
                <w:sz w:val="18"/>
                <w:szCs w:val="18"/>
              </w:rPr>
            </w:pPr>
            <w:r>
              <w:rPr>
                <w:bCs/>
                <w:sz w:val="18"/>
                <w:szCs w:val="18"/>
              </w:rPr>
              <w:t>7</w:t>
            </w:r>
          </w:p>
        </w:tc>
      </w:tr>
      <w:tr w14:paraId="6EA1DC85">
        <w:tblPrEx>
          <w:tblCellMar>
            <w:top w:w="0" w:type="dxa"/>
            <w:left w:w="0" w:type="dxa"/>
            <w:bottom w:w="0" w:type="dxa"/>
            <w:right w:w="0" w:type="dxa"/>
          </w:tblCellMar>
        </w:tblPrEx>
        <w:trPr>
          <w:trHeight w:val="850" w:hRule="atLeast"/>
          <w:jc w:val="center"/>
        </w:trPr>
        <w:tc>
          <w:tcPr>
            <w:tcW w:w="970" w:type="dxa"/>
            <w:tcBorders>
              <w:top w:val="single" w:color="auto" w:sz="2" w:space="0"/>
              <w:bottom w:val="single" w:color="auto" w:sz="8" w:space="0"/>
              <w:right w:val="single" w:color="auto" w:sz="2" w:space="0"/>
            </w:tcBorders>
            <w:vAlign w:val="center"/>
          </w:tcPr>
          <w:p w14:paraId="37F0FE4A">
            <w:pPr>
              <w:spacing w:line="240" w:lineRule="exact"/>
              <w:rPr>
                <w:bCs/>
                <w:szCs w:val="21"/>
              </w:rPr>
            </w:pPr>
          </w:p>
        </w:tc>
        <w:tc>
          <w:tcPr>
            <w:tcW w:w="680" w:type="dxa"/>
            <w:tcBorders>
              <w:top w:val="single" w:color="auto" w:sz="2" w:space="0"/>
              <w:left w:val="single" w:color="auto" w:sz="2" w:space="0"/>
              <w:bottom w:val="single" w:color="auto" w:sz="8" w:space="0"/>
              <w:right w:val="single" w:color="auto" w:sz="2" w:space="0"/>
            </w:tcBorders>
            <w:vAlign w:val="center"/>
          </w:tcPr>
          <w:p w14:paraId="0E2204FC">
            <w:pPr>
              <w:spacing w:line="240" w:lineRule="exact"/>
              <w:rPr>
                <w:bCs/>
                <w:sz w:val="18"/>
                <w:szCs w:val="18"/>
              </w:rPr>
            </w:pPr>
          </w:p>
        </w:tc>
        <w:tc>
          <w:tcPr>
            <w:tcW w:w="680" w:type="dxa"/>
            <w:tcBorders>
              <w:top w:val="single" w:color="auto" w:sz="2" w:space="0"/>
              <w:left w:val="single" w:color="auto" w:sz="2" w:space="0"/>
              <w:bottom w:val="single" w:color="auto" w:sz="8" w:space="0"/>
              <w:right w:val="single" w:color="auto" w:sz="2" w:space="0"/>
            </w:tcBorders>
            <w:vAlign w:val="center"/>
          </w:tcPr>
          <w:p w14:paraId="401722B6">
            <w:pPr>
              <w:spacing w:line="240" w:lineRule="exact"/>
              <w:rPr>
                <w:bCs/>
                <w:szCs w:val="21"/>
              </w:rPr>
            </w:pPr>
          </w:p>
        </w:tc>
        <w:tc>
          <w:tcPr>
            <w:tcW w:w="680" w:type="dxa"/>
            <w:tcBorders>
              <w:top w:val="single" w:color="auto" w:sz="2" w:space="0"/>
              <w:left w:val="single" w:color="auto" w:sz="2" w:space="0"/>
              <w:bottom w:val="single" w:color="auto" w:sz="8" w:space="0"/>
              <w:right w:val="single" w:color="auto" w:sz="2" w:space="0"/>
            </w:tcBorders>
            <w:vAlign w:val="center"/>
          </w:tcPr>
          <w:p w14:paraId="24D3585D">
            <w:pPr>
              <w:spacing w:line="240" w:lineRule="exact"/>
              <w:rPr>
                <w:bCs/>
                <w:szCs w:val="21"/>
              </w:rPr>
            </w:pPr>
          </w:p>
        </w:tc>
        <w:tc>
          <w:tcPr>
            <w:tcW w:w="680" w:type="dxa"/>
            <w:tcBorders>
              <w:top w:val="single" w:color="auto" w:sz="2" w:space="0"/>
              <w:left w:val="single" w:color="auto" w:sz="2" w:space="0"/>
              <w:bottom w:val="single" w:color="auto" w:sz="8" w:space="0"/>
              <w:right w:val="single" w:color="auto" w:sz="2" w:space="0"/>
            </w:tcBorders>
            <w:vAlign w:val="center"/>
          </w:tcPr>
          <w:p w14:paraId="4FB50125">
            <w:pPr>
              <w:spacing w:line="240" w:lineRule="exact"/>
              <w:rPr>
                <w:bCs/>
                <w:szCs w:val="21"/>
              </w:rPr>
            </w:pPr>
          </w:p>
        </w:tc>
        <w:tc>
          <w:tcPr>
            <w:tcW w:w="5777" w:type="dxa"/>
            <w:gridSpan w:val="7"/>
            <w:tcBorders>
              <w:top w:val="single" w:color="auto" w:sz="2" w:space="0"/>
              <w:left w:val="single" w:color="auto" w:sz="2" w:space="0"/>
              <w:bottom w:val="single" w:color="auto" w:sz="8" w:space="0"/>
            </w:tcBorders>
            <w:vAlign w:val="center"/>
          </w:tcPr>
          <w:p w14:paraId="75298E15">
            <w:pPr>
              <w:spacing w:line="240" w:lineRule="exact"/>
              <w:rPr>
                <w:bCs/>
                <w:szCs w:val="21"/>
              </w:rPr>
            </w:pPr>
          </w:p>
        </w:tc>
      </w:tr>
    </w:tbl>
    <w:p w14:paraId="081A6387">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48F78673">
      <w:pPr>
        <w:tabs>
          <w:tab w:val="left" w:pos="5430"/>
        </w:tabs>
        <w:adjustRightInd w:val="0"/>
        <w:ind w:right="-38" w:rightChars="-18"/>
        <w:rPr>
          <w:b/>
          <w:sz w:val="18"/>
          <w:szCs w:val="18"/>
        </w:rPr>
      </w:pPr>
    </w:p>
    <w:p w14:paraId="2A512393">
      <w:pPr>
        <w:spacing w:line="280" w:lineRule="exact"/>
        <w:rPr>
          <w:sz w:val="18"/>
          <w:szCs w:val="18"/>
        </w:rPr>
      </w:pPr>
      <w:r>
        <w:rPr>
          <w:sz w:val="18"/>
          <w:szCs w:val="18"/>
        </w:rPr>
        <w:t>说明：1.统计范围：辖区内年综合能源消费量1万吨标准煤及以上的规模以上工业法人单位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r>
        <w:rPr>
          <w:sz w:val="18"/>
          <w:szCs w:val="18"/>
        </w:rPr>
        <w:t>。</w:t>
      </w:r>
    </w:p>
    <w:p w14:paraId="0D4DE50A">
      <w:pPr>
        <w:numPr>
          <w:ilvl w:val="0"/>
          <w:numId w:val="0"/>
        </w:numPr>
        <w:snapToGrid w:val="0"/>
        <w:spacing w:line="280" w:lineRule="exact"/>
        <w:ind w:left="2122" w:leftChars="256" w:hanging="1584" w:hangingChars="880"/>
        <w:rPr>
          <w:sz w:val="18"/>
          <w:szCs w:val="18"/>
        </w:rPr>
      </w:pPr>
      <w:r>
        <w:rPr>
          <w:rFonts w:ascii="Times New Roman" w:hAnsi="Times New Roman" w:eastAsia="宋体" w:cs="Times New Roman"/>
          <w:kern w:val="2"/>
          <w:sz w:val="18"/>
          <w:szCs w:val="18"/>
          <w:lang w:val="en-US" w:eastAsia="zh-CN" w:bidi="ar-SA"/>
        </w:rPr>
        <w:t>2.</w:t>
      </w:r>
      <w:r>
        <w:rPr>
          <w:sz w:val="18"/>
          <w:szCs w:val="18"/>
        </w:rPr>
        <w:t>报送日期及方式：</w:t>
      </w:r>
      <w:r>
        <w:rPr>
          <w:rFonts w:hint="eastAsia"/>
          <w:sz w:val="18"/>
          <w:szCs w:val="18"/>
          <w:lang w:val="en-US" w:eastAsia="zh-CN"/>
        </w:rPr>
        <w:t>调查单位</w:t>
      </w:r>
      <w:r>
        <w:rPr>
          <w:rFonts w:hint="eastAsia"/>
          <w:sz w:val="18"/>
          <w:szCs w:val="18"/>
        </w:rPr>
        <w:t>上半年7月10日、下半年次年1月10日12:00前独立自行网上填报；省级统计机构上半年7月1</w:t>
      </w:r>
      <w:r>
        <w:rPr>
          <w:rFonts w:hint="eastAsia"/>
          <w:sz w:val="18"/>
          <w:szCs w:val="18"/>
          <w:lang w:val="en-US" w:eastAsia="zh-CN"/>
        </w:rPr>
        <w:t>2</w:t>
      </w:r>
      <w:r>
        <w:rPr>
          <w:rFonts w:hint="eastAsia"/>
          <w:sz w:val="18"/>
          <w:szCs w:val="18"/>
        </w:rPr>
        <w:t>日、下半年次年1月1</w:t>
      </w:r>
      <w:r>
        <w:rPr>
          <w:rFonts w:hint="eastAsia"/>
          <w:sz w:val="18"/>
          <w:szCs w:val="18"/>
          <w:lang w:val="en-US" w:eastAsia="zh-CN"/>
        </w:rPr>
        <w:t>5</w:t>
      </w:r>
      <w:r>
        <w:rPr>
          <w:rFonts w:hint="eastAsia"/>
          <w:sz w:val="18"/>
          <w:szCs w:val="18"/>
        </w:rPr>
        <w:t>日12:00前完成数据审核、验收、上报</w:t>
      </w:r>
      <w:r>
        <w:rPr>
          <w:sz w:val="18"/>
          <w:szCs w:val="18"/>
        </w:rPr>
        <w:t>。</w:t>
      </w:r>
    </w:p>
    <w:p w14:paraId="0B91A33E">
      <w:pPr>
        <w:pStyle w:val="2"/>
        <w:numPr>
          <w:ilvl w:val="-1"/>
          <w:numId w:val="0"/>
        </w:numPr>
        <w:spacing w:line="280" w:lineRule="exact"/>
        <w:ind w:firstLine="540" w:firstLineChars="300"/>
        <w:rPr>
          <w:rFonts w:hint="default" w:ascii="Times New Roman" w:hAnsi="Times New Roman" w:eastAsia="宋体"/>
          <w:sz w:val="18"/>
          <w:szCs w:val="18"/>
          <w:lang w:val="en-US" w:eastAsia="zh-CN"/>
        </w:rPr>
      </w:pPr>
      <w:r>
        <w:rPr>
          <w:rFonts w:hint="default" w:ascii="Times New Roman" w:hAnsi="Times New Roman"/>
          <w:sz w:val="18"/>
          <w:szCs w:val="18"/>
          <w:lang w:val="en-US" w:eastAsia="zh-CN"/>
        </w:rPr>
        <w:t>3.</w:t>
      </w:r>
      <w:r>
        <w:rPr>
          <w:sz w:val="18"/>
          <w:szCs w:val="18"/>
        </w:rPr>
        <w:t>本表为半年报，上半年报送</w:t>
      </w:r>
      <w:r>
        <w:rPr>
          <w:rFonts w:ascii="Times New Roman" w:hAnsi="Times New Roman"/>
          <w:sz w:val="18"/>
          <w:szCs w:val="18"/>
        </w:rPr>
        <w:t>1-6</w:t>
      </w:r>
      <w:r>
        <w:rPr>
          <w:sz w:val="18"/>
          <w:szCs w:val="18"/>
        </w:rPr>
        <w:t>月份累计数据，下半年报送</w:t>
      </w:r>
      <w:r>
        <w:rPr>
          <w:rFonts w:ascii="Times New Roman" w:hAnsi="Times New Roman"/>
          <w:sz w:val="18"/>
          <w:szCs w:val="18"/>
        </w:rPr>
        <w:t>1-12</w:t>
      </w:r>
      <w:r>
        <w:rPr>
          <w:sz w:val="18"/>
          <w:szCs w:val="18"/>
        </w:rPr>
        <w:t>月份累计数据。</w:t>
      </w:r>
    </w:p>
    <w:p w14:paraId="29B2B1E8">
      <w:pPr>
        <w:spacing w:line="280" w:lineRule="exact"/>
        <w:ind w:firstLine="540" w:firstLineChars="300"/>
        <w:rPr>
          <w:sz w:val="18"/>
          <w:szCs w:val="18"/>
        </w:rPr>
      </w:pPr>
      <w:r>
        <w:rPr>
          <w:rFonts w:hint="eastAsia"/>
          <w:sz w:val="18"/>
          <w:szCs w:val="18"/>
          <w:lang w:val="en-US" w:eastAsia="zh-CN"/>
        </w:rPr>
        <w:t>4</w:t>
      </w:r>
      <w:r>
        <w:rPr>
          <w:sz w:val="18"/>
          <w:szCs w:val="18"/>
        </w:rPr>
        <w:t>.本表甲栏下按《主要耗能工业企业单位产品能源消</w:t>
      </w:r>
      <w:r>
        <w:rPr>
          <w:rFonts w:hint="eastAsia"/>
          <w:sz w:val="18"/>
          <w:szCs w:val="18"/>
        </w:rPr>
        <w:t>费</w:t>
      </w:r>
      <w:r>
        <w:rPr>
          <w:sz w:val="18"/>
          <w:szCs w:val="18"/>
        </w:rPr>
        <w:t>情况目录》填报。</w:t>
      </w:r>
    </w:p>
    <w:p w14:paraId="2690E436">
      <w:pPr>
        <w:snapToGrid w:val="0"/>
        <w:spacing w:line="280" w:lineRule="exact"/>
        <w:ind w:left="663" w:leftChars="256" w:hanging="125" w:hangingChars="70"/>
        <w:rPr>
          <w:sz w:val="18"/>
        </w:rPr>
      </w:pPr>
      <w:r>
        <w:rPr>
          <w:rFonts w:hint="eastAsia"/>
          <w:sz w:val="18"/>
          <w:szCs w:val="18"/>
          <w:lang w:val="en-US" w:eastAsia="zh-CN"/>
        </w:rPr>
        <w:t>5</w:t>
      </w:r>
      <w:r>
        <w:rPr>
          <w:sz w:val="18"/>
          <w:szCs w:val="18"/>
        </w:rPr>
        <w:t>.</w:t>
      </w:r>
      <w:r>
        <w:rPr>
          <w:rFonts w:ascii="宋体" w:hAnsi="宋体"/>
          <w:sz w:val="18"/>
        </w:rPr>
        <w:t>本</w:t>
      </w:r>
      <w:r>
        <w:rPr>
          <w:rFonts w:hint="eastAsia" w:ascii="宋体" w:hAnsi="宋体"/>
          <w:sz w:val="18"/>
        </w:rPr>
        <w:t>表中</w:t>
      </w:r>
      <w:r>
        <w:rPr>
          <w:rFonts w:hint="eastAsia" w:ascii="宋体" w:hAnsi="宋体"/>
          <w:sz w:val="18"/>
          <w:lang w:eastAsia="zh-CN"/>
        </w:rPr>
        <w:t>“</w:t>
      </w:r>
      <w:r>
        <w:rPr>
          <w:rFonts w:hint="eastAsia" w:ascii="宋体" w:hAnsi="宋体"/>
          <w:sz w:val="18"/>
        </w:rPr>
        <w:t>上年同期</w:t>
      </w:r>
      <w:r>
        <w:rPr>
          <w:rFonts w:hint="eastAsia" w:ascii="宋体" w:hAnsi="宋体"/>
          <w:sz w:val="18"/>
          <w:lang w:eastAsia="zh-CN"/>
        </w:rPr>
        <w:t>”</w:t>
      </w:r>
      <w:r>
        <w:rPr>
          <w:rFonts w:hint="eastAsia" w:ascii="宋体" w:hAnsi="宋体"/>
          <w:sz w:val="18"/>
        </w:rPr>
        <w:t>数据统一由国家统计局在数据处理软件中复制，调查单位和各级统计机构原则上不得修改；本</w:t>
      </w:r>
      <w:r>
        <w:rPr>
          <w:rFonts w:hint="eastAsia"/>
          <w:sz w:val="18"/>
        </w:rPr>
        <w:t>年新增的调查单位自行填报</w:t>
      </w:r>
      <w:r>
        <w:rPr>
          <w:rFonts w:hint="eastAsia" w:ascii="宋体" w:hAnsi="宋体"/>
          <w:sz w:val="18"/>
          <w:lang w:eastAsia="zh-CN"/>
        </w:rPr>
        <w:t>“</w:t>
      </w:r>
      <w:r>
        <w:rPr>
          <w:rFonts w:hint="eastAsia" w:ascii="宋体" w:hAnsi="宋体"/>
          <w:sz w:val="18"/>
        </w:rPr>
        <w:t>上年同期</w:t>
      </w:r>
      <w:r>
        <w:rPr>
          <w:rFonts w:hint="eastAsia" w:ascii="宋体" w:hAnsi="宋体"/>
          <w:sz w:val="18"/>
          <w:lang w:eastAsia="zh-CN"/>
        </w:rPr>
        <w:t>”</w:t>
      </w:r>
      <w:r>
        <w:rPr>
          <w:rFonts w:hint="eastAsia"/>
          <w:sz w:val="18"/>
        </w:rPr>
        <w:t>数据；涉及兼并、重组等情况的企业，经国家统计局批准后，调查单位可调整同期数；本年新增指标的同期数由调查单位自行填报。</w:t>
      </w:r>
    </w:p>
    <w:p w14:paraId="1C1E30ED">
      <w:pPr>
        <w:spacing w:line="280" w:lineRule="exact"/>
        <w:ind w:firstLine="540" w:firstLineChars="300"/>
        <w:rPr>
          <w:sz w:val="18"/>
          <w:szCs w:val="18"/>
        </w:rPr>
      </w:pPr>
      <w:r>
        <w:rPr>
          <w:rFonts w:hint="eastAsia"/>
          <w:sz w:val="18"/>
          <w:szCs w:val="18"/>
          <w:lang w:val="en-US" w:eastAsia="zh-CN"/>
        </w:rPr>
        <w:t>6</w:t>
      </w:r>
      <w:r>
        <w:rPr>
          <w:sz w:val="18"/>
          <w:szCs w:val="18"/>
        </w:rPr>
        <w:t>.审核关系：</w:t>
      </w:r>
    </w:p>
    <w:p w14:paraId="32F3596C">
      <w:pPr>
        <w:spacing w:line="280" w:lineRule="exact"/>
        <w:ind w:firstLine="666" w:firstLineChars="370"/>
        <w:rPr>
          <w:sz w:val="18"/>
          <w:szCs w:val="18"/>
        </w:rPr>
      </w:pPr>
      <w:r>
        <w:rPr>
          <w:sz w:val="18"/>
          <w:szCs w:val="18"/>
        </w:rPr>
        <w:t>指标值=子项值/母项值×单位换算系数</w:t>
      </w:r>
    </w:p>
    <w:p w14:paraId="7562B354">
      <w:pPr>
        <w:snapToGrid w:val="0"/>
        <w:spacing w:before="480" w:beforeLines="200" w:after="240" w:afterLines="100"/>
        <w:jc w:val="center"/>
        <w:outlineLvl w:val="2"/>
        <w:rPr>
          <w:sz w:val="32"/>
        </w:rPr>
      </w:pPr>
      <w:r>
        <w:rPr>
          <w:sz w:val="32"/>
          <w:szCs w:val="32"/>
        </w:rPr>
        <w:br w:type="page"/>
      </w:r>
      <w:r>
        <w:rPr>
          <w:sz w:val="32"/>
        </w:rPr>
        <w:t>工业企业用水情况</w:t>
      </w:r>
    </w:p>
    <w:tbl>
      <w:tblPr>
        <w:tblStyle w:val="20"/>
        <w:tblW w:w="5191" w:type="pct"/>
        <w:jc w:val="center"/>
        <w:tblLayout w:type="autofit"/>
        <w:tblCellMar>
          <w:top w:w="0" w:type="dxa"/>
          <w:left w:w="0" w:type="dxa"/>
          <w:bottom w:w="0" w:type="dxa"/>
          <w:right w:w="0" w:type="dxa"/>
        </w:tblCellMar>
      </w:tblPr>
      <w:tblGrid>
        <w:gridCol w:w="2710"/>
        <w:gridCol w:w="822"/>
        <w:gridCol w:w="400"/>
        <w:gridCol w:w="18"/>
        <w:gridCol w:w="790"/>
        <w:gridCol w:w="1253"/>
        <w:gridCol w:w="829"/>
        <w:gridCol w:w="428"/>
        <w:gridCol w:w="436"/>
        <w:gridCol w:w="815"/>
        <w:gridCol w:w="1253"/>
        <w:gridCol w:w="18"/>
      </w:tblGrid>
      <w:tr w14:paraId="5BDC8E7B">
        <w:tblPrEx>
          <w:tblCellMar>
            <w:top w:w="0" w:type="dxa"/>
            <w:left w:w="0" w:type="dxa"/>
            <w:bottom w:w="0" w:type="dxa"/>
            <w:right w:w="0" w:type="dxa"/>
          </w:tblCellMar>
        </w:tblPrEx>
        <w:trPr>
          <w:gridAfter w:val="1"/>
          <w:wAfter w:w="8" w:type="pct"/>
          <w:jc w:val="center"/>
        </w:trPr>
        <w:tc>
          <w:tcPr>
            <w:tcW w:w="1808" w:type="pct"/>
            <w:gridSpan w:val="2"/>
          </w:tcPr>
          <w:p w14:paraId="2D0C7612">
            <w:pPr>
              <w:spacing w:line="260" w:lineRule="exact"/>
              <w:rPr>
                <w:sz w:val="18"/>
                <w:szCs w:val="18"/>
              </w:rPr>
            </w:pPr>
          </w:p>
        </w:tc>
        <w:tc>
          <w:tcPr>
            <w:tcW w:w="214" w:type="pct"/>
            <w:gridSpan w:val="2"/>
          </w:tcPr>
          <w:p w14:paraId="1EFC1703">
            <w:pPr>
              <w:spacing w:line="260" w:lineRule="exact"/>
              <w:rPr>
                <w:sz w:val="18"/>
                <w:szCs w:val="18"/>
              </w:rPr>
            </w:pPr>
          </w:p>
        </w:tc>
        <w:tc>
          <w:tcPr>
            <w:tcW w:w="1468" w:type="pct"/>
            <w:gridSpan w:val="3"/>
          </w:tcPr>
          <w:p w14:paraId="79812B5D">
            <w:pPr>
              <w:spacing w:line="260" w:lineRule="exact"/>
              <w:rPr>
                <w:sz w:val="18"/>
                <w:szCs w:val="18"/>
              </w:rPr>
            </w:pPr>
          </w:p>
        </w:tc>
        <w:tc>
          <w:tcPr>
            <w:tcW w:w="442" w:type="pct"/>
            <w:gridSpan w:val="2"/>
            <w:tcMar>
              <w:left w:w="0" w:type="dxa"/>
              <w:right w:w="0" w:type="dxa"/>
            </w:tcMar>
          </w:tcPr>
          <w:p w14:paraId="5A3DFA10">
            <w:pPr>
              <w:spacing w:line="260" w:lineRule="exact"/>
              <w:rPr>
                <w:sz w:val="18"/>
                <w:szCs w:val="18"/>
              </w:rPr>
            </w:pPr>
            <w:r>
              <w:rPr>
                <w:sz w:val="18"/>
                <w:szCs w:val="18"/>
              </w:rPr>
              <w:t>表    号：</w:t>
            </w:r>
          </w:p>
        </w:tc>
        <w:tc>
          <w:tcPr>
            <w:tcW w:w="1058" w:type="pct"/>
            <w:gridSpan w:val="2"/>
            <w:vAlign w:val="center"/>
          </w:tcPr>
          <w:p w14:paraId="5721D3EA">
            <w:pPr>
              <w:spacing w:line="260" w:lineRule="exact"/>
              <w:jc w:val="distribute"/>
              <w:rPr>
                <w:sz w:val="18"/>
                <w:szCs w:val="18"/>
              </w:rPr>
            </w:pPr>
            <w:r>
              <w:rPr>
                <w:kern w:val="0"/>
                <w:sz w:val="18"/>
                <w:szCs w:val="18"/>
              </w:rPr>
              <w:t>２０５－４表</w:t>
            </w:r>
          </w:p>
        </w:tc>
      </w:tr>
      <w:tr w14:paraId="29ADD87C">
        <w:tblPrEx>
          <w:tblCellMar>
            <w:top w:w="0" w:type="dxa"/>
            <w:left w:w="0" w:type="dxa"/>
            <w:bottom w:w="0" w:type="dxa"/>
            <w:right w:w="0" w:type="dxa"/>
          </w:tblCellMar>
        </w:tblPrEx>
        <w:trPr>
          <w:gridAfter w:val="1"/>
          <w:wAfter w:w="8" w:type="pct"/>
          <w:jc w:val="center"/>
        </w:trPr>
        <w:tc>
          <w:tcPr>
            <w:tcW w:w="3491" w:type="pct"/>
            <w:gridSpan w:val="7"/>
          </w:tcPr>
          <w:p w14:paraId="5FDDA358">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442" w:type="pct"/>
            <w:gridSpan w:val="2"/>
            <w:tcMar>
              <w:left w:w="0" w:type="dxa"/>
              <w:right w:w="0" w:type="dxa"/>
            </w:tcMar>
            <w:vAlign w:val="center"/>
          </w:tcPr>
          <w:p w14:paraId="52BCE10B">
            <w:pPr>
              <w:spacing w:line="260" w:lineRule="exact"/>
              <w:rPr>
                <w:sz w:val="18"/>
                <w:szCs w:val="18"/>
              </w:rPr>
            </w:pPr>
            <w:r>
              <w:rPr>
                <w:sz w:val="18"/>
                <w:szCs w:val="18"/>
              </w:rPr>
              <w:t>制定机关：</w:t>
            </w:r>
          </w:p>
        </w:tc>
        <w:tc>
          <w:tcPr>
            <w:tcW w:w="1058" w:type="pct"/>
            <w:gridSpan w:val="2"/>
            <w:vAlign w:val="center"/>
          </w:tcPr>
          <w:p w14:paraId="117E5206">
            <w:pPr>
              <w:spacing w:line="260" w:lineRule="exact"/>
              <w:jc w:val="distribute"/>
              <w:rPr>
                <w:sz w:val="18"/>
                <w:szCs w:val="18"/>
              </w:rPr>
            </w:pPr>
            <w:r>
              <w:rPr>
                <w:sz w:val="18"/>
                <w:szCs w:val="18"/>
              </w:rPr>
              <w:t>国 家 统 计 局</w:t>
            </w:r>
          </w:p>
        </w:tc>
      </w:tr>
      <w:tr w14:paraId="4BAC3044">
        <w:tblPrEx>
          <w:tblCellMar>
            <w:top w:w="0" w:type="dxa"/>
            <w:left w:w="0" w:type="dxa"/>
            <w:bottom w:w="0" w:type="dxa"/>
            <w:right w:w="0" w:type="dxa"/>
          </w:tblCellMar>
        </w:tblPrEx>
        <w:trPr>
          <w:gridAfter w:val="1"/>
          <w:wAfter w:w="8" w:type="pct"/>
          <w:jc w:val="center"/>
        </w:trPr>
        <w:tc>
          <w:tcPr>
            <w:tcW w:w="3491" w:type="pct"/>
            <w:gridSpan w:val="7"/>
          </w:tcPr>
          <w:p w14:paraId="28B2E745">
            <w:pPr>
              <w:spacing w:line="260" w:lineRule="exact"/>
              <w:rPr>
                <w:rFonts w:hint="eastAsia" w:eastAsia="宋体"/>
                <w:sz w:val="18"/>
                <w:szCs w:val="18"/>
                <w:lang w:eastAsia="zh-CN"/>
              </w:rPr>
            </w:pPr>
          </w:p>
        </w:tc>
        <w:tc>
          <w:tcPr>
            <w:tcW w:w="442" w:type="pct"/>
            <w:gridSpan w:val="2"/>
            <w:tcMar>
              <w:left w:w="0" w:type="dxa"/>
              <w:right w:w="0" w:type="dxa"/>
            </w:tcMar>
            <w:vAlign w:val="center"/>
          </w:tcPr>
          <w:p w14:paraId="59C01042">
            <w:pPr>
              <w:spacing w:line="260" w:lineRule="exact"/>
              <w:rPr>
                <w:sz w:val="18"/>
                <w:szCs w:val="18"/>
              </w:rPr>
            </w:pPr>
            <w:r>
              <w:rPr>
                <w:sz w:val="18"/>
                <w:szCs w:val="18"/>
              </w:rPr>
              <w:t>文    号：</w:t>
            </w:r>
          </w:p>
        </w:tc>
        <w:tc>
          <w:tcPr>
            <w:tcW w:w="1058" w:type="pct"/>
            <w:gridSpan w:val="2"/>
            <w:vAlign w:val="center"/>
          </w:tcPr>
          <w:p w14:paraId="1DF2619D">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114" w:author="kylin" w:date="2025-10-17T16:18:54Z">
              <w:r>
                <w:rPr>
                  <w:rFonts w:hint="default" w:ascii="宋体" w:hAnsi="宋体"/>
                  <w:spacing w:val="-16"/>
                  <w:sz w:val="18"/>
                  <w:szCs w:val="18"/>
                  <w:lang w:val="en-US" w:eastAsia="zh-CN"/>
                </w:rPr>
                <w:delText>４</w:delText>
              </w:r>
            </w:del>
            <w:ins w:id="115" w:author="kylin" w:date="2025-10-17T16:18:54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116" w:author="kylin" w:date="2025-10-17T16:18:55Z">
              <w:r>
                <w:rPr>
                  <w:rFonts w:hint="default" w:ascii="宋体" w:hAnsi="宋体"/>
                  <w:spacing w:val="-16"/>
                  <w:sz w:val="18"/>
                  <w:szCs w:val="18"/>
                  <w:lang w:val="en-US" w:eastAsia="zh-CN"/>
                </w:rPr>
                <w:delText>77</w:delText>
              </w:r>
            </w:del>
            <w:ins w:id="117" w:author="kylin" w:date="2025-10-17T16:18:55Z">
              <w:r>
                <w:rPr>
                  <w:rFonts w:hint="eastAsia" w:ascii="宋体" w:hAnsi="宋体"/>
                  <w:spacing w:val="-16"/>
                  <w:sz w:val="18"/>
                  <w:szCs w:val="18"/>
                  <w:lang w:val="en-US" w:eastAsia="zh-CN"/>
                </w:rPr>
                <w:t>8</w:t>
              </w:r>
            </w:ins>
            <w:ins w:id="118" w:author="kylin" w:date="2025-10-17T16:18:56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15AF14E1">
        <w:tblPrEx>
          <w:tblCellMar>
            <w:top w:w="0" w:type="dxa"/>
            <w:left w:w="0" w:type="dxa"/>
            <w:bottom w:w="0" w:type="dxa"/>
            <w:right w:w="0" w:type="dxa"/>
          </w:tblCellMar>
        </w:tblPrEx>
        <w:trPr>
          <w:gridAfter w:val="1"/>
          <w:wAfter w:w="8" w:type="pct"/>
          <w:jc w:val="center"/>
        </w:trPr>
        <w:tc>
          <w:tcPr>
            <w:tcW w:w="1808" w:type="pct"/>
            <w:gridSpan w:val="2"/>
          </w:tcPr>
          <w:p w14:paraId="15B8F055">
            <w:pPr>
              <w:spacing w:line="260" w:lineRule="exact"/>
              <w:rPr>
                <w:sz w:val="18"/>
                <w:szCs w:val="18"/>
              </w:rPr>
            </w:pPr>
            <w:r>
              <w:rPr>
                <w:sz w:val="18"/>
              </w:rPr>
              <w:t>单位详细名称：</w:t>
            </w:r>
          </w:p>
        </w:tc>
        <w:tc>
          <w:tcPr>
            <w:tcW w:w="214" w:type="pct"/>
            <w:gridSpan w:val="2"/>
          </w:tcPr>
          <w:p w14:paraId="492ACB0C">
            <w:pPr>
              <w:spacing w:line="260" w:lineRule="exact"/>
              <w:rPr>
                <w:sz w:val="18"/>
                <w:szCs w:val="18"/>
              </w:rPr>
            </w:pPr>
          </w:p>
        </w:tc>
        <w:tc>
          <w:tcPr>
            <w:tcW w:w="1468" w:type="pct"/>
            <w:gridSpan w:val="3"/>
          </w:tcPr>
          <w:p w14:paraId="70D037EE">
            <w:pPr>
              <w:spacing w:line="260" w:lineRule="exact"/>
              <w:rPr>
                <w:sz w:val="18"/>
                <w:szCs w:val="18"/>
              </w:rPr>
            </w:pPr>
            <w:r>
              <w:rPr>
                <w:sz w:val="18"/>
                <w:szCs w:val="18"/>
              </w:rPr>
              <w:t>２０　　年 １－　月</w:t>
            </w:r>
          </w:p>
        </w:tc>
        <w:tc>
          <w:tcPr>
            <w:tcW w:w="442" w:type="pct"/>
            <w:gridSpan w:val="2"/>
            <w:tcMar>
              <w:left w:w="0" w:type="dxa"/>
              <w:right w:w="0" w:type="dxa"/>
            </w:tcMar>
            <w:vAlign w:val="center"/>
          </w:tcPr>
          <w:p w14:paraId="5F492417">
            <w:pPr>
              <w:spacing w:line="260" w:lineRule="exact"/>
              <w:rPr>
                <w:sz w:val="18"/>
                <w:szCs w:val="18"/>
              </w:rPr>
            </w:pPr>
            <w:r>
              <w:rPr>
                <w:sz w:val="18"/>
                <w:szCs w:val="18"/>
              </w:rPr>
              <w:t>有效期至：</w:t>
            </w:r>
          </w:p>
        </w:tc>
        <w:tc>
          <w:tcPr>
            <w:tcW w:w="1058" w:type="pct"/>
            <w:gridSpan w:val="2"/>
            <w:vAlign w:val="center"/>
          </w:tcPr>
          <w:p w14:paraId="438EFC93">
            <w:pPr>
              <w:spacing w:line="260" w:lineRule="exact"/>
              <w:jc w:val="distribute"/>
              <w:rPr>
                <w:rFonts w:hint="default" w:eastAsia="宋体"/>
                <w:sz w:val="18"/>
                <w:szCs w:val="18"/>
                <w:lang w:val="en-US" w:eastAsia="zh-CN"/>
              </w:rPr>
            </w:pPr>
            <w:r>
              <w:rPr>
                <w:rFonts w:hint="default"/>
                <w:sz w:val="18"/>
                <w:szCs w:val="18"/>
                <w:lang w:val="en-US" w:eastAsia="zh-CN"/>
              </w:rPr>
              <w:t>２０２</w:t>
            </w:r>
            <w:del w:id="119" w:author="kylin" w:date="2025-10-17T16:18:57Z">
              <w:r>
                <w:rPr>
                  <w:rFonts w:hint="default"/>
                  <w:sz w:val="18"/>
                  <w:szCs w:val="18"/>
                  <w:lang w:val="en-US" w:eastAsia="zh-CN"/>
                </w:rPr>
                <w:delText>６</w:delText>
              </w:r>
            </w:del>
            <w:ins w:id="120" w:author="kylin" w:date="2025-10-17T16:18:57Z">
              <w:r>
                <w:rPr>
                  <w:rFonts w:hint="eastAsia"/>
                  <w:sz w:val="18"/>
                  <w:szCs w:val="18"/>
                  <w:lang w:val="en-US" w:eastAsia="zh-CN"/>
                </w:rPr>
                <w:t>7</w:t>
              </w:r>
            </w:ins>
            <w:r>
              <w:rPr>
                <w:rFonts w:hint="default"/>
                <w:sz w:val="18"/>
                <w:szCs w:val="18"/>
                <w:lang w:val="en-US" w:eastAsia="zh-CN"/>
              </w:rPr>
              <w:t>年１月</w:t>
            </w:r>
          </w:p>
        </w:tc>
      </w:tr>
      <w:tr w14:paraId="023B6ED2">
        <w:tblPrEx>
          <w:tblCellMar>
            <w:top w:w="0" w:type="dxa"/>
            <w:left w:w="108" w:type="dxa"/>
            <w:bottom w:w="0" w:type="dxa"/>
            <w:right w:w="108" w:type="dxa"/>
          </w:tblCellMar>
        </w:tblPrEx>
        <w:trPr>
          <w:trHeight w:val="285" w:hRule="atLeast"/>
          <w:jc w:val="center"/>
        </w:trPr>
        <w:tc>
          <w:tcPr>
            <w:tcW w:w="1387" w:type="pct"/>
            <w:vMerge w:val="restart"/>
            <w:tcBorders>
              <w:top w:val="single" w:color="auto" w:sz="8" w:space="0"/>
              <w:left w:val="nil"/>
              <w:bottom w:val="single" w:color="auto" w:sz="2" w:space="0"/>
              <w:right w:val="single" w:color="auto" w:sz="2" w:space="0"/>
            </w:tcBorders>
            <w:vAlign w:val="center"/>
          </w:tcPr>
          <w:p w14:paraId="2FE2E635">
            <w:pPr>
              <w:widowControl/>
              <w:jc w:val="center"/>
              <w:rPr>
                <w:kern w:val="0"/>
                <w:sz w:val="18"/>
                <w:szCs w:val="18"/>
              </w:rPr>
            </w:pPr>
            <w:r>
              <w:rPr>
                <w:kern w:val="0"/>
                <w:sz w:val="18"/>
                <w:szCs w:val="18"/>
              </w:rPr>
              <w:t>指标名称</w:t>
            </w:r>
          </w:p>
        </w:tc>
        <w:tc>
          <w:tcPr>
            <w:tcW w:w="626" w:type="pct"/>
            <w:gridSpan w:val="2"/>
            <w:vMerge w:val="restart"/>
            <w:tcBorders>
              <w:top w:val="single" w:color="auto" w:sz="8" w:space="0"/>
              <w:left w:val="single" w:color="auto" w:sz="2" w:space="0"/>
              <w:bottom w:val="single" w:color="auto" w:sz="2" w:space="0"/>
              <w:right w:val="single" w:color="auto" w:sz="2" w:space="0"/>
            </w:tcBorders>
            <w:vAlign w:val="center"/>
          </w:tcPr>
          <w:p w14:paraId="20C36A4D">
            <w:pPr>
              <w:widowControl/>
              <w:jc w:val="center"/>
              <w:rPr>
                <w:kern w:val="0"/>
                <w:sz w:val="18"/>
                <w:szCs w:val="18"/>
              </w:rPr>
            </w:pPr>
            <w:r>
              <w:rPr>
                <w:kern w:val="0"/>
                <w:sz w:val="18"/>
                <w:szCs w:val="18"/>
              </w:rPr>
              <w:t>计量单位</w:t>
            </w:r>
          </w:p>
        </w:tc>
        <w:tc>
          <w:tcPr>
            <w:tcW w:w="413" w:type="pct"/>
            <w:gridSpan w:val="2"/>
            <w:vMerge w:val="restart"/>
            <w:tcBorders>
              <w:top w:val="single" w:color="auto" w:sz="8" w:space="0"/>
              <w:left w:val="single" w:color="auto" w:sz="2" w:space="0"/>
              <w:bottom w:val="single" w:color="auto" w:sz="2" w:space="0"/>
              <w:right w:val="single" w:color="auto" w:sz="2" w:space="0"/>
            </w:tcBorders>
            <w:vAlign w:val="center"/>
          </w:tcPr>
          <w:p w14:paraId="4E2D7765">
            <w:pPr>
              <w:widowControl/>
              <w:jc w:val="center"/>
              <w:rPr>
                <w:kern w:val="0"/>
                <w:sz w:val="18"/>
                <w:szCs w:val="18"/>
              </w:rPr>
            </w:pPr>
            <w:r>
              <w:rPr>
                <w:kern w:val="0"/>
                <w:sz w:val="18"/>
                <w:szCs w:val="18"/>
              </w:rPr>
              <w:t>代码</w:t>
            </w:r>
          </w:p>
        </w:tc>
        <w:tc>
          <w:tcPr>
            <w:tcW w:w="1283" w:type="pct"/>
            <w:gridSpan w:val="3"/>
            <w:tcBorders>
              <w:top w:val="single" w:color="auto" w:sz="8" w:space="0"/>
              <w:left w:val="single" w:color="auto" w:sz="2" w:space="0"/>
              <w:bottom w:val="single" w:color="auto" w:sz="2" w:space="0"/>
              <w:right w:val="single" w:color="auto" w:sz="2" w:space="0"/>
            </w:tcBorders>
            <w:vAlign w:val="center"/>
          </w:tcPr>
          <w:p w14:paraId="09CD611C">
            <w:pPr>
              <w:widowControl/>
              <w:jc w:val="center"/>
              <w:rPr>
                <w:kern w:val="0"/>
                <w:sz w:val="18"/>
                <w:szCs w:val="18"/>
              </w:rPr>
            </w:pPr>
            <w:r>
              <w:rPr>
                <w:kern w:val="0"/>
                <w:sz w:val="18"/>
                <w:szCs w:val="18"/>
              </w:rPr>
              <w:t>取水量</w:t>
            </w:r>
          </w:p>
        </w:tc>
        <w:tc>
          <w:tcPr>
            <w:tcW w:w="1289" w:type="pct"/>
            <w:gridSpan w:val="4"/>
            <w:tcBorders>
              <w:top w:val="single" w:color="auto" w:sz="8" w:space="0"/>
              <w:left w:val="single" w:color="auto" w:sz="2" w:space="0"/>
              <w:bottom w:val="single" w:color="auto" w:sz="2" w:space="0"/>
              <w:right w:val="nil"/>
            </w:tcBorders>
            <w:vAlign w:val="center"/>
          </w:tcPr>
          <w:p w14:paraId="25A2A29D">
            <w:pPr>
              <w:widowControl/>
              <w:jc w:val="center"/>
              <w:rPr>
                <w:kern w:val="0"/>
                <w:sz w:val="18"/>
                <w:szCs w:val="18"/>
              </w:rPr>
            </w:pPr>
            <w:r>
              <w:rPr>
                <w:kern w:val="0"/>
                <w:sz w:val="18"/>
                <w:szCs w:val="18"/>
              </w:rPr>
              <w:t>外供水量</w:t>
            </w:r>
          </w:p>
        </w:tc>
      </w:tr>
      <w:tr w14:paraId="7783770B">
        <w:tblPrEx>
          <w:tblCellMar>
            <w:top w:w="0" w:type="dxa"/>
            <w:left w:w="108" w:type="dxa"/>
            <w:bottom w:w="0" w:type="dxa"/>
            <w:right w:w="108" w:type="dxa"/>
          </w:tblCellMar>
        </w:tblPrEx>
        <w:trPr>
          <w:trHeight w:val="285" w:hRule="atLeast"/>
          <w:jc w:val="center"/>
        </w:trPr>
        <w:tc>
          <w:tcPr>
            <w:tcW w:w="1387" w:type="pct"/>
            <w:vMerge w:val="continue"/>
            <w:tcBorders>
              <w:top w:val="single" w:color="auto" w:sz="2" w:space="0"/>
              <w:left w:val="nil"/>
              <w:bottom w:val="single" w:color="auto" w:sz="2" w:space="0"/>
              <w:right w:val="single" w:color="auto" w:sz="2" w:space="0"/>
            </w:tcBorders>
            <w:vAlign w:val="center"/>
          </w:tcPr>
          <w:p w14:paraId="2431E60A">
            <w:pPr>
              <w:widowControl/>
              <w:jc w:val="left"/>
              <w:rPr>
                <w:kern w:val="0"/>
                <w:sz w:val="18"/>
                <w:szCs w:val="18"/>
              </w:rPr>
            </w:pPr>
          </w:p>
        </w:tc>
        <w:tc>
          <w:tcPr>
            <w:tcW w:w="626" w:type="pct"/>
            <w:gridSpan w:val="2"/>
            <w:vMerge w:val="continue"/>
            <w:tcBorders>
              <w:top w:val="single" w:color="auto" w:sz="2" w:space="0"/>
              <w:left w:val="single" w:color="auto" w:sz="2" w:space="0"/>
              <w:bottom w:val="single" w:color="auto" w:sz="2" w:space="0"/>
              <w:right w:val="single" w:color="auto" w:sz="2" w:space="0"/>
            </w:tcBorders>
            <w:vAlign w:val="center"/>
          </w:tcPr>
          <w:p w14:paraId="12989293">
            <w:pPr>
              <w:widowControl/>
              <w:jc w:val="left"/>
              <w:rPr>
                <w:kern w:val="0"/>
                <w:sz w:val="18"/>
                <w:szCs w:val="18"/>
              </w:rPr>
            </w:pPr>
          </w:p>
        </w:tc>
        <w:tc>
          <w:tcPr>
            <w:tcW w:w="413" w:type="pct"/>
            <w:gridSpan w:val="2"/>
            <w:vMerge w:val="continue"/>
            <w:tcBorders>
              <w:top w:val="single" w:color="auto" w:sz="2" w:space="0"/>
              <w:left w:val="single" w:color="auto" w:sz="2" w:space="0"/>
              <w:bottom w:val="single" w:color="auto" w:sz="2" w:space="0"/>
              <w:right w:val="single" w:color="auto" w:sz="2" w:space="0"/>
            </w:tcBorders>
            <w:vAlign w:val="center"/>
          </w:tcPr>
          <w:p w14:paraId="5C0A3A31">
            <w:pPr>
              <w:widowControl/>
              <w:jc w:val="left"/>
              <w:rPr>
                <w:kern w:val="0"/>
                <w:sz w:val="18"/>
                <w:szCs w:val="18"/>
              </w:rPr>
            </w:pPr>
          </w:p>
        </w:tc>
        <w:tc>
          <w:tcPr>
            <w:tcW w:w="641" w:type="pct"/>
            <w:tcBorders>
              <w:top w:val="single" w:color="auto" w:sz="2" w:space="0"/>
              <w:left w:val="single" w:color="auto" w:sz="2" w:space="0"/>
              <w:bottom w:val="single" w:color="auto" w:sz="2" w:space="0"/>
              <w:right w:val="single" w:color="auto" w:sz="2" w:space="0"/>
            </w:tcBorders>
            <w:vAlign w:val="center"/>
          </w:tcPr>
          <w:p w14:paraId="5E881B29">
            <w:pPr>
              <w:widowControl/>
              <w:jc w:val="center"/>
              <w:rPr>
                <w:kern w:val="0"/>
                <w:sz w:val="18"/>
                <w:szCs w:val="18"/>
              </w:rPr>
            </w:pPr>
            <w:r>
              <w:rPr>
                <w:kern w:val="0"/>
                <w:sz w:val="18"/>
                <w:szCs w:val="18"/>
              </w:rPr>
              <w:t>本期</w:t>
            </w:r>
          </w:p>
        </w:tc>
        <w:tc>
          <w:tcPr>
            <w:tcW w:w="642" w:type="pct"/>
            <w:gridSpan w:val="2"/>
            <w:tcBorders>
              <w:top w:val="single" w:color="auto" w:sz="2" w:space="0"/>
              <w:left w:val="single" w:color="auto" w:sz="2" w:space="0"/>
              <w:bottom w:val="single" w:color="auto" w:sz="2" w:space="0"/>
              <w:right w:val="single" w:color="auto" w:sz="2" w:space="0"/>
            </w:tcBorders>
            <w:shd w:val="clear" w:color="auto" w:fill="D9D9D9"/>
            <w:vAlign w:val="center"/>
          </w:tcPr>
          <w:p w14:paraId="6F3F4244">
            <w:pPr>
              <w:widowControl/>
              <w:jc w:val="center"/>
              <w:rPr>
                <w:kern w:val="0"/>
                <w:sz w:val="18"/>
                <w:szCs w:val="18"/>
              </w:rPr>
            </w:pPr>
            <w:r>
              <w:rPr>
                <w:kern w:val="0"/>
                <w:sz w:val="18"/>
                <w:szCs w:val="18"/>
              </w:rPr>
              <w:t>上年同期</w:t>
            </w:r>
          </w:p>
        </w:tc>
        <w:tc>
          <w:tcPr>
            <w:tcW w:w="640" w:type="pct"/>
            <w:gridSpan w:val="2"/>
            <w:tcBorders>
              <w:top w:val="single" w:color="auto" w:sz="2" w:space="0"/>
              <w:left w:val="single" w:color="auto" w:sz="2" w:space="0"/>
              <w:bottom w:val="single" w:color="auto" w:sz="2" w:space="0"/>
              <w:right w:val="single" w:color="auto" w:sz="2" w:space="0"/>
            </w:tcBorders>
            <w:vAlign w:val="center"/>
          </w:tcPr>
          <w:p w14:paraId="2A81A16E">
            <w:pPr>
              <w:widowControl/>
              <w:jc w:val="center"/>
              <w:rPr>
                <w:kern w:val="0"/>
                <w:sz w:val="18"/>
                <w:szCs w:val="18"/>
              </w:rPr>
            </w:pPr>
            <w:r>
              <w:rPr>
                <w:kern w:val="0"/>
                <w:sz w:val="18"/>
                <w:szCs w:val="18"/>
              </w:rPr>
              <w:t>本期</w:t>
            </w:r>
          </w:p>
        </w:tc>
        <w:tc>
          <w:tcPr>
            <w:tcW w:w="649" w:type="pct"/>
            <w:gridSpan w:val="2"/>
            <w:tcBorders>
              <w:top w:val="single" w:color="auto" w:sz="2" w:space="0"/>
              <w:left w:val="single" w:color="auto" w:sz="2" w:space="0"/>
              <w:bottom w:val="single" w:color="auto" w:sz="2" w:space="0"/>
              <w:right w:val="nil"/>
            </w:tcBorders>
            <w:shd w:val="clear" w:color="auto" w:fill="D9D9D9"/>
            <w:vAlign w:val="center"/>
          </w:tcPr>
          <w:p w14:paraId="60EF49D6">
            <w:pPr>
              <w:widowControl/>
              <w:jc w:val="center"/>
              <w:rPr>
                <w:kern w:val="0"/>
                <w:sz w:val="18"/>
                <w:szCs w:val="18"/>
              </w:rPr>
            </w:pPr>
            <w:r>
              <w:rPr>
                <w:kern w:val="0"/>
                <w:sz w:val="18"/>
                <w:szCs w:val="18"/>
              </w:rPr>
              <w:t>上年同期</w:t>
            </w:r>
          </w:p>
        </w:tc>
      </w:tr>
      <w:tr w14:paraId="61DA0D6A">
        <w:tblPrEx>
          <w:tblCellMar>
            <w:top w:w="0" w:type="dxa"/>
            <w:left w:w="108" w:type="dxa"/>
            <w:bottom w:w="0" w:type="dxa"/>
            <w:right w:w="108" w:type="dxa"/>
          </w:tblCellMar>
        </w:tblPrEx>
        <w:trPr>
          <w:trHeight w:val="306" w:hRule="atLeast"/>
          <w:jc w:val="center"/>
        </w:trPr>
        <w:tc>
          <w:tcPr>
            <w:tcW w:w="1387" w:type="pct"/>
            <w:tcBorders>
              <w:top w:val="single" w:color="auto" w:sz="2" w:space="0"/>
              <w:left w:val="nil"/>
              <w:bottom w:val="single" w:color="auto" w:sz="2" w:space="0"/>
              <w:right w:val="single" w:color="auto" w:sz="2" w:space="0"/>
            </w:tcBorders>
            <w:vAlign w:val="center"/>
          </w:tcPr>
          <w:p w14:paraId="59A8CAEA">
            <w:pPr>
              <w:widowControl/>
              <w:spacing w:line="200" w:lineRule="exact"/>
              <w:jc w:val="center"/>
              <w:textAlignment w:val="center"/>
              <w:rPr>
                <w:kern w:val="0"/>
                <w:sz w:val="18"/>
                <w:szCs w:val="18"/>
              </w:rPr>
            </w:pPr>
            <w:r>
              <w:rPr>
                <w:kern w:val="0"/>
                <w:sz w:val="18"/>
                <w:szCs w:val="18"/>
              </w:rPr>
              <w:t>甲</w:t>
            </w:r>
          </w:p>
        </w:tc>
        <w:tc>
          <w:tcPr>
            <w:tcW w:w="626" w:type="pct"/>
            <w:gridSpan w:val="2"/>
            <w:tcBorders>
              <w:top w:val="single" w:color="auto" w:sz="2" w:space="0"/>
              <w:left w:val="single" w:color="auto" w:sz="2" w:space="0"/>
              <w:bottom w:val="single" w:color="auto" w:sz="2" w:space="0"/>
              <w:right w:val="single" w:color="auto" w:sz="2" w:space="0"/>
            </w:tcBorders>
            <w:vAlign w:val="center"/>
          </w:tcPr>
          <w:p w14:paraId="1D2388BD">
            <w:pPr>
              <w:widowControl/>
              <w:spacing w:line="200" w:lineRule="exact"/>
              <w:jc w:val="center"/>
              <w:textAlignment w:val="center"/>
              <w:rPr>
                <w:kern w:val="0"/>
                <w:sz w:val="18"/>
                <w:szCs w:val="18"/>
              </w:rPr>
            </w:pPr>
            <w:r>
              <w:rPr>
                <w:kern w:val="0"/>
                <w:sz w:val="18"/>
                <w:szCs w:val="18"/>
              </w:rPr>
              <w:t>乙</w:t>
            </w:r>
          </w:p>
        </w:tc>
        <w:tc>
          <w:tcPr>
            <w:tcW w:w="413" w:type="pct"/>
            <w:gridSpan w:val="2"/>
            <w:tcBorders>
              <w:top w:val="single" w:color="auto" w:sz="2" w:space="0"/>
              <w:left w:val="single" w:color="auto" w:sz="2" w:space="0"/>
              <w:bottom w:val="single" w:color="auto" w:sz="2" w:space="0"/>
              <w:right w:val="single" w:color="auto" w:sz="2" w:space="0"/>
            </w:tcBorders>
            <w:vAlign w:val="center"/>
          </w:tcPr>
          <w:p w14:paraId="00FFFFCA">
            <w:pPr>
              <w:widowControl/>
              <w:spacing w:line="200" w:lineRule="exact"/>
              <w:jc w:val="center"/>
              <w:textAlignment w:val="center"/>
              <w:rPr>
                <w:kern w:val="0"/>
                <w:sz w:val="18"/>
                <w:szCs w:val="18"/>
              </w:rPr>
            </w:pPr>
            <w:r>
              <w:rPr>
                <w:kern w:val="0"/>
                <w:sz w:val="18"/>
                <w:szCs w:val="18"/>
              </w:rPr>
              <w:t>丙</w:t>
            </w:r>
          </w:p>
        </w:tc>
        <w:tc>
          <w:tcPr>
            <w:tcW w:w="641" w:type="pct"/>
            <w:tcBorders>
              <w:top w:val="single" w:color="auto" w:sz="2" w:space="0"/>
              <w:left w:val="single" w:color="auto" w:sz="2" w:space="0"/>
              <w:bottom w:val="single" w:color="auto" w:sz="2" w:space="0"/>
              <w:right w:val="single" w:color="auto" w:sz="2" w:space="0"/>
            </w:tcBorders>
            <w:vAlign w:val="center"/>
          </w:tcPr>
          <w:p w14:paraId="440DD216">
            <w:pPr>
              <w:spacing w:line="200" w:lineRule="exact"/>
              <w:jc w:val="center"/>
              <w:textAlignment w:val="center"/>
              <w:rPr>
                <w:kern w:val="0"/>
                <w:sz w:val="18"/>
                <w:szCs w:val="18"/>
              </w:rPr>
            </w:pPr>
            <w:r>
              <w:rPr>
                <w:kern w:val="0"/>
                <w:sz w:val="18"/>
                <w:szCs w:val="18"/>
              </w:rPr>
              <w:t>1</w:t>
            </w:r>
          </w:p>
        </w:tc>
        <w:tc>
          <w:tcPr>
            <w:tcW w:w="642" w:type="pct"/>
            <w:gridSpan w:val="2"/>
            <w:tcBorders>
              <w:top w:val="single" w:color="auto" w:sz="2" w:space="0"/>
              <w:left w:val="single" w:color="auto" w:sz="2" w:space="0"/>
              <w:bottom w:val="single" w:color="auto" w:sz="2" w:space="0"/>
              <w:right w:val="single" w:color="auto" w:sz="2" w:space="0"/>
            </w:tcBorders>
            <w:shd w:val="clear" w:color="auto" w:fill="D9D9D9"/>
            <w:vAlign w:val="center"/>
          </w:tcPr>
          <w:p w14:paraId="2E3FD038">
            <w:pPr>
              <w:spacing w:line="200" w:lineRule="exact"/>
              <w:jc w:val="center"/>
              <w:textAlignment w:val="center"/>
              <w:rPr>
                <w:kern w:val="0"/>
                <w:sz w:val="18"/>
                <w:szCs w:val="18"/>
              </w:rPr>
            </w:pPr>
            <w:r>
              <w:rPr>
                <w:kern w:val="0"/>
                <w:sz w:val="18"/>
                <w:szCs w:val="18"/>
              </w:rPr>
              <w:t>2</w:t>
            </w:r>
          </w:p>
        </w:tc>
        <w:tc>
          <w:tcPr>
            <w:tcW w:w="640" w:type="pct"/>
            <w:gridSpan w:val="2"/>
            <w:tcBorders>
              <w:top w:val="single" w:color="auto" w:sz="2" w:space="0"/>
              <w:left w:val="single" w:color="auto" w:sz="2" w:space="0"/>
              <w:bottom w:val="single" w:color="auto" w:sz="2" w:space="0"/>
              <w:right w:val="single" w:color="auto" w:sz="2" w:space="0"/>
            </w:tcBorders>
            <w:vAlign w:val="center"/>
          </w:tcPr>
          <w:p w14:paraId="7620346F">
            <w:pPr>
              <w:spacing w:line="200" w:lineRule="exact"/>
              <w:jc w:val="center"/>
              <w:textAlignment w:val="center"/>
              <w:rPr>
                <w:kern w:val="0"/>
                <w:sz w:val="18"/>
                <w:szCs w:val="18"/>
              </w:rPr>
            </w:pPr>
            <w:r>
              <w:rPr>
                <w:kern w:val="0"/>
                <w:sz w:val="18"/>
                <w:szCs w:val="18"/>
              </w:rPr>
              <w:t>3</w:t>
            </w:r>
          </w:p>
        </w:tc>
        <w:tc>
          <w:tcPr>
            <w:tcW w:w="649" w:type="pct"/>
            <w:gridSpan w:val="2"/>
            <w:tcBorders>
              <w:top w:val="single" w:color="auto" w:sz="2" w:space="0"/>
              <w:left w:val="single" w:color="auto" w:sz="2" w:space="0"/>
              <w:bottom w:val="single" w:color="auto" w:sz="2" w:space="0"/>
              <w:right w:val="nil"/>
            </w:tcBorders>
            <w:shd w:val="clear" w:color="auto" w:fill="D9D9D9"/>
            <w:vAlign w:val="center"/>
          </w:tcPr>
          <w:p w14:paraId="62642D58">
            <w:pPr>
              <w:spacing w:line="200" w:lineRule="exact"/>
              <w:jc w:val="center"/>
              <w:textAlignment w:val="center"/>
              <w:rPr>
                <w:kern w:val="0"/>
                <w:sz w:val="18"/>
                <w:szCs w:val="18"/>
              </w:rPr>
            </w:pPr>
            <w:r>
              <w:rPr>
                <w:kern w:val="0"/>
                <w:sz w:val="18"/>
                <w:szCs w:val="18"/>
              </w:rPr>
              <w:t>4</w:t>
            </w:r>
          </w:p>
        </w:tc>
      </w:tr>
      <w:tr w14:paraId="7F7682C7">
        <w:tblPrEx>
          <w:tblCellMar>
            <w:top w:w="0" w:type="dxa"/>
            <w:left w:w="108" w:type="dxa"/>
            <w:bottom w:w="0" w:type="dxa"/>
            <w:right w:w="108" w:type="dxa"/>
          </w:tblCellMar>
        </w:tblPrEx>
        <w:trPr>
          <w:trHeight w:val="270" w:hRule="atLeast"/>
          <w:jc w:val="center"/>
        </w:trPr>
        <w:tc>
          <w:tcPr>
            <w:tcW w:w="1387" w:type="pct"/>
            <w:tcBorders>
              <w:top w:val="single" w:color="auto" w:sz="2" w:space="0"/>
              <w:left w:val="nil"/>
              <w:right w:val="single" w:color="auto" w:sz="2" w:space="0"/>
            </w:tcBorders>
            <w:vAlign w:val="center"/>
          </w:tcPr>
          <w:p w14:paraId="73BE9C0A">
            <w:pPr>
              <w:widowControl/>
              <w:rPr>
                <w:kern w:val="0"/>
                <w:sz w:val="18"/>
                <w:szCs w:val="18"/>
              </w:rPr>
            </w:pPr>
            <w:r>
              <w:rPr>
                <w:kern w:val="0"/>
                <w:sz w:val="18"/>
                <w:szCs w:val="18"/>
              </w:rPr>
              <w:t>合计</w:t>
            </w:r>
          </w:p>
        </w:tc>
        <w:tc>
          <w:tcPr>
            <w:tcW w:w="626" w:type="pct"/>
            <w:gridSpan w:val="2"/>
            <w:tcBorders>
              <w:top w:val="single" w:color="auto" w:sz="2" w:space="0"/>
              <w:left w:val="single" w:color="auto" w:sz="2" w:space="0"/>
              <w:right w:val="single" w:color="auto" w:sz="2" w:space="0"/>
            </w:tcBorders>
            <w:vAlign w:val="center"/>
          </w:tcPr>
          <w:p w14:paraId="4E4189E7">
            <w:pPr>
              <w:widowControl/>
              <w:jc w:val="center"/>
              <w:rPr>
                <w:kern w:val="0"/>
                <w:sz w:val="18"/>
                <w:szCs w:val="18"/>
              </w:rPr>
            </w:pPr>
            <w:r>
              <w:rPr>
                <w:kern w:val="0"/>
                <w:sz w:val="18"/>
                <w:szCs w:val="18"/>
              </w:rPr>
              <w:t>立方米</w:t>
            </w:r>
          </w:p>
        </w:tc>
        <w:tc>
          <w:tcPr>
            <w:tcW w:w="413" w:type="pct"/>
            <w:gridSpan w:val="2"/>
            <w:tcBorders>
              <w:top w:val="single" w:color="auto" w:sz="2" w:space="0"/>
              <w:left w:val="single" w:color="auto" w:sz="2" w:space="0"/>
              <w:right w:val="single" w:color="auto" w:sz="2" w:space="0"/>
            </w:tcBorders>
            <w:vAlign w:val="center"/>
          </w:tcPr>
          <w:p w14:paraId="230389D3">
            <w:pPr>
              <w:widowControl/>
              <w:jc w:val="center"/>
              <w:rPr>
                <w:kern w:val="0"/>
                <w:sz w:val="18"/>
                <w:szCs w:val="18"/>
              </w:rPr>
            </w:pPr>
            <w:r>
              <w:rPr>
                <w:kern w:val="0"/>
                <w:sz w:val="18"/>
                <w:szCs w:val="18"/>
              </w:rPr>
              <w:t>00</w:t>
            </w:r>
          </w:p>
        </w:tc>
        <w:tc>
          <w:tcPr>
            <w:tcW w:w="2572" w:type="pct"/>
            <w:gridSpan w:val="7"/>
            <w:vMerge w:val="restart"/>
            <w:tcBorders>
              <w:top w:val="single" w:color="auto" w:sz="2" w:space="0"/>
              <w:left w:val="single" w:color="auto" w:sz="2" w:space="0"/>
            </w:tcBorders>
            <w:vAlign w:val="center"/>
          </w:tcPr>
          <w:p w14:paraId="707C7682">
            <w:pPr>
              <w:widowControl/>
              <w:jc w:val="left"/>
              <w:rPr>
                <w:kern w:val="0"/>
                <w:sz w:val="18"/>
                <w:szCs w:val="18"/>
              </w:rPr>
            </w:pPr>
          </w:p>
        </w:tc>
      </w:tr>
      <w:tr w14:paraId="475AAB55">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7F674692">
            <w:pPr>
              <w:widowControl/>
              <w:rPr>
                <w:kern w:val="0"/>
                <w:sz w:val="18"/>
                <w:szCs w:val="18"/>
              </w:rPr>
            </w:pPr>
            <w:r>
              <w:rPr>
                <w:kern w:val="0"/>
                <w:sz w:val="18"/>
                <w:szCs w:val="18"/>
              </w:rPr>
              <w:t xml:space="preserve">  1.地表淡水</w:t>
            </w:r>
          </w:p>
        </w:tc>
        <w:tc>
          <w:tcPr>
            <w:tcW w:w="626" w:type="pct"/>
            <w:gridSpan w:val="2"/>
            <w:tcBorders>
              <w:left w:val="single" w:color="auto" w:sz="2" w:space="0"/>
              <w:right w:val="single" w:color="auto" w:sz="2" w:space="0"/>
            </w:tcBorders>
            <w:vAlign w:val="center"/>
          </w:tcPr>
          <w:p w14:paraId="3D8FDF02">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02DBBC4E">
            <w:pPr>
              <w:widowControl/>
              <w:jc w:val="center"/>
              <w:rPr>
                <w:kern w:val="0"/>
                <w:sz w:val="18"/>
                <w:szCs w:val="18"/>
              </w:rPr>
            </w:pPr>
            <w:r>
              <w:rPr>
                <w:kern w:val="0"/>
                <w:sz w:val="18"/>
                <w:szCs w:val="18"/>
              </w:rPr>
              <w:t>01</w:t>
            </w:r>
          </w:p>
        </w:tc>
        <w:tc>
          <w:tcPr>
            <w:tcW w:w="2572" w:type="pct"/>
            <w:gridSpan w:val="7"/>
            <w:vMerge w:val="continue"/>
            <w:tcBorders>
              <w:left w:val="single" w:color="auto" w:sz="2" w:space="0"/>
            </w:tcBorders>
            <w:vAlign w:val="center"/>
          </w:tcPr>
          <w:p w14:paraId="017ED3C4">
            <w:pPr>
              <w:widowControl/>
              <w:jc w:val="left"/>
              <w:rPr>
                <w:kern w:val="0"/>
                <w:sz w:val="18"/>
                <w:szCs w:val="18"/>
              </w:rPr>
            </w:pPr>
          </w:p>
        </w:tc>
      </w:tr>
      <w:tr w14:paraId="7BEFEABB">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66BCC50B">
            <w:pPr>
              <w:widowControl/>
              <w:rPr>
                <w:kern w:val="0"/>
                <w:sz w:val="18"/>
                <w:szCs w:val="18"/>
              </w:rPr>
            </w:pPr>
            <w:r>
              <w:rPr>
                <w:kern w:val="0"/>
                <w:sz w:val="18"/>
                <w:szCs w:val="18"/>
              </w:rPr>
              <w:t xml:space="preserve">  2.地下淡水</w:t>
            </w:r>
          </w:p>
        </w:tc>
        <w:tc>
          <w:tcPr>
            <w:tcW w:w="626" w:type="pct"/>
            <w:gridSpan w:val="2"/>
            <w:tcBorders>
              <w:left w:val="single" w:color="auto" w:sz="2" w:space="0"/>
              <w:right w:val="single" w:color="auto" w:sz="2" w:space="0"/>
            </w:tcBorders>
            <w:vAlign w:val="center"/>
          </w:tcPr>
          <w:p w14:paraId="397A9678">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7F02D037">
            <w:pPr>
              <w:widowControl/>
              <w:jc w:val="center"/>
              <w:rPr>
                <w:kern w:val="0"/>
                <w:sz w:val="18"/>
                <w:szCs w:val="18"/>
              </w:rPr>
            </w:pPr>
            <w:r>
              <w:rPr>
                <w:kern w:val="0"/>
                <w:sz w:val="18"/>
                <w:szCs w:val="18"/>
              </w:rPr>
              <w:t>02</w:t>
            </w:r>
          </w:p>
        </w:tc>
        <w:tc>
          <w:tcPr>
            <w:tcW w:w="2572" w:type="pct"/>
            <w:gridSpan w:val="7"/>
            <w:vMerge w:val="continue"/>
            <w:tcBorders>
              <w:left w:val="single" w:color="auto" w:sz="2" w:space="0"/>
            </w:tcBorders>
            <w:vAlign w:val="center"/>
          </w:tcPr>
          <w:p w14:paraId="731735B8">
            <w:pPr>
              <w:widowControl/>
              <w:jc w:val="left"/>
              <w:rPr>
                <w:kern w:val="0"/>
                <w:sz w:val="18"/>
                <w:szCs w:val="18"/>
              </w:rPr>
            </w:pPr>
          </w:p>
        </w:tc>
      </w:tr>
      <w:tr w14:paraId="07D7BBA8">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26B7E6F6">
            <w:pPr>
              <w:widowControl/>
              <w:rPr>
                <w:kern w:val="0"/>
                <w:sz w:val="18"/>
                <w:szCs w:val="18"/>
              </w:rPr>
            </w:pPr>
            <w:r>
              <w:rPr>
                <w:kern w:val="0"/>
                <w:sz w:val="18"/>
                <w:szCs w:val="18"/>
              </w:rPr>
              <w:t xml:space="preserve">  3.自来水</w:t>
            </w:r>
          </w:p>
        </w:tc>
        <w:tc>
          <w:tcPr>
            <w:tcW w:w="626" w:type="pct"/>
            <w:gridSpan w:val="2"/>
            <w:tcBorders>
              <w:left w:val="single" w:color="auto" w:sz="2" w:space="0"/>
              <w:right w:val="single" w:color="auto" w:sz="2" w:space="0"/>
            </w:tcBorders>
            <w:vAlign w:val="center"/>
          </w:tcPr>
          <w:p w14:paraId="10810CE6">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1B01DB37">
            <w:pPr>
              <w:widowControl/>
              <w:jc w:val="center"/>
              <w:rPr>
                <w:kern w:val="0"/>
                <w:sz w:val="18"/>
                <w:szCs w:val="18"/>
              </w:rPr>
            </w:pPr>
            <w:r>
              <w:rPr>
                <w:kern w:val="0"/>
                <w:sz w:val="18"/>
                <w:szCs w:val="18"/>
              </w:rPr>
              <w:t>03</w:t>
            </w:r>
          </w:p>
        </w:tc>
        <w:tc>
          <w:tcPr>
            <w:tcW w:w="2572" w:type="pct"/>
            <w:gridSpan w:val="7"/>
            <w:vMerge w:val="continue"/>
            <w:tcBorders>
              <w:left w:val="single" w:color="auto" w:sz="2" w:space="0"/>
            </w:tcBorders>
            <w:vAlign w:val="center"/>
          </w:tcPr>
          <w:p w14:paraId="5AD6A595">
            <w:pPr>
              <w:widowControl/>
              <w:jc w:val="left"/>
              <w:rPr>
                <w:kern w:val="0"/>
                <w:sz w:val="20"/>
                <w:szCs w:val="20"/>
              </w:rPr>
            </w:pPr>
          </w:p>
        </w:tc>
      </w:tr>
      <w:tr w14:paraId="09DC2A27">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7B9B041F">
            <w:pPr>
              <w:widowControl/>
              <w:rPr>
                <w:kern w:val="0"/>
                <w:sz w:val="18"/>
                <w:szCs w:val="18"/>
              </w:rPr>
            </w:pPr>
            <w:r>
              <w:rPr>
                <w:kern w:val="0"/>
                <w:sz w:val="18"/>
                <w:szCs w:val="18"/>
              </w:rPr>
              <w:t xml:space="preserve">  4.海水</w:t>
            </w:r>
          </w:p>
        </w:tc>
        <w:tc>
          <w:tcPr>
            <w:tcW w:w="626" w:type="pct"/>
            <w:gridSpan w:val="2"/>
            <w:tcBorders>
              <w:left w:val="single" w:color="auto" w:sz="2" w:space="0"/>
              <w:right w:val="single" w:color="auto" w:sz="2" w:space="0"/>
            </w:tcBorders>
            <w:vAlign w:val="center"/>
          </w:tcPr>
          <w:p w14:paraId="7BE39D05">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417B2F40">
            <w:pPr>
              <w:widowControl/>
              <w:jc w:val="center"/>
              <w:rPr>
                <w:kern w:val="0"/>
                <w:sz w:val="18"/>
                <w:szCs w:val="18"/>
              </w:rPr>
            </w:pPr>
            <w:r>
              <w:rPr>
                <w:kern w:val="0"/>
                <w:sz w:val="18"/>
                <w:szCs w:val="18"/>
              </w:rPr>
              <w:t>04</w:t>
            </w:r>
          </w:p>
        </w:tc>
        <w:tc>
          <w:tcPr>
            <w:tcW w:w="2572" w:type="pct"/>
            <w:gridSpan w:val="7"/>
            <w:vMerge w:val="continue"/>
            <w:tcBorders>
              <w:left w:val="single" w:color="auto" w:sz="2" w:space="0"/>
            </w:tcBorders>
            <w:vAlign w:val="center"/>
          </w:tcPr>
          <w:p w14:paraId="1B29BA80">
            <w:pPr>
              <w:widowControl/>
              <w:jc w:val="left"/>
              <w:rPr>
                <w:kern w:val="0"/>
                <w:sz w:val="18"/>
                <w:szCs w:val="18"/>
              </w:rPr>
            </w:pPr>
          </w:p>
        </w:tc>
      </w:tr>
      <w:tr w14:paraId="6D67C93D">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2F90F93C">
            <w:pPr>
              <w:widowControl/>
              <w:rPr>
                <w:kern w:val="0"/>
                <w:sz w:val="18"/>
                <w:szCs w:val="18"/>
              </w:rPr>
            </w:pPr>
            <w:r>
              <w:rPr>
                <w:kern w:val="0"/>
                <w:sz w:val="18"/>
                <w:szCs w:val="18"/>
              </w:rPr>
              <w:t xml:space="preserve">  5.陆地苦咸水</w:t>
            </w:r>
          </w:p>
        </w:tc>
        <w:tc>
          <w:tcPr>
            <w:tcW w:w="626" w:type="pct"/>
            <w:gridSpan w:val="2"/>
            <w:tcBorders>
              <w:left w:val="single" w:color="auto" w:sz="2" w:space="0"/>
              <w:right w:val="single" w:color="auto" w:sz="2" w:space="0"/>
            </w:tcBorders>
            <w:vAlign w:val="center"/>
          </w:tcPr>
          <w:p w14:paraId="6DA386DD">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55B38AF0">
            <w:pPr>
              <w:widowControl/>
              <w:jc w:val="center"/>
              <w:rPr>
                <w:kern w:val="0"/>
                <w:sz w:val="18"/>
                <w:szCs w:val="18"/>
              </w:rPr>
            </w:pPr>
            <w:r>
              <w:rPr>
                <w:kern w:val="0"/>
                <w:sz w:val="18"/>
                <w:szCs w:val="18"/>
              </w:rPr>
              <w:t>05</w:t>
            </w:r>
          </w:p>
        </w:tc>
        <w:tc>
          <w:tcPr>
            <w:tcW w:w="2572" w:type="pct"/>
            <w:gridSpan w:val="7"/>
            <w:vMerge w:val="continue"/>
            <w:tcBorders>
              <w:left w:val="single" w:color="auto" w:sz="2" w:space="0"/>
            </w:tcBorders>
            <w:vAlign w:val="center"/>
          </w:tcPr>
          <w:p w14:paraId="295A022D">
            <w:pPr>
              <w:widowControl/>
              <w:jc w:val="left"/>
              <w:rPr>
                <w:kern w:val="0"/>
                <w:sz w:val="20"/>
                <w:szCs w:val="20"/>
              </w:rPr>
            </w:pPr>
          </w:p>
        </w:tc>
      </w:tr>
      <w:tr w14:paraId="31CBB643">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4A463C01">
            <w:pPr>
              <w:widowControl/>
              <w:rPr>
                <w:kern w:val="0"/>
                <w:sz w:val="18"/>
                <w:szCs w:val="18"/>
              </w:rPr>
            </w:pPr>
            <w:r>
              <w:rPr>
                <w:kern w:val="0"/>
                <w:sz w:val="18"/>
                <w:szCs w:val="18"/>
              </w:rPr>
              <w:t xml:space="preserve">  6.矿井水</w:t>
            </w:r>
          </w:p>
        </w:tc>
        <w:tc>
          <w:tcPr>
            <w:tcW w:w="626" w:type="pct"/>
            <w:gridSpan w:val="2"/>
            <w:tcBorders>
              <w:left w:val="single" w:color="auto" w:sz="2" w:space="0"/>
              <w:right w:val="single" w:color="auto" w:sz="2" w:space="0"/>
            </w:tcBorders>
            <w:vAlign w:val="center"/>
          </w:tcPr>
          <w:p w14:paraId="7091BC18">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6DCCEE19">
            <w:pPr>
              <w:widowControl/>
              <w:jc w:val="center"/>
              <w:rPr>
                <w:kern w:val="0"/>
                <w:sz w:val="18"/>
                <w:szCs w:val="18"/>
              </w:rPr>
            </w:pPr>
            <w:r>
              <w:rPr>
                <w:kern w:val="0"/>
                <w:sz w:val="18"/>
                <w:szCs w:val="18"/>
              </w:rPr>
              <w:t>06</w:t>
            </w:r>
          </w:p>
        </w:tc>
        <w:tc>
          <w:tcPr>
            <w:tcW w:w="2572" w:type="pct"/>
            <w:gridSpan w:val="7"/>
            <w:vMerge w:val="continue"/>
            <w:tcBorders>
              <w:left w:val="single" w:color="auto" w:sz="2" w:space="0"/>
            </w:tcBorders>
            <w:vAlign w:val="center"/>
          </w:tcPr>
          <w:p w14:paraId="53DCBEB4">
            <w:pPr>
              <w:widowControl/>
              <w:jc w:val="left"/>
              <w:rPr>
                <w:kern w:val="0"/>
                <w:sz w:val="20"/>
                <w:szCs w:val="20"/>
              </w:rPr>
            </w:pPr>
          </w:p>
        </w:tc>
      </w:tr>
      <w:tr w14:paraId="18286801">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6479B585">
            <w:pPr>
              <w:widowControl/>
              <w:rPr>
                <w:kern w:val="0"/>
                <w:sz w:val="18"/>
                <w:szCs w:val="18"/>
              </w:rPr>
            </w:pPr>
            <w:r>
              <w:rPr>
                <w:kern w:val="0"/>
                <w:sz w:val="18"/>
                <w:szCs w:val="18"/>
              </w:rPr>
              <w:t xml:space="preserve">  7.雨水</w:t>
            </w:r>
          </w:p>
        </w:tc>
        <w:tc>
          <w:tcPr>
            <w:tcW w:w="626" w:type="pct"/>
            <w:gridSpan w:val="2"/>
            <w:tcBorders>
              <w:left w:val="single" w:color="auto" w:sz="2" w:space="0"/>
              <w:right w:val="single" w:color="auto" w:sz="2" w:space="0"/>
            </w:tcBorders>
            <w:vAlign w:val="center"/>
          </w:tcPr>
          <w:p w14:paraId="11D46870">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321B4B7B">
            <w:pPr>
              <w:widowControl/>
              <w:jc w:val="center"/>
              <w:rPr>
                <w:kern w:val="0"/>
                <w:sz w:val="18"/>
                <w:szCs w:val="18"/>
              </w:rPr>
            </w:pPr>
            <w:r>
              <w:rPr>
                <w:kern w:val="0"/>
                <w:sz w:val="18"/>
                <w:szCs w:val="18"/>
              </w:rPr>
              <w:t>07</w:t>
            </w:r>
          </w:p>
        </w:tc>
        <w:tc>
          <w:tcPr>
            <w:tcW w:w="2572" w:type="pct"/>
            <w:gridSpan w:val="7"/>
            <w:vMerge w:val="continue"/>
            <w:tcBorders>
              <w:left w:val="single" w:color="auto" w:sz="2" w:space="0"/>
            </w:tcBorders>
            <w:vAlign w:val="center"/>
          </w:tcPr>
          <w:p w14:paraId="1C27AB87">
            <w:pPr>
              <w:widowControl/>
              <w:jc w:val="left"/>
              <w:rPr>
                <w:kern w:val="0"/>
                <w:sz w:val="18"/>
                <w:szCs w:val="18"/>
              </w:rPr>
            </w:pPr>
          </w:p>
        </w:tc>
      </w:tr>
      <w:tr w14:paraId="62E9B0C7">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38CB1780">
            <w:pPr>
              <w:widowControl/>
              <w:rPr>
                <w:kern w:val="0"/>
                <w:sz w:val="18"/>
                <w:szCs w:val="18"/>
              </w:rPr>
            </w:pPr>
            <w:r>
              <w:rPr>
                <w:kern w:val="0"/>
                <w:sz w:val="18"/>
                <w:szCs w:val="18"/>
              </w:rPr>
              <w:t xml:space="preserve">  8.再生水（中水）</w:t>
            </w:r>
          </w:p>
        </w:tc>
        <w:tc>
          <w:tcPr>
            <w:tcW w:w="626" w:type="pct"/>
            <w:gridSpan w:val="2"/>
            <w:tcBorders>
              <w:left w:val="single" w:color="auto" w:sz="2" w:space="0"/>
              <w:right w:val="single" w:color="auto" w:sz="2" w:space="0"/>
            </w:tcBorders>
            <w:vAlign w:val="center"/>
          </w:tcPr>
          <w:p w14:paraId="1BED5138">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227B3975">
            <w:pPr>
              <w:widowControl/>
              <w:jc w:val="center"/>
              <w:rPr>
                <w:kern w:val="0"/>
                <w:sz w:val="18"/>
                <w:szCs w:val="18"/>
              </w:rPr>
            </w:pPr>
            <w:r>
              <w:rPr>
                <w:kern w:val="0"/>
                <w:sz w:val="18"/>
                <w:szCs w:val="18"/>
              </w:rPr>
              <w:t>08</w:t>
            </w:r>
          </w:p>
        </w:tc>
        <w:tc>
          <w:tcPr>
            <w:tcW w:w="2572" w:type="pct"/>
            <w:gridSpan w:val="7"/>
            <w:vMerge w:val="continue"/>
            <w:tcBorders>
              <w:left w:val="single" w:color="auto" w:sz="2" w:space="0"/>
            </w:tcBorders>
            <w:vAlign w:val="center"/>
          </w:tcPr>
          <w:p w14:paraId="13B3CBE1">
            <w:pPr>
              <w:widowControl/>
              <w:jc w:val="left"/>
              <w:rPr>
                <w:kern w:val="0"/>
                <w:sz w:val="20"/>
                <w:szCs w:val="20"/>
              </w:rPr>
            </w:pPr>
          </w:p>
        </w:tc>
      </w:tr>
      <w:tr w14:paraId="7C39FDA5">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26288442">
            <w:pPr>
              <w:widowControl/>
              <w:rPr>
                <w:kern w:val="0"/>
                <w:sz w:val="18"/>
                <w:szCs w:val="18"/>
              </w:rPr>
            </w:pPr>
            <w:r>
              <w:rPr>
                <w:kern w:val="0"/>
                <w:sz w:val="18"/>
                <w:szCs w:val="18"/>
              </w:rPr>
              <w:t xml:space="preserve">  9.海水淡化水</w:t>
            </w:r>
          </w:p>
        </w:tc>
        <w:tc>
          <w:tcPr>
            <w:tcW w:w="626" w:type="pct"/>
            <w:gridSpan w:val="2"/>
            <w:tcBorders>
              <w:left w:val="single" w:color="auto" w:sz="2" w:space="0"/>
              <w:right w:val="single" w:color="auto" w:sz="2" w:space="0"/>
            </w:tcBorders>
            <w:vAlign w:val="center"/>
          </w:tcPr>
          <w:p w14:paraId="4273DE33">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53B4C2AF">
            <w:pPr>
              <w:widowControl/>
              <w:jc w:val="center"/>
              <w:rPr>
                <w:kern w:val="0"/>
                <w:sz w:val="18"/>
                <w:szCs w:val="18"/>
              </w:rPr>
            </w:pPr>
            <w:r>
              <w:rPr>
                <w:kern w:val="0"/>
                <w:sz w:val="18"/>
                <w:szCs w:val="18"/>
              </w:rPr>
              <w:t>09</w:t>
            </w:r>
          </w:p>
        </w:tc>
        <w:tc>
          <w:tcPr>
            <w:tcW w:w="2572" w:type="pct"/>
            <w:gridSpan w:val="7"/>
            <w:vMerge w:val="continue"/>
            <w:tcBorders>
              <w:left w:val="single" w:color="auto" w:sz="2" w:space="0"/>
            </w:tcBorders>
            <w:vAlign w:val="center"/>
          </w:tcPr>
          <w:p w14:paraId="032046FD">
            <w:pPr>
              <w:widowControl/>
              <w:jc w:val="left"/>
              <w:rPr>
                <w:kern w:val="0"/>
                <w:sz w:val="20"/>
                <w:szCs w:val="20"/>
              </w:rPr>
            </w:pPr>
          </w:p>
        </w:tc>
      </w:tr>
      <w:tr w14:paraId="4582E789">
        <w:tblPrEx>
          <w:tblCellMar>
            <w:top w:w="0" w:type="dxa"/>
            <w:left w:w="108" w:type="dxa"/>
            <w:bottom w:w="0" w:type="dxa"/>
            <w:right w:w="108" w:type="dxa"/>
          </w:tblCellMar>
        </w:tblPrEx>
        <w:trPr>
          <w:trHeight w:val="285" w:hRule="atLeast"/>
          <w:jc w:val="center"/>
        </w:trPr>
        <w:tc>
          <w:tcPr>
            <w:tcW w:w="1387" w:type="pct"/>
            <w:tcBorders>
              <w:left w:val="nil"/>
              <w:bottom w:val="single" w:color="auto" w:sz="2" w:space="0"/>
              <w:right w:val="single" w:color="auto" w:sz="2" w:space="0"/>
            </w:tcBorders>
            <w:vAlign w:val="center"/>
          </w:tcPr>
          <w:p w14:paraId="73C497D2">
            <w:pPr>
              <w:widowControl/>
              <w:rPr>
                <w:kern w:val="0"/>
                <w:sz w:val="18"/>
                <w:szCs w:val="18"/>
              </w:rPr>
            </w:pPr>
            <w:r>
              <w:rPr>
                <w:kern w:val="0"/>
                <w:sz w:val="18"/>
                <w:szCs w:val="18"/>
              </w:rPr>
              <w:t xml:space="preserve">  10.其他水</w:t>
            </w:r>
          </w:p>
        </w:tc>
        <w:tc>
          <w:tcPr>
            <w:tcW w:w="626" w:type="pct"/>
            <w:gridSpan w:val="2"/>
            <w:tcBorders>
              <w:left w:val="single" w:color="auto" w:sz="2" w:space="0"/>
              <w:bottom w:val="single" w:color="auto" w:sz="2" w:space="0"/>
              <w:right w:val="single" w:color="auto" w:sz="2" w:space="0"/>
            </w:tcBorders>
            <w:vAlign w:val="center"/>
          </w:tcPr>
          <w:p w14:paraId="471E3433">
            <w:pPr>
              <w:widowControl/>
              <w:jc w:val="center"/>
              <w:rPr>
                <w:kern w:val="0"/>
                <w:sz w:val="18"/>
                <w:szCs w:val="18"/>
              </w:rPr>
            </w:pPr>
            <w:r>
              <w:rPr>
                <w:kern w:val="0"/>
                <w:sz w:val="18"/>
                <w:szCs w:val="18"/>
              </w:rPr>
              <w:t>立方米</w:t>
            </w:r>
          </w:p>
        </w:tc>
        <w:tc>
          <w:tcPr>
            <w:tcW w:w="413" w:type="pct"/>
            <w:gridSpan w:val="2"/>
            <w:tcBorders>
              <w:left w:val="single" w:color="auto" w:sz="2" w:space="0"/>
              <w:bottom w:val="single" w:color="auto" w:sz="2" w:space="0"/>
              <w:right w:val="single" w:color="auto" w:sz="2" w:space="0"/>
            </w:tcBorders>
            <w:vAlign w:val="center"/>
          </w:tcPr>
          <w:p w14:paraId="2F835C0E">
            <w:pPr>
              <w:widowControl/>
              <w:jc w:val="center"/>
              <w:rPr>
                <w:kern w:val="0"/>
                <w:sz w:val="18"/>
                <w:szCs w:val="18"/>
              </w:rPr>
            </w:pPr>
            <w:r>
              <w:rPr>
                <w:kern w:val="0"/>
                <w:sz w:val="18"/>
                <w:szCs w:val="18"/>
              </w:rPr>
              <w:t>10</w:t>
            </w:r>
          </w:p>
        </w:tc>
        <w:tc>
          <w:tcPr>
            <w:tcW w:w="2572" w:type="pct"/>
            <w:gridSpan w:val="7"/>
            <w:vMerge w:val="continue"/>
            <w:tcBorders>
              <w:left w:val="single" w:color="auto" w:sz="2" w:space="0"/>
              <w:bottom w:val="single" w:color="auto" w:sz="2" w:space="0"/>
            </w:tcBorders>
            <w:vAlign w:val="center"/>
          </w:tcPr>
          <w:p w14:paraId="2666B864">
            <w:pPr>
              <w:widowControl/>
              <w:jc w:val="left"/>
              <w:rPr>
                <w:kern w:val="0"/>
                <w:sz w:val="20"/>
                <w:szCs w:val="20"/>
              </w:rPr>
            </w:pPr>
          </w:p>
        </w:tc>
      </w:tr>
      <w:tr w14:paraId="7D2E34A0">
        <w:tblPrEx>
          <w:tblCellMar>
            <w:top w:w="0" w:type="dxa"/>
            <w:left w:w="108" w:type="dxa"/>
            <w:bottom w:w="0" w:type="dxa"/>
            <w:right w:w="108" w:type="dxa"/>
          </w:tblCellMar>
        </w:tblPrEx>
        <w:trPr>
          <w:trHeight w:val="285" w:hRule="atLeast"/>
          <w:jc w:val="center"/>
        </w:trPr>
        <w:tc>
          <w:tcPr>
            <w:tcW w:w="5000" w:type="pct"/>
            <w:gridSpan w:val="12"/>
            <w:tcBorders>
              <w:top w:val="single" w:color="auto" w:sz="2" w:space="0"/>
              <w:left w:val="nil"/>
              <w:bottom w:val="single" w:color="auto" w:sz="2" w:space="0"/>
              <w:right w:val="nil"/>
            </w:tcBorders>
            <w:vAlign w:val="center"/>
          </w:tcPr>
          <w:p w14:paraId="54376157">
            <w:pPr>
              <w:widowControl/>
              <w:jc w:val="center"/>
              <w:rPr>
                <w:kern w:val="0"/>
                <w:sz w:val="18"/>
                <w:szCs w:val="18"/>
              </w:rPr>
            </w:pPr>
            <w:r>
              <w:rPr>
                <w:kern w:val="0"/>
                <w:sz w:val="18"/>
                <w:szCs w:val="18"/>
              </w:rPr>
              <w:t>补充指标</w:t>
            </w:r>
          </w:p>
        </w:tc>
      </w:tr>
      <w:tr w14:paraId="7EFA181A">
        <w:tblPrEx>
          <w:tblCellMar>
            <w:top w:w="0" w:type="dxa"/>
            <w:left w:w="108" w:type="dxa"/>
            <w:bottom w:w="0" w:type="dxa"/>
            <w:right w:w="108" w:type="dxa"/>
          </w:tblCellMar>
        </w:tblPrEx>
        <w:trPr>
          <w:trHeight w:val="285" w:hRule="atLeast"/>
          <w:jc w:val="center"/>
        </w:trPr>
        <w:tc>
          <w:tcPr>
            <w:tcW w:w="1387" w:type="pct"/>
            <w:tcBorders>
              <w:top w:val="single" w:color="auto" w:sz="2" w:space="0"/>
              <w:left w:val="nil"/>
              <w:bottom w:val="single" w:color="auto" w:sz="2" w:space="0"/>
              <w:right w:val="single" w:color="auto" w:sz="2" w:space="0"/>
            </w:tcBorders>
            <w:vAlign w:val="center"/>
          </w:tcPr>
          <w:p w14:paraId="09D2DCDA">
            <w:pPr>
              <w:widowControl/>
              <w:jc w:val="center"/>
              <w:rPr>
                <w:kern w:val="0"/>
                <w:sz w:val="18"/>
                <w:szCs w:val="18"/>
              </w:rPr>
            </w:pPr>
            <w:r>
              <w:rPr>
                <w:kern w:val="0"/>
                <w:sz w:val="18"/>
                <w:szCs w:val="18"/>
              </w:rPr>
              <w:t>指标名称</w:t>
            </w:r>
          </w:p>
        </w:tc>
        <w:tc>
          <w:tcPr>
            <w:tcW w:w="626" w:type="pct"/>
            <w:gridSpan w:val="2"/>
            <w:tcBorders>
              <w:top w:val="single" w:color="auto" w:sz="2" w:space="0"/>
              <w:left w:val="single" w:color="auto" w:sz="2" w:space="0"/>
              <w:bottom w:val="single" w:color="auto" w:sz="2" w:space="0"/>
              <w:right w:val="single" w:color="auto" w:sz="2" w:space="0"/>
            </w:tcBorders>
            <w:vAlign w:val="center"/>
          </w:tcPr>
          <w:p w14:paraId="239D7AE1">
            <w:pPr>
              <w:widowControl/>
              <w:jc w:val="center"/>
              <w:rPr>
                <w:kern w:val="0"/>
                <w:sz w:val="18"/>
                <w:szCs w:val="18"/>
              </w:rPr>
            </w:pPr>
            <w:r>
              <w:rPr>
                <w:kern w:val="0"/>
                <w:sz w:val="18"/>
                <w:szCs w:val="18"/>
              </w:rPr>
              <w:t>计量单位</w:t>
            </w:r>
          </w:p>
        </w:tc>
        <w:tc>
          <w:tcPr>
            <w:tcW w:w="413" w:type="pct"/>
            <w:gridSpan w:val="2"/>
            <w:tcBorders>
              <w:top w:val="single" w:color="auto" w:sz="2" w:space="0"/>
              <w:left w:val="single" w:color="auto" w:sz="2" w:space="0"/>
              <w:bottom w:val="single" w:color="auto" w:sz="2" w:space="0"/>
              <w:right w:val="single" w:color="auto" w:sz="2" w:space="0"/>
            </w:tcBorders>
            <w:vAlign w:val="center"/>
          </w:tcPr>
          <w:p w14:paraId="7F08F6E8">
            <w:pPr>
              <w:widowControl/>
              <w:jc w:val="center"/>
              <w:rPr>
                <w:kern w:val="0"/>
                <w:sz w:val="18"/>
                <w:szCs w:val="18"/>
              </w:rPr>
            </w:pPr>
            <w:r>
              <w:rPr>
                <w:kern w:val="0"/>
                <w:sz w:val="18"/>
                <w:szCs w:val="18"/>
              </w:rPr>
              <w:t>代码</w:t>
            </w:r>
          </w:p>
        </w:tc>
        <w:tc>
          <w:tcPr>
            <w:tcW w:w="1283" w:type="pct"/>
            <w:gridSpan w:val="3"/>
            <w:tcBorders>
              <w:top w:val="single" w:color="auto" w:sz="2" w:space="0"/>
              <w:left w:val="single" w:color="auto" w:sz="2" w:space="0"/>
              <w:bottom w:val="single" w:color="auto" w:sz="2" w:space="0"/>
              <w:right w:val="single" w:color="auto" w:sz="2" w:space="0"/>
            </w:tcBorders>
            <w:vAlign w:val="center"/>
          </w:tcPr>
          <w:p w14:paraId="5D47155C">
            <w:pPr>
              <w:widowControl/>
              <w:jc w:val="center"/>
              <w:rPr>
                <w:kern w:val="0"/>
                <w:sz w:val="18"/>
                <w:szCs w:val="18"/>
              </w:rPr>
            </w:pPr>
            <w:r>
              <w:rPr>
                <w:kern w:val="0"/>
                <w:sz w:val="18"/>
                <w:szCs w:val="18"/>
              </w:rPr>
              <w:t>本期</w:t>
            </w:r>
          </w:p>
        </w:tc>
        <w:tc>
          <w:tcPr>
            <w:tcW w:w="1289" w:type="pct"/>
            <w:gridSpan w:val="4"/>
            <w:tcBorders>
              <w:top w:val="single" w:color="auto" w:sz="2" w:space="0"/>
              <w:left w:val="single" w:color="auto" w:sz="2" w:space="0"/>
              <w:bottom w:val="single" w:color="auto" w:sz="2" w:space="0"/>
              <w:right w:val="nil"/>
            </w:tcBorders>
            <w:shd w:val="clear" w:color="auto" w:fill="D9D9D9"/>
            <w:vAlign w:val="center"/>
          </w:tcPr>
          <w:p w14:paraId="1843A934">
            <w:pPr>
              <w:widowControl/>
              <w:jc w:val="center"/>
              <w:rPr>
                <w:kern w:val="0"/>
                <w:sz w:val="18"/>
                <w:szCs w:val="18"/>
              </w:rPr>
            </w:pPr>
            <w:r>
              <w:rPr>
                <w:kern w:val="0"/>
                <w:sz w:val="18"/>
                <w:szCs w:val="18"/>
              </w:rPr>
              <w:t>上年同期</w:t>
            </w:r>
          </w:p>
        </w:tc>
      </w:tr>
      <w:tr w14:paraId="4FC375DA">
        <w:tblPrEx>
          <w:tblCellMar>
            <w:top w:w="0" w:type="dxa"/>
            <w:left w:w="108" w:type="dxa"/>
            <w:bottom w:w="0" w:type="dxa"/>
            <w:right w:w="108" w:type="dxa"/>
          </w:tblCellMar>
        </w:tblPrEx>
        <w:trPr>
          <w:trHeight w:val="306" w:hRule="atLeast"/>
          <w:jc w:val="center"/>
        </w:trPr>
        <w:tc>
          <w:tcPr>
            <w:tcW w:w="1387" w:type="pct"/>
            <w:tcBorders>
              <w:top w:val="single" w:color="auto" w:sz="2" w:space="0"/>
              <w:left w:val="nil"/>
              <w:bottom w:val="single" w:color="auto" w:sz="2" w:space="0"/>
              <w:right w:val="single" w:color="auto" w:sz="2" w:space="0"/>
            </w:tcBorders>
            <w:vAlign w:val="center"/>
          </w:tcPr>
          <w:p w14:paraId="2D3DB333">
            <w:pPr>
              <w:widowControl/>
              <w:spacing w:line="200" w:lineRule="exact"/>
              <w:jc w:val="center"/>
              <w:textAlignment w:val="center"/>
              <w:rPr>
                <w:kern w:val="0"/>
                <w:sz w:val="18"/>
                <w:szCs w:val="18"/>
              </w:rPr>
            </w:pPr>
            <w:r>
              <w:rPr>
                <w:kern w:val="0"/>
                <w:sz w:val="18"/>
                <w:szCs w:val="18"/>
              </w:rPr>
              <w:t>甲</w:t>
            </w:r>
          </w:p>
        </w:tc>
        <w:tc>
          <w:tcPr>
            <w:tcW w:w="626" w:type="pct"/>
            <w:gridSpan w:val="2"/>
            <w:tcBorders>
              <w:top w:val="single" w:color="auto" w:sz="2" w:space="0"/>
              <w:left w:val="single" w:color="auto" w:sz="2" w:space="0"/>
              <w:bottom w:val="single" w:color="auto" w:sz="2" w:space="0"/>
              <w:right w:val="single" w:color="auto" w:sz="2" w:space="0"/>
            </w:tcBorders>
            <w:vAlign w:val="center"/>
          </w:tcPr>
          <w:p w14:paraId="325C9E56">
            <w:pPr>
              <w:widowControl/>
              <w:spacing w:line="200" w:lineRule="exact"/>
              <w:jc w:val="center"/>
              <w:textAlignment w:val="center"/>
              <w:rPr>
                <w:kern w:val="0"/>
                <w:sz w:val="18"/>
                <w:szCs w:val="18"/>
              </w:rPr>
            </w:pPr>
            <w:r>
              <w:rPr>
                <w:kern w:val="0"/>
                <w:sz w:val="18"/>
                <w:szCs w:val="18"/>
              </w:rPr>
              <w:t>乙</w:t>
            </w:r>
          </w:p>
        </w:tc>
        <w:tc>
          <w:tcPr>
            <w:tcW w:w="413" w:type="pct"/>
            <w:gridSpan w:val="2"/>
            <w:tcBorders>
              <w:top w:val="single" w:color="auto" w:sz="2" w:space="0"/>
              <w:left w:val="single" w:color="auto" w:sz="2" w:space="0"/>
              <w:bottom w:val="single" w:color="auto" w:sz="2" w:space="0"/>
              <w:right w:val="single" w:color="auto" w:sz="2" w:space="0"/>
            </w:tcBorders>
            <w:vAlign w:val="center"/>
          </w:tcPr>
          <w:p w14:paraId="612853AD">
            <w:pPr>
              <w:widowControl/>
              <w:spacing w:line="200" w:lineRule="exact"/>
              <w:jc w:val="center"/>
              <w:textAlignment w:val="center"/>
              <w:rPr>
                <w:kern w:val="0"/>
                <w:sz w:val="18"/>
                <w:szCs w:val="18"/>
              </w:rPr>
            </w:pPr>
            <w:r>
              <w:rPr>
                <w:kern w:val="0"/>
                <w:sz w:val="18"/>
                <w:szCs w:val="18"/>
              </w:rPr>
              <w:t>丙</w:t>
            </w:r>
          </w:p>
        </w:tc>
        <w:tc>
          <w:tcPr>
            <w:tcW w:w="1283" w:type="pct"/>
            <w:gridSpan w:val="3"/>
            <w:tcBorders>
              <w:top w:val="single" w:color="auto" w:sz="2" w:space="0"/>
              <w:left w:val="single" w:color="auto" w:sz="2" w:space="0"/>
              <w:bottom w:val="single" w:color="auto" w:sz="2" w:space="0"/>
              <w:right w:val="single" w:color="auto" w:sz="2" w:space="0"/>
            </w:tcBorders>
            <w:vAlign w:val="center"/>
          </w:tcPr>
          <w:p w14:paraId="42D8B9E6">
            <w:pPr>
              <w:spacing w:line="200" w:lineRule="exact"/>
              <w:jc w:val="center"/>
              <w:textAlignment w:val="center"/>
              <w:rPr>
                <w:kern w:val="0"/>
                <w:sz w:val="18"/>
                <w:szCs w:val="18"/>
              </w:rPr>
            </w:pPr>
            <w:r>
              <w:rPr>
                <w:kern w:val="0"/>
                <w:sz w:val="18"/>
                <w:szCs w:val="18"/>
              </w:rPr>
              <w:t>1</w:t>
            </w:r>
          </w:p>
        </w:tc>
        <w:tc>
          <w:tcPr>
            <w:tcW w:w="1289" w:type="pct"/>
            <w:gridSpan w:val="4"/>
            <w:tcBorders>
              <w:top w:val="single" w:color="auto" w:sz="2" w:space="0"/>
              <w:left w:val="single" w:color="auto" w:sz="2" w:space="0"/>
              <w:bottom w:val="single" w:color="auto" w:sz="2" w:space="0"/>
              <w:right w:val="nil"/>
            </w:tcBorders>
            <w:shd w:val="clear" w:color="auto" w:fill="D9D9D9"/>
            <w:vAlign w:val="center"/>
          </w:tcPr>
          <w:p w14:paraId="31573485">
            <w:pPr>
              <w:spacing w:line="200" w:lineRule="exact"/>
              <w:jc w:val="center"/>
              <w:textAlignment w:val="center"/>
              <w:rPr>
                <w:kern w:val="0"/>
                <w:sz w:val="18"/>
                <w:szCs w:val="18"/>
              </w:rPr>
            </w:pPr>
            <w:r>
              <w:rPr>
                <w:kern w:val="0"/>
                <w:sz w:val="18"/>
                <w:szCs w:val="18"/>
              </w:rPr>
              <w:t>2</w:t>
            </w:r>
          </w:p>
        </w:tc>
      </w:tr>
      <w:tr w14:paraId="27882EFE">
        <w:tblPrEx>
          <w:tblCellMar>
            <w:top w:w="0" w:type="dxa"/>
            <w:left w:w="108" w:type="dxa"/>
            <w:bottom w:w="0" w:type="dxa"/>
            <w:right w:w="108" w:type="dxa"/>
          </w:tblCellMar>
        </w:tblPrEx>
        <w:trPr>
          <w:trHeight w:val="270" w:hRule="atLeast"/>
          <w:jc w:val="center"/>
        </w:trPr>
        <w:tc>
          <w:tcPr>
            <w:tcW w:w="1387" w:type="pct"/>
            <w:tcBorders>
              <w:top w:val="single" w:color="auto" w:sz="2" w:space="0"/>
              <w:left w:val="nil"/>
              <w:right w:val="single" w:color="auto" w:sz="2" w:space="0"/>
            </w:tcBorders>
            <w:vAlign w:val="center"/>
          </w:tcPr>
          <w:p w14:paraId="24110CA0">
            <w:pPr>
              <w:widowControl/>
              <w:rPr>
                <w:kern w:val="0"/>
                <w:sz w:val="18"/>
                <w:szCs w:val="18"/>
              </w:rPr>
            </w:pPr>
            <w:r>
              <w:rPr>
                <w:kern w:val="0"/>
                <w:sz w:val="18"/>
                <w:szCs w:val="18"/>
              </w:rPr>
              <w:t>外排水量</w:t>
            </w:r>
          </w:p>
        </w:tc>
        <w:tc>
          <w:tcPr>
            <w:tcW w:w="626" w:type="pct"/>
            <w:gridSpan w:val="2"/>
            <w:tcBorders>
              <w:top w:val="single" w:color="auto" w:sz="2" w:space="0"/>
              <w:left w:val="single" w:color="auto" w:sz="2" w:space="0"/>
              <w:right w:val="single" w:color="auto" w:sz="2" w:space="0"/>
            </w:tcBorders>
            <w:vAlign w:val="center"/>
          </w:tcPr>
          <w:p w14:paraId="03CC4809">
            <w:pPr>
              <w:widowControl/>
              <w:jc w:val="center"/>
              <w:rPr>
                <w:kern w:val="0"/>
                <w:sz w:val="18"/>
                <w:szCs w:val="18"/>
              </w:rPr>
            </w:pPr>
            <w:r>
              <w:rPr>
                <w:kern w:val="0"/>
                <w:sz w:val="18"/>
                <w:szCs w:val="18"/>
              </w:rPr>
              <w:t>立方米</w:t>
            </w:r>
          </w:p>
        </w:tc>
        <w:tc>
          <w:tcPr>
            <w:tcW w:w="413" w:type="pct"/>
            <w:gridSpan w:val="2"/>
            <w:tcBorders>
              <w:top w:val="single" w:color="auto" w:sz="2" w:space="0"/>
              <w:left w:val="single" w:color="auto" w:sz="2" w:space="0"/>
              <w:right w:val="single" w:color="auto" w:sz="2" w:space="0"/>
            </w:tcBorders>
            <w:vAlign w:val="center"/>
          </w:tcPr>
          <w:p w14:paraId="51EC998C">
            <w:pPr>
              <w:widowControl/>
              <w:spacing w:line="240" w:lineRule="exact"/>
              <w:jc w:val="center"/>
              <w:textAlignment w:val="center"/>
              <w:rPr>
                <w:kern w:val="0"/>
                <w:sz w:val="18"/>
                <w:szCs w:val="18"/>
              </w:rPr>
            </w:pPr>
            <w:r>
              <w:rPr>
                <w:kern w:val="0"/>
                <w:sz w:val="18"/>
                <w:szCs w:val="18"/>
              </w:rPr>
              <w:t>11</w:t>
            </w:r>
          </w:p>
        </w:tc>
        <w:tc>
          <w:tcPr>
            <w:tcW w:w="2572" w:type="pct"/>
            <w:gridSpan w:val="7"/>
            <w:vMerge w:val="restart"/>
            <w:tcBorders>
              <w:top w:val="single" w:color="auto" w:sz="2" w:space="0"/>
              <w:left w:val="single" w:color="auto" w:sz="2" w:space="0"/>
            </w:tcBorders>
            <w:vAlign w:val="center"/>
          </w:tcPr>
          <w:p w14:paraId="029F51E6">
            <w:pPr>
              <w:jc w:val="left"/>
              <w:rPr>
                <w:kern w:val="0"/>
                <w:sz w:val="18"/>
                <w:szCs w:val="18"/>
              </w:rPr>
            </w:pPr>
          </w:p>
        </w:tc>
      </w:tr>
      <w:tr w14:paraId="487F10CE">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035C9518">
            <w:pPr>
              <w:widowControl/>
              <w:rPr>
                <w:kern w:val="0"/>
                <w:sz w:val="18"/>
                <w:szCs w:val="18"/>
              </w:rPr>
            </w:pPr>
            <w:r>
              <w:rPr>
                <w:kern w:val="0"/>
                <w:sz w:val="18"/>
                <w:szCs w:val="18"/>
              </w:rPr>
              <w:t>重复用水量</w:t>
            </w:r>
          </w:p>
        </w:tc>
        <w:tc>
          <w:tcPr>
            <w:tcW w:w="626" w:type="pct"/>
            <w:gridSpan w:val="2"/>
            <w:tcBorders>
              <w:left w:val="single" w:color="auto" w:sz="2" w:space="0"/>
              <w:right w:val="single" w:color="auto" w:sz="2" w:space="0"/>
            </w:tcBorders>
            <w:vAlign w:val="center"/>
          </w:tcPr>
          <w:p w14:paraId="3B6224DB">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7779B4D3">
            <w:pPr>
              <w:widowControl/>
              <w:spacing w:line="240" w:lineRule="exact"/>
              <w:jc w:val="center"/>
              <w:textAlignment w:val="center"/>
              <w:rPr>
                <w:kern w:val="0"/>
                <w:sz w:val="18"/>
                <w:szCs w:val="18"/>
              </w:rPr>
            </w:pPr>
            <w:r>
              <w:rPr>
                <w:kern w:val="0"/>
                <w:sz w:val="18"/>
                <w:szCs w:val="18"/>
              </w:rPr>
              <w:t>12</w:t>
            </w:r>
          </w:p>
        </w:tc>
        <w:tc>
          <w:tcPr>
            <w:tcW w:w="2572" w:type="pct"/>
            <w:gridSpan w:val="7"/>
            <w:vMerge w:val="continue"/>
            <w:tcBorders>
              <w:left w:val="single" w:color="auto" w:sz="2" w:space="0"/>
            </w:tcBorders>
            <w:vAlign w:val="center"/>
          </w:tcPr>
          <w:p w14:paraId="3FF037ED">
            <w:pPr>
              <w:jc w:val="left"/>
              <w:rPr>
                <w:kern w:val="0"/>
                <w:sz w:val="18"/>
                <w:szCs w:val="18"/>
              </w:rPr>
            </w:pPr>
          </w:p>
        </w:tc>
      </w:tr>
      <w:tr w14:paraId="3D5D8747">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7FBE67ED">
            <w:pPr>
              <w:widowControl/>
              <w:rPr>
                <w:kern w:val="0"/>
                <w:sz w:val="18"/>
                <w:szCs w:val="18"/>
              </w:rPr>
            </w:pPr>
            <w:r>
              <w:rPr>
                <w:kern w:val="0"/>
                <w:sz w:val="18"/>
                <w:szCs w:val="18"/>
              </w:rPr>
              <w:t>直流冷却水量（河湖水）</w:t>
            </w:r>
          </w:p>
        </w:tc>
        <w:tc>
          <w:tcPr>
            <w:tcW w:w="626" w:type="pct"/>
            <w:gridSpan w:val="2"/>
            <w:tcBorders>
              <w:left w:val="single" w:color="auto" w:sz="2" w:space="0"/>
              <w:right w:val="single" w:color="auto" w:sz="2" w:space="0"/>
            </w:tcBorders>
            <w:vAlign w:val="center"/>
          </w:tcPr>
          <w:p w14:paraId="312A3DD5">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0ACA7A22">
            <w:pPr>
              <w:widowControl/>
              <w:spacing w:line="240" w:lineRule="exact"/>
              <w:jc w:val="center"/>
              <w:textAlignment w:val="center"/>
              <w:rPr>
                <w:kern w:val="0"/>
                <w:sz w:val="18"/>
                <w:szCs w:val="18"/>
              </w:rPr>
            </w:pPr>
            <w:r>
              <w:rPr>
                <w:kern w:val="0"/>
                <w:sz w:val="18"/>
                <w:szCs w:val="18"/>
              </w:rPr>
              <w:t>13</w:t>
            </w:r>
          </w:p>
        </w:tc>
        <w:tc>
          <w:tcPr>
            <w:tcW w:w="2572" w:type="pct"/>
            <w:gridSpan w:val="7"/>
            <w:vMerge w:val="continue"/>
            <w:tcBorders>
              <w:left w:val="single" w:color="auto" w:sz="2" w:space="0"/>
            </w:tcBorders>
            <w:vAlign w:val="center"/>
          </w:tcPr>
          <w:p w14:paraId="0F853A52">
            <w:pPr>
              <w:jc w:val="left"/>
              <w:rPr>
                <w:kern w:val="0"/>
                <w:sz w:val="18"/>
                <w:szCs w:val="18"/>
              </w:rPr>
            </w:pPr>
          </w:p>
        </w:tc>
      </w:tr>
      <w:tr w14:paraId="20ED54C1">
        <w:tblPrEx>
          <w:tblCellMar>
            <w:top w:w="0" w:type="dxa"/>
            <w:left w:w="108" w:type="dxa"/>
            <w:bottom w:w="0" w:type="dxa"/>
            <w:right w:w="108" w:type="dxa"/>
          </w:tblCellMar>
        </w:tblPrEx>
        <w:trPr>
          <w:trHeight w:val="270" w:hRule="atLeast"/>
          <w:jc w:val="center"/>
        </w:trPr>
        <w:tc>
          <w:tcPr>
            <w:tcW w:w="1387" w:type="pct"/>
            <w:tcBorders>
              <w:left w:val="nil"/>
              <w:right w:val="single" w:color="auto" w:sz="2" w:space="0"/>
            </w:tcBorders>
            <w:vAlign w:val="center"/>
          </w:tcPr>
          <w:p w14:paraId="46D33469">
            <w:pPr>
              <w:widowControl/>
              <w:rPr>
                <w:kern w:val="0"/>
                <w:sz w:val="18"/>
                <w:szCs w:val="18"/>
              </w:rPr>
            </w:pPr>
            <w:r>
              <w:rPr>
                <w:kern w:val="0"/>
                <w:sz w:val="18"/>
                <w:szCs w:val="18"/>
              </w:rPr>
              <w:t>直流冷却水量（海水）</w:t>
            </w:r>
          </w:p>
        </w:tc>
        <w:tc>
          <w:tcPr>
            <w:tcW w:w="626" w:type="pct"/>
            <w:gridSpan w:val="2"/>
            <w:tcBorders>
              <w:left w:val="single" w:color="auto" w:sz="2" w:space="0"/>
              <w:right w:val="single" w:color="auto" w:sz="2" w:space="0"/>
            </w:tcBorders>
            <w:vAlign w:val="center"/>
          </w:tcPr>
          <w:p w14:paraId="562FE78A">
            <w:pPr>
              <w:widowControl/>
              <w:jc w:val="center"/>
              <w:rPr>
                <w:kern w:val="0"/>
                <w:sz w:val="18"/>
                <w:szCs w:val="18"/>
              </w:rPr>
            </w:pPr>
            <w:r>
              <w:rPr>
                <w:kern w:val="0"/>
                <w:sz w:val="18"/>
                <w:szCs w:val="18"/>
              </w:rPr>
              <w:t>立方米</w:t>
            </w:r>
          </w:p>
        </w:tc>
        <w:tc>
          <w:tcPr>
            <w:tcW w:w="413" w:type="pct"/>
            <w:gridSpan w:val="2"/>
            <w:tcBorders>
              <w:left w:val="single" w:color="auto" w:sz="2" w:space="0"/>
              <w:right w:val="single" w:color="auto" w:sz="2" w:space="0"/>
            </w:tcBorders>
            <w:vAlign w:val="center"/>
          </w:tcPr>
          <w:p w14:paraId="4CF38A1D">
            <w:pPr>
              <w:widowControl/>
              <w:spacing w:line="240" w:lineRule="exact"/>
              <w:jc w:val="center"/>
              <w:textAlignment w:val="center"/>
              <w:rPr>
                <w:kern w:val="0"/>
                <w:sz w:val="18"/>
                <w:szCs w:val="18"/>
              </w:rPr>
            </w:pPr>
            <w:r>
              <w:rPr>
                <w:kern w:val="0"/>
                <w:sz w:val="18"/>
                <w:szCs w:val="18"/>
              </w:rPr>
              <w:t>14</w:t>
            </w:r>
          </w:p>
        </w:tc>
        <w:tc>
          <w:tcPr>
            <w:tcW w:w="2572" w:type="pct"/>
            <w:gridSpan w:val="7"/>
            <w:vMerge w:val="continue"/>
            <w:tcBorders>
              <w:left w:val="single" w:color="auto" w:sz="2" w:space="0"/>
            </w:tcBorders>
            <w:vAlign w:val="center"/>
          </w:tcPr>
          <w:p w14:paraId="668B68EB">
            <w:pPr>
              <w:jc w:val="left"/>
              <w:rPr>
                <w:kern w:val="0"/>
                <w:sz w:val="20"/>
                <w:szCs w:val="20"/>
              </w:rPr>
            </w:pPr>
          </w:p>
        </w:tc>
      </w:tr>
      <w:tr w14:paraId="68620C4B">
        <w:tblPrEx>
          <w:tblCellMar>
            <w:top w:w="0" w:type="dxa"/>
            <w:left w:w="108" w:type="dxa"/>
            <w:bottom w:w="0" w:type="dxa"/>
            <w:right w:w="108" w:type="dxa"/>
          </w:tblCellMar>
        </w:tblPrEx>
        <w:trPr>
          <w:trHeight w:val="270" w:hRule="atLeast"/>
          <w:jc w:val="center"/>
        </w:trPr>
        <w:tc>
          <w:tcPr>
            <w:tcW w:w="1387" w:type="pct"/>
            <w:tcBorders>
              <w:left w:val="nil"/>
              <w:bottom w:val="single" w:color="auto" w:sz="8" w:space="0"/>
              <w:right w:val="single" w:color="auto" w:sz="2" w:space="0"/>
            </w:tcBorders>
            <w:vAlign w:val="center"/>
          </w:tcPr>
          <w:p w14:paraId="150BF9C7">
            <w:pPr>
              <w:widowControl/>
              <w:rPr>
                <w:kern w:val="0"/>
                <w:sz w:val="18"/>
                <w:szCs w:val="18"/>
              </w:rPr>
            </w:pPr>
            <w:r>
              <w:rPr>
                <w:kern w:val="0"/>
                <w:sz w:val="18"/>
                <w:szCs w:val="18"/>
              </w:rPr>
              <w:t>污水处理量</w:t>
            </w:r>
          </w:p>
        </w:tc>
        <w:tc>
          <w:tcPr>
            <w:tcW w:w="626" w:type="pct"/>
            <w:gridSpan w:val="2"/>
            <w:tcBorders>
              <w:left w:val="single" w:color="auto" w:sz="2" w:space="0"/>
              <w:bottom w:val="single" w:color="auto" w:sz="8" w:space="0"/>
              <w:right w:val="single" w:color="auto" w:sz="2" w:space="0"/>
            </w:tcBorders>
            <w:vAlign w:val="center"/>
          </w:tcPr>
          <w:p w14:paraId="5FEA2F42">
            <w:pPr>
              <w:widowControl/>
              <w:jc w:val="center"/>
              <w:rPr>
                <w:kern w:val="0"/>
                <w:sz w:val="18"/>
                <w:szCs w:val="18"/>
              </w:rPr>
            </w:pPr>
            <w:r>
              <w:rPr>
                <w:kern w:val="0"/>
                <w:sz w:val="18"/>
                <w:szCs w:val="18"/>
              </w:rPr>
              <w:t>立方米</w:t>
            </w:r>
          </w:p>
        </w:tc>
        <w:tc>
          <w:tcPr>
            <w:tcW w:w="413" w:type="pct"/>
            <w:gridSpan w:val="2"/>
            <w:tcBorders>
              <w:left w:val="single" w:color="auto" w:sz="2" w:space="0"/>
              <w:bottom w:val="single" w:color="auto" w:sz="8" w:space="0"/>
              <w:right w:val="single" w:color="auto" w:sz="2" w:space="0"/>
            </w:tcBorders>
            <w:vAlign w:val="center"/>
          </w:tcPr>
          <w:p w14:paraId="442CCD96">
            <w:pPr>
              <w:widowControl/>
              <w:spacing w:line="240" w:lineRule="exact"/>
              <w:jc w:val="center"/>
              <w:textAlignment w:val="center"/>
              <w:rPr>
                <w:kern w:val="0"/>
                <w:sz w:val="18"/>
                <w:szCs w:val="18"/>
              </w:rPr>
            </w:pPr>
            <w:r>
              <w:rPr>
                <w:kern w:val="0"/>
                <w:sz w:val="18"/>
                <w:szCs w:val="18"/>
              </w:rPr>
              <w:t>15</w:t>
            </w:r>
          </w:p>
        </w:tc>
        <w:tc>
          <w:tcPr>
            <w:tcW w:w="2572" w:type="pct"/>
            <w:gridSpan w:val="7"/>
            <w:vMerge w:val="continue"/>
            <w:tcBorders>
              <w:left w:val="single" w:color="auto" w:sz="2" w:space="0"/>
              <w:bottom w:val="single" w:color="auto" w:sz="8" w:space="0"/>
            </w:tcBorders>
            <w:vAlign w:val="center"/>
          </w:tcPr>
          <w:p w14:paraId="1E9F6857">
            <w:pPr>
              <w:jc w:val="left"/>
              <w:rPr>
                <w:kern w:val="0"/>
                <w:sz w:val="18"/>
                <w:szCs w:val="18"/>
              </w:rPr>
            </w:pPr>
          </w:p>
        </w:tc>
      </w:tr>
    </w:tbl>
    <w:p w14:paraId="1E637FAE">
      <w:pPr>
        <w:widowControl/>
        <w:ind w:left="-210" w:leftChars="-100" w:right="-248" w:rightChars="-118"/>
        <w:jc w:val="left"/>
        <w:rPr>
          <w:sz w:val="18"/>
          <w:szCs w:val="18"/>
        </w:rPr>
      </w:pPr>
      <w:r>
        <w:rPr>
          <w:rFonts w:hint="eastAsia"/>
          <w:sz w:val="18"/>
          <w:szCs w:val="18"/>
        </w:rPr>
        <w:t xml:space="preserve"> </w:t>
      </w:r>
      <w:r>
        <w:rPr>
          <w:sz w:val="18"/>
          <w:szCs w:val="18"/>
        </w:rPr>
        <w:t>单位负责人：　　    统计负责人：　      　填表人：　</w:t>
      </w:r>
      <w:r>
        <w:rPr>
          <w:rFonts w:hint="eastAsia"/>
          <w:sz w:val="18"/>
          <w:szCs w:val="18"/>
        </w:rPr>
        <w:t xml:space="preserve"> </w:t>
      </w:r>
      <w:r>
        <w:rPr>
          <w:sz w:val="18"/>
          <w:szCs w:val="18"/>
        </w:rPr>
        <w:t xml:space="preserve">　　  联系电话：      </w:t>
      </w:r>
      <w:r>
        <w:rPr>
          <w:rFonts w:hint="eastAsia"/>
          <w:sz w:val="18"/>
          <w:szCs w:val="18"/>
        </w:rPr>
        <w:t xml:space="preserve">      </w:t>
      </w:r>
      <w:r>
        <w:rPr>
          <w:sz w:val="18"/>
          <w:szCs w:val="18"/>
        </w:rPr>
        <w:t>报出日期：２０  年　月  日</w:t>
      </w:r>
    </w:p>
    <w:p w14:paraId="525138C2">
      <w:pPr>
        <w:rPr>
          <w:b/>
          <w:sz w:val="18"/>
          <w:szCs w:val="18"/>
        </w:rPr>
      </w:pPr>
    </w:p>
    <w:p w14:paraId="6A6D0497">
      <w:pPr>
        <w:spacing w:line="270" w:lineRule="exact"/>
        <w:ind w:left="2" w:leftChars="-42" w:hanging="90" w:hangingChars="50"/>
        <w:jc w:val="left"/>
        <w:rPr>
          <w:sz w:val="18"/>
          <w:szCs w:val="18"/>
        </w:rPr>
      </w:pPr>
      <w:r>
        <w:rPr>
          <w:sz w:val="18"/>
          <w:szCs w:val="18"/>
        </w:rPr>
        <w:t>说明：1.统计范围：辖区内规模以上工业法人单位</w:t>
      </w:r>
      <w:r>
        <w:rPr>
          <w:rFonts w:hint="eastAsia" w:ascii="宋体"/>
          <w:sz w:val="18"/>
        </w:rPr>
        <w:t>和规模以上</w:t>
      </w:r>
      <w:r>
        <w:rPr>
          <w:rFonts w:hint="eastAsia" w:ascii="宋体"/>
          <w:sz w:val="18"/>
          <w:lang w:eastAsia="zh-CN"/>
        </w:rPr>
        <w:t>工业</w:t>
      </w:r>
      <w:r>
        <w:rPr>
          <w:rFonts w:hint="eastAsia" w:ascii="宋体"/>
          <w:sz w:val="18"/>
        </w:rPr>
        <w:t>个体经营户</w:t>
      </w:r>
      <w:r>
        <w:rPr>
          <w:sz w:val="18"/>
          <w:szCs w:val="18"/>
        </w:rPr>
        <w:t>。</w:t>
      </w:r>
    </w:p>
    <w:p w14:paraId="2A3952F8">
      <w:pPr>
        <w:spacing w:line="270" w:lineRule="exact"/>
        <w:ind w:left="2027" w:leftChars="219" w:right="-153" w:rightChars="-73" w:hanging="1567" w:hangingChars="871"/>
        <w:rPr>
          <w:sz w:val="18"/>
          <w:szCs w:val="18"/>
        </w:rPr>
      </w:pPr>
      <w:r>
        <w:rPr>
          <w:sz w:val="18"/>
          <w:szCs w:val="18"/>
        </w:rPr>
        <w:t>2.报送日期及方式：调查单位</w:t>
      </w:r>
      <w:r>
        <w:rPr>
          <w:rFonts w:hint="eastAsia"/>
          <w:sz w:val="18"/>
          <w:szCs w:val="18"/>
        </w:rPr>
        <w:t>上半年7月</w:t>
      </w:r>
      <w:r>
        <w:rPr>
          <w:rFonts w:hint="eastAsia"/>
          <w:sz w:val="18"/>
          <w:szCs w:val="18"/>
          <w:lang w:val="en-US" w:eastAsia="zh-CN"/>
        </w:rPr>
        <w:t>10</w:t>
      </w:r>
      <w:r>
        <w:rPr>
          <w:rFonts w:hint="eastAsia"/>
          <w:sz w:val="18"/>
          <w:szCs w:val="18"/>
        </w:rPr>
        <w:t>日、下半年次年1月</w:t>
      </w:r>
      <w:r>
        <w:rPr>
          <w:sz w:val="18"/>
          <w:szCs w:val="18"/>
        </w:rPr>
        <w:t>10</w:t>
      </w:r>
      <w:r>
        <w:rPr>
          <w:rFonts w:hint="eastAsia"/>
          <w:sz w:val="18"/>
          <w:szCs w:val="18"/>
        </w:rPr>
        <w:t>日12:00</w:t>
      </w:r>
      <w:r>
        <w:rPr>
          <w:sz w:val="18"/>
          <w:szCs w:val="18"/>
        </w:rPr>
        <w:t>前</w:t>
      </w:r>
      <w:r>
        <w:rPr>
          <w:sz w:val="18"/>
        </w:rPr>
        <w:t>独立自行</w:t>
      </w:r>
      <w:r>
        <w:rPr>
          <w:sz w:val="18"/>
          <w:szCs w:val="18"/>
        </w:rPr>
        <w:t>网上填报；省级统计机构</w:t>
      </w:r>
      <w:r>
        <w:rPr>
          <w:rFonts w:hint="eastAsia"/>
          <w:sz w:val="18"/>
          <w:szCs w:val="18"/>
        </w:rPr>
        <w:t>上半年7月1</w:t>
      </w:r>
      <w:r>
        <w:rPr>
          <w:rFonts w:hint="eastAsia"/>
          <w:sz w:val="18"/>
          <w:szCs w:val="18"/>
          <w:lang w:val="en-US" w:eastAsia="zh-CN"/>
        </w:rPr>
        <w:t>7</w:t>
      </w:r>
      <w:r>
        <w:rPr>
          <w:rFonts w:hint="eastAsia"/>
          <w:sz w:val="18"/>
          <w:szCs w:val="18"/>
        </w:rPr>
        <w:t>日、下半年次年1月1</w:t>
      </w:r>
      <w:r>
        <w:rPr>
          <w:sz w:val="18"/>
          <w:szCs w:val="18"/>
        </w:rPr>
        <w:t>7</w:t>
      </w:r>
      <w:r>
        <w:rPr>
          <w:rFonts w:hint="eastAsia"/>
          <w:sz w:val="18"/>
          <w:szCs w:val="18"/>
        </w:rPr>
        <w:t>日12:00</w:t>
      </w:r>
      <w:r>
        <w:rPr>
          <w:sz w:val="18"/>
          <w:szCs w:val="18"/>
        </w:rPr>
        <w:t>前完成数据审核、验收、上报。</w:t>
      </w:r>
    </w:p>
    <w:p w14:paraId="07FC8BD9">
      <w:pPr>
        <w:spacing w:line="270" w:lineRule="exact"/>
        <w:ind w:left="2060" w:leftChars="220" w:right="-153" w:rightChars="-73" w:hanging="1598" w:hangingChars="888"/>
        <w:rPr>
          <w:sz w:val="18"/>
          <w:szCs w:val="18"/>
        </w:rPr>
      </w:pPr>
      <w:r>
        <w:rPr>
          <w:sz w:val="18"/>
          <w:szCs w:val="18"/>
        </w:rPr>
        <w:t>3.本表为半年报，上半年报送1-6月份累计数据，下半年报送1-12月份累计数据。</w:t>
      </w:r>
    </w:p>
    <w:p w14:paraId="341013AC">
      <w:pPr>
        <w:spacing w:line="270" w:lineRule="exact"/>
        <w:ind w:left="587" w:leftChars="220" w:hanging="125" w:hangingChars="70"/>
        <w:rPr>
          <w:sz w:val="18"/>
          <w:szCs w:val="18"/>
        </w:rPr>
      </w:pPr>
      <w:r>
        <w:rPr>
          <w:sz w:val="18"/>
          <w:szCs w:val="18"/>
        </w:rPr>
        <w:t>4.</w:t>
      </w:r>
      <w:r>
        <w:rPr>
          <w:rFonts w:hint="eastAsia"/>
          <w:sz w:val="18"/>
          <w:szCs w:val="18"/>
        </w:rPr>
        <w:t>本表中</w:t>
      </w:r>
      <w:r>
        <w:rPr>
          <w:rFonts w:hint="eastAsia"/>
          <w:sz w:val="18"/>
          <w:szCs w:val="18"/>
          <w:lang w:eastAsia="zh-CN"/>
        </w:rPr>
        <w:t>“</w:t>
      </w:r>
      <w:r>
        <w:rPr>
          <w:rFonts w:hint="eastAsia"/>
          <w:sz w:val="18"/>
          <w:szCs w:val="18"/>
        </w:rPr>
        <w:t>上年同期</w:t>
      </w:r>
      <w:r>
        <w:rPr>
          <w:rFonts w:hint="eastAsia"/>
          <w:sz w:val="18"/>
          <w:szCs w:val="18"/>
          <w:lang w:eastAsia="zh-CN"/>
        </w:rPr>
        <w:t>”</w:t>
      </w:r>
      <w:r>
        <w:rPr>
          <w:rFonts w:hint="eastAsia"/>
          <w:sz w:val="18"/>
          <w:szCs w:val="18"/>
        </w:rPr>
        <w:t>数据统一由国家统计局在数据处理软件中复制，调查单位和各级统计机构原则上不得修改；本年新增的调查单位自行填报</w:t>
      </w:r>
      <w:r>
        <w:rPr>
          <w:rFonts w:hint="eastAsia"/>
          <w:sz w:val="18"/>
          <w:szCs w:val="18"/>
          <w:lang w:eastAsia="zh-CN"/>
        </w:rPr>
        <w:t>“</w:t>
      </w:r>
      <w:r>
        <w:rPr>
          <w:rFonts w:hint="eastAsia"/>
          <w:sz w:val="18"/>
          <w:szCs w:val="18"/>
        </w:rPr>
        <w:t>上年同期</w:t>
      </w:r>
      <w:r>
        <w:rPr>
          <w:rFonts w:hint="eastAsia"/>
          <w:sz w:val="18"/>
          <w:szCs w:val="18"/>
          <w:lang w:eastAsia="zh-CN"/>
        </w:rPr>
        <w:t>”</w:t>
      </w:r>
      <w:r>
        <w:rPr>
          <w:rFonts w:hint="eastAsia"/>
          <w:sz w:val="18"/>
          <w:szCs w:val="18"/>
        </w:rPr>
        <w:t>数据；涉及兼并、重组等情况的企业，经国家统计局批准后，调查单位可调整同期数；本年新增指标的同期数由调查单位自行填报。</w:t>
      </w:r>
    </w:p>
    <w:p w14:paraId="6ABAD62A">
      <w:pPr>
        <w:spacing w:line="270" w:lineRule="exact"/>
        <w:ind w:left="2235" w:leftChars="220" w:hanging="1773" w:hangingChars="985"/>
        <w:rPr>
          <w:sz w:val="18"/>
          <w:szCs w:val="18"/>
        </w:rPr>
      </w:pPr>
      <w:r>
        <w:rPr>
          <w:sz w:val="18"/>
          <w:szCs w:val="18"/>
        </w:rPr>
        <w:t>5.审核关系：(1)合计＝地表淡水＋地下淡水＋自来水＋海水＋陆地苦咸水＋矿井水＋雨水＋再生水（中水）＋海水</w:t>
      </w:r>
      <w:r>
        <w:rPr>
          <w:rFonts w:hint="eastAsia"/>
          <w:sz w:val="18"/>
          <w:szCs w:val="18"/>
        </w:rPr>
        <w:t xml:space="preserve">        </w:t>
      </w:r>
      <w:r>
        <w:rPr>
          <w:sz w:val="18"/>
          <w:szCs w:val="18"/>
        </w:rPr>
        <w:t>淡化水＋其他水</w:t>
      </w:r>
    </w:p>
    <w:p w14:paraId="4532C97C">
      <w:pPr>
        <w:spacing w:line="270" w:lineRule="exact"/>
        <w:ind w:left="3068" w:leftChars="700" w:hanging="1598" w:hangingChars="888"/>
        <w:rPr>
          <w:sz w:val="18"/>
          <w:szCs w:val="18"/>
        </w:rPr>
      </w:pPr>
      <w:r>
        <w:rPr>
          <w:sz w:val="18"/>
          <w:szCs w:val="18"/>
        </w:rPr>
        <w:t>(</w:t>
      </w:r>
      <w:r>
        <w:rPr>
          <w:rFonts w:hint="eastAsia"/>
          <w:sz w:val="18"/>
          <w:szCs w:val="18"/>
        </w:rPr>
        <w:t>2</w:t>
      </w:r>
      <w:r>
        <w:rPr>
          <w:sz w:val="18"/>
          <w:szCs w:val="18"/>
        </w:rPr>
        <w:t>)取水量合计＋污水处理量＞外供水量合计＋外排水量</w:t>
      </w:r>
    </w:p>
    <w:p w14:paraId="423877C0">
      <w:pPr>
        <w:spacing w:line="270" w:lineRule="exact"/>
        <w:ind w:left="732" w:leftChars="220" w:hanging="270" w:hangingChars="150"/>
        <w:rPr>
          <w:sz w:val="18"/>
          <w:szCs w:val="18"/>
        </w:rPr>
      </w:pPr>
      <w:r>
        <w:rPr>
          <w:sz w:val="18"/>
          <w:szCs w:val="18"/>
        </w:rPr>
        <w:t>6.企业用新水量说明：</w:t>
      </w:r>
    </w:p>
    <w:p w14:paraId="6F9968B5">
      <w:pPr>
        <w:spacing w:line="270" w:lineRule="exact"/>
        <w:ind w:left="1260" w:leftChars="300" w:hanging="630" w:hangingChars="350"/>
        <w:rPr>
          <w:sz w:val="18"/>
          <w:szCs w:val="18"/>
        </w:rPr>
      </w:pPr>
      <w:r>
        <w:rPr>
          <w:sz w:val="18"/>
          <w:szCs w:val="18"/>
        </w:rPr>
        <w:t>(1)没有外供水的企业：用新水量＝取水量合计</w:t>
      </w:r>
    </w:p>
    <w:p w14:paraId="7FF0E11A">
      <w:pPr>
        <w:spacing w:line="270" w:lineRule="exact"/>
        <w:ind w:left="1260" w:leftChars="300" w:hanging="630" w:hangingChars="350"/>
        <w:rPr>
          <w:sz w:val="18"/>
          <w:szCs w:val="18"/>
        </w:rPr>
      </w:pPr>
      <w:r>
        <w:rPr>
          <w:sz w:val="18"/>
          <w:szCs w:val="18"/>
        </w:rPr>
        <w:t>(</w:t>
      </w:r>
      <w:r>
        <w:rPr>
          <w:rFonts w:hint="eastAsia"/>
          <w:sz w:val="18"/>
          <w:szCs w:val="18"/>
        </w:rPr>
        <w:t>2</w:t>
      </w:r>
      <w:r>
        <w:rPr>
          <w:sz w:val="18"/>
          <w:szCs w:val="18"/>
        </w:rPr>
        <w:t>)有外供水的企业，比如自来水厂、矿泉水生产企业，用新水量＝取水量合计－外供水量合计</w:t>
      </w:r>
    </w:p>
    <w:p w14:paraId="68157A25">
      <w:pPr>
        <w:spacing w:line="270" w:lineRule="exact"/>
        <w:ind w:left="1260" w:leftChars="300" w:hanging="630" w:hangingChars="350"/>
        <w:rPr>
          <w:sz w:val="18"/>
          <w:szCs w:val="18"/>
        </w:rPr>
      </w:pPr>
      <w:r>
        <w:rPr>
          <w:sz w:val="18"/>
          <w:szCs w:val="18"/>
        </w:rPr>
        <w:t>(3)</w:t>
      </w:r>
      <w:r>
        <w:rPr>
          <w:rFonts w:hint="eastAsia"/>
          <w:sz w:val="18"/>
          <w:szCs w:val="18"/>
        </w:rPr>
        <w:t>有污水处理设备的企业取水量不包括污水和自用的再生水（中水）</w:t>
      </w:r>
    </w:p>
    <w:p w14:paraId="0295606C">
      <w:pPr>
        <w:spacing w:line="270" w:lineRule="exact"/>
        <w:ind w:left="462" w:leftChars="220"/>
        <w:rPr>
          <w:rFonts w:hint="eastAsia" w:eastAsia="宋体"/>
          <w:sz w:val="18"/>
          <w:szCs w:val="18"/>
          <w:lang w:eastAsia="zh-CN"/>
        </w:rPr>
      </w:pPr>
      <w:r>
        <w:rPr>
          <w:sz w:val="18"/>
          <w:szCs w:val="18"/>
        </w:rPr>
        <w:t>7.用新水量计算说明：汇总国家或地区的用新水量的计算公式如下</w:t>
      </w:r>
      <w:r>
        <w:rPr>
          <w:rFonts w:hint="eastAsia"/>
          <w:sz w:val="18"/>
          <w:szCs w:val="18"/>
          <w:lang w:val="en-US" w:eastAsia="zh-CN"/>
        </w:rPr>
        <w:t>，</w:t>
      </w:r>
    </w:p>
    <w:p w14:paraId="6773D7A8">
      <w:pPr>
        <w:spacing w:line="270" w:lineRule="exact"/>
        <w:ind w:left="609" w:leftChars="290"/>
        <w:rPr>
          <w:sz w:val="18"/>
          <w:szCs w:val="18"/>
        </w:rPr>
      </w:pPr>
      <w:r>
        <w:rPr>
          <w:sz w:val="18"/>
          <w:szCs w:val="18"/>
        </w:rPr>
        <w:t>用新水量汇总数＝取水量汇总数－外供水量汇总数</w:t>
      </w:r>
    </w:p>
    <w:p w14:paraId="2470F85E">
      <w:pPr>
        <w:spacing w:line="270" w:lineRule="exact"/>
        <w:ind w:left="462" w:leftChars="220"/>
        <w:rPr>
          <w:sz w:val="18"/>
          <w:szCs w:val="18"/>
        </w:rPr>
      </w:pPr>
      <w:r>
        <w:rPr>
          <w:sz w:val="18"/>
          <w:szCs w:val="18"/>
        </w:rPr>
        <w:t>8.重复用水率＝重复用水量/(用新水量+重复用水量)×100%</w:t>
      </w:r>
    </w:p>
    <w:p w14:paraId="3850E825">
      <w:pPr>
        <w:pStyle w:val="2"/>
        <w:widowControl/>
        <w:spacing w:line="270" w:lineRule="exact"/>
        <w:ind w:left="462" w:leftChars="220" w:firstLine="0"/>
        <w:rPr>
          <w:rFonts w:hint="default" w:ascii="Times New Roman" w:hAnsi="Times New Roman" w:eastAsia="宋体"/>
          <w:w w:val="100"/>
          <w:kern w:val="0"/>
          <w:sz w:val="18"/>
          <w:szCs w:val="18"/>
          <w:lang w:val="en-US" w:eastAsia="zh-CN"/>
        </w:rPr>
      </w:pPr>
      <w:r>
        <w:rPr>
          <w:rFonts w:hint="default" w:ascii="Times New Roman" w:hAnsi="Times New Roman" w:eastAsia="宋体"/>
          <w:w w:val="100"/>
          <w:kern w:val="0"/>
          <w:sz w:val="18"/>
          <w:szCs w:val="18"/>
          <w:lang w:val="en-US" w:eastAsia="zh-CN"/>
        </w:rPr>
        <w:t>9.取水量不包括为转供给其他企业</w:t>
      </w:r>
      <w:r>
        <w:rPr>
          <w:rFonts w:hint="eastAsia" w:ascii="Times New Roman" w:hAnsi="Times New Roman"/>
          <w:w w:val="100"/>
          <w:kern w:val="0"/>
          <w:sz w:val="18"/>
          <w:szCs w:val="18"/>
          <w:lang w:val="en-US" w:eastAsia="zh-CN"/>
        </w:rPr>
        <w:t>、居民等</w:t>
      </w:r>
      <w:r>
        <w:rPr>
          <w:rFonts w:hint="default" w:ascii="Times New Roman" w:hAnsi="Times New Roman" w:eastAsia="宋体"/>
          <w:w w:val="100"/>
          <w:kern w:val="0"/>
          <w:sz w:val="18"/>
          <w:szCs w:val="18"/>
          <w:lang w:val="en-US" w:eastAsia="zh-CN"/>
        </w:rPr>
        <w:t>而取的自来水，外供水量不包括取来直接转供给其他企业</w:t>
      </w:r>
      <w:r>
        <w:rPr>
          <w:rFonts w:hint="eastAsia" w:ascii="Times New Roman" w:hAnsi="Times New Roman"/>
          <w:w w:val="100"/>
          <w:kern w:val="0"/>
          <w:sz w:val="18"/>
          <w:szCs w:val="18"/>
          <w:lang w:val="en-US" w:eastAsia="zh-CN"/>
        </w:rPr>
        <w:t>、居民等</w:t>
      </w:r>
      <w:r>
        <w:rPr>
          <w:rFonts w:hint="default" w:ascii="Times New Roman" w:hAnsi="Times New Roman" w:eastAsia="宋体"/>
          <w:w w:val="100"/>
          <w:kern w:val="0"/>
          <w:sz w:val="18"/>
          <w:szCs w:val="18"/>
          <w:lang w:val="en-US" w:eastAsia="zh-CN"/>
        </w:rPr>
        <w:t>的自</w:t>
      </w:r>
    </w:p>
    <w:p w14:paraId="56108147">
      <w:pPr>
        <w:pStyle w:val="2"/>
        <w:widowControl/>
        <w:spacing w:line="270" w:lineRule="exact"/>
        <w:ind w:left="462" w:leftChars="220" w:firstLine="124" w:firstLineChars="69"/>
        <w:rPr>
          <w:w w:val="100"/>
          <w:kern w:val="0"/>
        </w:rPr>
      </w:pPr>
      <w:r>
        <w:rPr>
          <w:rFonts w:hint="default" w:ascii="Times New Roman" w:hAnsi="Times New Roman" w:eastAsia="宋体"/>
          <w:w w:val="100"/>
          <w:kern w:val="0"/>
          <w:sz w:val="18"/>
          <w:szCs w:val="18"/>
          <w:lang w:val="en-US" w:eastAsia="zh-CN"/>
        </w:rPr>
        <w:t>来水。</w:t>
      </w:r>
    </w:p>
    <w:p w14:paraId="22EAEF2E">
      <w:pPr>
        <w:snapToGrid w:val="0"/>
        <w:spacing w:before="480" w:beforeLines="200" w:after="240" w:afterLines="100"/>
        <w:jc w:val="center"/>
        <w:outlineLvl w:val="2"/>
        <w:rPr>
          <w:sz w:val="32"/>
        </w:rPr>
      </w:pPr>
      <w:r>
        <w:rPr>
          <w:spacing w:val="-10"/>
          <w:sz w:val="18"/>
          <w:szCs w:val="18"/>
        </w:rPr>
        <w:br w:type="page"/>
      </w:r>
      <w:r>
        <w:rPr>
          <w:sz w:val="32"/>
        </w:rPr>
        <w:t>非工业重点耗能单位能源消费情况</w:t>
      </w:r>
    </w:p>
    <w:tbl>
      <w:tblPr>
        <w:tblStyle w:val="20"/>
        <w:tblW w:w="9402" w:type="dxa"/>
        <w:jc w:val="center"/>
        <w:tblLayout w:type="autofit"/>
        <w:tblCellMar>
          <w:top w:w="0" w:type="dxa"/>
          <w:left w:w="0" w:type="dxa"/>
          <w:bottom w:w="0" w:type="dxa"/>
          <w:right w:w="0" w:type="dxa"/>
        </w:tblCellMar>
      </w:tblPr>
      <w:tblGrid>
        <w:gridCol w:w="3181"/>
        <w:gridCol w:w="909"/>
        <w:gridCol w:w="2563"/>
        <w:gridCol w:w="850"/>
        <w:gridCol w:w="1899"/>
      </w:tblGrid>
      <w:tr w14:paraId="6944E988">
        <w:trPr>
          <w:jc w:val="center"/>
        </w:trPr>
        <w:tc>
          <w:tcPr>
            <w:tcW w:w="3181" w:type="dxa"/>
          </w:tcPr>
          <w:p w14:paraId="6AEC3F6B">
            <w:pPr>
              <w:spacing w:line="260" w:lineRule="exact"/>
              <w:rPr>
                <w:sz w:val="18"/>
                <w:szCs w:val="18"/>
              </w:rPr>
            </w:pPr>
          </w:p>
        </w:tc>
        <w:tc>
          <w:tcPr>
            <w:tcW w:w="909" w:type="dxa"/>
          </w:tcPr>
          <w:p w14:paraId="1958AA3A">
            <w:pPr>
              <w:spacing w:line="260" w:lineRule="exact"/>
              <w:rPr>
                <w:sz w:val="18"/>
                <w:szCs w:val="18"/>
              </w:rPr>
            </w:pPr>
          </w:p>
        </w:tc>
        <w:tc>
          <w:tcPr>
            <w:tcW w:w="2563" w:type="dxa"/>
          </w:tcPr>
          <w:p w14:paraId="0E1A1932">
            <w:pPr>
              <w:spacing w:line="260" w:lineRule="exact"/>
              <w:rPr>
                <w:sz w:val="18"/>
                <w:szCs w:val="18"/>
              </w:rPr>
            </w:pPr>
          </w:p>
        </w:tc>
        <w:tc>
          <w:tcPr>
            <w:tcW w:w="850" w:type="dxa"/>
            <w:tcMar>
              <w:left w:w="0" w:type="dxa"/>
              <w:right w:w="0" w:type="dxa"/>
            </w:tcMar>
          </w:tcPr>
          <w:p w14:paraId="30749974">
            <w:pPr>
              <w:spacing w:line="260" w:lineRule="exact"/>
              <w:rPr>
                <w:sz w:val="18"/>
                <w:szCs w:val="18"/>
              </w:rPr>
            </w:pPr>
            <w:r>
              <w:rPr>
                <w:sz w:val="18"/>
                <w:szCs w:val="18"/>
              </w:rPr>
              <w:t>表    号：</w:t>
            </w:r>
          </w:p>
        </w:tc>
        <w:tc>
          <w:tcPr>
            <w:tcW w:w="1899" w:type="dxa"/>
            <w:vAlign w:val="center"/>
          </w:tcPr>
          <w:p w14:paraId="15D74241">
            <w:pPr>
              <w:spacing w:line="260" w:lineRule="exact"/>
              <w:jc w:val="distribute"/>
              <w:rPr>
                <w:sz w:val="18"/>
                <w:szCs w:val="18"/>
              </w:rPr>
            </w:pPr>
            <w:r>
              <w:rPr>
                <w:sz w:val="18"/>
                <w:szCs w:val="18"/>
              </w:rPr>
              <w:t>２０５－５表</w:t>
            </w:r>
          </w:p>
        </w:tc>
      </w:tr>
      <w:tr w14:paraId="5DD25D02">
        <w:tblPrEx>
          <w:tblCellMar>
            <w:top w:w="0" w:type="dxa"/>
            <w:left w:w="0" w:type="dxa"/>
            <w:bottom w:w="0" w:type="dxa"/>
            <w:right w:w="0" w:type="dxa"/>
          </w:tblCellMar>
        </w:tblPrEx>
        <w:trPr>
          <w:jc w:val="center"/>
        </w:trPr>
        <w:tc>
          <w:tcPr>
            <w:tcW w:w="6653" w:type="dxa"/>
            <w:gridSpan w:val="3"/>
          </w:tcPr>
          <w:p w14:paraId="3A67AC65">
            <w:pPr>
              <w:spacing w:line="260" w:lineRule="exact"/>
              <w:rPr>
                <w:sz w:val="18"/>
                <w:szCs w:val="18"/>
              </w:rPr>
            </w:pPr>
            <w:r>
              <w:rPr>
                <w:sz w:val="18"/>
                <w:szCs w:val="18"/>
              </w:rPr>
              <w:t>统一社会信用代码</w:t>
            </w:r>
            <w:r>
              <w:rPr>
                <w:rFonts w:hint="eastAsia" w:ascii="宋体" w:hAnsi="宋体" w:cs="宋体"/>
                <w:color w:val="000000"/>
                <w:kern w:val="0"/>
                <w:sz w:val="18"/>
                <w:szCs w:val="18"/>
              </w:rPr>
              <w:t>□□□□□□□□□□□□□□□□□□</w:t>
            </w:r>
          </w:p>
        </w:tc>
        <w:tc>
          <w:tcPr>
            <w:tcW w:w="850" w:type="dxa"/>
            <w:tcMar>
              <w:left w:w="0" w:type="dxa"/>
              <w:right w:w="0" w:type="dxa"/>
            </w:tcMar>
            <w:vAlign w:val="center"/>
          </w:tcPr>
          <w:p w14:paraId="4234197A">
            <w:pPr>
              <w:spacing w:line="260" w:lineRule="exact"/>
              <w:rPr>
                <w:sz w:val="18"/>
                <w:szCs w:val="18"/>
              </w:rPr>
            </w:pPr>
            <w:r>
              <w:rPr>
                <w:sz w:val="18"/>
                <w:szCs w:val="18"/>
              </w:rPr>
              <w:t>制定机关：</w:t>
            </w:r>
          </w:p>
        </w:tc>
        <w:tc>
          <w:tcPr>
            <w:tcW w:w="1899" w:type="dxa"/>
            <w:vAlign w:val="center"/>
          </w:tcPr>
          <w:p w14:paraId="798691C4">
            <w:pPr>
              <w:spacing w:line="260" w:lineRule="exact"/>
              <w:jc w:val="distribute"/>
              <w:rPr>
                <w:sz w:val="18"/>
                <w:szCs w:val="18"/>
              </w:rPr>
            </w:pPr>
            <w:r>
              <w:rPr>
                <w:sz w:val="18"/>
                <w:szCs w:val="18"/>
              </w:rPr>
              <w:t>国 家 统 计 局</w:t>
            </w:r>
          </w:p>
        </w:tc>
      </w:tr>
      <w:tr w14:paraId="689910E1">
        <w:tblPrEx>
          <w:tblCellMar>
            <w:top w:w="0" w:type="dxa"/>
            <w:left w:w="0" w:type="dxa"/>
            <w:bottom w:w="0" w:type="dxa"/>
            <w:right w:w="0" w:type="dxa"/>
          </w:tblCellMar>
        </w:tblPrEx>
        <w:trPr>
          <w:jc w:val="center"/>
        </w:trPr>
        <w:tc>
          <w:tcPr>
            <w:tcW w:w="6653" w:type="dxa"/>
            <w:gridSpan w:val="3"/>
          </w:tcPr>
          <w:p w14:paraId="5A67AA86">
            <w:pPr>
              <w:spacing w:line="260" w:lineRule="exact"/>
              <w:jc w:val="left"/>
              <w:rPr>
                <w:rFonts w:hint="eastAsia" w:eastAsia="宋体"/>
                <w:sz w:val="18"/>
                <w:szCs w:val="18"/>
                <w:lang w:eastAsia="zh-CN"/>
              </w:rPr>
            </w:pPr>
          </w:p>
        </w:tc>
        <w:tc>
          <w:tcPr>
            <w:tcW w:w="850" w:type="dxa"/>
            <w:tcMar>
              <w:left w:w="0" w:type="dxa"/>
              <w:right w:w="0" w:type="dxa"/>
            </w:tcMar>
            <w:vAlign w:val="center"/>
          </w:tcPr>
          <w:p w14:paraId="6897EE74">
            <w:pPr>
              <w:spacing w:line="260" w:lineRule="exact"/>
              <w:rPr>
                <w:sz w:val="18"/>
                <w:szCs w:val="18"/>
              </w:rPr>
            </w:pPr>
            <w:r>
              <w:rPr>
                <w:sz w:val="18"/>
                <w:szCs w:val="18"/>
              </w:rPr>
              <w:t>文    号：</w:t>
            </w:r>
          </w:p>
        </w:tc>
        <w:tc>
          <w:tcPr>
            <w:tcW w:w="1899" w:type="dxa"/>
            <w:vAlign w:val="center"/>
          </w:tcPr>
          <w:p w14:paraId="216A4C19">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121" w:author="kylin" w:date="2025-10-17T16:19:00Z">
              <w:r>
                <w:rPr>
                  <w:rFonts w:hint="default" w:ascii="宋体" w:hAnsi="宋体"/>
                  <w:spacing w:val="-16"/>
                  <w:sz w:val="18"/>
                  <w:szCs w:val="18"/>
                  <w:lang w:val="en-US" w:eastAsia="zh-CN"/>
                </w:rPr>
                <w:delText>４</w:delText>
              </w:r>
            </w:del>
            <w:ins w:id="122" w:author="kylin" w:date="2025-10-17T16:19:00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123" w:author="kylin" w:date="2025-10-17T16:19:02Z">
              <w:r>
                <w:rPr>
                  <w:rFonts w:hint="default" w:ascii="宋体" w:hAnsi="宋体"/>
                  <w:spacing w:val="-16"/>
                  <w:sz w:val="18"/>
                  <w:szCs w:val="18"/>
                  <w:lang w:val="en-US" w:eastAsia="zh-CN"/>
                </w:rPr>
                <w:delText>77</w:delText>
              </w:r>
            </w:del>
            <w:ins w:id="124" w:author="kylin" w:date="2025-10-17T16:19:02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1E026D33">
        <w:tblPrEx>
          <w:tblCellMar>
            <w:top w:w="0" w:type="dxa"/>
            <w:left w:w="0" w:type="dxa"/>
            <w:bottom w:w="0" w:type="dxa"/>
            <w:right w:w="0" w:type="dxa"/>
          </w:tblCellMar>
        </w:tblPrEx>
        <w:trPr>
          <w:jc w:val="center"/>
        </w:trPr>
        <w:tc>
          <w:tcPr>
            <w:tcW w:w="3181" w:type="dxa"/>
          </w:tcPr>
          <w:p w14:paraId="2879A3F4">
            <w:pPr>
              <w:spacing w:line="260" w:lineRule="exact"/>
              <w:rPr>
                <w:sz w:val="18"/>
                <w:szCs w:val="18"/>
              </w:rPr>
            </w:pPr>
            <w:r>
              <w:rPr>
                <w:sz w:val="18"/>
              </w:rPr>
              <w:t>单位详细名称：</w:t>
            </w:r>
          </w:p>
        </w:tc>
        <w:tc>
          <w:tcPr>
            <w:tcW w:w="909" w:type="dxa"/>
          </w:tcPr>
          <w:p w14:paraId="7E723DB8">
            <w:pPr>
              <w:spacing w:line="260" w:lineRule="exact"/>
              <w:rPr>
                <w:sz w:val="18"/>
                <w:szCs w:val="18"/>
              </w:rPr>
            </w:pPr>
          </w:p>
        </w:tc>
        <w:tc>
          <w:tcPr>
            <w:tcW w:w="2563" w:type="dxa"/>
          </w:tcPr>
          <w:p w14:paraId="14069552">
            <w:pPr>
              <w:spacing w:line="260" w:lineRule="exact"/>
              <w:rPr>
                <w:sz w:val="18"/>
                <w:szCs w:val="18"/>
              </w:rPr>
            </w:pPr>
            <w:r>
              <w:rPr>
                <w:sz w:val="18"/>
                <w:szCs w:val="18"/>
              </w:rPr>
              <w:t>２０　　年　</w:t>
            </w:r>
            <w:r>
              <w:rPr>
                <w:rFonts w:hint="eastAsia"/>
                <w:sz w:val="18"/>
                <w:szCs w:val="18"/>
              </w:rPr>
              <w:t xml:space="preserve"> １</w:t>
            </w:r>
            <w:r>
              <w:rPr>
                <w:sz w:val="18"/>
                <w:szCs w:val="18"/>
              </w:rPr>
              <w:t>－　季</w:t>
            </w:r>
          </w:p>
        </w:tc>
        <w:tc>
          <w:tcPr>
            <w:tcW w:w="850" w:type="dxa"/>
            <w:tcMar>
              <w:left w:w="0" w:type="dxa"/>
              <w:right w:w="0" w:type="dxa"/>
            </w:tcMar>
            <w:vAlign w:val="center"/>
          </w:tcPr>
          <w:p w14:paraId="3AC1B560">
            <w:pPr>
              <w:spacing w:line="260" w:lineRule="exact"/>
              <w:rPr>
                <w:sz w:val="18"/>
                <w:szCs w:val="18"/>
              </w:rPr>
            </w:pPr>
            <w:r>
              <w:rPr>
                <w:sz w:val="18"/>
                <w:szCs w:val="18"/>
              </w:rPr>
              <w:t>有效期至：</w:t>
            </w:r>
          </w:p>
        </w:tc>
        <w:tc>
          <w:tcPr>
            <w:tcW w:w="1899" w:type="dxa"/>
            <w:vAlign w:val="center"/>
          </w:tcPr>
          <w:p w14:paraId="1B5C4B40">
            <w:pPr>
              <w:spacing w:line="260" w:lineRule="exact"/>
              <w:jc w:val="distribute"/>
              <w:rPr>
                <w:rFonts w:hint="default" w:eastAsia="宋体"/>
                <w:sz w:val="18"/>
                <w:szCs w:val="18"/>
                <w:lang w:val="en-US" w:eastAsia="zh-CN"/>
              </w:rPr>
            </w:pPr>
            <w:r>
              <w:rPr>
                <w:rFonts w:hint="default"/>
                <w:sz w:val="18"/>
                <w:szCs w:val="18"/>
                <w:lang w:val="en-US" w:eastAsia="zh-CN"/>
              </w:rPr>
              <w:t>２０２</w:t>
            </w:r>
            <w:del w:id="125" w:author="kylin" w:date="2025-10-17T16:19:03Z">
              <w:r>
                <w:rPr>
                  <w:rFonts w:hint="default"/>
                  <w:sz w:val="18"/>
                  <w:szCs w:val="18"/>
                  <w:lang w:val="en-US" w:eastAsia="zh-CN"/>
                </w:rPr>
                <w:delText>６</w:delText>
              </w:r>
            </w:del>
            <w:ins w:id="126" w:author="kylin" w:date="2025-10-17T16:19:03Z">
              <w:r>
                <w:rPr>
                  <w:rFonts w:hint="eastAsia"/>
                  <w:sz w:val="18"/>
                  <w:szCs w:val="18"/>
                  <w:lang w:val="en-US" w:eastAsia="zh-CN"/>
                </w:rPr>
                <w:t>7</w:t>
              </w:r>
            </w:ins>
            <w:r>
              <w:rPr>
                <w:rFonts w:hint="default"/>
                <w:sz w:val="18"/>
                <w:szCs w:val="18"/>
                <w:lang w:val="en-US" w:eastAsia="zh-CN"/>
              </w:rPr>
              <w:t>年１月</w:t>
            </w:r>
          </w:p>
        </w:tc>
      </w:tr>
    </w:tbl>
    <w:p w14:paraId="152DDEB6">
      <w:pPr>
        <w:spacing w:line="20" w:lineRule="exact"/>
        <w:rPr>
          <w:sz w:val="18"/>
          <w:szCs w:val="18"/>
        </w:rPr>
      </w:pPr>
    </w:p>
    <w:tbl>
      <w:tblPr>
        <w:tblStyle w:val="20"/>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1317"/>
        <w:gridCol w:w="1121"/>
        <w:gridCol w:w="566"/>
        <w:gridCol w:w="913"/>
        <w:gridCol w:w="1004"/>
        <w:gridCol w:w="1000"/>
        <w:gridCol w:w="1002"/>
        <w:gridCol w:w="2545"/>
      </w:tblGrid>
      <w:tr w14:paraId="4CDE46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420" w:hRule="atLeast"/>
          <w:jc w:val="center"/>
        </w:trPr>
        <w:tc>
          <w:tcPr>
            <w:tcW w:w="696" w:type="pct"/>
            <w:vMerge w:val="restart"/>
            <w:vAlign w:val="center"/>
          </w:tcPr>
          <w:p w14:paraId="7A6360E8">
            <w:pPr>
              <w:adjustRightInd w:val="0"/>
              <w:snapToGrid w:val="0"/>
              <w:jc w:val="center"/>
              <w:rPr>
                <w:sz w:val="18"/>
                <w:szCs w:val="18"/>
              </w:rPr>
            </w:pPr>
            <w:r>
              <w:rPr>
                <w:sz w:val="18"/>
                <w:szCs w:val="18"/>
              </w:rPr>
              <w:t>能源名称</w:t>
            </w:r>
          </w:p>
        </w:tc>
        <w:tc>
          <w:tcPr>
            <w:tcW w:w="592" w:type="pct"/>
            <w:vMerge w:val="restart"/>
            <w:tcMar>
              <w:left w:w="108" w:type="dxa"/>
              <w:right w:w="108" w:type="dxa"/>
            </w:tcMar>
            <w:vAlign w:val="center"/>
          </w:tcPr>
          <w:p w14:paraId="061108F8">
            <w:pPr>
              <w:adjustRightInd w:val="0"/>
              <w:snapToGrid w:val="0"/>
              <w:jc w:val="center"/>
              <w:rPr>
                <w:sz w:val="18"/>
                <w:szCs w:val="18"/>
              </w:rPr>
            </w:pPr>
            <w:r>
              <w:rPr>
                <w:sz w:val="18"/>
                <w:szCs w:val="18"/>
              </w:rPr>
              <w:t>计量单位</w:t>
            </w:r>
          </w:p>
        </w:tc>
        <w:tc>
          <w:tcPr>
            <w:tcW w:w="299" w:type="pct"/>
            <w:vMerge w:val="restart"/>
            <w:tcMar>
              <w:top w:w="0" w:type="dxa"/>
              <w:left w:w="108" w:type="dxa"/>
              <w:bottom w:w="0" w:type="dxa"/>
              <w:right w:w="108" w:type="dxa"/>
            </w:tcMar>
            <w:vAlign w:val="center"/>
          </w:tcPr>
          <w:p w14:paraId="7F296BF6">
            <w:pPr>
              <w:adjustRightInd w:val="0"/>
              <w:snapToGrid w:val="0"/>
              <w:jc w:val="center"/>
              <w:rPr>
                <w:sz w:val="18"/>
                <w:szCs w:val="18"/>
              </w:rPr>
            </w:pPr>
            <w:r>
              <w:rPr>
                <w:sz w:val="18"/>
                <w:szCs w:val="18"/>
              </w:rPr>
              <w:t>代码</w:t>
            </w:r>
          </w:p>
        </w:tc>
        <w:tc>
          <w:tcPr>
            <w:tcW w:w="1012" w:type="pct"/>
            <w:gridSpan w:val="2"/>
            <w:tcMar>
              <w:top w:w="0" w:type="dxa"/>
              <w:left w:w="0" w:type="dxa"/>
              <w:bottom w:w="0" w:type="dxa"/>
              <w:right w:w="0" w:type="dxa"/>
            </w:tcMar>
            <w:vAlign w:val="center"/>
          </w:tcPr>
          <w:p w14:paraId="5CE04255">
            <w:pPr>
              <w:adjustRightInd w:val="0"/>
              <w:snapToGrid w:val="0"/>
              <w:jc w:val="center"/>
              <w:rPr>
                <w:sz w:val="18"/>
                <w:szCs w:val="18"/>
              </w:rPr>
            </w:pPr>
            <w:r>
              <w:rPr>
                <w:sz w:val="18"/>
                <w:szCs w:val="18"/>
              </w:rPr>
              <w:t>1</w:t>
            </w:r>
            <w:r>
              <w:rPr>
                <w:kern w:val="0"/>
                <w:sz w:val="18"/>
                <w:szCs w:val="18"/>
              </w:rPr>
              <w:t>－</w:t>
            </w:r>
            <w:r>
              <w:rPr>
                <w:sz w:val="18"/>
                <w:szCs w:val="18"/>
              </w:rPr>
              <w:t xml:space="preserve">本季    </w:t>
            </w:r>
          </w:p>
        </w:tc>
        <w:tc>
          <w:tcPr>
            <w:tcW w:w="1057" w:type="pct"/>
            <w:gridSpan w:val="2"/>
            <w:tcBorders>
              <w:top w:val="single" w:color="auto" w:sz="8" w:space="0"/>
              <w:bottom w:val="single" w:color="auto" w:sz="2" w:space="0"/>
            </w:tcBorders>
            <w:shd w:val="clear" w:color="auto" w:fill="D9D9D9"/>
            <w:vAlign w:val="center"/>
          </w:tcPr>
          <w:p w14:paraId="23609876">
            <w:pPr>
              <w:adjustRightInd w:val="0"/>
              <w:snapToGrid w:val="0"/>
              <w:jc w:val="center"/>
              <w:rPr>
                <w:sz w:val="18"/>
                <w:szCs w:val="18"/>
              </w:rPr>
            </w:pPr>
            <w:r>
              <w:rPr>
                <w:sz w:val="18"/>
                <w:szCs w:val="18"/>
              </w:rPr>
              <w:t xml:space="preserve">上年同期  </w:t>
            </w:r>
          </w:p>
        </w:tc>
        <w:tc>
          <w:tcPr>
            <w:tcW w:w="1344" w:type="pct"/>
            <w:vMerge w:val="restart"/>
            <w:shd w:val="clear" w:color="auto" w:fill="auto"/>
            <w:vAlign w:val="center"/>
          </w:tcPr>
          <w:p w14:paraId="4895BFAE">
            <w:pPr>
              <w:adjustRightInd w:val="0"/>
              <w:snapToGrid w:val="0"/>
              <w:jc w:val="center"/>
              <w:rPr>
                <w:sz w:val="18"/>
                <w:szCs w:val="18"/>
              </w:rPr>
            </w:pPr>
            <w:r>
              <w:rPr>
                <w:sz w:val="18"/>
                <w:szCs w:val="18"/>
              </w:rPr>
              <w:t>参考折标准煤系数</w:t>
            </w:r>
          </w:p>
        </w:tc>
      </w:tr>
      <w:tr w14:paraId="537993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561" w:hRule="exact"/>
          <w:jc w:val="center"/>
        </w:trPr>
        <w:tc>
          <w:tcPr>
            <w:tcW w:w="696" w:type="pct"/>
            <w:vMerge w:val="continue"/>
            <w:vAlign w:val="center"/>
          </w:tcPr>
          <w:p w14:paraId="783684A4">
            <w:pPr>
              <w:adjustRightInd w:val="0"/>
              <w:snapToGrid w:val="0"/>
              <w:jc w:val="center"/>
              <w:rPr>
                <w:sz w:val="18"/>
                <w:szCs w:val="18"/>
              </w:rPr>
            </w:pPr>
          </w:p>
        </w:tc>
        <w:tc>
          <w:tcPr>
            <w:tcW w:w="592" w:type="pct"/>
            <w:vMerge w:val="continue"/>
            <w:tcMar>
              <w:left w:w="108" w:type="dxa"/>
              <w:right w:w="108" w:type="dxa"/>
            </w:tcMar>
            <w:vAlign w:val="center"/>
          </w:tcPr>
          <w:p w14:paraId="228F2A6C">
            <w:pPr>
              <w:adjustRightInd w:val="0"/>
              <w:snapToGrid w:val="0"/>
              <w:jc w:val="center"/>
              <w:rPr>
                <w:sz w:val="18"/>
                <w:szCs w:val="18"/>
              </w:rPr>
            </w:pPr>
          </w:p>
        </w:tc>
        <w:tc>
          <w:tcPr>
            <w:tcW w:w="299" w:type="pct"/>
            <w:vMerge w:val="continue"/>
            <w:tcMar>
              <w:top w:w="0" w:type="dxa"/>
              <w:left w:w="108" w:type="dxa"/>
              <w:bottom w:w="0" w:type="dxa"/>
              <w:right w:w="108" w:type="dxa"/>
            </w:tcMar>
            <w:vAlign w:val="center"/>
          </w:tcPr>
          <w:p w14:paraId="0778CA36">
            <w:pPr>
              <w:adjustRightInd w:val="0"/>
              <w:snapToGrid w:val="0"/>
              <w:jc w:val="center"/>
              <w:rPr>
                <w:sz w:val="18"/>
                <w:szCs w:val="18"/>
              </w:rPr>
            </w:pPr>
          </w:p>
        </w:tc>
        <w:tc>
          <w:tcPr>
            <w:tcW w:w="482" w:type="pct"/>
            <w:tcMar>
              <w:top w:w="0" w:type="dxa"/>
              <w:left w:w="0" w:type="dxa"/>
              <w:bottom w:w="0" w:type="dxa"/>
              <w:right w:w="0" w:type="dxa"/>
            </w:tcMar>
            <w:vAlign w:val="center"/>
          </w:tcPr>
          <w:p w14:paraId="0F6E4ADF">
            <w:pPr>
              <w:adjustRightInd w:val="0"/>
              <w:snapToGrid w:val="0"/>
              <w:jc w:val="center"/>
              <w:rPr>
                <w:sz w:val="18"/>
                <w:szCs w:val="18"/>
              </w:rPr>
            </w:pPr>
            <w:r>
              <w:rPr>
                <w:sz w:val="18"/>
                <w:szCs w:val="18"/>
              </w:rPr>
              <w:t>消费量</w:t>
            </w:r>
          </w:p>
        </w:tc>
        <w:tc>
          <w:tcPr>
            <w:tcW w:w="530" w:type="pct"/>
            <w:tcMar>
              <w:top w:w="0" w:type="dxa"/>
              <w:left w:w="108" w:type="dxa"/>
              <w:bottom w:w="0" w:type="dxa"/>
              <w:right w:w="108" w:type="dxa"/>
            </w:tcMar>
            <w:vAlign w:val="center"/>
          </w:tcPr>
          <w:p w14:paraId="60AA6710">
            <w:pPr>
              <w:adjustRightInd w:val="0"/>
              <w:snapToGrid w:val="0"/>
              <w:jc w:val="center"/>
              <w:rPr>
                <w:sz w:val="18"/>
                <w:szCs w:val="18"/>
              </w:rPr>
            </w:pPr>
            <w:r>
              <w:rPr>
                <w:sz w:val="18"/>
                <w:szCs w:val="18"/>
              </w:rPr>
              <w:t>消费金额(千元)</w:t>
            </w:r>
          </w:p>
        </w:tc>
        <w:tc>
          <w:tcPr>
            <w:tcW w:w="528" w:type="pct"/>
            <w:tcBorders>
              <w:top w:val="single" w:color="auto" w:sz="2" w:space="0"/>
              <w:bottom w:val="single" w:color="auto" w:sz="2" w:space="0"/>
            </w:tcBorders>
            <w:shd w:val="clear" w:color="auto" w:fill="D9D9D9"/>
            <w:vAlign w:val="center"/>
          </w:tcPr>
          <w:p w14:paraId="1A829F63">
            <w:pPr>
              <w:adjustRightInd w:val="0"/>
              <w:snapToGrid w:val="0"/>
              <w:jc w:val="center"/>
              <w:rPr>
                <w:sz w:val="18"/>
                <w:szCs w:val="18"/>
              </w:rPr>
            </w:pPr>
            <w:r>
              <w:rPr>
                <w:sz w:val="18"/>
                <w:szCs w:val="18"/>
              </w:rPr>
              <w:t>消费量</w:t>
            </w:r>
          </w:p>
        </w:tc>
        <w:tc>
          <w:tcPr>
            <w:tcW w:w="529" w:type="pct"/>
            <w:tcBorders>
              <w:top w:val="single" w:color="auto" w:sz="2" w:space="0"/>
              <w:bottom w:val="single" w:color="auto" w:sz="2" w:space="0"/>
            </w:tcBorders>
            <w:shd w:val="clear" w:color="auto" w:fill="D9D9D9"/>
            <w:vAlign w:val="center"/>
          </w:tcPr>
          <w:p w14:paraId="5B81C7E1">
            <w:pPr>
              <w:adjustRightInd w:val="0"/>
              <w:snapToGrid w:val="0"/>
              <w:jc w:val="center"/>
              <w:rPr>
                <w:sz w:val="18"/>
                <w:szCs w:val="18"/>
              </w:rPr>
            </w:pPr>
            <w:r>
              <w:rPr>
                <w:sz w:val="18"/>
                <w:szCs w:val="18"/>
              </w:rPr>
              <w:t>消费金额(千元)</w:t>
            </w:r>
          </w:p>
        </w:tc>
        <w:tc>
          <w:tcPr>
            <w:tcW w:w="1344" w:type="pct"/>
            <w:vMerge w:val="continue"/>
            <w:shd w:val="clear" w:color="auto" w:fill="auto"/>
            <w:vAlign w:val="center"/>
          </w:tcPr>
          <w:p w14:paraId="64CE4BA1">
            <w:pPr>
              <w:adjustRightInd w:val="0"/>
              <w:snapToGrid w:val="0"/>
              <w:jc w:val="center"/>
              <w:rPr>
                <w:sz w:val="18"/>
                <w:szCs w:val="18"/>
              </w:rPr>
            </w:pPr>
          </w:p>
        </w:tc>
      </w:tr>
      <w:tr w14:paraId="769A4F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06" w:hRule="exact"/>
          <w:jc w:val="center"/>
        </w:trPr>
        <w:tc>
          <w:tcPr>
            <w:tcW w:w="696" w:type="pct"/>
            <w:vAlign w:val="center"/>
          </w:tcPr>
          <w:p w14:paraId="3119C8D7">
            <w:pPr>
              <w:adjustRightInd w:val="0"/>
              <w:snapToGrid w:val="0"/>
              <w:spacing w:line="240" w:lineRule="exact"/>
              <w:jc w:val="center"/>
              <w:textAlignment w:val="center"/>
              <w:rPr>
                <w:sz w:val="18"/>
                <w:szCs w:val="18"/>
              </w:rPr>
            </w:pPr>
            <w:r>
              <w:rPr>
                <w:sz w:val="18"/>
                <w:szCs w:val="18"/>
              </w:rPr>
              <w:t>甲</w:t>
            </w:r>
          </w:p>
        </w:tc>
        <w:tc>
          <w:tcPr>
            <w:tcW w:w="592" w:type="pct"/>
            <w:tcMar>
              <w:left w:w="108" w:type="dxa"/>
              <w:right w:w="108" w:type="dxa"/>
            </w:tcMar>
            <w:vAlign w:val="center"/>
          </w:tcPr>
          <w:p w14:paraId="7292733D">
            <w:pPr>
              <w:adjustRightInd w:val="0"/>
              <w:snapToGrid w:val="0"/>
              <w:spacing w:line="240" w:lineRule="exact"/>
              <w:jc w:val="center"/>
              <w:textAlignment w:val="center"/>
              <w:rPr>
                <w:sz w:val="18"/>
                <w:szCs w:val="18"/>
              </w:rPr>
            </w:pPr>
            <w:r>
              <w:rPr>
                <w:sz w:val="18"/>
                <w:szCs w:val="18"/>
              </w:rPr>
              <w:t>乙</w:t>
            </w:r>
          </w:p>
        </w:tc>
        <w:tc>
          <w:tcPr>
            <w:tcW w:w="299" w:type="pct"/>
            <w:tcMar>
              <w:top w:w="0" w:type="dxa"/>
              <w:left w:w="108" w:type="dxa"/>
              <w:bottom w:w="0" w:type="dxa"/>
              <w:right w:w="108" w:type="dxa"/>
            </w:tcMar>
            <w:vAlign w:val="center"/>
          </w:tcPr>
          <w:p w14:paraId="12F329D8">
            <w:pPr>
              <w:adjustRightInd w:val="0"/>
              <w:snapToGrid w:val="0"/>
              <w:spacing w:line="240" w:lineRule="exact"/>
              <w:jc w:val="center"/>
              <w:textAlignment w:val="center"/>
              <w:rPr>
                <w:sz w:val="18"/>
                <w:szCs w:val="18"/>
              </w:rPr>
            </w:pPr>
            <w:r>
              <w:rPr>
                <w:sz w:val="18"/>
                <w:szCs w:val="18"/>
              </w:rPr>
              <w:t>丙</w:t>
            </w:r>
          </w:p>
        </w:tc>
        <w:tc>
          <w:tcPr>
            <w:tcW w:w="482" w:type="pct"/>
            <w:tcMar>
              <w:top w:w="0" w:type="dxa"/>
              <w:left w:w="0" w:type="dxa"/>
              <w:bottom w:w="0" w:type="dxa"/>
              <w:right w:w="0" w:type="dxa"/>
            </w:tcMar>
            <w:vAlign w:val="center"/>
          </w:tcPr>
          <w:p w14:paraId="29A6D9DA">
            <w:pPr>
              <w:adjustRightInd w:val="0"/>
              <w:snapToGrid w:val="0"/>
              <w:spacing w:line="240" w:lineRule="exact"/>
              <w:jc w:val="center"/>
              <w:textAlignment w:val="center"/>
              <w:rPr>
                <w:sz w:val="18"/>
                <w:szCs w:val="18"/>
              </w:rPr>
            </w:pPr>
            <w:r>
              <w:rPr>
                <w:sz w:val="18"/>
                <w:szCs w:val="18"/>
              </w:rPr>
              <w:t>1</w:t>
            </w:r>
          </w:p>
        </w:tc>
        <w:tc>
          <w:tcPr>
            <w:tcW w:w="530" w:type="pct"/>
            <w:tcMar>
              <w:top w:w="0" w:type="dxa"/>
              <w:left w:w="108" w:type="dxa"/>
              <w:bottom w:w="0" w:type="dxa"/>
              <w:right w:w="108" w:type="dxa"/>
            </w:tcMar>
            <w:vAlign w:val="center"/>
          </w:tcPr>
          <w:p w14:paraId="2D8D3072">
            <w:pPr>
              <w:adjustRightInd w:val="0"/>
              <w:snapToGrid w:val="0"/>
              <w:spacing w:line="240" w:lineRule="exact"/>
              <w:jc w:val="center"/>
              <w:textAlignment w:val="center"/>
              <w:rPr>
                <w:sz w:val="18"/>
                <w:szCs w:val="18"/>
              </w:rPr>
            </w:pPr>
            <w:r>
              <w:rPr>
                <w:sz w:val="18"/>
                <w:szCs w:val="18"/>
              </w:rPr>
              <w:t>2</w:t>
            </w:r>
          </w:p>
        </w:tc>
        <w:tc>
          <w:tcPr>
            <w:tcW w:w="528" w:type="pct"/>
            <w:tcBorders>
              <w:top w:val="single" w:color="auto" w:sz="2" w:space="0"/>
              <w:bottom w:val="single" w:color="auto" w:sz="2" w:space="0"/>
            </w:tcBorders>
            <w:shd w:val="clear" w:color="auto" w:fill="D9D9D9"/>
            <w:vAlign w:val="center"/>
          </w:tcPr>
          <w:p w14:paraId="2CB21A80">
            <w:pPr>
              <w:adjustRightInd w:val="0"/>
              <w:snapToGrid w:val="0"/>
              <w:spacing w:line="240" w:lineRule="exact"/>
              <w:jc w:val="center"/>
              <w:textAlignment w:val="center"/>
              <w:rPr>
                <w:sz w:val="18"/>
                <w:szCs w:val="18"/>
              </w:rPr>
            </w:pPr>
            <w:r>
              <w:rPr>
                <w:sz w:val="18"/>
                <w:szCs w:val="18"/>
              </w:rPr>
              <w:t>3</w:t>
            </w:r>
          </w:p>
        </w:tc>
        <w:tc>
          <w:tcPr>
            <w:tcW w:w="529" w:type="pct"/>
            <w:tcBorders>
              <w:top w:val="single" w:color="auto" w:sz="2" w:space="0"/>
              <w:bottom w:val="single" w:color="auto" w:sz="2" w:space="0"/>
            </w:tcBorders>
            <w:shd w:val="clear" w:color="auto" w:fill="D9D9D9"/>
            <w:vAlign w:val="center"/>
          </w:tcPr>
          <w:p w14:paraId="2E6E6296">
            <w:pPr>
              <w:adjustRightInd w:val="0"/>
              <w:snapToGrid w:val="0"/>
              <w:spacing w:line="240" w:lineRule="exact"/>
              <w:jc w:val="center"/>
              <w:textAlignment w:val="center"/>
              <w:rPr>
                <w:sz w:val="18"/>
                <w:szCs w:val="18"/>
              </w:rPr>
            </w:pPr>
            <w:r>
              <w:rPr>
                <w:sz w:val="18"/>
                <w:szCs w:val="18"/>
              </w:rPr>
              <w:t>4</w:t>
            </w:r>
          </w:p>
        </w:tc>
        <w:tc>
          <w:tcPr>
            <w:tcW w:w="1344" w:type="pct"/>
            <w:shd w:val="clear" w:color="auto" w:fill="auto"/>
            <w:vAlign w:val="center"/>
          </w:tcPr>
          <w:p w14:paraId="41D34A49">
            <w:pPr>
              <w:adjustRightInd w:val="0"/>
              <w:snapToGrid w:val="0"/>
              <w:spacing w:line="240" w:lineRule="exact"/>
              <w:jc w:val="center"/>
              <w:textAlignment w:val="center"/>
              <w:rPr>
                <w:sz w:val="18"/>
                <w:szCs w:val="18"/>
              </w:rPr>
            </w:pPr>
            <w:r>
              <w:rPr>
                <w:sz w:val="18"/>
                <w:szCs w:val="18"/>
              </w:rPr>
              <w:t>丁</w:t>
            </w:r>
          </w:p>
        </w:tc>
      </w:tr>
      <w:tr w14:paraId="51C8D3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723" w:hRule="atLeast"/>
          <w:jc w:val="center"/>
        </w:trPr>
        <w:tc>
          <w:tcPr>
            <w:tcW w:w="696" w:type="pct"/>
            <w:shd w:val="clear" w:color="auto" w:fill="auto"/>
          </w:tcPr>
          <w:p w14:paraId="061C1293">
            <w:pPr>
              <w:adjustRightInd w:val="0"/>
              <w:snapToGrid w:val="0"/>
              <w:spacing w:line="320" w:lineRule="exact"/>
              <w:ind w:firstLine="90" w:firstLineChars="50"/>
              <w:rPr>
                <w:sz w:val="18"/>
                <w:szCs w:val="18"/>
              </w:rPr>
            </w:pPr>
            <w:r>
              <w:rPr>
                <w:sz w:val="18"/>
                <w:szCs w:val="18"/>
              </w:rPr>
              <w:t>电力</w:t>
            </w:r>
          </w:p>
          <w:p w14:paraId="76D4D857">
            <w:pPr>
              <w:adjustRightInd w:val="0"/>
              <w:snapToGrid w:val="0"/>
              <w:spacing w:line="320" w:lineRule="exact"/>
              <w:ind w:firstLine="90" w:firstLineChars="50"/>
              <w:rPr>
                <w:sz w:val="18"/>
                <w:szCs w:val="18"/>
              </w:rPr>
            </w:pPr>
            <w:r>
              <w:rPr>
                <w:sz w:val="18"/>
                <w:szCs w:val="18"/>
              </w:rPr>
              <w:t>煤炭</w:t>
            </w:r>
          </w:p>
          <w:p w14:paraId="28BAD042">
            <w:pPr>
              <w:adjustRightInd w:val="0"/>
              <w:snapToGrid w:val="0"/>
              <w:spacing w:line="320" w:lineRule="exact"/>
              <w:ind w:firstLine="90" w:firstLineChars="50"/>
              <w:rPr>
                <w:sz w:val="18"/>
                <w:szCs w:val="18"/>
              </w:rPr>
            </w:pPr>
            <w:r>
              <w:rPr>
                <w:sz w:val="18"/>
                <w:szCs w:val="18"/>
              </w:rPr>
              <w:t>焦炭</w:t>
            </w:r>
          </w:p>
          <w:p w14:paraId="5B964C2A">
            <w:pPr>
              <w:adjustRightInd w:val="0"/>
              <w:snapToGrid w:val="0"/>
              <w:spacing w:line="320" w:lineRule="exact"/>
              <w:ind w:firstLine="90" w:firstLineChars="50"/>
              <w:rPr>
                <w:sz w:val="18"/>
                <w:szCs w:val="18"/>
              </w:rPr>
            </w:pPr>
            <w:r>
              <w:rPr>
                <w:sz w:val="18"/>
                <w:szCs w:val="18"/>
              </w:rPr>
              <w:t>煤气</w:t>
            </w:r>
          </w:p>
          <w:p w14:paraId="0292CC91">
            <w:pPr>
              <w:adjustRightInd w:val="0"/>
              <w:snapToGrid w:val="0"/>
              <w:spacing w:line="320" w:lineRule="exact"/>
              <w:ind w:firstLine="90" w:firstLineChars="50"/>
              <w:rPr>
                <w:sz w:val="18"/>
                <w:szCs w:val="18"/>
              </w:rPr>
            </w:pPr>
            <w:r>
              <w:rPr>
                <w:sz w:val="18"/>
                <w:szCs w:val="18"/>
              </w:rPr>
              <w:t>天然气</w:t>
            </w:r>
          </w:p>
          <w:p w14:paraId="07AA934A">
            <w:pPr>
              <w:adjustRightInd w:val="0"/>
              <w:snapToGrid w:val="0"/>
              <w:spacing w:line="320" w:lineRule="exact"/>
              <w:ind w:firstLine="80" w:firstLineChars="50"/>
              <w:rPr>
                <w:sz w:val="18"/>
                <w:szCs w:val="18"/>
              </w:rPr>
            </w:pPr>
            <w:r>
              <w:rPr>
                <w:snapToGrid w:val="0"/>
                <w:spacing w:val="-10"/>
                <w:kern w:val="0"/>
                <w:sz w:val="18"/>
                <w:szCs w:val="18"/>
              </w:rPr>
              <w:t>液化石油气</w:t>
            </w:r>
          </w:p>
          <w:p w14:paraId="28D9DE59">
            <w:pPr>
              <w:adjustRightInd w:val="0"/>
              <w:snapToGrid w:val="0"/>
              <w:spacing w:line="320" w:lineRule="exact"/>
              <w:ind w:firstLine="90" w:firstLineChars="50"/>
              <w:rPr>
                <w:sz w:val="18"/>
                <w:szCs w:val="18"/>
              </w:rPr>
            </w:pPr>
            <w:r>
              <w:rPr>
                <w:sz w:val="18"/>
                <w:szCs w:val="18"/>
              </w:rPr>
              <w:t>汽油</w:t>
            </w:r>
          </w:p>
          <w:p w14:paraId="5F418D31">
            <w:pPr>
              <w:adjustRightInd w:val="0"/>
              <w:snapToGrid w:val="0"/>
              <w:spacing w:line="320" w:lineRule="exact"/>
              <w:ind w:firstLine="90" w:firstLineChars="50"/>
              <w:rPr>
                <w:sz w:val="18"/>
                <w:szCs w:val="18"/>
              </w:rPr>
            </w:pPr>
            <w:r>
              <w:rPr>
                <w:sz w:val="18"/>
                <w:szCs w:val="18"/>
              </w:rPr>
              <w:t>煤油</w:t>
            </w:r>
          </w:p>
          <w:p w14:paraId="68C7C4F4">
            <w:pPr>
              <w:adjustRightInd w:val="0"/>
              <w:snapToGrid w:val="0"/>
              <w:spacing w:line="320" w:lineRule="exact"/>
              <w:ind w:firstLine="90" w:firstLineChars="50"/>
              <w:rPr>
                <w:sz w:val="18"/>
                <w:szCs w:val="18"/>
              </w:rPr>
            </w:pPr>
            <w:r>
              <w:rPr>
                <w:sz w:val="18"/>
                <w:szCs w:val="18"/>
              </w:rPr>
              <w:t>柴油</w:t>
            </w:r>
          </w:p>
          <w:p w14:paraId="1DEC717F">
            <w:pPr>
              <w:adjustRightInd w:val="0"/>
              <w:snapToGrid w:val="0"/>
              <w:spacing w:line="320" w:lineRule="exact"/>
              <w:ind w:firstLine="90" w:firstLineChars="50"/>
              <w:rPr>
                <w:sz w:val="18"/>
                <w:szCs w:val="18"/>
              </w:rPr>
            </w:pPr>
            <w:r>
              <w:rPr>
                <w:sz w:val="18"/>
                <w:szCs w:val="18"/>
              </w:rPr>
              <w:t>燃料油</w:t>
            </w:r>
          </w:p>
          <w:p w14:paraId="51208081">
            <w:pPr>
              <w:adjustRightInd w:val="0"/>
              <w:snapToGrid w:val="0"/>
              <w:spacing w:line="320" w:lineRule="exact"/>
              <w:ind w:firstLine="90" w:firstLineChars="50"/>
              <w:rPr>
                <w:sz w:val="18"/>
                <w:szCs w:val="18"/>
              </w:rPr>
            </w:pPr>
            <w:r>
              <w:rPr>
                <w:sz w:val="18"/>
                <w:szCs w:val="18"/>
              </w:rPr>
              <w:t>外购热力</w:t>
            </w:r>
          </w:p>
        </w:tc>
        <w:tc>
          <w:tcPr>
            <w:tcW w:w="592" w:type="pct"/>
            <w:shd w:val="clear" w:color="auto" w:fill="auto"/>
            <w:tcMar>
              <w:left w:w="108" w:type="dxa"/>
              <w:right w:w="108" w:type="dxa"/>
            </w:tcMar>
          </w:tcPr>
          <w:p w14:paraId="5759849A">
            <w:pPr>
              <w:widowControl/>
              <w:snapToGrid w:val="0"/>
              <w:spacing w:line="320" w:lineRule="exact"/>
              <w:jc w:val="center"/>
              <w:rPr>
                <w:kern w:val="0"/>
                <w:sz w:val="18"/>
                <w:szCs w:val="18"/>
              </w:rPr>
            </w:pPr>
            <w:r>
              <w:rPr>
                <w:kern w:val="0"/>
                <w:sz w:val="18"/>
                <w:szCs w:val="18"/>
              </w:rPr>
              <w:t>千瓦时(度)</w:t>
            </w:r>
          </w:p>
          <w:p w14:paraId="4A100B2D">
            <w:pPr>
              <w:widowControl/>
              <w:snapToGrid w:val="0"/>
              <w:spacing w:line="320" w:lineRule="exact"/>
              <w:jc w:val="center"/>
              <w:rPr>
                <w:kern w:val="0"/>
                <w:sz w:val="18"/>
                <w:szCs w:val="18"/>
              </w:rPr>
            </w:pPr>
            <w:r>
              <w:rPr>
                <w:kern w:val="0"/>
                <w:sz w:val="18"/>
                <w:szCs w:val="18"/>
              </w:rPr>
              <w:t>吨</w:t>
            </w:r>
          </w:p>
          <w:p w14:paraId="35D9EE46">
            <w:pPr>
              <w:widowControl/>
              <w:snapToGrid w:val="0"/>
              <w:spacing w:line="320" w:lineRule="exact"/>
              <w:jc w:val="center"/>
              <w:rPr>
                <w:kern w:val="0"/>
                <w:sz w:val="18"/>
                <w:szCs w:val="18"/>
              </w:rPr>
            </w:pPr>
            <w:r>
              <w:rPr>
                <w:kern w:val="0"/>
                <w:sz w:val="18"/>
                <w:szCs w:val="18"/>
              </w:rPr>
              <w:t>吨</w:t>
            </w:r>
          </w:p>
          <w:p w14:paraId="597A60DB">
            <w:pPr>
              <w:widowControl/>
              <w:snapToGrid w:val="0"/>
              <w:spacing w:line="320" w:lineRule="exact"/>
              <w:jc w:val="center"/>
              <w:rPr>
                <w:kern w:val="0"/>
                <w:sz w:val="18"/>
                <w:szCs w:val="18"/>
              </w:rPr>
            </w:pPr>
            <w:r>
              <w:rPr>
                <w:kern w:val="0"/>
                <w:sz w:val="18"/>
                <w:szCs w:val="18"/>
              </w:rPr>
              <w:t>立方米</w:t>
            </w:r>
          </w:p>
          <w:p w14:paraId="500AD24A">
            <w:pPr>
              <w:widowControl/>
              <w:snapToGrid w:val="0"/>
              <w:spacing w:line="320" w:lineRule="exact"/>
              <w:jc w:val="center"/>
              <w:rPr>
                <w:kern w:val="0"/>
                <w:sz w:val="18"/>
                <w:szCs w:val="18"/>
              </w:rPr>
            </w:pPr>
            <w:r>
              <w:rPr>
                <w:kern w:val="0"/>
                <w:sz w:val="18"/>
                <w:szCs w:val="18"/>
              </w:rPr>
              <w:t>立方米</w:t>
            </w:r>
          </w:p>
          <w:p w14:paraId="2AF5085E">
            <w:pPr>
              <w:widowControl/>
              <w:snapToGrid w:val="0"/>
              <w:spacing w:line="320" w:lineRule="exact"/>
              <w:jc w:val="center"/>
              <w:rPr>
                <w:kern w:val="0"/>
                <w:sz w:val="18"/>
                <w:szCs w:val="18"/>
              </w:rPr>
            </w:pPr>
            <w:r>
              <w:rPr>
                <w:kern w:val="0"/>
                <w:sz w:val="18"/>
                <w:szCs w:val="18"/>
              </w:rPr>
              <w:t>吨</w:t>
            </w:r>
          </w:p>
          <w:p w14:paraId="39A72678">
            <w:pPr>
              <w:widowControl/>
              <w:snapToGrid w:val="0"/>
              <w:spacing w:line="320" w:lineRule="exact"/>
              <w:jc w:val="center"/>
              <w:rPr>
                <w:kern w:val="0"/>
                <w:sz w:val="18"/>
                <w:szCs w:val="18"/>
              </w:rPr>
            </w:pPr>
            <w:r>
              <w:rPr>
                <w:kern w:val="0"/>
                <w:sz w:val="18"/>
                <w:szCs w:val="18"/>
              </w:rPr>
              <w:t>吨</w:t>
            </w:r>
          </w:p>
          <w:p w14:paraId="5B4A8E29">
            <w:pPr>
              <w:widowControl/>
              <w:snapToGrid w:val="0"/>
              <w:spacing w:line="320" w:lineRule="exact"/>
              <w:jc w:val="center"/>
              <w:rPr>
                <w:kern w:val="0"/>
                <w:sz w:val="18"/>
                <w:szCs w:val="18"/>
              </w:rPr>
            </w:pPr>
            <w:r>
              <w:rPr>
                <w:kern w:val="0"/>
                <w:sz w:val="18"/>
                <w:szCs w:val="18"/>
              </w:rPr>
              <w:t>吨</w:t>
            </w:r>
          </w:p>
          <w:p w14:paraId="3668AD30">
            <w:pPr>
              <w:widowControl/>
              <w:snapToGrid w:val="0"/>
              <w:spacing w:line="320" w:lineRule="exact"/>
              <w:jc w:val="center"/>
              <w:rPr>
                <w:kern w:val="0"/>
                <w:sz w:val="18"/>
                <w:szCs w:val="18"/>
              </w:rPr>
            </w:pPr>
            <w:r>
              <w:rPr>
                <w:kern w:val="0"/>
                <w:sz w:val="18"/>
                <w:szCs w:val="18"/>
              </w:rPr>
              <w:t>吨</w:t>
            </w:r>
          </w:p>
          <w:p w14:paraId="45FC854A">
            <w:pPr>
              <w:snapToGrid w:val="0"/>
              <w:spacing w:line="320" w:lineRule="exact"/>
              <w:jc w:val="center"/>
              <w:rPr>
                <w:kern w:val="0"/>
                <w:sz w:val="18"/>
                <w:szCs w:val="18"/>
              </w:rPr>
            </w:pPr>
            <w:r>
              <w:rPr>
                <w:kern w:val="0"/>
                <w:sz w:val="18"/>
                <w:szCs w:val="18"/>
              </w:rPr>
              <w:t>吨</w:t>
            </w:r>
          </w:p>
          <w:p w14:paraId="16F09B39">
            <w:pPr>
              <w:snapToGrid w:val="0"/>
              <w:spacing w:line="320" w:lineRule="exact"/>
              <w:jc w:val="center"/>
              <w:rPr>
                <w:kern w:val="0"/>
                <w:sz w:val="18"/>
                <w:szCs w:val="18"/>
              </w:rPr>
            </w:pPr>
            <w:r>
              <w:rPr>
                <w:sz w:val="18"/>
                <w:szCs w:val="18"/>
              </w:rPr>
              <w:t>百万千焦</w:t>
            </w:r>
          </w:p>
        </w:tc>
        <w:tc>
          <w:tcPr>
            <w:tcW w:w="299" w:type="pct"/>
            <w:shd w:val="clear" w:color="auto" w:fill="auto"/>
            <w:tcMar>
              <w:top w:w="0" w:type="dxa"/>
              <w:left w:w="108" w:type="dxa"/>
              <w:bottom w:w="0" w:type="dxa"/>
              <w:right w:w="108" w:type="dxa"/>
            </w:tcMar>
            <w:vAlign w:val="center"/>
          </w:tcPr>
          <w:p w14:paraId="462CCBF3">
            <w:pPr>
              <w:widowControl/>
              <w:snapToGrid w:val="0"/>
              <w:spacing w:line="320" w:lineRule="exact"/>
              <w:jc w:val="center"/>
              <w:textAlignment w:val="center"/>
              <w:rPr>
                <w:kern w:val="0"/>
                <w:sz w:val="18"/>
                <w:szCs w:val="18"/>
              </w:rPr>
            </w:pPr>
            <w:r>
              <w:rPr>
                <w:kern w:val="0"/>
                <w:sz w:val="18"/>
                <w:szCs w:val="18"/>
              </w:rPr>
              <w:t>01</w:t>
            </w:r>
          </w:p>
          <w:p w14:paraId="5CFEE316">
            <w:pPr>
              <w:widowControl/>
              <w:snapToGrid w:val="0"/>
              <w:spacing w:line="320" w:lineRule="exact"/>
              <w:jc w:val="center"/>
              <w:textAlignment w:val="center"/>
              <w:rPr>
                <w:kern w:val="0"/>
                <w:sz w:val="18"/>
                <w:szCs w:val="18"/>
              </w:rPr>
            </w:pPr>
            <w:r>
              <w:rPr>
                <w:kern w:val="0"/>
                <w:sz w:val="18"/>
                <w:szCs w:val="18"/>
              </w:rPr>
              <w:t>02</w:t>
            </w:r>
          </w:p>
          <w:p w14:paraId="70A6ADB9">
            <w:pPr>
              <w:widowControl/>
              <w:snapToGrid w:val="0"/>
              <w:spacing w:line="320" w:lineRule="exact"/>
              <w:jc w:val="center"/>
              <w:textAlignment w:val="center"/>
              <w:rPr>
                <w:kern w:val="0"/>
                <w:sz w:val="18"/>
                <w:szCs w:val="18"/>
              </w:rPr>
            </w:pPr>
            <w:r>
              <w:rPr>
                <w:kern w:val="0"/>
                <w:sz w:val="18"/>
                <w:szCs w:val="18"/>
              </w:rPr>
              <w:t>03</w:t>
            </w:r>
          </w:p>
          <w:p w14:paraId="5A3282F6">
            <w:pPr>
              <w:widowControl/>
              <w:snapToGrid w:val="0"/>
              <w:spacing w:line="320" w:lineRule="exact"/>
              <w:jc w:val="center"/>
              <w:textAlignment w:val="center"/>
              <w:rPr>
                <w:kern w:val="0"/>
                <w:sz w:val="18"/>
                <w:szCs w:val="18"/>
              </w:rPr>
            </w:pPr>
            <w:r>
              <w:rPr>
                <w:kern w:val="0"/>
                <w:sz w:val="18"/>
                <w:szCs w:val="18"/>
              </w:rPr>
              <w:t>04</w:t>
            </w:r>
          </w:p>
          <w:p w14:paraId="50D585BD">
            <w:pPr>
              <w:widowControl/>
              <w:snapToGrid w:val="0"/>
              <w:spacing w:line="320" w:lineRule="exact"/>
              <w:jc w:val="center"/>
              <w:textAlignment w:val="center"/>
              <w:rPr>
                <w:kern w:val="0"/>
                <w:sz w:val="18"/>
                <w:szCs w:val="18"/>
              </w:rPr>
            </w:pPr>
            <w:r>
              <w:rPr>
                <w:kern w:val="0"/>
                <w:sz w:val="18"/>
                <w:szCs w:val="18"/>
              </w:rPr>
              <w:t>05</w:t>
            </w:r>
          </w:p>
          <w:p w14:paraId="6C4AF83B">
            <w:pPr>
              <w:widowControl/>
              <w:snapToGrid w:val="0"/>
              <w:spacing w:line="320" w:lineRule="exact"/>
              <w:jc w:val="center"/>
              <w:textAlignment w:val="center"/>
              <w:rPr>
                <w:kern w:val="0"/>
                <w:sz w:val="18"/>
                <w:szCs w:val="18"/>
              </w:rPr>
            </w:pPr>
            <w:r>
              <w:rPr>
                <w:kern w:val="0"/>
                <w:sz w:val="18"/>
                <w:szCs w:val="18"/>
              </w:rPr>
              <w:t>06</w:t>
            </w:r>
          </w:p>
          <w:p w14:paraId="678C5926">
            <w:pPr>
              <w:widowControl/>
              <w:snapToGrid w:val="0"/>
              <w:spacing w:line="320" w:lineRule="exact"/>
              <w:jc w:val="center"/>
              <w:textAlignment w:val="center"/>
              <w:rPr>
                <w:kern w:val="0"/>
                <w:sz w:val="18"/>
                <w:szCs w:val="18"/>
              </w:rPr>
            </w:pPr>
            <w:r>
              <w:rPr>
                <w:kern w:val="0"/>
                <w:sz w:val="18"/>
                <w:szCs w:val="18"/>
              </w:rPr>
              <w:t>07</w:t>
            </w:r>
          </w:p>
          <w:p w14:paraId="4D281F92">
            <w:pPr>
              <w:widowControl/>
              <w:snapToGrid w:val="0"/>
              <w:spacing w:line="320" w:lineRule="exact"/>
              <w:jc w:val="center"/>
              <w:textAlignment w:val="center"/>
              <w:rPr>
                <w:kern w:val="0"/>
                <w:sz w:val="18"/>
                <w:szCs w:val="18"/>
              </w:rPr>
            </w:pPr>
            <w:r>
              <w:rPr>
                <w:kern w:val="0"/>
                <w:sz w:val="18"/>
                <w:szCs w:val="18"/>
              </w:rPr>
              <w:t>08</w:t>
            </w:r>
          </w:p>
          <w:p w14:paraId="004648FE">
            <w:pPr>
              <w:widowControl/>
              <w:snapToGrid w:val="0"/>
              <w:spacing w:line="320" w:lineRule="exact"/>
              <w:jc w:val="center"/>
              <w:textAlignment w:val="center"/>
              <w:rPr>
                <w:kern w:val="0"/>
                <w:sz w:val="18"/>
                <w:szCs w:val="18"/>
              </w:rPr>
            </w:pPr>
            <w:r>
              <w:rPr>
                <w:kern w:val="0"/>
                <w:sz w:val="18"/>
                <w:szCs w:val="18"/>
              </w:rPr>
              <w:t>09</w:t>
            </w:r>
          </w:p>
          <w:p w14:paraId="1BAB1C02">
            <w:pPr>
              <w:widowControl/>
              <w:snapToGrid w:val="0"/>
              <w:spacing w:line="320" w:lineRule="exact"/>
              <w:jc w:val="center"/>
              <w:textAlignment w:val="center"/>
              <w:rPr>
                <w:kern w:val="0"/>
                <w:sz w:val="18"/>
                <w:szCs w:val="18"/>
              </w:rPr>
            </w:pPr>
            <w:r>
              <w:rPr>
                <w:kern w:val="0"/>
                <w:sz w:val="18"/>
                <w:szCs w:val="18"/>
              </w:rPr>
              <w:t>10</w:t>
            </w:r>
          </w:p>
          <w:p w14:paraId="62B1CF69">
            <w:pPr>
              <w:widowControl/>
              <w:snapToGrid w:val="0"/>
              <w:spacing w:line="320" w:lineRule="exact"/>
              <w:jc w:val="center"/>
              <w:textAlignment w:val="center"/>
              <w:rPr>
                <w:kern w:val="0"/>
                <w:sz w:val="18"/>
                <w:szCs w:val="18"/>
              </w:rPr>
            </w:pPr>
            <w:r>
              <w:rPr>
                <w:kern w:val="0"/>
                <w:sz w:val="18"/>
                <w:szCs w:val="18"/>
              </w:rPr>
              <w:t>11</w:t>
            </w:r>
          </w:p>
        </w:tc>
        <w:tc>
          <w:tcPr>
            <w:tcW w:w="2069" w:type="pct"/>
            <w:gridSpan w:val="4"/>
            <w:shd w:val="clear" w:color="auto" w:fill="auto"/>
            <w:tcMar>
              <w:top w:w="0" w:type="dxa"/>
              <w:left w:w="0" w:type="dxa"/>
              <w:bottom w:w="0" w:type="dxa"/>
              <w:right w:w="0" w:type="dxa"/>
            </w:tcMar>
          </w:tcPr>
          <w:p w14:paraId="0BEE33CE">
            <w:pPr>
              <w:adjustRightInd w:val="0"/>
              <w:snapToGrid w:val="0"/>
              <w:ind w:firstLine="90" w:firstLineChars="50"/>
              <w:rPr>
                <w:sz w:val="18"/>
                <w:szCs w:val="18"/>
              </w:rPr>
            </w:pPr>
          </w:p>
        </w:tc>
        <w:tc>
          <w:tcPr>
            <w:tcW w:w="1344" w:type="pct"/>
            <w:shd w:val="clear" w:color="auto" w:fill="auto"/>
          </w:tcPr>
          <w:p w14:paraId="7ADFD711">
            <w:pPr>
              <w:adjustRightInd w:val="0"/>
              <w:snapToGrid w:val="0"/>
              <w:spacing w:line="320" w:lineRule="exact"/>
              <w:ind w:firstLine="90" w:firstLineChars="50"/>
              <w:rPr>
                <w:sz w:val="18"/>
                <w:szCs w:val="18"/>
              </w:rPr>
            </w:pPr>
            <w:r>
              <w:rPr>
                <w:sz w:val="18"/>
                <w:szCs w:val="18"/>
              </w:rPr>
              <w:t>0.1229千克标准煤/千瓦时</w:t>
            </w:r>
          </w:p>
          <w:p w14:paraId="5F8E6ABC">
            <w:pPr>
              <w:adjustRightInd w:val="0"/>
              <w:snapToGrid w:val="0"/>
              <w:spacing w:line="320" w:lineRule="exact"/>
              <w:ind w:firstLine="90" w:firstLineChars="50"/>
              <w:rPr>
                <w:sz w:val="18"/>
                <w:szCs w:val="18"/>
              </w:rPr>
            </w:pPr>
            <w:r>
              <w:rPr>
                <w:sz w:val="18"/>
                <w:szCs w:val="18"/>
              </w:rPr>
              <w:t>0.7143吨标准煤/吨</w:t>
            </w:r>
          </w:p>
          <w:p w14:paraId="193027B7">
            <w:pPr>
              <w:adjustRightInd w:val="0"/>
              <w:snapToGrid w:val="0"/>
              <w:spacing w:line="320" w:lineRule="exact"/>
              <w:ind w:firstLine="90" w:firstLineChars="50"/>
              <w:rPr>
                <w:sz w:val="18"/>
                <w:szCs w:val="18"/>
              </w:rPr>
            </w:pPr>
            <w:r>
              <w:rPr>
                <w:sz w:val="18"/>
                <w:szCs w:val="18"/>
              </w:rPr>
              <w:t>0.9714吨标准煤/吨</w:t>
            </w:r>
          </w:p>
          <w:p w14:paraId="31F55AE3">
            <w:pPr>
              <w:adjustRightInd w:val="0"/>
              <w:snapToGrid w:val="0"/>
              <w:spacing w:line="320" w:lineRule="exact"/>
              <w:ind w:firstLine="90" w:firstLineChars="50"/>
              <w:rPr>
                <w:sz w:val="18"/>
                <w:szCs w:val="18"/>
              </w:rPr>
            </w:pPr>
            <w:r>
              <w:rPr>
                <w:sz w:val="18"/>
                <w:szCs w:val="18"/>
              </w:rPr>
              <w:t>0.5714千克标准煤/立方米</w:t>
            </w:r>
          </w:p>
          <w:p w14:paraId="67965962">
            <w:pPr>
              <w:adjustRightInd w:val="0"/>
              <w:snapToGrid w:val="0"/>
              <w:spacing w:line="320" w:lineRule="exact"/>
              <w:ind w:firstLine="90" w:firstLineChars="50"/>
              <w:rPr>
                <w:sz w:val="18"/>
                <w:szCs w:val="18"/>
              </w:rPr>
            </w:pPr>
            <w:r>
              <w:rPr>
                <w:sz w:val="18"/>
                <w:szCs w:val="18"/>
              </w:rPr>
              <w:t>1.33千克标准煤/立方米</w:t>
            </w:r>
          </w:p>
          <w:p w14:paraId="50148167">
            <w:pPr>
              <w:adjustRightInd w:val="0"/>
              <w:snapToGrid w:val="0"/>
              <w:spacing w:line="320" w:lineRule="exact"/>
              <w:ind w:firstLine="90" w:firstLineChars="50"/>
              <w:rPr>
                <w:sz w:val="18"/>
                <w:szCs w:val="18"/>
              </w:rPr>
            </w:pPr>
            <w:r>
              <w:rPr>
                <w:sz w:val="18"/>
                <w:szCs w:val="18"/>
              </w:rPr>
              <w:t>1.7143吨标准煤/吨</w:t>
            </w:r>
          </w:p>
          <w:p w14:paraId="7204F3E1">
            <w:pPr>
              <w:adjustRightInd w:val="0"/>
              <w:snapToGrid w:val="0"/>
              <w:spacing w:line="320" w:lineRule="exact"/>
              <w:ind w:firstLine="90" w:firstLineChars="50"/>
              <w:rPr>
                <w:sz w:val="18"/>
                <w:szCs w:val="18"/>
              </w:rPr>
            </w:pPr>
            <w:r>
              <w:rPr>
                <w:sz w:val="18"/>
                <w:szCs w:val="18"/>
              </w:rPr>
              <w:t>1.4714吨标准煤/吨</w:t>
            </w:r>
          </w:p>
          <w:p w14:paraId="672F43E1">
            <w:pPr>
              <w:adjustRightInd w:val="0"/>
              <w:snapToGrid w:val="0"/>
              <w:spacing w:line="320" w:lineRule="exact"/>
              <w:ind w:firstLine="90" w:firstLineChars="50"/>
              <w:rPr>
                <w:sz w:val="18"/>
                <w:szCs w:val="18"/>
              </w:rPr>
            </w:pPr>
            <w:r>
              <w:rPr>
                <w:sz w:val="18"/>
                <w:szCs w:val="18"/>
              </w:rPr>
              <w:t>1.4714吨标准煤/吨</w:t>
            </w:r>
          </w:p>
          <w:p w14:paraId="457B357C">
            <w:pPr>
              <w:adjustRightInd w:val="0"/>
              <w:snapToGrid w:val="0"/>
              <w:spacing w:line="320" w:lineRule="exact"/>
              <w:ind w:firstLine="90" w:firstLineChars="50"/>
              <w:rPr>
                <w:sz w:val="18"/>
                <w:szCs w:val="18"/>
              </w:rPr>
            </w:pPr>
            <w:r>
              <w:rPr>
                <w:sz w:val="18"/>
                <w:szCs w:val="18"/>
              </w:rPr>
              <w:t>1.4571吨标准煤/吨</w:t>
            </w:r>
          </w:p>
          <w:p w14:paraId="01513776">
            <w:pPr>
              <w:adjustRightInd w:val="0"/>
              <w:snapToGrid w:val="0"/>
              <w:spacing w:line="320" w:lineRule="exact"/>
              <w:ind w:firstLine="90" w:firstLineChars="50"/>
              <w:rPr>
                <w:sz w:val="18"/>
                <w:szCs w:val="18"/>
              </w:rPr>
            </w:pPr>
            <w:r>
              <w:rPr>
                <w:sz w:val="18"/>
                <w:szCs w:val="18"/>
              </w:rPr>
              <w:t>1.4286吨标准煤/吨</w:t>
            </w:r>
          </w:p>
          <w:p w14:paraId="44E2AE96">
            <w:pPr>
              <w:adjustRightInd w:val="0"/>
              <w:snapToGrid w:val="0"/>
              <w:spacing w:line="320" w:lineRule="exact"/>
              <w:ind w:firstLine="90" w:firstLineChars="50"/>
              <w:rPr>
                <w:sz w:val="18"/>
                <w:szCs w:val="18"/>
              </w:rPr>
            </w:pPr>
            <w:r>
              <w:rPr>
                <w:sz w:val="18"/>
                <w:szCs w:val="18"/>
              </w:rPr>
              <w:t>0.0341吨标准煤/百万千焦</w:t>
            </w:r>
          </w:p>
        </w:tc>
      </w:tr>
      <w:tr w14:paraId="5FC162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293" w:hRule="atLeast"/>
          <w:jc w:val="center"/>
        </w:trPr>
        <w:tc>
          <w:tcPr>
            <w:tcW w:w="696" w:type="pct"/>
            <w:shd w:val="clear" w:color="auto" w:fill="auto"/>
            <w:vAlign w:val="center"/>
          </w:tcPr>
          <w:p w14:paraId="191EFA7B">
            <w:pPr>
              <w:adjustRightInd w:val="0"/>
              <w:snapToGrid w:val="0"/>
              <w:ind w:firstLine="90" w:firstLineChars="50"/>
              <w:rPr>
                <w:sz w:val="18"/>
                <w:szCs w:val="18"/>
              </w:rPr>
            </w:pPr>
            <w:r>
              <w:rPr>
                <w:sz w:val="18"/>
                <w:szCs w:val="18"/>
              </w:rPr>
              <w:t>能源合计</w:t>
            </w:r>
          </w:p>
        </w:tc>
        <w:tc>
          <w:tcPr>
            <w:tcW w:w="592" w:type="pct"/>
            <w:shd w:val="clear" w:color="auto" w:fill="auto"/>
            <w:tcMar>
              <w:left w:w="108" w:type="dxa"/>
              <w:right w:w="108" w:type="dxa"/>
            </w:tcMar>
            <w:vAlign w:val="center"/>
          </w:tcPr>
          <w:p w14:paraId="6462FA1B">
            <w:pPr>
              <w:widowControl/>
              <w:snapToGrid w:val="0"/>
              <w:jc w:val="center"/>
              <w:rPr>
                <w:kern w:val="0"/>
                <w:sz w:val="18"/>
                <w:szCs w:val="18"/>
              </w:rPr>
            </w:pPr>
            <w:r>
              <w:rPr>
                <w:kern w:val="0"/>
                <w:sz w:val="18"/>
                <w:szCs w:val="18"/>
              </w:rPr>
              <w:t>吨标准煤</w:t>
            </w:r>
          </w:p>
        </w:tc>
        <w:tc>
          <w:tcPr>
            <w:tcW w:w="299" w:type="pct"/>
            <w:shd w:val="clear" w:color="auto" w:fill="auto"/>
            <w:tcMar>
              <w:top w:w="0" w:type="dxa"/>
              <w:left w:w="108" w:type="dxa"/>
              <w:bottom w:w="0" w:type="dxa"/>
              <w:right w:w="108" w:type="dxa"/>
            </w:tcMar>
            <w:vAlign w:val="center"/>
          </w:tcPr>
          <w:p w14:paraId="4D27AF5A">
            <w:pPr>
              <w:widowControl/>
              <w:snapToGrid w:val="0"/>
              <w:jc w:val="center"/>
              <w:textAlignment w:val="center"/>
              <w:rPr>
                <w:kern w:val="0"/>
                <w:sz w:val="18"/>
                <w:szCs w:val="18"/>
              </w:rPr>
            </w:pPr>
            <w:r>
              <w:rPr>
                <w:kern w:val="0"/>
                <w:sz w:val="18"/>
                <w:szCs w:val="18"/>
              </w:rPr>
              <w:t>12</w:t>
            </w:r>
          </w:p>
        </w:tc>
        <w:tc>
          <w:tcPr>
            <w:tcW w:w="482" w:type="pct"/>
            <w:shd w:val="clear" w:color="auto" w:fill="auto"/>
            <w:tcMar>
              <w:top w:w="0" w:type="dxa"/>
              <w:left w:w="0" w:type="dxa"/>
              <w:bottom w:w="0" w:type="dxa"/>
              <w:right w:w="0" w:type="dxa"/>
            </w:tcMar>
            <w:vAlign w:val="center"/>
          </w:tcPr>
          <w:p w14:paraId="4BFA3D83">
            <w:pPr>
              <w:widowControl/>
              <w:jc w:val="center"/>
              <w:rPr>
                <w:sz w:val="18"/>
                <w:szCs w:val="18"/>
              </w:rPr>
            </w:pPr>
          </w:p>
        </w:tc>
        <w:tc>
          <w:tcPr>
            <w:tcW w:w="530" w:type="pct"/>
            <w:shd w:val="clear" w:color="auto" w:fill="auto"/>
            <w:tcMar>
              <w:top w:w="0" w:type="dxa"/>
              <w:left w:w="108" w:type="dxa"/>
              <w:bottom w:w="0" w:type="dxa"/>
              <w:right w:w="108" w:type="dxa"/>
            </w:tcMar>
            <w:vAlign w:val="center"/>
          </w:tcPr>
          <w:p w14:paraId="4CE90D2F">
            <w:pPr>
              <w:widowControl/>
              <w:jc w:val="center"/>
              <w:rPr>
                <w:sz w:val="18"/>
                <w:szCs w:val="18"/>
              </w:rPr>
            </w:pPr>
            <w:r>
              <w:rPr>
                <w:sz w:val="18"/>
                <w:szCs w:val="18"/>
              </w:rPr>
              <w:t>－</w:t>
            </w:r>
          </w:p>
        </w:tc>
        <w:tc>
          <w:tcPr>
            <w:tcW w:w="528" w:type="pct"/>
            <w:shd w:val="clear" w:color="auto" w:fill="auto"/>
            <w:vAlign w:val="center"/>
          </w:tcPr>
          <w:p w14:paraId="49492BA7">
            <w:pPr>
              <w:widowControl/>
              <w:jc w:val="center"/>
              <w:rPr>
                <w:sz w:val="18"/>
                <w:szCs w:val="18"/>
              </w:rPr>
            </w:pPr>
          </w:p>
        </w:tc>
        <w:tc>
          <w:tcPr>
            <w:tcW w:w="529" w:type="pct"/>
            <w:shd w:val="clear" w:color="auto" w:fill="auto"/>
            <w:vAlign w:val="center"/>
          </w:tcPr>
          <w:p w14:paraId="5BB60A7A">
            <w:pPr>
              <w:jc w:val="center"/>
              <w:rPr>
                <w:sz w:val="18"/>
                <w:szCs w:val="18"/>
              </w:rPr>
            </w:pPr>
            <w:r>
              <w:rPr>
                <w:sz w:val="18"/>
                <w:szCs w:val="18"/>
              </w:rPr>
              <w:t>－</w:t>
            </w:r>
          </w:p>
        </w:tc>
        <w:tc>
          <w:tcPr>
            <w:tcW w:w="1344" w:type="pct"/>
            <w:shd w:val="clear" w:color="auto" w:fill="auto"/>
            <w:vAlign w:val="center"/>
          </w:tcPr>
          <w:p w14:paraId="23FF370E">
            <w:pPr>
              <w:jc w:val="center"/>
              <w:rPr>
                <w:sz w:val="18"/>
                <w:szCs w:val="18"/>
              </w:rPr>
            </w:pPr>
            <w:r>
              <w:rPr>
                <w:sz w:val="18"/>
                <w:szCs w:val="18"/>
              </w:rPr>
              <w:t>－</w:t>
            </w:r>
          </w:p>
        </w:tc>
      </w:tr>
    </w:tbl>
    <w:p w14:paraId="355A51FE">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4CCC31C9">
      <w:pPr>
        <w:tabs>
          <w:tab w:val="left" w:pos="5430"/>
        </w:tabs>
        <w:adjustRightInd w:val="0"/>
        <w:ind w:right="-38" w:rightChars="-18"/>
        <w:rPr>
          <w:b/>
          <w:sz w:val="18"/>
          <w:szCs w:val="18"/>
        </w:rPr>
      </w:pPr>
    </w:p>
    <w:p w14:paraId="48BFD354">
      <w:pPr>
        <w:spacing w:line="280" w:lineRule="exact"/>
        <w:ind w:left="1530" w:hanging="1530" w:hangingChars="850"/>
        <w:rPr>
          <w:sz w:val="18"/>
          <w:szCs w:val="18"/>
        </w:rPr>
      </w:pPr>
      <w:r>
        <w:rPr>
          <w:sz w:val="18"/>
          <w:szCs w:val="18"/>
        </w:rPr>
        <w:t>说明：1.统计范围：辖区内年综合能源消费量1万吨标准煤及以上的有资质的建筑业、限额以上批发和零售业、限额以上住宿和餐饮业、</w:t>
      </w:r>
      <w:r>
        <w:rPr>
          <w:rFonts w:hint="eastAsia"/>
          <w:sz w:val="18"/>
          <w:szCs w:val="18"/>
          <w:lang w:eastAsia="zh-CN"/>
        </w:rPr>
        <w:t>有开发经营活动的房地产开发经营业</w:t>
      </w:r>
      <w:r>
        <w:rPr>
          <w:sz w:val="18"/>
          <w:szCs w:val="18"/>
        </w:rPr>
        <w:t>和规模以上服务业法人单位。</w:t>
      </w:r>
    </w:p>
    <w:p w14:paraId="0B6CC002">
      <w:pPr>
        <w:spacing w:line="280" w:lineRule="exact"/>
        <w:ind w:left="2109" w:leftChars="250" w:hanging="1584" w:hangingChars="880"/>
        <w:rPr>
          <w:sz w:val="18"/>
          <w:szCs w:val="18"/>
        </w:rPr>
      </w:pPr>
      <w:r>
        <w:rPr>
          <w:sz w:val="18"/>
          <w:szCs w:val="18"/>
        </w:rPr>
        <w:t>2.报送日期及方式：调查单位</w:t>
      </w:r>
      <w:r>
        <w:rPr>
          <w:rFonts w:hint="eastAsia"/>
          <w:sz w:val="18"/>
          <w:szCs w:val="18"/>
        </w:rPr>
        <w:t>季后1</w:t>
      </w:r>
      <w:r>
        <w:rPr>
          <w:rFonts w:hint="eastAsia"/>
          <w:sz w:val="18"/>
          <w:szCs w:val="18"/>
          <w:lang w:val="en-US" w:eastAsia="zh-CN"/>
        </w:rPr>
        <w:t>0</w:t>
      </w:r>
      <w:r>
        <w:rPr>
          <w:rFonts w:hint="eastAsia"/>
          <w:sz w:val="18"/>
          <w:szCs w:val="18"/>
        </w:rPr>
        <w:t>日12:00</w:t>
      </w:r>
      <w:r>
        <w:rPr>
          <w:rFonts w:hAnsi="宋体"/>
          <w:sz w:val="18"/>
          <w:szCs w:val="18"/>
        </w:rPr>
        <w:t>前</w:t>
      </w:r>
      <w:r>
        <w:rPr>
          <w:sz w:val="18"/>
        </w:rPr>
        <w:t>独立自行</w:t>
      </w:r>
      <w:r>
        <w:rPr>
          <w:sz w:val="18"/>
          <w:szCs w:val="18"/>
        </w:rPr>
        <w:t>网上填报；省级统计机构</w:t>
      </w:r>
      <w:r>
        <w:rPr>
          <w:rFonts w:hint="eastAsia"/>
          <w:sz w:val="18"/>
          <w:szCs w:val="18"/>
        </w:rPr>
        <w:t>一、二季度季后12日，三、四季度季后15日12:00</w:t>
      </w:r>
      <w:r>
        <w:rPr>
          <w:sz w:val="18"/>
          <w:szCs w:val="18"/>
        </w:rPr>
        <w:t>前完成审核、验收、上报。</w:t>
      </w:r>
    </w:p>
    <w:p w14:paraId="43D1F592">
      <w:pPr>
        <w:spacing w:line="280" w:lineRule="exact"/>
        <w:ind w:left="660" w:leftChars="250" w:hanging="135" w:hangingChars="75"/>
        <w:rPr>
          <w:bCs/>
          <w:kern w:val="0"/>
          <w:sz w:val="18"/>
          <w:szCs w:val="18"/>
        </w:rPr>
      </w:pPr>
      <w:r>
        <w:rPr>
          <w:bCs/>
          <w:kern w:val="0"/>
          <w:sz w:val="18"/>
          <w:szCs w:val="18"/>
        </w:rPr>
        <w:t>3.</w:t>
      </w:r>
      <w:r>
        <w:rPr>
          <w:rFonts w:hint="eastAsia"/>
          <w:bCs/>
          <w:kern w:val="0"/>
          <w:sz w:val="18"/>
          <w:szCs w:val="18"/>
        </w:rPr>
        <w:t>本表中</w:t>
      </w:r>
      <w:r>
        <w:rPr>
          <w:rFonts w:hint="eastAsia"/>
          <w:bCs/>
          <w:kern w:val="0"/>
          <w:sz w:val="18"/>
          <w:szCs w:val="18"/>
          <w:lang w:eastAsia="zh-CN"/>
        </w:rPr>
        <w:t>“</w:t>
      </w:r>
      <w:r>
        <w:rPr>
          <w:rFonts w:hint="eastAsia"/>
          <w:bCs/>
          <w:kern w:val="0"/>
          <w:sz w:val="18"/>
          <w:szCs w:val="18"/>
        </w:rPr>
        <w:t>上年同期</w:t>
      </w:r>
      <w:r>
        <w:rPr>
          <w:rFonts w:hint="eastAsia"/>
          <w:bCs/>
          <w:kern w:val="0"/>
          <w:sz w:val="18"/>
          <w:szCs w:val="18"/>
          <w:lang w:eastAsia="zh-CN"/>
        </w:rPr>
        <w:t>”</w:t>
      </w:r>
      <w:r>
        <w:rPr>
          <w:rFonts w:hint="eastAsia"/>
          <w:bCs/>
          <w:kern w:val="0"/>
          <w:sz w:val="18"/>
          <w:szCs w:val="18"/>
        </w:rPr>
        <w:t>数据统一由国家统计局在数据处理软件中复制，调查单位和各级统计机构原则上不得修改；本年新增的调查单位自行填报</w:t>
      </w:r>
      <w:r>
        <w:rPr>
          <w:rFonts w:hint="eastAsia"/>
          <w:bCs/>
          <w:kern w:val="0"/>
          <w:sz w:val="18"/>
          <w:szCs w:val="18"/>
          <w:lang w:eastAsia="zh-CN"/>
        </w:rPr>
        <w:t>“</w:t>
      </w:r>
      <w:r>
        <w:rPr>
          <w:rFonts w:hint="eastAsia"/>
          <w:bCs/>
          <w:kern w:val="0"/>
          <w:sz w:val="18"/>
          <w:szCs w:val="18"/>
        </w:rPr>
        <w:t>上年同期</w:t>
      </w:r>
      <w:r>
        <w:rPr>
          <w:rFonts w:hint="eastAsia"/>
          <w:bCs/>
          <w:kern w:val="0"/>
          <w:sz w:val="18"/>
          <w:szCs w:val="18"/>
          <w:lang w:eastAsia="zh-CN"/>
        </w:rPr>
        <w:t>”</w:t>
      </w:r>
      <w:r>
        <w:rPr>
          <w:rFonts w:hint="eastAsia"/>
          <w:bCs/>
          <w:kern w:val="0"/>
          <w:sz w:val="18"/>
          <w:szCs w:val="18"/>
        </w:rPr>
        <w:t>数据；涉及兼并、重组等情况的企业，经国家统计局批准后，调查单位可调整同期数；本年新增指标的同期数由调查单位自行填报。</w:t>
      </w:r>
    </w:p>
    <w:p w14:paraId="4B5BACFA">
      <w:pPr>
        <w:spacing w:line="280" w:lineRule="exact"/>
        <w:ind w:left="660" w:leftChars="250" w:hanging="135" w:hangingChars="75"/>
        <w:rPr>
          <w:sz w:val="18"/>
          <w:szCs w:val="18"/>
        </w:rPr>
      </w:pPr>
      <w:r>
        <w:rPr>
          <w:sz w:val="18"/>
          <w:szCs w:val="18"/>
        </w:rPr>
        <w:t>4.油品重量单位与容积单位的换算关系：</w:t>
      </w:r>
    </w:p>
    <w:p w14:paraId="0E2206C0">
      <w:pPr>
        <w:spacing w:line="280" w:lineRule="exact"/>
        <w:ind w:left="672" w:leftChars="320"/>
        <w:rPr>
          <w:sz w:val="18"/>
          <w:szCs w:val="18"/>
        </w:rPr>
      </w:pPr>
      <w:r>
        <w:rPr>
          <w:sz w:val="18"/>
          <w:szCs w:val="18"/>
        </w:rPr>
        <w:t>(1)汽  油：1升</w:t>
      </w:r>
      <w:r>
        <w:rPr>
          <w:rFonts w:hint="default"/>
          <w:sz w:val="18"/>
          <w:lang w:val="en" w:eastAsia="zh-CN"/>
        </w:rPr>
        <w:t>≈</w:t>
      </w:r>
      <w:r>
        <w:rPr>
          <w:sz w:val="18"/>
          <w:szCs w:val="18"/>
        </w:rPr>
        <w:t>0.73千克</w:t>
      </w:r>
      <w:r>
        <w:rPr>
          <w:rFonts w:hint="default"/>
          <w:sz w:val="18"/>
          <w:lang w:val="en" w:eastAsia="zh-CN"/>
        </w:rPr>
        <w:t>≈</w:t>
      </w:r>
      <w:r>
        <w:rPr>
          <w:sz w:val="18"/>
          <w:szCs w:val="18"/>
        </w:rPr>
        <w:t>0.00073吨</w:t>
      </w:r>
    </w:p>
    <w:p w14:paraId="5C00719A">
      <w:pPr>
        <w:spacing w:line="280" w:lineRule="exact"/>
        <w:ind w:left="672" w:leftChars="320"/>
        <w:rPr>
          <w:sz w:val="18"/>
          <w:szCs w:val="18"/>
        </w:rPr>
      </w:pPr>
      <w:r>
        <w:rPr>
          <w:sz w:val="18"/>
          <w:szCs w:val="18"/>
        </w:rPr>
        <w:t>(2)轻柴油：1升</w:t>
      </w:r>
      <w:r>
        <w:rPr>
          <w:rFonts w:hint="default"/>
          <w:sz w:val="18"/>
          <w:lang w:val="en" w:eastAsia="zh-CN"/>
        </w:rPr>
        <w:t>≈</w:t>
      </w:r>
      <w:r>
        <w:rPr>
          <w:sz w:val="18"/>
          <w:szCs w:val="18"/>
        </w:rPr>
        <w:t>0.86千克</w:t>
      </w:r>
      <w:r>
        <w:rPr>
          <w:rFonts w:hint="default"/>
          <w:sz w:val="18"/>
          <w:lang w:val="en" w:eastAsia="zh-CN"/>
        </w:rPr>
        <w:t>≈</w:t>
      </w:r>
      <w:r>
        <w:rPr>
          <w:sz w:val="18"/>
          <w:szCs w:val="18"/>
        </w:rPr>
        <w:t>0.00086吨</w:t>
      </w:r>
    </w:p>
    <w:p w14:paraId="066EE573">
      <w:pPr>
        <w:spacing w:line="280" w:lineRule="exact"/>
        <w:ind w:left="672" w:leftChars="320"/>
        <w:rPr>
          <w:sz w:val="18"/>
          <w:szCs w:val="18"/>
        </w:rPr>
      </w:pPr>
      <w:r>
        <w:rPr>
          <w:sz w:val="18"/>
          <w:szCs w:val="18"/>
        </w:rPr>
        <w:t>(3)重柴油：1升</w:t>
      </w:r>
      <w:r>
        <w:rPr>
          <w:rFonts w:hint="default"/>
          <w:sz w:val="18"/>
          <w:lang w:val="en" w:eastAsia="zh-CN"/>
        </w:rPr>
        <w:t>≈</w:t>
      </w:r>
      <w:r>
        <w:rPr>
          <w:sz w:val="18"/>
          <w:szCs w:val="18"/>
        </w:rPr>
        <w:t>0.92千克</w:t>
      </w:r>
      <w:r>
        <w:rPr>
          <w:rFonts w:hint="default"/>
          <w:sz w:val="18"/>
          <w:lang w:val="en" w:eastAsia="zh-CN"/>
        </w:rPr>
        <w:t>≈</w:t>
      </w:r>
      <w:r>
        <w:rPr>
          <w:sz w:val="18"/>
          <w:szCs w:val="18"/>
        </w:rPr>
        <w:t>0.00092吨</w:t>
      </w:r>
    </w:p>
    <w:p w14:paraId="03C688AA">
      <w:pPr>
        <w:spacing w:line="280" w:lineRule="exact"/>
        <w:ind w:left="672" w:leftChars="320"/>
        <w:rPr>
          <w:sz w:val="18"/>
          <w:szCs w:val="18"/>
        </w:rPr>
      </w:pPr>
      <w:r>
        <w:rPr>
          <w:sz w:val="18"/>
          <w:szCs w:val="18"/>
        </w:rPr>
        <w:t>(4)煤  油：1升</w:t>
      </w:r>
      <w:r>
        <w:rPr>
          <w:rFonts w:hint="default"/>
          <w:sz w:val="18"/>
          <w:lang w:val="en" w:eastAsia="zh-CN"/>
        </w:rPr>
        <w:t>≈</w:t>
      </w:r>
      <w:r>
        <w:rPr>
          <w:sz w:val="18"/>
          <w:szCs w:val="18"/>
        </w:rPr>
        <w:t>0.82千克</w:t>
      </w:r>
      <w:r>
        <w:rPr>
          <w:rFonts w:hint="default"/>
          <w:sz w:val="18"/>
          <w:lang w:val="en" w:eastAsia="zh-CN"/>
        </w:rPr>
        <w:t>≈</w:t>
      </w:r>
      <w:r>
        <w:rPr>
          <w:sz w:val="18"/>
          <w:szCs w:val="18"/>
        </w:rPr>
        <w:t>0.00082吨</w:t>
      </w:r>
    </w:p>
    <w:p w14:paraId="1ABDA307">
      <w:pPr>
        <w:spacing w:line="280" w:lineRule="exact"/>
        <w:ind w:left="672" w:leftChars="320"/>
        <w:rPr>
          <w:sz w:val="18"/>
          <w:szCs w:val="18"/>
        </w:rPr>
      </w:pPr>
      <w:r>
        <w:rPr>
          <w:sz w:val="18"/>
          <w:szCs w:val="18"/>
        </w:rPr>
        <w:t>(5)燃料油：1升</w:t>
      </w:r>
      <w:r>
        <w:rPr>
          <w:rFonts w:hint="default"/>
          <w:sz w:val="18"/>
          <w:lang w:val="en" w:eastAsia="zh-CN"/>
        </w:rPr>
        <w:t>≈</w:t>
      </w:r>
      <w:r>
        <w:rPr>
          <w:sz w:val="18"/>
          <w:szCs w:val="18"/>
        </w:rPr>
        <w:t>0.91千克</w:t>
      </w:r>
      <w:r>
        <w:rPr>
          <w:rFonts w:hint="default"/>
          <w:sz w:val="18"/>
          <w:lang w:val="en" w:eastAsia="zh-CN"/>
        </w:rPr>
        <w:t>≈</w:t>
      </w:r>
      <w:r>
        <w:rPr>
          <w:sz w:val="18"/>
          <w:szCs w:val="18"/>
        </w:rPr>
        <w:t>0.00091吨</w:t>
      </w:r>
    </w:p>
    <w:p w14:paraId="03D91D11">
      <w:pPr>
        <w:spacing w:line="280" w:lineRule="exact"/>
        <w:ind w:left="885" w:leftChars="250" w:hanging="360" w:hangingChars="200"/>
        <w:rPr>
          <w:sz w:val="18"/>
          <w:szCs w:val="18"/>
        </w:rPr>
      </w:pPr>
      <w:r>
        <w:rPr>
          <w:rFonts w:hint="eastAsia"/>
          <w:sz w:val="18"/>
          <w:szCs w:val="18"/>
        </w:rPr>
        <w:t>5</w:t>
      </w:r>
      <w:r>
        <w:rPr>
          <w:sz w:val="18"/>
          <w:szCs w:val="18"/>
        </w:rPr>
        <w:t>.</w:t>
      </w:r>
      <w:r>
        <w:rPr>
          <w:rFonts w:hint="eastAsia"/>
          <w:sz w:val="18"/>
          <w:szCs w:val="18"/>
        </w:rPr>
        <w:t>液化天然气</w:t>
      </w:r>
      <w:r>
        <w:rPr>
          <w:sz w:val="18"/>
          <w:szCs w:val="18"/>
        </w:rPr>
        <w:t>与天然气换算关系：</w:t>
      </w:r>
    </w:p>
    <w:p w14:paraId="1A1AA13F">
      <w:pPr>
        <w:spacing w:line="280" w:lineRule="exact"/>
        <w:ind w:left="1032" w:leftChars="320" w:hanging="360" w:hangingChars="200"/>
        <w:rPr>
          <w:sz w:val="18"/>
          <w:szCs w:val="18"/>
        </w:rPr>
      </w:pPr>
      <w:r>
        <w:rPr>
          <w:sz w:val="18"/>
          <w:szCs w:val="18"/>
        </w:rPr>
        <w:t>1</w:t>
      </w:r>
      <w:r>
        <w:rPr>
          <w:rFonts w:hint="eastAsia"/>
          <w:sz w:val="18"/>
          <w:szCs w:val="18"/>
        </w:rPr>
        <w:t>千克液化天然气</w:t>
      </w:r>
      <w:r>
        <w:rPr>
          <w:rFonts w:hint="default"/>
          <w:sz w:val="18"/>
          <w:lang w:val="en" w:eastAsia="zh-CN"/>
        </w:rPr>
        <w:t>≈</w:t>
      </w:r>
      <w:r>
        <w:rPr>
          <w:sz w:val="18"/>
          <w:szCs w:val="18"/>
        </w:rPr>
        <w:t>1.38</w:t>
      </w:r>
      <w:r>
        <w:rPr>
          <w:rFonts w:hint="eastAsia"/>
          <w:sz w:val="18"/>
          <w:szCs w:val="18"/>
        </w:rPr>
        <w:t>立方米</w:t>
      </w:r>
      <w:r>
        <w:rPr>
          <w:sz w:val="18"/>
          <w:szCs w:val="18"/>
        </w:rPr>
        <w:t>天然气</w:t>
      </w:r>
    </w:p>
    <w:p w14:paraId="3920D291">
      <w:pPr>
        <w:spacing w:line="280" w:lineRule="exact"/>
        <w:ind w:left="1032" w:leftChars="320" w:hanging="360" w:hangingChars="200"/>
        <w:rPr>
          <w:sz w:val="18"/>
          <w:szCs w:val="18"/>
        </w:rPr>
      </w:pPr>
      <w:r>
        <w:rPr>
          <w:rFonts w:hint="eastAsia"/>
          <w:sz w:val="18"/>
          <w:szCs w:val="18"/>
        </w:rPr>
        <w:t>天然气</w:t>
      </w:r>
      <w:r>
        <w:rPr>
          <w:sz w:val="18"/>
          <w:szCs w:val="18"/>
        </w:rPr>
        <w:t>包括液化</w:t>
      </w:r>
      <w:r>
        <w:rPr>
          <w:rFonts w:hint="eastAsia"/>
          <w:sz w:val="18"/>
          <w:szCs w:val="18"/>
        </w:rPr>
        <w:t>天然气</w:t>
      </w:r>
      <w:r>
        <w:rPr>
          <w:sz w:val="18"/>
          <w:szCs w:val="18"/>
        </w:rPr>
        <w:t>。</w:t>
      </w:r>
    </w:p>
    <w:p w14:paraId="521D0162">
      <w:pPr>
        <w:spacing w:line="280" w:lineRule="exact"/>
        <w:ind w:firstLine="630" w:firstLineChars="350"/>
        <w:rPr>
          <w:sz w:val="18"/>
          <w:szCs w:val="18"/>
        </w:rPr>
      </w:pPr>
    </w:p>
    <w:p w14:paraId="0E2CE62C">
      <w:pPr>
        <w:snapToGrid w:val="0"/>
        <w:spacing w:before="480" w:beforeLines="200" w:after="240" w:afterLines="100"/>
        <w:jc w:val="center"/>
        <w:outlineLvl w:val="2"/>
        <w:rPr>
          <w:sz w:val="32"/>
        </w:rPr>
      </w:pPr>
      <w:r>
        <w:rPr>
          <w:bCs/>
          <w:kern w:val="0"/>
          <w:sz w:val="32"/>
          <w:szCs w:val="32"/>
        </w:rPr>
        <w:br w:type="page"/>
      </w:r>
      <w:r>
        <w:rPr>
          <w:sz w:val="32"/>
        </w:rPr>
        <w:t>能源生产、销售与库存</w:t>
      </w:r>
    </w:p>
    <w:tbl>
      <w:tblPr>
        <w:tblStyle w:val="20"/>
        <w:tblW w:w="9627" w:type="dxa"/>
        <w:jc w:val="center"/>
        <w:tblLayout w:type="fixed"/>
        <w:tblCellMar>
          <w:top w:w="0" w:type="dxa"/>
          <w:left w:w="108" w:type="dxa"/>
          <w:bottom w:w="0" w:type="dxa"/>
          <w:right w:w="108" w:type="dxa"/>
        </w:tblCellMar>
      </w:tblPr>
      <w:tblGrid>
        <w:gridCol w:w="3071"/>
        <w:gridCol w:w="1774"/>
        <w:gridCol w:w="1858"/>
        <w:gridCol w:w="907"/>
        <w:gridCol w:w="2017"/>
      </w:tblGrid>
      <w:tr w14:paraId="48527798">
        <w:tblPrEx>
          <w:tblCellMar>
            <w:top w:w="0" w:type="dxa"/>
            <w:left w:w="108" w:type="dxa"/>
            <w:bottom w:w="0" w:type="dxa"/>
            <w:right w:w="108" w:type="dxa"/>
          </w:tblCellMar>
        </w:tblPrEx>
        <w:trPr>
          <w:jc w:val="center"/>
        </w:trPr>
        <w:tc>
          <w:tcPr>
            <w:tcW w:w="2516" w:type="pct"/>
            <w:gridSpan w:val="2"/>
            <w:tcBorders>
              <w:top w:val="nil"/>
              <w:left w:val="nil"/>
              <w:bottom w:val="nil"/>
              <w:right w:val="nil"/>
            </w:tcBorders>
            <w:shd w:val="clear" w:color="auto" w:fill="auto"/>
            <w:tcMar>
              <w:left w:w="28" w:type="dxa"/>
              <w:right w:w="28" w:type="dxa"/>
            </w:tcMar>
            <w:vAlign w:val="center"/>
          </w:tcPr>
          <w:p w14:paraId="27828989">
            <w:pPr>
              <w:widowControl/>
              <w:adjustRightInd w:val="0"/>
              <w:snapToGrid w:val="0"/>
              <w:spacing w:line="260" w:lineRule="atLeast"/>
              <w:ind w:left="2970" w:hanging="2970" w:hangingChars="1650"/>
              <w:jc w:val="left"/>
              <w:rPr>
                <w:kern w:val="0"/>
                <w:sz w:val="18"/>
                <w:szCs w:val="18"/>
              </w:rPr>
            </w:pPr>
          </w:p>
        </w:tc>
        <w:tc>
          <w:tcPr>
            <w:tcW w:w="964" w:type="pct"/>
            <w:tcBorders>
              <w:top w:val="nil"/>
              <w:left w:val="nil"/>
              <w:bottom w:val="nil"/>
              <w:right w:val="nil"/>
            </w:tcBorders>
            <w:shd w:val="clear" w:color="auto" w:fill="auto"/>
            <w:tcMar>
              <w:left w:w="28" w:type="dxa"/>
              <w:right w:w="28" w:type="dxa"/>
            </w:tcMar>
            <w:vAlign w:val="center"/>
          </w:tcPr>
          <w:p w14:paraId="75183DC5">
            <w:pPr>
              <w:widowControl/>
              <w:adjustRightInd w:val="0"/>
              <w:snapToGrid w:val="0"/>
              <w:spacing w:line="260" w:lineRule="atLeast"/>
              <w:jc w:val="left"/>
              <w:rPr>
                <w:kern w:val="0"/>
                <w:sz w:val="18"/>
                <w:szCs w:val="18"/>
              </w:rPr>
            </w:pPr>
          </w:p>
        </w:tc>
        <w:tc>
          <w:tcPr>
            <w:tcW w:w="471" w:type="pct"/>
            <w:tcBorders>
              <w:top w:val="nil"/>
              <w:left w:val="nil"/>
              <w:bottom w:val="nil"/>
              <w:right w:val="nil"/>
            </w:tcBorders>
            <w:shd w:val="clear" w:color="auto" w:fill="auto"/>
            <w:tcMar>
              <w:left w:w="28" w:type="dxa"/>
              <w:right w:w="28" w:type="dxa"/>
            </w:tcMar>
            <w:vAlign w:val="center"/>
          </w:tcPr>
          <w:p w14:paraId="31FB0C9C">
            <w:pPr>
              <w:widowControl/>
              <w:adjustRightInd w:val="0"/>
              <w:snapToGrid w:val="0"/>
              <w:spacing w:line="260" w:lineRule="atLeast"/>
              <w:jc w:val="left"/>
              <w:rPr>
                <w:kern w:val="0"/>
                <w:sz w:val="18"/>
                <w:szCs w:val="18"/>
              </w:rPr>
            </w:pPr>
            <w:r>
              <w:rPr>
                <w:kern w:val="0"/>
                <w:sz w:val="18"/>
                <w:szCs w:val="18"/>
              </w:rPr>
              <w:t>表　　号：</w:t>
            </w:r>
          </w:p>
        </w:tc>
        <w:tc>
          <w:tcPr>
            <w:tcW w:w="1047" w:type="pct"/>
            <w:tcBorders>
              <w:top w:val="nil"/>
              <w:left w:val="nil"/>
              <w:bottom w:val="nil"/>
              <w:right w:val="nil"/>
            </w:tcBorders>
            <w:shd w:val="clear" w:color="auto" w:fill="auto"/>
            <w:tcMar>
              <w:left w:w="28" w:type="dxa"/>
              <w:right w:w="28" w:type="dxa"/>
            </w:tcMar>
            <w:vAlign w:val="center"/>
          </w:tcPr>
          <w:p w14:paraId="2A4BAB39">
            <w:pPr>
              <w:widowControl/>
              <w:adjustRightInd w:val="0"/>
              <w:snapToGrid w:val="0"/>
              <w:spacing w:line="260" w:lineRule="atLeast"/>
              <w:jc w:val="distribute"/>
              <w:rPr>
                <w:kern w:val="0"/>
                <w:sz w:val="18"/>
                <w:szCs w:val="18"/>
              </w:rPr>
            </w:pPr>
            <w:r>
              <w:rPr>
                <w:kern w:val="0"/>
                <w:sz w:val="18"/>
                <w:szCs w:val="18"/>
              </w:rPr>
              <w:t>２０５－６表</w:t>
            </w:r>
          </w:p>
        </w:tc>
      </w:tr>
      <w:tr w14:paraId="4E44E674">
        <w:tblPrEx>
          <w:tblCellMar>
            <w:top w:w="0" w:type="dxa"/>
            <w:left w:w="108" w:type="dxa"/>
            <w:bottom w:w="0" w:type="dxa"/>
            <w:right w:w="108" w:type="dxa"/>
          </w:tblCellMar>
        </w:tblPrEx>
        <w:trPr>
          <w:jc w:val="center"/>
        </w:trPr>
        <w:tc>
          <w:tcPr>
            <w:tcW w:w="3481" w:type="pct"/>
            <w:gridSpan w:val="3"/>
            <w:tcBorders>
              <w:top w:val="nil"/>
              <w:left w:val="nil"/>
              <w:bottom w:val="nil"/>
              <w:right w:val="nil"/>
            </w:tcBorders>
            <w:shd w:val="clear" w:color="auto" w:fill="auto"/>
            <w:tcMar>
              <w:left w:w="28" w:type="dxa"/>
              <w:right w:w="28" w:type="dxa"/>
            </w:tcMar>
          </w:tcPr>
          <w:p w14:paraId="184C0CEF">
            <w:pPr>
              <w:widowControl/>
              <w:adjustRightInd w:val="0"/>
              <w:snapToGrid w:val="0"/>
              <w:spacing w:line="260" w:lineRule="atLeast"/>
              <w:jc w:val="left"/>
              <w:rPr>
                <w:kern w:val="0"/>
                <w:sz w:val="18"/>
                <w:szCs w:val="18"/>
              </w:rPr>
            </w:pPr>
            <w:r>
              <w:rPr>
                <w:sz w:val="18"/>
                <w:szCs w:val="18"/>
              </w:rPr>
              <w:t>统一社会信用代码</w:t>
            </w:r>
            <w:r>
              <w:rPr>
                <w:rFonts w:hint="eastAsia" w:ascii="宋体" w:hAnsi="宋体" w:cs="宋体"/>
                <w:color w:val="000000"/>
                <w:kern w:val="0"/>
                <w:sz w:val="18"/>
                <w:szCs w:val="18"/>
              </w:rPr>
              <w:t>□□□□□□□□□□□□□□□□□□</w:t>
            </w:r>
          </w:p>
        </w:tc>
        <w:tc>
          <w:tcPr>
            <w:tcW w:w="471" w:type="pct"/>
            <w:tcBorders>
              <w:top w:val="nil"/>
              <w:left w:val="nil"/>
              <w:bottom w:val="nil"/>
              <w:right w:val="nil"/>
            </w:tcBorders>
            <w:shd w:val="clear" w:color="auto" w:fill="auto"/>
            <w:tcMar>
              <w:left w:w="28" w:type="dxa"/>
              <w:right w:w="28" w:type="dxa"/>
            </w:tcMar>
            <w:vAlign w:val="center"/>
          </w:tcPr>
          <w:p w14:paraId="2B0AD4F2">
            <w:pPr>
              <w:widowControl/>
              <w:adjustRightInd w:val="0"/>
              <w:snapToGrid w:val="0"/>
              <w:spacing w:line="26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047" w:type="pct"/>
            <w:tcBorders>
              <w:top w:val="nil"/>
              <w:left w:val="nil"/>
              <w:bottom w:val="nil"/>
              <w:right w:val="nil"/>
            </w:tcBorders>
            <w:shd w:val="clear" w:color="auto" w:fill="auto"/>
            <w:tcMar>
              <w:left w:w="28" w:type="dxa"/>
              <w:right w:w="28" w:type="dxa"/>
            </w:tcMar>
            <w:vAlign w:val="center"/>
          </w:tcPr>
          <w:p w14:paraId="09327B8D">
            <w:pPr>
              <w:widowControl/>
              <w:adjustRightInd w:val="0"/>
              <w:snapToGrid w:val="0"/>
              <w:spacing w:line="260" w:lineRule="atLeast"/>
              <w:jc w:val="distribute"/>
              <w:rPr>
                <w:kern w:val="0"/>
                <w:sz w:val="18"/>
                <w:szCs w:val="18"/>
              </w:rPr>
            </w:pPr>
            <w:r>
              <w:rPr>
                <w:kern w:val="0"/>
                <w:sz w:val="18"/>
                <w:szCs w:val="18"/>
              </w:rPr>
              <w:t>国家统计局</w:t>
            </w:r>
          </w:p>
        </w:tc>
      </w:tr>
      <w:tr w14:paraId="1C68D41C">
        <w:tblPrEx>
          <w:tblCellMar>
            <w:top w:w="0" w:type="dxa"/>
            <w:left w:w="108" w:type="dxa"/>
            <w:bottom w:w="0" w:type="dxa"/>
            <w:right w:w="108" w:type="dxa"/>
          </w:tblCellMar>
        </w:tblPrEx>
        <w:trPr>
          <w:jc w:val="center"/>
        </w:trPr>
        <w:tc>
          <w:tcPr>
            <w:tcW w:w="3481" w:type="pct"/>
            <w:gridSpan w:val="3"/>
            <w:tcBorders>
              <w:top w:val="nil"/>
              <w:left w:val="nil"/>
              <w:bottom w:val="nil"/>
              <w:right w:val="nil"/>
            </w:tcBorders>
            <w:shd w:val="clear" w:color="auto" w:fill="auto"/>
            <w:tcMar>
              <w:left w:w="28" w:type="dxa"/>
              <w:right w:w="28" w:type="dxa"/>
            </w:tcMar>
          </w:tcPr>
          <w:p w14:paraId="59C21FAE">
            <w:pPr>
              <w:widowControl/>
              <w:adjustRightInd w:val="0"/>
              <w:snapToGrid w:val="0"/>
              <w:spacing w:line="260" w:lineRule="atLeast"/>
              <w:jc w:val="left"/>
              <w:rPr>
                <w:rFonts w:hint="eastAsia" w:eastAsia="宋体"/>
                <w:kern w:val="0"/>
                <w:sz w:val="18"/>
                <w:szCs w:val="18"/>
                <w:lang w:eastAsia="zh-CN"/>
              </w:rPr>
            </w:pPr>
          </w:p>
        </w:tc>
        <w:tc>
          <w:tcPr>
            <w:tcW w:w="471" w:type="pct"/>
            <w:tcBorders>
              <w:top w:val="nil"/>
              <w:left w:val="nil"/>
              <w:bottom w:val="nil"/>
              <w:right w:val="nil"/>
            </w:tcBorders>
            <w:shd w:val="clear" w:color="auto" w:fill="auto"/>
            <w:tcMar>
              <w:left w:w="28" w:type="dxa"/>
              <w:right w:w="28" w:type="dxa"/>
            </w:tcMar>
            <w:vAlign w:val="center"/>
          </w:tcPr>
          <w:p w14:paraId="1FCC937A">
            <w:pPr>
              <w:widowControl/>
              <w:adjustRightInd w:val="0"/>
              <w:snapToGrid w:val="0"/>
              <w:spacing w:line="260" w:lineRule="atLeast"/>
              <w:jc w:val="left"/>
              <w:rPr>
                <w:kern w:val="0"/>
                <w:sz w:val="18"/>
                <w:szCs w:val="18"/>
              </w:rPr>
            </w:pPr>
            <w:r>
              <w:rPr>
                <w:kern w:val="0"/>
                <w:sz w:val="18"/>
                <w:szCs w:val="18"/>
              </w:rPr>
              <w:t>文　　号：</w:t>
            </w:r>
          </w:p>
        </w:tc>
        <w:tc>
          <w:tcPr>
            <w:tcW w:w="1047" w:type="pct"/>
            <w:tcBorders>
              <w:top w:val="nil"/>
              <w:left w:val="nil"/>
              <w:bottom w:val="nil"/>
              <w:right w:val="nil"/>
            </w:tcBorders>
            <w:shd w:val="clear" w:color="auto" w:fill="auto"/>
            <w:tcMar>
              <w:left w:w="28" w:type="dxa"/>
              <w:right w:w="28" w:type="dxa"/>
            </w:tcMar>
            <w:vAlign w:val="center"/>
          </w:tcPr>
          <w:p w14:paraId="4AC580C5">
            <w:pPr>
              <w:widowControl/>
              <w:adjustRightInd w:val="0"/>
              <w:snapToGrid w:val="0"/>
              <w:spacing w:line="260" w:lineRule="atLeast"/>
              <w:jc w:val="distribute"/>
              <w:rPr>
                <w:kern w:val="0"/>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127" w:author="kylin" w:date="2025-10-17T16:19:06Z">
              <w:r>
                <w:rPr>
                  <w:rFonts w:hint="default" w:ascii="宋体" w:hAnsi="宋体"/>
                  <w:spacing w:val="-16"/>
                  <w:sz w:val="18"/>
                  <w:szCs w:val="18"/>
                  <w:lang w:val="en-US" w:eastAsia="zh-CN"/>
                </w:rPr>
                <w:delText>４</w:delText>
              </w:r>
            </w:del>
            <w:ins w:id="128" w:author="kylin" w:date="2025-10-17T16:19:06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129" w:author="kylin" w:date="2025-10-17T16:19:09Z">
              <w:r>
                <w:rPr>
                  <w:rFonts w:hint="default" w:ascii="宋体" w:hAnsi="宋体"/>
                  <w:spacing w:val="-16"/>
                  <w:sz w:val="18"/>
                  <w:szCs w:val="18"/>
                  <w:lang w:val="en-US" w:eastAsia="zh-CN"/>
                </w:rPr>
                <w:delText>77</w:delText>
              </w:r>
            </w:del>
            <w:ins w:id="130" w:author="kylin" w:date="2025-10-17T16:19:09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4FDE0B68">
        <w:tblPrEx>
          <w:tblCellMar>
            <w:top w:w="0" w:type="dxa"/>
            <w:left w:w="108" w:type="dxa"/>
            <w:bottom w:w="0" w:type="dxa"/>
            <w:right w:w="108" w:type="dxa"/>
          </w:tblCellMar>
        </w:tblPrEx>
        <w:trPr>
          <w:jc w:val="center"/>
        </w:trPr>
        <w:tc>
          <w:tcPr>
            <w:tcW w:w="1594" w:type="pct"/>
            <w:tcBorders>
              <w:top w:val="nil"/>
              <w:left w:val="nil"/>
              <w:right w:val="nil"/>
            </w:tcBorders>
            <w:shd w:val="clear" w:color="auto" w:fill="auto"/>
            <w:tcMar>
              <w:left w:w="28" w:type="dxa"/>
              <w:right w:w="28" w:type="dxa"/>
            </w:tcMar>
            <w:vAlign w:val="center"/>
          </w:tcPr>
          <w:p w14:paraId="58B694FC">
            <w:pPr>
              <w:widowControl/>
              <w:adjustRightInd w:val="0"/>
              <w:snapToGrid w:val="0"/>
              <w:spacing w:line="260" w:lineRule="atLeast"/>
              <w:jc w:val="left"/>
              <w:rPr>
                <w:kern w:val="0"/>
                <w:sz w:val="18"/>
                <w:szCs w:val="18"/>
              </w:rPr>
            </w:pPr>
            <w:r>
              <w:rPr>
                <w:kern w:val="0"/>
                <w:sz w:val="18"/>
                <w:szCs w:val="18"/>
              </w:rPr>
              <w:t>单位详细名称：　</w:t>
            </w:r>
          </w:p>
        </w:tc>
        <w:tc>
          <w:tcPr>
            <w:tcW w:w="1886" w:type="pct"/>
            <w:gridSpan w:val="2"/>
            <w:tcBorders>
              <w:top w:val="nil"/>
              <w:left w:val="nil"/>
            </w:tcBorders>
            <w:shd w:val="clear" w:color="auto" w:fill="auto"/>
            <w:noWrap/>
            <w:tcMar>
              <w:left w:w="28" w:type="dxa"/>
              <w:right w:w="28" w:type="dxa"/>
            </w:tcMar>
          </w:tcPr>
          <w:p w14:paraId="19CCBAFD">
            <w:pPr>
              <w:adjustRightInd w:val="0"/>
              <w:snapToGrid w:val="0"/>
              <w:spacing w:line="260" w:lineRule="atLeast"/>
              <w:ind w:firstLine="900" w:firstLineChars="500"/>
              <w:rPr>
                <w:kern w:val="0"/>
                <w:sz w:val="18"/>
                <w:szCs w:val="18"/>
              </w:rPr>
            </w:pPr>
            <w:r>
              <w:rPr>
                <w:kern w:val="0"/>
                <w:sz w:val="18"/>
                <w:szCs w:val="18"/>
              </w:rPr>
              <w:t>２０　　年　　　月</w:t>
            </w:r>
          </w:p>
        </w:tc>
        <w:tc>
          <w:tcPr>
            <w:tcW w:w="471" w:type="pct"/>
            <w:tcBorders>
              <w:top w:val="nil"/>
              <w:left w:val="nil"/>
            </w:tcBorders>
            <w:shd w:val="clear" w:color="auto" w:fill="auto"/>
            <w:tcMar>
              <w:left w:w="28" w:type="dxa"/>
              <w:right w:w="28" w:type="dxa"/>
            </w:tcMar>
          </w:tcPr>
          <w:p w14:paraId="143E2359">
            <w:pPr>
              <w:adjustRightInd w:val="0"/>
              <w:snapToGrid w:val="0"/>
              <w:spacing w:line="260" w:lineRule="atLeast"/>
              <w:rPr>
                <w:kern w:val="0"/>
                <w:sz w:val="18"/>
                <w:szCs w:val="18"/>
              </w:rPr>
            </w:pPr>
            <w:r>
              <w:rPr>
                <w:kern w:val="0"/>
                <w:sz w:val="18"/>
                <w:szCs w:val="18"/>
              </w:rPr>
              <w:t>有效期至：</w:t>
            </w:r>
          </w:p>
        </w:tc>
        <w:tc>
          <w:tcPr>
            <w:tcW w:w="1047" w:type="pct"/>
            <w:tcBorders>
              <w:top w:val="nil"/>
              <w:left w:val="nil"/>
            </w:tcBorders>
            <w:shd w:val="clear" w:color="auto" w:fill="auto"/>
            <w:tcMar>
              <w:left w:w="28" w:type="dxa"/>
              <w:right w:w="28" w:type="dxa"/>
            </w:tcMar>
            <w:vAlign w:val="center"/>
          </w:tcPr>
          <w:p w14:paraId="401E862C">
            <w:pPr>
              <w:widowControl/>
              <w:adjustRightInd w:val="0"/>
              <w:snapToGrid w:val="0"/>
              <w:spacing w:line="260" w:lineRule="atLeast"/>
              <w:jc w:val="distribute"/>
              <w:rPr>
                <w:rFonts w:hint="default" w:eastAsia="宋体"/>
                <w:kern w:val="0"/>
                <w:sz w:val="18"/>
                <w:szCs w:val="18"/>
                <w:lang w:val="en-US" w:eastAsia="zh-CN"/>
              </w:rPr>
            </w:pPr>
            <w:r>
              <w:rPr>
                <w:rFonts w:hint="default"/>
                <w:kern w:val="0"/>
                <w:sz w:val="18"/>
                <w:szCs w:val="18"/>
                <w:lang w:val="en-US" w:eastAsia="zh-CN"/>
              </w:rPr>
              <w:t>２０２</w:t>
            </w:r>
            <w:del w:id="131" w:author="kylin" w:date="2025-10-17T16:19:11Z">
              <w:r>
                <w:rPr>
                  <w:rFonts w:hint="default"/>
                  <w:kern w:val="0"/>
                  <w:sz w:val="18"/>
                  <w:szCs w:val="18"/>
                  <w:lang w:val="en-US" w:eastAsia="zh-CN"/>
                </w:rPr>
                <w:delText>６</w:delText>
              </w:r>
            </w:del>
            <w:ins w:id="132" w:author="kylin" w:date="2025-10-17T16:19:11Z">
              <w:r>
                <w:rPr>
                  <w:rFonts w:hint="eastAsia"/>
                  <w:kern w:val="0"/>
                  <w:sz w:val="18"/>
                  <w:szCs w:val="18"/>
                  <w:lang w:val="en-US" w:eastAsia="zh-CN"/>
                </w:rPr>
                <w:t>7</w:t>
              </w:r>
            </w:ins>
            <w:r>
              <w:rPr>
                <w:rFonts w:hint="default"/>
                <w:kern w:val="0"/>
                <w:sz w:val="18"/>
                <w:szCs w:val="18"/>
                <w:lang w:val="en-US" w:eastAsia="zh-CN"/>
              </w:rPr>
              <w:t>年１月</w:t>
            </w:r>
          </w:p>
        </w:tc>
      </w:tr>
    </w:tbl>
    <w:p w14:paraId="24AF4953">
      <w:pPr>
        <w:spacing w:line="40" w:lineRule="exact"/>
      </w:pPr>
    </w:p>
    <w:tbl>
      <w:tblPr>
        <w:tblStyle w:val="20"/>
        <w:tblW w:w="9639" w:type="dxa"/>
        <w:jc w:val="center"/>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4"/>
        <w:gridCol w:w="604"/>
        <w:gridCol w:w="602"/>
        <w:gridCol w:w="602"/>
        <w:gridCol w:w="603"/>
        <w:gridCol w:w="613"/>
        <w:gridCol w:w="598"/>
        <w:gridCol w:w="613"/>
        <w:gridCol w:w="601"/>
        <w:gridCol w:w="607"/>
        <w:gridCol w:w="601"/>
        <w:gridCol w:w="609"/>
        <w:gridCol w:w="601"/>
        <w:gridCol w:w="607"/>
        <w:gridCol w:w="601"/>
        <w:gridCol w:w="573"/>
      </w:tblGrid>
      <w:tr w14:paraId="2A16DBC2">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4" w:type="dxa"/>
            <w:vMerge w:val="restart"/>
            <w:tcBorders>
              <w:top w:val="single" w:color="auto" w:sz="8" w:space="0"/>
              <w:bottom w:val="single" w:color="auto" w:sz="2" w:space="0"/>
            </w:tcBorders>
            <w:shd w:val="clear" w:color="auto" w:fill="auto"/>
            <w:vAlign w:val="center"/>
          </w:tcPr>
          <w:p w14:paraId="76F1468B">
            <w:pPr>
              <w:widowControl/>
              <w:jc w:val="center"/>
              <w:rPr>
                <w:kern w:val="0"/>
                <w:sz w:val="18"/>
                <w:szCs w:val="18"/>
              </w:rPr>
            </w:pPr>
            <w:r>
              <w:rPr>
                <w:kern w:val="0"/>
                <w:sz w:val="18"/>
                <w:szCs w:val="18"/>
              </w:rPr>
              <w:t>产品名称</w:t>
            </w:r>
          </w:p>
        </w:tc>
        <w:tc>
          <w:tcPr>
            <w:tcW w:w="604" w:type="dxa"/>
            <w:vMerge w:val="restart"/>
            <w:tcBorders>
              <w:top w:val="single" w:color="auto" w:sz="8" w:space="0"/>
              <w:bottom w:val="single" w:color="auto" w:sz="2" w:space="0"/>
            </w:tcBorders>
            <w:shd w:val="clear" w:color="auto" w:fill="auto"/>
            <w:vAlign w:val="center"/>
          </w:tcPr>
          <w:p w14:paraId="7DCAFEF9">
            <w:pPr>
              <w:widowControl/>
              <w:rPr>
                <w:kern w:val="0"/>
                <w:sz w:val="18"/>
                <w:szCs w:val="18"/>
              </w:rPr>
            </w:pPr>
            <w:r>
              <w:rPr>
                <w:kern w:val="0"/>
                <w:sz w:val="18"/>
                <w:szCs w:val="18"/>
              </w:rPr>
              <w:t>计量单位</w:t>
            </w:r>
          </w:p>
        </w:tc>
        <w:tc>
          <w:tcPr>
            <w:tcW w:w="602" w:type="dxa"/>
            <w:vMerge w:val="restart"/>
            <w:tcBorders>
              <w:top w:val="single" w:color="auto" w:sz="8" w:space="0"/>
              <w:bottom w:val="single" w:color="auto" w:sz="2" w:space="0"/>
            </w:tcBorders>
            <w:shd w:val="clear" w:color="auto" w:fill="auto"/>
            <w:vAlign w:val="center"/>
          </w:tcPr>
          <w:p w14:paraId="4D9D2C67">
            <w:pPr>
              <w:widowControl/>
              <w:jc w:val="center"/>
              <w:rPr>
                <w:kern w:val="0"/>
                <w:sz w:val="18"/>
                <w:szCs w:val="18"/>
              </w:rPr>
            </w:pPr>
            <w:r>
              <w:rPr>
                <w:kern w:val="0"/>
                <w:sz w:val="18"/>
                <w:szCs w:val="18"/>
              </w:rPr>
              <w:t>产品代码</w:t>
            </w:r>
          </w:p>
        </w:tc>
        <w:tc>
          <w:tcPr>
            <w:tcW w:w="602" w:type="dxa"/>
            <w:vMerge w:val="restart"/>
            <w:tcBorders>
              <w:top w:val="single" w:color="auto" w:sz="8" w:space="0"/>
              <w:bottom w:val="single" w:color="auto" w:sz="2" w:space="0"/>
            </w:tcBorders>
            <w:shd w:val="clear" w:color="auto" w:fill="auto"/>
            <w:vAlign w:val="center"/>
          </w:tcPr>
          <w:p w14:paraId="433BEFF8">
            <w:pPr>
              <w:widowControl/>
              <w:jc w:val="center"/>
              <w:rPr>
                <w:kern w:val="0"/>
                <w:sz w:val="18"/>
                <w:szCs w:val="18"/>
              </w:rPr>
            </w:pPr>
            <w:r>
              <w:rPr>
                <w:kern w:val="0"/>
                <w:sz w:val="18"/>
                <w:szCs w:val="18"/>
              </w:rPr>
              <w:t>年初产成品库存量</w:t>
            </w:r>
          </w:p>
        </w:tc>
        <w:tc>
          <w:tcPr>
            <w:tcW w:w="2427" w:type="dxa"/>
            <w:gridSpan w:val="4"/>
            <w:tcBorders>
              <w:top w:val="single" w:color="auto" w:sz="8" w:space="0"/>
              <w:bottom w:val="single" w:color="auto" w:sz="2" w:space="0"/>
            </w:tcBorders>
            <w:shd w:val="clear" w:color="auto" w:fill="auto"/>
            <w:vAlign w:val="center"/>
          </w:tcPr>
          <w:p w14:paraId="0E7B8D13">
            <w:pPr>
              <w:widowControl/>
              <w:jc w:val="center"/>
              <w:rPr>
                <w:kern w:val="0"/>
                <w:sz w:val="18"/>
                <w:szCs w:val="18"/>
              </w:rPr>
            </w:pPr>
            <w:r>
              <w:rPr>
                <w:kern w:val="0"/>
                <w:sz w:val="18"/>
                <w:szCs w:val="18"/>
              </w:rPr>
              <w:t>生产量</w:t>
            </w:r>
          </w:p>
        </w:tc>
        <w:tc>
          <w:tcPr>
            <w:tcW w:w="1208" w:type="dxa"/>
            <w:gridSpan w:val="2"/>
            <w:vMerge w:val="restart"/>
            <w:tcBorders>
              <w:top w:val="single" w:color="auto" w:sz="8" w:space="0"/>
              <w:right w:val="nil"/>
            </w:tcBorders>
            <w:shd w:val="clear" w:color="auto" w:fill="auto"/>
            <w:vAlign w:val="center"/>
          </w:tcPr>
          <w:p w14:paraId="74EA8E2E">
            <w:pPr>
              <w:widowControl/>
              <w:jc w:val="center"/>
              <w:rPr>
                <w:kern w:val="0"/>
                <w:sz w:val="18"/>
                <w:szCs w:val="18"/>
              </w:rPr>
            </w:pPr>
            <w:r>
              <w:rPr>
                <w:kern w:val="0"/>
                <w:sz w:val="18"/>
                <w:szCs w:val="18"/>
              </w:rPr>
              <w:t>销售量</w:t>
            </w:r>
          </w:p>
        </w:tc>
        <w:tc>
          <w:tcPr>
            <w:tcW w:w="1210" w:type="dxa"/>
            <w:gridSpan w:val="2"/>
            <w:tcBorders>
              <w:top w:val="single" w:color="auto" w:sz="8" w:space="0"/>
              <w:left w:val="nil"/>
              <w:bottom w:val="nil"/>
            </w:tcBorders>
            <w:shd w:val="clear" w:color="auto" w:fill="auto"/>
            <w:vAlign w:val="center"/>
          </w:tcPr>
          <w:p w14:paraId="4CEC08C1">
            <w:pPr>
              <w:widowControl/>
              <w:jc w:val="center"/>
              <w:rPr>
                <w:kern w:val="0"/>
                <w:sz w:val="18"/>
                <w:szCs w:val="18"/>
              </w:rPr>
            </w:pPr>
          </w:p>
        </w:tc>
        <w:tc>
          <w:tcPr>
            <w:tcW w:w="1208" w:type="dxa"/>
            <w:gridSpan w:val="2"/>
            <w:tcBorders>
              <w:top w:val="single" w:color="auto" w:sz="8" w:space="0"/>
              <w:bottom w:val="single" w:color="auto" w:sz="2" w:space="0"/>
            </w:tcBorders>
            <w:shd w:val="clear" w:color="auto" w:fill="auto"/>
            <w:vAlign w:val="center"/>
          </w:tcPr>
          <w:p w14:paraId="26917251">
            <w:pPr>
              <w:widowControl/>
              <w:jc w:val="center"/>
              <w:rPr>
                <w:kern w:val="0"/>
                <w:sz w:val="18"/>
                <w:szCs w:val="18"/>
              </w:rPr>
            </w:pPr>
            <w:r>
              <w:rPr>
                <w:kern w:val="0"/>
                <w:sz w:val="18"/>
                <w:szCs w:val="18"/>
              </w:rPr>
              <w:t>企业自用</w:t>
            </w:r>
          </w:p>
          <w:p w14:paraId="6891D53E">
            <w:pPr>
              <w:widowControl/>
              <w:jc w:val="center"/>
              <w:rPr>
                <w:kern w:val="0"/>
                <w:sz w:val="18"/>
                <w:szCs w:val="18"/>
              </w:rPr>
            </w:pPr>
            <w:r>
              <w:rPr>
                <w:kern w:val="0"/>
                <w:sz w:val="18"/>
                <w:szCs w:val="18"/>
              </w:rPr>
              <w:t>及 其 他</w:t>
            </w:r>
          </w:p>
        </w:tc>
        <w:tc>
          <w:tcPr>
            <w:tcW w:w="1174" w:type="dxa"/>
            <w:gridSpan w:val="2"/>
            <w:tcBorders>
              <w:top w:val="single" w:color="auto" w:sz="8" w:space="0"/>
              <w:bottom w:val="single" w:color="auto" w:sz="2" w:space="0"/>
            </w:tcBorders>
            <w:shd w:val="clear" w:color="auto" w:fill="auto"/>
            <w:vAlign w:val="center"/>
          </w:tcPr>
          <w:p w14:paraId="48A3F88F">
            <w:pPr>
              <w:widowControl/>
              <w:jc w:val="center"/>
              <w:rPr>
                <w:kern w:val="0"/>
                <w:sz w:val="18"/>
                <w:szCs w:val="18"/>
              </w:rPr>
            </w:pPr>
            <w:r>
              <w:rPr>
                <w:kern w:val="0"/>
                <w:sz w:val="18"/>
                <w:szCs w:val="18"/>
              </w:rPr>
              <w:t>期末产成品库  存  量</w:t>
            </w:r>
          </w:p>
        </w:tc>
      </w:tr>
      <w:tr w14:paraId="5156ECB4">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604" w:type="dxa"/>
            <w:vMerge w:val="continue"/>
            <w:tcBorders>
              <w:top w:val="single" w:color="auto" w:sz="2" w:space="0"/>
            </w:tcBorders>
            <w:vAlign w:val="center"/>
          </w:tcPr>
          <w:p w14:paraId="27972EEB">
            <w:pPr>
              <w:widowControl/>
              <w:jc w:val="left"/>
              <w:rPr>
                <w:kern w:val="0"/>
                <w:sz w:val="18"/>
                <w:szCs w:val="18"/>
              </w:rPr>
            </w:pPr>
          </w:p>
        </w:tc>
        <w:tc>
          <w:tcPr>
            <w:tcW w:w="604" w:type="dxa"/>
            <w:vMerge w:val="continue"/>
            <w:tcBorders>
              <w:top w:val="single" w:color="auto" w:sz="2" w:space="0"/>
            </w:tcBorders>
            <w:vAlign w:val="center"/>
          </w:tcPr>
          <w:p w14:paraId="542F6141">
            <w:pPr>
              <w:widowControl/>
              <w:jc w:val="left"/>
              <w:rPr>
                <w:kern w:val="0"/>
                <w:sz w:val="18"/>
                <w:szCs w:val="18"/>
              </w:rPr>
            </w:pPr>
          </w:p>
        </w:tc>
        <w:tc>
          <w:tcPr>
            <w:tcW w:w="602" w:type="dxa"/>
            <w:vMerge w:val="continue"/>
            <w:tcBorders>
              <w:top w:val="single" w:color="auto" w:sz="2" w:space="0"/>
            </w:tcBorders>
            <w:vAlign w:val="center"/>
          </w:tcPr>
          <w:p w14:paraId="348051AB">
            <w:pPr>
              <w:widowControl/>
              <w:jc w:val="left"/>
              <w:rPr>
                <w:kern w:val="0"/>
                <w:sz w:val="18"/>
                <w:szCs w:val="18"/>
              </w:rPr>
            </w:pPr>
          </w:p>
        </w:tc>
        <w:tc>
          <w:tcPr>
            <w:tcW w:w="602" w:type="dxa"/>
            <w:vMerge w:val="continue"/>
            <w:tcBorders>
              <w:top w:val="single" w:color="auto" w:sz="2" w:space="0"/>
            </w:tcBorders>
            <w:shd w:val="clear" w:color="auto" w:fill="auto"/>
            <w:vAlign w:val="center"/>
          </w:tcPr>
          <w:p w14:paraId="237F9317">
            <w:pPr>
              <w:widowControl/>
              <w:jc w:val="center"/>
              <w:rPr>
                <w:kern w:val="0"/>
                <w:sz w:val="18"/>
                <w:szCs w:val="18"/>
              </w:rPr>
            </w:pPr>
          </w:p>
        </w:tc>
        <w:tc>
          <w:tcPr>
            <w:tcW w:w="1216" w:type="dxa"/>
            <w:gridSpan w:val="2"/>
            <w:tcBorders>
              <w:top w:val="single" w:color="auto" w:sz="2" w:space="0"/>
            </w:tcBorders>
            <w:shd w:val="clear" w:color="auto" w:fill="auto"/>
            <w:vAlign w:val="center"/>
          </w:tcPr>
          <w:p w14:paraId="53052E5E">
            <w:pPr>
              <w:widowControl/>
              <w:jc w:val="center"/>
              <w:rPr>
                <w:kern w:val="0"/>
                <w:sz w:val="18"/>
                <w:szCs w:val="18"/>
              </w:rPr>
            </w:pPr>
            <w:r>
              <w:rPr>
                <w:kern w:val="0"/>
                <w:sz w:val="18"/>
                <w:szCs w:val="18"/>
              </w:rPr>
              <w:t>本年</w:t>
            </w:r>
          </w:p>
        </w:tc>
        <w:tc>
          <w:tcPr>
            <w:tcW w:w="1211" w:type="dxa"/>
            <w:gridSpan w:val="2"/>
            <w:tcBorders>
              <w:top w:val="single" w:color="auto" w:sz="2" w:space="0"/>
              <w:bottom w:val="single" w:color="auto" w:sz="2" w:space="0"/>
            </w:tcBorders>
            <w:shd w:val="clear" w:color="auto" w:fill="D9D9D9"/>
            <w:vAlign w:val="center"/>
          </w:tcPr>
          <w:p w14:paraId="2764E45E">
            <w:pPr>
              <w:widowControl/>
              <w:jc w:val="center"/>
              <w:rPr>
                <w:kern w:val="0"/>
                <w:sz w:val="18"/>
                <w:szCs w:val="18"/>
              </w:rPr>
            </w:pPr>
            <w:r>
              <w:rPr>
                <w:kern w:val="0"/>
                <w:sz w:val="18"/>
                <w:szCs w:val="18"/>
              </w:rPr>
              <w:t>上年同期</w:t>
            </w:r>
          </w:p>
        </w:tc>
        <w:tc>
          <w:tcPr>
            <w:tcW w:w="1208" w:type="dxa"/>
            <w:gridSpan w:val="2"/>
            <w:vMerge w:val="continue"/>
            <w:shd w:val="clear" w:color="auto" w:fill="auto"/>
            <w:vAlign w:val="center"/>
          </w:tcPr>
          <w:p w14:paraId="0C779C32">
            <w:pPr>
              <w:widowControl/>
              <w:jc w:val="center"/>
              <w:rPr>
                <w:kern w:val="0"/>
                <w:sz w:val="18"/>
                <w:szCs w:val="18"/>
              </w:rPr>
            </w:pPr>
          </w:p>
        </w:tc>
        <w:tc>
          <w:tcPr>
            <w:tcW w:w="1210" w:type="dxa"/>
            <w:gridSpan w:val="2"/>
            <w:tcBorders>
              <w:top w:val="single" w:color="auto" w:sz="2" w:space="0"/>
              <w:bottom w:val="single" w:color="auto" w:sz="2" w:space="0"/>
            </w:tcBorders>
            <w:shd w:val="clear" w:color="auto" w:fill="auto"/>
            <w:vAlign w:val="center"/>
          </w:tcPr>
          <w:p w14:paraId="09AE3149">
            <w:pPr>
              <w:widowControl/>
              <w:ind w:firstLine="90" w:firstLineChars="50"/>
              <w:rPr>
                <w:kern w:val="0"/>
                <w:sz w:val="18"/>
                <w:szCs w:val="18"/>
              </w:rPr>
            </w:pPr>
            <w:r>
              <w:rPr>
                <w:kern w:val="0"/>
                <w:sz w:val="18"/>
                <w:szCs w:val="18"/>
              </w:rPr>
              <w:t>其中：</w:t>
            </w:r>
          </w:p>
          <w:p w14:paraId="2B0DDC73">
            <w:pPr>
              <w:widowControl/>
              <w:jc w:val="center"/>
              <w:rPr>
                <w:kern w:val="0"/>
                <w:sz w:val="18"/>
                <w:szCs w:val="18"/>
              </w:rPr>
            </w:pPr>
            <w:r>
              <w:rPr>
                <w:kern w:val="0"/>
                <w:sz w:val="18"/>
                <w:szCs w:val="18"/>
              </w:rPr>
              <w:t>销往省外</w:t>
            </w:r>
          </w:p>
        </w:tc>
        <w:tc>
          <w:tcPr>
            <w:tcW w:w="601" w:type="dxa"/>
            <w:vMerge w:val="restart"/>
            <w:tcBorders>
              <w:top w:val="single" w:color="auto" w:sz="2" w:space="0"/>
            </w:tcBorders>
            <w:shd w:val="clear" w:color="auto" w:fill="auto"/>
            <w:vAlign w:val="center"/>
          </w:tcPr>
          <w:p w14:paraId="45E33F09">
            <w:pPr>
              <w:widowControl/>
              <w:jc w:val="center"/>
              <w:rPr>
                <w:kern w:val="0"/>
                <w:sz w:val="18"/>
                <w:szCs w:val="18"/>
              </w:rPr>
            </w:pPr>
            <w:r>
              <w:rPr>
                <w:kern w:val="0"/>
                <w:sz w:val="18"/>
                <w:szCs w:val="18"/>
              </w:rPr>
              <w:t>1－</w:t>
            </w:r>
          </w:p>
          <w:p w14:paraId="72EA3FAC">
            <w:pPr>
              <w:jc w:val="left"/>
              <w:rPr>
                <w:kern w:val="0"/>
                <w:sz w:val="18"/>
                <w:szCs w:val="18"/>
              </w:rPr>
            </w:pPr>
            <w:r>
              <w:rPr>
                <w:kern w:val="0"/>
                <w:sz w:val="18"/>
                <w:szCs w:val="18"/>
              </w:rPr>
              <w:t>本月</w:t>
            </w:r>
          </w:p>
        </w:tc>
        <w:tc>
          <w:tcPr>
            <w:tcW w:w="315" w:type="pct"/>
            <w:vMerge w:val="restart"/>
            <w:tcBorders>
              <w:top w:val="single" w:color="auto" w:sz="2" w:space="0"/>
            </w:tcBorders>
            <w:shd w:val="clear" w:color="auto" w:fill="D9D9D9"/>
            <w:vAlign w:val="center"/>
          </w:tcPr>
          <w:p w14:paraId="395F2FF8">
            <w:pPr>
              <w:widowControl/>
              <w:jc w:val="center"/>
              <w:rPr>
                <w:kern w:val="0"/>
                <w:sz w:val="18"/>
                <w:szCs w:val="18"/>
              </w:rPr>
            </w:pPr>
            <w:r>
              <w:rPr>
                <w:kern w:val="0"/>
                <w:sz w:val="18"/>
                <w:szCs w:val="18"/>
              </w:rPr>
              <w:t>上年同期</w:t>
            </w:r>
          </w:p>
        </w:tc>
        <w:tc>
          <w:tcPr>
            <w:tcW w:w="601" w:type="dxa"/>
            <w:vMerge w:val="restart"/>
            <w:tcBorders>
              <w:top w:val="single" w:color="auto" w:sz="2" w:space="0"/>
            </w:tcBorders>
            <w:shd w:val="clear" w:color="auto" w:fill="auto"/>
            <w:vAlign w:val="center"/>
          </w:tcPr>
          <w:p w14:paraId="33D78944">
            <w:pPr>
              <w:jc w:val="left"/>
              <w:rPr>
                <w:kern w:val="0"/>
                <w:sz w:val="18"/>
                <w:szCs w:val="18"/>
              </w:rPr>
            </w:pPr>
            <w:r>
              <w:rPr>
                <w:kern w:val="0"/>
                <w:sz w:val="18"/>
                <w:szCs w:val="18"/>
              </w:rPr>
              <w:t>本期</w:t>
            </w:r>
          </w:p>
        </w:tc>
        <w:tc>
          <w:tcPr>
            <w:tcW w:w="573" w:type="dxa"/>
            <w:vMerge w:val="restart"/>
            <w:tcBorders>
              <w:top w:val="single" w:color="auto" w:sz="2" w:space="0"/>
            </w:tcBorders>
            <w:shd w:val="clear" w:color="auto" w:fill="D9D9D9"/>
            <w:vAlign w:val="center"/>
          </w:tcPr>
          <w:p w14:paraId="50A581D1">
            <w:pPr>
              <w:widowControl/>
              <w:ind w:right="-10" w:rightChars="-5"/>
              <w:jc w:val="center"/>
              <w:rPr>
                <w:kern w:val="0"/>
                <w:sz w:val="18"/>
                <w:szCs w:val="18"/>
              </w:rPr>
            </w:pPr>
            <w:r>
              <w:rPr>
                <w:kern w:val="0"/>
                <w:sz w:val="18"/>
                <w:szCs w:val="18"/>
              </w:rPr>
              <w:t>上年同期</w:t>
            </w:r>
          </w:p>
        </w:tc>
      </w:tr>
      <w:tr w14:paraId="497A3CDA">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7" w:hRule="atLeast"/>
          <w:jc w:val="center"/>
        </w:trPr>
        <w:tc>
          <w:tcPr>
            <w:tcW w:w="604" w:type="dxa"/>
            <w:vMerge w:val="continue"/>
            <w:tcBorders>
              <w:bottom w:val="single" w:color="auto" w:sz="2" w:space="0"/>
            </w:tcBorders>
            <w:vAlign w:val="center"/>
          </w:tcPr>
          <w:p w14:paraId="49F349F2">
            <w:pPr>
              <w:widowControl/>
              <w:jc w:val="left"/>
              <w:rPr>
                <w:kern w:val="0"/>
                <w:sz w:val="18"/>
                <w:szCs w:val="18"/>
              </w:rPr>
            </w:pPr>
          </w:p>
        </w:tc>
        <w:tc>
          <w:tcPr>
            <w:tcW w:w="604" w:type="dxa"/>
            <w:vMerge w:val="continue"/>
            <w:tcBorders>
              <w:bottom w:val="single" w:color="auto" w:sz="2" w:space="0"/>
            </w:tcBorders>
            <w:vAlign w:val="center"/>
          </w:tcPr>
          <w:p w14:paraId="36DE5602">
            <w:pPr>
              <w:widowControl/>
              <w:jc w:val="left"/>
              <w:rPr>
                <w:kern w:val="0"/>
                <w:sz w:val="18"/>
                <w:szCs w:val="18"/>
              </w:rPr>
            </w:pPr>
          </w:p>
        </w:tc>
        <w:tc>
          <w:tcPr>
            <w:tcW w:w="602" w:type="dxa"/>
            <w:vMerge w:val="continue"/>
            <w:tcBorders>
              <w:bottom w:val="single" w:color="auto" w:sz="2" w:space="0"/>
            </w:tcBorders>
            <w:vAlign w:val="center"/>
          </w:tcPr>
          <w:p w14:paraId="62EC30A3">
            <w:pPr>
              <w:widowControl/>
              <w:jc w:val="left"/>
              <w:rPr>
                <w:kern w:val="0"/>
                <w:sz w:val="18"/>
                <w:szCs w:val="18"/>
              </w:rPr>
            </w:pPr>
          </w:p>
        </w:tc>
        <w:tc>
          <w:tcPr>
            <w:tcW w:w="602" w:type="dxa"/>
            <w:vMerge w:val="continue"/>
            <w:tcBorders>
              <w:bottom w:val="single" w:color="auto" w:sz="2" w:space="0"/>
            </w:tcBorders>
            <w:vAlign w:val="center"/>
          </w:tcPr>
          <w:p w14:paraId="4A82A4FA">
            <w:pPr>
              <w:widowControl/>
              <w:jc w:val="left"/>
              <w:rPr>
                <w:kern w:val="0"/>
                <w:sz w:val="18"/>
                <w:szCs w:val="18"/>
              </w:rPr>
            </w:pPr>
          </w:p>
        </w:tc>
        <w:tc>
          <w:tcPr>
            <w:tcW w:w="603" w:type="dxa"/>
            <w:tcBorders>
              <w:bottom w:val="single" w:color="auto" w:sz="2" w:space="0"/>
            </w:tcBorders>
            <w:vAlign w:val="center"/>
          </w:tcPr>
          <w:p w14:paraId="34B7F31C">
            <w:pPr>
              <w:widowControl/>
              <w:jc w:val="center"/>
              <w:rPr>
                <w:kern w:val="0"/>
                <w:sz w:val="18"/>
                <w:szCs w:val="18"/>
              </w:rPr>
            </w:pPr>
            <w:r>
              <w:rPr>
                <w:kern w:val="0"/>
                <w:sz w:val="18"/>
                <w:szCs w:val="18"/>
              </w:rPr>
              <w:t>本月</w:t>
            </w:r>
          </w:p>
        </w:tc>
        <w:tc>
          <w:tcPr>
            <w:tcW w:w="613" w:type="dxa"/>
            <w:tcBorders>
              <w:top w:val="single" w:color="auto" w:sz="2" w:space="0"/>
              <w:bottom w:val="single" w:color="auto" w:sz="2" w:space="0"/>
            </w:tcBorders>
            <w:vAlign w:val="center"/>
          </w:tcPr>
          <w:p w14:paraId="6A73B96F">
            <w:pPr>
              <w:widowControl/>
              <w:jc w:val="center"/>
              <w:rPr>
                <w:kern w:val="0"/>
                <w:sz w:val="18"/>
                <w:szCs w:val="18"/>
              </w:rPr>
            </w:pPr>
            <w:r>
              <w:rPr>
                <w:kern w:val="0"/>
                <w:sz w:val="18"/>
                <w:szCs w:val="18"/>
              </w:rPr>
              <w:t>1－</w:t>
            </w:r>
          </w:p>
          <w:p w14:paraId="05C03552">
            <w:pPr>
              <w:jc w:val="center"/>
              <w:rPr>
                <w:kern w:val="0"/>
                <w:sz w:val="18"/>
                <w:szCs w:val="18"/>
              </w:rPr>
            </w:pPr>
            <w:r>
              <w:rPr>
                <w:kern w:val="0"/>
                <w:sz w:val="18"/>
                <w:szCs w:val="18"/>
              </w:rPr>
              <w:t>本月</w:t>
            </w:r>
          </w:p>
        </w:tc>
        <w:tc>
          <w:tcPr>
            <w:tcW w:w="598" w:type="dxa"/>
            <w:tcBorders>
              <w:top w:val="single" w:color="auto" w:sz="2" w:space="0"/>
              <w:bottom w:val="single" w:color="auto" w:sz="2" w:space="0"/>
            </w:tcBorders>
            <w:shd w:val="clear" w:color="auto" w:fill="D9D9D9"/>
            <w:vAlign w:val="center"/>
          </w:tcPr>
          <w:p w14:paraId="2C4F5F80">
            <w:pPr>
              <w:widowControl/>
              <w:jc w:val="center"/>
              <w:rPr>
                <w:kern w:val="0"/>
                <w:sz w:val="18"/>
                <w:szCs w:val="18"/>
              </w:rPr>
            </w:pPr>
            <w:r>
              <w:rPr>
                <w:kern w:val="0"/>
                <w:sz w:val="18"/>
                <w:szCs w:val="18"/>
              </w:rPr>
              <w:t>本月</w:t>
            </w:r>
          </w:p>
        </w:tc>
        <w:tc>
          <w:tcPr>
            <w:tcW w:w="613" w:type="dxa"/>
            <w:tcBorders>
              <w:top w:val="single" w:color="auto" w:sz="2" w:space="0"/>
              <w:bottom w:val="single" w:color="auto" w:sz="2" w:space="0"/>
            </w:tcBorders>
            <w:shd w:val="clear" w:color="auto" w:fill="D9D9D9"/>
            <w:vAlign w:val="center"/>
          </w:tcPr>
          <w:p w14:paraId="1251C79A">
            <w:pPr>
              <w:widowControl/>
              <w:jc w:val="center"/>
              <w:rPr>
                <w:kern w:val="0"/>
                <w:sz w:val="18"/>
                <w:szCs w:val="18"/>
              </w:rPr>
            </w:pPr>
            <w:r>
              <w:rPr>
                <w:kern w:val="0"/>
                <w:sz w:val="18"/>
                <w:szCs w:val="18"/>
              </w:rPr>
              <w:t>1－</w:t>
            </w:r>
          </w:p>
          <w:p w14:paraId="4B2E70F0">
            <w:pPr>
              <w:jc w:val="center"/>
              <w:rPr>
                <w:kern w:val="0"/>
                <w:sz w:val="18"/>
                <w:szCs w:val="18"/>
              </w:rPr>
            </w:pPr>
            <w:r>
              <w:rPr>
                <w:kern w:val="0"/>
                <w:sz w:val="18"/>
                <w:szCs w:val="18"/>
              </w:rPr>
              <w:t>本月</w:t>
            </w:r>
          </w:p>
        </w:tc>
        <w:tc>
          <w:tcPr>
            <w:tcW w:w="601" w:type="dxa"/>
            <w:tcBorders>
              <w:bottom w:val="single" w:color="auto" w:sz="2" w:space="0"/>
            </w:tcBorders>
            <w:vAlign w:val="center"/>
          </w:tcPr>
          <w:p w14:paraId="38645D5C">
            <w:pPr>
              <w:widowControl/>
              <w:jc w:val="center"/>
              <w:rPr>
                <w:kern w:val="0"/>
                <w:sz w:val="18"/>
                <w:szCs w:val="18"/>
              </w:rPr>
            </w:pPr>
            <w:r>
              <w:rPr>
                <w:kern w:val="0"/>
                <w:sz w:val="18"/>
                <w:szCs w:val="18"/>
              </w:rPr>
              <w:t>1－</w:t>
            </w:r>
          </w:p>
          <w:p w14:paraId="52B8C315">
            <w:pPr>
              <w:jc w:val="center"/>
              <w:rPr>
                <w:kern w:val="0"/>
                <w:sz w:val="18"/>
                <w:szCs w:val="18"/>
              </w:rPr>
            </w:pPr>
            <w:r>
              <w:rPr>
                <w:kern w:val="0"/>
                <w:sz w:val="18"/>
                <w:szCs w:val="18"/>
              </w:rPr>
              <w:t>本月</w:t>
            </w:r>
          </w:p>
        </w:tc>
        <w:tc>
          <w:tcPr>
            <w:tcW w:w="0" w:type="dxa"/>
            <w:tcBorders>
              <w:bottom w:val="single" w:color="auto" w:sz="2" w:space="0"/>
            </w:tcBorders>
            <w:shd w:val="clear" w:color="auto" w:fill="D9D9D9"/>
            <w:vAlign w:val="center"/>
          </w:tcPr>
          <w:p w14:paraId="5CD94C0E">
            <w:pPr>
              <w:widowControl/>
              <w:jc w:val="center"/>
              <w:rPr>
                <w:kern w:val="0"/>
                <w:sz w:val="18"/>
                <w:szCs w:val="18"/>
              </w:rPr>
            </w:pPr>
            <w:r>
              <w:rPr>
                <w:kern w:val="0"/>
                <w:sz w:val="18"/>
                <w:szCs w:val="18"/>
              </w:rPr>
              <w:t>上年同期</w:t>
            </w:r>
          </w:p>
        </w:tc>
        <w:tc>
          <w:tcPr>
            <w:tcW w:w="601" w:type="dxa"/>
            <w:tcBorders>
              <w:bottom w:val="single" w:color="auto" w:sz="2" w:space="0"/>
            </w:tcBorders>
            <w:vAlign w:val="center"/>
          </w:tcPr>
          <w:p w14:paraId="0CCAD42F">
            <w:pPr>
              <w:widowControl/>
              <w:jc w:val="center"/>
              <w:rPr>
                <w:kern w:val="0"/>
                <w:sz w:val="18"/>
                <w:szCs w:val="18"/>
              </w:rPr>
            </w:pPr>
            <w:r>
              <w:rPr>
                <w:kern w:val="0"/>
                <w:sz w:val="18"/>
                <w:szCs w:val="18"/>
              </w:rPr>
              <w:t>1－</w:t>
            </w:r>
          </w:p>
          <w:p w14:paraId="155C665B">
            <w:pPr>
              <w:jc w:val="center"/>
              <w:rPr>
                <w:kern w:val="0"/>
                <w:sz w:val="18"/>
                <w:szCs w:val="18"/>
              </w:rPr>
            </w:pPr>
            <w:r>
              <w:rPr>
                <w:kern w:val="0"/>
                <w:sz w:val="18"/>
                <w:szCs w:val="18"/>
              </w:rPr>
              <w:t>本月</w:t>
            </w:r>
          </w:p>
        </w:tc>
        <w:tc>
          <w:tcPr>
            <w:tcW w:w="609" w:type="dxa"/>
            <w:tcBorders>
              <w:top w:val="single" w:color="auto" w:sz="2" w:space="0"/>
              <w:bottom w:val="single" w:color="auto" w:sz="2" w:space="0"/>
            </w:tcBorders>
            <w:shd w:val="clear" w:color="auto" w:fill="D9D9D9"/>
            <w:vAlign w:val="center"/>
          </w:tcPr>
          <w:p w14:paraId="044E6D5B">
            <w:pPr>
              <w:widowControl/>
              <w:jc w:val="center"/>
              <w:rPr>
                <w:kern w:val="0"/>
                <w:sz w:val="18"/>
                <w:szCs w:val="18"/>
              </w:rPr>
            </w:pPr>
            <w:r>
              <w:rPr>
                <w:kern w:val="0"/>
                <w:sz w:val="18"/>
                <w:szCs w:val="18"/>
              </w:rPr>
              <w:t>上年同期</w:t>
            </w:r>
          </w:p>
        </w:tc>
        <w:tc>
          <w:tcPr>
            <w:tcW w:w="601" w:type="dxa"/>
            <w:vMerge w:val="continue"/>
            <w:tcBorders>
              <w:bottom w:val="single" w:color="auto" w:sz="2" w:space="0"/>
            </w:tcBorders>
            <w:vAlign w:val="center"/>
          </w:tcPr>
          <w:p w14:paraId="1B713B7F">
            <w:pPr>
              <w:jc w:val="left"/>
              <w:rPr>
                <w:kern w:val="0"/>
                <w:sz w:val="18"/>
                <w:szCs w:val="18"/>
              </w:rPr>
            </w:pPr>
          </w:p>
        </w:tc>
        <w:tc>
          <w:tcPr>
            <w:tcW w:w="607" w:type="dxa"/>
            <w:vMerge w:val="continue"/>
            <w:tcBorders>
              <w:bottom w:val="single" w:color="auto" w:sz="2" w:space="0"/>
            </w:tcBorders>
            <w:shd w:val="clear" w:color="auto" w:fill="D9D9D9"/>
            <w:vAlign w:val="center"/>
          </w:tcPr>
          <w:p w14:paraId="125009B0">
            <w:pPr>
              <w:widowControl/>
              <w:jc w:val="left"/>
              <w:rPr>
                <w:kern w:val="0"/>
                <w:sz w:val="18"/>
                <w:szCs w:val="18"/>
              </w:rPr>
            </w:pPr>
          </w:p>
        </w:tc>
        <w:tc>
          <w:tcPr>
            <w:tcW w:w="601" w:type="dxa"/>
            <w:vMerge w:val="continue"/>
            <w:tcBorders>
              <w:bottom w:val="single" w:color="auto" w:sz="2" w:space="0"/>
            </w:tcBorders>
            <w:vAlign w:val="center"/>
          </w:tcPr>
          <w:p w14:paraId="79F04EB5">
            <w:pPr>
              <w:jc w:val="left"/>
              <w:rPr>
                <w:kern w:val="0"/>
                <w:sz w:val="18"/>
                <w:szCs w:val="18"/>
              </w:rPr>
            </w:pPr>
          </w:p>
        </w:tc>
        <w:tc>
          <w:tcPr>
            <w:tcW w:w="573" w:type="dxa"/>
            <w:vMerge w:val="continue"/>
            <w:tcBorders>
              <w:bottom w:val="single" w:color="auto" w:sz="2" w:space="0"/>
            </w:tcBorders>
            <w:shd w:val="clear" w:color="auto" w:fill="D9D9D9"/>
            <w:vAlign w:val="center"/>
          </w:tcPr>
          <w:p w14:paraId="35529468">
            <w:pPr>
              <w:widowControl/>
              <w:jc w:val="left"/>
              <w:rPr>
                <w:kern w:val="0"/>
                <w:sz w:val="18"/>
                <w:szCs w:val="18"/>
              </w:rPr>
            </w:pPr>
          </w:p>
        </w:tc>
      </w:tr>
      <w:tr w14:paraId="64F3D77C">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604" w:type="dxa"/>
            <w:tcBorders>
              <w:top w:val="single" w:color="auto" w:sz="2" w:space="0"/>
              <w:bottom w:val="single" w:color="auto" w:sz="2" w:space="0"/>
            </w:tcBorders>
            <w:vAlign w:val="center"/>
          </w:tcPr>
          <w:p w14:paraId="4D34F6D4">
            <w:pPr>
              <w:widowControl/>
              <w:spacing w:line="240" w:lineRule="exact"/>
              <w:jc w:val="center"/>
              <w:textAlignment w:val="center"/>
              <w:rPr>
                <w:kern w:val="0"/>
                <w:sz w:val="18"/>
                <w:szCs w:val="18"/>
              </w:rPr>
            </w:pPr>
            <w:r>
              <w:rPr>
                <w:kern w:val="0"/>
                <w:sz w:val="18"/>
                <w:szCs w:val="18"/>
              </w:rPr>
              <w:t>甲</w:t>
            </w:r>
          </w:p>
        </w:tc>
        <w:tc>
          <w:tcPr>
            <w:tcW w:w="604" w:type="dxa"/>
            <w:tcBorders>
              <w:top w:val="single" w:color="auto" w:sz="2" w:space="0"/>
              <w:bottom w:val="single" w:color="auto" w:sz="2" w:space="0"/>
            </w:tcBorders>
            <w:vAlign w:val="center"/>
          </w:tcPr>
          <w:p w14:paraId="60668CE2">
            <w:pPr>
              <w:widowControl/>
              <w:spacing w:line="240" w:lineRule="exact"/>
              <w:jc w:val="center"/>
              <w:textAlignment w:val="center"/>
              <w:rPr>
                <w:kern w:val="0"/>
                <w:sz w:val="18"/>
                <w:szCs w:val="18"/>
              </w:rPr>
            </w:pPr>
            <w:r>
              <w:rPr>
                <w:kern w:val="0"/>
                <w:sz w:val="18"/>
                <w:szCs w:val="18"/>
              </w:rPr>
              <w:t>乙</w:t>
            </w:r>
          </w:p>
        </w:tc>
        <w:tc>
          <w:tcPr>
            <w:tcW w:w="602" w:type="dxa"/>
            <w:tcBorders>
              <w:top w:val="single" w:color="auto" w:sz="2" w:space="0"/>
              <w:bottom w:val="single" w:color="auto" w:sz="2" w:space="0"/>
            </w:tcBorders>
            <w:vAlign w:val="center"/>
          </w:tcPr>
          <w:p w14:paraId="18A659AD">
            <w:pPr>
              <w:widowControl/>
              <w:spacing w:line="240" w:lineRule="exact"/>
              <w:jc w:val="center"/>
              <w:textAlignment w:val="center"/>
              <w:rPr>
                <w:kern w:val="0"/>
                <w:sz w:val="18"/>
                <w:szCs w:val="18"/>
              </w:rPr>
            </w:pPr>
            <w:r>
              <w:rPr>
                <w:kern w:val="0"/>
                <w:sz w:val="18"/>
                <w:szCs w:val="18"/>
              </w:rPr>
              <w:t>丙</w:t>
            </w:r>
          </w:p>
        </w:tc>
        <w:tc>
          <w:tcPr>
            <w:tcW w:w="602" w:type="dxa"/>
            <w:tcBorders>
              <w:top w:val="single" w:color="auto" w:sz="2" w:space="0"/>
              <w:bottom w:val="single" w:color="auto" w:sz="2" w:space="0"/>
            </w:tcBorders>
            <w:vAlign w:val="center"/>
          </w:tcPr>
          <w:p w14:paraId="1B9DBF45">
            <w:pPr>
              <w:widowControl/>
              <w:spacing w:line="240" w:lineRule="exact"/>
              <w:jc w:val="center"/>
              <w:textAlignment w:val="center"/>
              <w:rPr>
                <w:kern w:val="0"/>
                <w:sz w:val="18"/>
                <w:szCs w:val="18"/>
              </w:rPr>
            </w:pPr>
            <w:r>
              <w:rPr>
                <w:kern w:val="0"/>
                <w:sz w:val="18"/>
                <w:szCs w:val="18"/>
              </w:rPr>
              <w:t>1</w:t>
            </w:r>
          </w:p>
        </w:tc>
        <w:tc>
          <w:tcPr>
            <w:tcW w:w="603" w:type="dxa"/>
            <w:tcBorders>
              <w:top w:val="single" w:color="auto" w:sz="2" w:space="0"/>
              <w:bottom w:val="single" w:color="auto" w:sz="2" w:space="0"/>
            </w:tcBorders>
            <w:vAlign w:val="center"/>
          </w:tcPr>
          <w:p w14:paraId="24DC7954">
            <w:pPr>
              <w:widowControl/>
              <w:spacing w:line="240" w:lineRule="exact"/>
              <w:jc w:val="center"/>
              <w:textAlignment w:val="center"/>
              <w:rPr>
                <w:kern w:val="0"/>
                <w:sz w:val="18"/>
                <w:szCs w:val="18"/>
              </w:rPr>
            </w:pPr>
            <w:r>
              <w:rPr>
                <w:kern w:val="0"/>
                <w:sz w:val="18"/>
                <w:szCs w:val="18"/>
              </w:rPr>
              <w:t>2</w:t>
            </w:r>
          </w:p>
        </w:tc>
        <w:tc>
          <w:tcPr>
            <w:tcW w:w="613" w:type="dxa"/>
            <w:tcBorders>
              <w:top w:val="single" w:color="auto" w:sz="2" w:space="0"/>
              <w:bottom w:val="single" w:color="auto" w:sz="2" w:space="0"/>
            </w:tcBorders>
            <w:vAlign w:val="center"/>
          </w:tcPr>
          <w:p w14:paraId="7C211B75">
            <w:pPr>
              <w:widowControl/>
              <w:spacing w:line="240" w:lineRule="exact"/>
              <w:jc w:val="center"/>
              <w:textAlignment w:val="center"/>
              <w:rPr>
                <w:kern w:val="0"/>
                <w:sz w:val="18"/>
                <w:szCs w:val="18"/>
              </w:rPr>
            </w:pPr>
            <w:r>
              <w:rPr>
                <w:kern w:val="0"/>
                <w:sz w:val="18"/>
                <w:szCs w:val="18"/>
              </w:rPr>
              <w:t>3</w:t>
            </w:r>
          </w:p>
        </w:tc>
        <w:tc>
          <w:tcPr>
            <w:tcW w:w="598" w:type="dxa"/>
            <w:tcBorders>
              <w:top w:val="single" w:color="auto" w:sz="2" w:space="0"/>
              <w:bottom w:val="single" w:color="auto" w:sz="2" w:space="0"/>
            </w:tcBorders>
            <w:shd w:val="clear" w:color="auto" w:fill="D9D9D9"/>
            <w:vAlign w:val="center"/>
          </w:tcPr>
          <w:p w14:paraId="72BB10C2">
            <w:pPr>
              <w:widowControl/>
              <w:spacing w:line="240" w:lineRule="exact"/>
              <w:jc w:val="center"/>
              <w:textAlignment w:val="center"/>
              <w:rPr>
                <w:kern w:val="0"/>
                <w:sz w:val="18"/>
                <w:szCs w:val="18"/>
              </w:rPr>
            </w:pPr>
            <w:r>
              <w:rPr>
                <w:kern w:val="0"/>
                <w:sz w:val="18"/>
                <w:szCs w:val="18"/>
              </w:rPr>
              <w:t>4</w:t>
            </w:r>
          </w:p>
        </w:tc>
        <w:tc>
          <w:tcPr>
            <w:tcW w:w="613" w:type="dxa"/>
            <w:tcBorders>
              <w:top w:val="single" w:color="auto" w:sz="2" w:space="0"/>
              <w:bottom w:val="single" w:color="auto" w:sz="2" w:space="0"/>
            </w:tcBorders>
            <w:shd w:val="clear" w:color="auto" w:fill="D9D9D9"/>
            <w:vAlign w:val="center"/>
          </w:tcPr>
          <w:p w14:paraId="1F1FFAB8">
            <w:pPr>
              <w:widowControl/>
              <w:spacing w:line="240" w:lineRule="exact"/>
              <w:jc w:val="center"/>
              <w:textAlignment w:val="center"/>
              <w:rPr>
                <w:kern w:val="0"/>
                <w:sz w:val="18"/>
                <w:szCs w:val="18"/>
              </w:rPr>
            </w:pPr>
            <w:r>
              <w:rPr>
                <w:kern w:val="0"/>
                <w:sz w:val="18"/>
                <w:szCs w:val="18"/>
              </w:rPr>
              <w:t>5</w:t>
            </w:r>
          </w:p>
        </w:tc>
        <w:tc>
          <w:tcPr>
            <w:tcW w:w="601" w:type="dxa"/>
            <w:tcBorders>
              <w:top w:val="single" w:color="auto" w:sz="2" w:space="0"/>
              <w:bottom w:val="single" w:color="auto" w:sz="2" w:space="0"/>
            </w:tcBorders>
            <w:vAlign w:val="center"/>
          </w:tcPr>
          <w:p w14:paraId="1DD40C37">
            <w:pPr>
              <w:widowControl/>
              <w:spacing w:line="240" w:lineRule="exact"/>
              <w:jc w:val="center"/>
              <w:textAlignment w:val="center"/>
              <w:rPr>
                <w:kern w:val="0"/>
                <w:sz w:val="18"/>
                <w:szCs w:val="18"/>
              </w:rPr>
            </w:pPr>
            <w:r>
              <w:rPr>
                <w:kern w:val="0"/>
                <w:sz w:val="18"/>
                <w:szCs w:val="18"/>
              </w:rPr>
              <w:t>6</w:t>
            </w:r>
          </w:p>
        </w:tc>
        <w:tc>
          <w:tcPr>
            <w:tcW w:w="0" w:type="dxa"/>
            <w:tcBorders>
              <w:top w:val="single" w:color="auto" w:sz="2" w:space="0"/>
              <w:bottom w:val="single" w:color="auto" w:sz="2" w:space="0"/>
            </w:tcBorders>
            <w:shd w:val="clear" w:color="auto" w:fill="D9D9D9"/>
            <w:vAlign w:val="center"/>
          </w:tcPr>
          <w:p w14:paraId="2744A2C4">
            <w:pPr>
              <w:widowControl/>
              <w:spacing w:line="240" w:lineRule="exact"/>
              <w:jc w:val="center"/>
              <w:textAlignment w:val="center"/>
              <w:rPr>
                <w:kern w:val="0"/>
                <w:sz w:val="18"/>
                <w:szCs w:val="18"/>
              </w:rPr>
            </w:pPr>
            <w:r>
              <w:rPr>
                <w:kern w:val="0"/>
                <w:sz w:val="18"/>
                <w:szCs w:val="18"/>
              </w:rPr>
              <w:t>7</w:t>
            </w:r>
          </w:p>
        </w:tc>
        <w:tc>
          <w:tcPr>
            <w:tcW w:w="601" w:type="dxa"/>
            <w:tcBorders>
              <w:top w:val="single" w:color="auto" w:sz="2" w:space="0"/>
              <w:bottom w:val="single" w:color="auto" w:sz="2" w:space="0"/>
            </w:tcBorders>
            <w:vAlign w:val="center"/>
          </w:tcPr>
          <w:p w14:paraId="11995EB0">
            <w:pPr>
              <w:widowControl/>
              <w:spacing w:line="240" w:lineRule="exact"/>
              <w:jc w:val="center"/>
              <w:textAlignment w:val="center"/>
              <w:rPr>
                <w:kern w:val="0"/>
                <w:sz w:val="18"/>
                <w:szCs w:val="18"/>
              </w:rPr>
            </w:pPr>
            <w:r>
              <w:rPr>
                <w:kern w:val="0"/>
                <w:sz w:val="18"/>
                <w:szCs w:val="18"/>
              </w:rPr>
              <w:t>8</w:t>
            </w:r>
          </w:p>
        </w:tc>
        <w:tc>
          <w:tcPr>
            <w:tcW w:w="609" w:type="dxa"/>
            <w:tcBorders>
              <w:top w:val="single" w:color="auto" w:sz="2" w:space="0"/>
              <w:bottom w:val="single" w:color="auto" w:sz="2" w:space="0"/>
            </w:tcBorders>
            <w:shd w:val="clear" w:color="auto" w:fill="D9D9D9"/>
            <w:vAlign w:val="center"/>
          </w:tcPr>
          <w:p w14:paraId="3ED627A4">
            <w:pPr>
              <w:widowControl/>
              <w:spacing w:line="240" w:lineRule="exact"/>
              <w:jc w:val="center"/>
              <w:textAlignment w:val="center"/>
              <w:rPr>
                <w:kern w:val="0"/>
                <w:sz w:val="18"/>
                <w:szCs w:val="18"/>
              </w:rPr>
            </w:pPr>
            <w:r>
              <w:rPr>
                <w:kern w:val="0"/>
                <w:sz w:val="18"/>
                <w:szCs w:val="18"/>
              </w:rPr>
              <w:t>9</w:t>
            </w:r>
          </w:p>
        </w:tc>
        <w:tc>
          <w:tcPr>
            <w:tcW w:w="601" w:type="dxa"/>
            <w:tcBorders>
              <w:top w:val="single" w:color="auto" w:sz="2" w:space="0"/>
              <w:bottom w:val="single" w:color="auto" w:sz="2" w:space="0"/>
            </w:tcBorders>
            <w:vAlign w:val="center"/>
          </w:tcPr>
          <w:p w14:paraId="20A2E7E3">
            <w:pPr>
              <w:widowControl/>
              <w:spacing w:line="240" w:lineRule="exact"/>
              <w:jc w:val="center"/>
              <w:textAlignment w:val="center"/>
              <w:rPr>
                <w:kern w:val="0"/>
                <w:sz w:val="18"/>
                <w:szCs w:val="18"/>
              </w:rPr>
            </w:pPr>
            <w:r>
              <w:rPr>
                <w:kern w:val="0"/>
                <w:sz w:val="18"/>
                <w:szCs w:val="18"/>
              </w:rPr>
              <w:t>10</w:t>
            </w:r>
          </w:p>
        </w:tc>
        <w:tc>
          <w:tcPr>
            <w:tcW w:w="607" w:type="dxa"/>
            <w:tcBorders>
              <w:top w:val="single" w:color="auto" w:sz="2" w:space="0"/>
              <w:bottom w:val="single" w:color="auto" w:sz="2" w:space="0"/>
            </w:tcBorders>
            <w:shd w:val="clear" w:color="auto" w:fill="D9D9D9"/>
            <w:vAlign w:val="center"/>
          </w:tcPr>
          <w:p w14:paraId="17682594">
            <w:pPr>
              <w:widowControl/>
              <w:spacing w:line="240" w:lineRule="exact"/>
              <w:jc w:val="center"/>
              <w:textAlignment w:val="center"/>
              <w:rPr>
                <w:kern w:val="0"/>
                <w:sz w:val="18"/>
                <w:szCs w:val="18"/>
              </w:rPr>
            </w:pPr>
            <w:r>
              <w:rPr>
                <w:kern w:val="0"/>
                <w:sz w:val="18"/>
                <w:szCs w:val="18"/>
              </w:rPr>
              <w:t>11</w:t>
            </w:r>
          </w:p>
        </w:tc>
        <w:tc>
          <w:tcPr>
            <w:tcW w:w="601" w:type="dxa"/>
            <w:tcBorders>
              <w:top w:val="single" w:color="auto" w:sz="2" w:space="0"/>
              <w:bottom w:val="single" w:color="auto" w:sz="2" w:space="0"/>
            </w:tcBorders>
            <w:vAlign w:val="center"/>
          </w:tcPr>
          <w:p w14:paraId="111CD7AC">
            <w:pPr>
              <w:widowControl/>
              <w:spacing w:line="240" w:lineRule="exact"/>
              <w:jc w:val="center"/>
              <w:textAlignment w:val="center"/>
              <w:rPr>
                <w:kern w:val="0"/>
                <w:sz w:val="18"/>
                <w:szCs w:val="18"/>
              </w:rPr>
            </w:pPr>
            <w:r>
              <w:rPr>
                <w:kern w:val="0"/>
                <w:sz w:val="18"/>
                <w:szCs w:val="18"/>
              </w:rPr>
              <w:t>12</w:t>
            </w:r>
          </w:p>
        </w:tc>
        <w:tc>
          <w:tcPr>
            <w:tcW w:w="573" w:type="dxa"/>
            <w:tcBorders>
              <w:top w:val="single" w:color="auto" w:sz="2" w:space="0"/>
              <w:bottom w:val="single" w:color="auto" w:sz="2" w:space="0"/>
            </w:tcBorders>
            <w:shd w:val="clear" w:color="auto" w:fill="D9D9D9"/>
            <w:vAlign w:val="center"/>
          </w:tcPr>
          <w:p w14:paraId="5814BD2D">
            <w:pPr>
              <w:widowControl/>
              <w:spacing w:line="240" w:lineRule="exact"/>
              <w:jc w:val="center"/>
              <w:textAlignment w:val="center"/>
              <w:rPr>
                <w:kern w:val="0"/>
                <w:sz w:val="18"/>
                <w:szCs w:val="18"/>
              </w:rPr>
            </w:pPr>
            <w:r>
              <w:rPr>
                <w:kern w:val="0"/>
                <w:sz w:val="18"/>
                <w:szCs w:val="18"/>
              </w:rPr>
              <w:t>13</w:t>
            </w:r>
          </w:p>
        </w:tc>
      </w:tr>
      <w:tr w14:paraId="3124ECD4">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604" w:type="dxa"/>
            <w:tcBorders>
              <w:top w:val="single" w:color="auto" w:sz="2" w:space="0"/>
              <w:bottom w:val="single" w:color="auto" w:sz="8" w:space="0"/>
            </w:tcBorders>
            <w:shd w:val="clear" w:color="auto" w:fill="auto"/>
            <w:vAlign w:val="center"/>
          </w:tcPr>
          <w:p w14:paraId="0018B7F9">
            <w:pPr>
              <w:widowControl/>
              <w:rPr>
                <w:kern w:val="0"/>
                <w:sz w:val="18"/>
                <w:szCs w:val="18"/>
              </w:rPr>
            </w:pPr>
            <w:r>
              <w:rPr>
                <w:kern w:val="0"/>
                <w:sz w:val="18"/>
                <w:szCs w:val="18"/>
              </w:rPr>
              <w:t>　</w:t>
            </w:r>
          </w:p>
        </w:tc>
        <w:tc>
          <w:tcPr>
            <w:tcW w:w="604" w:type="dxa"/>
            <w:tcBorders>
              <w:top w:val="single" w:color="auto" w:sz="2" w:space="0"/>
              <w:bottom w:val="single" w:color="auto" w:sz="8" w:space="0"/>
            </w:tcBorders>
            <w:shd w:val="clear" w:color="auto" w:fill="auto"/>
            <w:vAlign w:val="center"/>
          </w:tcPr>
          <w:p w14:paraId="7E53569C">
            <w:pPr>
              <w:widowControl/>
              <w:jc w:val="center"/>
              <w:rPr>
                <w:kern w:val="0"/>
                <w:sz w:val="18"/>
                <w:szCs w:val="18"/>
              </w:rPr>
            </w:pPr>
            <w:r>
              <w:rPr>
                <w:kern w:val="0"/>
                <w:sz w:val="18"/>
                <w:szCs w:val="18"/>
              </w:rPr>
              <w:t>　</w:t>
            </w:r>
          </w:p>
        </w:tc>
        <w:tc>
          <w:tcPr>
            <w:tcW w:w="602" w:type="dxa"/>
            <w:tcBorders>
              <w:top w:val="single" w:color="auto" w:sz="2" w:space="0"/>
              <w:bottom w:val="single" w:color="auto" w:sz="8" w:space="0"/>
            </w:tcBorders>
            <w:shd w:val="clear" w:color="auto" w:fill="auto"/>
            <w:vAlign w:val="center"/>
          </w:tcPr>
          <w:p w14:paraId="72E3C7A9">
            <w:pPr>
              <w:widowControl/>
              <w:jc w:val="center"/>
              <w:rPr>
                <w:kern w:val="0"/>
                <w:sz w:val="18"/>
                <w:szCs w:val="18"/>
              </w:rPr>
            </w:pPr>
            <w:r>
              <w:rPr>
                <w:kern w:val="0"/>
                <w:sz w:val="18"/>
                <w:szCs w:val="18"/>
              </w:rPr>
              <w:t>　</w:t>
            </w:r>
          </w:p>
        </w:tc>
        <w:tc>
          <w:tcPr>
            <w:tcW w:w="7829" w:type="dxa"/>
            <w:gridSpan w:val="13"/>
            <w:tcBorders>
              <w:top w:val="single" w:color="auto" w:sz="2" w:space="0"/>
              <w:bottom w:val="single" w:color="auto" w:sz="8" w:space="0"/>
            </w:tcBorders>
            <w:shd w:val="clear" w:color="auto" w:fill="auto"/>
            <w:vAlign w:val="center"/>
          </w:tcPr>
          <w:p w14:paraId="14640580">
            <w:pPr>
              <w:widowControl/>
              <w:jc w:val="center"/>
              <w:rPr>
                <w:kern w:val="0"/>
                <w:sz w:val="18"/>
                <w:szCs w:val="18"/>
              </w:rPr>
            </w:pPr>
            <w:r>
              <w:rPr>
                <w:kern w:val="0"/>
                <w:sz w:val="18"/>
                <w:szCs w:val="18"/>
              </w:rPr>
              <w:t>　</w:t>
            </w:r>
          </w:p>
        </w:tc>
      </w:tr>
    </w:tbl>
    <w:p w14:paraId="05ED1C11">
      <w:pPr>
        <w:spacing w:line="20" w:lineRule="exact"/>
        <w:jc w:val="center"/>
        <w:rPr>
          <w:bCs/>
          <w:kern w:val="0"/>
          <w:sz w:val="18"/>
          <w:szCs w:val="18"/>
        </w:rPr>
      </w:pPr>
    </w:p>
    <w:p w14:paraId="68F9BBB3">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431C6725">
      <w:pPr>
        <w:rPr>
          <w:sz w:val="18"/>
          <w:szCs w:val="18"/>
        </w:rPr>
      </w:pPr>
    </w:p>
    <w:p w14:paraId="62449182">
      <w:pPr>
        <w:spacing w:line="280" w:lineRule="exact"/>
        <w:ind w:left="1548" w:hanging="1548" w:hangingChars="860"/>
        <w:textAlignment w:val="center"/>
        <w:rPr>
          <w:rFonts w:hint="eastAsia" w:eastAsia="宋体"/>
          <w:sz w:val="18"/>
          <w:szCs w:val="18"/>
          <w:lang w:eastAsia="zh-CN"/>
        </w:rPr>
      </w:pPr>
      <w:r>
        <w:rPr>
          <w:sz w:val="18"/>
          <w:szCs w:val="18"/>
        </w:rPr>
        <w:t>说明：1.统计范围：</w:t>
      </w:r>
      <w:r>
        <w:rPr>
          <w:rFonts w:hint="eastAsia"/>
          <w:sz w:val="18"/>
          <w:szCs w:val="18"/>
        </w:rPr>
        <w:t>辖区内规模以上工业、有资质的建筑业、限额以上批发和零售业、限额以上住宿和餐饮业、</w:t>
      </w:r>
      <w:r>
        <w:rPr>
          <w:rFonts w:hint="eastAsia"/>
          <w:sz w:val="18"/>
          <w:szCs w:val="18"/>
          <w:lang w:eastAsia="zh-CN"/>
        </w:rPr>
        <w:t>有开发经营活动的房地产开发经营业</w:t>
      </w:r>
      <w:del w:id="133" w:author="kylin" w:date="2025-10-30T09:40:57Z">
        <w:r>
          <w:rPr>
            <w:rFonts w:hint="default"/>
            <w:sz w:val="18"/>
            <w:szCs w:val="18"/>
            <w:lang w:val="en-US"/>
          </w:rPr>
          <w:delText>和</w:delText>
        </w:r>
      </w:del>
      <w:ins w:id="134" w:author="kylin" w:date="2025-10-30T09:41:01Z">
        <w:r>
          <w:rPr>
            <w:rFonts w:hint="eastAsia"/>
            <w:sz w:val="18"/>
            <w:szCs w:val="18"/>
            <w:lang w:val="en-US" w:eastAsia="zh-CN"/>
          </w:rPr>
          <w:t>、</w:t>
        </w:r>
      </w:ins>
      <w:r>
        <w:rPr>
          <w:rFonts w:hint="eastAsia"/>
          <w:sz w:val="18"/>
          <w:szCs w:val="18"/>
        </w:rPr>
        <w:t>规模以上服务业等重点法人单位</w:t>
      </w:r>
      <w:r>
        <w:rPr>
          <w:rFonts w:hint="eastAsia" w:ascii="宋体"/>
          <w:sz w:val="18"/>
        </w:rPr>
        <w:t>和规模以上</w:t>
      </w:r>
      <w:r>
        <w:rPr>
          <w:rFonts w:hint="eastAsia" w:ascii="宋体"/>
          <w:sz w:val="18"/>
          <w:lang w:eastAsia="zh-CN"/>
        </w:rPr>
        <w:t>工业</w:t>
      </w:r>
      <w:r>
        <w:rPr>
          <w:rFonts w:hint="eastAsia" w:ascii="宋体"/>
          <w:sz w:val="18"/>
        </w:rPr>
        <w:t>个体经营户</w:t>
      </w:r>
      <w:r>
        <w:rPr>
          <w:sz w:val="18"/>
          <w:szCs w:val="18"/>
        </w:rPr>
        <w:t>。</w:t>
      </w:r>
    </w:p>
    <w:p w14:paraId="16228107">
      <w:pPr>
        <w:spacing w:line="280" w:lineRule="exact"/>
        <w:ind w:left="2088" w:leftChars="257" w:hanging="1548" w:hangingChars="860"/>
        <w:textAlignment w:val="center"/>
        <w:rPr>
          <w:sz w:val="18"/>
          <w:szCs w:val="18"/>
        </w:rPr>
      </w:pPr>
      <w:r>
        <w:rPr>
          <w:sz w:val="18"/>
          <w:szCs w:val="18"/>
        </w:rPr>
        <w:t>2.报送日期及方式：</w:t>
      </w:r>
      <w:r>
        <w:rPr>
          <w:rFonts w:hint="eastAsia" w:asciiTheme="majorEastAsia" w:hAnsiTheme="majorEastAsia" w:eastAsiaTheme="majorEastAsia" w:cstheme="majorEastAsia"/>
          <w:sz w:val="18"/>
          <w:szCs w:val="18"/>
        </w:rPr>
        <w:t>调查单位</w:t>
      </w:r>
      <w:r>
        <w:rPr>
          <w:rFonts w:hint="default" w:ascii="Times New Roman" w:hAnsi="Times New Roman" w:cs="Times New Roman" w:eastAsiaTheme="majorEastAsia"/>
          <w:sz w:val="18"/>
          <w:szCs w:val="18"/>
        </w:rPr>
        <w:t>2、</w:t>
      </w:r>
      <w:ins w:id="135" w:author="kylin" w:date="2025-10-17T17:06:15Z">
        <w:r>
          <w:rPr>
            <w:rFonts w:hint="eastAsia" w:cs="Times New Roman" w:eastAsiaTheme="majorEastAsia"/>
            <w:sz w:val="18"/>
            <w:szCs w:val="18"/>
            <w:lang w:val="en-US" w:eastAsia="zh-CN"/>
          </w:rPr>
          <w:t>10月月后6日，</w:t>
        </w:r>
      </w:ins>
      <w:ins w:id="136" w:author="kylin" w:date="2025-10-17T17:06:15Z">
        <w:r>
          <w:rPr>
            <w:rFonts w:hint="default" w:ascii="Times New Roman" w:hAnsi="Times New Roman" w:cs="Times New Roman" w:eastAsiaTheme="majorEastAsia"/>
            <w:sz w:val="18"/>
            <w:szCs w:val="18"/>
          </w:rPr>
          <w:t>6、7、8、11</w:t>
        </w:r>
      </w:ins>
      <w:ins w:id="137" w:author="kylin" w:date="2025-10-17T17:06:15Z">
        <w:r>
          <w:rPr>
            <w:rFonts w:hint="eastAsia" w:asciiTheme="majorEastAsia" w:hAnsiTheme="majorEastAsia" w:eastAsiaTheme="majorEastAsia" w:cstheme="majorEastAsia"/>
            <w:sz w:val="18"/>
            <w:szCs w:val="18"/>
          </w:rPr>
          <w:t>月月后</w:t>
        </w:r>
      </w:ins>
      <w:ins w:id="138" w:author="kylin" w:date="2025-10-17T17:06:15Z">
        <w:r>
          <w:rPr>
            <w:rFonts w:hint="default" w:ascii="Times New Roman" w:hAnsi="Times New Roman" w:cs="Times New Roman" w:eastAsiaTheme="majorEastAsia"/>
            <w:sz w:val="18"/>
            <w:szCs w:val="18"/>
          </w:rPr>
          <w:t>7</w:t>
        </w:r>
      </w:ins>
      <w:ins w:id="139" w:author="kylin" w:date="2025-10-17T17:06:15Z">
        <w:r>
          <w:rPr>
            <w:rFonts w:hint="eastAsia" w:asciiTheme="majorEastAsia" w:hAnsiTheme="majorEastAsia" w:eastAsiaTheme="majorEastAsia" w:cstheme="majorEastAsia"/>
            <w:sz w:val="18"/>
            <w:szCs w:val="18"/>
          </w:rPr>
          <w:t>日，</w:t>
        </w:r>
      </w:ins>
      <w:ins w:id="140" w:author="kylin" w:date="2025-10-17T17:06:15Z">
        <w:r>
          <w:rPr>
            <w:rFonts w:hint="default" w:ascii="Times New Roman" w:hAnsi="Times New Roman" w:eastAsia="7" w:cs="Times New Roman"/>
            <w:sz w:val="18"/>
            <w:szCs w:val="18"/>
          </w:rPr>
          <w:t>3</w:t>
        </w:r>
      </w:ins>
      <w:ins w:id="141" w:author="kylin" w:date="2025-10-17T17:06:15Z">
        <w:r>
          <w:rPr>
            <w:rFonts w:hint="eastAsia" w:eastAsia="7" w:cs="Times New Roman"/>
            <w:sz w:val="18"/>
            <w:szCs w:val="18"/>
            <w:lang w:eastAsia="zh-CN"/>
          </w:rPr>
          <w:t>、</w:t>
        </w:r>
      </w:ins>
      <w:ins w:id="142" w:author="kylin" w:date="2025-10-17T17:06:15Z">
        <w:r>
          <w:rPr>
            <w:rFonts w:hint="eastAsia" w:eastAsia="7" w:cs="Times New Roman"/>
            <w:sz w:val="18"/>
            <w:szCs w:val="18"/>
            <w:lang w:val="en-US" w:eastAsia="zh-CN"/>
          </w:rPr>
          <w:t>5、12</w:t>
        </w:r>
      </w:ins>
      <w:ins w:id="143" w:author="kylin" w:date="2025-10-17T17:06:15Z">
        <w:r>
          <w:rPr>
            <w:rFonts w:hint="eastAsia" w:asciiTheme="majorEastAsia" w:hAnsiTheme="majorEastAsia" w:eastAsiaTheme="majorEastAsia" w:cstheme="majorEastAsia"/>
            <w:sz w:val="18"/>
            <w:szCs w:val="18"/>
          </w:rPr>
          <w:t>月月后</w:t>
        </w:r>
      </w:ins>
      <w:ins w:id="144" w:author="kylin" w:date="2025-10-17T17:06:15Z">
        <w:r>
          <w:rPr>
            <w:rFonts w:hint="default" w:ascii="Times New Roman" w:hAnsi="Times New Roman" w:cs="Times New Roman" w:eastAsiaTheme="majorEastAsia"/>
            <w:b w:val="0"/>
            <w:bCs w:val="0"/>
            <w:sz w:val="18"/>
            <w:szCs w:val="18"/>
          </w:rPr>
          <w:t>8</w:t>
        </w:r>
      </w:ins>
      <w:ins w:id="145" w:author="kylin" w:date="2025-10-17T17:06:15Z">
        <w:r>
          <w:rPr>
            <w:rFonts w:hint="eastAsia" w:asciiTheme="majorEastAsia" w:hAnsiTheme="majorEastAsia" w:eastAsiaTheme="majorEastAsia" w:cstheme="majorEastAsia"/>
            <w:sz w:val="18"/>
            <w:szCs w:val="18"/>
          </w:rPr>
          <w:t>日，</w:t>
        </w:r>
      </w:ins>
      <w:ins w:id="146" w:author="kylin" w:date="2025-10-17T17:06:15Z">
        <w:r>
          <w:rPr>
            <w:rFonts w:hint="default" w:ascii="Times New Roman" w:hAnsi="Times New Roman" w:cs="Times New Roman" w:eastAsiaTheme="majorEastAsia"/>
            <w:sz w:val="18"/>
            <w:szCs w:val="18"/>
          </w:rPr>
          <w:t>4</w:t>
        </w:r>
      </w:ins>
      <w:ins w:id="147" w:author="kylin" w:date="2025-10-17T17:06:15Z">
        <w:r>
          <w:rPr>
            <w:rFonts w:hint="eastAsia" w:asciiTheme="majorEastAsia" w:hAnsiTheme="majorEastAsia" w:eastAsiaTheme="majorEastAsia" w:cstheme="majorEastAsia"/>
            <w:sz w:val="18"/>
            <w:szCs w:val="18"/>
          </w:rPr>
          <w:t>月月后</w:t>
        </w:r>
      </w:ins>
      <w:ins w:id="148" w:author="kylin" w:date="2025-10-17T17:06:15Z">
        <w:r>
          <w:rPr>
            <w:rFonts w:hint="default" w:ascii="Times New Roman)" w:hAnsi="Times New Roman)" w:cs="Times New Roman)" w:eastAsiaTheme="majorEastAsia"/>
            <w:sz w:val="18"/>
            <w:szCs w:val="18"/>
          </w:rPr>
          <w:t>9</w:t>
        </w:r>
      </w:ins>
      <w:ins w:id="149" w:author="kylin" w:date="2025-10-17T17:06:15Z">
        <w:r>
          <w:rPr>
            <w:rFonts w:hint="eastAsia" w:asciiTheme="majorEastAsia" w:hAnsiTheme="majorEastAsia" w:eastAsiaTheme="majorEastAsia" w:cstheme="majorEastAsia"/>
            <w:sz w:val="18"/>
            <w:szCs w:val="18"/>
          </w:rPr>
          <w:t>日，</w:t>
        </w:r>
      </w:ins>
      <w:ins w:id="150" w:author="kylin" w:date="2025-10-17T17:06:15Z">
        <w:r>
          <w:rPr>
            <w:rFonts w:hint="default" w:ascii="Times New Roman" w:hAnsi="Times New Roman" w:cs="Times New Roman" w:eastAsiaTheme="majorEastAsia"/>
            <w:sz w:val="18"/>
            <w:szCs w:val="18"/>
          </w:rPr>
          <w:t>9</w:t>
        </w:r>
      </w:ins>
      <w:ins w:id="151" w:author="kylin" w:date="2025-10-17T17:06:15Z">
        <w:r>
          <w:rPr>
            <w:rFonts w:hint="eastAsia" w:asciiTheme="majorEastAsia" w:hAnsiTheme="majorEastAsia" w:eastAsiaTheme="majorEastAsia" w:cstheme="majorEastAsia"/>
            <w:sz w:val="18"/>
            <w:szCs w:val="18"/>
          </w:rPr>
          <w:t>月月后</w:t>
        </w:r>
      </w:ins>
      <w:ins w:id="152" w:author="kylin" w:date="2025-10-17T17:06:15Z">
        <w:r>
          <w:rPr>
            <w:rFonts w:hint="default" w:ascii="Times New Roman" w:hAnsi="Times New Roman" w:cs="Times New Roman" w:eastAsiaTheme="majorEastAsia"/>
            <w:sz w:val="18"/>
            <w:szCs w:val="18"/>
          </w:rPr>
          <w:t>1</w:t>
        </w:r>
      </w:ins>
      <w:ins w:id="153" w:author="kylin" w:date="2025-10-17T17:06:15Z">
        <w:r>
          <w:rPr>
            <w:rFonts w:hint="eastAsia" w:cs="Times New Roman" w:eastAsiaTheme="majorEastAsia"/>
            <w:sz w:val="18"/>
            <w:szCs w:val="18"/>
            <w:lang w:val="en-US" w:eastAsia="zh-CN"/>
          </w:rPr>
          <w:t>2</w:t>
        </w:r>
      </w:ins>
      <w:ins w:id="154" w:author="kylin" w:date="2025-10-17T17:06:15Z">
        <w:r>
          <w:rPr>
            <w:rFonts w:hint="eastAsia" w:asciiTheme="majorEastAsia" w:hAnsiTheme="majorEastAsia" w:eastAsiaTheme="majorEastAsia" w:cstheme="majorEastAsia"/>
            <w:sz w:val="18"/>
            <w:szCs w:val="18"/>
          </w:rPr>
          <w:t>日</w:t>
        </w:r>
      </w:ins>
      <w:ins w:id="155" w:author="kylin" w:date="2025-10-17T17:06:15Z">
        <w:r>
          <w:rPr>
            <w:rFonts w:hint="default" w:ascii="Times New Roman" w:hAnsi="Times New Roman" w:cs="Times New Roman" w:eastAsiaTheme="majorEastAsia"/>
            <w:sz w:val="18"/>
            <w:szCs w:val="18"/>
          </w:rPr>
          <w:t>12：00</w:t>
        </w:r>
      </w:ins>
      <w:del w:id="156" w:author="kylin" w:date="2025-10-17T17:06:15Z">
        <w:r>
          <w:rPr>
            <w:rFonts w:hint="default" w:ascii="Times New Roman" w:hAnsi="Times New Roman" w:cs="Times New Roman" w:eastAsiaTheme="majorEastAsia"/>
            <w:sz w:val="18"/>
            <w:szCs w:val="18"/>
          </w:rPr>
          <w:delText>5、6、7、8、10、11</w:delText>
        </w:r>
      </w:del>
      <w:del w:id="157" w:author="kylin" w:date="2025-10-17T17:06:15Z">
        <w:r>
          <w:rPr>
            <w:rFonts w:hint="eastAsia" w:asciiTheme="majorEastAsia" w:hAnsiTheme="majorEastAsia" w:eastAsiaTheme="majorEastAsia" w:cstheme="majorEastAsia"/>
            <w:sz w:val="18"/>
            <w:szCs w:val="18"/>
          </w:rPr>
          <w:delText>月月后</w:delText>
        </w:r>
      </w:del>
      <w:del w:id="158" w:author="kylin" w:date="2025-10-17T17:06:15Z">
        <w:r>
          <w:rPr>
            <w:rFonts w:hint="default" w:ascii="Times New Roman" w:hAnsi="Times New Roman" w:cs="Times New Roman" w:eastAsiaTheme="majorEastAsia"/>
            <w:sz w:val="18"/>
            <w:szCs w:val="18"/>
          </w:rPr>
          <w:delText>7</w:delText>
        </w:r>
      </w:del>
      <w:del w:id="159" w:author="kylin" w:date="2025-10-17T17:06:15Z">
        <w:r>
          <w:rPr>
            <w:rFonts w:hint="eastAsia" w:asciiTheme="majorEastAsia" w:hAnsiTheme="majorEastAsia" w:eastAsiaTheme="majorEastAsia" w:cstheme="majorEastAsia"/>
            <w:sz w:val="18"/>
            <w:szCs w:val="18"/>
          </w:rPr>
          <w:delText>日，</w:delText>
        </w:r>
      </w:del>
      <w:del w:id="160" w:author="kylin" w:date="2025-10-17T17:06:15Z">
        <w:r>
          <w:rPr>
            <w:rFonts w:hint="default" w:ascii="Times New Roman" w:hAnsi="Times New Roman" w:eastAsia="7" w:cs="Times New Roman"/>
            <w:sz w:val="18"/>
            <w:szCs w:val="18"/>
          </w:rPr>
          <w:delText>3</w:delText>
        </w:r>
      </w:del>
      <w:del w:id="161" w:author="kylin" w:date="2025-10-17T17:06:15Z">
        <w:r>
          <w:rPr>
            <w:rFonts w:hint="eastAsia" w:asciiTheme="majorEastAsia" w:hAnsiTheme="majorEastAsia" w:eastAsiaTheme="majorEastAsia" w:cstheme="majorEastAsia"/>
            <w:sz w:val="18"/>
            <w:szCs w:val="18"/>
          </w:rPr>
          <w:delText>月月后</w:delText>
        </w:r>
      </w:del>
      <w:del w:id="162" w:author="kylin" w:date="2025-10-17T17:06:15Z">
        <w:r>
          <w:rPr>
            <w:rFonts w:hint="default" w:ascii="Times New Roman" w:hAnsi="Times New Roman" w:cs="Times New Roman" w:eastAsiaTheme="majorEastAsia"/>
            <w:b w:val="0"/>
            <w:bCs w:val="0"/>
            <w:sz w:val="18"/>
            <w:szCs w:val="18"/>
          </w:rPr>
          <w:delText>8</w:delText>
        </w:r>
      </w:del>
      <w:del w:id="163" w:author="kylin" w:date="2025-10-17T17:06:15Z">
        <w:r>
          <w:rPr>
            <w:rFonts w:hint="eastAsia" w:asciiTheme="majorEastAsia" w:hAnsiTheme="majorEastAsia" w:eastAsiaTheme="majorEastAsia" w:cstheme="majorEastAsia"/>
            <w:sz w:val="18"/>
            <w:szCs w:val="18"/>
          </w:rPr>
          <w:delText>日，</w:delText>
        </w:r>
      </w:del>
      <w:del w:id="164" w:author="kylin" w:date="2025-10-17T17:06:15Z">
        <w:r>
          <w:rPr>
            <w:rFonts w:hint="default" w:ascii="Times New Roman" w:hAnsi="Times New Roman" w:cs="Times New Roman" w:eastAsiaTheme="majorEastAsia"/>
            <w:sz w:val="18"/>
            <w:szCs w:val="18"/>
          </w:rPr>
          <w:delText>4、12</w:delText>
        </w:r>
      </w:del>
      <w:del w:id="165" w:author="kylin" w:date="2025-10-17T17:06:15Z">
        <w:r>
          <w:rPr>
            <w:rFonts w:hint="eastAsia" w:asciiTheme="majorEastAsia" w:hAnsiTheme="majorEastAsia" w:eastAsiaTheme="majorEastAsia" w:cstheme="majorEastAsia"/>
            <w:sz w:val="18"/>
            <w:szCs w:val="18"/>
          </w:rPr>
          <w:delText>月月后</w:delText>
        </w:r>
      </w:del>
      <w:del w:id="166" w:author="kylin" w:date="2025-10-17T17:06:15Z">
        <w:r>
          <w:rPr>
            <w:rFonts w:hint="default" w:ascii="Times New Roman)" w:hAnsi="Times New Roman)" w:cs="Times New Roman)" w:eastAsiaTheme="majorEastAsia"/>
            <w:sz w:val="18"/>
            <w:szCs w:val="18"/>
          </w:rPr>
          <w:delText>9</w:delText>
        </w:r>
      </w:del>
      <w:del w:id="167" w:author="kylin" w:date="2025-10-17T17:06:15Z">
        <w:r>
          <w:rPr>
            <w:rFonts w:hint="eastAsia" w:asciiTheme="majorEastAsia" w:hAnsiTheme="majorEastAsia" w:eastAsiaTheme="majorEastAsia" w:cstheme="majorEastAsia"/>
            <w:sz w:val="18"/>
            <w:szCs w:val="18"/>
          </w:rPr>
          <w:delText>日</w:delText>
        </w:r>
      </w:del>
      <w:del w:id="168" w:author="kylin" w:date="2025-10-17T17:06:15Z">
        <w:r>
          <w:rPr>
            <w:rFonts w:hint="default" w:ascii="Times New Roman" w:hAnsi="Times New Roman" w:cs="Times New Roman" w:eastAsiaTheme="majorEastAsia"/>
            <w:sz w:val="18"/>
            <w:szCs w:val="18"/>
          </w:rPr>
          <w:delText>12：00</w:delText>
        </w:r>
      </w:del>
      <w:del w:id="169" w:author="kylin" w:date="2025-10-17T17:06:15Z">
        <w:r>
          <w:rPr>
            <w:rFonts w:hint="eastAsia" w:asciiTheme="majorEastAsia" w:hAnsiTheme="majorEastAsia" w:eastAsiaTheme="majorEastAsia" w:cstheme="majorEastAsia"/>
            <w:sz w:val="18"/>
            <w:szCs w:val="18"/>
          </w:rPr>
          <w:delText>，</w:delText>
        </w:r>
      </w:del>
      <w:del w:id="170" w:author="kylin" w:date="2025-10-17T17:06:15Z">
        <w:r>
          <w:rPr>
            <w:rFonts w:hint="default" w:ascii="Times New Roman" w:hAnsi="Times New Roman" w:cs="Times New Roman" w:eastAsiaTheme="majorEastAsia"/>
            <w:sz w:val="18"/>
            <w:szCs w:val="18"/>
          </w:rPr>
          <w:delText>9</w:delText>
        </w:r>
      </w:del>
      <w:del w:id="171" w:author="kylin" w:date="2025-10-17T17:06:15Z">
        <w:r>
          <w:rPr>
            <w:rFonts w:hint="eastAsia" w:asciiTheme="majorEastAsia" w:hAnsiTheme="majorEastAsia" w:eastAsiaTheme="majorEastAsia" w:cstheme="majorEastAsia"/>
            <w:sz w:val="18"/>
            <w:szCs w:val="18"/>
          </w:rPr>
          <w:delText>月月后</w:delText>
        </w:r>
      </w:del>
      <w:del w:id="172" w:author="kylin" w:date="2025-10-17T17:06:15Z">
        <w:r>
          <w:rPr>
            <w:rFonts w:hint="default" w:ascii="Times New Roman" w:hAnsi="Times New Roman" w:cs="Times New Roman" w:eastAsiaTheme="majorEastAsia"/>
            <w:sz w:val="18"/>
            <w:szCs w:val="18"/>
          </w:rPr>
          <w:delText>11</w:delText>
        </w:r>
      </w:del>
      <w:del w:id="173" w:author="kylin" w:date="2025-10-17T17:06:15Z">
        <w:r>
          <w:rPr>
            <w:rFonts w:hint="eastAsia" w:asciiTheme="majorEastAsia" w:hAnsiTheme="majorEastAsia" w:eastAsiaTheme="majorEastAsia" w:cstheme="majorEastAsia"/>
            <w:sz w:val="18"/>
            <w:szCs w:val="18"/>
          </w:rPr>
          <w:delText>日</w:delText>
        </w:r>
      </w:del>
      <w:del w:id="174" w:author="kylin" w:date="2025-10-17T17:06:15Z">
        <w:r>
          <w:rPr>
            <w:rFonts w:hint="default" w:ascii="Times New Roman" w:hAnsi="Times New Roman" w:cs="Times New Roman" w:eastAsiaTheme="majorEastAsia"/>
            <w:sz w:val="18"/>
            <w:szCs w:val="18"/>
          </w:rPr>
          <w:delText>18:00</w:delText>
        </w:r>
      </w:del>
      <w:r>
        <w:rPr>
          <w:rFonts w:hint="eastAsia" w:asciiTheme="majorEastAsia" w:hAnsiTheme="majorEastAsia" w:eastAsiaTheme="majorEastAsia" w:cstheme="majorEastAsia"/>
          <w:sz w:val="18"/>
          <w:szCs w:val="18"/>
        </w:rPr>
        <w:t>前独立自行网上填报，</w:t>
      </w:r>
      <w:r>
        <w:rPr>
          <w:rFonts w:hint="default" w:ascii="Times New Roman" w:hAnsi="Times New Roman" w:cs="Times New Roman" w:eastAsiaTheme="majorEastAsia"/>
          <w:sz w:val="18"/>
          <w:szCs w:val="18"/>
        </w:rPr>
        <w:t>1</w:t>
      </w:r>
      <w:r>
        <w:rPr>
          <w:rFonts w:hint="eastAsia" w:asciiTheme="majorEastAsia" w:hAnsiTheme="majorEastAsia" w:eastAsiaTheme="majorEastAsia" w:cstheme="majorEastAsia"/>
          <w:sz w:val="18"/>
          <w:szCs w:val="18"/>
        </w:rPr>
        <w:t>月免报；省级统计机构</w:t>
      </w:r>
      <w:r>
        <w:rPr>
          <w:rFonts w:hint="default" w:ascii="Times New Roman" w:hAnsi="Times New Roman" w:cs="Times New Roman" w:eastAsiaTheme="majorEastAsia"/>
          <w:sz w:val="18"/>
          <w:szCs w:val="18"/>
        </w:rPr>
        <w:t>6、8、10、11</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10</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2、3、5、7</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11</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4</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13</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14</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12:00</w:t>
      </w:r>
      <w:r>
        <w:rPr>
          <w:rFonts w:hint="eastAsia" w:asciiTheme="majorEastAsia" w:hAnsiTheme="majorEastAsia" w:eastAsiaTheme="majorEastAsia" w:cstheme="majorEastAsia"/>
          <w:sz w:val="18"/>
          <w:szCs w:val="18"/>
        </w:rPr>
        <w:t>前完成数据审核、验收、上报。</w:t>
      </w:r>
      <w:bookmarkStart w:id="0" w:name="RANGE!A1:I13"/>
    </w:p>
    <w:p w14:paraId="38926299">
      <w:pPr>
        <w:spacing w:line="280" w:lineRule="exact"/>
        <w:ind w:left="2160" w:leftChars="257" w:hanging="1620" w:hangingChars="900"/>
        <w:textAlignment w:val="center"/>
        <w:rPr>
          <w:bCs/>
          <w:kern w:val="0"/>
          <w:sz w:val="18"/>
          <w:szCs w:val="18"/>
        </w:rPr>
      </w:pPr>
      <w:r>
        <w:rPr>
          <w:bCs/>
          <w:kern w:val="0"/>
          <w:sz w:val="18"/>
          <w:szCs w:val="18"/>
        </w:rPr>
        <w:t>3.</w:t>
      </w:r>
      <w:r>
        <w:rPr>
          <w:sz w:val="18"/>
          <w:szCs w:val="18"/>
        </w:rPr>
        <w:t>本表甲栏下按《能源生产、销售与库存目录》填报。</w:t>
      </w:r>
    </w:p>
    <w:p w14:paraId="420C5FC2">
      <w:pPr>
        <w:tabs>
          <w:tab w:val="left" w:pos="5430"/>
        </w:tabs>
        <w:adjustRightInd w:val="0"/>
        <w:spacing w:line="280" w:lineRule="exact"/>
        <w:ind w:left="650" w:leftChars="250" w:hanging="125" w:hangingChars="70"/>
        <w:textAlignment w:val="center"/>
        <w:rPr>
          <w:rFonts w:hint="eastAsia"/>
          <w:sz w:val="18"/>
          <w:szCs w:val="18"/>
        </w:rPr>
      </w:pPr>
      <w:r>
        <w:rPr>
          <w:bCs/>
          <w:kern w:val="0"/>
          <w:sz w:val="18"/>
          <w:szCs w:val="18"/>
        </w:rPr>
        <w:t>4.</w:t>
      </w:r>
      <w:r>
        <w:rPr>
          <w:rFonts w:ascii="宋体" w:hAnsi="宋体"/>
          <w:sz w:val="18"/>
          <w:szCs w:val="18"/>
        </w:rPr>
        <w:t>本</w:t>
      </w:r>
      <w:r>
        <w:rPr>
          <w:rFonts w:hint="eastAsia" w:ascii="宋体" w:hAnsi="宋体"/>
          <w:sz w:val="18"/>
          <w:szCs w:val="18"/>
        </w:rPr>
        <w:t>表中</w:t>
      </w:r>
      <w:r>
        <w:rPr>
          <w:rFonts w:hint="eastAsia" w:ascii="宋体" w:hAnsi="宋体"/>
          <w:sz w:val="18"/>
          <w:szCs w:val="18"/>
          <w:lang w:eastAsia="zh-CN"/>
        </w:rPr>
        <w:t>“</w:t>
      </w:r>
      <w:r>
        <w:rPr>
          <w:rFonts w:hint="eastAsia" w:ascii="宋体" w:hAnsi="宋体"/>
          <w:sz w:val="18"/>
          <w:szCs w:val="18"/>
        </w:rPr>
        <w:t>上年同期</w:t>
      </w:r>
      <w:r>
        <w:rPr>
          <w:rFonts w:hint="eastAsia" w:ascii="宋体" w:hAnsi="宋体"/>
          <w:sz w:val="18"/>
          <w:szCs w:val="18"/>
          <w:lang w:eastAsia="zh-CN"/>
        </w:rPr>
        <w:t>”</w:t>
      </w:r>
      <w:r>
        <w:rPr>
          <w:rFonts w:hint="eastAsia" w:ascii="宋体" w:hAnsi="宋体"/>
          <w:sz w:val="18"/>
          <w:szCs w:val="18"/>
        </w:rPr>
        <w:t>数据统一由国家统计局在数据处理软件中复制；本</w:t>
      </w:r>
      <w:r>
        <w:rPr>
          <w:rFonts w:hint="eastAsia"/>
          <w:sz w:val="18"/>
          <w:szCs w:val="18"/>
        </w:rPr>
        <w:t>年新增的调查单位自行填报</w:t>
      </w:r>
      <w:r>
        <w:rPr>
          <w:rFonts w:hint="eastAsia" w:ascii="宋体" w:hAnsi="宋体"/>
          <w:sz w:val="18"/>
          <w:szCs w:val="18"/>
          <w:lang w:eastAsia="zh-CN"/>
        </w:rPr>
        <w:t>“</w:t>
      </w:r>
      <w:r>
        <w:rPr>
          <w:rFonts w:hint="eastAsia" w:ascii="宋体" w:hAnsi="宋体"/>
          <w:sz w:val="18"/>
          <w:szCs w:val="18"/>
        </w:rPr>
        <w:t>上年同期</w:t>
      </w:r>
      <w:r>
        <w:rPr>
          <w:rFonts w:hint="eastAsia" w:ascii="宋体" w:hAnsi="宋体"/>
          <w:sz w:val="18"/>
          <w:szCs w:val="18"/>
          <w:lang w:eastAsia="zh-CN"/>
        </w:rPr>
        <w:t>”</w:t>
      </w:r>
      <w:r>
        <w:rPr>
          <w:rFonts w:hint="eastAsia"/>
          <w:sz w:val="18"/>
          <w:szCs w:val="18"/>
        </w:rPr>
        <w:t>数据；涉及兼并、重组等情况的企业，经国家统计局批准后，调查单位可调整同期数；本年新增指标的同期数由调查单位自行填报。</w:t>
      </w:r>
    </w:p>
    <w:p w14:paraId="2793EEA6">
      <w:pPr>
        <w:tabs>
          <w:tab w:val="left" w:pos="5430"/>
        </w:tabs>
        <w:adjustRightInd w:val="0"/>
        <w:spacing w:line="280" w:lineRule="exact"/>
        <w:ind w:left="650" w:leftChars="250" w:hanging="125" w:hangingChars="70"/>
        <w:textAlignment w:val="center"/>
        <w:rPr>
          <w:rFonts w:hint="eastAsia"/>
          <w:sz w:val="18"/>
          <w:szCs w:val="18"/>
          <w:lang w:val="en-US" w:eastAsia="zh-CN"/>
        </w:rPr>
      </w:pPr>
      <w:r>
        <w:rPr>
          <w:rFonts w:hint="eastAsia"/>
          <w:sz w:val="18"/>
          <w:szCs w:val="18"/>
          <w:lang w:val="en-US" w:eastAsia="zh-CN"/>
        </w:rPr>
        <w:t>5.几种能源产品</w:t>
      </w:r>
      <w:r>
        <w:rPr>
          <w:sz w:val="18"/>
          <w:szCs w:val="18"/>
        </w:rPr>
        <w:t>重量单位与容积单位的换算关系</w:t>
      </w:r>
      <w:r>
        <w:rPr>
          <w:rFonts w:hint="eastAsia"/>
          <w:sz w:val="18"/>
          <w:szCs w:val="18"/>
          <w:lang w:val="en-US" w:eastAsia="zh-CN"/>
        </w:rPr>
        <w:t>：</w:t>
      </w:r>
    </w:p>
    <w:p w14:paraId="5D661772">
      <w:pPr>
        <w:tabs>
          <w:tab w:val="left" w:pos="5430"/>
        </w:tabs>
        <w:adjustRightInd w:val="0"/>
        <w:spacing w:line="280" w:lineRule="exact"/>
        <w:ind w:left="0" w:leftChars="0" w:firstLine="666" w:firstLineChars="370"/>
        <w:textAlignment w:val="center"/>
        <w:rPr>
          <w:rFonts w:hint="eastAsia"/>
          <w:sz w:val="18"/>
          <w:szCs w:val="18"/>
          <w:lang w:val="en-US" w:eastAsia="zh-CN"/>
        </w:rPr>
      </w:pPr>
      <w:r>
        <w:rPr>
          <w:rFonts w:hint="eastAsia"/>
          <w:sz w:val="18"/>
          <w:szCs w:val="18"/>
          <w:lang w:val="en-US" w:eastAsia="zh-CN"/>
        </w:rPr>
        <w:t>(1)氢  气：1立方米</w:t>
      </w:r>
      <w:r>
        <w:rPr>
          <w:rFonts w:hint="default"/>
          <w:sz w:val="18"/>
          <w:szCs w:val="18"/>
          <w:lang w:val="en" w:eastAsia="zh-CN"/>
        </w:rPr>
        <w:t>≈</w:t>
      </w:r>
      <w:r>
        <w:rPr>
          <w:rFonts w:hint="eastAsia"/>
          <w:sz w:val="18"/>
          <w:szCs w:val="18"/>
          <w:lang w:val="en-US" w:eastAsia="zh-CN"/>
        </w:rPr>
        <w:t>0.0899千克，1千克</w:t>
      </w:r>
      <w:r>
        <w:rPr>
          <w:rFonts w:hint="default"/>
          <w:sz w:val="18"/>
          <w:szCs w:val="18"/>
          <w:lang w:val="en" w:eastAsia="zh-CN"/>
        </w:rPr>
        <w:t>≈</w:t>
      </w:r>
      <w:r>
        <w:rPr>
          <w:rFonts w:hint="eastAsia"/>
          <w:sz w:val="18"/>
          <w:szCs w:val="18"/>
          <w:lang w:val="en-US" w:eastAsia="zh-CN"/>
        </w:rPr>
        <w:t>11.1235立方米</w:t>
      </w:r>
    </w:p>
    <w:p w14:paraId="5D8C88DD">
      <w:pPr>
        <w:tabs>
          <w:tab w:val="left" w:pos="5430"/>
        </w:tabs>
        <w:adjustRightInd w:val="0"/>
        <w:spacing w:line="280" w:lineRule="exact"/>
        <w:ind w:left="0" w:leftChars="0" w:firstLine="666" w:firstLineChars="370"/>
        <w:textAlignment w:val="center"/>
        <w:rPr>
          <w:rFonts w:hint="eastAsia"/>
          <w:sz w:val="18"/>
          <w:szCs w:val="18"/>
          <w:lang w:val="en-US" w:eastAsia="zh-CN"/>
        </w:rPr>
      </w:pPr>
      <w:r>
        <w:rPr>
          <w:rFonts w:hint="eastAsia"/>
          <w:sz w:val="18"/>
          <w:szCs w:val="18"/>
          <w:lang w:val="en-US" w:eastAsia="zh-CN"/>
        </w:rPr>
        <w:t>(2)汽  油：1升</w:t>
      </w:r>
      <w:r>
        <w:rPr>
          <w:rFonts w:hint="default"/>
          <w:sz w:val="18"/>
          <w:szCs w:val="18"/>
          <w:lang w:val="en" w:eastAsia="zh-CN"/>
        </w:rPr>
        <w:t>≈</w:t>
      </w:r>
      <w:r>
        <w:rPr>
          <w:rFonts w:hint="eastAsia"/>
          <w:sz w:val="18"/>
          <w:szCs w:val="18"/>
          <w:lang w:val="en-US" w:eastAsia="zh-CN"/>
        </w:rPr>
        <w:t>0.73千克，1千克</w:t>
      </w:r>
      <w:r>
        <w:rPr>
          <w:rFonts w:hint="default"/>
          <w:sz w:val="18"/>
          <w:szCs w:val="18"/>
          <w:lang w:val="en" w:eastAsia="zh-CN"/>
        </w:rPr>
        <w:t>≈</w:t>
      </w:r>
      <w:r>
        <w:rPr>
          <w:rFonts w:hint="eastAsia"/>
          <w:sz w:val="18"/>
          <w:szCs w:val="18"/>
          <w:lang w:val="en-US" w:eastAsia="zh-CN"/>
        </w:rPr>
        <w:t>1.3699升</w:t>
      </w:r>
    </w:p>
    <w:p w14:paraId="704B3D6A">
      <w:pPr>
        <w:tabs>
          <w:tab w:val="left" w:pos="5430"/>
        </w:tabs>
        <w:adjustRightInd w:val="0"/>
        <w:spacing w:line="280" w:lineRule="exact"/>
        <w:ind w:left="0" w:leftChars="0" w:firstLine="666" w:firstLineChars="370"/>
        <w:textAlignment w:val="center"/>
        <w:rPr>
          <w:rFonts w:hint="eastAsia"/>
          <w:sz w:val="18"/>
          <w:szCs w:val="18"/>
          <w:lang w:val="en-US" w:eastAsia="zh-CN"/>
        </w:rPr>
      </w:pPr>
      <w:r>
        <w:rPr>
          <w:rFonts w:hint="eastAsia"/>
          <w:sz w:val="18"/>
          <w:szCs w:val="18"/>
          <w:lang w:val="en-US" w:eastAsia="zh-CN"/>
        </w:rPr>
        <w:t>(3)重柴油：1升</w:t>
      </w:r>
      <w:r>
        <w:rPr>
          <w:rFonts w:hint="default"/>
          <w:sz w:val="18"/>
          <w:szCs w:val="18"/>
          <w:lang w:val="en" w:eastAsia="zh-CN"/>
        </w:rPr>
        <w:t>≈</w:t>
      </w:r>
      <w:r>
        <w:rPr>
          <w:rFonts w:hint="eastAsia"/>
          <w:sz w:val="18"/>
          <w:szCs w:val="18"/>
          <w:lang w:val="en-US" w:eastAsia="zh-CN"/>
        </w:rPr>
        <w:t>0.92千克，1千克</w:t>
      </w:r>
      <w:r>
        <w:rPr>
          <w:rFonts w:hint="default"/>
          <w:sz w:val="18"/>
          <w:szCs w:val="18"/>
          <w:lang w:val="en" w:eastAsia="zh-CN"/>
        </w:rPr>
        <w:t>≈</w:t>
      </w:r>
      <w:r>
        <w:rPr>
          <w:rFonts w:hint="eastAsia"/>
          <w:sz w:val="18"/>
          <w:szCs w:val="18"/>
          <w:lang w:val="en-US" w:eastAsia="zh-CN"/>
        </w:rPr>
        <w:t>1.0870升</w:t>
      </w:r>
    </w:p>
    <w:p w14:paraId="18303792">
      <w:pPr>
        <w:tabs>
          <w:tab w:val="left" w:pos="5430"/>
        </w:tabs>
        <w:adjustRightInd w:val="0"/>
        <w:spacing w:line="280" w:lineRule="exact"/>
        <w:ind w:left="0" w:leftChars="0" w:firstLine="666" w:firstLineChars="370"/>
        <w:textAlignment w:val="center"/>
        <w:rPr>
          <w:rFonts w:hint="eastAsia"/>
          <w:sz w:val="18"/>
          <w:szCs w:val="18"/>
          <w:lang w:val="en-US" w:eastAsia="zh-CN"/>
        </w:rPr>
      </w:pPr>
      <w:r>
        <w:rPr>
          <w:rFonts w:hint="eastAsia"/>
          <w:sz w:val="18"/>
          <w:szCs w:val="18"/>
          <w:lang w:val="en-US" w:eastAsia="zh-CN"/>
        </w:rPr>
        <w:t>(4)轻柴油：1升</w:t>
      </w:r>
      <w:r>
        <w:rPr>
          <w:rFonts w:hint="default"/>
          <w:sz w:val="18"/>
          <w:szCs w:val="18"/>
          <w:lang w:val="en" w:eastAsia="zh-CN"/>
        </w:rPr>
        <w:t>≈</w:t>
      </w:r>
      <w:r>
        <w:rPr>
          <w:rFonts w:hint="eastAsia"/>
          <w:sz w:val="18"/>
          <w:szCs w:val="18"/>
          <w:lang w:val="en-US" w:eastAsia="zh-CN"/>
        </w:rPr>
        <w:t>0.86千克，1千克</w:t>
      </w:r>
      <w:r>
        <w:rPr>
          <w:rFonts w:hint="default"/>
          <w:sz w:val="18"/>
          <w:szCs w:val="18"/>
          <w:lang w:val="en" w:eastAsia="zh-CN"/>
        </w:rPr>
        <w:t>≈</w:t>
      </w:r>
      <w:r>
        <w:rPr>
          <w:rFonts w:hint="eastAsia"/>
          <w:sz w:val="18"/>
          <w:szCs w:val="18"/>
          <w:lang w:val="en-US" w:eastAsia="zh-CN"/>
        </w:rPr>
        <w:t>1.1628升</w:t>
      </w:r>
    </w:p>
    <w:p w14:paraId="001E9D0E">
      <w:pPr>
        <w:tabs>
          <w:tab w:val="left" w:pos="5430"/>
        </w:tabs>
        <w:adjustRightInd w:val="0"/>
        <w:spacing w:line="280" w:lineRule="exact"/>
        <w:ind w:left="0" w:leftChars="0" w:firstLine="666" w:firstLineChars="370"/>
        <w:textAlignment w:val="center"/>
        <w:rPr>
          <w:rFonts w:hint="eastAsia"/>
          <w:sz w:val="18"/>
          <w:szCs w:val="18"/>
          <w:lang w:val="en-US" w:eastAsia="zh-CN"/>
        </w:rPr>
      </w:pPr>
      <w:r>
        <w:rPr>
          <w:rFonts w:hint="eastAsia"/>
          <w:sz w:val="18"/>
          <w:szCs w:val="18"/>
          <w:lang w:val="en-US" w:eastAsia="zh-CN"/>
        </w:rPr>
        <w:t>(5)煤  油：1升</w:t>
      </w:r>
      <w:r>
        <w:rPr>
          <w:rFonts w:hint="default"/>
          <w:sz w:val="18"/>
          <w:szCs w:val="18"/>
          <w:lang w:val="en" w:eastAsia="zh-CN"/>
        </w:rPr>
        <w:t>≈</w:t>
      </w:r>
      <w:r>
        <w:rPr>
          <w:rFonts w:hint="eastAsia"/>
          <w:sz w:val="18"/>
          <w:szCs w:val="18"/>
          <w:lang w:val="en-US" w:eastAsia="zh-CN"/>
        </w:rPr>
        <w:t>0.82千克，1千克</w:t>
      </w:r>
      <w:r>
        <w:rPr>
          <w:rFonts w:hint="default"/>
          <w:sz w:val="18"/>
          <w:szCs w:val="18"/>
          <w:lang w:val="en" w:eastAsia="zh-CN"/>
        </w:rPr>
        <w:t>≈</w:t>
      </w:r>
      <w:r>
        <w:rPr>
          <w:rFonts w:hint="eastAsia"/>
          <w:sz w:val="18"/>
          <w:szCs w:val="18"/>
          <w:lang w:val="en-US" w:eastAsia="zh-CN"/>
        </w:rPr>
        <w:t>1.2195升</w:t>
      </w:r>
    </w:p>
    <w:p w14:paraId="1C7F6971">
      <w:pPr>
        <w:tabs>
          <w:tab w:val="left" w:pos="5430"/>
        </w:tabs>
        <w:adjustRightInd w:val="0"/>
        <w:spacing w:line="280" w:lineRule="exact"/>
        <w:ind w:left="0" w:leftChars="0" w:firstLine="666" w:firstLineChars="370"/>
        <w:textAlignment w:val="center"/>
        <w:rPr>
          <w:rFonts w:hint="default" w:eastAsia="宋体"/>
          <w:sz w:val="18"/>
          <w:szCs w:val="18"/>
          <w:lang w:val="en-US" w:eastAsia="zh-CN"/>
        </w:rPr>
      </w:pPr>
      <w:r>
        <w:rPr>
          <w:rFonts w:hint="eastAsia"/>
          <w:sz w:val="18"/>
          <w:szCs w:val="18"/>
          <w:lang w:val="en-US" w:eastAsia="zh-CN"/>
        </w:rPr>
        <w:t>(6)燃料油：1升</w:t>
      </w:r>
      <w:r>
        <w:rPr>
          <w:rFonts w:hint="default"/>
          <w:sz w:val="18"/>
          <w:szCs w:val="18"/>
          <w:lang w:val="en" w:eastAsia="zh-CN"/>
        </w:rPr>
        <w:t>≈</w:t>
      </w:r>
      <w:r>
        <w:rPr>
          <w:rFonts w:hint="eastAsia"/>
          <w:sz w:val="18"/>
          <w:szCs w:val="18"/>
          <w:lang w:val="en-US" w:eastAsia="zh-CN"/>
        </w:rPr>
        <w:t>0.91千克，1千克</w:t>
      </w:r>
      <w:r>
        <w:rPr>
          <w:rFonts w:hint="default"/>
          <w:sz w:val="18"/>
          <w:szCs w:val="18"/>
          <w:lang w:val="en" w:eastAsia="zh-CN"/>
        </w:rPr>
        <w:t>≈</w:t>
      </w:r>
      <w:r>
        <w:rPr>
          <w:rFonts w:hint="eastAsia"/>
          <w:sz w:val="18"/>
          <w:szCs w:val="18"/>
          <w:lang w:val="en-US" w:eastAsia="zh-CN"/>
        </w:rPr>
        <w:t>1.0990升</w:t>
      </w:r>
    </w:p>
    <w:p w14:paraId="1F0953D4">
      <w:pPr>
        <w:spacing w:line="240" w:lineRule="exact"/>
        <w:ind w:left="2430" w:leftChars="257" w:hanging="1890" w:hangingChars="900"/>
      </w:pPr>
    </w:p>
    <w:p w14:paraId="77AC042F">
      <w:pPr>
        <w:snapToGrid w:val="0"/>
        <w:spacing w:before="287" w:beforeLines="100" w:after="144" w:afterLines="50"/>
        <w:jc w:val="center"/>
        <w:outlineLvl w:val="2"/>
        <w:rPr>
          <w:sz w:val="32"/>
        </w:rPr>
      </w:pPr>
      <w:r>
        <w:rPr>
          <w:rFonts w:eastAsia="仿宋_GB2312"/>
          <w:sz w:val="30"/>
          <w:szCs w:val="30"/>
        </w:rPr>
        <w:br w:type="page"/>
      </w:r>
      <w:bookmarkEnd w:id="0"/>
      <w:r>
        <w:rPr>
          <w:sz w:val="32"/>
        </w:rPr>
        <w:t>重点能源商品经销情况</w:t>
      </w:r>
    </w:p>
    <w:tbl>
      <w:tblPr>
        <w:tblStyle w:val="20"/>
        <w:tblW w:w="9794" w:type="dxa"/>
        <w:jc w:val="center"/>
        <w:tblLayout w:type="fixed"/>
        <w:tblCellMar>
          <w:top w:w="0" w:type="dxa"/>
          <w:left w:w="108" w:type="dxa"/>
          <w:bottom w:w="0" w:type="dxa"/>
          <w:right w:w="108" w:type="dxa"/>
        </w:tblCellMar>
      </w:tblPr>
      <w:tblGrid>
        <w:gridCol w:w="1204"/>
        <w:gridCol w:w="908"/>
        <w:gridCol w:w="1459"/>
        <w:gridCol w:w="160"/>
        <w:gridCol w:w="226"/>
        <w:gridCol w:w="850"/>
        <w:gridCol w:w="2028"/>
        <w:gridCol w:w="879"/>
        <w:gridCol w:w="2080"/>
      </w:tblGrid>
      <w:tr w14:paraId="1F928B8E">
        <w:tblPrEx>
          <w:tblCellMar>
            <w:top w:w="0" w:type="dxa"/>
            <w:left w:w="108" w:type="dxa"/>
            <w:bottom w:w="0" w:type="dxa"/>
            <w:right w:w="108" w:type="dxa"/>
          </w:tblCellMar>
        </w:tblPrEx>
        <w:trPr>
          <w:jc w:val="center"/>
        </w:trPr>
        <w:tc>
          <w:tcPr>
            <w:tcW w:w="614" w:type="pct"/>
            <w:tcBorders>
              <w:top w:val="nil"/>
              <w:left w:val="nil"/>
              <w:bottom w:val="nil"/>
              <w:right w:val="nil"/>
            </w:tcBorders>
            <w:shd w:val="clear" w:color="auto" w:fill="auto"/>
            <w:noWrap/>
            <w:tcMar>
              <w:left w:w="28" w:type="dxa"/>
              <w:right w:w="28" w:type="dxa"/>
            </w:tcMar>
            <w:vAlign w:val="center"/>
          </w:tcPr>
          <w:p w14:paraId="602F0009">
            <w:pPr>
              <w:widowControl/>
              <w:adjustRightInd w:val="0"/>
              <w:snapToGrid w:val="0"/>
              <w:spacing w:line="240" w:lineRule="atLeast"/>
              <w:jc w:val="left"/>
              <w:rPr>
                <w:kern w:val="0"/>
                <w:sz w:val="18"/>
                <w:szCs w:val="18"/>
              </w:rPr>
            </w:pPr>
          </w:p>
        </w:tc>
        <w:tc>
          <w:tcPr>
            <w:tcW w:w="463" w:type="pct"/>
            <w:tcBorders>
              <w:top w:val="nil"/>
              <w:left w:val="nil"/>
              <w:bottom w:val="nil"/>
              <w:right w:val="nil"/>
            </w:tcBorders>
            <w:shd w:val="clear" w:color="auto" w:fill="auto"/>
            <w:noWrap/>
            <w:tcMar>
              <w:left w:w="28" w:type="dxa"/>
              <w:right w:w="28" w:type="dxa"/>
            </w:tcMar>
            <w:vAlign w:val="center"/>
          </w:tcPr>
          <w:p w14:paraId="57A7A411">
            <w:pPr>
              <w:widowControl/>
              <w:adjustRightInd w:val="0"/>
              <w:snapToGrid w:val="0"/>
              <w:spacing w:line="240" w:lineRule="atLeast"/>
              <w:jc w:val="left"/>
              <w:rPr>
                <w:kern w:val="0"/>
                <w:sz w:val="18"/>
                <w:szCs w:val="18"/>
              </w:rPr>
            </w:pPr>
          </w:p>
        </w:tc>
        <w:tc>
          <w:tcPr>
            <w:tcW w:w="744" w:type="pct"/>
            <w:tcBorders>
              <w:top w:val="nil"/>
              <w:left w:val="nil"/>
              <w:bottom w:val="nil"/>
              <w:right w:val="nil"/>
            </w:tcBorders>
            <w:shd w:val="clear" w:color="auto" w:fill="auto"/>
            <w:tcMar>
              <w:left w:w="28" w:type="dxa"/>
              <w:right w:w="28" w:type="dxa"/>
            </w:tcMar>
            <w:vAlign w:val="center"/>
          </w:tcPr>
          <w:p w14:paraId="72832C0E">
            <w:pPr>
              <w:widowControl/>
              <w:adjustRightInd w:val="0"/>
              <w:snapToGrid w:val="0"/>
              <w:spacing w:line="240" w:lineRule="atLeast"/>
              <w:jc w:val="left"/>
              <w:rPr>
                <w:kern w:val="0"/>
                <w:sz w:val="18"/>
                <w:szCs w:val="18"/>
              </w:rPr>
            </w:pPr>
          </w:p>
        </w:tc>
        <w:tc>
          <w:tcPr>
            <w:tcW w:w="197" w:type="pct"/>
            <w:gridSpan w:val="2"/>
            <w:tcBorders>
              <w:top w:val="nil"/>
              <w:left w:val="nil"/>
              <w:bottom w:val="nil"/>
              <w:right w:val="nil"/>
            </w:tcBorders>
            <w:shd w:val="clear" w:color="auto" w:fill="auto"/>
            <w:tcMar>
              <w:left w:w="28" w:type="dxa"/>
              <w:right w:w="28" w:type="dxa"/>
            </w:tcMar>
            <w:vAlign w:val="center"/>
          </w:tcPr>
          <w:p w14:paraId="23A63388">
            <w:pPr>
              <w:widowControl/>
              <w:adjustRightInd w:val="0"/>
              <w:snapToGrid w:val="0"/>
              <w:spacing w:line="240" w:lineRule="atLeast"/>
              <w:jc w:val="left"/>
              <w:rPr>
                <w:kern w:val="0"/>
                <w:sz w:val="18"/>
                <w:szCs w:val="18"/>
              </w:rPr>
            </w:pPr>
          </w:p>
        </w:tc>
        <w:tc>
          <w:tcPr>
            <w:tcW w:w="433" w:type="pct"/>
            <w:tcBorders>
              <w:top w:val="nil"/>
              <w:left w:val="nil"/>
              <w:bottom w:val="nil"/>
              <w:right w:val="nil"/>
            </w:tcBorders>
            <w:shd w:val="clear" w:color="auto" w:fill="auto"/>
            <w:tcMar>
              <w:left w:w="28" w:type="dxa"/>
              <w:right w:w="28" w:type="dxa"/>
            </w:tcMar>
            <w:vAlign w:val="center"/>
          </w:tcPr>
          <w:p w14:paraId="7DB2E3EE">
            <w:pPr>
              <w:widowControl/>
              <w:adjustRightInd w:val="0"/>
              <w:snapToGrid w:val="0"/>
              <w:spacing w:line="240" w:lineRule="atLeast"/>
              <w:jc w:val="left"/>
              <w:rPr>
                <w:kern w:val="0"/>
                <w:sz w:val="18"/>
                <w:szCs w:val="18"/>
              </w:rPr>
            </w:pPr>
          </w:p>
        </w:tc>
        <w:tc>
          <w:tcPr>
            <w:tcW w:w="1035" w:type="pct"/>
            <w:tcBorders>
              <w:top w:val="nil"/>
              <w:left w:val="nil"/>
              <w:bottom w:val="nil"/>
              <w:right w:val="nil"/>
            </w:tcBorders>
            <w:shd w:val="clear" w:color="auto" w:fill="auto"/>
            <w:tcMar>
              <w:left w:w="28" w:type="dxa"/>
              <w:right w:w="28" w:type="dxa"/>
            </w:tcMar>
            <w:vAlign w:val="center"/>
          </w:tcPr>
          <w:p w14:paraId="06B8F87C">
            <w:pPr>
              <w:widowControl/>
              <w:adjustRightInd w:val="0"/>
              <w:snapToGrid w:val="0"/>
              <w:spacing w:line="240" w:lineRule="atLeast"/>
              <w:jc w:val="left"/>
              <w:rPr>
                <w:kern w:val="0"/>
                <w:sz w:val="18"/>
                <w:szCs w:val="18"/>
              </w:rPr>
            </w:pPr>
          </w:p>
        </w:tc>
        <w:tc>
          <w:tcPr>
            <w:tcW w:w="448" w:type="pct"/>
            <w:tcBorders>
              <w:top w:val="nil"/>
              <w:left w:val="nil"/>
              <w:bottom w:val="nil"/>
              <w:right w:val="nil"/>
            </w:tcBorders>
            <w:shd w:val="clear" w:color="auto" w:fill="auto"/>
            <w:tcMar>
              <w:left w:w="28" w:type="dxa"/>
              <w:right w:w="28" w:type="dxa"/>
            </w:tcMar>
            <w:vAlign w:val="center"/>
          </w:tcPr>
          <w:p w14:paraId="65DEF95B">
            <w:pPr>
              <w:widowControl/>
              <w:adjustRightInd w:val="0"/>
              <w:snapToGrid w:val="0"/>
              <w:spacing w:line="240" w:lineRule="atLeast"/>
              <w:jc w:val="left"/>
              <w:rPr>
                <w:kern w:val="0"/>
                <w:sz w:val="18"/>
                <w:szCs w:val="18"/>
              </w:rPr>
            </w:pPr>
            <w:r>
              <w:rPr>
                <w:kern w:val="0"/>
                <w:sz w:val="18"/>
                <w:szCs w:val="18"/>
              </w:rPr>
              <w:t>表　　号：</w:t>
            </w:r>
          </w:p>
        </w:tc>
        <w:tc>
          <w:tcPr>
            <w:tcW w:w="1061" w:type="pct"/>
            <w:tcBorders>
              <w:top w:val="nil"/>
              <w:left w:val="nil"/>
              <w:bottom w:val="nil"/>
              <w:right w:val="nil"/>
            </w:tcBorders>
            <w:shd w:val="clear" w:color="auto" w:fill="auto"/>
            <w:tcMar>
              <w:left w:w="28" w:type="dxa"/>
              <w:right w:w="28" w:type="dxa"/>
            </w:tcMar>
            <w:vAlign w:val="center"/>
          </w:tcPr>
          <w:p w14:paraId="3F225DE1">
            <w:pPr>
              <w:widowControl/>
              <w:adjustRightInd w:val="0"/>
              <w:snapToGrid w:val="0"/>
              <w:spacing w:line="240" w:lineRule="atLeast"/>
              <w:jc w:val="distribute"/>
              <w:rPr>
                <w:kern w:val="0"/>
                <w:sz w:val="18"/>
                <w:szCs w:val="18"/>
              </w:rPr>
            </w:pPr>
            <w:r>
              <w:rPr>
                <w:kern w:val="0"/>
                <w:sz w:val="18"/>
                <w:szCs w:val="18"/>
              </w:rPr>
              <w:t>２０５－７表</w:t>
            </w:r>
          </w:p>
        </w:tc>
      </w:tr>
      <w:tr w14:paraId="584096A1">
        <w:tblPrEx>
          <w:tblCellMar>
            <w:top w:w="0" w:type="dxa"/>
            <w:left w:w="108" w:type="dxa"/>
            <w:bottom w:w="0" w:type="dxa"/>
            <w:right w:w="108" w:type="dxa"/>
          </w:tblCellMar>
        </w:tblPrEx>
        <w:trPr>
          <w:jc w:val="center"/>
        </w:trPr>
        <w:tc>
          <w:tcPr>
            <w:tcW w:w="614" w:type="pct"/>
            <w:tcBorders>
              <w:top w:val="nil"/>
              <w:left w:val="nil"/>
              <w:bottom w:val="nil"/>
              <w:right w:val="nil"/>
            </w:tcBorders>
            <w:shd w:val="clear" w:color="auto" w:fill="auto"/>
            <w:noWrap/>
            <w:tcMar>
              <w:left w:w="28" w:type="dxa"/>
              <w:right w:w="28" w:type="dxa"/>
            </w:tcMar>
            <w:vAlign w:val="center"/>
          </w:tcPr>
          <w:p w14:paraId="4DD307D8">
            <w:pPr>
              <w:widowControl/>
              <w:adjustRightInd w:val="0"/>
              <w:snapToGrid w:val="0"/>
              <w:spacing w:line="240" w:lineRule="atLeast"/>
              <w:jc w:val="left"/>
              <w:rPr>
                <w:kern w:val="0"/>
                <w:sz w:val="18"/>
                <w:szCs w:val="18"/>
              </w:rPr>
            </w:pPr>
          </w:p>
        </w:tc>
        <w:tc>
          <w:tcPr>
            <w:tcW w:w="463" w:type="pct"/>
            <w:tcBorders>
              <w:top w:val="nil"/>
              <w:left w:val="nil"/>
              <w:bottom w:val="nil"/>
              <w:right w:val="nil"/>
            </w:tcBorders>
            <w:shd w:val="clear" w:color="auto" w:fill="auto"/>
            <w:noWrap/>
            <w:tcMar>
              <w:left w:w="28" w:type="dxa"/>
              <w:right w:w="28" w:type="dxa"/>
            </w:tcMar>
            <w:vAlign w:val="center"/>
          </w:tcPr>
          <w:p w14:paraId="3E06EF3E">
            <w:pPr>
              <w:widowControl/>
              <w:adjustRightInd w:val="0"/>
              <w:snapToGrid w:val="0"/>
              <w:spacing w:line="240" w:lineRule="atLeast"/>
              <w:jc w:val="left"/>
              <w:rPr>
                <w:kern w:val="0"/>
                <w:sz w:val="18"/>
                <w:szCs w:val="18"/>
              </w:rPr>
            </w:pPr>
          </w:p>
        </w:tc>
        <w:tc>
          <w:tcPr>
            <w:tcW w:w="744" w:type="pct"/>
            <w:tcBorders>
              <w:top w:val="nil"/>
              <w:left w:val="nil"/>
              <w:bottom w:val="nil"/>
              <w:right w:val="nil"/>
            </w:tcBorders>
            <w:shd w:val="clear" w:color="auto" w:fill="auto"/>
            <w:noWrap/>
            <w:tcMar>
              <w:left w:w="28" w:type="dxa"/>
              <w:right w:w="28" w:type="dxa"/>
            </w:tcMar>
            <w:vAlign w:val="center"/>
          </w:tcPr>
          <w:p w14:paraId="56F42EEF">
            <w:pPr>
              <w:widowControl/>
              <w:adjustRightInd w:val="0"/>
              <w:snapToGrid w:val="0"/>
              <w:spacing w:line="240" w:lineRule="atLeast"/>
              <w:jc w:val="left"/>
              <w:rPr>
                <w:kern w:val="0"/>
                <w:sz w:val="18"/>
                <w:szCs w:val="18"/>
              </w:rPr>
            </w:pPr>
          </w:p>
        </w:tc>
        <w:tc>
          <w:tcPr>
            <w:tcW w:w="197" w:type="pct"/>
            <w:gridSpan w:val="2"/>
            <w:tcBorders>
              <w:top w:val="nil"/>
              <w:left w:val="nil"/>
              <w:bottom w:val="nil"/>
              <w:right w:val="nil"/>
            </w:tcBorders>
            <w:shd w:val="clear" w:color="auto" w:fill="auto"/>
            <w:tcMar>
              <w:left w:w="28" w:type="dxa"/>
              <w:right w:w="28" w:type="dxa"/>
            </w:tcMar>
            <w:vAlign w:val="center"/>
          </w:tcPr>
          <w:p w14:paraId="13207F6C">
            <w:pPr>
              <w:widowControl/>
              <w:adjustRightInd w:val="0"/>
              <w:snapToGrid w:val="0"/>
              <w:spacing w:line="240" w:lineRule="atLeast"/>
              <w:jc w:val="left"/>
              <w:rPr>
                <w:kern w:val="0"/>
                <w:sz w:val="18"/>
                <w:szCs w:val="18"/>
              </w:rPr>
            </w:pPr>
          </w:p>
        </w:tc>
        <w:tc>
          <w:tcPr>
            <w:tcW w:w="433" w:type="pct"/>
            <w:tcBorders>
              <w:top w:val="nil"/>
              <w:left w:val="nil"/>
              <w:bottom w:val="nil"/>
              <w:right w:val="nil"/>
            </w:tcBorders>
            <w:shd w:val="clear" w:color="auto" w:fill="auto"/>
            <w:tcMar>
              <w:left w:w="28" w:type="dxa"/>
              <w:right w:w="28" w:type="dxa"/>
            </w:tcMar>
            <w:vAlign w:val="center"/>
          </w:tcPr>
          <w:p w14:paraId="39CD1311">
            <w:pPr>
              <w:widowControl/>
              <w:adjustRightInd w:val="0"/>
              <w:snapToGrid w:val="0"/>
              <w:spacing w:line="240" w:lineRule="atLeast"/>
              <w:jc w:val="left"/>
              <w:rPr>
                <w:kern w:val="0"/>
                <w:sz w:val="18"/>
                <w:szCs w:val="18"/>
              </w:rPr>
            </w:pPr>
          </w:p>
        </w:tc>
        <w:tc>
          <w:tcPr>
            <w:tcW w:w="1035" w:type="pct"/>
            <w:tcBorders>
              <w:top w:val="nil"/>
              <w:left w:val="nil"/>
              <w:bottom w:val="nil"/>
              <w:right w:val="nil"/>
            </w:tcBorders>
            <w:shd w:val="clear" w:color="auto" w:fill="auto"/>
            <w:tcMar>
              <w:left w:w="28" w:type="dxa"/>
              <w:right w:w="28" w:type="dxa"/>
            </w:tcMar>
            <w:vAlign w:val="center"/>
          </w:tcPr>
          <w:p w14:paraId="433BFCAA">
            <w:pPr>
              <w:widowControl/>
              <w:adjustRightInd w:val="0"/>
              <w:snapToGrid w:val="0"/>
              <w:spacing w:line="240" w:lineRule="atLeast"/>
              <w:jc w:val="left"/>
              <w:rPr>
                <w:kern w:val="0"/>
                <w:sz w:val="18"/>
                <w:szCs w:val="18"/>
              </w:rPr>
            </w:pPr>
          </w:p>
        </w:tc>
        <w:tc>
          <w:tcPr>
            <w:tcW w:w="448" w:type="pct"/>
            <w:tcBorders>
              <w:top w:val="nil"/>
              <w:left w:val="nil"/>
              <w:bottom w:val="nil"/>
              <w:right w:val="nil"/>
            </w:tcBorders>
            <w:shd w:val="clear" w:color="auto" w:fill="auto"/>
            <w:tcMar>
              <w:left w:w="28" w:type="dxa"/>
              <w:right w:w="28" w:type="dxa"/>
            </w:tcMar>
            <w:vAlign w:val="center"/>
          </w:tcPr>
          <w:p w14:paraId="1B2AF035">
            <w:pPr>
              <w:widowControl/>
              <w:adjustRightInd w:val="0"/>
              <w:snapToGrid w:val="0"/>
              <w:spacing w:line="24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061" w:type="pct"/>
            <w:tcBorders>
              <w:top w:val="nil"/>
              <w:left w:val="nil"/>
              <w:bottom w:val="nil"/>
              <w:right w:val="nil"/>
            </w:tcBorders>
            <w:shd w:val="clear" w:color="auto" w:fill="auto"/>
            <w:tcMar>
              <w:left w:w="28" w:type="dxa"/>
              <w:right w:w="28" w:type="dxa"/>
            </w:tcMar>
            <w:vAlign w:val="center"/>
          </w:tcPr>
          <w:p w14:paraId="60EE936E">
            <w:pPr>
              <w:widowControl/>
              <w:adjustRightInd w:val="0"/>
              <w:snapToGrid w:val="0"/>
              <w:spacing w:line="240" w:lineRule="atLeast"/>
              <w:jc w:val="distribute"/>
              <w:rPr>
                <w:kern w:val="0"/>
                <w:sz w:val="18"/>
                <w:szCs w:val="18"/>
              </w:rPr>
            </w:pPr>
            <w:r>
              <w:rPr>
                <w:kern w:val="0"/>
                <w:sz w:val="18"/>
                <w:szCs w:val="18"/>
              </w:rPr>
              <w:t>国家统计局</w:t>
            </w:r>
          </w:p>
        </w:tc>
      </w:tr>
      <w:tr w14:paraId="5E5723A8">
        <w:tblPrEx>
          <w:tblCellMar>
            <w:top w:w="0" w:type="dxa"/>
            <w:left w:w="108" w:type="dxa"/>
            <w:bottom w:w="0" w:type="dxa"/>
            <w:right w:w="108" w:type="dxa"/>
          </w:tblCellMar>
        </w:tblPrEx>
        <w:trPr>
          <w:trHeight w:val="87" w:hRule="atLeast"/>
          <w:jc w:val="center"/>
        </w:trPr>
        <w:tc>
          <w:tcPr>
            <w:tcW w:w="3489" w:type="pct"/>
            <w:gridSpan w:val="7"/>
            <w:tcBorders>
              <w:top w:val="nil"/>
              <w:left w:val="nil"/>
              <w:bottom w:val="nil"/>
              <w:right w:val="nil"/>
            </w:tcBorders>
            <w:shd w:val="clear" w:color="auto" w:fill="auto"/>
            <w:tcMar>
              <w:left w:w="28" w:type="dxa"/>
              <w:right w:w="28" w:type="dxa"/>
            </w:tcMar>
          </w:tcPr>
          <w:p w14:paraId="51F16F9C">
            <w:pPr>
              <w:widowControl/>
              <w:adjustRightInd w:val="0"/>
              <w:snapToGrid w:val="0"/>
              <w:spacing w:line="240" w:lineRule="atLeast"/>
              <w:jc w:val="left"/>
              <w:rPr>
                <w:kern w:val="0"/>
                <w:sz w:val="18"/>
                <w:szCs w:val="18"/>
              </w:rPr>
            </w:pPr>
            <w:r>
              <w:rPr>
                <w:sz w:val="18"/>
                <w:szCs w:val="18"/>
              </w:rPr>
              <w:t>统一社会信用代码</w:t>
            </w:r>
            <w:r>
              <w:rPr>
                <w:rFonts w:hint="eastAsia" w:ascii="宋体" w:hAnsi="宋体" w:cs="宋体"/>
                <w:color w:val="000000"/>
                <w:kern w:val="0"/>
                <w:sz w:val="18"/>
                <w:szCs w:val="18"/>
              </w:rPr>
              <w:t>□□□□□□□□□□□□□□□□□□</w:t>
            </w:r>
          </w:p>
        </w:tc>
        <w:tc>
          <w:tcPr>
            <w:tcW w:w="448" w:type="pct"/>
            <w:tcBorders>
              <w:top w:val="nil"/>
              <w:left w:val="nil"/>
              <w:bottom w:val="nil"/>
              <w:right w:val="nil"/>
            </w:tcBorders>
            <w:shd w:val="clear" w:color="auto" w:fill="auto"/>
            <w:tcMar>
              <w:left w:w="28" w:type="dxa"/>
              <w:right w:w="28" w:type="dxa"/>
            </w:tcMar>
            <w:vAlign w:val="center"/>
          </w:tcPr>
          <w:p w14:paraId="24536FF4">
            <w:pPr>
              <w:widowControl/>
              <w:adjustRightInd w:val="0"/>
              <w:snapToGrid w:val="0"/>
              <w:spacing w:line="240" w:lineRule="atLeast"/>
              <w:jc w:val="left"/>
              <w:rPr>
                <w:kern w:val="0"/>
                <w:sz w:val="18"/>
                <w:szCs w:val="18"/>
              </w:rPr>
            </w:pPr>
            <w:r>
              <w:rPr>
                <w:kern w:val="0"/>
                <w:sz w:val="18"/>
                <w:szCs w:val="18"/>
              </w:rPr>
              <w:t>文　　号：</w:t>
            </w:r>
          </w:p>
        </w:tc>
        <w:tc>
          <w:tcPr>
            <w:tcW w:w="1061" w:type="pct"/>
            <w:tcBorders>
              <w:top w:val="nil"/>
              <w:left w:val="nil"/>
              <w:bottom w:val="nil"/>
              <w:right w:val="nil"/>
            </w:tcBorders>
            <w:shd w:val="clear" w:color="auto" w:fill="auto"/>
            <w:tcMar>
              <w:left w:w="28" w:type="dxa"/>
              <w:right w:w="28" w:type="dxa"/>
            </w:tcMar>
            <w:vAlign w:val="center"/>
          </w:tcPr>
          <w:p w14:paraId="3A17834F">
            <w:pPr>
              <w:widowControl/>
              <w:adjustRightInd w:val="0"/>
              <w:snapToGrid w:val="0"/>
              <w:spacing w:line="240" w:lineRule="atLeast"/>
              <w:jc w:val="distribute"/>
              <w:rPr>
                <w:kern w:val="0"/>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175" w:author="kylin" w:date="2025-10-17T16:19:56Z">
              <w:r>
                <w:rPr>
                  <w:rFonts w:hint="default" w:ascii="宋体" w:hAnsi="宋体"/>
                  <w:spacing w:val="-16"/>
                  <w:sz w:val="18"/>
                  <w:szCs w:val="18"/>
                  <w:lang w:val="en-US" w:eastAsia="zh-CN"/>
                </w:rPr>
                <w:delText>４</w:delText>
              </w:r>
            </w:del>
            <w:ins w:id="176" w:author="kylin" w:date="2025-10-17T16:19:56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177" w:author="kylin" w:date="2025-10-17T16:20:00Z">
              <w:r>
                <w:rPr>
                  <w:rFonts w:hint="default" w:ascii="宋体" w:hAnsi="宋体"/>
                  <w:spacing w:val="-16"/>
                  <w:sz w:val="18"/>
                  <w:szCs w:val="18"/>
                  <w:lang w:val="en-US" w:eastAsia="zh-CN"/>
                </w:rPr>
                <w:delText>77</w:delText>
              </w:r>
            </w:del>
            <w:ins w:id="178" w:author="kylin" w:date="2025-10-17T16:20:00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61A5779B">
        <w:tblPrEx>
          <w:tblCellMar>
            <w:top w:w="0" w:type="dxa"/>
            <w:left w:w="108" w:type="dxa"/>
            <w:bottom w:w="0" w:type="dxa"/>
            <w:right w:w="108" w:type="dxa"/>
          </w:tblCellMar>
        </w:tblPrEx>
        <w:trPr>
          <w:jc w:val="center"/>
        </w:trPr>
        <w:tc>
          <w:tcPr>
            <w:tcW w:w="3489" w:type="pct"/>
            <w:gridSpan w:val="7"/>
            <w:tcBorders>
              <w:top w:val="nil"/>
              <w:left w:val="nil"/>
              <w:bottom w:val="nil"/>
            </w:tcBorders>
            <w:shd w:val="clear" w:color="auto" w:fill="auto"/>
            <w:tcMar>
              <w:left w:w="28" w:type="dxa"/>
              <w:right w:w="28" w:type="dxa"/>
            </w:tcMar>
          </w:tcPr>
          <w:p w14:paraId="24D48492">
            <w:pPr>
              <w:widowControl/>
              <w:adjustRightInd w:val="0"/>
              <w:snapToGrid w:val="0"/>
              <w:spacing w:line="240" w:lineRule="atLeast"/>
              <w:jc w:val="left"/>
              <w:rPr>
                <w:rFonts w:hint="eastAsia" w:eastAsia="宋体"/>
                <w:kern w:val="0"/>
                <w:sz w:val="18"/>
                <w:szCs w:val="18"/>
                <w:lang w:eastAsia="zh-CN"/>
              </w:rPr>
            </w:pPr>
          </w:p>
        </w:tc>
        <w:tc>
          <w:tcPr>
            <w:tcW w:w="448" w:type="pct"/>
            <w:tcBorders>
              <w:top w:val="nil"/>
              <w:left w:val="nil"/>
              <w:bottom w:val="nil"/>
            </w:tcBorders>
            <w:shd w:val="clear" w:color="auto" w:fill="auto"/>
            <w:tcMar>
              <w:left w:w="28" w:type="dxa"/>
              <w:right w:w="28" w:type="dxa"/>
            </w:tcMar>
          </w:tcPr>
          <w:p w14:paraId="3753A77B">
            <w:pPr>
              <w:adjustRightInd w:val="0"/>
              <w:snapToGrid w:val="0"/>
              <w:spacing w:line="240" w:lineRule="atLeast"/>
              <w:rPr>
                <w:kern w:val="0"/>
                <w:sz w:val="18"/>
                <w:szCs w:val="18"/>
              </w:rPr>
            </w:pPr>
            <w:r>
              <w:rPr>
                <w:kern w:val="0"/>
                <w:sz w:val="18"/>
                <w:szCs w:val="18"/>
              </w:rPr>
              <w:t>有效期至：</w:t>
            </w:r>
          </w:p>
        </w:tc>
        <w:tc>
          <w:tcPr>
            <w:tcW w:w="1061" w:type="pct"/>
            <w:tcBorders>
              <w:top w:val="nil"/>
              <w:left w:val="nil"/>
              <w:bottom w:val="nil"/>
            </w:tcBorders>
            <w:shd w:val="clear" w:color="auto" w:fill="auto"/>
            <w:tcMar>
              <w:left w:w="28" w:type="dxa"/>
              <w:right w:w="28" w:type="dxa"/>
            </w:tcMar>
            <w:vAlign w:val="center"/>
          </w:tcPr>
          <w:p w14:paraId="45A4DE75">
            <w:pPr>
              <w:widowControl/>
              <w:adjustRightInd w:val="0"/>
              <w:snapToGrid w:val="0"/>
              <w:spacing w:line="240" w:lineRule="atLeast"/>
              <w:jc w:val="distribute"/>
              <w:rPr>
                <w:rFonts w:hint="default" w:eastAsia="宋体"/>
                <w:kern w:val="0"/>
                <w:sz w:val="18"/>
                <w:szCs w:val="18"/>
                <w:lang w:val="en-US" w:eastAsia="zh-CN"/>
              </w:rPr>
            </w:pPr>
            <w:r>
              <w:rPr>
                <w:rFonts w:hint="default"/>
                <w:kern w:val="0"/>
                <w:sz w:val="18"/>
                <w:szCs w:val="18"/>
                <w:lang w:val="en-US" w:eastAsia="zh-CN"/>
              </w:rPr>
              <w:t>２０２</w:t>
            </w:r>
            <w:del w:id="179" w:author="kylin" w:date="2025-10-17T16:20:01Z">
              <w:r>
                <w:rPr>
                  <w:rFonts w:hint="default"/>
                  <w:kern w:val="0"/>
                  <w:sz w:val="18"/>
                  <w:szCs w:val="18"/>
                  <w:lang w:val="en-US" w:eastAsia="zh-CN"/>
                </w:rPr>
                <w:delText>６</w:delText>
              </w:r>
            </w:del>
            <w:ins w:id="180" w:author="kylin" w:date="2025-10-17T16:20:01Z">
              <w:r>
                <w:rPr>
                  <w:rFonts w:hint="eastAsia"/>
                  <w:kern w:val="0"/>
                  <w:sz w:val="18"/>
                  <w:szCs w:val="18"/>
                  <w:lang w:val="en-US" w:eastAsia="zh-CN"/>
                </w:rPr>
                <w:t>7</w:t>
              </w:r>
            </w:ins>
            <w:r>
              <w:rPr>
                <w:rFonts w:hint="default"/>
                <w:kern w:val="0"/>
                <w:sz w:val="18"/>
                <w:szCs w:val="18"/>
                <w:lang w:val="en-US" w:eastAsia="zh-CN"/>
              </w:rPr>
              <w:t>年１月</w:t>
            </w:r>
          </w:p>
        </w:tc>
      </w:tr>
      <w:tr w14:paraId="6C8CDE33">
        <w:tblPrEx>
          <w:tblCellMar>
            <w:top w:w="0" w:type="dxa"/>
            <w:left w:w="108" w:type="dxa"/>
            <w:bottom w:w="0" w:type="dxa"/>
            <w:right w:w="108" w:type="dxa"/>
          </w:tblCellMar>
        </w:tblPrEx>
        <w:trPr>
          <w:jc w:val="center"/>
        </w:trPr>
        <w:tc>
          <w:tcPr>
            <w:tcW w:w="1904" w:type="pct"/>
            <w:gridSpan w:val="4"/>
            <w:tcBorders>
              <w:top w:val="nil"/>
              <w:left w:val="nil"/>
              <w:right w:val="nil"/>
            </w:tcBorders>
            <w:shd w:val="clear" w:color="auto" w:fill="auto"/>
            <w:tcMar>
              <w:left w:w="28" w:type="dxa"/>
              <w:right w:w="28" w:type="dxa"/>
            </w:tcMar>
            <w:vAlign w:val="center"/>
          </w:tcPr>
          <w:p w14:paraId="062232EB">
            <w:pPr>
              <w:widowControl/>
              <w:adjustRightInd w:val="0"/>
              <w:snapToGrid w:val="0"/>
              <w:spacing w:line="240" w:lineRule="atLeast"/>
              <w:jc w:val="left"/>
              <w:rPr>
                <w:kern w:val="0"/>
                <w:sz w:val="18"/>
                <w:szCs w:val="18"/>
              </w:rPr>
            </w:pPr>
            <w:r>
              <w:rPr>
                <w:kern w:val="0"/>
                <w:sz w:val="18"/>
                <w:szCs w:val="18"/>
              </w:rPr>
              <w:t>单位详细名称：　</w:t>
            </w:r>
          </w:p>
        </w:tc>
        <w:tc>
          <w:tcPr>
            <w:tcW w:w="1584" w:type="pct"/>
            <w:gridSpan w:val="3"/>
            <w:tcBorders>
              <w:top w:val="nil"/>
              <w:left w:val="nil"/>
            </w:tcBorders>
            <w:shd w:val="clear" w:color="auto" w:fill="auto"/>
            <w:noWrap/>
            <w:tcMar>
              <w:left w:w="28" w:type="dxa"/>
              <w:right w:w="28" w:type="dxa"/>
            </w:tcMar>
          </w:tcPr>
          <w:p w14:paraId="1BE99C78">
            <w:pPr>
              <w:adjustRightInd w:val="0"/>
              <w:snapToGrid w:val="0"/>
              <w:spacing w:line="240" w:lineRule="atLeast"/>
              <w:ind w:firstLine="540" w:firstLineChars="300"/>
              <w:rPr>
                <w:kern w:val="0"/>
                <w:sz w:val="18"/>
                <w:szCs w:val="18"/>
              </w:rPr>
            </w:pPr>
            <w:r>
              <w:rPr>
                <w:kern w:val="0"/>
                <w:sz w:val="18"/>
                <w:szCs w:val="18"/>
              </w:rPr>
              <w:t>２０　　年　</w:t>
            </w:r>
            <w:r>
              <w:rPr>
                <w:rFonts w:hint="eastAsia"/>
                <w:kern w:val="0"/>
                <w:sz w:val="18"/>
                <w:szCs w:val="18"/>
              </w:rPr>
              <w:t>１</w:t>
            </w:r>
            <w:r>
              <w:rPr>
                <w:kern w:val="0"/>
                <w:sz w:val="18"/>
                <w:szCs w:val="18"/>
              </w:rPr>
              <w:t>－　月</w:t>
            </w:r>
          </w:p>
        </w:tc>
        <w:tc>
          <w:tcPr>
            <w:tcW w:w="448" w:type="pct"/>
            <w:tcBorders>
              <w:top w:val="nil"/>
              <w:left w:val="nil"/>
            </w:tcBorders>
            <w:shd w:val="clear" w:color="auto" w:fill="auto"/>
            <w:tcMar>
              <w:left w:w="28" w:type="dxa"/>
              <w:right w:w="28" w:type="dxa"/>
            </w:tcMar>
          </w:tcPr>
          <w:p w14:paraId="02328E4E">
            <w:pPr>
              <w:adjustRightInd w:val="0"/>
              <w:snapToGrid w:val="0"/>
              <w:spacing w:line="240" w:lineRule="atLeast"/>
              <w:rPr>
                <w:kern w:val="0"/>
                <w:sz w:val="18"/>
                <w:szCs w:val="18"/>
              </w:rPr>
            </w:pPr>
            <w:r>
              <w:rPr>
                <w:kern w:val="0"/>
                <w:sz w:val="18"/>
                <w:szCs w:val="18"/>
              </w:rPr>
              <w:t>计量单位：</w:t>
            </w:r>
          </w:p>
        </w:tc>
        <w:tc>
          <w:tcPr>
            <w:tcW w:w="1061" w:type="pct"/>
            <w:tcBorders>
              <w:top w:val="nil"/>
              <w:left w:val="nil"/>
            </w:tcBorders>
            <w:shd w:val="clear" w:color="auto" w:fill="auto"/>
            <w:tcMar>
              <w:left w:w="28" w:type="dxa"/>
              <w:right w:w="28" w:type="dxa"/>
            </w:tcMar>
            <w:vAlign w:val="center"/>
          </w:tcPr>
          <w:p w14:paraId="77CFB0D8">
            <w:pPr>
              <w:widowControl/>
              <w:adjustRightInd w:val="0"/>
              <w:snapToGrid w:val="0"/>
              <w:spacing w:line="240" w:lineRule="atLeast"/>
              <w:jc w:val="distribute"/>
              <w:rPr>
                <w:kern w:val="0"/>
                <w:sz w:val="18"/>
                <w:szCs w:val="18"/>
              </w:rPr>
            </w:pPr>
            <w:r>
              <w:rPr>
                <w:kern w:val="0"/>
                <w:sz w:val="18"/>
                <w:szCs w:val="18"/>
              </w:rPr>
              <w:t>吨</w:t>
            </w:r>
          </w:p>
        </w:tc>
      </w:tr>
    </w:tbl>
    <w:p w14:paraId="5696FFC8">
      <w:pPr>
        <w:spacing w:line="20" w:lineRule="exact"/>
        <w:jc w:val="center"/>
        <w:rPr>
          <w:sz w:val="18"/>
          <w:szCs w:val="18"/>
        </w:rPr>
      </w:pPr>
    </w:p>
    <w:tbl>
      <w:tblPr>
        <w:tblStyle w:val="20"/>
        <w:tblW w:w="5075" w:type="pct"/>
        <w:jc w:val="center"/>
        <w:tblLayout w:type="fixed"/>
        <w:tblCellMar>
          <w:top w:w="0" w:type="dxa"/>
          <w:left w:w="108" w:type="dxa"/>
          <w:bottom w:w="0" w:type="dxa"/>
          <w:right w:w="108" w:type="dxa"/>
        </w:tblCellMar>
      </w:tblPr>
      <w:tblGrid>
        <w:gridCol w:w="1644"/>
        <w:gridCol w:w="443"/>
        <w:gridCol w:w="591"/>
        <w:gridCol w:w="591"/>
        <w:gridCol w:w="591"/>
        <w:gridCol w:w="591"/>
        <w:gridCol w:w="591"/>
        <w:gridCol w:w="591"/>
        <w:gridCol w:w="591"/>
        <w:gridCol w:w="591"/>
        <w:gridCol w:w="591"/>
        <w:gridCol w:w="591"/>
        <w:gridCol w:w="591"/>
        <w:gridCol w:w="591"/>
        <w:gridCol w:w="591"/>
      </w:tblGrid>
      <w:tr w14:paraId="7463B5A4">
        <w:tblPrEx>
          <w:tblCellMar>
            <w:top w:w="0" w:type="dxa"/>
            <w:left w:w="108" w:type="dxa"/>
            <w:bottom w:w="0" w:type="dxa"/>
            <w:right w:w="108" w:type="dxa"/>
          </w:tblCellMar>
        </w:tblPrEx>
        <w:trPr>
          <w:trHeight w:val="785" w:hRule="atLeast"/>
          <w:jc w:val="center"/>
        </w:trPr>
        <w:tc>
          <w:tcPr>
            <w:tcW w:w="1607" w:type="dxa"/>
            <w:vMerge w:val="restart"/>
            <w:tcBorders>
              <w:top w:val="single" w:color="auto" w:sz="8" w:space="0"/>
              <w:left w:val="nil"/>
              <w:bottom w:val="single" w:color="auto" w:sz="2" w:space="0"/>
              <w:right w:val="single" w:color="auto" w:sz="2" w:space="0"/>
            </w:tcBorders>
            <w:shd w:val="clear" w:color="auto" w:fill="auto"/>
            <w:vAlign w:val="center"/>
          </w:tcPr>
          <w:p w14:paraId="7A259EC7">
            <w:pPr>
              <w:widowControl/>
              <w:jc w:val="center"/>
              <w:rPr>
                <w:kern w:val="0"/>
                <w:sz w:val="18"/>
                <w:szCs w:val="18"/>
              </w:rPr>
            </w:pPr>
            <w:r>
              <w:rPr>
                <w:kern w:val="0"/>
                <w:sz w:val="18"/>
                <w:szCs w:val="18"/>
              </w:rPr>
              <w:t>商品名称</w:t>
            </w:r>
          </w:p>
        </w:tc>
        <w:tc>
          <w:tcPr>
            <w:tcW w:w="43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4C86E050">
            <w:pPr>
              <w:widowControl/>
              <w:jc w:val="center"/>
              <w:rPr>
                <w:kern w:val="0"/>
                <w:sz w:val="18"/>
                <w:szCs w:val="18"/>
              </w:rPr>
            </w:pPr>
            <w:r>
              <w:rPr>
                <w:kern w:val="0"/>
                <w:sz w:val="18"/>
                <w:szCs w:val="18"/>
              </w:rPr>
              <w:t>代码</w:t>
            </w:r>
          </w:p>
        </w:tc>
        <w:tc>
          <w:tcPr>
            <w:tcW w:w="57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1C10CF96">
            <w:pPr>
              <w:widowControl/>
              <w:jc w:val="center"/>
              <w:rPr>
                <w:kern w:val="0"/>
                <w:sz w:val="18"/>
                <w:szCs w:val="18"/>
              </w:rPr>
            </w:pPr>
            <w:r>
              <w:rPr>
                <w:kern w:val="0"/>
                <w:sz w:val="18"/>
                <w:szCs w:val="18"/>
              </w:rPr>
              <w:t>年初</w:t>
            </w:r>
          </w:p>
          <w:p w14:paraId="127198F8">
            <w:pPr>
              <w:widowControl/>
              <w:jc w:val="center"/>
              <w:rPr>
                <w:kern w:val="0"/>
                <w:sz w:val="18"/>
                <w:szCs w:val="18"/>
              </w:rPr>
            </w:pPr>
            <w:r>
              <w:rPr>
                <w:kern w:val="0"/>
                <w:sz w:val="18"/>
                <w:szCs w:val="18"/>
              </w:rPr>
              <w:t>商品</w:t>
            </w:r>
          </w:p>
          <w:p w14:paraId="2EC3FA24">
            <w:pPr>
              <w:widowControl/>
              <w:jc w:val="center"/>
              <w:rPr>
                <w:kern w:val="0"/>
                <w:sz w:val="18"/>
                <w:szCs w:val="18"/>
              </w:rPr>
            </w:pPr>
            <w:r>
              <w:rPr>
                <w:kern w:val="0"/>
                <w:sz w:val="18"/>
                <w:szCs w:val="18"/>
              </w:rPr>
              <w:t>库存量</w:t>
            </w:r>
          </w:p>
        </w:tc>
        <w:tc>
          <w:tcPr>
            <w:tcW w:w="2312" w:type="dxa"/>
            <w:gridSpan w:val="4"/>
            <w:tcBorders>
              <w:top w:val="single" w:color="auto" w:sz="8" w:space="0"/>
              <w:left w:val="single" w:color="auto" w:sz="2" w:space="0"/>
              <w:bottom w:val="single" w:color="auto" w:sz="2" w:space="0"/>
              <w:right w:val="single" w:color="auto" w:sz="2" w:space="0"/>
            </w:tcBorders>
            <w:shd w:val="clear" w:color="auto" w:fill="auto"/>
            <w:vAlign w:val="center"/>
          </w:tcPr>
          <w:p w14:paraId="6859CA21">
            <w:pPr>
              <w:widowControl/>
              <w:jc w:val="center"/>
              <w:rPr>
                <w:kern w:val="0"/>
                <w:sz w:val="18"/>
                <w:szCs w:val="18"/>
              </w:rPr>
            </w:pPr>
            <w:r>
              <w:rPr>
                <w:kern w:val="0"/>
                <w:sz w:val="18"/>
                <w:szCs w:val="18"/>
              </w:rPr>
              <w:t>商品购进量</w:t>
            </w:r>
          </w:p>
        </w:tc>
        <w:tc>
          <w:tcPr>
            <w:tcW w:w="2312" w:type="dxa"/>
            <w:gridSpan w:val="4"/>
            <w:tcBorders>
              <w:top w:val="single" w:color="auto" w:sz="8" w:space="0"/>
              <w:left w:val="single" w:color="auto" w:sz="2" w:space="0"/>
              <w:bottom w:val="single" w:color="auto" w:sz="2" w:space="0"/>
              <w:right w:val="single" w:color="auto" w:sz="2" w:space="0"/>
            </w:tcBorders>
            <w:shd w:val="clear" w:color="auto" w:fill="auto"/>
            <w:vAlign w:val="center"/>
          </w:tcPr>
          <w:p w14:paraId="5FE591FA">
            <w:pPr>
              <w:widowControl/>
              <w:jc w:val="center"/>
              <w:rPr>
                <w:kern w:val="0"/>
                <w:sz w:val="18"/>
                <w:szCs w:val="18"/>
              </w:rPr>
            </w:pPr>
            <w:r>
              <w:rPr>
                <w:kern w:val="0"/>
                <w:sz w:val="18"/>
                <w:szCs w:val="18"/>
              </w:rPr>
              <w:t>商品销售量</w:t>
            </w:r>
          </w:p>
        </w:tc>
        <w:tc>
          <w:tcPr>
            <w:tcW w:w="1156" w:type="dxa"/>
            <w:gridSpan w:val="2"/>
            <w:tcBorders>
              <w:top w:val="single" w:color="auto" w:sz="8" w:space="0"/>
              <w:left w:val="single" w:color="auto" w:sz="2" w:space="0"/>
              <w:bottom w:val="single" w:color="auto" w:sz="2" w:space="0"/>
              <w:right w:val="single" w:color="auto" w:sz="2" w:space="0"/>
            </w:tcBorders>
            <w:shd w:val="clear" w:color="auto" w:fill="auto"/>
            <w:vAlign w:val="center"/>
          </w:tcPr>
          <w:p w14:paraId="4BEEC61C">
            <w:pPr>
              <w:widowControl/>
              <w:spacing w:line="240" w:lineRule="exact"/>
              <w:jc w:val="center"/>
              <w:rPr>
                <w:kern w:val="0"/>
                <w:sz w:val="18"/>
                <w:szCs w:val="18"/>
              </w:rPr>
            </w:pPr>
            <w:r>
              <w:rPr>
                <w:kern w:val="0"/>
                <w:sz w:val="18"/>
                <w:szCs w:val="18"/>
              </w:rPr>
              <w:t>损耗量</w:t>
            </w:r>
          </w:p>
          <w:p w14:paraId="20BFE649">
            <w:pPr>
              <w:widowControl/>
              <w:spacing w:line="240" w:lineRule="exact"/>
              <w:jc w:val="center"/>
              <w:rPr>
                <w:kern w:val="0"/>
                <w:sz w:val="18"/>
                <w:szCs w:val="18"/>
              </w:rPr>
            </w:pPr>
            <w:r>
              <w:rPr>
                <w:kern w:val="0"/>
                <w:sz w:val="18"/>
                <w:szCs w:val="18"/>
              </w:rPr>
              <w:t>及其他</w:t>
            </w:r>
          </w:p>
        </w:tc>
        <w:tc>
          <w:tcPr>
            <w:tcW w:w="1156" w:type="dxa"/>
            <w:gridSpan w:val="2"/>
            <w:tcBorders>
              <w:top w:val="single" w:color="auto" w:sz="8" w:space="0"/>
              <w:left w:val="single" w:color="auto" w:sz="2" w:space="0"/>
              <w:bottom w:val="single" w:color="auto" w:sz="2" w:space="0"/>
              <w:right w:val="nil"/>
            </w:tcBorders>
            <w:shd w:val="clear" w:color="auto" w:fill="auto"/>
            <w:vAlign w:val="center"/>
          </w:tcPr>
          <w:p w14:paraId="522A00D8">
            <w:pPr>
              <w:jc w:val="center"/>
              <w:rPr>
                <w:kern w:val="0"/>
                <w:sz w:val="18"/>
                <w:szCs w:val="18"/>
              </w:rPr>
            </w:pPr>
            <w:r>
              <w:rPr>
                <w:kern w:val="0"/>
                <w:sz w:val="18"/>
                <w:szCs w:val="18"/>
              </w:rPr>
              <w:t>期末商品</w:t>
            </w:r>
          </w:p>
          <w:p w14:paraId="33F7889D">
            <w:pPr>
              <w:jc w:val="center"/>
              <w:rPr>
                <w:kern w:val="0"/>
                <w:sz w:val="18"/>
                <w:szCs w:val="18"/>
              </w:rPr>
            </w:pPr>
            <w:r>
              <w:rPr>
                <w:kern w:val="0"/>
                <w:sz w:val="18"/>
                <w:szCs w:val="18"/>
              </w:rPr>
              <w:t>库存量</w:t>
            </w:r>
          </w:p>
        </w:tc>
      </w:tr>
      <w:tr w14:paraId="376C397C">
        <w:tblPrEx>
          <w:tblCellMar>
            <w:top w:w="0" w:type="dxa"/>
            <w:left w:w="108" w:type="dxa"/>
            <w:bottom w:w="0" w:type="dxa"/>
            <w:right w:w="108" w:type="dxa"/>
          </w:tblCellMar>
        </w:tblPrEx>
        <w:trPr>
          <w:trHeight w:val="300" w:hRule="atLeast"/>
          <w:jc w:val="center"/>
        </w:trPr>
        <w:tc>
          <w:tcPr>
            <w:tcW w:w="1607" w:type="dxa"/>
            <w:vMerge w:val="continue"/>
            <w:tcBorders>
              <w:top w:val="single" w:color="auto" w:sz="2" w:space="0"/>
              <w:left w:val="nil"/>
              <w:bottom w:val="single" w:color="auto" w:sz="2" w:space="0"/>
              <w:right w:val="single" w:color="auto" w:sz="2" w:space="0"/>
            </w:tcBorders>
            <w:vAlign w:val="center"/>
          </w:tcPr>
          <w:p w14:paraId="0A7D9B5B">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14:paraId="3F36472B">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2ACB68F8">
            <w:pPr>
              <w:widowControl/>
              <w:jc w:val="left"/>
              <w:rPr>
                <w:kern w:val="0"/>
                <w:sz w:val="18"/>
                <w:szCs w:val="18"/>
              </w:rPr>
            </w:pPr>
          </w:p>
        </w:tc>
        <w:tc>
          <w:tcPr>
            <w:tcW w:w="1156" w:type="dxa"/>
            <w:gridSpan w:val="2"/>
            <w:tcBorders>
              <w:top w:val="single" w:color="auto" w:sz="2" w:space="0"/>
              <w:left w:val="single" w:color="auto" w:sz="2" w:space="0"/>
              <w:bottom w:val="single" w:color="auto" w:sz="2" w:space="0"/>
              <w:right w:val="single" w:color="auto" w:sz="2" w:space="0"/>
            </w:tcBorders>
            <w:vAlign w:val="center"/>
          </w:tcPr>
          <w:p w14:paraId="0421F396">
            <w:pPr>
              <w:widowControl/>
              <w:jc w:val="center"/>
              <w:rPr>
                <w:kern w:val="0"/>
                <w:sz w:val="18"/>
                <w:szCs w:val="18"/>
              </w:rPr>
            </w:pPr>
            <w:r>
              <w:rPr>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vAlign w:val="center"/>
          </w:tcPr>
          <w:p w14:paraId="0515AE4F">
            <w:pPr>
              <w:widowControl/>
              <w:jc w:val="center"/>
              <w:rPr>
                <w:kern w:val="0"/>
                <w:sz w:val="18"/>
                <w:szCs w:val="18"/>
              </w:rPr>
            </w:pPr>
            <w:r>
              <w:rPr>
                <w:kern w:val="0"/>
                <w:sz w:val="18"/>
                <w:szCs w:val="18"/>
              </w:rPr>
              <w:t>上年同期</w:t>
            </w:r>
          </w:p>
        </w:tc>
        <w:tc>
          <w:tcPr>
            <w:tcW w:w="1156" w:type="dxa"/>
            <w:gridSpan w:val="2"/>
            <w:tcBorders>
              <w:top w:val="single" w:color="auto" w:sz="2" w:space="0"/>
              <w:left w:val="single" w:color="auto" w:sz="2" w:space="0"/>
              <w:bottom w:val="single" w:color="auto" w:sz="2" w:space="0"/>
              <w:right w:val="single" w:color="auto" w:sz="2" w:space="0"/>
            </w:tcBorders>
            <w:vAlign w:val="center"/>
          </w:tcPr>
          <w:p w14:paraId="006B283C">
            <w:pPr>
              <w:widowControl/>
              <w:jc w:val="center"/>
              <w:rPr>
                <w:kern w:val="0"/>
                <w:sz w:val="18"/>
                <w:szCs w:val="18"/>
              </w:rPr>
            </w:pPr>
            <w:r>
              <w:rPr>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vAlign w:val="center"/>
          </w:tcPr>
          <w:p w14:paraId="486C4EAE">
            <w:pPr>
              <w:widowControl/>
              <w:jc w:val="center"/>
              <w:rPr>
                <w:kern w:val="0"/>
                <w:sz w:val="18"/>
                <w:szCs w:val="18"/>
              </w:rPr>
            </w:pPr>
            <w:r>
              <w:rPr>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3B0A0F7A">
            <w:pPr>
              <w:widowControl/>
              <w:jc w:val="center"/>
              <w:rPr>
                <w:spacing w:val="-20"/>
                <w:kern w:val="0"/>
                <w:sz w:val="18"/>
                <w:szCs w:val="18"/>
              </w:rPr>
            </w:pPr>
            <w:r>
              <w:rPr>
                <w:spacing w:val="-20"/>
                <w:kern w:val="0"/>
                <w:sz w:val="18"/>
                <w:szCs w:val="18"/>
              </w:rPr>
              <w:t>1</w:t>
            </w:r>
            <w:r>
              <w:rPr>
                <w:kern w:val="0"/>
                <w:sz w:val="18"/>
                <w:szCs w:val="18"/>
              </w:rPr>
              <w:t>－</w:t>
            </w:r>
          </w:p>
          <w:p w14:paraId="209E4503">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0CECE"/>
            <w:vAlign w:val="center"/>
          </w:tcPr>
          <w:p w14:paraId="39AFA85C">
            <w:pPr>
              <w:widowControl/>
              <w:jc w:val="center"/>
              <w:rPr>
                <w:spacing w:val="-8"/>
                <w:kern w:val="0"/>
                <w:sz w:val="18"/>
                <w:szCs w:val="18"/>
              </w:rPr>
            </w:pPr>
            <w:r>
              <w:rPr>
                <w:spacing w:val="-8"/>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151EE57D">
            <w:pPr>
              <w:widowControl/>
              <w:jc w:val="center"/>
              <w:rPr>
                <w:spacing w:val="-8"/>
                <w:kern w:val="0"/>
                <w:sz w:val="18"/>
                <w:szCs w:val="18"/>
              </w:rPr>
            </w:pPr>
            <w:r>
              <w:rPr>
                <w:spacing w:val="-8"/>
                <w:kern w:val="0"/>
                <w:sz w:val="18"/>
                <w:szCs w:val="18"/>
              </w:rPr>
              <w:t>本期</w:t>
            </w:r>
          </w:p>
        </w:tc>
        <w:tc>
          <w:tcPr>
            <w:tcW w:w="578" w:type="dxa"/>
            <w:vMerge w:val="restart"/>
            <w:tcBorders>
              <w:top w:val="single" w:color="auto" w:sz="2" w:space="0"/>
              <w:left w:val="single" w:color="auto" w:sz="2" w:space="0"/>
              <w:bottom w:val="single" w:color="auto" w:sz="2" w:space="0"/>
              <w:right w:val="nil"/>
            </w:tcBorders>
            <w:shd w:val="clear" w:color="auto" w:fill="D0CECE"/>
            <w:vAlign w:val="center"/>
          </w:tcPr>
          <w:p w14:paraId="59060595">
            <w:pPr>
              <w:widowControl/>
              <w:jc w:val="center"/>
              <w:rPr>
                <w:spacing w:val="-8"/>
                <w:kern w:val="0"/>
                <w:sz w:val="18"/>
                <w:szCs w:val="18"/>
              </w:rPr>
            </w:pPr>
            <w:r>
              <w:rPr>
                <w:spacing w:val="-8"/>
                <w:kern w:val="0"/>
                <w:sz w:val="18"/>
                <w:szCs w:val="18"/>
              </w:rPr>
              <w:t>上年同期</w:t>
            </w:r>
          </w:p>
        </w:tc>
      </w:tr>
      <w:tr w14:paraId="49801773">
        <w:tblPrEx>
          <w:tblCellMar>
            <w:top w:w="0" w:type="dxa"/>
            <w:left w:w="108" w:type="dxa"/>
            <w:bottom w:w="0" w:type="dxa"/>
            <w:right w:w="108" w:type="dxa"/>
          </w:tblCellMar>
        </w:tblPrEx>
        <w:trPr>
          <w:trHeight w:val="285" w:hRule="atLeast"/>
          <w:jc w:val="center"/>
        </w:trPr>
        <w:tc>
          <w:tcPr>
            <w:tcW w:w="1607" w:type="dxa"/>
            <w:vMerge w:val="continue"/>
            <w:tcBorders>
              <w:top w:val="single" w:color="auto" w:sz="2" w:space="0"/>
              <w:left w:val="nil"/>
              <w:bottom w:val="single" w:color="auto" w:sz="2" w:space="0"/>
              <w:right w:val="single" w:color="auto" w:sz="2" w:space="0"/>
            </w:tcBorders>
            <w:vAlign w:val="center"/>
          </w:tcPr>
          <w:p w14:paraId="1C86157E">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14:paraId="23E6BE6C">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320E1F4C">
            <w:pPr>
              <w:widowControl/>
              <w:jc w:val="left"/>
              <w:rPr>
                <w:kern w:val="0"/>
                <w:sz w:val="18"/>
                <w:szCs w:val="18"/>
              </w:rPr>
            </w:pP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3CD1877C">
            <w:pPr>
              <w:widowControl/>
              <w:jc w:val="center"/>
              <w:rPr>
                <w:spacing w:val="-20"/>
                <w:kern w:val="0"/>
                <w:sz w:val="18"/>
                <w:szCs w:val="18"/>
              </w:rPr>
            </w:pPr>
            <w:r>
              <w:rPr>
                <w:spacing w:val="-20"/>
                <w:kern w:val="0"/>
                <w:sz w:val="18"/>
                <w:szCs w:val="18"/>
              </w:rPr>
              <w:t>1</w:t>
            </w:r>
            <w:r>
              <w:rPr>
                <w:kern w:val="0"/>
                <w:sz w:val="18"/>
                <w:szCs w:val="18"/>
              </w:rPr>
              <w:t>－</w:t>
            </w:r>
          </w:p>
          <w:p w14:paraId="5789BC46">
            <w:pPr>
              <w:widowControl/>
              <w:jc w:val="center"/>
              <w:rPr>
                <w:spacing w:val="-20"/>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01602DD2">
            <w:pPr>
              <w:widowControl/>
              <w:rPr>
                <w:kern w:val="0"/>
                <w:sz w:val="18"/>
                <w:szCs w:val="18"/>
              </w:rPr>
            </w:pPr>
            <w:r>
              <w:rPr>
                <w:spacing w:val="-16"/>
                <w:kern w:val="0"/>
                <w:sz w:val="18"/>
                <w:szCs w:val="18"/>
              </w:rPr>
              <w:t>其中：</w:t>
            </w:r>
            <w:r>
              <w:rPr>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14:paraId="7763AA01">
            <w:pPr>
              <w:widowControl/>
              <w:jc w:val="center"/>
              <w:rPr>
                <w:spacing w:val="-20"/>
                <w:kern w:val="0"/>
                <w:sz w:val="18"/>
                <w:szCs w:val="18"/>
              </w:rPr>
            </w:pPr>
            <w:r>
              <w:rPr>
                <w:spacing w:val="-20"/>
                <w:kern w:val="0"/>
                <w:sz w:val="18"/>
                <w:szCs w:val="18"/>
              </w:rPr>
              <w:t>1</w:t>
            </w:r>
            <w:r>
              <w:rPr>
                <w:kern w:val="0"/>
                <w:sz w:val="18"/>
                <w:szCs w:val="18"/>
              </w:rPr>
              <w:t>－</w:t>
            </w:r>
          </w:p>
          <w:p w14:paraId="3169B583">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14:paraId="52F3AA88">
            <w:pPr>
              <w:widowControl/>
              <w:rPr>
                <w:kern w:val="0"/>
                <w:sz w:val="18"/>
                <w:szCs w:val="18"/>
              </w:rPr>
            </w:pPr>
            <w:r>
              <w:rPr>
                <w:spacing w:val="-16"/>
                <w:kern w:val="0"/>
                <w:sz w:val="18"/>
                <w:szCs w:val="18"/>
              </w:rPr>
              <w:t>其中：</w:t>
            </w:r>
            <w:r>
              <w:rPr>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1741C529">
            <w:pPr>
              <w:widowControl/>
              <w:jc w:val="center"/>
              <w:rPr>
                <w:spacing w:val="-20"/>
                <w:kern w:val="0"/>
                <w:sz w:val="18"/>
                <w:szCs w:val="18"/>
              </w:rPr>
            </w:pPr>
            <w:r>
              <w:rPr>
                <w:spacing w:val="-20"/>
                <w:kern w:val="0"/>
                <w:sz w:val="18"/>
                <w:szCs w:val="18"/>
              </w:rPr>
              <w:t>1</w:t>
            </w:r>
            <w:r>
              <w:rPr>
                <w:kern w:val="0"/>
                <w:sz w:val="18"/>
                <w:szCs w:val="18"/>
              </w:rPr>
              <w:t>－</w:t>
            </w:r>
          </w:p>
          <w:p w14:paraId="1C466F32">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vAlign w:val="center"/>
          </w:tcPr>
          <w:p w14:paraId="03572136">
            <w:pPr>
              <w:widowControl/>
              <w:rPr>
                <w:kern w:val="0"/>
                <w:sz w:val="18"/>
                <w:szCs w:val="18"/>
              </w:rPr>
            </w:pPr>
            <w:r>
              <w:rPr>
                <w:spacing w:val="-20"/>
                <w:kern w:val="0"/>
                <w:sz w:val="18"/>
                <w:szCs w:val="18"/>
              </w:rPr>
              <w:t>其中：</w:t>
            </w:r>
            <w:r>
              <w:rPr>
                <w:kern w:val="0"/>
                <w:sz w:val="18"/>
                <w:szCs w:val="18"/>
              </w:rPr>
              <w:t>销往省外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14:paraId="3FA10E70">
            <w:pPr>
              <w:widowControl/>
              <w:jc w:val="center"/>
              <w:rPr>
                <w:spacing w:val="-20"/>
                <w:kern w:val="0"/>
                <w:sz w:val="18"/>
                <w:szCs w:val="18"/>
              </w:rPr>
            </w:pPr>
            <w:r>
              <w:rPr>
                <w:spacing w:val="-20"/>
                <w:kern w:val="0"/>
                <w:sz w:val="18"/>
                <w:szCs w:val="18"/>
              </w:rPr>
              <w:t>1</w:t>
            </w:r>
            <w:r>
              <w:rPr>
                <w:kern w:val="0"/>
                <w:sz w:val="18"/>
                <w:szCs w:val="18"/>
              </w:rPr>
              <w:t>－</w:t>
            </w:r>
          </w:p>
          <w:p w14:paraId="67ACAF80">
            <w:pPr>
              <w:widowControl/>
              <w:jc w:val="center"/>
              <w:rPr>
                <w:kern w:val="0"/>
                <w:sz w:val="18"/>
                <w:szCs w:val="18"/>
              </w:rPr>
            </w:pPr>
            <w:r>
              <w:rPr>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vAlign w:val="center"/>
          </w:tcPr>
          <w:p w14:paraId="4494FA11">
            <w:pPr>
              <w:widowControl/>
              <w:rPr>
                <w:kern w:val="0"/>
                <w:sz w:val="18"/>
                <w:szCs w:val="18"/>
              </w:rPr>
            </w:pPr>
            <w:r>
              <w:rPr>
                <w:spacing w:val="-16"/>
                <w:kern w:val="0"/>
                <w:sz w:val="18"/>
                <w:szCs w:val="18"/>
              </w:rPr>
              <w:t>其中：</w:t>
            </w:r>
            <w:r>
              <w:rPr>
                <w:kern w:val="0"/>
                <w:sz w:val="18"/>
                <w:szCs w:val="18"/>
              </w:rPr>
              <w:t>销往省外</w:t>
            </w: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10B56FFB">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6C02ED2B">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156A2866">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vAlign w:val="center"/>
          </w:tcPr>
          <w:p w14:paraId="3E255B79">
            <w:pPr>
              <w:widowControl/>
              <w:jc w:val="left"/>
              <w:rPr>
                <w:kern w:val="0"/>
                <w:sz w:val="18"/>
                <w:szCs w:val="18"/>
              </w:rPr>
            </w:pPr>
          </w:p>
        </w:tc>
      </w:tr>
      <w:tr w14:paraId="4DD288E2">
        <w:tblPrEx>
          <w:tblCellMar>
            <w:top w:w="0" w:type="dxa"/>
            <w:left w:w="108" w:type="dxa"/>
            <w:bottom w:w="0" w:type="dxa"/>
            <w:right w:w="108" w:type="dxa"/>
          </w:tblCellMar>
        </w:tblPrEx>
        <w:trPr>
          <w:trHeight w:val="300" w:hRule="atLeast"/>
          <w:jc w:val="center"/>
        </w:trPr>
        <w:tc>
          <w:tcPr>
            <w:tcW w:w="1607" w:type="dxa"/>
            <w:vMerge w:val="continue"/>
            <w:tcBorders>
              <w:top w:val="single" w:color="auto" w:sz="2" w:space="0"/>
              <w:left w:val="nil"/>
              <w:bottom w:val="single" w:color="auto" w:sz="2" w:space="0"/>
              <w:right w:val="single" w:color="auto" w:sz="2" w:space="0"/>
            </w:tcBorders>
            <w:vAlign w:val="center"/>
          </w:tcPr>
          <w:p w14:paraId="3A3C9546">
            <w:pPr>
              <w:widowControl/>
              <w:jc w:val="left"/>
              <w:rPr>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vAlign w:val="center"/>
          </w:tcPr>
          <w:p w14:paraId="24483009">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53763A07">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23279DF4">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129AA5C8">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14:paraId="1E9DA879">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14:paraId="03A86CA0">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02B55A0D">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53D783E3">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14:paraId="5871B4BA">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vAlign w:val="center"/>
          </w:tcPr>
          <w:p w14:paraId="2504F545">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2A86E88A">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74E2A570">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vAlign w:val="center"/>
          </w:tcPr>
          <w:p w14:paraId="2B85CBC4">
            <w:pPr>
              <w:widowControl/>
              <w:jc w:val="left"/>
              <w:rPr>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vAlign w:val="center"/>
          </w:tcPr>
          <w:p w14:paraId="7D871BE3">
            <w:pPr>
              <w:widowControl/>
              <w:jc w:val="left"/>
              <w:rPr>
                <w:kern w:val="0"/>
                <w:sz w:val="18"/>
                <w:szCs w:val="18"/>
              </w:rPr>
            </w:pPr>
          </w:p>
        </w:tc>
      </w:tr>
      <w:tr w14:paraId="23CB3DFE">
        <w:tblPrEx>
          <w:tblCellMar>
            <w:top w:w="0" w:type="dxa"/>
            <w:left w:w="108" w:type="dxa"/>
            <w:bottom w:w="0" w:type="dxa"/>
            <w:right w:w="108" w:type="dxa"/>
          </w:tblCellMar>
        </w:tblPrEx>
        <w:trPr>
          <w:trHeight w:val="300" w:hRule="atLeast"/>
          <w:jc w:val="center"/>
        </w:trPr>
        <w:tc>
          <w:tcPr>
            <w:tcW w:w="1607" w:type="dxa"/>
            <w:tcBorders>
              <w:top w:val="single" w:color="auto" w:sz="2" w:space="0"/>
              <w:left w:val="nil"/>
              <w:bottom w:val="single" w:color="auto" w:sz="2" w:space="0"/>
              <w:right w:val="single" w:color="auto" w:sz="2" w:space="0"/>
            </w:tcBorders>
            <w:shd w:val="clear" w:color="auto" w:fill="auto"/>
            <w:vAlign w:val="center"/>
          </w:tcPr>
          <w:p w14:paraId="6E009111">
            <w:pPr>
              <w:widowControl/>
              <w:spacing w:line="240" w:lineRule="atLeast"/>
              <w:jc w:val="center"/>
              <w:textAlignment w:val="center"/>
              <w:rPr>
                <w:kern w:val="0"/>
                <w:sz w:val="18"/>
                <w:szCs w:val="18"/>
              </w:rPr>
            </w:pPr>
            <w:r>
              <w:rPr>
                <w:kern w:val="0"/>
                <w:sz w:val="18"/>
                <w:szCs w:val="18"/>
              </w:rPr>
              <w:t>甲</w:t>
            </w:r>
          </w:p>
        </w:tc>
        <w:tc>
          <w:tcPr>
            <w:tcW w:w="433" w:type="dxa"/>
            <w:tcBorders>
              <w:top w:val="single" w:color="auto" w:sz="2" w:space="0"/>
              <w:left w:val="single" w:color="auto" w:sz="2" w:space="0"/>
              <w:bottom w:val="single" w:color="auto" w:sz="2" w:space="0"/>
              <w:right w:val="single" w:color="auto" w:sz="2" w:space="0"/>
            </w:tcBorders>
            <w:shd w:val="clear" w:color="auto" w:fill="auto"/>
            <w:vAlign w:val="center"/>
          </w:tcPr>
          <w:p w14:paraId="0F310370">
            <w:pPr>
              <w:widowControl/>
              <w:spacing w:line="240" w:lineRule="atLeast"/>
              <w:jc w:val="center"/>
              <w:textAlignment w:val="center"/>
              <w:rPr>
                <w:kern w:val="0"/>
                <w:sz w:val="18"/>
                <w:szCs w:val="18"/>
              </w:rPr>
            </w:pPr>
            <w:r>
              <w:rPr>
                <w:kern w:val="0"/>
                <w:sz w:val="18"/>
                <w:szCs w:val="18"/>
              </w:rPr>
              <w:t>乙</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6C119063">
            <w:pPr>
              <w:widowControl/>
              <w:spacing w:line="240" w:lineRule="atLeast"/>
              <w:jc w:val="center"/>
              <w:textAlignment w:val="center"/>
              <w:rPr>
                <w:kern w:val="0"/>
                <w:sz w:val="18"/>
                <w:szCs w:val="18"/>
              </w:rPr>
            </w:pPr>
            <w:r>
              <w:rPr>
                <w:kern w:val="0"/>
                <w:sz w:val="18"/>
                <w:szCs w:val="18"/>
              </w:rPr>
              <w:t>1</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60125FD9">
            <w:pPr>
              <w:widowControl/>
              <w:spacing w:line="240" w:lineRule="atLeast"/>
              <w:jc w:val="center"/>
              <w:textAlignment w:val="center"/>
              <w:rPr>
                <w:kern w:val="0"/>
                <w:sz w:val="18"/>
                <w:szCs w:val="18"/>
              </w:rPr>
            </w:pPr>
            <w:r>
              <w:rPr>
                <w:kern w:val="0"/>
                <w:sz w:val="18"/>
                <w:szCs w:val="18"/>
              </w:rPr>
              <w:t>2</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4367684A">
            <w:pPr>
              <w:widowControl/>
              <w:spacing w:line="240" w:lineRule="atLeast"/>
              <w:jc w:val="center"/>
              <w:textAlignment w:val="center"/>
              <w:rPr>
                <w:kern w:val="0"/>
                <w:sz w:val="18"/>
                <w:szCs w:val="18"/>
              </w:rPr>
            </w:pPr>
            <w:r>
              <w:rPr>
                <w:kern w:val="0"/>
                <w:sz w:val="18"/>
                <w:szCs w:val="18"/>
              </w:rPr>
              <w:t>3</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43515EDD">
            <w:pPr>
              <w:widowControl/>
              <w:spacing w:line="240" w:lineRule="atLeast"/>
              <w:jc w:val="center"/>
              <w:textAlignment w:val="center"/>
              <w:rPr>
                <w:kern w:val="0"/>
                <w:sz w:val="18"/>
                <w:szCs w:val="18"/>
              </w:rPr>
            </w:pPr>
            <w:r>
              <w:rPr>
                <w:kern w:val="0"/>
                <w:sz w:val="18"/>
                <w:szCs w:val="18"/>
              </w:rPr>
              <w:t>4</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3C48F202">
            <w:pPr>
              <w:widowControl/>
              <w:spacing w:line="240" w:lineRule="atLeast"/>
              <w:jc w:val="center"/>
              <w:textAlignment w:val="center"/>
              <w:rPr>
                <w:kern w:val="0"/>
                <w:sz w:val="18"/>
                <w:szCs w:val="18"/>
              </w:rPr>
            </w:pPr>
            <w:r>
              <w:rPr>
                <w:kern w:val="0"/>
                <w:sz w:val="18"/>
                <w:szCs w:val="18"/>
              </w:rPr>
              <w:t>5</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5B5C333F">
            <w:pPr>
              <w:widowControl/>
              <w:spacing w:line="240" w:lineRule="atLeast"/>
              <w:jc w:val="center"/>
              <w:textAlignment w:val="center"/>
              <w:rPr>
                <w:kern w:val="0"/>
                <w:sz w:val="18"/>
                <w:szCs w:val="18"/>
              </w:rPr>
            </w:pPr>
            <w:r>
              <w:rPr>
                <w:kern w:val="0"/>
                <w:sz w:val="18"/>
                <w:szCs w:val="18"/>
              </w:rPr>
              <w:t>6</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39315731">
            <w:pPr>
              <w:widowControl/>
              <w:spacing w:line="240" w:lineRule="atLeast"/>
              <w:jc w:val="center"/>
              <w:textAlignment w:val="center"/>
              <w:rPr>
                <w:kern w:val="0"/>
                <w:sz w:val="18"/>
                <w:szCs w:val="18"/>
              </w:rPr>
            </w:pPr>
            <w:r>
              <w:rPr>
                <w:kern w:val="0"/>
                <w:sz w:val="18"/>
                <w:szCs w:val="18"/>
              </w:rPr>
              <w:t>7</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7DA36B93">
            <w:pPr>
              <w:widowControl/>
              <w:spacing w:line="240" w:lineRule="atLeast"/>
              <w:jc w:val="center"/>
              <w:textAlignment w:val="center"/>
              <w:rPr>
                <w:kern w:val="0"/>
                <w:sz w:val="18"/>
                <w:szCs w:val="18"/>
              </w:rPr>
            </w:pPr>
            <w:r>
              <w:rPr>
                <w:kern w:val="0"/>
                <w:sz w:val="18"/>
                <w:szCs w:val="18"/>
              </w:rPr>
              <w:t>8</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36958D8E">
            <w:pPr>
              <w:widowControl/>
              <w:spacing w:line="240" w:lineRule="atLeast"/>
              <w:jc w:val="center"/>
              <w:textAlignment w:val="center"/>
              <w:rPr>
                <w:kern w:val="0"/>
                <w:sz w:val="18"/>
                <w:szCs w:val="18"/>
              </w:rPr>
            </w:pPr>
            <w:r>
              <w:rPr>
                <w:kern w:val="0"/>
                <w:sz w:val="18"/>
                <w:szCs w:val="18"/>
              </w:rPr>
              <w:t>9</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623D882A">
            <w:pPr>
              <w:widowControl/>
              <w:spacing w:line="240" w:lineRule="atLeast"/>
              <w:jc w:val="center"/>
              <w:textAlignment w:val="center"/>
              <w:rPr>
                <w:kern w:val="0"/>
                <w:sz w:val="18"/>
                <w:szCs w:val="18"/>
              </w:rPr>
            </w:pPr>
            <w:r>
              <w:rPr>
                <w:kern w:val="0"/>
                <w:sz w:val="18"/>
                <w:szCs w:val="18"/>
              </w:rPr>
              <w:t>10</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663FCE8E">
            <w:pPr>
              <w:widowControl/>
              <w:spacing w:line="240" w:lineRule="atLeast"/>
              <w:jc w:val="center"/>
              <w:textAlignment w:val="center"/>
              <w:rPr>
                <w:kern w:val="0"/>
                <w:sz w:val="18"/>
                <w:szCs w:val="18"/>
              </w:rPr>
            </w:pPr>
            <w:r>
              <w:rPr>
                <w:kern w:val="0"/>
                <w:sz w:val="18"/>
                <w:szCs w:val="18"/>
              </w:rPr>
              <w:t>11</w:t>
            </w:r>
          </w:p>
        </w:tc>
        <w:tc>
          <w:tcPr>
            <w:tcW w:w="578" w:type="dxa"/>
            <w:tcBorders>
              <w:top w:val="single" w:color="auto" w:sz="2" w:space="0"/>
              <w:left w:val="single" w:color="auto" w:sz="2" w:space="0"/>
              <w:bottom w:val="single" w:color="auto" w:sz="2" w:space="0"/>
              <w:right w:val="single" w:color="auto" w:sz="2" w:space="0"/>
            </w:tcBorders>
            <w:shd w:val="clear" w:color="auto" w:fill="auto"/>
            <w:vAlign w:val="center"/>
          </w:tcPr>
          <w:p w14:paraId="7EBAC90A">
            <w:pPr>
              <w:widowControl/>
              <w:spacing w:line="240" w:lineRule="atLeast"/>
              <w:jc w:val="center"/>
              <w:textAlignment w:val="center"/>
              <w:rPr>
                <w:kern w:val="0"/>
                <w:sz w:val="18"/>
                <w:szCs w:val="18"/>
              </w:rPr>
            </w:pPr>
            <w:r>
              <w:rPr>
                <w:kern w:val="0"/>
                <w:sz w:val="18"/>
                <w:szCs w:val="18"/>
              </w:rPr>
              <w:t>12</w:t>
            </w:r>
          </w:p>
        </w:tc>
        <w:tc>
          <w:tcPr>
            <w:tcW w:w="578" w:type="dxa"/>
            <w:tcBorders>
              <w:top w:val="single" w:color="auto" w:sz="2" w:space="0"/>
              <w:left w:val="single" w:color="auto" w:sz="2" w:space="0"/>
              <w:bottom w:val="single" w:color="auto" w:sz="2" w:space="0"/>
              <w:right w:val="nil"/>
            </w:tcBorders>
            <w:shd w:val="clear" w:color="auto" w:fill="auto"/>
            <w:vAlign w:val="center"/>
          </w:tcPr>
          <w:p w14:paraId="55DE3413">
            <w:pPr>
              <w:widowControl/>
              <w:spacing w:line="240" w:lineRule="atLeast"/>
              <w:jc w:val="center"/>
              <w:textAlignment w:val="center"/>
              <w:rPr>
                <w:kern w:val="0"/>
                <w:sz w:val="18"/>
                <w:szCs w:val="18"/>
              </w:rPr>
            </w:pPr>
            <w:r>
              <w:rPr>
                <w:kern w:val="0"/>
                <w:sz w:val="18"/>
                <w:szCs w:val="18"/>
              </w:rPr>
              <w:t>13</w:t>
            </w:r>
          </w:p>
        </w:tc>
      </w:tr>
      <w:tr w14:paraId="4BE47963">
        <w:tblPrEx>
          <w:tblCellMar>
            <w:top w:w="0" w:type="dxa"/>
            <w:left w:w="108" w:type="dxa"/>
            <w:bottom w:w="0" w:type="dxa"/>
            <w:right w:w="108" w:type="dxa"/>
          </w:tblCellMar>
        </w:tblPrEx>
        <w:trPr>
          <w:trHeight w:val="285" w:hRule="atLeast"/>
          <w:jc w:val="center"/>
        </w:trPr>
        <w:tc>
          <w:tcPr>
            <w:tcW w:w="1607" w:type="dxa"/>
            <w:tcBorders>
              <w:top w:val="single" w:color="auto" w:sz="2" w:space="0"/>
              <w:left w:val="nil"/>
              <w:bottom w:val="nil"/>
              <w:right w:val="single" w:color="auto" w:sz="2" w:space="0"/>
            </w:tcBorders>
            <w:noWrap/>
            <w:vAlign w:val="center"/>
          </w:tcPr>
          <w:p w14:paraId="78F40281">
            <w:pPr>
              <w:widowControl/>
              <w:rPr>
                <w:kern w:val="0"/>
                <w:sz w:val="18"/>
                <w:szCs w:val="18"/>
              </w:rPr>
            </w:pPr>
            <w:r>
              <w:rPr>
                <w:kern w:val="0"/>
                <w:sz w:val="18"/>
                <w:szCs w:val="18"/>
              </w:rPr>
              <w:t>原煤　</w:t>
            </w:r>
          </w:p>
        </w:tc>
        <w:tc>
          <w:tcPr>
            <w:tcW w:w="433" w:type="dxa"/>
            <w:tcBorders>
              <w:top w:val="single" w:color="auto" w:sz="2" w:space="0"/>
              <w:left w:val="single" w:color="auto" w:sz="2" w:space="0"/>
              <w:bottom w:val="nil"/>
              <w:right w:val="single" w:color="auto" w:sz="2" w:space="0"/>
            </w:tcBorders>
            <w:noWrap/>
            <w:vAlign w:val="center"/>
          </w:tcPr>
          <w:p w14:paraId="355A24C0">
            <w:pPr>
              <w:widowControl/>
              <w:jc w:val="center"/>
              <w:rPr>
                <w:kern w:val="0"/>
                <w:sz w:val="18"/>
                <w:szCs w:val="18"/>
              </w:rPr>
            </w:pPr>
            <w:r>
              <w:rPr>
                <w:kern w:val="0"/>
                <w:sz w:val="18"/>
                <w:szCs w:val="18"/>
              </w:rPr>
              <w:t>01</w:t>
            </w:r>
          </w:p>
        </w:tc>
        <w:tc>
          <w:tcPr>
            <w:tcW w:w="7514" w:type="dxa"/>
            <w:gridSpan w:val="13"/>
            <w:vMerge w:val="restart"/>
            <w:tcBorders>
              <w:top w:val="single" w:color="auto" w:sz="2" w:space="0"/>
              <w:left w:val="single" w:color="auto" w:sz="2" w:space="0"/>
              <w:bottom w:val="single" w:color="auto" w:sz="4" w:space="0"/>
              <w:right w:val="nil"/>
            </w:tcBorders>
            <w:shd w:val="clear" w:color="auto" w:fill="auto"/>
            <w:vAlign w:val="center"/>
          </w:tcPr>
          <w:p w14:paraId="5DA7D4A9">
            <w:pPr>
              <w:widowControl/>
              <w:jc w:val="left"/>
              <w:rPr>
                <w:kern w:val="0"/>
                <w:sz w:val="18"/>
                <w:szCs w:val="18"/>
              </w:rPr>
            </w:pPr>
            <w:r>
              <w:rPr>
                <w:kern w:val="0"/>
                <w:sz w:val="18"/>
                <w:szCs w:val="18"/>
              </w:rPr>
              <w:t>　</w:t>
            </w:r>
          </w:p>
        </w:tc>
      </w:tr>
      <w:tr w14:paraId="4AF42721">
        <w:tblPrEx>
          <w:tblCellMar>
            <w:top w:w="0" w:type="dxa"/>
            <w:left w:w="108" w:type="dxa"/>
            <w:bottom w:w="0" w:type="dxa"/>
            <w:right w:w="108" w:type="dxa"/>
          </w:tblCellMar>
        </w:tblPrEx>
        <w:trPr>
          <w:trHeight w:val="354" w:hRule="atLeast"/>
          <w:jc w:val="center"/>
        </w:trPr>
        <w:tc>
          <w:tcPr>
            <w:tcW w:w="1607" w:type="dxa"/>
            <w:tcBorders>
              <w:top w:val="nil"/>
              <w:left w:val="nil"/>
              <w:bottom w:val="nil"/>
              <w:right w:val="single" w:color="auto" w:sz="2" w:space="0"/>
            </w:tcBorders>
            <w:noWrap/>
            <w:vAlign w:val="center"/>
          </w:tcPr>
          <w:p w14:paraId="6A13D0DA">
            <w:pPr>
              <w:widowControl/>
              <w:rPr>
                <w:spacing w:val="-14"/>
                <w:w w:val="90"/>
                <w:kern w:val="0"/>
                <w:sz w:val="18"/>
                <w:szCs w:val="18"/>
              </w:rPr>
            </w:pPr>
            <w:r>
              <w:rPr>
                <w:spacing w:val="-14"/>
                <w:w w:val="90"/>
                <w:kern w:val="0"/>
                <w:sz w:val="18"/>
                <w:szCs w:val="18"/>
              </w:rPr>
              <w:t>洗精煤（用于炼焦）</w:t>
            </w:r>
          </w:p>
        </w:tc>
        <w:tc>
          <w:tcPr>
            <w:tcW w:w="433" w:type="dxa"/>
            <w:tcBorders>
              <w:top w:val="nil"/>
              <w:left w:val="single" w:color="auto" w:sz="2" w:space="0"/>
              <w:bottom w:val="nil"/>
              <w:right w:val="single" w:color="auto" w:sz="2" w:space="0"/>
            </w:tcBorders>
            <w:noWrap/>
            <w:vAlign w:val="center"/>
          </w:tcPr>
          <w:p w14:paraId="159B3572">
            <w:pPr>
              <w:widowControl/>
              <w:jc w:val="center"/>
              <w:rPr>
                <w:kern w:val="0"/>
                <w:sz w:val="18"/>
                <w:szCs w:val="18"/>
              </w:rPr>
            </w:pPr>
            <w:r>
              <w:rPr>
                <w:kern w:val="0"/>
                <w:sz w:val="18"/>
                <w:szCs w:val="18"/>
              </w:rPr>
              <w:t>02</w:t>
            </w:r>
          </w:p>
        </w:tc>
        <w:tc>
          <w:tcPr>
            <w:tcW w:w="7514" w:type="dxa"/>
            <w:gridSpan w:val="13"/>
            <w:vMerge w:val="continue"/>
            <w:tcBorders>
              <w:top w:val="nil"/>
              <w:left w:val="single" w:color="auto" w:sz="2" w:space="0"/>
              <w:bottom w:val="single" w:color="auto" w:sz="4" w:space="0"/>
            </w:tcBorders>
            <w:shd w:val="clear" w:color="auto" w:fill="auto"/>
            <w:vAlign w:val="center"/>
          </w:tcPr>
          <w:p w14:paraId="61FBEC4F">
            <w:pPr>
              <w:widowControl/>
              <w:jc w:val="left"/>
              <w:rPr>
                <w:kern w:val="0"/>
                <w:sz w:val="18"/>
                <w:szCs w:val="18"/>
              </w:rPr>
            </w:pPr>
          </w:p>
        </w:tc>
      </w:tr>
      <w:tr w14:paraId="24272061">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41D7950D">
            <w:pPr>
              <w:widowControl/>
              <w:rPr>
                <w:kern w:val="0"/>
                <w:sz w:val="18"/>
                <w:szCs w:val="18"/>
              </w:rPr>
            </w:pPr>
            <w:r>
              <w:rPr>
                <w:kern w:val="0"/>
                <w:sz w:val="18"/>
                <w:szCs w:val="18"/>
              </w:rPr>
              <w:t>其他洗煤</w:t>
            </w:r>
          </w:p>
        </w:tc>
        <w:tc>
          <w:tcPr>
            <w:tcW w:w="433" w:type="dxa"/>
            <w:tcBorders>
              <w:top w:val="nil"/>
              <w:left w:val="single" w:color="auto" w:sz="2" w:space="0"/>
              <w:bottom w:val="nil"/>
              <w:right w:val="single" w:color="auto" w:sz="2" w:space="0"/>
            </w:tcBorders>
            <w:noWrap/>
            <w:vAlign w:val="center"/>
          </w:tcPr>
          <w:p w14:paraId="3E84E0F3">
            <w:pPr>
              <w:widowControl/>
              <w:jc w:val="center"/>
              <w:rPr>
                <w:kern w:val="0"/>
                <w:sz w:val="18"/>
                <w:szCs w:val="18"/>
              </w:rPr>
            </w:pPr>
            <w:r>
              <w:rPr>
                <w:kern w:val="0"/>
                <w:sz w:val="18"/>
                <w:szCs w:val="18"/>
              </w:rPr>
              <w:t>03</w:t>
            </w:r>
          </w:p>
        </w:tc>
        <w:tc>
          <w:tcPr>
            <w:tcW w:w="7514" w:type="dxa"/>
            <w:gridSpan w:val="13"/>
            <w:vMerge w:val="continue"/>
            <w:tcBorders>
              <w:top w:val="nil"/>
              <w:left w:val="single" w:color="auto" w:sz="2" w:space="0"/>
              <w:bottom w:val="single" w:color="auto" w:sz="4" w:space="0"/>
            </w:tcBorders>
            <w:shd w:val="clear" w:color="auto" w:fill="auto"/>
            <w:vAlign w:val="center"/>
          </w:tcPr>
          <w:p w14:paraId="2A6E7058">
            <w:pPr>
              <w:widowControl/>
              <w:jc w:val="left"/>
              <w:rPr>
                <w:kern w:val="0"/>
                <w:sz w:val="18"/>
                <w:szCs w:val="18"/>
              </w:rPr>
            </w:pPr>
          </w:p>
        </w:tc>
      </w:tr>
      <w:tr w14:paraId="2E7EC020">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6A2FE349">
            <w:pPr>
              <w:widowControl/>
              <w:rPr>
                <w:kern w:val="0"/>
                <w:sz w:val="18"/>
                <w:szCs w:val="18"/>
              </w:rPr>
            </w:pPr>
            <w:r>
              <w:rPr>
                <w:kern w:val="0"/>
                <w:sz w:val="18"/>
                <w:szCs w:val="18"/>
              </w:rPr>
              <w:t>煤制品</w:t>
            </w:r>
          </w:p>
        </w:tc>
        <w:tc>
          <w:tcPr>
            <w:tcW w:w="433" w:type="dxa"/>
            <w:tcBorders>
              <w:top w:val="nil"/>
              <w:left w:val="single" w:color="auto" w:sz="2" w:space="0"/>
              <w:bottom w:val="nil"/>
              <w:right w:val="single" w:color="auto" w:sz="2" w:space="0"/>
            </w:tcBorders>
            <w:noWrap/>
            <w:vAlign w:val="center"/>
          </w:tcPr>
          <w:p w14:paraId="67667FDB">
            <w:pPr>
              <w:widowControl/>
              <w:jc w:val="center"/>
              <w:rPr>
                <w:kern w:val="0"/>
                <w:sz w:val="18"/>
                <w:szCs w:val="18"/>
              </w:rPr>
            </w:pPr>
            <w:r>
              <w:rPr>
                <w:kern w:val="0"/>
                <w:sz w:val="18"/>
                <w:szCs w:val="18"/>
              </w:rPr>
              <w:t>04</w:t>
            </w:r>
          </w:p>
        </w:tc>
        <w:tc>
          <w:tcPr>
            <w:tcW w:w="7514" w:type="dxa"/>
            <w:gridSpan w:val="13"/>
            <w:vMerge w:val="continue"/>
            <w:tcBorders>
              <w:top w:val="nil"/>
              <w:left w:val="single" w:color="auto" w:sz="2" w:space="0"/>
              <w:bottom w:val="single" w:color="auto" w:sz="4" w:space="0"/>
            </w:tcBorders>
            <w:shd w:val="clear" w:color="auto" w:fill="auto"/>
            <w:vAlign w:val="center"/>
          </w:tcPr>
          <w:p w14:paraId="3BE125A2">
            <w:pPr>
              <w:widowControl/>
              <w:jc w:val="left"/>
              <w:rPr>
                <w:kern w:val="0"/>
                <w:sz w:val="18"/>
                <w:szCs w:val="18"/>
              </w:rPr>
            </w:pPr>
          </w:p>
        </w:tc>
      </w:tr>
      <w:tr w14:paraId="0F0A10B5">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7BDE38DC">
            <w:pPr>
              <w:widowControl/>
              <w:jc w:val="left"/>
              <w:rPr>
                <w:kern w:val="0"/>
                <w:sz w:val="18"/>
                <w:szCs w:val="18"/>
              </w:rPr>
            </w:pPr>
            <w:r>
              <w:rPr>
                <w:kern w:val="0"/>
                <w:sz w:val="18"/>
                <w:szCs w:val="18"/>
              </w:rPr>
              <w:t>焦炭</w:t>
            </w:r>
          </w:p>
        </w:tc>
        <w:tc>
          <w:tcPr>
            <w:tcW w:w="433" w:type="dxa"/>
            <w:tcBorders>
              <w:top w:val="nil"/>
              <w:left w:val="single" w:color="auto" w:sz="2" w:space="0"/>
              <w:bottom w:val="nil"/>
              <w:right w:val="single" w:color="auto" w:sz="2" w:space="0"/>
            </w:tcBorders>
            <w:noWrap/>
            <w:vAlign w:val="center"/>
          </w:tcPr>
          <w:p w14:paraId="689EDC56">
            <w:pPr>
              <w:widowControl/>
              <w:jc w:val="center"/>
              <w:rPr>
                <w:kern w:val="0"/>
                <w:sz w:val="18"/>
                <w:szCs w:val="18"/>
              </w:rPr>
            </w:pPr>
            <w:r>
              <w:rPr>
                <w:kern w:val="0"/>
                <w:sz w:val="18"/>
                <w:szCs w:val="18"/>
              </w:rPr>
              <w:t>05</w:t>
            </w:r>
          </w:p>
        </w:tc>
        <w:tc>
          <w:tcPr>
            <w:tcW w:w="7514" w:type="dxa"/>
            <w:gridSpan w:val="13"/>
            <w:vMerge w:val="continue"/>
            <w:tcBorders>
              <w:top w:val="nil"/>
              <w:left w:val="single" w:color="auto" w:sz="2" w:space="0"/>
              <w:bottom w:val="single" w:color="auto" w:sz="4" w:space="0"/>
            </w:tcBorders>
            <w:shd w:val="clear" w:color="auto" w:fill="auto"/>
            <w:vAlign w:val="center"/>
          </w:tcPr>
          <w:p w14:paraId="0563847C">
            <w:pPr>
              <w:widowControl/>
              <w:jc w:val="left"/>
              <w:rPr>
                <w:kern w:val="0"/>
                <w:sz w:val="18"/>
                <w:szCs w:val="18"/>
              </w:rPr>
            </w:pPr>
          </w:p>
        </w:tc>
      </w:tr>
      <w:tr w14:paraId="3EF77B9E">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40979F28">
            <w:pPr>
              <w:widowControl/>
              <w:rPr>
                <w:kern w:val="0"/>
                <w:sz w:val="18"/>
                <w:szCs w:val="18"/>
              </w:rPr>
            </w:pPr>
            <w:r>
              <w:rPr>
                <w:kern w:val="0"/>
                <w:sz w:val="18"/>
                <w:szCs w:val="18"/>
              </w:rPr>
              <w:t>液化天然气</w:t>
            </w:r>
          </w:p>
        </w:tc>
        <w:tc>
          <w:tcPr>
            <w:tcW w:w="433" w:type="dxa"/>
            <w:tcBorders>
              <w:top w:val="nil"/>
              <w:left w:val="single" w:color="auto" w:sz="2" w:space="0"/>
              <w:bottom w:val="nil"/>
              <w:right w:val="single" w:color="auto" w:sz="2" w:space="0"/>
            </w:tcBorders>
            <w:noWrap/>
            <w:vAlign w:val="center"/>
          </w:tcPr>
          <w:p w14:paraId="48465803">
            <w:pPr>
              <w:widowControl/>
              <w:jc w:val="center"/>
              <w:rPr>
                <w:kern w:val="0"/>
                <w:sz w:val="18"/>
                <w:szCs w:val="18"/>
              </w:rPr>
            </w:pPr>
            <w:r>
              <w:rPr>
                <w:kern w:val="0"/>
                <w:sz w:val="18"/>
                <w:szCs w:val="18"/>
              </w:rPr>
              <w:t>06</w:t>
            </w:r>
          </w:p>
        </w:tc>
        <w:tc>
          <w:tcPr>
            <w:tcW w:w="7514" w:type="dxa"/>
            <w:gridSpan w:val="13"/>
            <w:vMerge w:val="continue"/>
            <w:tcBorders>
              <w:top w:val="nil"/>
              <w:left w:val="single" w:color="auto" w:sz="2" w:space="0"/>
              <w:bottom w:val="single" w:color="auto" w:sz="4" w:space="0"/>
            </w:tcBorders>
            <w:shd w:val="clear" w:color="auto" w:fill="auto"/>
            <w:vAlign w:val="center"/>
          </w:tcPr>
          <w:p w14:paraId="1423970F">
            <w:pPr>
              <w:widowControl/>
              <w:jc w:val="left"/>
              <w:rPr>
                <w:kern w:val="0"/>
                <w:sz w:val="18"/>
                <w:szCs w:val="18"/>
              </w:rPr>
            </w:pPr>
          </w:p>
        </w:tc>
      </w:tr>
      <w:tr w14:paraId="10CBE267">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4031D840">
            <w:pPr>
              <w:widowControl/>
              <w:rPr>
                <w:kern w:val="0"/>
                <w:sz w:val="18"/>
                <w:szCs w:val="18"/>
              </w:rPr>
            </w:pPr>
            <w:r>
              <w:rPr>
                <w:kern w:val="0"/>
                <w:sz w:val="18"/>
                <w:szCs w:val="18"/>
              </w:rPr>
              <w:t>原油</w:t>
            </w:r>
          </w:p>
        </w:tc>
        <w:tc>
          <w:tcPr>
            <w:tcW w:w="433" w:type="dxa"/>
            <w:tcBorders>
              <w:top w:val="nil"/>
              <w:left w:val="single" w:color="auto" w:sz="2" w:space="0"/>
              <w:bottom w:val="nil"/>
              <w:right w:val="single" w:color="auto" w:sz="2" w:space="0"/>
            </w:tcBorders>
            <w:noWrap/>
            <w:vAlign w:val="center"/>
          </w:tcPr>
          <w:p w14:paraId="14A2453E">
            <w:pPr>
              <w:widowControl/>
              <w:jc w:val="center"/>
              <w:rPr>
                <w:kern w:val="0"/>
                <w:sz w:val="18"/>
                <w:szCs w:val="18"/>
              </w:rPr>
            </w:pPr>
            <w:r>
              <w:rPr>
                <w:kern w:val="0"/>
                <w:sz w:val="18"/>
                <w:szCs w:val="18"/>
              </w:rPr>
              <w:t>07</w:t>
            </w:r>
          </w:p>
        </w:tc>
        <w:tc>
          <w:tcPr>
            <w:tcW w:w="7514" w:type="dxa"/>
            <w:gridSpan w:val="13"/>
            <w:vMerge w:val="continue"/>
            <w:tcBorders>
              <w:top w:val="nil"/>
              <w:left w:val="single" w:color="auto" w:sz="2" w:space="0"/>
              <w:bottom w:val="single" w:color="auto" w:sz="4" w:space="0"/>
            </w:tcBorders>
            <w:shd w:val="clear" w:color="auto" w:fill="auto"/>
            <w:vAlign w:val="center"/>
          </w:tcPr>
          <w:p w14:paraId="0E54C348">
            <w:pPr>
              <w:widowControl/>
              <w:jc w:val="left"/>
              <w:rPr>
                <w:kern w:val="0"/>
                <w:sz w:val="18"/>
                <w:szCs w:val="18"/>
              </w:rPr>
            </w:pPr>
          </w:p>
        </w:tc>
      </w:tr>
      <w:tr w14:paraId="276DF225">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54CDCEBD">
            <w:pPr>
              <w:widowControl/>
              <w:rPr>
                <w:kern w:val="0"/>
                <w:sz w:val="18"/>
                <w:szCs w:val="18"/>
              </w:rPr>
            </w:pPr>
            <w:r>
              <w:rPr>
                <w:kern w:val="0"/>
                <w:sz w:val="18"/>
                <w:szCs w:val="18"/>
              </w:rPr>
              <w:t>汽油</w:t>
            </w:r>
          </w:p>
        </w:tc>
        <w:tc>
          <w:tcPr>
            <w:tcW w:w="433" w:type="dxa"/>
            <w:tcBorders>
              <w:top w:val="nil"/>
              <w:left w:val="single" w:color="auto" w:sz="2" w:space="0"/>
              <w:bottom w:val="nil"/>
              <w:right w:val="single" w:color="auto" w:sz="2" w:space="0"/>
            </w:tcBorders>
            <w:noWrap/>
            <w:vAlign w:val="center"/>
          </w:tcPr>
          <w:p w14:paraId="2B7F093D">
            <w:pPr>
              <w:widowControl/>
              <w:jc w:val="center"/>
              <w:rPr>
                <w:kern w:val="0"/>
                <w:sz w:val="18"/>
                <w:szCs w:val="18"/>
              </w:rPr>
            </w:pPr>
            <w:r>
              <w:rPr>
                <w:kern w:val="0"/>
                <w:sz w:val="18"/>
                <w:szCs w:val="18"/>
              </w:rPr>
              <w:t>08</w:t>
            </w:r>
          </w:p>
        </w:tc>
        <w:tc>
          <w:tcPr>
            <w:tcW w:w="7514" w:type="dxa"/>
            <w:gridSpan w:val="13"/>
            <w:vMerge w:val="continue"/>
            <w:tcBorders>
              <w:top w:val="nil"/>
              <w:left w:val="single" w:color="auto" w:sz="2" w:space="0"/>
              <w:bottom w:val="single" w:color="auto" w:sz="4" w:space="0"/>
            </w:tcBorders>
            <w:shd w:val="clear" w:color="auto" w:fill="auto"/>
            <w:vAlign w:val="center"/>
          </w:tcPr>
          <w:p w14:paraId="1510848C">
            <w:pPr>
              <w:widowControl/>
              <w:jc w:val="left"/>
              <w:rPr>
                <w:kern w:val="0"/>
                <w:sz w:val="18"/>
                <w:szCs w:val="18"/>
              </w:rPr>
            </w:pPr>
          </w:p>
        </w:tc>
      </w:tr>
      <w:tr w14:paraId="142B8707">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06C25880">
            <w:pPr>
              <w:widowControl/>
              <w:rPr>
                <w:kern w:val="0"/>
                <w:sz w:val="18"/>
                <w:szCs w:val="18"/>
              </w:rPr>
            </w:pPr>
            <w:r>
              <w:rPr>
                <w:kern w:val="0"/>
                <w:sz w:val="18"/>
                <w:szCs w:val="18"/>
              </w:rPr>
              <w:t>煤油</w:t>
            </w:r>
          </w:p>
        </w:tc>
        <w:tc>
          <w:tcPr>
            <w:tcW w:w="433" w:type="dxa"/>
            <w:tcBorders>
              <w:top w:val="nil"/>
              <w:left w:val="single" w:color="auto" w:sz="2" w:space="0"/>
              <w:bottom w:val="nil"/>
              <w:right w:val="single" w:color="auto" w:sz="2" w:space="0"/>
            </w:tcBorders>
            <w:noWrap/>
            <w:vAlign w:val="center"/>
          </w:tcPr>
          <w:p w14:paraId="495D6BE4">
            <w:pPr>
              <w:widowControl/>
              <w:jc w:val="center"/>
              <w:rPr>
                <w:kern w:val="0"/>
                <w:sz w:val="18"/>
                <w:szCs w:val="18"/>
              </w:rPr>
            </w:pPr>
            <w:r>
              <w:rPr>
                <w:kern w:val="0"/>
                <w:sz w:val="18"/>
                <w:szCs w:val="18"/>
              </w:rPr>
              <w:t>09</w:t>
            </w:r>
          </w:p>
        </w:tc>
        <w:tc>
          <w:tcPr>
            <w:tcW w:w="7514" w:type="dxa"/>
            <w:gridSpan w:val="13"/>
            <w:vMerge w:val="continue"/>
            <w:tcBorders>
              <w:top w:val="nil"/>
              <w:left w:val="single" w:color="auto" w:sz="2" w:space="0"/>
              <w:bottom w:val="single" w:color="auto" w:sz="4" w:space="0"/>
            </w:tcBorders>
            <w:shd w:val="clear" w:color="auto" w:fill="auto"/>
            <w:vAlign w:val="center"/>
          </w:tcPr>
          <w:p w14:paraId="5C42AE07">
            <w:pPr>
              <w:widowControl/>
              <w:jc w:val="left"/>
              <w:rPr>
                <w:kern w:val="0"/>
                <w:sz w:val="18"/>
                <w:szCs w:val="18"/>
              </w:rPr>
            </w:pPr>
          </w:p>
        </w:tc>
      </w:tr>
      <w:tr w14:paraId="6FDF57EE">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593C73B8">
            <w:pPr>
              <w:widowControl/>
              <w:rPr>
                <w:kern w:val="0"/>
                <w:sz w:val="18"/>
                <w:szCs w:val="18"/>
              </w:rPr>
            </w:pPr>
            <w:r>
              <w:rPr>
                <w:kern w:val="0"/>
                <w:sz w:val="18"/>
                <w:szCs w:val="18"/>
              </w:rPr>
              <w:t>柴油</w:t>
            </w:r>
          </w:p>
        </w:tc>
        <w:tc>
          <w:tcPr>
            <w:tcW w:w="433" w:type="dxa"/>
            <w:tcBorders>
              <w:top w:val="nil"/>
              <w:left w:val="single" w:color="auto" w:sz="2" w:space="0"/>
              <w:bottom w:val="nil"/>
              <w:right w:val="single" w:color="auto" w:sz="2" w:space="0"/>
            </w:tcBorders>
            <w:noWrap/>
            <w:vAlign w:val="center"/>
          </w:tcPr>
          <w:p w14:paraId="29D21B07">
            <w:pPr>
              <w:widowControl/>
              <w:jc w:val="center"/>
              <w:rPr>
                <w:kern w:val="0"/>
                <w:sz w:val="18"/>
                <w:szCs w:val="18"/>
              </w:rPr>
            </w:pPr>
            <w:r>
              <w:rPr>
                <w:kern w:val="0"/>
                <w:sz w:val="18"/>
                <w:szCs w:val="18"/>
              </w:rPr>
              <w:t>10</w:t>
            </w:r>
          </w:p>
        </w:tc>
        <w:tc>
          <w:tcPr>
            <w:tcW w:w="7514" w:type="dxa"/>
            <w:gridSpan w:val="13"/>
            <w:vMerge w:val="continue"/>
            <w:tcBorders>
              <w:top w:val="nil"/>
              <w:left w:val="single" w:color="auto" w:sz="2" w:space="0"/>
              <w:bottom w:val="single" w:color="auto" w:sz="4" w:space="0"/>
            </w:tcBorders>
            <w:shd w:val="clear" w:color="auto" w:fill="auto"/>
            <w:vAlign w:val="center"/>
          </w:tcPr>
          <w:p w14:paraId="7C11A1D4">
            <w:pPr>
              <w:widowControl/>
              <w:jc w:val="left"/>
              <w:rPr>
                <w:kern w:val="0"/>
                <w:sz w:val="18"/>
                <w:szCs w:val="18"/>
              </w:rPr>
            </w:pPr>
          </w:p>
        </w:tc>
      </w:tr>
      <w:tr w14:paraId="449416DE">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62C6FF4A">
            <w:pPr>
              <w:widowControl/>
              <w:rPr>
                <w:kern w:val="0"/>
                <w:sz w:val="18"/>
                <w:szCs w:val="18"/>
              </w:rPr>
            </w:pPr>
            <w:r>
              <w:rPr>
                <w:kern w:val="0"/>
                <w:sz w:val="18"/>
                <w:szCs w:val="18"/>
              </w:rPr>
              <w:t>燃料油</w:t>
            </w:r>
          </w:p>
        </w:tc>
        <w:tc>
          <w:tcPr>
            <w:tcW w:w="433" w:type="dxa"/>
            <w:tcBorders>
              <w:top w:val="nil"/>
              <w:left w:val="single" w:color="auto" w:sz="2" w:space="0"/>
              <w:bottom w:val="nil"/>
              <w:right w:val="single" w:color="auto" w:sz="2" w:space="0"/>
            </w:tcBorders>
            <w:noWrap/>
            <w:vAlign w:val="center"/>
          </w:tcPr>
          <w:p w14:paraId="159BC0B1">
            <w:pPr>
              <w:widowControl/>
              <w:jc w:val="center"/>
              <w:rPr>
                <w:kern w:val="0"/>
                <w:sz w:val="18"/>
                <w:szCs w:val="18"/>
              </w:rPr>
            </w:pPr>
            <w:r>
              <w:rPr>
                <w:kern w:val="0"/>
                <w:sz w:val="18"/>
                <w:szCs w:val="18"/>
              </w:rPr>
              <w:t>11</w:t>
            </w:r>
          </w:p>
        </w:tc>
        <w:tc>
          <w:tcPr>
            <w:tcW w:w="7514" w:type="dxa"/>
            <w:gridSpan w:val="13"/>
            <w:vMerge w:val="continue"/>
            <w:tcBorders>
              <w:top w:val="nil"/>
              <w:left w:val="single" w:color="auto" w:sz="2" w:space="0"/>
              <w:bottom w:val="single" w:color="auto" w:sz="4" w:space="0"/>
            </w:tcBorders>
            <w:shd w:val="clear" w:color="auto" w:fill="auto"/>
            <w:vAlign w:val="center"/>
          </w:tcPr>
          <w:p w14:paraId="09069CA3">
            <w:pPr>
              <w:widowControl/>
              <w:jc w:val="left"/>
              <w:rPr>
                <w:kern w:val="0"/>
                <w:sz w:val="18"/>
                <w:szCs w:val="18"/>
              </w:rPr>
            </w:pPr>
          </w:p>
        </w:tc>
      </w:tr>
      <w:tr w14:paraId="48727967">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523AE131">
            <w:pPr>
              <w:widowControl/>
              <w:rPr>
                <w:kern w:val="0"/>
                <w:sz w:val="18"/>
                <w:szCs w:val="18"/>
              </w:rPr>
            </w:pPr>
            <w:r>
              <w:rPr>
                <w:kern w:val="0"/>
                <w:sz w:val="18"/>
                <w:szCs w:val="18"/>
              </w:rPr>
              <w:t>液化石油气</w:t>
            </w:r>
          </w:p>
        </w:tc>
        <w:tc>
          <w:tcPr>
            <w:tcW w:w="433" w:type="dxa"/>
            <w:tcBorders>
              <w:top w:val="nil"/>
              <w:left w:val="single" w:color="auto" w:sz="2" w:space="0"/>
              <w:bottom w:val="nil"/>
              <w:right w:val="single" w:color="auto" w:sz="2" w:space="0"/>
            </w:tcBorders>
            <w:noWrap/>
            <w:vAlign w:val="center"/>
          </w:tcPr>
          <w:p w14:paraId="518A222F">
            <w:pPr>
              <w:widowControl/>
              <w:jc w:val="center"/>
              <w:rPr>
                <w:kern w:val="0"/>
                <w:sz w:val="18"/>
                <w:szCs w:val="18"/>
              </w:rPr>
            </w:pPr>
            <w:r>
              <w:rPr>
                <w:kern w:val="0"/>
                <w:sz w:val="18"/>
                <w:szCs w:val="18"/>
              </w:rPr>
              <w:t>12</w:t>
            </w:r>
          </w:p>
        </w:tc>
        <w:tc>
          <w:tcPr>
            <w:tcW w:w="7514" w:type="dxa"/>
            <w:gridSpan w:val="13"/>
            <w:vMerge w:val="continue"/>
            <w:tcBorders>
              <w:top w:val="nil"/>
              <w:left w:val="single" w:color="auto" w:sz="2" w:space="0"/>
              <w:bottom w:val="single" w:color="auto" w:sz="4" w:space="0"/>
            </w:tcBorders>
            <w:shd w:val="clear" w:color="auto" w:fill="auto"/>
            <w:vAlign w:val="center"/>
          </w:tcPr>
          <w:p w14:paraId="67A234E4">
            <w:pPr>
              <w:widowControl/>
              <w:jc w:val="left"/>
              <w:rPr>
                <w:kern w:val="0"/>
                <w:sz w:val="18"/>
                <w:szCs w:val="18"/>
              </w:rPr>
            </w:pPr>
          </w:p>
        </w:tc>
      </w:tr>
      <w:tr w14:paraId="5504F8CB">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3AA3B3B0">
            <w:pPr>
              <w:widowControl/>
              <w:rPr>
                <w:kern w:val="0"/>
                <w:sz w:val="18"/>
                <w:szCs w:val="18"/>
              </w:rPr>
            </w:pPr>
            <w:r>
              <w:rPr>
                <w:kern w:val="0"/>
                <w:sz w:val="18"/>
                <w:szCs w:val="18"/>
              </w:rPr>
              <w:t>石脑油</w:t>
            </w:r>
          </w:p>
        </w:tc>
        <w:tc>
          <w:tcPr>
            <w:tcW w:w="433" w:type="dxa"/>
            <w:tcBorders>
              <w:top w:val="nil"/>
              <w:left w:val="single" w:color="auto" w:sz="2" w:space="0"/>
              <w:bottom w:val="nil"/>
              <w:right w:val="single" w:color="auto" w:sz="2" w:space="0"/>
            </w:tcBorders>
            <w:noWrap/>
            <w:vAlign w:val="center"/>
          </w:tcPr>
          <w:p w14:paraId="676D218F">
            <w:pPr>
              <w:widowControl/>
              <w:jc w:val="center"/>
              <w:rPr>
                <w:kern w:val="0"/>
                <w:sz w:val="18"/>
                <w:szCs w:val="18"/>
              </w:rPr>
            </w:pPr>
            <w:r>
              <w:rPr>
                <w:kern w:val="0"/>
                <w:sz w:val="18"/>
                <w:szCs w:val="18"/>
              </w:rPr>
              <w:t>13</w:t>
            </w:r>
          </w:p>
        </w:tc>
        <w:tc>
          <w:tcPr>
            <w:tcW w:w="7514" w:type="dxa"/>
            <w:gridSpan w:val="13"/>
            <w:vMerge w:val="continue"/>
            <w:tcBorders>
              <w:top w:val="nil"/>
              <w:left w:val="single" w:color="auto" w:sz="2" w:space="0"/>
              <w:bottom w:val="single" w:color="auto" w:sz="4" w:space="0"/>
            </w:tcBorders>
            <w:shd w:val="clear" w:color="auto" w:fill="auto"/>
            <w:vAlign w:val="center"/>
          </w:tcPr>
          <w:p w14:paraId="7653D3CB">
            <w:pPr>
              <w:widowControl/>
              <w:jc w:val="left"/>
              <w:rPr>
                <w:kern w:val="0"/>
                <w:sz w:val="18"/>
                <w:szCs w:val="18"/>
              </w:rPr>
            </w:pPr>
          </w:p>
        </w:tc>
      </w:tr>
      <w:tr w14:paraId="53516C20">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3B80A03F">
            <w:pPr>
              <w:widowControl/>
              <w:rPr>
                <w:kern w:val="0"/>
                <w:sz w:val="18"/>
                <w:szCs w:val="18"/>
              </w:rPr>
            </w:pPr>
            <w:r>
              <w:rPr>
                <w:kern w:val="0"/>
                <w:sz w:val="18"/>
                <w:szCs w:val="18"/>
              </w:rPr>
              <w:t>润滑油</w:t>
            </w:r>
          </w:p>
        </w:tc>
        <w:tc>
          <w:tcPr>
            <w:tcW w:w="433" w:type="dxa"/>
            <w:tcBorders>
              <w:top w:val="nil"/>
              <w:left w:val="single" w:color="auto" w:sz="2" w:space="0"/>
              <w:bottom w:val="nil"/>
              <w:right w:val="single" w:color="auto" w:sz="2" w:space="0"/>
            </w:tcBorders>
            <w:noWrap/>
            <w:vAlign w:val="center"/>
          </w:tcPr>
          <w:p w14:paraId="0B6FC285">
            <w:pPr>
              <w:widowControl/>
              <w:jc w:val="center"/>
              <w:rPr>
                <w:kern w:val="0"/>
                <w:sz w:val="18"/>
                <w:szCs w:val="18"/>
              </w:rPr>
            </w:pPr>
            <w:r>
              <w:rPr>
                <w:kern w:val="0"/>
                <w:sz w:val="18"/>
                <w:szCs w:val="18"/>
              </w:rPr>
              <w:t>14</w:t>
            </w:r>
          </w:p>
        </w:tc>
        <w:tc>
          <w:tcPr>
            <w:tcW w:w="7514" w:type="dxa"/>
            <w:gridSpan w:val="13"/>
            <w:vMerge w:val="continue"/>
            <w:tcBorders>
              <w:top w:val="nil"/>
              <w:left w:val="single" w:color="auto" w:sz="2" w:space="0"/>
              <w:bottom w:val="single" w:color="auto" w:sz="4" w:space="0"/>
            </w:tcBorders>
            <w:shd w:val="clear" w:color="auto" w:fill="auto"/>
            <w:vAlign w:val="center"/>
          </w:tcPr>
          <w:p w14:paraId="02D4656A">
            <w:pPr>
              <w:widowControl/>
              <w:jc w:val="left"/>
              <w:rPr>
                <w:kern w:val="0"/>
                <w:sz w:val="18"/>
                <w:szCs w:val="18"/>
              </w:rPr>
            </w:pPr>
          </w:p>
        </w:tc>
      </w:tr>
      <w:tr w14:paraId="0E460A3B">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473000F7">
            <w:pPr>
              <w:widowControl/>
              <w:rPr>
                <w:kern w:val="0"/>
                <w:sz w:val="18"/>
                <w:szCs w:val="18"/>
              </w:rPr>
            </w:pPr>
            <w:r>
              <w:rPr>
                <w:kern w:val="0"/>
                <w:sz w:val="18"/>
                <w:szCs w:val="18"/>
              </w:rPr>
              <w:t>溶剂油</w:t>
            </w:r>
          </w:p>
        </w:tc>
        <w:tc>
          <w:tcPr>
            <w:tcW w:w="433" w:type="dxa"/>
            <w:tcBorders>
              <w:top w:val="nil"/>
              <w:left w:val="single" w:color="auto" w:sz="2" w:space="0"/>
              <w:bottom w:val="nil"/>
              <w:right w:val="single" w:color="auto" w:sz="2" w:space="0"/>
            </w:tcBorders>
            <w:noWrap/>
            <w:vAlign w:val="center"/>
          </w:tcPr>
          <w:p w14:paraId="1F65FB47">
            <w:pPr>
              <w:widowControl/>
              <w:jc w:val="center"/>
              <w:rPr>
                <w:kern w:val="0"/>
                <w:sz w:val="18"/>
                <w:szCs w:val="18"/>
              </w:rPr>
            </w:pPr>
            <w:r>
              <w:rPr>
                <w:kern w:val="0"/>
                <w:sz w:val="18"/>
                <w:szCs w:val="18"/>
              </w:rPr>
              <w:t>15</w:t>
            </w:r>
          </w:p>
        </w:tc>
        <w:tc>
          <w:tcPr>
            <w:tcW w:w="7514" w:type="dxa"/>
            <w:gridSpan w:val="13"/>
            <w:vMerge w:val="continue"/>
            <w:tcBorders>
              <w:top w:val="nil"/>
              <w:left w:val="single" w:color="auto" w:sz="2" w:space="0"/>
              <w:bottom w:val="single" w:color="auto" w:sz="4" w:space="0"/>
            </w:tcBorders>
            <w:shd w:val="clear" w:color="auto" w:fill="auto"/>
            <w:vAlign w:val="center"/>
          </w:tcPr>
          <w:p w14:paraId="6038DCA6">
            <w:pPr>
              <w:widowControl/>
              <w:jc w:val="left"/>
              <w:rPr>
                <w:kern w:val="0"/>
                <w:sz w:val="18"/>
                <w:szCs w:val="18"/>
              </w:rPr>
            </w:pPr>
          </w:p>
        </w:tc>
      </w:tr>
      <w:tr w14:paraId="08F45701">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14:paraId="41F51E5E">
            <w:pPr>
              <w:widowControl/>
              <w:rPr>
                <w:kern w:val="0"/>
                <w:sz w:val="18"/>
                <w:szCs w:val="18"/>
              </w:rPr>
            </w:pPr>
            <w:r>
              <w:rPr>
                <w:kern w:val="0"/>
                <w:sz w:val="18"/>
                <w:szCs w:val="18"/>
              </w:rPr>
              <w:t>石油焦</w:t>
            </w:r>
          </w:p>
        </w:tc>
        <w:tc>
          <w:tcPr>
            <w:tcW w:w="433" w:type="dxa"/>
            <w:tcBorders>
              <w:top w:val="nil"/>
              <w:left w:val="single" w:color="auto" w:sz="2" w:space="0"/>
              <w:right w:val="single" w:color="auto" w:sz="2" w:space="0"/>
            </w:tcBorders>
            <w:noWrap/>
            <w:vAlign w:val="center"/>
          </w:tcPr>
          <w:p w14:paraId="34915253">
            <w:pPr>
              <w:widowControl/>
              <w:jc w:val="center"/>
              <w:rPr>
                <w:kern w:val="0"/>
                <w:sz w:val="18"/>
                <w:szCs w:val="18"/>
              </w:rPr>
            </w:pPr>
            <w:r>
              <w:rPr>
                <w:kern w:val="0"/>
                <w:sz w:val="18"/>
                <w:szCs w:val="18"/>
              </w:rPr>
              <w:t>16</w:t>
            </w:r>
          </w:p>
        </w:tc>
        <w:tc>
          <w:tcPr>
            <w:tcW w:w="7514" w:type="dxa"/>
            <w:gridSpan w:val="13"/>
            <w:vMerge w:val="continue"/>
            <w:tcBorders>
              <w:top w:val="nil"/>
              <w:left w:val="single" w:color="auto" w:sz="2" w:space="0"/>
              <w:bottom w:val="single" w:color="auto" w:sz="4" w:space="0"/>
            </w:tcBorders>
            <w:shd w:val="clear" w:color="auto" w:fill="auto"/>
            <w:vAlign w:val="center"/>
          </w:tcPr>
          <w:p w14:paraId="25BB8C40">
            <w:pPr>
              <w:widowControl/>
              <w:jc w:val="left"/>
              <w:rPr>
                <w:kern w:val="0"/>
                <w:sz w:val="18"/>
                <w:szCs w:val="18"/>
              </w:rPr>
            </w:pPr>
          </w:p>
        </w:tc>
      </w:tr>
      <w:tr w14:paraId="1B772E36">
        <w:tblPrEx>
          <w:tblCellMar>
            <w:top w:w="0" w:type="dxa"/>
            <w:left w:w="108" w:type="dxa"/>
            <w:bottom w:w="0" w:type="dxa"/>
            <w:right w:w="108" w:type="dxa"/>
          </w:tblCellMar>
        </w:tblPrEx>
        <w:trPr>
          <w:trHeight w:val="300" w:hRule="atLeast"/>
          <w:jc w:val="center"/>
        </w:trPr>
        <w:tc>
          <w:tcPr>
            <w:tcW w:w="1607" w:type="dxa"/>
            <w:tcBorders>
              <w:top w:val="nil"/>
              <w:left w:val="nil"/>
              <w:bottom w:val="single" w:color="auto" w:sz="8" w:space="0"/>
              <w:right w:val="single" w:color="auto" w:sz="2" w:space="0"/>
            </w:tcBorders>
            <w:noWrap/>
            <w:vAlign w:val="center"/>
          </w:tcPr>
          <w:p w14:paraId="2010F59B">
            <w:pPr>
              <w:widowControl/>
              <w:rPr>
                <w:kern w:val="0"/>
                <w:sz w:val="18"/>
                <w:szCs w:val="18"/>
              </w:rPr>
            </w:pPr>
            <w:r>
              <w:rPr>
                <w:kern w:val="0"/>
                <w:sz w:val="18"/>
                <w:szCs w:val="18"/>
              </w:rPr>
              <w:t>石油沥青</w:t>
            </w:r>
          </w:p>
        </w:tc>
        <w:tc>
          <w:tcPr>
            <w:tcW w:w="433" w:type="dxa"/>
            <w:tcBorders>
              <w:top w:val="nil"/>
              <w:left w:val="single" w:color="auto" w:sz="2" w:space="0"/>
              <w:bottom w:val="single" w:color="auto" w:sz="8" w:space="0"/>
              <w:right w:val="single" w:color="auto" w:sz="2" w:space="0"/>
            </w:tcBorders>
            <w:noWrap/>
            <w:vAlign w:val="center"/>
          </w:tcPr>
          <w:p w14:paraId="635173A0">
            <w:pPr>
              <w:widowControl/>
              <w:jc w:val="center"/>
              <w:rPr>
                <w:kern w:val="0"/>
                <w:sz w:val="18"/>
                <w:szCs w:val="18"/>
              </w:rPr>
            </w:pPr>
            <w:r>
              <w:rPr>
                <w:kern w:val="0"/>
                <w:sz w:val="18"/>
                <w:szCs w:val="18"/>
              </w:rPr>
              <w:t>17</w:t>
            </w:r>
          </w:p>
        </w:tc>
        <w:tc>
          <w:tcPr>
            <w:tcW w:w="7514" w:type="dxa"/>
            <w:gridSpan w:val="13"/>
            <w:vMerge w:val="continue"/>
            <w:tcBorders>
              <w:top w:val="nil"/>
              <w:left w:val="single" w:color="auto" w:sz="2" w:space="0"/>
              <w:bottom w:val="single" w:color="auto" w:sz="8" w:space="0"/>
            </w:tcBorders>
            <w:shd w:val="clear" w:color="auto" w:fill="auto"/>
            <w:vAlign w:val="center"/>
          </w:tcPr>
          <w:p w14:paraId="3C19BFE4">
            <w:pPr>
              <w:widowControl/>
              <w:jc w:val="left"/>
              <w:rPr>
                <w:kern w:val="0"/>
                <w:sz w:val="18"/>
                <w:szCs w:val="18"/>
              </w:rPr>
            </w:pPr>
          </w:p>
        </w:tc>
      </w:tr>
    </w:tbl>
    <w:p w14:paraId="76F4B6F0">
      <w:pPr>
        <w:tabs>
          <w:tab w:val="left" w:pos="5430"/>
        </w:tabs>
        <w:adjustRightInd w:val="0"/>
        <w:ind w:left="839" w:right="-38" w:rightChars="-18" w:hanging="838" w:hangingChars="466"/>
        <w:rPr>
          <w:sz w:val="18"/>
          <w:szCs w:val="18"/>
        </w:rPr>
      </w:pPr>
      <w:r>
        <w:rPr>
          <w:sz w:val="18"/>
          <w:szCs w:val="18"/>
        </w:rPr>
        <w:t>单位负责人：　　    　统计负责人：　       　填表人：　　　  联系电话：       　报出日期：２０  年　月  日</w:t>
      </w:r>
    </w:p>
    <w:p w14:paraId="321A93E2">
      <w:pPr>
        <w:spacing w:line="260" w:lineRule="exact"/>
        <w:rPr>
          <w:sz w:val="18"/>
          <w:szCs w:val="18"/>
        </w:rPr>
      </w:pPr>
    </w:p>
    <w:p w14:paraId="3A90B81C">
      <w:pPr>
        <w:adjustRightInd w:val="0"/>
        <w:snapToGrid w:val="0"/>
        <w:spacing w:line="260" w:lineRule="exact"/>
        <w:ind w:left="1566" w:hanging="1565" w:hangingChars="870"/>
        <w:rPr>
          <w:rFonts w:hint="eastAsia" w:eastAsia="宋体"/>
          <w:sz w:val="18"/>
          <w:szCs w:val="18"/>
          <w:lang w:eastAsia="zh-CN"/>
        </w:rPr>
      </w:pPr>
      <w:r>
        <w:rPr>
          <w:sz w:val="18"/>
          <w:szCs w:val="18"/>
        </w:rPr>
        <w:t>说明：1.统计范围：</w:t>
      </w:r>
      <w:r>
        <w:rPr>
          <w:rFonts w:hint="eastAsia"/>
          <w:sz w:val="18"/>
          <w:szCs w:val="18"/>
        </w:rPr>
        <w:t>辖区内有资质的建筑业、限额以上批发和零售业、限额以上住宿和餐饮业、</w:t>
      </w:r>
      <w:r>
        <w:rPr>
          <w:rFonts w:hint="eastAsia"/>
          <w:sz w:val="18"/>
          <w:szCs w:val="18"/>
          <w:lang w:eastAsia="zh-CN"/>
        </w:rPr>
        <w:t>有开发经营活动的房地产开发经营业</w:t>
      </w:r>
      <w:r>
        <w:rPr>
          <w:rFonts w:hint="eastAsia"/>
          <w:sz w:val="18"/>
          <w:szCs w:val="18"/>
        </w:rPr>
        <w:t>和规模以上服务业等重点法人单位</w:t>
      </w:r>
      <w:r>
        <w:rPr>
          <w:sz w:val="18"/>
          <w:szCs w:val="18"/>
        </w:rPr>
        <w:t>。</w:t>
      </w:r>
      <w:r>
        <w:rPr>
          <w:rFonts w:hint="eastAsia"/>
          <w:sz w:val="18"/>
          <w:szCs w:val="18"/>
          <w:lang w:eastAsia="zh-CN"/>
        </w:rPr>
        <w:t>各省、自治区、直辖市统计局可根据本地区实际情况报能源统计司批准后扩增统计范围。</w:t>
      </w:r>
    </w:p>
    <w:p w14:paraId="7254BC18">
      <w:pPr>
        <w:adjustRightInd w:val="0"/>
        <w:snapToGrid w:val="0"/>
        <w:spacing w:line="260" w:lineRule="exact"/>
        <w:ind w:left="2090" w:leftChars="258" w:hanging="1548" w:hangingChars="860"/>
        <w:rPr>
          <w:sz w:val="18"/>
          <w:szCs w:val="18"/>
        </w:rPr>
      </w:pPr>
      <w:r>
        <w:rPr>
          <w:sz w:val="18"/>
          <w:szCs w:val="18"/>
        </w:rPr>
        <w:t>2.报送日期及方式：</w:t>
      </w:r>
      <w:r>
        <w:rPr>
          <w:rFonts w:hint="eastAsia" w:asciiTheme="majorEastAsia" w:hAnsiTheme="majorEastAsia" w:eastAsiaTheme="majorEastAsia" w:cstheme="majorEastAsia"/>
          <w:sz w:val="18"/>
          <w:szCs w:val="18"/>
        </w:rPr>
        <w:t>调查单位</w:t>
      </w:r>
      <w:r>
        <w:rPr>
          <w:rFonts w:hint="default" w:ascii="Times New Roman" w:hAnsi="Times New Roman" w:cs="Times New Roman" w:eastAsiaTheme="majorEastAsia"/>
          <w:sz w:val="18"/>
          <w:szCs w:val="18"/>
        </w:rPr>
        <w:t>2、</w:t>
      </w:r>
      <w:ins w:id="181" w:author="kylin" w:date="2025-10-17T17:06:20Z">
        <w:r>
          <w:rPr>
            <w:rFonts w:hint="eastAsia" w:cs="Times New Roman" w:eastAsiaTheme="majorEastAsia"/>
            <w:sz w:val="18"/>
            <w:szCs w:val="18"/>
            <w:lang w:val="en-US" w:eastAsia="zh-CN"/>
          </w:rPr>
          <w:t>10月月后6日，</w:t>
        </w:r>
      </w:ins>
      <w:ins w:id="182" w:author="kylin" w:date="2025-10-17T17:06:20Z">
        <w:r>
          <w:rPr>
            <w:rFonts w:hint="default" w:ascii="Times New Roman" w:hAnsi="Times New Roman" w:cs="Times New Roman" w:eastAsiaTheme="majorEastAsia"/>
            <w:sz w:val="18"/>
            <w:szCs w:val="18"/>
          </w:rPr>
          <w:t>6、7、8、11</w:t>
        </w:r>
      </w:ins>
      <w:ins w:id="183" w:author="kylin" w:date="2025-10-17T17:06:20Z">
        <w:r>
          <w:rPr>
            <w:rFonts w:hint="eastAsia" w:asciiTheme="majorEastAsia" w:hAnsiTheme="majorEastAsia" w:eastAsiaTheme="majorEastAsia" w:cstheme="majorEastAsia"/>
            <w:sz w:val="18"/>
            <w:szCs w:val="18"/>
          </w:rPr>
          <w:t>月月后</w:t>
        </w:r>
      </w:ins>
      <w:ins w:id="184" w:author="kylin" w:date="2025-10-17T17:06:20Z">
        <w:r>
          <w:rPr>
            <w:rFonts w:hint="default" w:ascii="Times New Roman" w:hAnsi="Times New Roman" w:cs="Times New Roman" w:eastAsiaTheme="majorEastAsia"/>
            <w:sz w:val="18"/>
            <w:szCs w:val="18"/>
          </w:rPr>
          <w:t>7</w:t>
        </w:r>
      </w:ins>
      <w:ins w:id="185" w:author="kylin" w:date="2025-10-17T17:06:20Z">
        <w:r>
          <w:rPr>
            <w:rFonts w:hint="eastAsia" w:asciiTheme="majorEastAsia" w:hAnsiTheme="majorEastAsia" w:eastAsiaTheme="majorEastAsia" w:cstheme="majorEastAsia"/>
            <w:sz w:val="18"/>
            <w:szCs w:val="18"/>
          </w:rPr>
          <w:t>日，</w:t>
        </w:r>
      </w:ins>
      <w:ins w:id="186" w:author="kylin" w:date="2025-10-17T17:06:20Z">
        <w:r>
          <w:rPr>
            <w:rFonts w:hint="default" w:ascii="Times New Roman" w:hAnsi="Times New Roman" w:eastAsia="7" w:cs="Times New Roman"/>
            <w:sz w:val="18"/>
            <w:szCs w:val="18"/>
          </w:rPr>
          <w:t>3</w:t>
        </w:r>
      </w:ins>
      <w:ins w:id="187" w:author="kylin" w:date="2025-10-17T17:06:20Z">
        <w:r>
          <w:rPr>
            <w:rFonts w:hint="eastAsia" w:eastAsia="7" w:cs="Times New Roman"/>
            <w:sz w:val="18"/>
            <w:szCs w:val="18"/>
            <w:lang w:eastAsia="zh-CN"/>
          </w:rPr>
          <w:t>、</w:t>
        </w:r>
      </w:ins>
      <w:ins w:id="188" w:author="kylin" w:date="2025-10-17T17:06:20Z">
        <w:r>
          <w:rPr>
            <w:rFonts w:hint="eastAsia" w:eastAsia="7" w:cs="Times New Roman"/>
            <w:sz w:val="18"/>
            <w:szCs w:val="18"/>
            <w:lang w:val="en-US" w:eastAsia="zh-CN"/>
          </w:rPr>
          <w:t>5、12</w:t>
        </w:r>
      </w:ins>
      <w:ins w:id="189" w:author="kylin" w:date="2025-10-17T17:06:20Z">
        <w:r>
          <w:rPr>
            <w:rFonts w:hint="eastAsia" w:asciiTheme="majorEastAsia" w:hAnsiTheme="majorEastAsia" w:eastAsiaTheme="majorEastAsia" w:cstheme="majorEastAsia"/>
            <w:sz w:val="18"/>
            <w:szCs w:val="18"/>
          </w:rPr>
          <w:t>月月后</w:t>
        </w:r>
      </w:ins>
      <w:ins w:id="190" w:author="kylin" w:date="2025-10-17T17:06:20Z">
        <w:r>
          <w:rPr>
            <w:rFonts w:hint="default" w:ascii="Times New Roman" w:hAnsi="Times New Roman" w:cs="Times New Roman" w:eastAsiaTheme="majorEastAsia"/>
            <w:b w:val="0"/>
            <w:bCs w:val="0"/>
            <w:sz w:val="18"/>
            <w:szCs w:val="18"/>
          </w:rPr>
          <w:t>8</w:t>
        </w:r>
      </w:ins>
      <w:ins w:id="191" w:author="kylin" w:date="2025-10-17T17:06:20Z">
        <w:r>
          <w:rPr>
            <w:rFonts w:hint="eastAsia" w:asciiTheme="majorEastAsia" w:hAnsiTheme="majorEastAsia" w:eastAsiaTheme="majorEastAsia" w:cstheme="majorEastAsia"/>
            <w:sz w:val="18"/>
            <w:szCs w:val="18"/>
          </w:rPr>
          <w:t>日，</w:t>
        </w:r>
      </w:ins>
      <w:ins w:id="192" w:author="kylin" w:date="2025-10-17T17:06:20Z">
        <w:r>
          <w:rPr>
            <w:rFonts w:hint="default" w:ascii="Times New Roman" w:hAnsi="Times New Roman" w:cs="Times New Roman" w:eastAsiaTheme="majorEastAsia"/>
            <w:sz w:val="18"/>
            <w:szCs w:val="18"/>
          </w:rPr>
          <w:t>4</w:t>
        </w:r>
      </w:ins>
      <w:ins w:id="193" w:author="kylin" w:date="2025-10-17T17:06:20Z">
        <w:r>
          <w:rPr>
            <w:rFonts w:hint="eastAsia" w:asciiTheme="majorEastAsia" w:hAnsiTheme="majorEastAsia" w:eastAsiaTheme="majorEastAsia" w:cstheme="majorEastAsia"/>
            <w:sz w:val="18"/>
            <w:szCs w:val="18"/>
          </w:rPr>
          <w:t>月月后</w:t>
        </w:r>
      </w:ins>
      <w:ins w:id="194" w:author="kylin" w:date="2025-10-17T17:06:20Z">
        <w:r>
          <w:rPr>
            <w:rFonts w:hint="default" w:ascii="Times New Roman)" w:hAnsi="Times New Roman)" w:cs="Times New Roman)" w:eastAsiaTheme="majorEastAsia"/>
            <w:sz w:val="18"/>
            <w:szCs w:val="18"/>
          </w:rPr>
          <w:t>9</w:t>
        </w:r>
      </w:ins>
      <w:ins w:id="195" w:author="kylin" w:date="2025-10-17T17:06:20Z">
        <w:r>
          <w:rPr>
            <w:rFonts w:hint="eastAsia" w:asciiTheme="majorEastAsia" w:hAnsiTheme="majorEastAsia" w:eastAsiaTheme="majorEastAsia" w:cstheme="majorEastAsia"/>
            <w:sz w:val="18"/>
            <w:szCs w:val="18"/>
          </w:rPr>
          <w:t>日，</w:t>
        </w:r>
      </w:ins>
      <w:ins w:id="196" w:author="kylin" w:date="2025-10-17T17:06:20Z">
        <w:r>
          <w:rPr>
            <w:rFonts w:hint="default" w:ascii="Times New Roman" w:hAnsi="Times New Roman" w:cs="Times New Roman" w:eastAsiaTheme="majorEastAsia"/>
            <w:sz w:val="18"/>
            <w:szCs w:val="18"/>
          </w:rPr>
          <w:t>9</w:t>
        </w:r>
      </w:ins>
      <w:ins w:id="197" w:author="kylin" w:date="2025-10-17T17:06:20Z">
        <w:r>
          <w:rPr>
            <w:rFonts w:hint="eastAsia" w:asciiTheme="majorEastAsia" w:hAnsiTheme="majorEastAsia" w:eastAsiaTheme="majorEastAsia" w:cstheme="majorEastAsia"/>
            <w:sz w:val="18"/>
            <w:szCs w:val="18"/>
          </w:rPr>
          <w:t>月月后</w:t>
        </w:r>
      </w:ins>
      <w:ins w:id="198" w:author="kylin" w:date="2025-10-17T17:06:20Z">
        <w:r>
          <w:rPr>
            <w:rFonts w:hint="default" w:ascii="Times New Roman" w:hAnsi="Times New Roman" w:cs="Times New Roman" w:eastAsiaTheme="majorEastAsia"/>
            <w:sz w:val="18"/>
            <w:szCs w:val="18"/>
          </w:rPr>
          <w:t>1</w:t>
        </w:r>
      </w:ins>
      <w:ins w:id="199" w:author="kylin" w:date="2025-10-17T17:06:20Z">
        <w:r>
          <w:rPr>
            <w:rFonts w:hint="eastAsia" w:cs="Times New Roman" w:eastAsiaTheme="majorEastAsia"/>
            <w:sz w:val="18"/>
            <w:szCs w:val="18"/>
            <w:lang w:val="en-US" w:eastAsia="zh-CN"/>
          </w:rPr>
          <w:t>2</w:t>
        </w:r>
      </w:ins>
      <w:ins w:id="200" w:author="kylin" w:date="2025-10-17T17:06:20Z">
        <w:r>
          <w:rPr>
            <w:rFonts w:hint="eastAsia" w:asciiTheme="majorEastAsia" w:hAnsiTheme="majorEastAsia" w:eastAsiaTheme="majorEastAsia" w:cstheme="majorEastAsia"/>
            <w:sz w:val="18"/>
            <w:szCs w:val="18"/>
          </w:rPr>
          <w:t>日</w:t>
        </w:r>
      </w:ins>
      <w:ins w:id="201" w:author="kylin" w:date="2025-10-17T17:06:20Z">
        <w:r>
          <w:rPr>
            <w:rFonts w:hint="default" w:ascii="Times New Roman" w:hAnsi="Times New Roman" w:cs="Times New Roman" w:eastAsiaTheme="majorEastAsia"/>
            <w:sz w:val="18"/>
            <w:szCs w:val="18"/>
          </w:rPr>
          <w:t>12：00</w:t>
        </w:r>
      </w:ins>
      <w:del w:id="202" w:author="kylin" w:date="2025-10-17T17:06:20Z">
        <w:r>
          <w:rPr>
            <w:rFonts w:hint="default" w:ascii="Times New Roman" w:hAnsi="Times New Roman" w:cs="Times New Roman" w:eastAsiaTheme="majorEastAsia"/>
            <w:sz w:val="18"/>
            <w:szCs w:val="18"/>
          </w:rPr>
          <w:delText>5、6、7、8、10、11</w:delText>
        </w:r>
      </w:del>
      <w:del w:id="203" w:author="kylin" w:date="2025-10-17T17:06:20Z">
        <w:r>
          <w:rPr>
            <w:rFonts w:hint="eastAsia" w:asciiTheme="majorEastAsia" w:hAnsiTheme="majorEastAsia" w:eastAsiaTheme="majorEastAsia" w:cstheme="majorEastAsia"/>
            <w:sz w:val="18"/>
            <w:szCs w:val="18"/>
          </w:rPr>
          <w:delText>月月后</w:delText>
        </w:r>
      </w:del>
      <w:del w:id="204" w:author="kylin" w:date="2025-10-17T17:06:20Z">
        <w:r>
          <w:rPr>
            <w:rFonts w:hint="default" w:ascii="Times New Roman" w:hAnsi="Times New Roman" w:cs="Times New Roman" w:eastAsiaTheme="majorEastAsia"/>
            <w:sz w:val="18"/>
            <w:szCs w:val="18"/>
          </w:rPr>
          <w:delText>7</w:delText>
        </w:r>
      </w:del>
      <w:del w:id="205" w:author="kylin" w:date="2025-10-17T17:06:20Z">
        <w:r>
          <w:rPr>
            <w:rFonts w:hint="eastAsia" w:asciiTheme="majorEastAsia" w:hAnsiTheme="majorEastAsia" w:eastAsiaTheme="majorEastAsia" w:cstheme="majorEastAsia"/>
            <w:sz w:val="18"/>
            <w:szCs w:val="18"/>
          </w:rPr>
          <w:delText>日，</w:delText>
        </w:r>
      </w:del>
      <w:del w:id="206" w:author="kylin" w:date="2025-10-17T17:06:20Z">
        <w:r>
          <w:rPr>
            <w:rFonts w:hint="default" w:ascii="Times New Roman" w:hAnsi="Times New Roman" w:eastAsia="7" w:cs="Times New Roman"/>
            <w:sz w:val="18"/>
            <w:szCs w:val="18"/>
          </w:rPr>
          <w:delText>3</w:delText>
        </w:r>
      </w:del>
      <w:del w:id="207" w:author="kylin" w:date="2025-10-17T17:06:20Z">
        <w:r>
          <w:rPr>
            <w:rFonts w:hint="eastAsia" w:asciiTheme="majorEastAsia" w:hAnsiTheme="majorEastAsia" w:eastAsiaTheme="majorEastAsia" w:cstheme="majorEastAsia"/>
            <w:sz w:val="18"/>
            <w:szCs w:val="18"/>
          </w:rPr>
          <w:delText>月月后</w:delText>
        </w:r>
      </w:del>
      <w:del w:id="208" w:author="kylin" w:date="2025-10-17T17:06:20Z">
        <w:r>
          <w:rPr>
            <w:rFonts w:hint="default" w:ascii="Times New Roman" w:hAnsi="Times New Roman" w:cs="Times New Roman" w:eastAsiaTheme="majorEastAsia"/>
            <w:b w:val="0"/>
            <w:bCs w:val="0"/>
            <w:sz w:val="18"/>
            <w:szCs w:val="18"/>
          </w:rPr>
          <w:delText>8</w:delText>
        </w:r>
      </w:del>
      <w:del w:id="209" w:author="kylin" w:date="2025-10-17T17:06:20Z">
        <w:r>
          <w:rPr>
            <w:rFonts w:hint="eastAsia" w:asciiTheme="majorEastAsia" w:hAnsiTheme="majorEastAsia" w:eastAsiaTheme="majorEastAsia" w:cstheme="majorEastAsia"/>
            <w:sz w:val="18"/>
            <w:szCs w:val="18"/>
          </w:rPr>
          <w:delText>日，</w:delText>
        </w:r>
      </w:del>
      <w:del w:id="210" w:author="kylin" w:date="2025-10-17T17:06:20Z">
        <w:r>
          <w:rPr>
            <w:rFonts w:hint="default" w:ascii="Times New Roman" w:hAnsi="Times New Roman" w:cs="Times New Roman" w:eastAsiaTheme="majorEastAsia"/>
            <w:sz w:val="18"/>
            <w:szCs w:val="18"/>
          </w:rPr>
          <w:delText>4、12</w:delText>
        </w:r>
      </w:del>
      <w:del w:id="211" w:author="kylin" w:date="2025-10-17T17:06:20Z">
        <w:r>
          <w:rPr>
            <w:rFonts w:hint="eastAsia" w:asciiTheme="majorEastAsia" w:hAnsiTheme="majorEastAsia" w:eastAsiaTheme="majorEastAsia" w:cstheme="majorEastAsia"/>
            <w:sz w:val="18"/>
            <w:szCs w:val="18"/>
          </w:rPr>
          <w:delText>月月后</w:delText>
        </w:r>
      </w:del>
      <w:del w:id="212" w:author="kylin" w:date="2025-10-17T17:06:20Z">
        <w:r>
          <w:rPr>
            <w:rFonts w:hint="default" w:ascii="Times New Roman)" w:hAnsi="Times New Roman)" w:cs="Times New Roman)" w:eastAsiaTheme="majorEastAsia"/>
            <w:sz w:val="18"/>
            <w:szCs w:val="18"/>
          </w:rPr>
          <w:delText>9</w:delText>
        </w:r>
      </w:del>
      <w:del w:id="213" w:author="kylin" w:date="2025-10-17T17:06:20Z">
        <w:r>
          <w:rPr>
            <w:rFonts w:hint="eastAsia" w:asciiTheme="majorEastAsia" w:hAnsiTheme="majorEastAsia" w:eastAsiaTheme="majorEastAsia" w:cstheme="majorEastAsia"/>
            <w:sz w:val="18"/>
            <w:szCs w:val="18"/>
          </w:rPr>
          <w:delText>日</w:delText>
        </w:r>
      </w:del>
      <w:del w:id="214" w:author="kylin" w:date="2025-10-17T17:06:20Z">
        <w:r>
          <w:rPr>
            <w:rFonts w:hint="default" w:ascii="Times New Roman" w:hAnsi="Times New Roman" w:cs="Times New Roman" w:eastAsiaTheme="majorEastAsia"/>
            <w:sz w:val="18"/>
            <w:szCs w:val="18"/>
          </w:rPr>
          <w:delText>12：00</w:delText>
        </w:r>
      </w:del>
      <w:del w:id="215" w:author="kylin" w:date="2025-10-17T17:06:20Z">
        <w:r>
          <w:rPr>
            <w:rFonts w:hint="eastAsia" w:asciiTheme="majorEastAsia" w:hAnsiTheme="majorEastAsia" w:eastAsiaTheme="majorEastAsia" w:cstheme="majorEastAsia"/>
            <w:sz w:val="18"/>
            <w:szCs w:val="18"/>
          </w:rPr>
          <w:delText>，</w:delText>
        </w:r>
      </w:del>
      <w:del w:id="216" w:author="kylin" w:date="2025-10-17T17:06:20Z">
        <w:r>
          <w:rPr>
            <w:rFonts w:hint="default" w:ascii="Times New Roman" w:hAnsi="Times New Roman" w:cs="Times New Roman" w:eastAsiaTheme="majorEastAsia"/>
            <w:sz w:val="18"/>
            <w:szCs w:val="18"/>
          </w:rPr>
          <w:delText>9</w:delText>
        </w:r>
      </w:del>
      <w:del w:id="217" w:author="kylin" w:date="2025-10-17T17:06:20Z">
        <w:r>
          <w:rPr>
            <w:rFonts w:hint="eastAsia" w:asciiTheme="majorEastAsia" w:hAnsiTheme="majorEastAsia" w:eastAsiaTheme="majorEastAsia" w:cstheme="majorEastAsia"/>
            <w:sz w:val="18"/>
            <w:szCs w:val="18"/>
          </w:rPr>
          <w:delText>月月后</w:delText>
        </w:r>
      </w:del>
      <w:del w:id="218" w:author="kylin" w:date="2025-10-17T17:06:20Z">
        <w:r>
          <w:rPr>
            <w:rFonts w:hint="default" w:ascii="Times New Roman" w:hAnsi="Times New Roman" w:cs="Times New Roman" w:eastAsiaTheme="majorEastAsia"/>
            <w:sz w:val="18"/>
            <w:szCs w:val="18"/>
          </w:rPr>
          <w:delText>11</w:delText>
        </w:r>
      </w:del>
      <w:del w:id="219" w:author="kylin" w:date="2025-10-17T17:06:20Z">
        <w:r>
          <w:rPr>
            <w:rFonts w:hint="eastAsia" w:asciiTheme="majorEastAsia" w:hAnsiTheme="majorEastAsia" w:eastAsiaTheme="majorEastAsia" w:cstheme="majorEastAsia"/>
            <w:sz w:val="18"/>
            <w:szCs w:val="18"/>
          </w:rPr>
          <w:delText>日</w:delText>
        </w:r>
      </w:del>
      <w:del w:id="220" w:author="kylin" w:date="2025-10-17T17:06:20Z">
        <w:r>
          <w:rPr>
            <w:rFonts w:hint="default" w:ascii="Times New Roman" w:hAnsi="Times New Roman" w:cs="Times New Roman" w:eastAsiaTheme="majorEastAsia"/>
            <w:sz w:val="18"/>
            <w:szCs w:val="18"/>
          </w:rPr>
          <w:delText>18:00</w:delText>
        </w:r>
      </w:del>
      <w:r>
        <w:rPr>
          <w:rFonts w:hint="eastAsia" w:asciiTheme="majorEastAsia" w:hAnsiTheme="majorEastAsia" w:eastAsiaTheme="majorEastAsia" w:cstheme="majorEastAsia"/>
          <w:sz w:val="18"/>
          <w:szCs w:val="18"/>
        </w:rPr>
        <w:t>前独立自行网上填报，</w:t>
      </w:r>
      <w:r>
        <w:rPr>
          <w:rFonts w:hint="default" w:ascii="Times New Roman" w:hAnsi="Times New Roman" w:cs="Times New Roman" w:eastAsiaTheme="majorEastAsia"/>
          <w:sz w:val="18"/>
          <w:szCs w:val="18"/>
        </w:rPr>
        <w:t>1</w:t>
      </w:r>
      <w:r>
        <w:rPr>
          <w:rFonts w:hint="eastAsia" w:asciiTheme="majorEastAsia" w:hAnsiTheme="majorEastAsia" w:eastAsiaTheme="majorEastAsia" w:cstheme="majorEastAsia"/>
          <w:sz w:val="18"/>
          <w:szCs w:val="18"/>
        </w:rPr>
        <w:t>月免报；省级统计机构</w:t>
      </w:r>
      <w:r>
        <w:rPr>
          <w:rFonts w:hint="default" w:ascii="Times New Roman" w:hAnsi="Times New Roman" w:cs="Times New Roman" w:eastAsiaTheme="majorEastAsia"/>
          <w:sz w:val="18"/>
          <w:szCs w:val="18"/>
        </w:rPr>
        <w:t>6、8、10、11</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10</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2、3、5、7</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11</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4</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13</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9</w:t>
      </w:r>
      <w:r>
        <w:rPr>
          <w:rFonts w:hint="eastAsia" w:asciiTheme="majorEastAsia" w:hAnsiTheme="majorEastAsia" w:eastAsiaTheme="majorEastAsia" w:cstheme="majorEastAsia"/>
          <w:sz w:val="18"/>
          <w:szCs w:val="18"/>
        </w:rPr>
        <w:t>月月后</w:t>
      </w:r>
      <w:r>
        <w:rPr>
          <w:rFonts w:hint="default" w:ascii="Times New Roman" w:hAnsi="Times New Roman" w:cs="Times New Roman" w:eastAsiaTheme="majorEastAsia"/>
          <w:sz w:val="18"/>
          <w:szCs w:val="18"/>
        </w:rPr>
        <w:t>14</w:t>
      </w:r>
      <w:r>
        <w:rPr>
          <w:rFonts w:hint="eastAsia" w:asciiTheme="majorEastAsia" w:hAnsiTheme="majorEastAsia" w:eastAsiaTheme="majorEastAsia" w:cstheme="majorEastAsia"/>
          <w:sz w:val="18"/>
          <w:szCs w:val="18"/>
        </w:rPr>
        <w:t>日</w:t>
      </w:r>
      <w:r>
        <w:rPr>
          <w:rFonts w:hint="default" w:ascii="Times New Roman" w:hAnsi="Times New Roman" w:cs="Times New Roman" w:eastAsiaTheme="majorEastAsia"/>
          <w:sz w:val="18"/>
          <w:szCs w:val="18"/>
        </w:rPr>
        <w:t>12:00</w:t>
      </w:r>
      <w:r>
        <w:rPr>
          <w:rFonts w:hint="eastAsia" w:asciiTheme="majorEastAsia" w:hAnsiTheme="majorEastAsia" w:eastAsiaTheme="majorEastAsia" w:cstheme="majorEastAsia"/>
          <w:sz w:val="18"/>
          <w:szCs w:val="18"/>
        </w:rPr>
        <w:t>前完成数据审核、验收、上报。</w:t>
      </w:r>
    </w:p>
    <w:p w14:paraId="5C25976E">
      <w:pPr>
        <w:adjustRightInd w:val="0"/>
        <w:snapToGrid w:val="0"/>
        <w:spacing w:line="260" w:lineRule="exact"/>
        <w:ind w:left="667" w:leftChars="258" w:hanging="125" w:hangingChars="70"/>
        <w:rPr>
          <w:sz w:val="18"/>
          <w:szCs w:val="18"/>
        </w:rPr>
      </w:pPr>
      <w:r>
        <w:rPr>
          <w:sz w:val="18"/>
          <w:szCs w:val="18"/>
        </w:rPr>
        <w:t>3.</w:t>
      </w:r>
      <w:r>
        <w:rPr>
          <w:rFonts w:ascii="宋体" w:hAnsi="宋体"/>
          <w:sz w:val="18"/>
        </w:rPr>
        <w:t>本</w:t>
      </w:r>
      <w:r>
        <w:rPr>
          <w:rFonts w:hint="eastAsia" w:ascii="宋体" w:hAnsi="宋体"/>
          <w:sz w:val="18"/>
        </w:rPr>
        <w:t>表中</w:t>
      </w:r>
      <w:r>
        <w:rPr>
          <w:rFonts w:hint="eastAsia" w:ascii="宋体" w:hAnsi="宋体"/>
          <w:sz w:val="18"/>
          <w:lang w:eastAsia="zh-CN"/>
        </w:rPr>
        <w:t>“</w:t>
      </w:r>
      <w:r>
        <w:rPr>
          <w:rFonts w:hint="eastAsia" w:ascii="宋体" w:hAnsi="宋体"/>
          <w:sz w:val="18"/>
        </w:rPr>
        <w:t>上年同期</w:t>
      </w:r>
      <w:r>
        <w:rPr>
          <w:rFonts w:hint="eastAsia" w:ascii="宋体" w:hAnsi="宋体"/>
          <w:sz w:val="18"/>
          <w:lang w:eastAsia="zh-CN"/>
        </w:rPr>
        <w:t>”</w:t>
      </w:r>
      <w:r>
        <w:rPr>
          <w:rFonts w:hint="eastAsia" w:ascii="宋体" w:hAnsi="宋体"/>
          <w:sz w:val="18"/>
        </w:rPr>
        <w:t>数据统一由国家统计局在数据处理软件中复制，调查单位和各级统计机构原则上不得修改；本</w:t>
      </w:r>
      <w:r>
        <w:rPr>
          <w:rFonts w:hint="eastAsia"/>
          <w:sz w:val="18"/>
        </w:rPr>
        <w:t>年新增的调查单位自行填报</w:t>
      </w:r>
      <w:r>
        <w:rPr>
          <w:rFonts w:hint="eastAsia" w:ascii="宋体" w:hAnsi="宋体"/>
          <w:sz w:val="18"/>
          <w:lang w:eastAsia="zh-CN"/>
        </w:rPr>
        <w:t>“</w:t>
      </w:r>
      <w:r>
        <w:rPr>
          <w:rFonts w:hint="eastAsia" w:ascii="宋体" w:hAnsi="宋体"/>
          <w:sz w:val="18"/>
        </w:rPr>
        <w:t>上年同期</w:t>
      </w:r>
      <w:r>
        <w:rPr>
          <w:rFonts w:hint="eastAsia" w:ascii="宋体" w:hAnsi="宋体"/>
          <w:sz w:val="18"/>
          <w:lang w:eastAsia="zh-CN"/>
        </w:rPr>
        <w:t>”</w:t>
      </w:r>
      <w:r>
        <w:rPr>
          <w:rFonts w:hint="eastAsia"/>
          <w:sz w:val="18"/>
        </w:rPr>
        <w:t>数据；涉及兼并、重组等情况的企业，经国家统计局批准后，调查单位可调整同期数；本年新增指标的同期数由调查单位自行填报。</w:t>
      </w:r>
    </w:p>
    <w:p w14:paraId="6CCED823">
      <w:pPr>
        <w:adjustRightInd w:val="0"/>
        <w:snapToGrid w:val="0"/>
        <w:spacing w:line="260" w:lineRule="exact"/>
        <w:ind w:left="734" w:leftChars="258" w:hanging="192" w:hangingChars="107"/>
        <w:rPr>
          <w:sz w:val="18"/>
          <w:szCs w:val="18"/>
        </w:rPr>
      </w:pPr>
      <w:r>
        <w:rPr>
          <w:sz w:val="18"/>
          <w:szCs w:val="18"/>
        </w:rPr>
        <w:t>4.油品重量单位与容积单位的换算关系：</w:t>
      </w:r>
    </w:p>
    <w:p w14:paraId="7EA24BE0">
      <w:pPr>
        <w:adjustRightInd w:val="0"/>
        <w:snapToGrid w:val="0"/>
        <w:spacing w:line="260" w:lineRule="exact"/>
        <w:ind w:left="722" w:leftChars="344"/>
        <w:rPr>
          <w:sz w:val="18"/>
          <w:szCs w:val="18"/>
        </w:rPr>
      </w:pPr>
      <w:r>
        <w:rPr>
          <w:sz w:val="18"/>
          <w:szCs w:val="18"/>
        </w:rPr>
        <w:t>(1)汽  油：1升</w:t>
      </w:r>
      <w:r>
        <w:rPr>
          <w:rFonts w:hint="default"/>
          <w:sz w:val="18"/>
          <w:lang w:val="en" w:eastAsia="zh-CN"/>
        </w:rPr>
        <w:t>≈</w:t>
      </w:r>
      <w:r>
        <w:rPr>
          <w:sz w:val="18"/>
          <w:szCs w:val="18"/>
        </w:rPr>
        <w:t>0.73千克</w:t>
      </w:r>
      <w:r>
        <w:rPr>
          <w:rFonts w:hint="default"/>
          <w:sz w:val="18"/>
          <w:lang w:val="en" w:eastAsia="zh-CN"/>
        </w:rPr>
        <w:t>≈</w:t>
      </w:r>
      <w:r>
        <w:rPr>
          <w:sz w:val="18"/>
          <w:szCs w:val="18"/>
        </w:rPr>
        <w:t>0.00073吨</w:t>
      </w:r>
    </w:p>
    <w:p w14:paraId="1B661FFD">
      <w:pPr>
        <w:adjustRightInd w:val="0"/>
        <w:snapToGrid w:val="0"/>
        <w:spacing w:line="260" w:lineRule="exact"/>
        <w:ind w:left="722" w:leftChars="344"/>
        <w:rPr>
          <w:sz w:val="18"/>
          <w:szCs w:val="18"/>
        </w:rPr>
      </w:pPr>
      <w:r>
        <w:rPr>
          <w:sz w:val="18"/>
          <w:szCs w:val="18"/>
        </w:rPr>
        <w:t>(2)轻柴油：1升</w:t>
      </w:r>
      <w:r>
        <w:rPr>
          <w:rFonts w:hint="default"/>
          <w:sz w:val="18"/>
          <w:lang w:val="en" w:eastAsia="zh-CN"/>
        </w:rPr>
        <w:t>≈</w:t>
      </w:r>
      <w:r>
        <w:rPr>
          <w:sz w:val="18"/>
          <w:szCs w:val="18"/>
        </w:rPr>
        <w:t>0.86千克</w:t>
      </w:r>
      <w:r>
        <w:rPr>
          <w:rFonts w:hint="default"/>
          <w:sz w:val="18"/>
          <w:lang w:val="en" w:eastAsia="zh-CN"/>
        </w:rPr>
        <w:t>≈</w:t>
      </w:r>
      <w:r>
        <w:rPr>
          <w:sz w:val="18"/>
          <w:szCs w:val="18"/>
        </w:rPr>
        <w:t>0.00086吨</w:t>
      </w:r>
    </w:p>
    <w:p w14:paraId="37C6B75B">
      <w:pPr>
        <w:adjustRightInd w:val="0"/>
        <w:snapToGrid w:val="0"/>
        <w:spacing w:line="260" w:lineRule="exact"/>
        <w:ind w:left="722" w:leftChars="344"/>
        <w:rPr>
          <w:sz w:val="18"/>
          <w:szCs w:val="18"/>
        </w:rPr>
      </w:pPr>
      <w:r>
        <w:rPr>
          <w:sz w:val="18"/>
          <w:szCs w:val="18"/>
        </w:rPr>
        <w:t>(3)重柴油：1升</w:t>
      </w:r>
      <w:r>
        <w:rPr>
          <w:rFonts w:hint="default"/>
          <w:sz w:val="18"/>
          <w:lang w:val="en" w:eastAsia="zh-CN"/>
        </w:rPr>
        <w:t>≈</w:t>
      </w:r>
      <w:r>
        <w:rPr>
          <w:sz w:val="18"/>
          <w:szCs w:val="18"/>
        </w:rPr>
        <w:t>0.92千克</w:t>
      </w:r>
      <w:r>
        <w:rPr>
          <w:rFonts w:hint="default"/>
          <w:sz w:val="18"/>
          <w:lang w:val="en" w:eastAsia="zh-CN"/>
        </w:rPr>
        <w:t>≈</w:t>
      </w:r>
      <w:r>
        <w:rPr>
          <w:sz w:val="18"/>
          <w:szCs w:val="18"/>
        </w:rPr>
        <w:t>0.00092吨</w:t>
      </w:r>
    </w:p>
    <w:p w14:paraId="68D91B24">
      <w:pPr>
        <w:adjustRightInd w:val="0"/>
        <w:snapToGrid w:val="0"/>
        <w:spacing w:line="260" w:lineRule="exact"/>
        <w:ind w:left="722" w:leftChars="344"/>
        <w:rPr>
          <w:sz w:val="18"/>
          <w:szCs w:val="18"/>
        </w:rPr>
      </w:pPr>
      <w:r>
        <w:rPr>
          <w:sz w:val="18"/>
          <w:szCs w:val="18"/>
        </w:rPr>
        <w:t>(4)煤  油：1升</w:t>
      </w:r>
      <w:r>
        <w:rPr>
          <w:rFonts w:hint="default"/>
          <w:sz w:val="18"/>
          <w:lang w:val="en" w:eastAsia="zh-CN"/>
        </w:rPr>
        <w:t>≈</w:t>
      </w:r>
      <w:r>
        <w:rPr>
          <w:sz w:val="18"/>
          <w:szCs w:val="18"/>
        </w:rPr>
        <w:t>0.82千克</w:t>
      </w:r>
      <w:r>
        <w:rPr>
          <w:rFonts w:hint="default"/>
          <w:sz w:val="18"/>
          <w:lang w:val="en" w:eastAsia="zh-CN"/>
        </w:rPr>
        <w:t>≈</w:t>
      </w:r>
      <w:r>
        <w:rPr>
          <w:sz w:val="18"/>
          <w:szCs w:val="18"/>
        </w:rPr>
        <w:t>0.00082吨</w:t>
      </w:r>
    </w:p>
    <w:p w14:paraId="2F20433E">
      <w:pPr>
        <w:adjustRightInd w:val="0"/>
        <w:snapToGrid w:val="0"/>
        <w:spacing w:line="260" w:lineRule="exact"/>
        <w:ind w:left="722" w:leftChars="344"/>
        <w:rPr>
          <w:sz w:val="18"/>
          <w:szCs w:val="18"/>
        </w:rPr>
      </w:pPr>
      <w:r>
        <w:rPr>
          <w:sz w:val="18"/>
          <w:szCs w:val="18"/>
        </w:rPr>
        <w:t>(5)燃料油：1升</w:t>
      </w:r>
      <w:r>
        <w:rPr>
          <w:rFonts w:hint="default"/>
          <w:sz w:val="18"/>
          <w:lang w:val="en" w:eastAsia="zh-CN"/>
        </w:rPr>
        <w:t>≈</w:t>
      </w:r>
      <w:r>
        <w:rPr>
          <w:sz w:val="18"/>
          <w:szCs w:val="18"/>
        </w:rPr>
        <w:t>0.91千克</w:t>
      </w:r>
      <w:r>
        <w:rPr>
          <w:rFonts w:hint="default"/>
          <w:sz w:val="18"/>
          <w:lang w:val="en" w:eastAsia="zh-CN"/>
        </w:rPr>
        <w:t>≈</w:t>
      </w:r>
      <w:r>
        <w:rPr>
          <w:sz w:val="18"/>
          <w:szCs w:val="18"/>
        </w:rPr>
        <w:t>0.00091吨</w:t>
      </w:r>
    </w:p>
    <w:p w14:paraId="4B8995C4">
      <w:pPr>
        <w:pageBreakBefore/>
        <w:snapToGrid w:val="0"/>
        <w:spacing w:before="573" w:beforeLines="200" w:after="240" w:afterLines="100"/>
        <w:jc w:val="center"/>
        <w:outlineLvl w:val="2"/>
        <w:rPr>
          <w:sz w:val="32"/>
          <w:szCs w:val="32"/>
        </w:rPr>
      </w:pPr>
      <w:r>
        <w:rPr>
          <w:rFonts w:hint="eastAsia"/>
          <w:sz w:val="32"/>
          <w:szCs w:val="32"/>
        </w:rPr>
        <w:t>四下企业</w:t>
      </w:r>
      <w:r>
        <w:rPr>
          <w:sz w:val="32"/>
          <w:szCs w:val="32"/>
        </w:rPr>
        <w:t>主要能源产品产量</w:t>
      </w:r>
    </w:p>
    <w:tbl>
      <w:tblPr>
        <w:tblStyle w:val="20"/>
        <w:tblW w:w="0" w:type="auto"/>
        <w:jc w:val="center"/>
        <w:tblLayout w:type="autofit"/>
        <w:tblCellMar>
          <w:top w:w="0" w:type="dxa"/>
          <w:left w:w="108" w:type="dxa"/>
          <w:bottom w:w="0" w:type="dxa"/>
          <w:right w:w="108" w:type="dxa"/>
        </w:tblCellMar>
      </w:tblPr>
      <w:tblGrid>
        <w:gridCol w:w="3707"/>
        <w:gridCol w:w="263"/>
        <w:gridCol w:w="2288"/>
        <w:gridCol w:w="1116"/>
        <w:gridCol w:w="2056"/>
      </w:tblGrid>
      <w:tr w14:paraId="0A4B20A3">
        <w:trPr>
          <w:jc w:val="center"/>
        </w:trPr>
        <w:tc>
          <w:tcPr>
            <w:tcW w:w="3707" w:type="dxa"/>
            <w:tcMar>
              <w:left w:w="0" w:type="dxa"/>
              <w:right w:w="0" w:type="dxa"/>
            </w:tcMar>
          </w:tcPr>
          <w:p w14:paraId="5DC47B35">
            <w:pPr>
              <w:spacing w:line="240" w:lineRule="exact"/>
              <w:jc w:val="center"/>
              <w:rPr>
                <w:sz w:val="32"/>
                <w:szCs w:val="32"/>
              </w:rPr>
            </w:pPr>
          </w:p>
        </w:tc>
        <w:tc>
          <w:tcPr>
            <w:tcW w:w="263" w:type="dxa"/>
          </w:tcPr>
          <w:p w14:paraId="7F042EE7">
            <w:pPr>
              <w:spacing w:line="240" w:lineRule="exact"/>
              <w:jc w:val="center"/>
              <w:rPr>
                <w:sz w:val="32"/>
                <w:szCs w:val="32"/>
              </w:rPr>
            </w:pPr>
          </w:p>
        </w:tc>
        <w:tc>
          <w:tcPr>
            <w:tcW w:w="2288" w:type="dxa"/>
          </w:tcPr>
          <w:p w14:paraId="0F022C95">
            <w:pPr>
              <w:spacing w:line="240" w:lineRule="exact"/>
              <w:jc w:val="center"/>
              <w:rPr>
                <w:sz w:val="32"/>
                <w:szCs w:val="32"/>
              </w:rPr>
            </w:pPr>
          </w:p>
        </w:tc>
        <w:tc>
          <w:tcPr>
            <w:tcW w:w="1116" w:type="dxa"/>
            <w:vAlign w:val="center"/>
          </w:tcPr>
          <w:p w14:paraId="2F164349">
            <w:pPr>
              <w:spacing w:line="240" w:lineRule="exact"/>
              <w:rPr>
                <w:sz w:val="32"/>
                <w:szCs w:val="32"/>
              </w:rPr>
            </w:pPr>
            <w:r>
              <w:rPr>
                <w:sz w:val="18"/>
                <w:szCs w:val="18"/>
              </w:rPr>
              <w:t>表    号：</w:t>
            </w:r>
          </w:p>
        </w:tc>
        <w:tc>
          <w:tcPr>
            <w:tcW w:w="2056" w:type="dxa"/>
            <w:vAlign w:val="center"/>
          </w:tcPr>
          <w:p w14:paraId="21A68C73">
            <w:pPr>
              <w:spacing w:line="240" w:lineRule="exact"/>
              <w:jc w:val="distribute"/>
              <w:rPr>
                <w:sz w:val="32"/>
                <w:szCs w:val="32"/>
              </w:rPr>
            </w:pPr>
            <w:r>
              <w:rPr>
                <w:sz w:val="18"/>
                <w:szCs w:val="18"/>
              </w:rPr>
              <w:t>Ｐ２０６表</w:t>
            </w:r>
          </w:p>
        </w:tc>
      </w:tr>
      <w:tr w14:paraId="154E4930">
        <w:tblPrEx>
          <w:tblCellMar>
            <w:top w:w="0" w:type="dxa"/>
            <w:left w:w="108" w:type="dxa"/>
            <w:bottom w:w="0" w:type="dxa"/>
            <w:right w:w="108" w:type="dxa"/>
          </w:tblCellMar>
        </w:tblPrEx>
        <w:trPr>
          <w:jc w:val="center"/>
        </w:trPr>
        <w:tc>
          <w:tcPr>
            <w:tcW w:w="6258" w:type="dxa"/>
            <w:gridSpan w:val="3"/>
            <w:tcMar>
              <w:left w:w="0" w:type="dxa"/>
              <w:right w:w="0" w:type="dxa"/>
            </w:tcMar>
          </w:tcPr>
          <w:p w14:paraId="1642F632">
            <w:pPr>
              <w:spacing w:line="240" w:lineRule="exact"/>
              <w:jc w:val="left"/>
              <w:rPr>
                <w:sz w:val="32"/>
                <w:szCs w:val="32"/>
              </w:rPr>
            </w:pPr>
            <w:r>
              <w:rPr>
                <w:sz w:val="18"/>
                <w:szCs w:val="18"/>
              </w:rPr>
              <w:t>统一社会信用代码</w:t>
            </w:r>
            <w:r>
              <w:rPr>
                <w:rFonts w:hint="eastAsia" w:ascii="宋体" w:hAnsi="宋体" w:cs="宋体"/>
                <w:color w:val="000000"/>
                <w:kern w:val="0"/>
                <w:sz w:val="18"/>
                <w:szCs w:val="18"/>
              </w:rPr>
              <w:t>□□□□□□□□□□□□□□□□□□</w:t>
            </w:r>
          </w:p>
        </w:tc>
        <w:tc>
          <w:tcPr>
            <w:tcW w:w="1116" w:type="dxa"/>
            <w:vAlign w:val="center"/>
          </w:tcPr>
          <w:p w14:paraId="2CB14A98">
            <w:pPr>
              <w:spacing w:line="240" w:lineRule="exact"/>
              <w:rPr>
                <w:sz w:val="32"/>
                <w:szCs w:val="32"/>
              </w:rPr>
            </w:pPr>
            <w:r>
              <w:rPr>
                <w:sz w:val="18"/>
                <w:szCs w:val="18"/>
              </w:rPr>
              <w:t>制定机关：</w:t>
            </w:r>
          </w:p>
        </w:tc>
        <w:tc>
          <w:tcPr>
            <w:tcW w:w="2056" w:type="dxa"/>
            <w:vAlign w:val="center"/>
          </w:tcPr>
          <w:p w14:paraId="7E1C168B">
            <w:pPr>
              <w:spacing w:line="240" w:lineRule="exact"/>
              <w:jc w:val="distribute"/>
              <w:rPr>
                <w:sz w:val="32"/>
                <w:szCs w:val="32"/>
              </w:rPr>
            </w:pPr>
            <w:r>
              <w:rPr>
                <w:sz w:val="18"/>
                <w:szCs w:val="18"/>
              </w:rPr>
              <w:t>国家统计局</w:t>
            </w:r>
          </w:p>
        </w:tc>
      </w:tr>
      <w:tr w14:paraId="00837BB8">
        <w:tblPrEx>
          <w:tblCellMar>
            <w:top w:w="0" w:type="dxa"/>
            <w:left w:w="108" w:type="dxa"/>
            <w:bottom w:w="0" w:type="dxa"/>
            <w:right w:w="108" w:type="dxa"/>
          </w:tblCellMar>
        </w:tblPrEx>
        <w:trPr>
          <w:jc w:val="center"/>
        </w:trPr>
        <w:tc>
          <w:tcPr>
            <w:tcW w:w="6258" w:type="dxa"/>
            <w:gridSpan w:val="3"/>
            <w:tcMar>
              <w:left w:w="0" w:type="dxa"/>
              <w:right w:w="0" w:type="dxa"/>
            </w:tcMar>
          </w:tcPr>
          <w:p w14:paraId="78498FBA">
            <w:pPr>
              <w:spacing w:line="240" w:lineRule="exact"/>
              <w:jc w:val="left"/>
              <w:rPr>
                <w:rFonts w:hint="eastAsia" w:eastAsia="宋体"/>
                <w:sz w:val="32"/>
                <w:szCs w:val="32"/>
                <w:lang w:eastAsia="zh-CN"/>
              </w:rPr>
            </w:pPr>
          </w:p>
        </w:tc>
        <w:tc>
          <w:tcPr>
            <w:tcW w:w="1116" w:type="dxa"/>
            <w:vAlign w:val="center"/>
          </w:tcPr>
          <w:p w14:paraId="240A7EBB">
            <w:pPr>
              <w:spacing w:line="240" w:lineRule="exact"/>
              <w:rPr>
                <w:sz w:val="32"/>
                <w:szCs w:val="32"/>
              </w:rPr>
            </w:pPr>
            <w:r>
              <w:rPr>
                <w:sz w:val="18"/>
                <w:szCs w:val="18"/>
              </w:rPr>
              <w:t>文    号：</w:t>
            </w:r>
          </w:p>
        </w:tc>
        <w:tc>
          <w:tcPr>
            <w:tcW w:w="2056" w:type="dxa"/>
            <w:vAlign w:val="center"/>
          </w:tcPr>
          <w:p w14:paraId="29F8A8DA">
            <w:pPr>
              <w:spacing w:line="240" w:lineRule="exact"/>
              <w:jc w:val="distribute"/>
              <w:rPr>
                <w:sz w:val="32"/>
                <w:szCs w:val="32"/>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221" w:author="kylin" w:date="2025-10-17T16:20:05Z">
              <w:r>
                <w:rPr>
                  <w:rFonts w:hint="default" w:ascii="宋体" w:hAnsi="宋体"/>
                  <w:spacing w:val="-16"/>
                  <w:sz w:val="18"/>
                  <w:szCs w:val="18"/>
                  <w:lang w:val="en-US" w:eastAsia="zh-CN"/>
                </w:rPr>
                <w:delText>４</w:delText>
              </w:r>
            </w:del>
            <w:ins w:id="222" w:author="kylin" w:date="2025-10-17T16:20:05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223" w:author="kylin" w:date="2025-10-17T16:20:07Z">
              <w:r>
                <w:rPr>
                  <w:rFonts w:hint="default" w:ascii="宋体" w:hAnsi="宋体"/>
                  <w:spacing w:val="-16"/>
                  <w:sz w:val="18"/>
                  <w:szCs w:val="18"/>
                  <w:lang w:val="en-US" w:eastAsia="zh-CN"/>
                </w:rPr>
                <w:delText>77</w:delText>
              </w:r>
            </w:del>
            <w:ins w:id="224" w:author="kylin" w:date="2025-10-17T16:20:07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6F9C8DA6">
        <w:tblPrEx>
          <w:tblCellMar>
            <w:top w:w="0" w:type="dxa"/>
            <w:left w:w="108" w:type="dxa"/>
            <w:bottom w:w="0" w:type="dxa"/>
            <w:right w:w="108" w:type="dxa"/>
          </w:tblCellMar>
        </w:tblPrEx>
        <w:trPr>
          <w:jc w:val="center"/>
        </w:trPr>
        <w:tc>
          <w:tcPr>
            <w:tcW w:w="3707" w:type="dxa"/>
            <w:tcMar>
              <w:left w:w="0" w:type="dxa"/>
              <w:right w:w="0" w:type="dxa"/>
            </w:tcMar>
          </w:tcPr>
          <w:p w14:paraId="7E06D0D8">
            <w:pPr>
              <w:spacing w:line="240" w:lineRule="exact"/>
              <w:rPr>
                <w:sz w:val="32"/>
                <w:szCs w:val="32"/>
              </w:rPr>
            </w:pPr>
            <w:r>
              <w:rPr>
                <w:rFonts w:hint="eastAsia"/>
                <w:kern w:val="0"/>
                <w:sz w:val="18"/>
                <w:szCs w:val="18"/>
              </w:rPr>
              <w:t>单位详细</w:t>
            </w:r>
            <w:r>
              <w:rPr>
                <w:kern w:val="0"/>
                <w:sz w:val="18"/>
                <w:szCs w:val="18"/>
              </w:rPr>
              <w:t>名称：</w:t>
            </w:r>
          </w:p>
        </w:tc>
        <w:tc>
          <w:tcPr>
            <w:tcW w:w="263" w:type="dxa"/>
          </w:tcPr>
          <w:p w14:paraId="6F5B7ED4">
            <w:pPr>
              <w:spacing w:line="240" w:lineRule="exact"/>
              <w:jc w:val="center"/>
              <w:rPr>
                <w:sz w:val="32"/>
                <w:szCs w:val="32"/>
              </w:rPr>
            </w:pPr>
          </w:p>
        </w:tc>
        <w:tc>
          <w:tcPr>
            <w:tcW w:w="2288" w:type="dxa"/>
          </w:tcPr>
          <w:p w14:paraId="4D672201">
            <w:pPr>
              <w:spacing w:line="240" w:lineRule="exact"/>
              <w:rPr>
                <w:sz w:val="32"/>
                <w:szCs w:val="32"/>
              </w:rPr>
            </w:pPr>
            <w:r>
              <w:rPr>
                <w:sz w:val="18"/>
                <w:szCs w:val="18"/>
              </w:rPr>
              <w:t>２０　　年 １－　月</w:t>
            </w:r>
          </w:p>
        </w:tc>
        <w:tc>
          <w:tcPr>
            <w:tcW w:w="1116" w:type="dxa"/>
            <w:vAlign w:val="center"/>
          </w:tcPr>
          <w:p w14:paraId="09276FA2">
            <w:pPr>
              <w:spacing w:line="240" w:lineRule="exact"/>
              <w:rPr>
                <w:sz w:val="32"/>
                <w:szCs w:val="32"/>
              </w:rPr>
            </w:pPr>
            <w:r>
              <w:rPr>
                <w:sz w:val="18"/>
                <w:szCs w:val="18"/>
              </w:rPr>
              <w:t>有效期至：</w:t>
            </w:r>
          </w:p>
        </w:tc>
        <w:tc>
          <w:tcPr>
            <w:tcW w:w="2056" w:type="dxa"/>
            <w:vAlign w:val="center"/>
          </w:tcPr>
          <w:p w14:paraId="2337EBC5">
            <w:pPr>
              <w:spacing w:line="240" w:lineRule="exact"/>
              <w:jc w:val="distribute"/>
              <w:rPr>
                <w:rFonts w:hint="default" w:eastAsia="宋体"/>
                <w:sz w:val="18"/>
                <w:szCs w:val="18"/>
                <w:lang w:val="en-US" w:eastAsia="zh-CN"/>
              </w:rPr>
            </w:pPr>
            <w:r>
              <w:rPr>
                <w:rFonts w:hint="default"/>
                <w:sz w:val="18"/>
                <w:szCs w:val="18"/>
                <w:lang w:val="en-US" w:eastAsia="zh-CN"/>
              </w:rPr>
              <w:t>２０２</w:t>
            </w:r>
            <w:del w:id="225" w:author="kylin" w:date="2025-10-17T16:20:10Z">
              <w:r>
                <w:rPr>
                  <w:rFonts w:hint="default"/>
                  <w:sz w:val="18"/>
                  <w:szCs w:val="18"/>
                  <w:lang w:val="en-US" w:eastAsia="zh-CN"/>
                </w:rPr>
                <w:delText>６</w:delText>
              </w:r>
            </w:del>
            <w:ins w:id="226" w:author="kylin" w:date="2025-10-17T16:20:10Z">
              <w:r>
                <w:rPr>
                  <w:rFonts w:hint="eastAsia"/>
                  <w:sz w:val="18"/>
                  <w:szCs w:val="18"/>
                  <w:lang w:val="en-US" w:eastAsia="zh-CN"/>
                </w:rPr>
                <w:t>7</w:t>
              </w:r>
            </w:ins>
            <w:r>
              <w:rPr>
                <w:rFonts w:hint="default"/>
                <w:sz w:val="18"/>
                <w:szCs w:val="18"/>
                <w:lang w:val="en-US" w:eastAsia="zh-CN"/>
              </w:rPr>
              <w:t>年１月</w:t>
            </w:r>
          </w:p>
        </w:tc>
      </w:tr>
    </w:tbl>
    <w:p w14:paraId="25482B21">
      <w:pPr>
        <w:spacing w:line="20" w:lineRule="exact"/>
        <w:jc w:val="center"/>
        <w:rPr>
          <w:bCs/>
          <w:kern w:val="0"/>
          <w:sz w:val="32"/>
          <w:szCs w:val="32"/>
        </w:rPr>
      </w:pPr>
    </w:p>
    <w:tbl>
      <w:tblPr>
        <w:tblStyle w:val="20"/>
        <w:tblW w:w="4885"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605"/>
        <w:gridCol w:w="1361"/>
        <w:gridCol w:w="1436"/>
        <w:gridCol w:w="1963"/>
        <w:gridCol w:w="2042"/>
      </w:tblGrid>
      <w:tr w14:paraId="128EE2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vMerge w:val="restart"/>
            <w:tcBorders>
              <w:top w:val="single" w:color="auto" w:sz="8" w:space="0"/>
              <w:bottom w:val="single" w:color="auto" w:sz="2" w:space="0"/>
            </w:tcBorders>
            <w:shd w:val="clear" w:color="auto" w:fill="auto"/>
            <w:vAlign w:val="center"/>
          </w:tcPr>
          <w:p w14:paraId="11ED2E14">
            <w:pPr>
              <w:widowControl/>
              <w:jc w:val="center"/>
              <w:rPr>
                <w:kern w:val="0"/>
                <w:sz w:val="18"/>
                <w:szCs w:val="18"/>
              </w:rPr>
            </w:pPr>
            <w:r>
              <w:rPr>
                <w:kern w:val="0"/>
                <w:sz w:val="18"/>
                <w:szCs w:val="18"/>
              </w:rPr>
              <w:t>产品名称</w:t>
            </w:r>
          </w:p>
        </w:tc>
        <w:tc>
          <w:tcPr>
            <w:tcW w:w="723" w:type="pct"/>
            <w:vMerge w:val="restart"/>
            <w:tcBorders>
              <w:top w:val="single" w:color="auto" w:sz="8" w:space="0"/>
              <w:bottom w:val="single" w:color="auto" w:sz="2" w:space="0"/>
            </w:tcBorders>
            <w:shd w:val="clear" w:color="auto" w:fill="auto"/>
            <w:vAlign w:val="center"/>
          </w:tcPr>
          <w:p w14:paraId="3B096D6A">
            <w:pPr>
              <w:widowControl/>
              <w:jc w:val="center"/>
              <w:rPr>
                <w:kern w:val="0"/>
                <w:sz w:val="18"/>
                <w:szCs w:val="18"/>
              </w:rPr>
            </w:pPr>
            <w:r>
              <w:rPr>
                <w:kern w:val="0"/>
                <w:sz w:val="18"/>
                <w:szCs w:val="18"/>
              </w:rPr>
              <w:t>计量单位</w:t>
            </w:r>
          </w:p>
        </w:tc>
        <w:tc>
          <w:tcPr>
            <w:tcW w:w="763" w:type="pct"/>
            <w:vMerge w:val="restart"/>
            <w:tcBorders>
              <w:top w:val="single" w:color="auto" w:sz="8" w:space="0"/>
              <w:bottom w:val="single" w:color="auto" w:sz="2" w:space="0"/>
            </w:tcBorders>
            <w:shd w:val="clear" w:color="auto" w:fill="auto"/>
            <w:vAlign w:val="center"/>
          </w:tcPr>
          <w:p w14:paraId="12C5AF45">
            <w:pPr>
              <w:jc w:val="center"/>
              <w:rPr>
                <w:kern w:val="0"/>
                <w:sz w:val="18"/>
                <w:szCs w:val="18"/>
              </w:rPr>
            </w:pPr>
            <w:r>
              <w:rPr>
                <w:kern w:val="0"/>
                <w:sz w:val="18"/>
                <w:szCs w:val="18"/>
              </w:rPr>
              <w:t>产品代码</w:t>
            </w:r>
          </w:p>
        </w:tc>
        <w:tc>
          <w:tcPr>
            <w:tcW w:w="2128" w:type="pct"/>
            <w:gridSpan w:val="2"/>
            <w:tcBorders>
              <w:top w:val="single" w:color="auto" w:sz="8" w:space="0"/>
              <w:bottom w:val="single" w:color="auto" w:sz="2" w:space="0"/>
            </w:tcBorders>
            <w:shd w:val="clear" w:color="auto" w:fill="auto"/>
            <w:vAlign w:val="center"/>
          </w:tcPr>
          <w:p w14:paraId="6FC98890">
            <w:pPr>
              <w:widowControl/>
              <w:jc w:val="center"/>
              <w:rPr>
                <w:kern w:val="0"/>
                <w:sz w:val="18"/>
                <w:szCs w:val="18"/>
              </w:rPr>
            </w:pPr>
            <w:r>
              <w:rPr>
                <w:kern w:val="0"/>
                <w:sz w:val="18"/>
                <w:szCs w:val="18"/>
              </w:rPr>
              <w:t>生产量</w:t>
            </w:r>
          </w:p>
        </w:tc>
      </w:tr>
      <w:tr w14:paraId="1FC0D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vMerge w:val="continue"/>
            <w:tcBorders>
              <w:top w:val="single" w:color="auto" w:sz="2" w:space="0"/>
              <w:bottom w:val="single" w:color="auto" w:sz="2" w:space="0"/>
            </w:tcBorders>
            <w:shd w:val="clear" w:color="auto" w:fill="auto"/>
            <w:vAlign w:val="center"/>
          </w:tcPr>
          <w:p w14:paraId="07BF4A85">
            <w:pPr>
              <w:widowControl/>
              <w:jc w:val="center"/>
              <w:rPr>
                <w:kern w:val="0"/>
                <w:sz w:val="18"/>
                <w:szCs w:val="18"/>
              </w:rPr>
            </w:pPr>
          </w:p>
        </w:tc>
        <w:tc>
          <w:tcPr>
            <w:tcW w:w="723" w:type="pct"/>
            <w:vMerge w:val="continue"/>
            <w:tcBorders>
              <w:top w:val="single" w:color="auto" w:sz="2" w:space="0"/>
              <w:bottom w:val="single" w:color="auto" w:sz="2" w:space="0"/>
            </w:tcBorders>
            <w:shd w:val="clear" w:color="auto" w:fill="auto"/>
            <w:vAlign w:val="center"/>
          </w:tcPr>
          <w:p w14:paraId="12AF397F">
            <w:pPr>
              <w:widowControl/>
              <w:jc w:val="center"/>
              <w:rPr>
                <w:kern w:val="0"/>
                <w:sz w:val="18"/>
                <w:szCs w:val="18"/>
              </w:rPr>
            </w:pPr>
          </w:p>
        </w:tc>
        <w:tc>
          <w:tcPr>
            <w:tcW w:w="763" w:type="pct"/>
            <w:vMerge w:val="continue"/>
            <w:tcBorders>
              <w:top w:val="single" w:color="auto" w:sz="2" w:space="0"/>
              <w:bottom w:val="single" w:color="auto" w:sz="2" w:space="0"/>
            </w:tcBorders>
            <w:shd w:val="clear" w:color="auto" w:fill="auto"/>
            <w:vAlign w:val="center"/>
          </w:tcPr>
          <w:p w14:paraId="3AD0D09C">
            <w:pPr>
              <w:widowControl/>
              <w:jc w:val="center"/>
              <w:rPr>
                <w:kern w:val="0"/>
                <w:sz w:val="18"/>
                <w:szCs w:val="18"/>
              </w:rPr>
            </w:pPr>
          </w:p>
        </w:tc>
        <w:tc>
          <w:tcPr>
            <w:tcW w:w="1043" w:type="pct"/>
            <w:tcBorders>
              <w:top w:val="single" w:color="auto" w:sz="2" w:space="0"/>
              <w:bottom w:val="single" w:color="auto" w:sz="2" w:space="0"/>
            </w:tcBorders>
            <w:shd w:val="clear" w:color="auto" w:fill="auto"/>
            <w:vAlign w:val="center"/>
          </w:tcPr>
          <w:p w14:paraId="09E80B9D">
            <w:pPr>
              <w:widowControl/>
              <w:jc w:val="center"/>
              <w:rPr>
                <w:kern w:val="0"/>
                <w:sz w:val="18"/>
                <w:szCs w:val="18"/>
              </w:rPr>
            </w:pPr>
            <w:r>
              <w:rPr>
                <w:kern w:val="0"/>
                <w:sz w:val="18"/>
                <w:szCs w:val="18"/>
              </w:rPr>
              <w:t>本年</w:t>
            </w:r>
          </w:p>
        </w:tc>
        <w:tc>
          <w:tcPr>
            <w:tcW w:w="1085" w:type="pct"/>
            <w:tcBorders>
              <w:bottom w:val="single" w:color="auto" w:sz="2" w:space="0"/>
            </w:tcBorders>
            <w:shd w:val="clear" w:color="auto" w:fill="auto"/>
            <w:vAlign w:val="center"/>
          </w:tcPr>
          <w:p w14:paraId="3A77BF33">
            <w:pPr>
              <w:widowControl/>
              <w:jc w:val="center"/>
              <w:rPr>
                <w:kern w:val="0"/>
                <w:sz w:val="18"/>
                <w:szCs w:val="18"/>
              </w:rPr>
            </w:pPr>
            <w:r>
              <w:rPr>
                <w:kern w:val="0"/>
                <w:sz w:val="18"/>
                <w:szCs w:val="18"/>
              </w:rPr>
              <w:t>上年同期</w:t>
            </w:r>
          </w:p>
        </w:tc>
      </w:tr>
      <w:tr w14:paraId="604750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single" w:color="auto" w:sz="2" w:space="0"/>
              <w:bottom w:val="single" w:color="auto" w:sz="2" w:space="0"/>
            </w:tcBorders>
            <w:shd w:val="clear" w:color="auto" w:fill="auto"/>
            <w:vAlign w:val="center"/>
          </w:tcPr>
          <w:p w14:paraId="06FC10B2">
            <w:pPr>
              <w:widowControl/>
              <w:spacing w:line="240" w:lineRule="exact"/>
              <w:jc w:val="center"/>
              <w:textAlignment w:val="center"/>
              <w:rPr>
                <w:kern w:val="0"/>
                <w:sz w:val="18"/>
                <w:szCs w:val="18"/>
              </w:rPr>
            </w:pPr>
            <w:r>
              <w:rPr>
                <w:kern w:val="0"/>
                <w:sz w:val="18"/>
                <w:szCs w:val="18"/>
              </w:rPr>
              <w:t>甲</w:t>
            </w:r>
          </w:p>
        </w:tc>
        <w:tc>
          <w:tcPr>
            <w:tcW w:w="723" w:type="pct"/>
            <w:tcBorders>
              <w:top w:val="single" w:color="auto" w:sz="2" w:space="0"/>
              <w:bottom w:val="single" w:color="auto" w:sz="2" w:space="0"/>
            </w:tcBorders>
            <w:shd w:val="clear" w:color="auto" w:fill="auto"/>
            <w:vAlign w:val="center"/>
          </w:tcPr>
          <w:p w14:paraId="3775E6AF">
            <w:pPr>
              <w:widowControl/>
              <w:spacing w:line="240" w:lineRule="exact"/>
              <w:jc w:val="center"/>
              <w:textAlignment w:val="center"/>
              <w:rPr>
                <w:kern w:val="0"/>
                <w:sz w:val="18"/>
                <w:szCs w:val="18"/>
              </w:rPr>
            </w:pPr>
            <w:r>
              <w:rPr>
                <w:kern w:val="0"/>
                <w:sz w:val="18"/>
                <w:szCs w:val="18"/>
              </w:rPr>
              <w:t>乙</w:t>
            </w:r>
          </w:p>
        </w:tc>
        <w:tc>
          <w:tcPr>
            <w:tcW w:w="763" w:type="pct"/>
            <w:tcBorders>
              <w:top w:val="single" w:color="auto" w:sz="2" w:space="0"/>
              <w:bottom w:val="single" w:color="auto" w:sz="2" w:space="0"/>
            </w:tcBorders>
            <w:shd w:val="clear" w:color="auto" w:fill="auto"/>
            <w:vAlign w:val="center"/>
          </w:tcPr>
          <w:p w14:paraId="1D6EB6C9">
            <w:pPr>
              <w:widowControl/>
              <w:spacing w:line="240" w:lineRule="exact"/>
              <w:jc w:val="center"/>
              <w:textAlignment w:val="center"/>
              <w:rPr>
                <w:kern w:val="0"/>
                <w:sz w:val="18"/>
                <w:szCs w:val="18"/>
              </w:rPr>
            </w:pPr>
            <w:r>
              <w:rPr>
                <w:kern w:val="0"/>
                <w:sz w:val="18"/>
                <w:szCs w:val="18"/>
              </w:rPr>
              <w:t>丙</w:t>
            </w:r>
          </w:p>
        </w:tc>
        <w:tc>
          <w:tcPr>
            <w:tcW w:w="1043" w:type="pct"/>
            <w:tcBorders>
              <w:top w:val="single" w:color="auto" w:sz="2" w:space="0"/>
              <w:bottom w:val="single" w:color="auto" w:sz="2" w:space="0"/>
            </w:tcBorders>
            <w:shd w:val="clear" w:color="auto" w:fill="auto"/>
            <w:vAlign w:val="center"/>
          </w:tcPr>
          <w:p w14:paraId="2ACD5757">
            <w:pPr>
              <w:widowControl/>
              <w:spacing w:line="240" w:lineRule="exact"/>
              <w:jc w:val="center"/>
              <w:textAlignment w:val="center"/>
              <w:rPr>
                <w:kern w:val="0"/>
                <w:sz w:val="18"/>
                <w:szCs w:val="18"/>
              </w:rPr>
            </w:pPr>
            <w:r>
              <w:rPr>
                <w:kern w:val="0"/>
                <w:sz w:val="18"/>
                <w:szCs w:val="18"/>
              </w:rPr>
              <w:t>1</w:t>
            </w:r>
          </w:p>
        </w:tc>
        <w:tc>
          <w:tcPr>
            <w:tcW w:w="1085" w:type="pct"/>
            <w:tcBorders>
              <w:bottom w:val="single" w:color="auto" w:sz="2" w:space="0"/>
            </w:tcBorders>
            <w:shd w:val="clear" w:color="auto" w:fill="auto"/>
            <w:vAlign w:val="center"/>
          </w:tcPr>
          <w:p w14:paraId="522B06C1">
            <w:pPr>
              <w:widowControl/>
              <w:spacing w:line="240" w:lineRule="exact"/>
              <w:jc w:val="center"/>
              <w:textAlignment w:val="center"/>
              <w:rPr>
                <w:kern w:val="0"/>
                <w:sz w:val="18"/>
                <w:szCs w:val="18"/>
              </w:rPr>
            </w:pPr>
            <w:r>
              <w:rPr>
                <w:kern w:val="0"/>
                <w:sz w:val="18"/>
                <w:szCs w:val="18"/>
              </w:rPr>
              <w:t>2</w:t>
            </w:r>
          </w:p>
        </w:tc>
      </w:tr>
      <w:tr w14:paraId="102AC9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single" w:color="auto" w:sz="2" w:space="0"/>
              <w:bottom w:val="nil"/>
            </w:tcBorders>
            <w:shd w:val="clear" w:color="auto" w:fill="auto"/>
            <w:vAlign w:val="center"/>
          </w:tcPr>
          <w:p w14:paraId="23115C55">
            <w:pPr>
              <w:widowControl/>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原煤</w:t>
            </w:r>
          </w:p>
        </w:tc>
        <w:tc>
          <w:tcPr>
            <w:tcW w:w="723" w:type="pct"/>
            <w:tcBorders>
              <w:top w:val="single" w:color="auto" w:sz="2" w:space="0"/>
              <w:bottom w:val="nil"/>
            </w:tcBorders>
            <w:shd w:val="clear" w:color="auto" w:fill="auto"/>
            <w:vAlign w:val="center"/>
          </w:tcPr>
          <w:p w14:paraId="006A5E3F">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吨</w:t>
            </w:r>
          </w:p>
        </w:tc>
        <w:tc>
          <w:tcPr>
            <w:tcW w:w="763" w:type="pct"/>
            <w:tcBorders>
              <w:top w:val="single" w:color="auto" w:sz="2" w:space="0"/>
              <w:bottom w:val="nil"/>
            </w:tcBorders>
            <w:shd w:val="clear" w:color="auto" w:fill="auto"/>
            <w:vAlign w:val="center"/>
          </w:tcPr>
          <w:p w14:paraId="0EEE5EDB">
            <w:pPr>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0601000000</w:t>
            </w:r>
          </w:p>
        </w:tc>
        <w:tc>
          <w:tcPr>
            <w:tcW w:w="2128" w:type="pct"/>
            <w:gridSpan w:val="2"/>
            <w:vMerge w:val="restart"/>
            <w:tcBorders>
              <w:top w:val="single" w:color="auto" w:sz="2" w:space="0"/>
            </w:tcBorders>
            <w:shd w:val="clear" w:color="auto" w:fill="auto"/>
            <w:vAlign w:val="center"/>
          </w:tcPr>
          <w:p w14:paraId="0EF6AFB0">
            <w:pPr>
              <w:widowControl/>
              <w:jc w:val="center"/>
              <w:rPr>
                <w:kern w:val="0"/>
                <w:sz w:val="18"/>
                <w:szCs w:val="18"/>
              </w:rPr>
            </w:pPr>
          </w:p>
        </w:tc>
      </w:tr>
      <w:tr w14:paraId="48E061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65A8DD7F">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无烟煤</w:t>
            </w:r>
          </w:p>
        </w:tc>
        <w:tc>
          <w:tcPr>
            <w:tcW w:w="723" w:type="pct"/>
            <w:tcBorders>
              <w:top w:val="nil"/>
              <w:bottom w:val="nil"/>
            </w:tcBorders>
            <w:shd w:val="clear" w:color="auto" w:fill="auto"/>
            <w:vAlign w:val="center"/>
          </w:tcPr>
          <w:p w14:paraId="0BD19275">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吨</w:t>
            </w:r>
          </w:p>
        </w:tc>
        <w:tc>
          <w:tcPr>
            <w:tcW w:w="763" w:type="pct"/>
            <w:tcBorders>
              <w:top w:val="nil"/>
              <w:bottom w:val="nil"/>
            </w:tcBorders>
            <w:shd w:val="clear" w:color="auto" w:fill="auto"/>
            <w:vAlign w:val="center"/>
          </w:tcPr>
          <w:p w14:paraId="75C2268A">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0601010000</w:t>
            </w:r>
          </w:p>
        </w:tc>
        <w:tc>
          <w:tcPr>
            <w:tcW w:w="2128" w:type="pct"/>
            <w:gridSpan w:val="2"/>
            <w:vMerge w:val="continue"/>
            <w:shd w:val="clear" w:color="auto" w:fill="auto"/>
            <w:vAlign w:val="center"/>
          </w:tcPr>
          <w:p w14:paraId="3056E81A">
            <w:pPr>
              <w:widowControl/>
              <w:jc w:val="center"/>
              <w:rPr>
                <w:kern w:val="0"/>
                <w:sz w:val="18"/>
                <w:szCs w:val="18"/>
              </w:rPr>
            </w:pPr>
          </w:p>
        </w:tc>
      </w:tr>
      <w:tr w14:paraId="7A442B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4D08A6F3">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炼焦烟煤</w:t>
            </w:r>
          </w:p>
        </w:tc>
        <w:tc>
          <w:tcPr>
            <w:tcW w:w="723" w:type="pct"/>
            <w:tcBorders>
              <w:top w:val="nil"/>
              <w:bottom w:val="nil"/>
            </w:tcBorders>
            <w:shd w:val="clear" w:color="auto" w:fill="auto"/>
            <w:vAlign w:val="center"/>
          </w:tcPr>
          <w:p w14:paraId="7D1C6744">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吨</w:t>
            </w:r>
          </w:p>
        </w:tc>
        <w:tc>
          <w:tcPr>
            <w:tcW w:w="763" w:type="pct"/>
            <w:tcBorders>
              <w:top w:val="nil"/>
              <w:bottom w:val="nil"/>
            </w:tcBorders>
            <w:shd w:val="clear" w:color="auto" w:fill="auto"/>
            <w:vAlign w:val="center"/>
          </w:tcPr>
          <w:p w14:paraId="54411C9E">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0601020100</w:t>
            </w:r>
          </w:p>
        </w:tc>
        <w:tc>
          <w:tcPr>
            <w:tcW w:w="2128" w:type="pct"/>
            <w:gridSpan w:val="2"/>
            <w:vMerge w:val="continue"/>
            <w:shd w:val="clear" w:color="auto" w:fill="auto"/>
            <w:vAlign w:val="center"/>
          </w:tcPr>
          <w:p w14:paraId="1F2397A6">
            <w:pPr>
              <w:widowControl/>
              <w:jc w:val="center"/>
              <w:rPr>
                <w:kern w:val="0"/>
                <w:sz w:val="18"/>
                <w:szCs w:val="18"/>
              </w:rPr>
            </w:pPr>
          </w:p>
        </w:tc>
      </w:tr>
      <w:tr w14:paraId="6603BB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380EC956">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一般烟煤</w:t>
            </w:r>
          </w:p>
        </w:tc>
        <w:tc>
          <w:tcPr>
            <w:tcW w:w="723" w:type="pct"/>
            <w:tcBorders>
              <w:top w:val="nil"/>
              <w:bottom w:val="nil"/>
            </w:tcBorders>
            <w:shd w:val="clear" w:color="auto" w:fill="auto"/>
            <w:vAlign w:val="center"/>
          </w:tcPr>
          <w:p w14:paraId="35A7D7B1">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吨</w:t>
            </w:r>
          </w:p>
        </w:tc>
        <w:tc>
          <w:tcPr>
            <w:tcW w:w="763" w:type="pct"/>
            <w:tcBorders>
              <w:top w:val="nil"/>
              <w:bottom w:val="nil"/>
            </w:tcBorders>
            <w:shd w:val="clear" w:color="auto" w:fill="auto"/>
            <w:vAlign w:val="center"/>
          </w:tcPr>
          <w:p w14:paraId="7632F0AC">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0601020200</w:t>
            </w:r>
          </w:p>
        </w:tc>
        <w:tc>
          <w:tcPr>
            <w:tcW w:w="2128" w:type="pct"/>
            <w:gridSpan w:val="2"/>
            <w:vMerge w:val="continue"/>
            <w:shd w:val="clear" w:color="auto" w:fill="auto"/>
            <w:vAlign w:val="center"/>
          </w:tcPr>
          <w:p w14:paraId="3CB101AF">
            <w:pPr>
              <w:widowControl/>
              <w:jc w:val="center"/>
              <w:rPr>
                <w:kern w:val="0"/>
                <w:sz w:val="18"/>
                <w:szCs w:val="18"/>
              </w:rPr>
            </w:pPr>
          </w:p>
        </w:tc>
      </w:tr>
      <w:tr w14:paraId="120DF4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2E4BCC44">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褐煤</w:t>
            </w:r>
          </w:p>
        </w:tc>
        <w:tc>
          <w:tcPr>
            <w:tcW w:w="723" w:type="pct"/>
            <w:tcBorders>
              <w:top w:val="nil"/>
              <w:bottom w:val="nil"/>
            </w:tcBorders>
            <w:shd w:val="clear" w:color="auto" w:fill="auto"/>
            <w:vAlign w:val="center"/>
          </w:tcPr>
          <w:p w14:paraId="1E4B220F">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吨</w:t>
            </w:r>
          </w:p>
        </w:tc>
        <w:tc>
          <w:tcPr>
            <w:tcW w:w="763" w:type="pct"/>
            <w:tcBorders>
              <w:top w:val="nil"/>
              <w:bottom w:val="nil"/>
            </w:tcBorders>
            <w:shd w:val="clear" w:color="auto" w:fill="auto"/>
            <w:vAlign w:val="center"/>
          </w:tcPr>
          <w:p w14:paraId="5777382F">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0601030000</w:t>
            </w:r>
          </w:p>
        </w:tc>
        <w:tc>
          <w:tcPr>
            <w:tcW w:w="2128" w:type="pct"/>
            <w:gridSpan w:val="2"/>
            <w:vMerge w:val="continue"/>
            <w:shd w:val="clear" w:color="auto" w:fill="auto"/>
            <w:vAlign w:val="center"/>
          </w:tcPr>
          <w:p w14:paraId="36C968BB">
            <w:pPr>
              <w:widowControl/>
              <w:jc w:val="center"/>
              <w:rPr>
                <w:kern w:val="0"/>
                <w:sz w:val="18"/>
                <w:szCs w:val="18"/>
              </w:rPr>
            </w:pPr>
          </w:p>
        </w:tc>
      </w:tr>
      <w:tr w14:paraId="4FAB66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6F9F3888">
            <w:pPr>
              <w:widowControl/>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天然气</w:t>
            </w:r>
          </w:p>
        </w:tc>
        <w:tc>
          <w:tcPr>
            <w:tcW w:w="723" w:type="pct"/>
            <w:tcBorders>
              <w:top w:val="nil"/>
              <w:bottom w:val="nil"/>
            </w:tcBorders>
            <w:shd w:val="clear" w:color="auto" w:fill="auto"/>
            <w:vAlign w:val="center"/>
          </w:tcPr>
          <w:p w14:paraId="4D49E222">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万立方米</w:t>
            </w:r>
          </w:p>
        </w:tc>
        <w:tc>
          <w:tcPr>
            <w:tcW w:w="763" w:type="pct"/>
            <w:tcBorders>
              <w:top w:val="nil"/>
              <w:bottom w:val="nil"/>
            </w:tcBorders>
            <w:shd w:val="clear" w:color="auto" w:fill="auto"/>
            <w:vAlign w:val="center"/>
          </w:tcPr>
          <w:p w14:paraId="5BC0702F">
            <w:pPr>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0702000000</w:t>
            </w:r>
          </w:p>
        </w:tc>
        <w:tc>
          <w:tcPr>
            <w:tcW w:w="2128" w:type="pct"/>
            <w:gridSpan w:val="2"/>
            <w:vMerge w:val="continue"/>
            <w:shd w:val="clear" w:color="auto" w:fill="auto"/>
            <w:vAlign w:val="center"/>
          </w:tcPr>
          <w:p w14:paraId="5AD8F35C">
            <w:pPr>
              <w:widowControl/>
              <w:jc w:val="center"/>
              <w:rPr>
                <w:kern w:val="0"/>
                <w:sz w:val="18"/>
                <w:szCs w:val="18"/>
              </w:rPr>
            </w:pPr>
          </w:p>
        </w:tc>
      </w:tr>
      <w:tr w14:paraId="43407C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4841B444">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常规天然气</w:t>
            </w:r>
          </w:p>
        </w:tc>
        <w:tc>
          <w:tcPr>
            <w:tcW w:w="723" w:type="pct"/>
            <w:tcBorders>
              <w:top w:val="nil"/>
              <w:bottom w:val="nil"/>
            </w:tcBorders>
            <w:shd w:val="clear" w:color="auto" w:fill="auto"/>
            <w:vAlign w:val="center"/>
          </w:tcPr>
          <w:p w14:paraId="141E2BAA">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万立方米</w:t>
            </w:r>
          </w:p>
        </w:tc>
        <w:tc>
          <w:tcPr>
            <w:tcW w:w="763" w:type="pct"/>
            <w:tcBorders>
              <w:top w:val="nil"/>
              <w:bottom w:val="nil"/>
            </w:tcBorders>
            <w:shd w:val="clear" w:color="auto" w:fill="auto"/>
            <w:vAlign w:val="center"/>
          </w:tcPr>
          <w:p w14:paraId="1463DA1E">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0702010000</w:t>
            </w:r>
          </w:p>
        </w:tc>
        <w:tc>
          <w:tcPr>
            <w:tcW w:w="2128" w:type="pct"/>
            <w:gridSpan w:val="2"/>
            <w:vMerge w:val="continue"/>
            <w:shd w:val="clear" w:color="auto" w:fill="auto"/>
            <w:vAlign w:val="center"/>
          </w:tcPr>
          <w:p w14:paraId="47DFFC23">
            <w:pPr>
              <w:widowControl/>
              <w:jc w:val="center"/>
              <w:rPr>
                <w:kern w:val="0"/>
                <w:sz w:val="18"/>
                <w:szCs w:val="18"/>
              </w:rPr>
            </w:pPr>
          </w:p>
        </w:tc>
      </w:tr>
      <w:tr w14:paraId="5B7979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7FD7DC26">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非常规天然气</w:t>
            </w:r>
          </w:p>
        </w:tc>
        <w:tc>
          <w:tcPr>
            <w:tcW w:w="723" w:type="pct"/>
            <w:tcBorders>
              <w:top w:val="nil"/>
              <w:bottom w:val="nil"/>
            </w:tcBorders>
            <w:shd w:val="clear" w:color="auto" w:fill="auto"/>
            <w:vAlign w:val="center"/>
          </w:tcPr>
          <w:p w14:paraId="695F38BB">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万立方米</w:t>
            </w:r>
          </w:p>
        </w:tc>
        <w:tc>
          <w:tcPr>
            <w:tcW w:w="763" w:type="pct"/>
            <w:tcBorders>
              <w:top w:val="nil"/>
              <w:bottom w:val="nil"/>
            </w:tcBorders>
            <w:shd w:val="clear" w:color="auto" w:fill="auto"/>
            <w:vAlign w:val="center"/>
          </w:tcPr>
          <w:p w14:paraId="71950A46">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0702020000</w:t>
            </w:r>
          </w:p>
        </w:tc>
        <w:tc>
          <w:tcPr>
            <w:tcW w:w="2128" w:type="pct"/>
            <w:gridSpan w:val="2"/>
            <w:vMerge w:val="continue"/>
            <w:shd w:val="clear" w:color="auto" w:fill="auto"/>
            <w:vAlign w:val="center"/>
          </w:tcPr>
          <w:p w14:paraId="56F0EAFC">
            <w:pPr>
              <w:widowControl/>
              <w:jc w:val="center"/>
              <w:rPr>
                <w:kern w:val="0"/>
                <w:sz w:val="18"/>
                <w:szCs w:val="18"/>
              </w:rPr>
            </w:pPr>
          </w:p>
        </w:tc>
      </w:tr>
      <w:tr w14:paraId="5767E2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595503DE">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煤层气</w:t>
            </w:r>
          </w:p>
        </w:tc>
        <w:tc>
          <w:tcPr>
            <w:tcW w:w="723" w:type="pct"/>
            <w:tcBorders>
              <w:top w:val="nil"/>
              <w:bottom w:val="nil"/>
            </w:tcBorders>
            <w:shd w:val="clear" w:color="auto" w:fill="auto"/>
            <w:vAlign w:val="center"/>
          </w:tcPr>
          <w:p w14:paraId="0C418F54">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万立方米</w:t>
            </w:r>
          </w:p>
        </w:tc>
        <w:tc>
          <w:tcPr>
            <w:tcW w:w="763" w:type="pct"/>
            <w:tcBorders>
              <w:top w:val="nil"/>
              <w:bottom w:val="nil"/>
            </w:tcBorders>
            <w:shd w:val="clear" w:color="auto" w:fill="auto"/>
            <w:vAlign w:val="center"/>
          </w:tcPr>
          <w:p w14:paraId="5E0E6BBD">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0704000000</w:t>
            </w:r>
          </w:p>
        </w:tc>
        <w:tc>
          <w:tcPr>
            <w:tcW w:w="2128" w:type="pct"/>
            <w:gridSpan w:val="2"/>
            <w:vMerge w:val="continue"/>
            <w:shd w:val="clear" w:color="auto" w:fill="auto"/>
            <w:vAlign w:val="center"/>
          </w:tcPr>
          <w:p w14:paraId="42090442">
            <w:pPr>
              <w:widowControl/>
              <w:jc w:val="center"/>
              <w:rPr>
                <w:kern w:val="0"/>
                <w:sz w:val="18"/>
                <w:szCs w:val="18"/>
              </w:rPr>
            </w:pPr>
          </w:p>
        </w:tc>
      </w:tr>
      <w:tr w14:paraId="7FF902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53E3B330">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页岩气</w:t>
            </w:r>
          </w:p>
        </w:tc>
        <w:tc>
          <w:tcPr>
            <w:tcW w:w="723" w:type="pct"/>
            <w:tcBorders>
              <w:top w:val="nil"/>
              <w:bottom w:val="nil"/>
            </w:tcBorders>
            <w:shd w:val="clear" w:color="auto" w:fill="auto"/>
            <w:vAlign w:val="center"/>
          </w:tcPr>
          <w:p w14:paraId="3C22BA6D">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万立方米</w:t>
            </w:r>
          </w:p>
        </w:tc>
        <w:tc>
          <w:tcPr>
            <w:tcW w:w="763" w:type="pct"/>
            <w:tcBorders>
              <w:top w:val="nil"/>
              <w:bottom w:val="nil"/>
            </w:tcBorders>
            <w:shd w:val="clear" w:color="auto" w:fill="auto"/>
            <w:vAlign w:val="center"/>
          </w:tcPr>
          <w:p w14:paraId="6670CA24">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0702020100</w:t>
            </w:r>
          </w:p>
        </w:tc>
        <w:tc>
          <w:tcPr>
            <w:tcW w:w="2128" w:type="pct"/>
            <w:gridSpan w:val="2"/>
            <w:vMerge w:val="continue"/>
            <w:shd w:val="clear" w:color="auto" w:fill="auto"/>
            <w:vAlign w:val="center"/>
          </w:tcPr>
          <w:p w14:paraId="5EE6E4F4">
            <w:pPr>
              <w:widowControl/>
              <w:jc w:val="center"/>
              <w:rPr>
                <w:kern w:val="0"/>
                <w:sz w:val="18"/>
                <w:szCs w:val="18"/>
              </w:rPr>
            </w:pPr>
          </w:p>
        </w:tc>
      </w:tr>
      <w:tr w14:paraId="18D08C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7AD855DB">
            <w:pPr>
              <w:widowControl/>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 xml:space="preserve">    致密砂岩气</w:t>
            </w:r>
          </w:p>
        </w:tc>
        <w:tc>
          <w:tcPr>
            <w:tcW w:w="723" w:type="pct"/>
            <w:tcBorders>
              <w:top w:val="nil"/>
              <w:bottom w:val="nil"/>
            </w:tcBorders>
            <w:shd w:val="clear" w:color="auto" w:fill="auto"/>
            <w:vAlign w:val="center"/>
          </w:tcPr>
          <w:p w14:paraId="7BCB9E36">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万立方米</w:t>
            </w:r>
          </w:p>
        </w:tc>
        <w:tc>
          <w:tcPr>
            <w:tcW w:w="763" w:type="pct"/>
            <w:tcBorders>
              <w:top w:val="nil"/>
              <w:bottom w:val="nil"/>
            </w:tcBorders>
            <w:shd w:val="clear" w:color="auto" w:fill="auto"/>
            <w:vAlign w:val="center"/>
          </w:tcPr>
          <w:p w14:paraId="4C9C9E64">
            <w:pPr>
              <w:jc w:val="center"/>
              <w:textAlignment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sz w:val="18"/>
                <w:szCs w:val="18"/>
              </w:rPr>
              <w:t>0702020200</w:t>
            </w:r>
          </w:p>
        </w:tc>
        <w:tc>
          <w:tcPr>
            <w:tcW w:w="2128" w:type="pct"/>
            <w:gridSpan w:val="2"/>
            <w:vMerge w:val="continue"/>
            <w:shd w:val="clear" w:color="auto" w:fill="auto"/>
            <w:vAlign w:val="center"/>
          </w:tcPr>
          <w:p w14:paraId="44ABBA23">
            <w:pPr>
              <w:widowControl/>
              <w:jc w:val="center"/>
              <w:rPr>
                <w:kern w:val="0"/>
                <w:sz w:val="18"/>
                <w:szCs w:val="18"/>
              </w:rPr>
            </w:pPr>
          </w:p>
        </w:tc>
      </w:tr>
      <w:tr w14:paraId="6BE208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58040CE8">
            <w:pPr>
              <w:widowControl/>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火力发电量</w:t>
            </w:r>
          </w:p>
        </w:tc>
        <w:tc>
          <w:tcPr>
            <w:tcW w:w="723" w:type="pct"/>
            <w:tcBorders>
              <w:top w:val="nil"/>
              <w:bottom w:val="nil"/>
            </w:tcBorders>
            <w:shd w:val="clear" w:color="auto" w:fill="auto"/>
            <w:vAlign w:val="center"/>
          </w:tcPr>
          <w:p w14:paraId="6317F0C4">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万千瓦时</w:t>
            </w:r>
          </w:p>
        </w:tc>
        <w:tc>
          <w:tcPr>
            <w:tcW w:w="763" w:type="pct"/>
            <w:tcBorders>
              <w:top w:val="nil"/>
              <w:bottom w:val="nil"/>
            </w:tcBorders>
            <w:shd w:val="clear" w:color="auto" w:fill="auto"/>
            <w:vAlign w:val="center"/>
          </w:tcPr>
          <w:p w14:paraId="38190B79">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"http://www.stats.gov.cn/zjtj/tjbz/tjypflml/2010/44/01/01/44010199.html"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kern w:val="0"/>
                <w:sz w:val="18"/>
                <w:szCs w:val="18"/>
              </w:rPr>
              <w:t>4401010100</w:t>
            </w:r>
            <w:r>
              <w:rPr>
                <w:rFonts w:hint="eastAsia" w:asciiTheme="minorEastAsia" w:hAnsiTheme="minorEastAsia" w:eastAsiaTheme="minorEastAsia" w:cstheme="minorEastAsia"/>
                <w:kern w:val="0"/>
                <w:sz w:val="18"/>
                <w:szCs w:val="18"/>
              </w:rPr>
              <w:fldChar w:fldCharType="end"/>
            </w:r>
          </w:p>
        </w:tc>
        <w:tc>
          <w:tcPr>
            <w:tcW w:w="2128" w:type="pct"/>
            <w:gridSpan w:val="2"/>
            <w:vMerge w:val="continue"/>
            <w:shd w:val="clear" w:color="auto" w:fill="auto"/>
            <w:vAlign w:val="center"/>
          </w:tcPr>
          <w:p w14:paraId="42D5683D">
            <w:pPr>
              <w:widowControl/>
              <w:jc w:val="center"/>
              <w:rPr>
                <w:kern w:val="0"/>
                <w:sz w:val="18"/>
                <w:szCs w:val="18"/>
              </w:rPr>
            </w:pPr>
          </w:p>
        </w:tc>
      </w:tr>
      <w:tr w14:paraId="7E82F0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416FFB23">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燃煤发电量</w:t>
            </w:r>
          </w:p>
        </w:tc>
        <w:tc>
          <w:tcPr>
            <w:tcW w:w="723" w:type="pct"/>
            <w:tcBorders>
              <w:top w:val="nil"/>
              <w:bottom w:val="nil"/>
            </w:tcBorders>
            <w:shd w:val="clear" w:color="auto" w:fill="auto"/>
            <w:vAlign w:val="center"/>
          </w:tcPr>
          <w:p w14:paraId="4AF2A476">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0FEC2240">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4401010101</w:t>
            </w:r>
          </w:p>
        </w:tc>
        <w:tc>
          <w:tcPr>
            <w:tcW w:w="2128" w:type="pct"/>
            <w:gridSpan w:val="2"/>
            <w:vMerge w:val="continue"/>
            <w:shd w:val="clear" w:color="auto" w:fill="auto"/>
            <w:vAlign w:val="center"/>
          </w:tcPr>
          <w:p w14:paraId="314C7280">
            <w:pPr>
              <w:widowControl/>
              <w:jc w:val="center"/>
              <w:rPr>
                <w:kern w:val="0"/>
                <w:sz w:val="18"/>
                <w:szCs w:val="18"/>
              </w:rPr>
            </w:pPr>
          </w:p>
        </w:tc>
      </w:tr>
      <w:tr w14:paraId="42D9A9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20F535D0">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其中：煤矸石发电量</w:t>
            </w:r>
          </w:p>
        </w:tc>
        <w:tc>
          <w:tcPr>
            <w:tcW w:w="723" w:type="pct"/>
            <w:tcBorders>
              <w:top w:val="nil"/>
              <w:bottom w:val="nil"/>
            </w:tcBorders>
            <w:shd w:val="clear" w:color="auto" w:fill="auto"/>
            <w:vAlign w:val="center"/>
          </w:tcPr>
          <w:p w14:paraId="79C0DE23">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1B4F0294">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4401010105</w:t>
            </w:r>
          </w:p>
        </w:tc>
        <w:tc>
          <w:tcPr>
            <w:tcW w:w="2128" w:type="pct"/>
            <w:gridSpan w:val="2"/>
            <w:vMerge w:val="continue"/>
            <w:shd w:val="clear" w:color="auto" w:fill="auto"/>
            <w:vAlign w:val="center"/>
          </w:tcPr>
          <w:p w14:paraId="4D0428C3">
            <w:pPr>
              <w:widowControl/>
              <w:jc w:val="center"/>
              <w:rPr>
                <w:kern w:val="0"/>
                <w:sz w:val="18"/>
                <w:szCs w:val="18"/>
              </w:rPr>
            </w:pPr>
          </w:p>
        </w:tc>
      </w:tr>
      <w:tr w14:paraId="2EEA7A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1F6BBAAC">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燃油发电量</w:t>
            </w:r>
          </w:p>
        </w:tc>
        <w:tc>
          <w:tcPr>
            <w:tcW w:w="723" w:type="pct"/>
            <w:tcBorders>
              <w:top w:val="nil"/>
              <w:bottom w:val="nil"/>
            </w:tcBorders>
            <w:shd w:val="clear" w:color="auto" w:fill="auto"/>
            <w:vAlign w:val="center"/>
          </w:tcPr>
          <w:p w14:paraId="33A15C34">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198240AB">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4401010102</w:t>
            </w:r>
          </w:p>
        </w:tc>
        <w:tc>
          <w:tcPr>
            <w:tcW w:w="2128" w:type="pct"/>
            <w:gridSpan w:val="2"/>
            <w:vMerge w:val="continue"/>
            <w:shd w:val="clear" w:color="auto" w:fill="auto"/>
            <w:vAlign w:val="center"/>
          </w:tcPr>
          <w:p w14:paraId="72DF6B2C">
            <w:pPr>
              <w:widowControl/>
              <w:jc w:val="center"/>
              <w:rPr>
                <w:kern w:val="0"/>
                <w:sz w:val="18"/>
                <w:szCs w:val="18"/>
              </w:rPr>
            </w:pPr>
          </w:p>
        </w:tc>
      </w:tr>
      <w:tr w14:paraId="5EA89C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5AB037C2">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燃气发电量</w:t>
            </w:r>
          </w:p>
        </w:tc>
        <w:tc>
          <w:tcPr>
            <w:tcW w:w="723" w:type="pct"/>
            <w:tcBorders>
              <w:top w:val="nil"/>
              <w:bottom w:val="nil"/>
            </w:tcBorders>
            <w:shd w:val="clear" w:color="auto" w:fill="auto"/>
            <w:vAlign w:val="center"/>
          </w:tcPr>
          <w:p w14:paraId="6BFEE1FE">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3203D7DD">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4401010103</w:t>
            </w:r>
          </w:p>
        </w:tc>
        <w:tc>
          <w:tcPr>
            <w:tcW w:w="2128" w:type="pct"/>
            <w:gridSpan w:val="2"/>
            <w:vMerge w:val="continue"/>
            <w:shd w:val="clear" w:color="auto" w:fill="auto"/>
            <w:vAlign w:val="center"/>
          </w:tcPr>
          <w:p w14:paraId="1801EAEE">
            <w:pPr>
              <w:widowControl/>
              <w:jc w:val="center"/>
              <w:rPr>
                <w:kern w:val="0"/>
                <w:sz w:val="18"/>
                <w:szCs w:val="18"/>
              </w:rPr>
            </w:pPr>
          </w:p>
        </w:tc>
      </w:tr>
      <w:tr w14:paraId="4E6478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46C6C245">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其中：煤层气发电量  </w:t>
            </w:r>
          </w:p>
        </w:tc>
        <w:tc>
          <w:tcPr>
            <w:tcW w:w="723" w:type="pct"/>
            <w:tcBorders>
              <w:top w:val="nil"/>
              <w:bottom w:val="nil"/>
            </w:tcBorders>
            <w:shd w:val="clear" w:color="auto" w:fill="auto"/>
            <w:vAlign w:val="center"/>
          </w:tcPr>
          <w:p w14:paraId="47C6E432">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57C48CFF">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4401010106</w:t>
            </w:r>
          </w:p>
        </w:tc>
        <w:tc>
          <w:tcPr>
            <w:tcW w:w="2128" w:type="pct"/>
            <w:gridSpan w:val="2"/>
            <w:vMerge w:val="continue"/>
            <w:shd w:val="clear" w:color="auto" w:fill="auto"/>
            <w:vAlign w:val="center"/>
          </w:tcPr>
          <w:p w14:paraId="4EA6955B">
            <w:pPr>
              <w:widowControl/>
              <w:jc w:val="center"/>
              <w:rPr>
                <w:kern w:val="0"/>
                <w:sz w:val="18"/>
                <w:szCs w:val="18"/>
              </w:rPr>
            </w:pPr>
          </w:p>
        </w:tc>
      </w:tr>
      <w:tr w14:paraId="730BA5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2553657C">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0"/>
                <w:sz w:val="18"/>
                <w:szCs w:val="18"/>
              </w:rPr>
              <w:t>余热、余压、余气发电量</w:t>
            </w:r>
          </w:p>
        </w:tc>
        <w:tc>
          <w:tcPr>
            <w:tcW w:w="723" w:type="pct"/>
            <w:tcBorders>
              <w:top w:val="nil"/>
              <w:bottom w:val="nil"/>
            </w:tcBorders>
            <w:shd w:val="clear" w:color="auto" w:fill="auto"/>
            <w:vAlign w:val="center"/>
          </w:tcPr>
          <w:p w14:paraId="39B00090">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10833D42">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4401010104</w:t>
            </w:r>
          </w:p>
        </w:tc>
        <w:tc>
          <w:tcPr>
            <w:tcW w:w="2128" w:type="pct"/>
            <w:gridSpan w:val="2"/>
            <w:vMerge w:val="continue"/>
            <w:shd w:val="clear" w:color="auto" w:fill="auto"/>
            <w:vAlign w:val="center"/>
          </w:tcPr>
          <w:p w14:paraId="29D0B5A1">
            <w:pPr>
              <w:widowControl/>
              <w:jc w:val="center"/>
              <w:rPr>
                <w:kern w:val="0"/>
                <w:sz w:val="18"/>
                <w:szCs w:val="18"/>
              </w:rPr>
            </w:pPr>
          </w:p>
        </w:tc>
      </w:tr>
      <w:tr w14:paraId="0BD8EA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3B424F70">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生物质发电量</w:t>
            </w:r>
          </w:p>
        </w:tc>
        <w:tc>
          <w:tcPr>
            <w:tcW w:w="723" w:type="pct"/>
            <w:tcBorders>
              <w:top w:val="nil"/>
              <w:bottom w:val="nil"/>
            </w:tcBorders>
            <w:shd w:val="clear" w:color="auto" w:fill="auto"/>
            <w:vAlign w:val="center"/>
          </w:tcPr>
          <w:p w14:paraId="448C8717">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65DAAB0B">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4401011000</w:t>
            </w:r>
          </w:p>
        </w:tc>
        <w:tc>
          <w:tcPr>
            <w:tcW w:w="2128" w:type="pct"/>
            <w:gridSpan w:val="2"/>
            <w:vMerge w:val="continue"/>
            <w:shd w:val="clear" w:color="auto" w:fill="auto"/>
            <w:vAlign w:val="center"/>
          </w:tcPr>
          <w:p w14:paraId="15044E79">
            <w:pPr>
              <w:widowControl/>
              <w:jc w:val="center"/>
              <w:rPr>
                <w:kern w:val="0"/>
                <w:sz w:val="18"/>
                <w:szCs w:val="18"/>
              </w:rPr>
            </w:pPr>
          </w:p>
        </w:tc>
      </w:tr>
      <w:tr w14:paraId="370937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nil"/>
            </w:tcBorders>
            <w:shd w:val="clear" w:color="auto" w:fill="auto"/>
            <w:vAlign w:val="center"/>
          </w:tcPr>
          <w:p w14:paraId="15C8C673">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其中：沼气发电量</w:t>
            </w:r>
          </w:p>
        </w:tc>
        <w:tc>
          <w:tcPr>
            <w:tcW w:w="723" w:type="pct"/>
            <w:tcBorders>
              <w:top w:val="nil"/>
              <w:bottom w:val="nil"/>
            </w:tcBorders>
            <w:shd w:val="clear" w:color="auto" w:fill="auto"/>
            <w:vAlign w:val="center"/>
          </w:tcPr>
          <w:p w14:paraId="1DC7686E">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nil"/>
            </w:tcBorders>
            <w:shd w:val="clear" w:color="auto" w:fill="auto"/>
            <w:vAlign w:val="center"/>
          </w:tcPr>
          <w:p w14:paraId="1BDE8906">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4401010700</w:t>
            </w:r>
          </w:p>
        </w:tc>
        <w:tc>
          <w:tcPr>
            <w:tcW w:w="2128" w:type="pct"/>
            <w:gridSpan w:val="2"/>
            <w:vMerge w:val="continue"/>
            <w:shd w:val="clear" w:color="auto" w:fill="auto"/>
            <w:vAlign w:val="center"/>
          </w:tcPr>
          <w:p w14:paraId="0DE7862E">
            <w:pPr>
              <w:widowControl/>
              <w:jc w:val="center"/>
              <w:rPr>
                <w:kern w:val="0"/>
                <w:sz w:val="18"/>
                <w:szCs w:val="18"/>
              </w:rPr>
            </w:pPr>
          </w:p>
        </w:tc>
      </w:tr>
      <w:tr w14:paraId="174537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384" w:type="pct"/>
            <w:tcBorders>
              <w:top w:val="nil"/>
              <w:bottom w:val="single" w:color="auto" w:sz="8" w:space="0"/>
            </w:tcBorders>
            <w:shd w:val="clear" w:color="auto" w:fill="auto"/>
            <w:vAlign w:val="center"/>
          </w:tcPr>
          <w:p w14:paraId="16A86535">
            <w:pPr>
              <w:widowControl/>
              <w:spacing w:line="200" w:lineRule="exac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w w:val="100"/>
                <w:sz w:val="18"/>
                <w:szCs w:val="18"/>
              </w:rPr>
              <w:t>垃圾焚烧发电量</w:t>
            </w:r>
          </w:p>
        </w:tc>
        <w:tc>
          <w:tcPr>
            <w:tcW w:w="723" w:type="pct"/>
            <w:tcBorders>
              <w:top w:val="nil"/>
              <w:bottom w:val="single" w:color="auto" w:sz="8" w:space="0"/>
            </w:tcBorders>
            <w:shd w:val="clear" w:color="auto" w:fill="auto"/>
            <w:vAlign w:val="center"/>
          </w:tcPr>
          <w:p w14:paraId="5B5211D2">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万千瓦时</w:t>
            </w:r>
          </w:p>
        </w:tc>
        <w:tc>
          <w:tcPr>
            <w:tcW w:w="763" w:type="pct"/>
            <w:tcBorders>
              <w:top w:val="nil"/>
              <w:bottom w:val="single" w:color="auto" w:sz="8" w:space="0"/>
            </w:tcBorders>
            <w:shd w:val="clear" w:color="auto" w:fill="auto"/>
            <w:vAlign w:val="center"/>
          </w:tcPr>
          <w:p w14:paraId="69CCB4A9">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4401010900</w:t>
            </w:r>
          </w:p>
        </w:tc>
        <w:tc>
          <w:tcPr>
            <w:tcW w:w="2128" w:type="pct"/>
            <w:gridSpan w:val="2"/>
            <w:vMerge w:val="continue"/>
            <w:tcBorders>
              <w:bottom w:val="single" w:color="auto" w:sz="8" w:space="0"/>
            </w:tcBorders>
            <w:shd w:val="clear" w:color="auto" w:fill="auto"/>
            <w:vAlign w:val="center"/>
          </w:tcPr>
          <w:p w14:paraId="6A828E36">
            <w:pPr>
              <w:widowControl/>
              <w:jc w:val="center"/>
              <w:rPr>
                <w:kern w:val="0"/>
                <w:sz w:val="18"/>
                <w:szCs w:val="18"/>
              </w:rPr>
            </w:pPr>
          </w:p>
        </w:tc>
      </w:tr>
    </w:tbl>
    <w:p w14:paraId="4BD10DC8">
      <w:pPr>
        <w:spacing w:line="280" w:lineRule="exact"/>
        <w:ind w:right="-38"/>
        <w:rPr>
          <w:sz w:val="18"/>
        </w:rPr>
      </w:pPr>
      <w:r>
        <w:rPr>
          <w:sz w:val="18"/>
        </w:rPr>
        <w:t>单位负责人：             统计负责人：         填表人：          联系电话：       报出日期：２０　年　月　日</w:t>
      </w:r>
    </w:p>
    <w:p w14:paraId="480E80A9">
      <w:pPr>
        <w:spacing w:before="0" w:beforeLines="0" w:afterLines="0" w:line="260" w:lineRule="exact"/>
        <w:ind w:left="1530" w:hanging="1530" w:hangingChars="850"/>
        <w:textAlignment w:val="center"/>
        <w:rPr>
          <w:sz w:val="18"/>
          <w:szCs w:val="18"/>
        </w:rPr>
      </w:pPr>
    </w:p>
    <w:p w14:paraId="324E1641">
      <w:pPr>
        <w:spacing w:before="0" w:beforeLines="0" w:afterLines="0" w:line="280" w:lineRule="exact"/>
        <w:ind w:left="1530" w:hanging="1530" w:hangingChars="850"/>
        <w:textAlignment w:val="center"/>
        <w:rPr>
          <w:sz w:val="18"/>
          <w:szCs w:val="18"/>
        </w:rPr>
      </w:pPr>
      <w:r>
        <w:rPr>
          <w:sz w:val="18"/>
          <w:szCs w:val="18"/>
        </w:rPr>
        <w:t>说明：1.统计范围：</w:t>
      </w:r>
      <w:r>
        <w:rPr>
          <w:rFonts w:hint="eastAsia"/>
          <w:sz w:val="18"/>
          <w:szCs w:val="18"/>
        </w:rPr>
        <w:t>辖区内有原煤、天然气和火电生产的规模以下工业、资质外的建筑业、限额以下批发和零售业、限额以下住宿和餐饮业和规模以下服务业等重点法人单位</w:t>
      </w:r>
      <w:r>
        <w:rPr>
          <w:sz w:val="18"/>
          <w:szCs w:val="18"/>
        </w:rPr>
        <w:t>。</w:t>
      </w:r>
    </w:p>
    <w:p w14:paraId="19322BD9">
      <w:pPr>
        <w:snapToGrid w:val="0"/>
        <w:spacing w:before="0" w:beforeLines="0" w:after="0" w:afterLines="0" w:line="280" w:lineRule="exact"/>
        <w:ind w:left="525" w:leftChars="250" w:firstLine="0" w:firstLineChars="0"/>
        <w:jc w:val="both"/>
        <w:textAlignment w:val="center"/>
        <w:outlineLvl w:val="9"/>
        <w:rPr>
          <w:rFonts w:hint="eastAsia"/>
          <w:sz w:val="18"/>
          <w:szCs w:val="18"/>
        </w:rPr>
      </w:pPr>
      <w:r>
        <w:rPr>
          <w:sz w:val="18"/>
          <w:szCs w:val="18"/>
        </w:rPr>
        <w:t>2.</w:t>
      </w:r>
      <w:r>
        <w:rPr>
          <w:rFonts w:hint="eastAsia"/>
          <w:sz w:val="18"/>
          <w:szCs w:val="18"/>
        </w:rPr>
        <w:t>本表为半年报，上半年免</w:t>
      </w:r>
      <w:r>
        <w:rPr>
          <w:rFonts w:hint="eastAsia"/>
          <w:sz w:val="18"/>
          <w:szCs w:val="18"/>
          <w:lang w:eastAsia="zh-CN"/>
        </w:rPr>
        <w:t>报</w:t>
      </w:r>
      <w:r>
        <w:rPr>
          <w:rFonts w:hint="eastAsia"/>
          <w:sz w:val="18"/>
          <w:szCs w:val="18"/>
        </w:rPr>
        <w:t>，下半年报送1-12月份累计数据。</w:t>
      </w:r>
    </w:p>
    <w:p w14:paraId="26113BD9">
      <w:pPr>
        <w:snapToGrid w:val="0"/>
        <w:spacing w:before="0" w:beforeLines="0" w:after="0" w:afterLines="0" w:line="280" w:lineRule="exact"/>
        <w:ind w:left="525" w:leftChars="250"/>
        <w:jc w:val="both"/>
        <w:textAlignment w:val="center"/>
        <w:outlineLvl w:val="9"/>
        <w:rPr>
          <w:sz w:val="18"/>
          <w:szCs w:val="18"/>
        </w:rPr>
      </w:pPr>
      <w:r>
        <w:rPr>
          <w:rFonts w:hint="eastAsia"/>
          <w:sz w:val="18"/>
          <w:szCs w:val="18"/>
        </w:rPr>
        <w:t>3.报送日期及方式：</w:t>
      </w:r>
      <w:r>
        <w:rPr>
          <w:rFonts w:hint="eastAsia"/>
          <w:sz w:val="18"/>
          <w:szCs w:val="18"/>
          <w:lang w:val="en-US" w:eastAsia="zh-CN"/>
        </w:rPr>
        <w:t>调查单位</w:t>
      </w:r>
      <w:r>
        <w:rPr>
          <w:rFonts w:hint="eastAsia"/>
          <w:sz w:val="18"/>
          <w:szCs w:val="18"/>
        </w:rPr>
        <w:t>次年1月1</w:t>
      </w:r>
      <w:r>
        <w:rPr>
          <w:rFonts w:hint="eastAsia"/>
          <w:sz w:val="18"/>
          <w:szCs w:val="18"/>
          <w:lang w:val="en-US" w:eastAsia="zh-CN"/>
        </w:rPr>
        <w:t>2</w:t>
      </w:r>
      <w:r>
        <w:rPr>
          <w:rFonts w:hint="eastAsia"/>
          <w:sz w:val="18"/>
          <w:szCs w:val="18"/>
        </w:rPr>
        <w:t>日12:00前网上填报</w:t>
      </w:r>
      <w:r>
        <w:rPr>
          <w:sz w:val="18"/>
          <w:szCs w:val="18"/>
        </w:rPr>
        <w:t>。</w:t>
      </w:r>
    </w:p>
    <w:p w14:paraId="77EFDC27">
      <w:pPr>
        <w:snapToGrid w:val="0"/>
        <w:spacing w:before="287" w:beforeLines="100" w:after="287" w:afterLines="100" w:line="240" w:lineRule="auto"/>
        <w:ind w:left="0" w:leftChars="0"/>
        <w:jc w:val="center"/>
        <w:outlineLvl w:val="1"/>
        <w:rPr>
          <w:rFonts w:eastAsia="黑体"/>
          <w:sz w:val="28"/>
          <w:szCs w:val="28"/>
        </w:rPr>
      </w:pPr>
      <w:r>
        <w:rPr>
          <w:rFonts w:eastAsia="仿宋_GB2312"/>
          <w:b/>
          <w:spacing w:val="8"/>
          <w:sz w:val="30"/>
          <w:szCs w:val="30"/>
        </w:rPr>
        <w:br w:type="page"/>
      </w:r>
      <w:r>
        <w:rPr>
          <w:rFonts w:eastAsia="黑体"/>
          <w:sz w:val="28"/>
          <w:szCs w:val="28"/>
        </w:rPr>
        <w:t>（</w:t>
      </w:r>
      <w:r>
        <w:rPr>
          <w:rFonts w:hint="eastAsia" w:eastAsia="黑体"/>
          <w:sz w:val="28"/>
          <w:szCs w:val="28"/>
          <w:lang w:eastAsia="zh-CN"/>
        </w:rPr>
        <w:t>二</w:t>
      </w:r>
      <w:r>
        <w:rPr>
          <w:rFonts w:eastAsia="黑体"/>
          <w:sz w:val="28"/>
          <w:szCs w:val="28"/>
        </w:rPr>
        <w:t>）综合年报表式</w:t>
      </w:r>
    </w:p>
    <w:p w14:paraId="2E4A5BDC">
      <w:pPr>
        <w:spacing w:after="120" w:afterLines="50"/>
        <w:jc w:val="center"/>
        <w:outlineLvl w:val="2"/>
        <w:rPr>
          <w:sz w:val="32"/>
          <w:szCs w:val="32"/>
        </w:rPr>
      </w:pPr>
      <w:r>
        <w:rPr>
          <w:sz w:val="32"/>
          <w:szCs w:val="32"/>
        </w:rPr>
        <w:t>能源平衡表</w:t>
      </w:r>
      <w:r>
        <w:rPr>
          <w:rFonts w:hint="eastAsia"/>
          <w:sz w:val="32"/>
          <w:szCs w:val="32"/>
        </w:rPr>
        <w:t>（</w:t>
      </w:r>
      <w:r>
        <w:rPr>
          <w:sz w:val="32"/>
          <w:szCs w:val="32"/>
        </w:rPr>
        <w:t>实物量</w:t>
      </w:r>
      <w:r>
        <w:rPr>
          <w:rFonts w:hint="eastAsia"/>
          <w:sz w:val="32"/>
          <w:szCs w:val="32"/>
        </w:rPr>
        <w:t>）</w:t>
      </w:r>
    </w:p>
    <w:tbl>
      <w:tblPr>
        <w:tblStyle w:val="20"/>
        <w:tblW w:w="9402" w:type="dxa"/>
        <w:jc w:val="center"/>
        <w:tblLayout w:type="autofit"/>
        <w:tblCellMar>
          <w:top w:w="0" w:type="dxa"/>
          <w:left w:w="0" w:type="dxa"/>
          <w:bottom w:w="0" w:type="dxa"/>
          <w:right w:w="0" w:type="dxa"/>
        </w:tblCellMar>
      </w:tblPr>
      <w:tblGrid>
        <w:gridCol w:w="3355"/>
        <w:gridCol w:w="840"/>
        <w:gridCol w:w="2458"/>
        <w:gridCol w:w="850"/>
        <w:gridCol w:w="1899"/>
      </w:tblGrid>
      <w:tr w14:paraId="0BAAEC66">
        <w:trPr>
          <w:jc w:val="center"/>
        </w:trPr>
        <w:tc>
          <w:tcPr>
            <w:tcW w:w="3355" w:type="dxa"/>
          </w:tcPr>
          <w:p w14:paraId="17338E93">
            <w:pPr>
              <w:spacing w:line="260" w:lineRule="exact"/>
              <w:rPr>
                <w:sz w:val="18"/>
                <w:szCs w:val="18"/>
              </w:rPr>
            </w:pPr>
          </w:p>
        </w:tc>
        <w:tc>
          <w:tcPr>
            <w:tcW w:w="840" w:type="dxa"/>
          </w:tcPr>
          <w:p w14:paraId="38C494DC">
            <w:pPr>
              <w:spacing w:line="260" w:lineRule="exact"/>
              <w:rPr>
                <w:sz w:val="18"/>
                <w:szCs w:val="18"/>
              </w:rPr>
            </w:pPr>
          </w:p>
        </w:tc>
        <w:tc>
          <w:tcPr>
            <w:tcW w:w="2458" w:type="dxa"/>
          </w:tcPr>
          <w:p w14:paraId="399A175A">
            <w:pPr>
              <w:spacing w:line="260" w:lineRule="exact"/>
              <w:rPr>
                <w:sz w:val="18"/>
                <w:szCs w:val="18"/>
              </w:rPr>
            </w:pPr>
            <w:r>
              <w:rPr>
                <w:sz w:val="18"/>
                <w:szCs w:val="18"/>
              </w:rPr>
              <w:t>　　　　　　　　　　　　　</w:t>
            </w:r>
          </w:p>
        </w:tc>
        <w:tc>
          <w:tcPr>
            <w:tcW w:w="850" w:type="dxa"/>
            <w:tcMar>
              <w:left w:w="0" w:type="dxa"/>
              <w:right w:w="0" w:type="dxa"/>
            </w:tcMar>
          </w:tcPr>
          <w:p w14:paraId="676711A9">
            <w:pPr>
              <w:spacing w:line="260" w:lineRule="exact"/>
              <w:rPr>
                <w:sz w:val="18"/>
                <w:szCs w:val="18"/>
              </w:rPr>
            </w:pPr>
            <w:r>
              <w:rPr>
                <w:sz w:val="18"/>
                <w:szCs w:val="18"/>
              </w:rPr>
              <w:t>表    号：</w:t>
            </w:r>
          </w:p>
        </w:tc>
        <w:tc>
          <w:tcPr>
            <w:tcW w:w="1899" w:type="dxa"/>
            <w:vAlign w:val="center"/>
          </w:tcPr>
          <w:p w14:paraId="16742E1A">
            <w:pPr>
              <w:spacing w:line="260" w:lineRule="exact"/>
              <w:jc w:val="distribute"/>
              <w:rPr>
                <w:sz w:val="18"/>
                <w:szCs w:val="18"/>
              </w:rPr>
            </w:pPr>
            <w:r>
              <w:rPr>
                <w:sz w:val="18"/>
                <w:szCs w:val="18"/>
              </w:rPr>
              <w:t>Ｐ３０３－１表</w:t>
            </w:r>
          </w:p>
        </w:tc>
      </w:tr>
      <w:tr w14:paraId="62250841">
        <w:tblPrEx>
          <w:tblCellMar>
            <w:top w:w="0" w:type="dxa"/>
            <w:left w:w="0" w:type="dxa"/>
            <w:bottom w:w="0" w:type="dxa"/>
            <w:right w:w="0" w:type="dxa"/>
          </w:tblCellMar>
        </w:tblPrEx>
        <w:trPr>
          <w:jc w:val="center"/>
        </w:trPr>
        <w:tc>
          <w:tcPr>
            <w:tcW w:w="3355" w:type="dxa"/>
          </w:tcPr>
          <w:p w14:paraId="602A5F74">
            <w:pPr>
              <w:spacing w:line="260" w:lineRule="exact"/>
              <w:rPr>
                <w:sz w:val="18"/>
                <w:szCs w:val="18"/>
              </w:rPr>
            </w:pPr>
          </w:p>
        </w:tc>
        <w:tc>
          <w:tcPr>
            <w:tcW w:w="840" w:type="dxa"/>
          </w:tcPr>
          <w:p w14:paraId="37077ACC">
            <w:pPr>
              <w:spacing w:line="260" w:lineRule="exact"/>
              <w:rPr>
                <w:sz w:val="18"/>
                <w:szCs w:val="18"/>
              </w:rPr>
            </w:pPr>
          </w:p>
        </w:tc>
        <w:tc>
          <w:tcPr>
            <w:tcW w:w="2458" w:type="dxa"/>
          </w:tcPr>
          <w:p w14:paraId="7D7A0E5C">
            <w:pPr>
              <w:spacing w:line="260" w:lineRule="exact"/>
              <w:rPr>
                <w:sz w:val="18"/>
                <w:szCs w:val="18"/>
              </w:rPr>
            </w:pPr>
          </w:p>
        </w:tc>
        <w:tc>
          <w:tcPr>
            <w:tcW w:w="850" w:type="dxa"/>
            <w:tcMar>
              <w:left w:w="0" w:type="dxa"/>
              <w:right w:w="0" w:type="dxa"/>
            </w:tcMar>
            <w:vAlign w:val="center"/>
          </w:tcPr>
          <w:p w14:paraId="13B0ABBC">
            <w:pPr>
              <w:spacing w:line="260" w:lineRule="exact"/>
              <w:rPr>
                <w:sz w:val="18"/>
                <w:szCs w:val="18"/>
              </w:rPr>
            </w:pPr>
            <w:r>
              <w:rPr>
                <w:sz w:val="18"/>
                <w:szCs w:val="18"/>
              </w:rPr>
              <w:t>制定机关：</w:t>
            </w:r>
          </w:p>
        </w:tc>
        <w:tc>
          <w:tcPr>
            <w:tcW w:w="1899" w:type="dxa"/>
            <w:vAlign w:val="center"/>
          </w:tcPr>
          <w:p w14:paraId="2780609C">
            <w:pPr>
              <w:spacing w:line="260" w:lineRule="exact"/>
              <w:jc w:val="distribute"/>
              <w:rPr>
                <w:sz w:val="18"/>
                <w:szCs w:val="18"/>
              </w:rPr>
            </w:pPr>
            <w:r>
              <w:rPr>
                <w:sz w:val="18"/>
                <w:szCs w:val="18"/>
              </w:rPr>
              <w:t>国 家 统 计 局</w:t>
            </w:r>
          </w:p>
        </w:tc>
      </w:tr>
      <w:tr w14:paraId="013B8F5F">
        <w:tblPrEx>
          <w:tblCellMar>
            <w:top w:w="0" w:type="dxa"/>
            <w:left w:w="0" w:type="dxa"/>
            <w:bottom w:w="0" w:type="dxa"/>
            <w:right w:w="0" w:type="dxa"/>
          </w:tblCellMar>
        </w:tblPrEx>
        <w:trPr>
          <w:jc w:val="center"/>
        </w:trPr>
        <w:tc>
          <w:tcPr>
            <w:tcW w:w="3355" w:type="dxa"/>
          </w:tcPr>
          <w:p w14:paraId="157A921C">
            <w:pPr>
              <w:spacing w:line="260" w:lineRule="exact"/>
              <w:jc w:val="left"/>
              <w:rPr>
                <w:sz w:val="18"/>
                <w:szCs w:val="18"/>
              </w:rPr>
            </w:pPr>
          </w:p>
        </w:tc>
        <w:tc>
          <w:tcPr>
            <w:tcW w:w="840" w:type="dxa"/>
          </w:tcPr>
          <w:p w14:paraId="53BACA1F">
            <w:pPr>
              <w:spacing w:line="260" w:lineRule="exact"/>
              <w:rPr>
                <w:sz w:val="18"/>
                <w:szCs w:val="18"/>
              </w:rPr>
            </w:pPr>
          </w:p>
        </w:tc>
        <w:tc>
          <w:tcPr>
            <w:tcW w:w="2458" w:type="dxa"/>
          </w:tcPr>
          <w:p w14:paraId="2384A61E">
            <w:pPr>
              <w:spacing w:line="260" w:lineRule="exact"/>
              <w:rPr>
                <w:sz w:val="18"/>
                <w:szCs w:val="18"/>
              </w:rPr>
            </w:pPr>
          </w:p>
        </w:tc>
        <w:tc>
          <w:tcPr>
            <w:tcW w:w="850" w:type="dxa"/>
            <w:tcMar>
              <w:left w:w="0" w:type="dxa"/>
              <w:right w:w="0" w:type="dxa"/>
            </w:tcMar>
            <w:vAlign w:val="center"/>
          </w:tcPr>
          <w:p w14:paraId="413AD3C5">
            <w:pPr>
              <w:spacing w:line="260" w:lineRule="exact"/>
              <w:rPr>
                <w:sz w:val="18"/>
                <w:szCs w:val="18"/>
              </w:rPr>
            </w:pPr>
            <w:r>
              <w:rPr>
                <w:sz w:val="18"/>
                <w:szCs w:val="18"/>
              </w:rPr>
              <w:t>文    号：</w:t>
            </w:r>
          </w:p>
        </w:tc>
        <w:tc>
          <w:tcPr>
            <w:tcW w:w="1899" w:type="dxa"/>
            <w:vAlign w:val="center"/>
          </w:tcPr>
          <w:p w14:paraId="37FCACEE">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227" w:author="kylin" w:date="2025-10-17T16:20:14Z">
              <w:r>
                <w:rPr>
                  <w:rFonts w:hint="default" w:ascii="宋体" w:hAnsi="宋体"/>
                  <w:spacing w:val="-16"/>
                  <w:sz w:val="18"/>
                  <w:szCs w:val="18"/>
                  <w:lang w:val="en-US" w:eastAsia="zh-CN"/>
                </w:rPr>
                <w:delText>４</w:delText>
              </w:r>
            </w:del>
            <w:ins w:id="228" w:author="kylin" w:date="2025-10-17T16:20:14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229" w:author="kylin" w:date="2025-10-17T16:20:15Z">
              <w:r>
                <w:rPr>
                  <w:rFonts w:hint="default" w:ascii="宋体" w:hAnsi="宋体"/>
                  <w:spacing w:val="-16"/>
                  <w:sz w:val="18"/>
                  <w:szCs w:val="18"/>
                  <w:lang w:val="en-US" w:eastAsia="zh-CN"/>
                </w:rPr>
                <w:delText>77</w:delText>
              </w:r>
            </w:del>
            <w:ins w:id="230" w:author="kylin" w:date="2025-10-17T16:20:15Z">
              <w:r>
                <w:rPr>
                  <w:rFonts w:hint="eastAsia" w:ascii="宋体" w:hAnsi="宋体"/>
                  <w:spacing w:val="-16"/>
                  <w:sz w:val="18"/>
                  <w:szCs w:val="18"/>
                  <w:lang w:val="en-US" w:eastAsia="zh-CN"/>
                </w:rPr>
                <w:t>8</w:t>
              </w:r>
            </w:ins>
            <w:ins w:id="231" w:author="kylin" w:date="2025-10-17T16:20:16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5C8B7065">
        <w:tblPrEx>
          <w:tblCellMar>
            <w:top w:w="0" w:type="dxa"/>
            <w:left w:w="0" w:type="dxa"/>
            <w:bottom w:w="0" w:type="dxa"/>
            <w:right w:w="0" w:type="dxa"/>
          </w:tblCellMar>
        </w:tblPrEx>
        <w:trPr>
          <w:jc w:val="center"/>
        </w:trPr>
        <w:tc>
          <w:tcPr>
            <w:tcW w:w="3355" w:type="dxa"/>
          </w:tcPr>
          <w:p w14:paraId="7DD014C5">
            <w:pPr>
              <w:spacing w:line="260" w:lineRule="exact"/>
              <w:rPr>
                <w:sz w:val="18"/>
                <w:szCs w:val="18"/>
              </w:rPr>
            </w:pPr>
            <w:r>
              <w:rPr>
                <w:sz w:val="18"/>
              </w:rPr>
              <w:t>综合机关名称：</w:t>
            </w:r>
          </w:p>
        </w:tc>
        <w:tc>
          <w:tcPr>
            <w:tcW w:w="840" w:type="dxa"/>
          </w:tcPr>
          <w:p w14:paraId="1CE9FEEF">
            <w:pPr>
              <w:spacing w:line="260" w:lineRule="exact"/>
              <w:rPr>
                <w:sz w:val="18"/>
                <w:szCs w:val="18"/>
              </w:rPr>
            </w:pPr>
          </w:p>
        </w:tc>
        <w:tc>
          <w:tcPr>
            <w:tcW w:w="2458" w:type="dxa"/>
          </w:tcPr>
          <w:p w14:paraId="3AD9CFD1">
            <w:pPr>
              <w:spacing w:line="260" w:lineRule="exact"/>
              <w:rPr>
                <w:sz w:val="18"/>
                <w:szCs w:val="18"/>
              </w:rPr>
            </w:pPr>
            <w:r>
              <w:rPr>
                <w:sz w:val="18"/>
                <w:szCs w:val="18"/>
              </w:rPr>
              <w:t>２０　　年　　　　　　　　　</w:t>
            </w:r>
          </w:p>
        </w:tc>
        <w:tc>
          <w:tcPr>
            <w:tcW w:w="850" w:type="dxa"/>
            <w:tcMar>
              <w:left w:w="0" w:type="dxa"/>
              <w:right w:w="0" w:type="dxa"/>
            </w:tcMar>
            <w:vAlign w:val="center"/>
          </w:tcPr>
          <w:p w14:paraId="35BA8172">
            <w:pPr>
              <w:spacing w:line="260" w:lineRule="exact"/>
              <w:rPr>
                <w:sz w:val="18"/>
                <w:szCs w:val="18"/>
              </w:rPr>
            </w:pPr>
            <w:r>
              <w:rPr>
                <w:sz w:val="18"/>
                <w:szCs w:val="18"/>
              </w:rPr>
              <w:t>有效期至：</w:t>
            </w:r>
          </w:p>
        </w:tc>
        <w:tc>
          <w:tcPr>
            <w:tcW w:w="1899" w:type="dxa"/>
            <w:vAlign w:val="center"/>
          </w:tcPr>
          <w:p w14:paraId="49F458E4">
            <w:pPr>
              <w:spacing w:line="260" w:lineRule="exact"/>
              <w:jc w:val="distribute"/>
              <w:rPr>
                <w:rFonts w:hint="default"/>
                <w:sz w:val="18"/>
                <w:szCs w:val="18"/>
                <w:lang w:val="en"/>
              </w:rPr>
            </w:pPr>
            <w:r>
              <w:rPr>
                <w:sz w:val="18"/>
                <w:szCs w:val="18"/>
                <w:lang w:val="en"/>
              </w:rPr>
              <w:t>２０２</w:t>
            </w:r>
            <w:del w:id="232" w:author="kylin" w:date="2025-10-17T16:20:25Z">
              <w:r>
                <w:rPr>
                  <w:rFonts w:hint="default"/>
                  <w:kern w:val="0"/>
                  <w:sz w:val="18"/>
                  <w:szCs w:val="18"/>
                  <w:lang w:val="en-US"/>
                </w:rPr>
                <w:delText>５</w:delText>
              </w:r>
            </w:del>
            <w:ins w:id="233" w:author="kylin" w:date="2025-10-17T16:20:25Z">
              <w:r>
                <w:rPr>
                  <w:rFonts w:hint="eastAsia"/>
                  <w:kern w:val="0"/>
                  <w:sz w:val="18"/>
                  <w:szCs w:val="18"/>
                  <w:lang w:val="en-US" w:eastAsia="zh-CN"/>
                </w:rPr>
                <w:t>6</w:t>
              </w:r>
            </w:ins>
            <w:r>
              <w:rPr>
                <w:sz w:val="18"/>
                <w:szCs w:val="18"/>
                <w:lang w:val="en"/>
              </w:rPr>
              <w:t>年６月</w:t>
            </w:r>
          </w:p>
        </w:tc>
      </w:tr>
    </w:tbl>
    <w:p w14:paraId="3039A84C">
      <w:pPr>
        <w:spacing w:line="20" w:lineRule="exact"/>
        <w:ind w:firstLine="7020" w:firstLineChars="3900"/>
        <w:rPr>
          <w:sz w:val="18"/>
          <w:szCs w:val="18"/>
        </w:rPr>
      </w:pPr>
    </w:p>
    <w:tbl>
      <w:tblPr>
        <w:tblStyle w:val="2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2"/>
        <w:gridCol w:w="598"/>
        <w:gridCol w:w="692"/>
        <w:gridCol w:w="693"/>
        <w:gridCol w:w="693"/>
        <w:gridCol w:w="693"/>
        <w:gridCol w:w="693"/>
        <w:gridCol w:w="693"/>
        <w:gridCol w:w="693"/>
        <w:gridCol w:w="693"/>
      </w:tblGrid>
      <w:tr w14:paraId="46B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3281" w:type="dxa"/>
            <w:vMerge w:val="restart"/>
            <w:tcBorders>
              <w:top w:val="single" w:color="auto" w:sz="8" w:space="0"/>
              <w:left w:val="nil"/>
              <w:bottom w:val="single" w:color="auto" w:sz="2" w:space="0"/>
              <w:right w:val="single" w:color="auto" w:sz="2" w:space="0"/>
            </w:tcBorders>
            <w:vAlign w:val="center"/>
          </w:tcPr>
          <w:p w14:paraId="72375EC3">
            <w:pPr>
              <w:jc w:val="center"/>
              <w:rPr>
                <w:sz w:val="18"/>
                <w:szCs w:val="18"/>
              </w:rPr>
            </w:pPr>
            <w:r>
              <w:rPr>
                <w:sz w:val="18"/>
                <w:szCs w:val="18"/>
              </w:rPr>
              <w:t>指标名称</w:t>
            </w:r>
          </w:p>
        </w:tc>
        <w:tc>
          <w:tcPr>
            <w:tcW w:w="599" w:type="dxa"/>
            <w:vMerge w:val="restart"/>
            <w:tcBorders>
              <w:top w:val="single" w:color="auto" w:sz="8" w:space="0"/>
              <w:left w:val="single" w:color="auto" w:sz="2" w:space="0"/>
              <w:bottom w:val="single" w:color="auto" w:sz="2" w:space="0"/>
              <w:right w:val="single" w:color="auto" w:sz="2" w:space="0"/>
            </w:tcBorders>
            <w:vAlign w:val="center"/>
          </w:tcPr>
          <w:p w14:paraId="759E7FEA">
            <w:pPr>
              <w:jc w:val="center"/>
              <w:rPr>
                <w:sz w:val="18"/>
                <w:szCs w:val="18"/>
              </w:rPr>
            </w:pPr>
            <w:r>
              <w:rPr>
                <w:sz w:val="18"/>
                <w:szCs w:val="18"/>
              </w:rPr>
              <w:t>代码</w:t>
            </w:r>
          </w:p>
        </w:tc>
        <w:tc>
          <w:tcPr>
            <w:tcW w:w="692" w:type="dxa"/>
            <w:vMerge w:val="restart"/>
            <w:tcBorders>
              <w:top w:val="single" w:color="auto" w:sz="8" w:space="0"/>
              <w:left w:val="single" w:color="auto" w:sz="2" w:space="0"/>
              <w:bottom w:val="single" w:color="auto" w:sz="2" w:space="0"/>
              <w:right w:val="single" w:color="auto" w:sz="2" w:space="0"/>
            </w:tcBorders>
            <w:vAlign w:val="center"/>
          </w:tcPr>
          <w:p w14:paraId="6EE4ECAA">
            <w:pPr>
              <w:ind w:left="-105" w:leftChars="-50" w:right="-105" w:rightChars="-50"/>
              <w:jc w:val="center"/>
              <w:rPr>
                <w:sz w:val="18"/>
                <w:szCs w:val="18"/>
              </w:rPr>
            </w:pPr>
            <w:r>
              <w:rPr>
                <w:sz w:val="18"/>
                <w:szCs w:val="18"/>
              </w:rPr>
              <w:t>煤合计        (万吨)</w:t>
            </w:r>
          </w:p>
        </w:tc>
        <w:tc>
          <w:tcPr>
            <w:tcW w:w="692" w:type="dxa"/>
            <w:vMerge w:val="restart"/>
            <w:tcBorders>
              <w:top w:val="single" w:color="auto" w:sz="8" w:space="0"/>
              <w:left w:val="single" w:color="auto" w:sz="2" w:space="0"/>
              <w:bottom w:val="single" w:color="auto" w:sz="2" w:space="0"/>
              <w:right w:val="nil"/>
            </w:tcBorders>
            <w:vAlign w:val="center"/>
          </w:tcPr>
          <w:p w14:paraId="67D03169">
            <w:pPr>
              <w:ind w:left="-105" w:leftChars="-50" w:right="-105" w:rightChars="-50"/>
              <w:jc w:val="center"/>
              <w:rPr>
                <w:sz w:val="18"/>
                <w:szCs w:val="18"/>
              </w:rPr>
            </w:pPr>
            <w:r>
              <w:rPr>
                <w:sz w:val="18"/>
                <w:szCs w:val="18"/>
              </w:rPr>
              <w:t>原 煤      (万吨)</w:t>
            </w:r>
          </w:p>
        </w:tc>
        <w:tc>
          <w:tcPr>
            <w:tcW w:w="692" w:type="dxa"/>
            <w:gridSpan w:val="4"/>
            <w:tcBorders>
              <w:top w:val="single" w:color="auto" w:sz="8" w:space="0"/>
              <w:left w:val="nil"/>
              <w:bottom w:val="single" w:color="auto" w:sz="2" w:space="0"/>
              <w:right w:val="single" w:color="auto" w:sz="2" w:space="0"/>
            </w:tcBorders>
            <w:vAlign w:val="center"/>
          </w:tcPr>
          <w:p w14:paraId="4255ED8E">
            <w:pPr>
              <w:ind w:left="-105" w:leftChars="-50" w:right="-105" w:rightChars="-50"/>
              <w:jc w:val="center"/>
              <w:rPr>
                <w:sz w:val="18"/>
                <w:szCs w:val="18"/>
              </w:rPr>
            </w:pPr>
          </w:p>
        </w:tc>
        <w:tc>
          <w:tcPr>
            <w:tcW w:w="692" w:type="dxa"/>
            <w:vMerge w:val="restart"/>
            <w:tcBorders>
              <w:top w:val="single" w:color="auto" w:sz="8" w:space="0"/>
              <w:left w:val="single" w:color="auto" w:sz="2" w:space="0"/>
              <w:bottom w:val="single" w:color="auto" w:sz="2" w:space="0"/>
              <w:right w:val="single" w:color="auto" w:sz="2" w:space="0"/>
            </w:tcBorders>
            <w:vAlign w:val="center"/>
          </w:tcPr>
          <w:p w14:paraId="0B3EC0FD">
            <w:pPr>
              <w:ind w:left="-105" w:leftChars="-50" w:right="-105" w:rightChars="-50"/>
              <w:jc w:val="center"/>
              <w:rPr>
                <w:sz w:val="18"/>
                <w:szCs w:val="18"/>
              </w:rPr>
            </w:pPr>
            <w:r>
              <w:rPr>
                <w:sz w:val="18"/>
                <w:szCs w:val="18"/>
              </w:rPr>
              <w:t>洗精煤  (万吨)</w:t>
            </w:r>
          </w:p>
        </w:tc>
        <w:tc>
          <w:tcPr>
            <w:tcW w:w="692" w:type="dxa"/>
            <w:vMerge w:val="restart"/>
            <w:tcBorders>
              <w:top w:val="single" w:color="auto" w:sz="8" w:space="0"/>
              <w:left w:val="single" w:color="auto" w:sz="2" w:space="0"/>
              <w:right w:val="nil"/>
            </w:tcBorders>
            <w:vAlign w:val="center"/>
          </w:tcPr>
          <w:p w14:paraId="4118706A">
            <w:pPr>
              <w:ind w:left="-105" w:leftChars="-50" w:right="-105" w:rightChars="-50"/>
              <w:jc w:val="center"/>
              <w:rPr>
                <w:sz w:val="18"/>
                <w:szCs w:val="18"/>
              </w:rPr>
            </w:pPr>
            <w:r>
              <w:rPr>
                <w:sz w:val="18"/>
                <w:szCs w:val="18"/>
              </w:rPr>
              <w:t>其 他       洗 煤         (万吨)</w:t>
            </w:r>
          </w:p>
        </w:tc>
      </w:tr>
      <w:tr w14:paraId="278D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281" w:type="dxa"/>
            <w:vMerge w:val="continue"/>
            <w:tcBorders>
              <w:top w:val="single" w:color="auto" w:sz="2" w:space="0"/>
              <w:left w:val="nil"/>
              <w:bottom w:val="single" w:color="auto" w:sz="2" w:space="0"/>
              <w:right w:val="single" w:color="auto" w:sz="2" w:space="0"/>
            </w:tcBorders>
            <w:vAlign w:val="center"/>
          </w:tcPr>
          <w:p w14:paraId="280F6141">
            <w:pPr>
              <w:rPr>
                <w:sz w:val="18"/>
                <w:szCs w:val="18"/>
              </w:rPr>
            </w:pPr>
          </w:p>
        </w:tc>
        <w:tc>
          <w:tcPr>
            <w:tcW w:w="599" w:type="dxa"/>
            <w:vMerge w:val="continue"/>
            <w:tcBorders>
              <w:top w:val="single" w:color="auto" w:sz="2" w:space="0"/>
              <w:left w:val="single" w:color="auto" w:sz="2" w:space="0"/>
              <w:bottom w:val="single" w:color="auto" w:sz="2" w:space="0"/>
              <w:right w:val="single" w:color="auto" w:sz="2" w:space="0"/>
            </w:tcBorders>
            <w:vAlign w:val="center"/>
          </w:tcPr>
          <w:p w14:paraId="6B0CA41A">
            <w:pPr>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3FE7CB6E">
            <w:pPr>
              <w:ind w:left="-105" w:leftChars="-50" w:right="-105" w:rightChars="-50"/>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2C89507C">
            <w:pPr>
              <w:ind w:left="-105" w:leftChars="-50" w:right="-105" w:rightChars="-50"/>
              <w:jc w:val="center"/>
              <w:rPr>
                <w:sz w:val="18"/>
                <w:szCs w:val="18"/>
              </w:rPr>
            </w:pPr>
          </w:p>
        </w:tc>
        <w:tc>
          <w:tcPr>
            <w:tcW w:w="692" w:type="dxa"/>
            <w:vMerge w:val="restart"/>
            <w:tcBorders>
              <w:top w:val="single" w:color="auto" w:sz="2" w:space="0"/>
              <w:left w:val="single" w:color="auto" w:sz="2" w:space="0"/>
              <w:bottom w:val="single" w:color="auto" w:sz="2" w:space="0"/>
              <w:right w:val="single" w:color="auto" w:sz="2" w:space="0"/>
            </w:tcBorders>
            <w:vAlign w:val="center"/>
          </w:tcPr>
          <w:p w14:paraId="355EE36A">
            <w:pPr>
              <w:ind w:left="-105" w:leftChars="-50" w:right="-105" w:rightChars="-50"/>
              <w:jc w:val="center"/>
              <w:rPr>
                <w:sz w:val="18"/>
                <w:szCs w:val="18"/>
              </w:rPr>
            </w:pPr>
            <w:r>
              <w:rPr>
                <w:sz w:val="18"/>
                <w:szCs w:val="18"/>
              </w:rPr>
              <w:t>无烟煤 (万吨)</w:t>
            </w:r>
          </w:p>
        </w:tc>
        <w:tc>
          <w:tcPr>
            <w:tcW w:w="69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30467136">
            <w:pPr>
              <w:ind w:left="-105" w:leftChars="-50" w:right="-105" w:rightChars="-50"/>
              <w:jc w:val="center"/>
              <w:rPr>
                <w:sz w:val="18"/>
                <w:szCs w:val="18"/>
              </w:rPr>
            </w:pPr>
            <w:r>
              <w:rPr>
                <w:sz w:val="18"/>
                <w:szCs w:val="18"/>
              </w:rPr>
              <w:t>烟煤(万吨)</w:t>
            </w:r>
          </w:p>
        </w:tc>
        <w:tc>
          <w:tcPr>
            <w:tcW w:w="692"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A1F5798">
            <w:pPr>
              <w:ind w:left="-105" w:leftChars="-50" w:right="-105" w:rightChars="-50"/>
              <w:jc w:val="center"/>
              <w:rPr>
                <w:sz w:val="18"/>
                <w:szCs w:val="18"/>
              </w:rPr>
            </w:pPr>
            <w:r>
              <w:rPr>
                <w:sz w:val="18"/>
                <w:szCs w:val="18"/>
              </w:rPr>
              <w:t>褐 煤           (万吨)</w:t>
            </w: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38AF9D84">
            <w:pPr>
              <w:ind w:left="-105" w:leftChars="-50" w:right="-105" w:rightChars="-50"/>
              <w:jc w:val="center"/>
              <w:rPr>
                <w:sz w:val="18"/>
                <w:szCs w:val="18"/>
              </w:rPr>
            </w:pPr>
          </w:p>
        </w:tc>
        <w:tc>
          <w:tcPr>
            <w:tcW w:w="692" w:type="dxa"/>
            <w:vMerge w:val="continue"/>
            <w:tcBorders>
              <w:left w:val="single" w:color="auto" w:sz="2" w:space="0"/>
              <w:right w:val="nil"/>
            </w:tcBorders>
            <w:vAlign w:val="center"/>
          </w:tcPr>
          <w:p w14:paraId="127DF30E">
            <w:pPr>
              <w:ind w:left="-105" w:leftChars="-50" w:right="-105" w:rightChars="-50"/>
              <w:jc w:val="center"/>
              <w:rPr>
                <w:sz w:val="18"/>
                <w:szCs w:val="18"/>
              </w:rPr>
            </w:pPr>
          </w:p>
        </w:tc>
      </w:tr>
      <w:tr w14:paraId="150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281" w:type="dxa"/>
            <w:vMerge w:val="continue"/>
            <w:tcBorders>
              <w:top w:val="single" w:color="auto" w:sz="2" w:space="0"/>
              <w:left w:val="nil"/>
              <w:bottom w:val="single" w:color="auto" w:sz="2" w:space="0"/>
              <w:right w:val="single" w:color="auto" w:sz="2" w:space="0"/>
            </w:tcBorders>
            <w:vAlign w:val="center"/>
          </w:tcPr>
          <w:p w14:paraId="01F90DEB">
            <w:pPr>
              <w:rPr>
                <w:sz w:val="18"/>
                <w:szCs w:val="18"/>
              </w:rPr>
            </w:pPr>
          </w:p>
        </w:tc>
        <w:tc>
          <w:tcPr>
            <w:tcW w:w="599" w:type="dxa"/>
            <w:vMerge w:val="continue"/>
            <w:tcBorders>
              <w:top w:val="single" w:color="auto" w:sz="2" w:space="0"/>
              <w:left w:val="single" w:color="auto" w:sz="2" w:space="0"/>
              <w:bottom w:val="single" w:color="auto" w:sz="2" w:space="0"/>
              <w:right w:val="single" w:color="auto" w:sz="2" w:space="0"/>
            </w:tcBorders>
            <w:vAlign w:val="center"/>
          </w:tcPr>
          <w:p w14:paraId="2DA62AC3">
            <w:pPr>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74BE18E8">
            <w:pPr>
              <w:ind w:left="-105" w:leftChars="-50" w:right="-105" w:rightChars="-50"/>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20D5C448">
            <w:pPr>
              <w:ind w:left="-105" w:leftChars="-50" w:right="-105" w:rightChars="-50"/>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7260C79F">
            <w:pPr>
              <w:ind w:left="-105" w:leftChars="-50" w:right="-105" w:rightChars="-50"/>
              <w:jc w:val="center"/>
              <w:rPr>
                <w:sz w:val="18"/>
                <w:szCs w:val="18"/>
              </w:rPr>
            </w:pPr>
          </w:p>
        </w:tc>
        <w:tc>
          <w:tcPr>
            <w:tcW w:w="692" w:type="dxa"/>
            <w:tcBorders>
              <w:top w:val="single" w:color="auto" w:sz="2" w:space="0"/>
              <w:left w:val="single" w:color="auto" w:sz="2" w:space="0"/>
              <w:bottom w:val="single" w:color="auto" w:sz="2" w:space="0"/>
              <w:right w:val="single" w:color="auto" w:sz="2" w:space="0"/>
            </w:tcBorders>
            <w:shd w:val="clear" w:color="auto" w:fill="auto"/>
            <w:vAlign w:val="center"/>
          </w:tcPr>
          <w:p w14:paraId="31F036EF">
            <w:pPr>
              <w:ind w:left="-105" w:leftChars="-50" w:right="-105" w:rightChars="-50"/>
              <w:jc w:val="center"/>
              <w:rPr>
                <w:sz w:val="18"/>
                <w:szCs w:val="18"/>
              </w:rPr>
            </w:pPr>
            <w:r>
              <w:rPr>
                <w:sz w:val="18"/>
                <w:szCs w:val="18"/>
              </w:rPr>
              <w:t>炼焦          烟煤</w:t>
            </w:r>
          </w:p>
        </w:tc>
        <w:tc>
          <w:tcPr>
            <w:tcW w:w="692" w:type="dxa"/>
            <w:tcBorders>
              <w:top w:val="single" w:color="auto" w:sz="2" w:space="0"/>
              <w:left w:val="single" w:color="auto" w:sz="2" w:space="0"/>
              <w:bottom w:val="single" w:color="auto" w:sz="2" w:space="0"/>
              <w:right w:val="single" w:color="auto" w:sz="2" w:space="0"/>
            </w:tcBorders>
            <w:shd w:val="clear" w:color="auto" w:fill="auto"/>
            <w:vAlign w:val="center"/>
          </w:tcPr>
          <w:p w14:paraId="48E26299">
            <w:pPr>
              <w:ind w:left="-105" w:leftChars="-50" w:right="-105" w:rightChars="-50"/>
              <w:jc w:val="center"/>
              <w:rPr>
                <w:sz w:val="18"/>
                <w:szCs w:val="18"/>
              </w:rPr>
            </w:pPr>
            <w:r>
              <w:rPr>
                <w:sz w:val="18"/>
                <w:szCs w:val="18"/>
              </w:rPr>
              <w:t>一般           烟煤</w:t>
            </w:r>
          </w:p>
        </w:tc>
        <w:tc>
          <w:tcPr>
            <w:tcW w:w="692"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AB5F0A1">
            <w:pPr>
              <w:ind w:left="-105" w:leftChars="-50" w:right="-105" w:rightChars="-50"/>
              <w:jc w:val="center"/>
              <w:rPr>
                <w:sz w:val="18"/>
                <w:szCs w:val="18"/>
              </w:rPr>
            </w:pPr>
          </w:p>
        </w:tc>
        <w:tc>
          <w:tcPr>
            <w:tcW w:w="692" w:type="dxa"/>
            <w:vMerge w:val="continue"/>
            <w:tcBorders>
              <w:top w:val="single" w:color="auto" w:sz="2" w:space="0"/>
              <w:left w:val="single" w:color="auto" w:sz="2" w:space="0"/>
              <w:bottom w:val="single" w:color="auto" w:sz="2" w:space="0"/>
              <w:right w:val="single" w:color="auto" w:sz="2" w:space="0"/>
            </w:tcBorders>
            <w:vAlign w:val="center"/>
          </w:tcPr>
          <w:p w14:paraId="466BDBDF">
            <w:pPr>
              <w:ind w:left="-105" w:leftChars="-50" w:right="-105" w:rightChars="-50"/>
              <w:jc w:val="center"/>
              <w:rPr>
                <w:sz w:val="18"/>
                <w:szCs w:val="18"/>
              </w:rPr>
            </w:pPr>
          </w:p>
        </w:tc>
        <w:tc>
          <w:tcPr>
            <w:tcW w:w="692" w:type="dxa"/>
            <w:vMerge w:val="continue"/>
            <w:tcBorders>
              <w:left w:val="single" w:color="auto" w:sz="2" w:space="0"/>
              <w:bottom w:val="single" w:color="auto" w:sz="2" w:space="0"/>
              <w:right w:val="nil"/>
            </w:tcBorders>
            <w:vAlign w:val="center"/>
          </w:tcPr>
          <w:p w14:paraId="020523BE">
            <w:pPr>
              <w:ind w:left="-105" w:leftChars="-50" w:right="-105" w:rightChars="-50"/>
              <w:jc w:val="center"/>
              <w:rPr>
                <w:sz w:val="18"/>
                <w:szCs w:val="18"/>
              </w:rPr>
            </w:pPr>
          </w:p>
        </w:tc>
      </w:tr>
      <w:tr w14:paraId="321D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281" w:type="dxa"/>
            <w:tcBorders>
              <w:top w:val="single" w:color="auto" w:sz="2" w:space="0"/>
              <w:left w:val="nil"/>
              <w:bottom w:val="single" w:color="auto" w:sz="2" w:space="0"/>
              <w:right w:val="single" w:color="auto" w:sz="2" w:space="0"/>
            </w:tcBorders>
            <w:vAlign w:val="center"/>
          </w:tcPr>
          <w:p w14:paraId="2FFCF2DA">
            <w:pPr>
              <w:spacing w:line="240" w:lineRule="atLeast"/>
              <w:jc w:val="center"/>
              <w:textAlignment w:val="center"/>
              <w:rPr>
                <w:sz w:val="18"/>
                <w:szCs w:val="18"/>
              </w:rPr>
            </w:pPr>
            <w:r>
              <w:rPr>
                <w:sz w:val="18"/>
                <w:szCs w:val="18"/>
              </w:rPr>
              <w:t>甲</w:t>
            </w:r>
          </w:p>
        </w:tc>
        <w:tc>
          <w:tcPr>
            <w:tcW w:w="599" w:type="dxa"/>
            <w:tcBorders>
              <w:top w:val="single" w:color="auto" w:sz="2" w:space="0"/>
              <w:left w:val="single" w:color="auto" w:sz="2" w:space="0"/>
              <w:bottom w:val="single" w:color="auto" w:sz="2" w:space="0"/>
              <w:right w:val="single" w:color="auto" w:sz="2" w:space="0"/>
            </w:tcBorders>
            <w:vAlign w:val="center"/>
          </w:tcPr>
          <w:p w14:paraId="638AF442">
            <w:pPr>
              <w:spacing w:line="240" w:lineRule="atLeast"/>
              <w:jc w:val="center"/>
              <w:textAlignment w:val="center"/>
              <w:rPr>
                <w:sz w:val="18"/>
                <w:szCs w:val="18"/>
              </w:rPr>
            </w:pPr>
            <w:r>
              <w:rPr>
                <w:sz w:val="18"/>
                <w:szCs w:val="18"/>
              </w:rPr>
              <w:t>乙</w:t>
            </w:r>
          </w:p>
        </w:tc>
        <w:tc>
          <w:tcPr>
            <w:tcW w:w="692" w:type="dxa"/>
            <w:tcBorders>
              <w:top w:val="single" w:color="auto" w:sz="2" w:space="0"/>
              <w:left w:val="single" w:color="auto" w:sz="2" w:space="0"/>
              <w:bottom w:val="single" w:color="auto" w:sz="2" w:space="0"/>
              <w:right w:val="single" w:color="auto" w:sz="2" w:space="0"/>
            </w:tcBorders>
            <w:vAlign w:val="center"/>
          </w:tcPr>
          <w:p w14:paraId="02A0946E">
            <w:pPr>
              <w:spacing w:line="240" w:lineRule="atLeast"/>
              <w:ind w:left="-105" w:leftChars="-50" w:right="-105" w:rightChars="-50"/>
              <w:jc w:val="center"/>
              <w:textAlignment w:val="center"/>
              <w:rPr>
                <w:sz w:val="18"/>
                <w:szCs w:val="18"/>
              </w:rPr>
            </w:pPr>
            <w:r>
              <w:rPr>
                <w:sz w:val="18"/>
                <w:szCs w:val="18"/>
              </w:rPr>
              <w:t>1</w:t>
            </w:r>
          </w:p>
        </w:tc>
        <w:tc>
          <w:tcPr>
            <w:tcW w:w="692" w:type="dxa"/>
            <w:tcBorders>
              <w:top w:val="single" w:color="auto" w:sz="2" w:space="0"/>
              <w:left w:val="single" w:color="auto" w:sz="2" w:space="0"/>
              <w:bottom w:val="single" w:color="auto" w:sz="2" w:space="0"/>
              <w:right w:val="single" w:color="auto" w:sz="2" w:space="0"/>
            </w:tcBorders>
            <w:vAlign w:val="center"/>
          </w:tcPr>
          <w:p w14:paraId="2BE75295">
            <w:pPr>
              <w:spacing w:line="240" w:lineRule="atLeast"/>
              <w:ind w:left="-105" w:leftChars="-50" w:right="-105" w:rightChars="-50"/>
              <w:jc w:val="center"/>
              <w:textAlignment w:val="center"/>
              <w:rPr>
                <w:sz w:val="18"/>
                <w:szCs w:val="18"/>
              </w:rPr>
            </w:pPr>
            <w:r>
              <w:rPr>
                <w:sz w:val="18"/>
                <w:szCs w:val="18"/>
              </w:rPr>
              <w:t>2</w:t>
            </w:r>
          </w:p>
        </w:tc>
        <w:tc>
          <w:tcPr>
            <w:tcW w:w="692" w:type="dxa"/>
            <w:tcBorders>
              <w:top w:val="single" w:color="auto" w:sz="2" w:space="0"/>
              <w:left w:val="single" w:color="auto" w:sz="2" w:space="0"/>
              <w:bottom w:val="single" w:color="auto" w:sz="2" w:space="0"/>
              <w:right w:val="single" w:color="auto" w:sz="2" w:space="0"/>
            </w:tcBorders>
            <w:vAlign w:val="center"/>
          </w:tcPr>
          <w:p w14:paraId="0A95BE09">
            <w:pPr>
              <w:spacing w:line="240" w:lineRule="atLeast"/>
              <w:ind w:left="-105" w:leftChars="-50" w:right="-105" w:rightChars="-50"/>
              <w:jc w:val="center"/>
              <w:textAlignment w:val="center"/>
              <w:rPr>
                <w:sz w:val="18"/>
                <w:szCs w:val="18"/>
              </w:rPr>
            </w:pPr>
            <w:r>
              <w:rPr>
                <w:sz w:val="18"/>
                <w:szCs w:val="18"/>
              </w:rPr>
              <w:t>3</w:t>
            </w:r>
          </w:p>
        </w:tc>
        <w:tc>
          <w:tcPr>
            <w:tcW w:w="692" w:type="dxa"/>
            <w:tcBorders>
              <w:top w:val="single" w:color="auto" w:sz="2" w:space="0"/>
              <w:left w:val="single" w:color="auto" w:sz="2" w:space="0"/>
              <w:bottom w:val="single" w:color="auto" w:sz="2" w:space="0"/>
              <w:right w:val="single" w:color="auto" w:sz="2" w:space="0"/>
            </w:tcBorders>
            <w:vAlign w:val="center"/>
          </w:tcPr>
          <w:p w14:paraId="69E6514C">
            <w:pPr>
              <w:spacing w:line="240" w:lineRule="atLeast"/>
              <w:ind w:left="-105" w:leftChars="-50" w:right="-105" w:rightChars="-50"/>
              <w:jc w:val="center"/>
              <w:textAlignment w:val="center"/>
              <w:rPr>
                <w:sz w:val="18"/>
                <w:szCs w:val="18"/>
              </w:rPr>
            </w:pPr>
            <w:r>
              <w:rPr>
                <w:sz w:val="18"/>
                <w:szCs w:val="18"/>
              </w:rPr>
              <w:t>4</w:t>
            </w:r>
          </w:p>
        </w:tc>
        <w:tc>
          <w:tcPr>
            <w:tcW w:w="692" w:type="dxa"/>
            <w:tcBorders>
              <w:top w:val="single" w:color="auto" w:sz="2" w:space="0"/>
              <w:left w:val="single" w:color="auto" w:sz="2" w:space="0"/>
              <w:bottom w:val="single" w:color="auto" w:sz="2" w:space="0"/>
              <w:right w:val="single" w:color="auto" w:sz="2" w:space="0"/>
            </w:tcBorders>
            <w:vAlign w:val="center"/>
          </w:tcPr>
          <w:p w14:paraId="3B90BD26">
            <w:pPr>
              <w:spacing w:line="240" w:lineRule="atLeast"/>
              <w:ind w:left="-105" w:leftChars="-50" w:right="-105" w:rightChars="-50"/>
              <w:jc w:val="center"/>
              <w:textAlignment w:val="center"/>
              <w:rPr>
                <w:sz w:val="18"/>
                <w:szCs w:val="18"/>
              </w:rPr>
            </w:pPr>
            <w:r>
              <w:rPr>
                <w:sz w:val="18"/>
                <w:szCs w:val="18"/>
              </w:rPr>
              <w:t>5</w:t>
            </w:r>
          </w:p>
        </w:tc>
        <w:tc>
          <w:tcPr>
            <w:tcW w:w="692" w:type="dxa"/>
            <w:tcBorders>
              <w:top w:val="single" w:color="auto" w:sz="2" w:space="0"/>
              <w:left w:val="single" w:color="auto" w:sz="2" w:space="0"/>
              <w:bottom w:val="single" w:color="auto" w:sz="2" w:space="0"/>
              <w:right w:val="single" w:color="auto" w:sz="2" w:space="0"/>
            </w:tcBorders>
            <w:vAlign w:val="center"/>
          </w:tcPr>
          <w:p w14:paraId="2BA23062">
            <w:pPr>
              <w:spacing w:line="240" w:lineRule="atLeast"/>
              <w:ind w:left="-105" w:leftChars="-50" w:right="-105" w:rightChars="-50"/>
              <w:jc w:val="center"/>
              <w:textAlignment w:val="center"/>
              <w:rPr>
                <w:sz w:val="18"/>
                <w:szCs w:val="18"/>
              </w:rPr>
            </w:pPr>
            <w:r>
              <w:rPr>
                <w:sz w:val="18"/>
                <w:szCs w:val="18"/>
              </w:rPr>
              <w:t>6</w:t>
            </w:r>
          </w:p>
        </w:tc>
        <w:tc>
          <w:tcPr>
            <w:tcW w:w="692" w:type="dxa"/>
            <w:tcBorders>
              <w:top w:val="single" w:color="auto" w:sz="2" w:space="0"/>
              <w:left w:val="single" w:color="auto" w:sz="2" w:space="0"/>
              <w:bottom w:val="single" w:color="auto" w:sz="2" w:space="0"/>
              <w:right w:val="single" w:color="auto" w:sz="2" w:space="0"/>
            </w:tcBorders>
            <w:vAlign w:val="center"/>
          </w:tcPr>
          <w:p w14:paraId="3E8EC2D6">
            <w:pPr>
              <w:spacing w:line="240" w:lineRule="atLeast"/>
              <w:ind w:left="-105" w:leftChars="-50" w:right="-105" w:rightChars="-50"/>
              <w:jc w:val="center"/>
              <w:textAlignment w:val="center"/>
              <w:rPr>
                <w:sz w:val="18"/>
                <w:szCs w:val="18"/>
              </w:rPr>
            </w:pPr>
            <w:r>
              <w:rPr>
                <w:sz w:val="18"/>
                <w:szCs w:val="18"/>
              </w:rPr>
              <w:t>7</w:t>
            </w:r>
          </w:p>
        </w:tc>
        <w:tc>
          <w:tcPr>
            <w:tcW w:w="692" w:type="dxa"/>
            <w:tcBorders>
              <w:top w:val="single" w:color="auto" w:sz="2" w:space="0"/>
              <w:left w:val="single" w:color="auto" w:sz="2" w:space="0"/>
              <w:bottom w:val="single" w:color="auto" w:sz="2" w:space="0"/>
              <w:right w:val="nil"/>
            </w:tcBorders>
            <w:vAlign w:val="center"/>
          </w:tcPr>
          <w:p w14:paraId="3B580E3B">
            <w:pPr>
              <w:spacing w:line="240" w:lineRule="atLeast"/>
              <w:ind w:left="-105" w:leftChars="-50" w:right="-105" w:rightChars="-50"/>
              <w:jc w:val="center"/>
              <w:textAlignment w:val="center"/>
              <w:rPr>
                <w:sz w:val="18"/>
                <w:szCs w:val="18"/>
              </w:rPr>
            </w:pPr>
            <w:r>
              <w:rPr>
                <w:sz w:val="18"/>
                <w:szCs w:val="18"/>
              </w:rPr>
              <w:t>8</w:t>
            </w:r>
          </w:p>
        </w:tc>
      </w:tr>
      <w:tr w14:paraId="65DF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281" w:type="dxa"/>
            <w:tcBorders>
              <w:top w:val="single" w:color="auto" w:sz="2" w:space="0"/>
              <w:left w:val="nil"/>
              <w:bottom w:val="single" w:color="auto" w:sz="8" w:space="0"/>
              <w:right w:val="single" w:color="auto" w:sz="2" w:space="0"/>
            </w:tcBorders>
            <w:vAlign w:val="center"/>
          </w:tcPr>
          <w:p w14:paraId="2E2502BF">
            <w:pPr>
              <w:widowControl/>
              <w:spacing w:line="256" w:lineRule="exact"/>
              <w:rPr>
                <w:bCs/>
                <w:kern w:val="0"/>
                <w:sz w:val="18"/>
                <w:szCs w:val="18"/>
              </w:rPr>
            </w:pPr>
            <w:r>
              <w:rPr>
                <w:bCs/>
                <w:kern w:val="0"/>
                <w:sz w:val="18"/>
                <w:szCs w:val="18"/>
              </w:rPr>
              <w:t>一、可供本地区消费的能源量</w:t>
            </w:r>
          </w:p>
          <w:p w14:paraId="0202FD58">
            <w:pPr>
              <w:widowControl/>
              <w:spacing w:line="256" w:lineRule="exact"/>
              <w:ind w:firstLine="180" w:firstLineChars="100"/>
              <w:rPr>
                <w:kern w:val="0"/>
                <w:sz w:val="18"/>
                <w:szCs w:val="18"/>
              </w:rPr>
            </w:pPr>
            <w:r>
              <w:rPr>
                <w:kern w:val="0"/>
                <w:sz w:val="18"/>
                <w:szCs w:val="18"/>
              </w:rPr>
              <w:t xml:space="preserve"> 1.年初库存量</w:t>
            </w:r>
          </w:p>
          <w:p w14:paraId="31318BF7">
            <w:pPr>
              <w:widowControl/>
              <w:spacing w:line="256" w:lineRule="exact"/>
              <w:ind w:firstLine="180" w:firstLineChars="100"/>
              <w:rPr>
                <w:kern w:val="0"/>
                <w:sz w:val="18"/>
                <w:szCs w:val="18"/>
              </w:rPr>
            </w:pPr>
            <w:r>
              <w:rPr>
                <w:kern w:val="0"/>
                <w:sz w:val="18"/>
                <w:szCs w:val="18"/>
              </w:rPr>
              <w:t xml:space="preserve"> 2.一次能源生产量</w:t>
            </w:r>
          </w:p>
          <w:p w14:paraId="3D846DA2">
            <w:pPr>
              <w:widowControl/>
              <w:spacing w:line="256" w:lineRule="exact"/>
              <w:ind w:firstLine="180" w:firstLineChars="100"/>
              <w:rPr>
                <w:kern w:val="0"/>
                <w:sz w:val="18"/>
                <w:szCs w:val="18"/>
              </w:rPr>
            </w:pPr>
            <w:r>
              <w:rPr>
                <w:kern w:val="0"/>
                <w:sz w:val="18"/>
                <w:szCs w:val="18"/>
              </w:rPr>
              <w:t xml:space="preserve"> 3.外省(区、市)调入量</w:t>
            </w:r>
          </w:p>
          <w:p w14:paraId="76CCA697">
            <w:pPr>
              <w:widowControl/>
              <w:spacing w:line="256" w:lineRule="exact"/>
              <w:ind w:firstLine="180" w:firstLineChars="100"/>
              <w:rPr>
                <w:kern w:val="0"/>
                <w:sz w:val="18"/>
                <w:szCs w:val="18"/>
              </w:rPr>
            </w:pPr>
            <w:r>
              <w:rPr>
                <w:kern w:val="0"/>
                <w:sz w:val="18"/>
                <w:szCs w:val="18"/>
              </w:rPr>
              <w:t xml:space="preserve"> 4.进口量</w:t>
            </w:r>
          </w:p>
          <w:p w14:paraId="5E870C44">
            <w:pPr>
              <w:widowControl/>
              <w:spacing w:line="256" w:lineRule="exact"/>
              <w:ind w:firstLine="180" w:firstLineChars="100"/>
              <w:rPr>
                <w:kern w:val="0"/>
                <w:sz w:val="18"/>
                <w:szCs w:val="18"/>
              </w:rPr>
            </w:pPr>
            <w:r>
              <w:rPr>
                <w:kern w:val="0"/>
                <w:sz w:val="18"/>
                <w:szCs w:val="18"/>
              </w:rPr>
              <w:t xml:space="preserve"> 5.境内飞机和轮船在境外加油量</w:t>
            </w:r>
          </w:p>
          <w:p w14:paraId="31149F6E">
            <w:pPr>
              <w:widowControl/>
              <w:spacing w:line="256" w:lineRule="exact"/>
              <w:ind w:firstLine="180" w:firstLineChars="100"/>
              <w:rPr>
                <w:kern w:val="0"/>
                <w:sz w:val="18"/>
                <w:szCs w:val="18"/>
              </w:rPr>
            </w:pPr>
            <w:r>
              <w:rPr>
                <w:kern w:val="0"/>
                <w:sz w:val="18"/>
                <w:szCs w:val="18"/>
              </w:rPr>
              <w:t xml:space="preserve"> 6.本省(区、市)调出量(-) </w:t>
            </w:r>
          </w:p>
          <w:p w14:paraId="6F6C71E3">
            <w:pPr>
              <w:widowControl/>
              <w:spacing w:line="256" w:lineRule="exact"/>
              <w:rPr>
                <w:kern w:val="0"/>
                <w:sz w:val="18"/>
                <w:szCs w:val="18"/>
              </w:rPr>
            </w:pPr>
            <w:r>
              <w:rPr>
                <w:kern w:val="0"/>
                <w:sz w:val="18"/>
                <w:szCs w:val="18"/>
              </w:rPr>
              <w:t xml:space="preserve">   7.出口量(-)</w:t>
            </w:r>
          </w:p>
          <w:p w14:paraId="20F8FFF0">
            <w:pPr>
              <w:widowControl/>
              <w:spacing w:line="256" w:lineRule="exact"/>
              <w:ind w:firstLine="180" w:firstLineChars="100"/>
              <w:rPr>
                <w:kern w:val="0"/>
                <w:sz w:val="18"/>
                <w:szCs w:val="18"/>
              </w:rPr>
            </w:pPr>
            <w:r>
              <w:rPr>
                <w:kern w:val="0"/>
                <w:sz w:val="18"/>
                <w:szCs w:val="18"/>
              </w:rPr>
              <w:t xml:space="preserve"> 8.境外飞机和轮船在境内加油量(-)</w:t>
            </w:r>
          </w:p>
          <w:p w14:paraId="33E7A4AE">
            <w:pPr>
              <w:widowControl/>
              <w:spacing w:line="256" w:lineRule="exact"/>
              <w:ind w:firstLine="180" w:firstLineChars="100"/>
              <w:rPr>
                <w:kern w:val="0"/>
                <w:sz w:val="18"/>
                <w:szCs w:val="18"/>
              </w:rPr>
            </w:pPr>
            <w:r>
              <w:rPr>
                <w:kern w:val="0"/>
                <w:sz w:val="18"/>
                <w:szCs w:val="18"/>
              </w:rPr>
              <w:t xml:space="preserve"> 9.年末库存量(-)</w:t>
            </w:r>
          </w:p>
          <w:p w14:paraId="5B700813">
            <w:pPr>
              <w:widowControl/>
              <w:spacing w:line="256" w:lineRule="exact"/>
              <w:rPr>
                <w:bCs/>
                <w:kern w:val="0"/>
                <w:sz w:val="18"/>
                <w:szCs w:val="18"/>
              </w:rPr>
            </w:pPr>
            <w:r>
              <w:rPr>
                <w:bCs/>
                <w:kern w:val="0"/>
                <w:sz w:val="18"/>
                <w:szCs w:val="18"/>
              </w:rPr>
              <w:t>二、加工转换投入</w:t>
            </w:r>
            <w:r>
              <w:rPr>
                <w:kern w:val="0"/>
                <w:sz w:val="18"/>
                <w:szCs w:val="18"/>
              </w:rPr>
              <w:t>(-)</w:t>
            </w:r>
            <w:r>
              <w:rPr>
                <w:bCs/>
                <w:kern w:val="0"/>
                <w:sz w:val="18"/>
                <w:szCs w:val="18"/>
              </w:rPr>
              <w:t xml:space="preserve"> 产出(+)量</w:t>
            </w:r>
          </w:p>
          <w:p w14:paraId="243007BD">
            <w:pPr>
              <w:widowControl/>
              <w:spacing w:line="256" w:lineRule="exact"/>
              <w:rPr>
                <w:kern w:val="0"/>
                <w:sz w:val="18"/>
                <w:szCs w:val="18"/>
              </w:rPr>
            </w:pPr>
            <w:r>
              <w:rPr>
                <w:kern w:val="0"/>
                <w:sz w:val="18"/>
                <w:szCs w:val="18"/>
              </w:rPr>
              <w:t xml:space="preserve">   1.火力发电</w:t>
            </w:r>
          </w:p>
          <w:p w14:paraId="58407A97">
            <w:pPr>
              <w:widowControl/>
              <w:spacing w:line="256" w:lineRule="exact"/>
              <w:rPr>
                <w:kern w:val="0"/>
                <w:sz w:val="18"/>
                <w:szCs w:val="18"/>
              </w:rPr>
            </w:pPr>
            <w:r>
              <w:rPr>
                <w:kern w:val="0"/>
                <w:sz w:val="18"/>
                <w:szCs w:val="18"/>
              </w:rPr>
              <w:t xml:space="preserve">   2.供热</w:t>
            </w:r>
          </w:p>
          <w:p w14:paraId="3676223C">
            <w:pPr>
              <w:widowControl/>
              <w:spacing w:line="256" w:lineRule="exact"/>
              <w:ind w:firstLine="180" w:firstLineChars="100"/>
              <w:rPr>
                <w:kern w:val="0"/>
                <w:sz w:val="18"/>
                <w:szCs w:val="18"/>
              </w:rPr>
            </w:pPr>
            <w:r>
              <w:rPr>
                <w:kern w:val="0"/>
                <w:sz w:val="18"/>
                <w:szCs w:val="18"/>
              </w:rPr>
              <w:t xml:space="preserve"> 3.煤炭洗选 </w:t>
            </w:r>
          </w:p>
          <w:p w14:paraId="3324499C">
            <w:pPr>
              <w:widowControl/>
              <w:spacing w:line="256" w:lineRule="exact"/>
              <w:rPr>
                <w:kern w:val="0"/>
                <w:sz w:val="18"/>
                <w:szCs w:val="18"/>
              </w:rPr>
            </w:pPr>
            <w:r>
              <w:rPr>
                <w:kern w:val="0"/>
                <w:sz w:val="18"/>
                <w:szCs w:val="18"/>
              </w:rPr>
              <w:t xml:space="preserve">   4.炼焦</w:t>
            </w:r>
          </w:p>
          <w:p w14:paraId="5A4C941B">
            <w:pPr>
              <w:widowControl/>
              <w:spacing w:line="256" w:lineRule="exact"/>
              <w:rPr>
                <w:kern w:val="0"/>
                <w:sz w:val="18"/>
                <w:szCs w:val="18"/>
              </w:rPr>
            </w:pPr>
            <w:r>
              <w:rPr>
                <w:kern w:val="0"/>
                <w:sz w:val="18"/>
                <w:szCs w:val="18"/>
              </w:rPr>
              <w:t xml:space="preserve">   5.炼油及煤制油</w:t>
            </w:r>
          </w:p>
          <w:p w14:paraId="7EA3DE69">
            <w:pPr>
              <w:widowControl/>
              <w:spacing w:line="256" w:lineRule="exact"/>
              <w:rPr>
                <w:kern w:val="0"/>
                <w:sz w:val="18"/>
                <w:szCs w:val="18"/>
              </w:rPr>
            </w:pPr>
            <w:r>
              <w:rPr>
                <w:kern w:val="0"/>
                <w:sz w:val="18"/>
                <w:szCs w:val="18"/>
              </w:rPr>
              <w:t xml:space="preserve">       其中：油品再投入量(-)</w:t>
            </w:r>
          </w:p>
          <w:p w14:paraId="49EF7FC0">
            <w:pPr>
              <w:widowControl/>
              <w:spacing w:line="256" w:lineRule="exact"/>
              <w:rPr>
                <w:kern w:val="0"/>
                <w:sz w:val="18"/>
                <w:szCs w:val="18"/>
              </w:rPr>
            </w:pPr>
            <w:r>
              <w:rPr>
                <w:kern w:val="0"/>
                <w:sz w:val="18"/>
                <w:szCs w:val="18"/>
              </w:rPr>
              <w:t xml:space="preserve">   6.制气</w:t>
            </w:r>
          </w:p>
          <w:p w14:paraId="54AA1A18">
            <w:pPr>
              <w:widowControl/>
              <w:spacing w:line="256" w:lineRule="exact"/>
              <w:rPr>
                <w:kern w:val="0"/>
                <w:sz w:val="18"/>
                <w:szCs w:val="18"/>
              </w:rPr>
            </w:pPr>
            <w:r>
              <w:rPr>
                <w:kern w:val="0"/>
                <w:sz w:val="18"/>
                <w:szCs w:val="18"/>
              </w:rPr>
              <w:t xml:space="preserve">       其中：再投入量(-)</w:t>
            </w:r>
          </w:p>
          <w:p w14:paraId="696AB91C">
            <w:pPr>
              <w:widowControl/>
              <w:spacing w:line="256" w:lineRule="exact"/>
              <w:ind w:firstLine="180" w:firstLineChars="100"/>
              <w:rPr>
                <w:kern w:val="0"/>
                <w:sz w:val="18"/>
                <w:szCs w:val="18"/>
              </w:rPr>
            </w:pPr>
            <w:r>
              <w:rPr>
                <w:kern w:val="0"/>
                <w:sz w:val="18"/>
                <w:szCs w:val="18"/>
              </w:rPr>
              <w:t xml:space="preserve"> 7.天然气液化</w:t>
            </w:r>
          </w:p>
          <w:p w14:paraId="12EE5AB9">
            <w:pPr>
              <w:widowControl/>
              <w:spacing w:line="256" w:lineRule="exact"/>
              <w:rPr>
                <w:kern w:val="0"/>
                <w:sz w:val="18"/>
                <w:szCs w:val="18"/>
              </w:rPr>
            </w:pPr>
            <w:r>
              <w:rPr>
                <w:kern w:val="0"/>
                <w:sz w:val="18"/>
                <w:szCs w:val="18"/>
              </w:rPr>
              <w:t xml:space="preserve">   8.煤制品加工</w:t>
            </w:r>
          </w:p>
          <w:p w14:paraId="5B2EDFE8">
            <w:pPr>
              <w:widowControl/>
              <w:spacing w:line="256" w:lineRule="exact"/>
              <w:rPr>
                <w:kern w:val="0"/>
                <w:sz w:val="18"/>
                <w:szCs w:val="18"/>
              </w:rPr>
            </w:pPr>
            <w:r>
              <w:rPr>
                <w:kern w:val="0"/>
                <w:sz w:val="18"/>
                <w:szCs w:val="18"/>
              </w:rPr>
              <w:t xml:space="preserve">   9.回收能</w:t>
            </w:r>
          </w:p>
          <w:p w14:paraId="0DD8073C">
            <w:pPr>
              <w:widowControl/>
              <w:spacing w:line="256" w:lineRule="exact"/>
              <w:rPr>
                <w:bCs/>
                <w:kern w:val="0"/>
                <w:sz w:val="18"/>
                <w:szCs w:val="18"/>
              </w:rPr>
            </w:pPr>
            <w:r>
              <w:rPr>
                <w:bCs/>
                <w:kern w:val="0"/>
                <w:sz w:val="18"/>
                <w:szCs w:val="18"/>
              </w:rPr>
              <w:t>三、损失量</w:t>
            </w:r>
          </w:p>
          <w:p w14:paraId="6100B924">
            <w:pPr>
              <w:widowControl/>
              <w:spacing w:line="256" w:lineRule="exact"/>
              <w:rPr>
                <w:kern w:val="0"/>
                <w:sz w:val="18"/>
                <w:szCs w:val="18"/>
              </w:rPr>
            </w:pPr>
            <w:r>
              <w:rPr>
                <w:kern w:val="0"/>
                <w:sz w:val="18"/>
                <w:szCs w:val="18"/>
              </w:rPr>
              <w:t xml:space="preserve">      其中：运输和输配损失</w:t>
            </w:r>
            <w:r>
              <w:rPr>
                <w:bCs/>
                <w:kern w:val="0"/>
                <w:sz w:val="18"/>
                <w:szCs w:val="18"/>
              </w:rPr>
              <w:t>量</w:t>
            </w:r>
          </w:p>
          <w:p w14:paraId="055ADF1C">
            <w:pPr>
              <w:widowControl/>
              <w:spacing w:line="256" w:lineRule="exact"/>
              <w:rPr>
                <w:bCs/>
                <w:kern w:val="0"/>
                <w:sz w:val="18"/>
                <w:szCs w:val="18"/>
              </w:rPr>
            </w:pPr>
            <w:r>
              <w:rPr>
                <w:bCs/>
                <w:kern w:val="0"/>
                <w:sz w:val="18"/>
                <w:szCs w:val="18"/>
              </w:rPr>
              <w:t>四、终端消费量</w:t>
            </w:r>
          </w:p>
          <w:p w14:paraId="240421CD">
            <w:pPr>
              <w:widowControl/>
              <w:spacing w:line="256" w:lineRule="exact"/>
              <w:ind w:left="252" w:leftChars="120"/>
              <w:rPr>
                <w:kern w:val="0"/>
                <w:sz w:val="18"/>
                <w:szCs w:val="18"/>
              </w:rPr>
            </w:pPr>
            <w:r>
              <w:rPr>
                <w:kern w:val="0"/>
                <w:sz w:val="18"/>
                <w:szCs w:val="18"/>
              </w:rPr>
              <w:t>1.农、林、牧、渔业</w:t>
            </w:r>
          </w:p>
          <w:p w14:paraId="507461DE">
            <w:pPr>
              <w:widowControl/>
              <w:spacing w:line="256" w:lineRule="exact"/>
              <w:rPr>
                <w:kern w:val="0"/>
                <w:sz w:val="18"/>
                <w:szCs w:val="18"/>
              </w:rPr>
            </w:pPr>
            <w:r>
              <w:rPr>
                <w:kern w:val="0"/>
                <w:sz w:val="18"/>
                <w:szCs w:val="18"/>
              </w:rPr>
              <w:t xml:space="preserve">     农、林、牧、渔业</w:t>
            </w:r>
          </w:p>
          <w:p w14:paraId="45FC9F50">
            <w:pPr>
              <w:widowControl/>
              <w:spacing w:line="256" w:lineRule="exact"/>
              <w:rPr>
                <w:kern w:val="0"/>
                <w:sz w:val="18"/>
                <w:szCs w:val="18"/>
              </w:rPr>
            </w:pPr>
            <w:r>
              <w:rPr>
                <w:kern w:val="0"/>
                <w:sz w:val="18"/>
                <w:szCs w:val="18"/>
              </w:rPr>
              <w:t xml:space="preserve">   2.</w:t>
            </w:r>
            <w:r>
              <w:rPr>
                <w:rFonts w:hint="eastAsia"/>
                <w:kern w:val="0"/>
                <w:sz w:val="18"/>
                <w:szCs w:val="18"/>
              </w:rPr>
              <w:t>工业和建筑业</w:t>
            </w:r>
          </w:p>
          <w:p w14:paraId="6167C8FC">
            <w:pPr>
              <w:widowControl/>
              <w:spacing w:line="256" w:lineRule="exact"/>
              <w:rPr>
                <w:kern w:val="0"/>
                <w:sz w:val="18"/>
                <w:szCs w:val="18"/>
              </w:rPr>
            </w:pPr>
            <w:r>
              <w:rPr>
                <w:kern w:val="0"/>
                <w:sz w:val="18"/>
                <w:szCs w:val="18"/>
              </w:rPr>
              <w:t xml:space="preserve">     工业</w:t>
            </w:r>
          </w:p>
          <w:p w14:paraId="33F0A61D">
            <w:pPr>
              <w:widowControl/>
              <w:spacing w:line="256" w:lineRule="exact"/>
              <w:rPr>
                <w:kern w:val="0"/>
                <w:sz w:val="18"/>
                <w:szCs w:val="18"/>
              </w:rPr>
            </w:pPr>
            <w:r>
              <w:rPr>
                <w:kern w:val="0"/>
                <w:sz w:val="18"/>
                <w:szCs w:val="18"/>
              </w:rPr>
              <w:t xml:space="preserve">       其中：用作原料、材料</w:t>
            </w:r>
          </w:p>
          <w:p w14:paraId="6DB2A8E0">
            <w:pPr>
              <w:widowControl/>
              <w:spacing w:line="256" w:lineRule="exact"/>
              <w:rPr>
                <w:kern w:val="0"/>
                <w:sz w:val="18"/>
                <w:szCs w:val="18"/>
              </w:rPr>
            </w:pPr>
            <w:r>
              <w:rPr>
                <w:kern w:val="0"/>
                <w:sz w:val="18"/>
                <w:szCs w:val="18"/>
              </w:rPr>
              <w:t xml:space="preserve">     建筑业</w:t>
            </w:r>
          </w:p>
          <w:p w14:paraId="656548F7">
            <w:pPr>
              <w:widowControl/>
              <w:spacing w:line="256" w:lineRule="exact"/>
              <w:ind w:firstLine="251" w:firstLineChars="140"/>
              <w:rPr>
                <w:kern w:val="0"/>
                <w:sz w:val="18"/>
                <w:szCs w:val="18"/>
              </w:rPr>
            </w:pPr>
            <w:r>
              <w:rPr>
                <w:kern w:val="0"/>
                <w:sz w:val="18"/>
                <w:szCs w:val="18"/>
              </w:rPr>
              <w:t>3.服务业</w:t>
            </w:r>
            <w:r>
              <w:rPr>
                <w:rFonts w:hint="eastAsia"/>
                <w:kern w:val="0"/>
                <w:sz w:val="18"/>
                <w:szCs w:val="18"/>
                <w:vertAlign w:val="superscript"/>
              </w:rPr>
              <w:t>*</w:t>
            </w:r>
          </w:p>
          <w:p w14:paraId="3F153CF2">
            <w:pPr>
              <w:widowControl/>
              <w:spacing w:line="256" w:lineRule="exact"/>
              <w:rPr>
                <w:kern w:val="0"/>
                <w:sz w:val="18"/>
                <w:szCs w:val="18"/>
              </w:rPr>
            </w:pPr>
            <w:r>
              <w:rPr>
                <w:kern w:val="0"/>
                <w:sz w:val="18"/>
                <w:szCs w:val="18"/>
              </w:rPr>
              <w:t xml:space="preserve">     交通运输、仓储和邮政业</w:t>
            </w:r>
          </w:p>
          <w:p w14:paraId="6DA75E58">
            <w:pPr>
              <w:widowControl/>
              <w:spacing w:line="256" w:lineRule="exact"/>
              <w:rPr>
                <w:kern w:val="0"/>
                <w:sz w:val="18"/>
                <w:szCs w:val="18"/>
              </w:rPr>
            </w:pPr>
            <w:r>
              <w:rPr>
                <w:kern w:val="0"/>
                <w:sz w:val="18"/>
                <w:szCs w:val="18"/>
              </w:rPr>
              <w:t xml:space="preserve">     批发和零售业、住宿和餐饮业</w:t>
            </w:r>
          </w:p>
          <w:p w14:paraId="53408B58">
            <w:pPr>
              <w:widowControl/>
              <w:spacing w:line="256" w:lineRule="exact"/>
              <w:rPr>
                <w:kern w:val="0"/>
                <w:sz w:val="18"/>
                <w:szCs w:val="18"/>
              </w:rPr>
            </w:pPr>
            <w:r>
              <w:rPr>
                <w:kern w:val="0"/>
                <w:sz w:val="18"/>
                <w:szCs w:val="18"/>
              </w:rPr>
              <w:t xml:space="preserve">     其他</w:t>
            </w:r>
          </w:p>
          <w:p w14:paraId="7D041B9F">
            <w:pPr>
              <w:widowControl/>
              <w:spacing w:line="256" w:lineRule="exact"/>
              <w:ind w:firstLine="251" w:firstLineChars="140"/>
              <w:rPr>
                <w:kern w:val="0"/>
                <w:sz w:val="18"/>
                <w:szCs w:val="18"/>
              </w:rPr>
            </w:pPr>
            <w:r>
              <w:rPr>
                <w:kern w:val="0"/>
                <w:sz w:val="18"/>
                <w:szCs w:val="18"/>
              </w:rPr>
              <w:t>4.</w:t>
            </w:r>
            <w:r>
              <w:rPr>
                <w:rFonts w:hint="eastAsia"/>
                <w:kern w:val="0"/>
                <w:sz w:val="18"/>
                <w:szCs w:val="18"/>
              </w:rPr>
              <w:t>居民</w:t>
            </w:r>
            <w:r>
              <w:rPr>
                <w:kern w:val="0"/>
                <w:sz w:val="18"/>
                <w:szCs w:val="18"/>
              </w:rPr>
              <w:t>生活</w:t>
            </w:r>
          </w:p>
          <w:p w14:paraId="08203DAA">
            <w:pPr>
              <w:widowControl/>
              <w:spacing w:line="256" w:lineRule="exact"/>
              <w:rPr>
                <w:kern w:val="0"/>
                <w:sz w:val="18"/>
                <w:szCs w:val="18"/>
              </w:rPr>
            </w:pPr>
            <w:r>
              <w:rPr>
                <w:kern w:val="0"/>
                <w:sz w:val="18"/>
                <w:szCs w:val="18"/>
              </w:rPr>
              <w:t xml:space="preserve">     城镇</w:t>
            </w:r>
          </w:p>
          <w:p w14:paraId="1E58D3CE">
            <w:pPr>
              <w:widowControl/>
              <w:spacing w:line="256" w:lineRule="exact"/>
              <w:rPr>
                <w:kern w:val="0"/>
                <w:sz w:val="18"/>
                <w:szCs w:val="18"/>
              </w:rPr>
            </w:pPr>
            <w:r>
              <w:rPr>
                <w:kern w:val="0"/>
                <w:sz w:val="18"/>
                <w:szCs w:val="18"/>
              </w:rPr>
              <w:t xml:space="preserve">     乡村</w:t>
            </w:r>
          </w:p>
          <w:p w14:paraId="12C32CFC">
            <w:pPr>
              <w:widowControl/>
              <w:spacing w:line="256" w:lineRule="exact"/>
              <w:rPr>
                <w:bCs/>
                <w:kern w:val="0"/>
                <w:sz w:val="18"/>
                <w:szCs w:val="18"/>
              </w:rPr>
            </w:pPr>
            <w:r>
              <w:rPr>
                <w:bCs/>
                <w:kern w:val="0"/>
                <w:sz w:val="18"/>
                <w:szCs w:val="18"/>
              </w:rPr>
              <w:t>五、平衡差额(+、-)</w:t>
            </w:r>
          </w:p>
          <w:p w14:paraId="77B7BC00">
            <w:pPr>
              <w:spacing w:line="256" w:lineRule="exact"/>
              <w:rPr>
                <w:sz w:val="18"/>
                <w:szCs w:val="18"/>
              </w:rPr>
            </w:pPr>
            <w:r>
              <w:rPr>
                <w:bCs/>
                <w:kern w:val="0"/>
                <w:sz w:val="18"/>
                <w:szCs w:val="18"/>
              </w:rPr>
              <w:t>六、消费量合计</w:t>
            </w:r>
          </w:p>
        </w:tc>
        <w:tc>
          <w:tcPr>
            <w:tcW w:w="599" w:type="dxa"/>
            <w:tcBorders>
              <w:top w:val="single" w:color="auto" w:sz="2" w:space="0"/>
              <w:left w:val="single" w:color="auto" w:sz="2" w:space="0"/>
              <w:bottom w:val="single" w:color="auto" w:sz="8" w:space="0"/>
              <w:right w:val="single" w:color="auto" w:sz="2" w:space="0"/>
            </w:tcBorders>
          </w:tcPr>
          <w:p w14:paraId="56C02F5A">
            <w:pPr>
              <w:widowControl/>
              <w:spacing w:line="256" w:lineRule="exact"/>
              <w:jc w:val="center"/>
              <w:textAlignment w:val="center"/>
              <w:rPr>
                <w:sz w:val="18"/>
                <w:szCs w:val="18"/>
              </w:rPr>
            </w:pPr>
            <w:r>
              <w:rPr>
                <w:sz w:val="18"/>
                <w:szCs w:val="18"/>
              </w:rPr>
              <w:t>01</w:t>
            </w:r>
          </w:p>
          <w:p w14:paraId="5E0A1641">
            <w:pPr>
              <w:widowControl/>
              <w:spacing w:line="256" w:lineRule="exact"/>
              <w:jc w:val="center"/>
              <w:textAlignment w:val="center"/>
              <w:rPr>
                <w:sz w:val="18"/>
                <w:szCs w:val="18"/>
              </w:rPr>
            </w:pPr>
            <w:r>
              <w:rPr>
                <w:sz w:val="18"/>
                <w:szCs w:val="18"/>
              </w:rPr>
              <w:t>02</w:t>
            </w:r>
          </w:p>
          <w:p w14:paraId="7D3E7A09">
            <w:pPr>
              <w:widowControl/>
              <w:spacing w:line="256" w:lineRule="exact"/>
              <w:jc w:val="center"/>
              <w:textAlignment w:val="center"/>
              <w:rPr>
                <w:sz w:val="18"/>
                <w:szCs w:val="18"/>
              </w:rPr>
            </w:pPr>
            <w:r>
              <w:rPr>
                <w:sz w:val="18"/>
                <w:szCs w:val="18"/>
              </w:rPr>
              <w:t>03</w:t>
            </w:r>
          </w:p>
          <w:p w14:paraId="1D60C30B">
            <w:pPr>
              <w:widowControl/>
              <w:spacing w:line="256" w:lineRule="exact"/>
              <w:jc w:val="center"/>
              <w:textAlignment w:val="center"/>
              <w:rPr>
                <w:sz w:val="18"/>
                <w:szCs w:val="18"/>
              </w:rPr>
            </w:pPr>
            <w:r>
              <w:rPr>
                <w:sz w:val="18"/>
                <w:szCs w:val="18"/>
              </w:rPr>
              <w:t>04</w:t>
            </w:r>
          </w:p>
          <w:p w14:paraId="4F88AE7E">
            <w:pPr>
              <w:widowControl/>
              <w:spacing w:line="256" w:lineRule="exact"/>
              <w:jc w:val="center"/>
              <w:textAlignment w:val="center"/>
              <w:rPr>
                <w:sz w:val="18"/>
                <w:szCs w:val="18"/>
              </w:rPr>
            </w:pPr>
            <w:r>
              <w:rPr>
                <w:sz w:val="18"/>
                <w:szCs w:val="18"/>
              </w:rPr>
              <w:t>05</w:t>
            </w:r>
          </w:p>
          <w:p w14:paraId="3E32A6F5">
            <w:pPr>
              <w:widowControl/>
              <w:spacing w:line="256" w:lineRule="exact"/>
              <w:jc w:val="center"/>
              <w:textAlignment w:val="center"/>
              <w:rPr>
                <w:sz w:val="18"/>
                <w:szCs w:val="18"/>
              </w:rPr>
            </w:pPr>
            <w:r>
              <w:rPr>
                <w:sz w:val="18"/>
                <w:szCs w:val="18"/>
              </w:rPr>
              <w:t>06</w:t>
            </w:r>
          </w:p>
          <w:p w14:paraId="3B88148E">
            <w:pPr>
              <w:widowControl/>
              <w:spacing w:line="256" w:lineRule="exact"/>
              <w:jc w:val="center"/>
              <w:textAlignment w:val="center"/>
              <w:rPr>
                <w:sz w:val="18"/>
                <w:szCs w:val="18"/>
              </w:rPr>
            </w:pPr>
            <w:r>
              <w:rPr>
                <w:sz w:val="18"/>
                <w:szCs w:val="18"/>
              </w:rPr>
              <w:t>07</w:t>
            </w:r>
          </w:p>
          <w:p w14:paraId="79C4A9B9">
            <w:pPr>
              <w:widowControl/>
              <w:spacing w:line="256" w:lineRule="exact"/>
              <w:jc w:val="center"/>
              <w:textAlignment w:val="center"/>
              <w:rPr>
                <w:sz w:val="18"/>
                <w:szCs w:val="18"/>
              </w:rPr>
            </w:pPr>
            <w:r>
              <w:rPr>
                <w:sz w:val="18"/>
                <w:szCs w:val="18"/>
              </w:rPr>
              <w:t>08</w:t>
            </w:r>
          </w:p>
          <w:p w14:paraId="70C2F7C5">
            <w:pPr>
              <w:widowControl/>
              <w:spacing w:line="256" w:lineRule="exact"/>
              <w:jc w:val="center"/>
              <w:textAlignment w:val="center"/>
              <w:rPr>
                <w:sz w:val="18"/>
                <w:szCs w:val="18"/>
              </w:rPr>
            </w:pPr>
            <w:r>
              <w:rPr>
                <w:sz w:val="18"/>
                <w:szCs w:val="18"/>
              </w:rPr>
              <w:t>09</w:t>
            </w:r>
          </w:p>
          <w:p w14:paraId="71F449C3">
            <w:pPr>
              <w:widowControl/>
              <w:spacing w:line="256" w:lineRule="exact"/>
              <w:jc w:val="center"/>
              <w:textAlignment w:val="center"/>
              <w:rPr>
                <w:sz w:val="18"/>
                <w:szCs w:val="18"/>
              </w:rPr>
            </w:pPr>
            <w:r>
              <w:rPr>
                <w:sz w:val="18"/>
                <w:szCs w:val="18"/>
              </w:rPr>
              <w:t>10</w:t>
            </w:r>
          </w:p>
          <w:p w14:paraId="12EFF325">
            <w:pPr>
              <w:widowControl/>
              <w:spacing w:line="256" w:lineRule="exact"/>
              <w:jc w:val="center"/>
              <w:textAlignment w:val="center"/>
              <w:rPr>
                <w:sz w:val="18"/>
                <w:szCs w:val="18"/>
              </w:rPr>
            </w:pPr>
            <w:r>
              <w:rPr>
                <w:sz w:val="18"/>
                <w:szCs w:val="18"/>
              </w:rPr>
              <w:t>11</w:t>
            </w:r>
          </w:p>
          <w:p w14:paraId="40D709AE">
            <w:pPr>
              <w:widowControl/>
              <w:spacing w:line="256" w:lineRule="exact"/>
              <w:jc w:val="center"/>
              <w:textAlignment w:val="center"/>
              <w:rPr>
                <w:sz w:val="18"/>
                <w:szCs w:val="18"/>
              </w:rPr>
            </w:pPr>
            <w:r>
              <w:rPr>
                <w:sz w:val="18"/>
                <w:szCs w:val="18"/>
              </w:rPr>
              <w:t>12</w:t>
            </w:r>
          </w:p>
          <w:p w14:paraId="488D394F">
            <w:pPr>
              <w:widowControl/>
              <w:spacing w:line="256" w:lineRule="exact"/>
              <w:jc w:val="center"/>
              <w:textAlignment w:val="center"/>
              <w:rPr>
                <w:sz w:val="18"/>
                <w:szCs w:val="18"/>
              </w:rPr>
            </w:pPr>
            <w:r>
              <w:rPr>
                <w:sz w:val="18"/>
                <w:szCs w:val="18"/>
              </w:rPr>
              <w:t>13</w:t>
            </w:r>
          </w:p>
          <w:p w14:paraId="1D698DBB">
            <w:pPr>
              <w:widowControl/>
              <w:spacing w:line="256" w:lineRule="exact"/>
              <w:jc w:val="center"/>
              <w:textAlignment w:val="center"/>
              <w:rPr>
                <w:sz w:val="18"/>
                <w:szCs w:val="18"/>
              </w:rPr>
            </w:pPr>
            <w:r>
              <w:rPr>
                <w:sz w:val="18"/>
                <w:szCs w:val="18"/>
              </w:rPr>
              <w:t>14</w:t>
            </w:r>
          </w:p>
          <w:p w14:paraId="19D5FE5C">
            <w:pPr>
              <w:widowControl/>
              <w:spacing w:line="256" w:lineRule="exact"/>
              <w:jc w:val="center"/>
              <w:textAlignment w:val="center"/>
              <w:rPr>
                <w:sz w:val="18"/>
                <w:szCs w:val="18"/>
              </w:rPr>
            </w:pPr>
            <w:r>
              <w:rPr>
                <w:sz w:val="18"/>
                <w:szCs w:val="18"/>
              </w:rPr>
              <w:t>15</w:t>
            </w:r>
          </w:p>
          <w:p w14:paraId="4F056A25">
            <w:pPr>
              <w:widowControl/>
              <w:spacing w:line="256" w:lineRule="exact"/>
              <w:jc w:val="center"/>
              <w:textAlignment w:val="center"/>
              <w:rPr>
                <w:sz w:val="18"/>
                <w:szCs w:val="18"/>
              </w:rPr>
            </w:pPr>
            <w:r>
              <w:rPr>
                <w:sz w:val="18"/>
                <w:szCs w:val="18"/>
              </w:rPr>
              <w:t>16</w:t>
            </w:r>
          </w:p>
          <w:p w14:paraId="2263C35F">
            <w:pPr>
              <w:widowControl/>
              <w:spacing w:line="256" w:lineRule="exact"/>
              <w:jc w:val="center"/>
              <w:textAlignment w:val="center"/>
              <w:rPr>
                <w:sz w:val="18"/>
                <w:szCs w:val="18"/>
              </w:rPr>
            </w:pPr>
            <w:r>
              <w:rPr>
                <w:sz w:val="18"/>
                <w:szCs w:val="18"/>
              </w:rPr>
              <w:t>17</w:t>
            </w:r>
          </w:p>
          <w:p w14:paraId="230F90B5">
            <w:pPr>
              <w:widowControl/>
              <w:spacing w:line="256" w:lineRule="exact"/>
              <w:jc w:val="center"/>
              <w:textAlignment w:val="center"/>
              <w:rPr>
                <w:sz w:val="18"/>
                <w:szCs w:val="18"/>
              </w:rPr>
            </w:pPr>
            <w:r>
              <w:rPr>
                <w:sz w:val="18"/>
                <w:szCs w:val="18"/>
              </w:rPr>
              <w:t>18</w:t>
            </w:r>
          </w:p>
          <w:p w14:paraId="60AF857C">
            <w:pPr>
              <w:widowControl/>
              <w:spacing w:line="256" w:lineRule="exact"/>
              <w:jc w:val="center"/>
              <w:textAlignment w:val="center"/>
              <w:rPr>
                <w:sz w:val="18"/>
                <w:szCs w:val="18"/>
              </w:rPr>
            </w:pPr>
            <w:r>
              <w:rPr>
                <w:sz w:val="18"/>
                <w:szCs w:val="18"/>
              </w:rPr>
              <w:t>19</w:t>
            </w:r>
          </w:p>
          <w:p w14:paraId="09AAECF0">
            <w:pPr>
              <w:widowControl/>
              <w:spacing w:line="256" w:lineRule="exact"/>
              <w:jc w:val="center"/>
              <w:textAlignment w:val="center"/>
              <w:rPr>
                <w:sz w:val="18"/>
                <w:szCs w:val="18"/>
              </w:rPr>
            </w:pPr>
            <w:r>
              <w:rPr>
                <w:sz w:val="18"/>
                <w:szCs w:val="18"/>
              </w:rPr>
              <w:t>20</w:t>
            </w:r>
          </w:p>
          <w:p w14:paraId="563BA3E1">
            <w:pPr>
              <w:widowControl/>
              <w:spacing w:line="256" w:lineRule="exact"/>
              <w:jc w:val="center"/>
              <w:textAlignment w:val="center"/>
              <w:rPr>
                <w:sz w:val="18"/>
                <w:szCs w:val="18"/>
              </w:rPr>
            </w:pPr>
            <w:r>
              <w:rPr>
                <w:sz w:val="18"/>
                <w:szCs w:val="18"/>
              </w:rPr>
              <w:t>21</w:t>
            </w:r>
          </w:p>
          <w:p w14:paraId="7125C139">
            <w:pPr>
              <w:widowControl/>
              <w:spacing w:line="256" w:lineRule="exact"/>
              <w:jc w:val="center"/>
              <w:textAlignment w:val="center"/>
              <w:rPr>
                <w:sz w:val="18"/>
                <w:szCs w:val="18"/>
              </w:rPr>
            </w:pPr>
            <w:r>
              <w:rPr>
                <w:sz w:val="18"/>
                <w:szCs w:val="18"/>
              </w:rPr>
              <w:t>22</w:t>
            </w:r>
          </w:p>
          <w:p w14:paraId="66F7051F">
            <w:pPr>
              <w:widowControl/>
              <w:spacing w:line="256" w:lineRule="exact"/>
              <w:jc w:val="center"/>
              <w:textAlignment w:val="center"/>
              <w:rPr>
                <w:sz w:val="18"/>
                <w:szCs w:val="18"/>
              </w:rPr>
            </w:pPr>
            <w:r>
              <w:rPr>
                <w:sz w:val="18"/>
                <w:szCs w:val="18"/>
              </w:rPr>
              <w:t>23</w:t>
            </w:r>
          </w:p>
          <w:p w14:paraId="505EFC09">
            <w:pPr>
              <w:widowControl/>
              <w:spacing w:line="256" w:lineRule="exact"/>
              <w:jc w:val="center"/>
              <w:textAlignment w:val="center"/>
              <w:rPr>
                <w:sz w:val="18"/>
                <w:szCs w:val="18"/>
              </w:rPr>
            </w:pPr>
            <w:r>
              <w:rPr>
                <w:sz w:val="18"/>
                <w:szCs w:val="18"/>
              </w:rPr>
              <w:t>24</w:t>
            </w:r>
          </w:p>
          <w:p w14:paraId="67E5F8CA">
            <w:pPr>
              <w:widowControl/>
              <w:spacing w:line="256" w:lineRule="exact"/>
              <w:jc w:val="center"/>
              <w:textAlignment w:val="center"/>
              <w:rPr>
                <w:sz w:val="18"/>
                <w:szCs w:val="18"/>
              </w:rPr>
            </w:pPr>
            <w:r>
              <w:rPr>
                <w:sz w:val="18"/>
                <w:szCs w:val="18"/>
              </w:rPr>
              <w:t>25</w:t>
            </w:r>
          </w:p>
          <w:p w14:paraId="745108E4">
            <w:pPr>
              <w:widowControl/>
              <w:spacing w:line="256" w:lineRule="exact"/>
              <w:jc w:val="center"/>
              <w:textAlignment w:val="center"/>
              <w:rPr>
                <w:sz w:val="18"/>
                <w:szCs w:val="18"/>
              </w:rPr>
            </w:pPr>
            <w:r>
              <w:rPr>
                <w:sz w:val="18"/>
                <w:szCs w:val="18"/>
              </w:rPr>
              <w:t>26</w:t>
            </w:r>
          </w:p>
          <w:p w14:paraId="5FF0A0BB">
            <w:pPr>
              <w:widowControl/>
              <w:spacing w:line="256" w:lineRule="exact"/>
              <w:jc w:val="center"/>
              <w:textAlignment w:val="center"/>
              <w:rPr>
                <w:sz w:val="18"/>
                <w:szCs w:val="18"/>
              </w:rPr>
            </w:pPr>
            <w:r>
              <w:rPr>
                <w:sz w:val="18"/>
                <w:szCs w:val="18"/>
              </w:rPr>
              <w:t>27</w:t>
            </w:r>
          </w:p>
          <w:p w14:paraId="60F4AD44">
            <w:pPr>
              <w:widowControl/>
              <w:spacing w:line="256" w:lineRule="exact"/>
              <w:jc w:val="center"/>
              <w:textAlignment w:val="center"/>
              <w:rPr>
                <w:sz w:val="18"/>
                <w:szCs w:val="18"/>
              </w:rPr>
            </w:pPr>
            <w:r>
              <w:rPr>
                <w:sz w:val="18"/>
                <w:szCs w:val="18"/>
              </w:rPr>
              <w:t>28</w:t>
            </w:r>
          </w:p>
          <w:p w14:paraId="26842F74">
            <w:pPr>
              <w:widowControl/>
              <w:spacing w:line="256" w:lineRule="exact"/>
              <w:jc w:val="center"/>
              <w:textAlignment w:val="center"/>
              <w:rPr>
                <w:sz w:val="18"/>
                <w:szCs w:val="18"/>
              </w:rPr>
            </w:pPr>
            <w:r>
              <w:rPr>
                <w:sz w:val="18"/>
                <w:szCs w:val="18"/>
              </w:rPr>
              <w:t>29</w:t>
            </w:r>
          </w:p>
          <w:p w14:paraId="222B0D85">
            <w:pPr>
              <w:widowControl/>
              <w:spacing w:line="256" w:lineRule="exact"/>
              <w:jc w:val="center"/>
              <w:textAlignment w:val="center"/>
              <w:rPr>
                <w:sz w:val="18"/>
                <w:szCs w:val="18"/>
              </w:rPr>
            </w:pPr>
            <w:r>
              <w:rPr>
                <w:sz w:val="18"/>
                <w:szCs w:val="18"/>
              </w:rPr>
              <w:t>30</w:t>
            </w:r>
          </w:p>
          <w:p w14:paraId="6187E768">
            <w:pPr>
              <w:widowControl/>
              <w:spacing w:line="256" w:lineRule="exact"/>
              <w:jc w:val="center"/>
              <w:textAlignment w:val="center"/>
              <w:rPr>
                <w:sz w:val="18"/>
                <w:szCs w:val="18"/>
              </w:rPr>
            </w:pPr>
            <w:r>
              <w:rPr>
                <w:sz w:val="18"/>
                <w:szCs w:val="18"/>
              </w:rPr>
              <w:t>31</w:t>
            </w:r>
          </w:p>
          <w:p w14:paraId="3A796734">
            <w:pPr>
              <w:widowControl/>
              <w:spacing w:line="256" w:lineRule="exact"/>
              <w:jc w:val="center"/>
              <w:textAlignment w:val="center"/>
              <w:rPr>
                <w:sz w:val="18"/>
                <w:szCs w:val="18"/>
              </w:rPr>
            </w:pPr>
            <w:r>
              <w:rPr>
                <w:sz w:val="18"/>
                <w:szCs w:val="18"/>
              </w:rPr>
              <w:t>32</w:t>
            </w:r>
          </w:p>
          <w:p w14:paraId="35004055">
            <w:pPr>
              <w:widowControl/>
              <w:spacing w:line="256" w:lineRule="exact"/>
              <w:jc w:val="center"/>
              <w:textAlignment w:val="center"/>
              <w:rPr>
                <w:sz w:val="18"/>
                <w:szCs w:val="18"/>
              </w:rPr>
            </w:pPr>
            <w:r>
              <w:rPr>
                <w:sz w:val="18"/>
                <w:szCs w:val="18"/>
              </w:rPr>
              <w:t>33</w:t>
            </w:r>
          </w:p>
          <w:p w14:paraId="70E1E1A9">
            <w:pPr>
              <w:widowControl/>
              <w:spacing w:line="256" w:lineRule="exact"/>
              <w:jc w:val="center"/>
              <w:textAlignment w:val="center"/>
              <w:rPr>
                <w:sz w:val="18"/>
                <w:szCs w:val="18"/>
              </w:rPr>
            </w:pPr>
            <w:r>
              <w:rPr>
                <w:sz w:val="18"/>
                <w:szCs w:val="18"/>
              </w:rPr>
              <w:t>34</w:t>
            </w:r>
          </w:p>
          <w:p w14:paraId="4746DB99">
            <w:pPr>
              <w:widowControl/>
              <w:spacing w:line="256" w:lineRule="exact"/>
              <w:jc w:val="center"/>
              <w:textAlignment w:val="center"/>
              <w:rPr>
                <w:sz w:val="18"/>
                <w:szCs w:val="18"/>
              </w:rPr>
            </w:pPr>
            <w:r>
              <w:rPr>
                <w:sz w:val="18"/>
                <w:szCs w:val="18"/>
              </w:rPr>
              <w:t>35</w:t>
            </w:r>
          </w:p>
          <w:p w14:paraId="6B0EBC60">
            <w:pPr>
              <w:widowControl/>
              <w:spacing w:line="256" w:lineRule="exact"/>
              <w:jc w:val="center"/>
              <w:textAlignment w:val="center"/>
              <w:rPr>
                <w:sz w:val="18"/>
                <w:szCs w:val="18"/>
              </w:rPr>
            </w:pPr>
            <w:r>
              <w:rPr>
                <w:sz w:val="18"/>
                <w:szCs w:val="18"/>
              </w:rPr>
              <w:t>36</w:t>
            </w:r>
          </w:p>
          <w:p w14:paraId="38826F1A">
            <w:pPr>
              <w:widowControl/>
              <w:spacing w:line="256" w:lineRule="exact"/>
              <w:jc w:val="center"/>
              <w:textAlignment w:val="center"/>
              <w:rPr>
                <w:sz w:val="18"/>
                <w:szCs w:val="18"/>
              </w:rPr>
            </w:pPr>
            <w:r>
              <w:rPr>
                <w:sz w:val="18"/>
                <w:szCs w:val="18"/>
              </w:rPr>
              <w:t>37</w:t>
            </w:r>
          </w:p>
          <w:p w14:paraId="521A989B">
            <w:pPr>
              <w:spacing w:line="256" w:lineRule="exact"/>
              <w:jc w:val="center"/>
              <w:textAlignment w:val="center"/>
              <w:rPr>
                <w:sz w:val="18"/>
                <w:szCs w:val="18"/>
              </w:rPr>
            </w:pPr>
            <w:r>
              <w:rPr>
                <w:sz w:val="18"/>
                <w:szCs w:val="18"/>
              </w:rPr>
              <w:t>38</w:t>
            </w:r>
          </w:p>
          <w:p w14:paraId="3A1D171B">
            <w:pPr>
              <w:spacing w:line="256" w:lineRule="exact"/>
              <w:jc w:val="center"/>
              <w:textAlignment w:val="center"/>
              <w:rPr>
                <w:sz w:val="18"/>
                <w:szCs w:val="18"/>
              </w:rPr>
            </w:pPr>
            <w:r>
              <w:rPr>
                <w:sz w:val="18"/>
                <w:szCs w:val="18"/>
              </w:rPr>
              <w:t>39</w:t>
            </w:r>
          </w:p>
          <w:p w14:paraId="453B702A">
            <w:pPr>
              <w:spacing w:line="256" w:lineRule="exact"/>
              <w:jc w:val="center"/>
              <w:textAlignment w:val="center"/>
              <w:rPr>
                <w:sz w:val="18"/>
                <w:szCs w:val="18"/>
              </w:rPr>
            </w:pPr>
            <w:r>
              <w:rPr>
                <w:sz w:val="18"/>
                <w:szCs w:val="18"/>
              </w:rPr>
              <w:t>40</w:t>
            </w:r>
          </w:p>
        </w:tc>
        <w:tc>
          <w:tcPr>
            <w:tcW w:w="692" w:type="dxa"/>
            <w:gridSpan w:val="8"/>
            <w:tcBorders>
              <w:top w:val="single" w:color="auto" w:sz="2" w:space="0"/>
              <w:left w:val="single" w:color="auto" w:sz="2" w:space="0"/>
              <w:bottom w:val="single" w:color="auto" w:sz="8" w:space="0"/>
              <w:right w:val="nil"/>
            </w:tcBorders>
          </w:tcPr>
          <w:p w14:paraId="4A3FCBD7">
            <w:pPr>
              <w:spacing w:line="260" w:lineRule="exact"/>
              <w:rPr>
                <w:sz w:val="18"/>
                <w:szCs w:val="18"/>
              </w:rPr>
            </w:pPr>
          </w:p>
        </w:tc>
      </w:tr>
    </w:tbl>
    <w:p w14:paraId="7E9730C4">
      <w:pPr>
        <w:snapToGrid w:val="0"/>
        <w:ind w:left="-105" w:leftChars="-50" w:right="-105" w:rightChars="-50" w:firstLine="104" w:firstLineChars="58"/>
        <w:rPr>
          <w:sz w:val="18"/>
          <w:szCs w:val="18"/>
        </w:rPr>
      </w:pPr>
    </w:p>
    <w:p w14:paraId="6006319A">
      <w:pPr>
        <w:snapToGrid w:val="0"/>
        <w:ind w:left="-105" w:leftChars="-50" w:right="-105" w:rightChars="-50" w:firstLine="104" w:firstLineChars="58"/>
        <w:rPr>
          <w:sz w:val="18"/>
          <w:szCs w:val="18"/>
        </w:rPr>
      </w:pPr>
      <w:r>
        <w:rPr>
          <w:sz w:val="18"/>
          <w:szCs w:val="18"/>
        </w:rPr>
        <w:t>续表一</w:t>
      </w:r>
    </w:p>
    <w:tbl>
      <w:tblPr>
        <w:tblStyle w:val="20"/>
        <w:tblW w:w="9418"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79"/>
        <w:gridCol w:w="879"/>
        <w:gridCol w:w="880"/>
        <w:gridCol w:w="960"/>
        <w:gridCol w:w="960"/>
        <w:gridCol w:w="960"/>
        <w:gridCol w:w="960"/>
        <w:gridCol w:w="1155"/>
        <w:gridCol w:w="873"/>
        <w:gridCol w:w="912"/>
      </w:tblGrid>
      <w:tr w14:paraId="0D0B94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9" w:type="dxa"/>
            <w:vAlign w:val="center"/>
          </w:tcPr>
          <w:p w14:paraId="25BD660F">
            <w:pPr>
              <w:spacing w:line="240" w:lineRule="exact"/>
              <w:ind w:left="-105" w:leftChars="-50" w:right="-105" w:rightChars="-50"/>
              <w:jc w:val="center"/>
              <w:rPr>
                <w:sz w:val="18"/>
                <w:szCs w:val="18"/>
              </w:rPr>
            </w:pPr>
            <w:r>
              <w:rPr>
                <w:sz w:val="18"/>
                <w:szCs w:val="18"/>
              </w:rPr>
              <w:t>煤制品  (万吨)</w:t>
            </w:r>
          </w:p>
        </w:tc>
        <w:tc>
          <w:tcPr>
            <w:tcW w:w="879" w:type="dxa"/>
            <w:vAlign w:val="center"/>
          </w:tcPr>
          <w:p w14:paraId="7027EE31">
            <w:pPr>
              <w:spacing w:line="240" w:lineRule="exact"/>
              <w:ind w:left="-105" w:leftChars="-50" w:right="-105" w:rightChars="-50"/>
              <w:jc w:val="center"/>
              <w:rPr>
                <w:sz w:val="18"/>
                <w:szCs w:val="18"/>
              </w:rPr>
            </w:pPr>
            <w:r>
              <w:rPr>
                <w:sz w:val="18"/>
                <w:szCs w:val="18"/>
              </w:rPr>
              <w:t>煤矸石            (万吨)</w:t>
            </w:r>
          </w:p>
        </w:tc>
        <w:tc>
          <w:tcPr>
            <w:tcW w:w="880" w:type="dxa"/>
            <w:vAlign w:val="center"/>
          </w:tcPr>
          <w:p w14:paraId="4E0F0553">
            <w:pPr>
              <w:spacing w:line="240" w:lineRule="exact"/>
              <w:ind w:left="-105" w:leftChars="-50" w:right="-105" w:rightChars="-50"/>
              <w:jc w:val="center"/>
              <w:rPr>
                <w:sz w:val="18"/>
                <w:szCs w:val="18"/>
              </w:rPr>
            </w:pPr>
            <w:r>
              <w:rPr>
                <w:sz w:val="18"/>
                <w:szCs w:val="18"/>
              </w:rPr>
              <w:t>焦  炭           (万吨)</w:t>
            </w:r>
          </w:p>
        </w:tc>
        <w:tc>
          <w:tcPr>
            <w:tcW w:w="960" w:type="dxa"/>
            <w:vAlign w:val="center"/>
          </w:tcPr>
          <w:p w14:paraId="36538360">
            <w:pPr>
              <w:spacing w:line="240" w:lineRule="exact"/>
              <w:ind w:left="-105" w:leftChars="-50" w:right="-105" w:rightChars="-50"/>
              <w:jc w:val="center"/>
              <w:rPr>
                <w:sz w:val="18"/>
                <w:szCs w:val="18"/>
              </w:rPr>
            </w:pPr>
            <w:r>
              <w:rPr>
                <w:sz w:val="18"/>
                <w:szCs w:val="18"/>
              </w:rPr>
              <w:t xml:space="preserve">焦炉煤气 </w:t>
            </w:r>
          </w:p>
          <w:p w14:paraId="2F347117">
            <w:pPr>
              <w:spacing w:line="240" w:lineRule="exact"/>
              <w:ind w:left="-105" w:leftChars="-50" w:right="-105" w:rightChars="-50"/>
              <w:jc w:val="center"/>
              <w:rPr>
                <w:sz w:val="18"/>
                <w:szCs w:val="18"/>
              </w:rPr>
            </w:pPr>
            <w:r>
              <w:rPr>
                <w:sz w:val="18"/>
                <w:szCs w:val="18"/>
              </w:rPr>
              <w:t>(亿立方米)</w:t>
            </w:r>
          </w:p>
        </w:tc>
        <w:tc>
          <w:tcPr>
            <w:tcW w:w="960" w:type="dxa"/>
            <w:vAlign w:val="center"/>
          </w:tcPr>
          <w:p w14:paraId="2230F2F4">
            <w:pPr>
              <w:spacing w:line="240" w:lineRule="exact"/>
              <w:ind w:left="-105" w:leftChars="-50" w:right="-105" w:rightChars="-50"/>
              <w:jc w:val="center"/>
              <w:rPr>
                <w:sz w:val="18"/>
                <w:szCs w:val="18"/>
              </w:rPr>
            </w:pPr>
            <w:r>
              <w:rPr>
                <w:sz w:val="18"/>
                <w:szCs w:val="18"/>
              </w:rPr>
              <w:t>高炉煤气(亿立方米)</w:t>
            </w:r>
          </w:p>
        </w:tc>
        <w:tc>
          <w:tcPr>
            <w:tcW w:w="960" w:type="dxa"/>
            <w:vAlign w:val="center"/>
          </w:tcPr>
          <w:p w14:paraId="6F497C42">
            <w:pPr>
              <w:spacing w:line="240" w:lineRule="exact"/>
              <w:ind w:left="-105" w:leftChars="-50" w:right="-105" w:rightChars="-50"/>
              <w:jc w:val="center"/>
              <w:rPr>
                <w:sz w:val="18"/>
                <w:szCs w:val="18"/>
              </w:rPr>
            </w:pPr>
            <w:r>
              <w:rPr>
                <w:sz w:val="18"/>
                <w:szCs w:val="18"/>
              </w:rPr>
              <w:t>转炉煤气(亿立方米)</w:t>
            </w:r>
          </w:p>
        </w:tc>
        <w:tc>
          <w:tcPr>
            <w:tcW w:w="960" w:type="dxa"/>
            <w:vAlign w:val="center"/>
          </w:tcPr>
          <w:p w14:paraId="1D2928D6">
            <w:pPr>
              <w:spacing w:line="240" w:lineRule="exact"/>
              <w:ind w:left="-105" w:leftChars="-50" w:right="-105" w:rightChars="-50"/>
              <w:jc w:val="center"/>
              <w:rPr>
                <w:sz w:val="18"/>
                <w:szCs w:val="18"/>
              </w:rPr>
            </w:pPr>
            <w:r>
              <w:rPr>
                <w:sz w:val="18"/>
                <w:szCs w:val="18"/>
              </w:rPr>
              <w:t>其他煤气(亿立方米)</w:t>
            </w:r>
          </w:p>
        </w:tc>
        <w:tc>
          <w:tcPr>
            <w:tcW w:w="1155" w:type="dxa"/>
            <w:vAlign w:val="center"/>
          </w:tcPr>
          <w:p w14:paraId="5BCAADF1">
            <w:pPr>
              <w:spacing w:line="240" w:lineRule="exact"/>
              <w:ind w:left="-105" w:leftChars="-50" w:right="-105" w:rightChars="-50"/>
              <w:jc w:val="center"/>
              <w:rPr>
                <w:sz w:val="18"/>
                <w:szCs w:val="18"/>
              </w:rPr>
            </w:pPr>
            <w:r>
              <w:rPr>
                <w:sz w:val="18"/>
                <w:szCs w:val="18"/>
              </w:rPr>
              <w:t>其他焦化产品        (万吨)</w:t>
            </w:r>
          </w:p>
        </w:tc>
        <w:tc>
          <w:tcPr>
            <w:tcW w:w="873" w:type="dxa"/>
            <w:vAlign w:val="center"/>
          </w:tcPr>
          <w:p w14:paraId="775B9524">
            <w:pPr>
              <w:spacing w:line="240" w:lineRule="exact"/>
              <w:ind w:left="-105" w:leftChars="-50" w:right="-105" w:rightChars="-50"/>
              <w:jc w:val="center"/>
              <w:rPr>
                <w:sz w:val="18"/>
                <w:szCs w:val="18"/>
              </w:rPr>
            </w:pPr>
            <w:r>
              <w:rPr>
                <w:sz w:val="18"/>
                <w:szCs w:val="18"/>
              </w:rPr>
              <w:t>油品合计(万吨)</w:t>
            </w:r>
          </w:p>
        </w:tc>
        <w:tc>
          <w:tcPr>
            <w:tcW w:w="912" w:type="dxa"/>
            <w:vAlign w:val="center"/>
          </w:tcPr>
          <w:p w14:paraId="61C05E22">
            <w:pPr>
              <w:spacing w:line="240" w:lineRule="exact"/>
              <w:ind w:left="-105" w:leftChars="-50" w:right="-105" w:rightChars="-50"/>
              <w:jc w:val="center"/>
              <w:rPr>
                <w:sz w:val="18"/>
                <w:szCs w:val="18"/>
              </w:rPr>
            </w:pPr>
            <w:r>
              <w:rPr>
                <w:sz w:val="18"/>
                <w:szCs w:val="18"/>
              </w:rPr>
              <w:t>原  油           (万吨)</w:t>
            </w:r>
          </w:p>
        </w:tc>
      </w:tr>
      <w:tr w14:paraId="0B1DAE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atLeast"/>
          <w:jc w:val="center"/>
        </w:trPr>
        <w:tc>
          <w:tcPr>
            <w:tcW w:w="879" w:type="dxa"/>
            <w:vAlign w:val="center"/>
          </w:tcPr>
          <w:p w14:paraId="64F84DBB">
            <w:pPr>
              <w:spacing w:line="240" w:lineRule="atLeast"/>
              <w:ind w:left="-105" w:leftChars="-50" w:right="-105" w:rightChars="-50"/>
              <w:jc w:val="center"/>
              <w:textAlignment w:val="center"/>
              <w:rPr>
                <w:sz w:val="18"/>
                <w:szCs w:val="18"/>
              </w:rPr>
            </w:pPr>
            <w:r>
              <w:rPr>
                <w:sz w:val="18"/>
                <w:szCs w:val="18"/>
              </w:rPr>
              <w:t>9</w:t>
            </w:r>
          </w:p>
        </w:tc>
        <w:tc>
          <w:tcPr>
            <w:tcW w:w="879" w:type="dxa"/>
            <w:vAlign w:val="center"/>
          </w:tcPr>
          <w:p w14:paraId="7643D1A2">
            <w:pPr>
              <w:spacing w:line="240" w:lineRule="atLeast"/>
              <w:ind w:left="-105" w:leftChars="-50" w:right="-105" w:rightChars="-50"/>
              <w:jc w:val="center"/>
              <w:textAlignment w:val="center"/>
              <w:rPr>
                <w:sz w:val="18"/>
                <w:szCs w:val="18"/>
              </w:rPr>
            </w:pPr>
            <w:r>
              <w:rPr>
                <w:sz w:val="18"/>
                <w:szCs w:val="18"/>
              </w:rPr>
              <w:t>10</w:t>
            </w:r>
          </w:p>
        </w:tc>
        <w:tc>
          <w:tcPr>
            <w:tcW w:w="880" w:type="dxa"/>
            <w:vAlign w:val="center"/>
          </w:tcPr>
          <w:p w14:paraId="2AF3BD14">
            <w:pPr>
              <w:spacing w:line="240" w:lineRule="atLeast"/>
              <w:ind w:left="-105" w:leftChars="-50" w:right="-105" w:rightChars="-50"/>
              <w:jc w:val="center"/>
              <w:textAlignment w:val="center"/>
              <w:rPr>
                <w:sz w:val="18"/>
                <w:szCs w:val="18"/>
              </w:rPr>
            </w:pPr>
            <w:r>
              <w:rPr>
                <w:sz w:val="18"/>
                <w:szCs w:val="18"/>
              </w:rPr>
              <w:t>11</w:t>
            </w:r>
          </w:p>
        </w:tc>
        <w:tc>
          <w:tcPr>
            <w:tcW w:w="960" w:type="dxa"/>
            <w:vAlign w:val="center"/>
          </w:tcPr>
          <w:p w14:paraId="2ACC356E">
            <w:pPr>
              <w:spacing w:line="240" w:lineRule="atLeast"/>
              <w:ind w:left="-105" w:leftChars="-50" w:right="-105" w:rightChars="-50"/>
              <w:jc w:val="center"/>
              <w:textAlignment w:val="center"/>
              <w:rPr>
                <w:sz w:val="18"/>
                <w:szCs w:val="18"/>
              </w:rPr>
            </w:pPr>
            <w:r>
              <w:rPr>
                <w:sz w:val="18"/>
                <w:szCs w:val="18"/>
              </w:rPr>
              <w:t>12</w:t>
            </w:r>
          </w:p>
        </w:tc>
        <w:tc>
          <w:tcPr>
            <w:tcW w:w="960" w:type="dxa"/>
            <w:vAlign w:val="center"/>
          </w:tcPr>
          <w:p w14:paraId="46B9A6C6">
            <w:pPr>
              <w:spacing w:line="240" w:lineRule="atLeast"/>
              <w:ind w:left="-105" w:leftChars="-50" w:right="-105" w:rightChars="-50"/>
              <w:jc w:val="center"/>
              <w:textAlignment w:val="center"/>
              <w:rPr>
                <w:sz w:val="18"/>
                <w:szCs w:val="18"/>
              </w:rPr>
            </w:pPr>
            <w:r>
              <w:rPr>
                <w:sz w:val="18"/>
                <w:szCs w:val="18"/>
              </w:rPr>
              <w:t>13</w:t>
            </w:r>
          </w:p>
        </w:tc>
        <w:tc>
          <w:tcPr>
            <w:tcW w:w="960" w:type="dxa"/>
            <w:vAlign w:val="center"/>
          </w:tcPr>
          <w:p w14:paraId="344DA777">
            <w:pPr>
              <w:spacing w:line="240" w:lineRule="atLeast"/>
              <w:ind w:left="-105" w:leftChars="-50" w:right="-105" w:rightChars="-50"/>
              <w:jc w:val="center"/>
              <w:textAlignment w:val="center"/>
              <w:rPr>
                <w:sz w:val="18"/>
                <w:szCs w:val="18"/>
              </w:rPr>
            </w:pPr>
            <w:r>
              <w:rPr>
                <w:sz w:val="18"/>
                <w:szCs w:val="18"/>
              </w:rPr>
              <w:t>14</w:t>
            </w:r>
          </w:p>
        </w:tc>
        <w:tc>
          <w:tcPr>
            <w:tcW w:w="960" w:type="dxa"/>
            <w:vAlign w:val="center"/>
          </w:tcPr>
          <w:p w14:paraId="7769C9F8">
            <w:pPr>
              <w:spacing w:line="240" w:lineRule="atLeast"/>
              <w:ind w:left="-105" w:leftChars="-50" w:right="-105" w:rightChars="-50"/>
              <w:jc w:val="center"/>
              <w:textAlignment w:val="center"/>
              <w:rPr>
                <w:sz w:val="18"/>
                <w:szCs w:val="18"/>
              </w:rPr>
            </w:pPr>
            <w:r>
              <w:rPr>
                <w:sz w:val="18"/>
                <w:szCs w:val="18"/>
              </w:rPr>
              <w:t>15</w:t>
            </w:r>
          </w:p>
        </w:tc>
        <w:tc>
          <w:tcPr>
            <w:tcW w:w="1155" w:type="dxa"/>
            <w:vAlign w:val="center"/>
          </w:tcPr>
          <w:p w14:paraId="49CBC713">
            <w:pPr>
              <w:spacing w:line="240" w:lineRule="atLeast"/>
              <w:ind w:left="-105" w:leftChars="-50" w:right="-105" w:rightChars="-50"/>
              <w:jc w:val="center"/>
              <w:textAlignment w:val="center"/>
              <w:rPr>
                <w:sz w:val="18"/>
                <w:szCs w:val="18"/>
              </w:rPr>
            </w:pPr>
            <w:r>
              <w:rPr>
                <w:sz w:val="18"/>
                <w:szCs w:val="18"/>
              </w:rPr>
              <w:t>16</w:t>
            </w:r>
          </w:p>
        </w:tc>
        <w:tc>
          <w:tcPr>
            <w:tcW w:w="873" w:type="dxa"/>
            <w:vAlign w:val="center"/>
          </w:tcPr>
          <w:p w14:paraId="55432370">
            <w:pPr>
              <w:spacing w:line="240" w:lineRule="atLeast"/>
              <w:ind w:left="-105" w:leftChars="-50" w:right="-105" w:rightChars="-50"/>
              <w:jc w:val="center"/>
              <w:textAlignment w:val="center"/>
              <w:rPr>
                <w:sz w:val="18"/>
                <w:szCs w:val="18"/>
              </w:rPr>
            </w:pPr>
            <w:r>
              <w:rPr>
                <w:sz w:val="18"/>
                <w:szCs w:val="18"/>
              </w:rPr>
              <w:t>17</w:t>
            </w:r>
          </w:p>
        </w:tc>
        <w:tc>
          <w:tcPr>
            <w:tcW w:w="912" w:type="dxa"/>
            <w:vAlign w:val="center"/>
          </w:tcPr>
          <w:p w14:paraId="664D93F5">
            <w:pPr>
              <w:spacing w:line="240" w:lineRule="atLeast"/>
              <w:ind w:left="-105" w:leftChars="-50" w:right="-105" w:rightChars="-50"/>
              <w:jc w:val="center"/>
              <w:textAlignment w:val="center"/>
              <w:rPr>
                <w:sz w:val="18"/>
                <w:szCs w:val="18"/>
              </w:rPr>
            </w:pPr>
            <w:r>
              <w:rPr>
                <w:sz w:val="18"/>
                <w:szCs w:val="18"/>
              </w:rPr>
              <w:t>18</w:t>
            </w:r>
          </w:p>
        </w:tc>
      </w:tr>
      <w:tr w14:paraId="55044D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9418" w:type="dxa"/>
            <w:gridSpan w:val="10"/>
            <w:vAlign w:val="center"/>
          </w:tcPr>
          <w:p w14:paraId="5FC80CE8">
            <w:pPr>
              <w:spacing w:line="240" w:lineRule="exact"/>
              <w:ind w:left="-105" w:leftChars="-50" w:right="-105" w:rightChars="-50"/>
              <w:jc w:val="center"/>
              <w:rPr>
                <w:sz w:val="18"/>
                <w:szCs w:val="18"/>
              </w:rPr>
            </w:pPr>
          </w:p>
        </w:tc>
      </w:tr>
    </w:tbl>
    <w:p w14:paraId="5FCB7582">
      <w:pPr>
        <w:snapToGrid w:val="0"/>
        <w:ind w:left="-105" w:leftChars="-50" w:right="-105" w:rightChars="-50" w:firstLine="104" w:firstLineChars="58"/>
        <w:rPr>
          <w:sz w:val="18"/>
          <w:szCs w:val="18"/>
        </w:rPr>
      </w:pPr>
    </w:p>
    <w:p w14:paraId="1C0987B7">
      <w:pPr>
        <w:snapToGrid w:val="0"/>
        <w:ind w:left="-105" w:leftChars="-50" w:right="-105" w:rightChars="-50" w:firstLine="104" w:firstLineChars="58"/>
        <w:rPr>
          <w:sz w:val="18"/>
          <w:szCs w:val="18"/>
        </w:rPr>
      </w:pPr>
      <w:r>
        <w:rPr>
          <w:sz w:val="18"/>
          <w:szCs w:val="18"/>
        </w:rPr>
        <w:t>续表二</w:t>
      </w:r>
    </w:p>
    <w:tbl>
      <w:tblPr>
        <w:tblStyle w:val="20"/>
        <w:tblW w:w="942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47"/>
        <w:gridCol w:w="848"/>
        <w:gridCol w:w="848"/>
        <w:gridCol w:w="848"/>
        <w:gridCol w:w="848"/>
        <w:gridCol w:w="848"/>
        <w:gridCol w:w="848"/>
        <w:gridCol w:w="848"/>
        <w:gridCol w:w="848"/>
        <w:gridCol w:w="848"/>
        <w:gridCol w:w="945"/>
      </w:tblGrid>
      <w:tr w14:paraId="0D793F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7" w:type="dxa"/>
            <w:vAlign w:val="center"/>
          </w:tcPr>
          <w:p w14:paraId="3AFB7639">
            <w:pPr>
              <w:spacing w:line="240" w:lineRule="exact"/>
              <w:ind w:left="-105" w:leftChars="-50" w:right="-105" w:rightChars="-50"/>
              <w:jc w:val="center"/>
              <w:rPr>
                <w:sz w:val="18"/>
                <w:szCs w:val="18"/>
              </w:rPr>
            </w:pPr>
            <w:r>
              <w:rPr>
                <w:sz w:val="18"/>
                <w:szCs w:val="18"/>
              </w:rPr>
              <w:t>汽  油       (万吨)</w:t>
            </w:r>
          </w:p>
        </w:tc>
        <w:tc>
          <w:tcPr>
            <w:tcW w:w="848" w:type="dxa"/>
            <w:vAlign w:val="center"/>
          </w:tcPr>
          <w:p w14:paraId="3AE79C8A">
            <w:pPr>
              <w:spacing w:line="240" w:lineRule="exact"/>
              <w:ind w:left="-105" w:leftChars="-50" w:right="-105" w:rightChars="-50"/>
              <w:jc w:val="center"/>
              <w:rPr>
                <w:sz w:val="18"/>
                <w:szCs w:val="18"/>
              </w:rPr>
            </w:pPr>
            <w:r>
              <w:rPr>
                <w:sz w:val="18"/>
                <w:szCs w:val="18"/>
              </w:rPr>
              <w:t>煤  油          (万吨)</w:t>
            </w:r>
          </w:p>
        </w:tc>
        <w:tc>
          <w:tcPr>
            <w:tcW w:w="848" w:type="dxa"/>
            <w:vAlign w:val="center"/>
          </w:tcPr>
          <w:p w14:paraId="46A29BD1">
            <w:pPr>
              <w:spacing w:line="240" w:lineRule="exact"/>
              <w:ind w:left="-105" w:leftChars="-50" w:right="-105" w:rightChars="-50"/>
              <w:jc w:val="center"/>
              <w:rPr>
                <w:sz w:val="18"/>
                <w:szCs w:val="18"/>
              </w:rPr>
            </w:pPr>
            <w:r>
              <w:rPr>
                <w:sz w:val="18"/>
                <w:szCs w:val="18"/>
              </w:rPr>
              <w:t>柴  油          (万吨)</w:t>
            </w:r>
          </w:p>
        </w:tc>
        <w:tc>
          <w:tcPr>
            <w:tcW w:w="848" w:type="dxa"/>
            <w:vAlign w:val="center"/>
          </w:tcPr>
          <w:p w14:paraId="520F3ACD">
            <w:pPr>
              <w:spacing w:line="240" w:lineRule="exact"/>
              <w:ind w:left="-105" w:leftChars="-50" w:right="-105" w:rightChars="-50"/>
              <w:jc w:val="center"/>
              <w:rPr>
                <w:sz w:val="18"/>
                <w:szCs w:val="18"/>
              </w:rPr>
            </w:pPr>
            <w:r>
              <w:rPr>
                <w:sz w:val="18"/>
                <w:szCs w:val="18"/>
              </w:rPr>
              <w:t>燃料油   (万吨)</w:t>
            </w:r>
          </w:p>
        </w:tc>
        <w:tc>
          <w:tcPr>
            <w:tcW w:w="848" w:type="dxa"/>
            <w:vAlign w:val="center"/>
          </w:tcPr>
          <w:p w14:paraId="6078CC42">
            <w:pPr>
              <w:spacing w:line="240" w:lineRule="exact"/>
              <w:ind w:left="-105" w:leftChars="-50" w:right="-105" w:rightChars="-50"/>
              <w:jc w:val="center"/>
              <w:rPr>
                <w:sz w:val="18"/>
                <w:szCs w:val="18"/>
              </w:rPr>
            </w:pPr>
            <w:r>
              <w:rPr>
                <w:sz w:val="18"/>
                <w:szCs w:val="18"/>
              </w:rPr>
              <w:t>石脑油  (万吨)</w:t>
            </w:r>
          </w:p>
        </w:tc>
        <w:tc>
          <w:tcPr>
            <w:tcW w:w="848" w:type="dxa"/>
            <w:vAlign w:val="center"/>
          </w:tcPr>
          <w:p w14:paraId="682AACBC">
            <w:pPr>
              <w:spacing w:line="240" w:lineRule="exact"/>
              <w:ind w:left="-105" w:leftChars="-50" w:right="-105" w:rightChars="-50"/>
              <w:jc w:val="center"/>
              <w:rPr>
                <w:sz w:val="18"/>
                <w:szCs w:val="18"/>
              </w:rPr>
            </w:pPr>
            <w:r>
              <w:rPr>
                <w:sz w:val="18"/>
                <w:szCs w:val="18"/>
              </w:rPr>
              <w:t>润滑油  (万吨)</w:t>
            </w:r>
          </w:p>
        </w:tc>
        <w:tc>
          <w:tcPr>
            <w:tcW w:w="848" w:type="dxa"/>
            <w:vAlign w:val="center"/>
          </w:tcPr>
          <w:p w14:paraId="79D1DE5F">
            <w:pPr>
              <w:spacing w:line="240" w:lineRule="exact"/>
              <w:ind w:left="-105" w:leftChars="-50" w:right="-105" w:rightChars="-50"/>
              <w:jc w:val="center"/>
              <w:rPr>
                <w:sz w:val="18"/>
                <w:szCs w:val="18"/>
              </w:rPr>
            </w:pPr>
            <w:r>
              <w:rPr>
                <w:sz w:val="18"/>
                <w:szCs w:val="18"/>
              </w:rPr>
              <w:t>石  蜡          (万吨)</w:t>
            </w:r>
          </w:p>
        </w:tc>
        <w:tc>
          <w:tcPr>
            <w:tcW w:w="848" w:type="dxa"/>
            <w:tcBorders>
              <w:top w:val="single" w:color="auto" w:sz="8" w:space="0"/>
              <w:bottom w:val="single" w:color="auto" w:sz="2" w:space="0"/>
              <w:right w:val="single" w:color="auto" w:sz="2" w:space="0"/>
            </w:tcBorders>
            <w:vAlign w:val="center"/>
          </w:tcPr>
          <w:p w14:paraId="04AA427F">
            <w:pPr>
              <w:spacing w:line="240" w:lineRule="exact"/>
              <w:ind w:left="-105" w:leftChars="-50" w:right="-105" w:rightChars="-50"/>
              <w:jc w:val="center"/>
              <w:rPr>
                <w:sz w:val="18"/>
                <w:szCs w:val="18"/>
              </w:rPr>
            </w:pPr>
            <w:r>
              <w:rPr>
                <w:sz w:val="18"/>
                <w:szCs w:val="18"/>
              </w:rPr>
              <w:t>溶剂油</w:t>
            </w:r>
          </w:p>
          <w:p w14:paraId="36E0D069">
            <w:pPr>
              <w:spacing w:line="240" w:lineRule="exact"/>
              <w:ind w:left="-105" w:leftChars="-50" w:right="-105" w:rightChars="-50"/>
              <w:jc w:val="center"/>
              <w:rPr>
                <w:sz w:val="18"/>
                <w:szCs w:val="18"/>
              </w:rPr>
            </w:pPr>
            <w:r>
              <w:rPr>
                <w:sz w:val="18"/>
                <w:szCs w:val="18"/>
              </w:rPr>
              <w:t>(万吨)</w:t>
            </w:r>
          </w:p>
        </w:tc>
        <w:tc>
          <w:tcPr>
            <w:tcW w:w="848" w:type="dxa"/>
            <w:tcBorders>
              <w:top w:val="single" w:color="auto" w:sz="8" w:space="0"/>
              <w:left w:val="single" w:color="auto" w:sz="2" w:space="0"/>
              <w:bottom w:val="single" w:color="auto" w:sz="2" w:space="0"/>
            </w:tcBorders>
            <w:vAlign w:val="center"/>
          </w:tcPr>
          <w:p w14:paraId="23FA844D">
            <w:pPr>
              <w:spacing w:line="240" w:lineRule="exact"/>
              <w:ind w:left="-94" w:leftChars="-45" w:right="-105" w:rightChars="-50"/>
              <w:jc w:val="center"/>
              <w:rPr>
                <w:sz w:val="18"/>
                <w:szCs w:val="18"/>
              </w:rPr>
            </w:pPr>
            <w:r>
              <w:rPr>
                <w:sz w:val="18"/>
                <w:szCs w:val="18"/>
              </w:rPr>
              <w:t>石油沥青 (万吨)</w:t>
            </w:r>
          </w:p>
        </w:tc>
        <w:tc>
          <w:tcPr>
            <w:tcW w:w="848" w:type="dxa"/>
            <w:vAlign w:val="center"/>
          </w:tcPr>
          <w:p w14:paraId="0DCF8AD7">
            <w:pPr>
              <w:spacing w:line="240" w:lineRule="exact"/>
              <w:ind w:left="-105" w:leftChars="-50" w:right="-105" w:rightChars="-50"/>
              <w:jc w:val="center"/>
              <w:rPr>
                <w:sz w:val="18"/>
                <w:szCs w:val="18"/>
              </w:rPr>
            </w:pPr>
            <w:r>
              <w:rPr>
                <w:sz w:val="18"/>
                <w:szCs w:val="18"/>
              </w:rPr>
              <w:t>石油焦  (万吨)</w:t>
            </w:r>
          </w:p>
        </w:tc>
        <w:tc>
          <w:tcPr>
            <w:tcW w:w="945" w:type="dxa"/>
            <w:vAlign w:val="center"/>
          </w:tcPr>
          <w:p w14:paraId="5B933BFD">
            <w:pPr>
              <w:spacing w:line="240" w:lineRule="exact"/>
              <w:ind w:left="-210" w:leftChars="-100" w:right="-210" w:rightChars="-100"/>
              <w:jc w:val="center"/>
              <w:rPr>
                <w:sz w:val="18"/>
                <w:szCs w:val="18"/>
              </w:rPr>
            </w:pPr>
            <w:r>
              <w:rPr>
                <w:sz w:val="18"/>
                <w:szCs w:val="18"/>
              </w:rPr>
              <w:t>液化石油气           (万吨)</w:t>
            </w:r>
          </w:p>
        </w:tc>
      </w:tr>
      <w:tr w14:paraId="59D68D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atLeast"/>
          <w:jc w:val="center"/>
        </w:trPr>
        <w:tc>
          <w:tcPr>
            <w:tcW w:w="847" w:type="dxa"/>
            <w:vAlign w:val="center"/>
          </w:tcPr>
          <w:p w14:paraId="33ECF50D">
            <w:pPr>
              <w:spacing w:line="240" w:lineRule="atLeast"/>
              <w:ind w:left="-105" w:leftChars="-50" w:right="-105" w:rightChars="-50"/>
              <w:jc w:val="center"/>
              <w:rPr>
                <w:sz w:val="18"/>
                <w:szCs w:val="18"/>
              </w:rPr>
            </w:pPr>
            <w:r>
              <w:rPr>
                <w:sz w:val="18"/>
                <w:szCs w:val="18"/>
              </w:rPr>
              <w:t>19</w:t>
            </w:r>
          </w:p>
        </w:tc>
        <w:tc>
          <w:tcPr>
            <w:tcW w:w="848" w:type="dxa"/>
            <w:vAlign w:val="center"/>
          </w:tcPr>
          <w:p w14:paraId="3BB9CE01">
            <w:pPr>
              <w:spacing w:line="240" w:lineRule="atLeast"/>
              <w:ind w:left="-105" w:leftChars="-50" w:right="-105" w:rightChars="-50"/>
              <w:jc w:val="center"/>
              <w:rPr>
                <w:sz w:val="18"/>
                <w:szCs w:val="18"/>
              </w:rPr>
            </w:pPr>
            <w:r>
              <w:rPr>
                <w:sz w:val="18"/>
                <w:szCs w:val="18"/>
              </w:rPr>
              <w:t>20</w:t>
            </w:r>
          </w:p>
        </w:tc>
        <w:tc>
          <w:tcPr>
            <w:tcW w:w="848" w:type="dxa"/>
            <w:vAlign w:val="center"/>
          </w:tcPr>
          <w:p w14:paraId="5222C98A">
            <w:pPr>
              <w:spacing w:line="240" w:lineRule="atLeast"/>
              <w:ind w:left="-105" w:leftChars="-50" w:right="-105" w:rightChars="-50"/>
              <w:jc w:val="center"/>
              <w:rPr>
                <w:sz w:val="18"/>
                <w:szCs w:val="18"/>
              </w:rPr>
            </w:pPr>
            <w:r>
              <w:rPr>
                <w:sz w:val="18"/>
                <w:szCs w:val="18"/>
              </w:rPr>
              <w:t>21</w:t>
            </w:r>
          </w:p>
        </w:tc>
        <w:tc>
          <w:tcPr>
            <w:tcW w:w="848" w:type="dxa"/>
            <w:vAlign w:val="center"/>
          </w:tcPr>
          <w:p w14:paraId="522CA220">
            <w:pPr>
              <w:spacing w:line="240" w:lineRule="atLeast"/>
              <w:ind w:left="-105" w:leftChars="-50" w:right="-105" w:rightChars="-50"/>
              <w:jc w:val="center"/>
              <w:rPr>
                <w:sz w:val="18"/>
                <w:szCs w:val="18"/>
              </w:rPr>
            </w:pPr>
            <w:r>
              <w:rPr>
                <w:sz w:val="18"/>
                <w:szCs w:val="18"/>
              </w:rPr>
              <w:t>22</w:t>
            </w:r>
          </w:p>
        </w:tc>
        <w:tc>
          <w:tcPr>
            <w:tcW w:w="848" w:type="dxa"/>
            <w:vAlign w:val="center"/>
          </w:tcPr>
          <w:p w14:paraId="1D6469F1">
            <w:pPr>
              <w:spacing w:line="240" w:lineRule="atLeast"/>
              <w:ind w:left="-105" w:leftChars="-50" w:right="-105" w:rightChars="-50"/>
              <w:jc w:val="center"/>
              <w:rPr>
                <w:sz w:val="18"/>
                <w:szCs w:val="18"/>
              </w:rPr>
            </w:pPr>
            <w:r>
              <w:rPr>
                <w:sz w:val="18"/>
                <w:szCs w:val="18"/>
              </w:rPr>
              <w:t>23</w:t>
            </w:r>
          </w:p>
        </w:tc>
        <w:tc>
          <w:tcPr>
            <w:tcW w:w="848" w:type="dxa"/>
            <w:vAlign w:val="center"/>
          </w:tcPr>
          <w:p w14:paraId="78037ADC">
            <w:pPr>
              <w:spacing w:line="240" w:lineRule="atLeast"/>
              <w:ind w:left="-105" w:leftChars="-50" w:right="-105" w:rightChars="-50"/>
              <w:jc w:val="center"/>
              <w:rPr>
                <w:sz w:val="18"/>
                <w:szCs w:val="18"/>
              </w:rPr>
            </w:pPr>
            <w:r>
              <w:rPr>
                <w:sz w:val="18"/>
                <w:szCs w:val="18"/>
              </w:rPr>
              <w:t>24</w:t>
            </w:r>
          </w:p>
        </w:tc>
        <w:tc>
          <w:tcPr>
            <w:tcW w:w="848" w:type="dxa"/>
            <w:vAlign w:val="center"/>
          </w:tcPr>
          <w:p w14:paraId="464E33E6">
            <w:pPr>
              <w:spacing w:line="240" w:lineRule="atLeast"/>
              <w:ind w:left="-105" w:leftChars="-50" w:right="-105" w:rightChars="-50"/>
              <w:jc w:val="center"/>
              <w:rPr>
                <w:sz w:val="18"/>
                <w:szCs w:val="18"/>
              </w:rPr>
            </w:pPr>
            <w:r>
              <w:rPr>
                <w:sz w:val="18"/>
                <w:szCs w:val="18"/>
              </w:rPr>
              <w:t>25</w:t>
            </w:r>
          </w:p>
        </w:tc>
        <w:tc>
          <w:tcPr>
            <w:tcW w:w="848" w:type="dxa"/>
            <w:tcBorders>
              <w:top w:val="single" w:color="auto" w:sz="2" w:space="0"/>
              <w:bottom w:val="single" w:color="auto" w:sz="2" w:space="0"/>
              <w:right w:val="single" w:color="auto" w:sz="2" w:space="0"/>
            </w:tcBorders>
            <w:vAlign w:val="center"/>
          </w:tcPr>
          <w:p w14:paraId="58EE31F7">
            <w:pPr>
              <w:spacing w:line="240" w:lineRule="atLeast"/>
              <w:ind w:left="-105" w:leftChars="-50" w:right="-105" w:rightChars="-50"/>
              <w:jc w:val="center"/>
              <w:rPr>
                <w:sz w:val="18"/>
                <w:szCs w:val="18"/>
              </w:rPr>
            </w:pPr>
            <w:r>
              <w:rPr>
                <w:sz w:val="18"/>
                <w:szCs w:val="18"/>
              </w:rPr>
              <w:t>26</w:t>
            </w:r>
          </w:p>
        </w:tc>
        <w:tc>
          <w:tcPr>
            <w:tcW w:w="848" w:type="dxa"/>
            <w:tcBorders>
              <w:top w:val="single" w:color="auto" w:sz="2" w:space="0"/>
              <w:left w:val="single" w:color="auto" w:sz="2" w:space="0"/>
              <w:bottom w:val="single" w:color="auto" w:sz="2" w:space="0"/>
            </w:tcBorders>
            <w:vAlign w:val="center"/>
          </w:tcPr>
          <w:p w14:paraId="4477AEE2">
            <w:pPr>
              <w:spacing w:line="240" w:lineRule="atLeast"/>
              <w:ind w:right="-105" w:rightChars="-50"/>
              <w:jc w:val="center"/>
              <w:rPr>
                <w:sz w:val="18"/>
                <w:szCs w:val="18"/>
              </w:rPr>
            </w:pPr>
            <w:r>
              <w:rPr>
                <w:sz w:val="18"/>
                <w:szCs w:val="18"/>
              </w:rPr>
              <w:t>27</w:t>
            </w:r>
          </w:p>
        </w:tc>
        <w:tc>
          <w:tcPr>
            <w:tcW w:w="848" w:type="dxa"/>
            <w:vAlign w:val="center"/>
          </w:tcPr>
          <w:p w14:paraId="67E64357">
            <w:pPr>
              <w:spacing w:line="240" w:lineRule="atLeast"/>
              <w:ind w:left="-105" w:leftChars="-50" w:right="-105" w:rightChars="-50"/>
              <w:jc w:val="center"/>
              <w:rPr>
                <w:sz w:val="18"/>
                <w:szCs w:val="18"/>
              </w:rPr>
            </w:pPr>
            <w:r>
              <w:rPr>
                <w:sz w:val="18"/>
                <w:szCs w:val="18"/>
              </w:rPr>
              <w:t>28</w:t>
            </w:r>
          </w:p>
        </w:tc>
        <w:tc>
          <w:tcPr>
            <w:tcW w:w="945" w:type="dxa"/>
            <w:vAlign w:val="center"/>
          </w:tcPr>
          <w:p w14:paraId="447FAAC3">
            <w:pPr>
              <w:spacing w:line="240" w:lineRule="atLeast"/>
              <w:ind w:left="-210" w:leftChars="-100" w:right="-210" w:rightChars="-100"/>
              <w:jc w:val="center"/>
              <w:rPr>
                <w:sz w:val="18"/>
                <w:szCs w:val="18"/>
              </w:rPr>
            </w:pPr>
            <w:r>
              <w:rPr>
                <w:sz w:val="18"/>
                <w:szCs w:val="18"/>
              </w:rPr>
              <w:t>29</w:t>
            </w:r>
          </w:p>
        </w:tc>
      </w:tr>
      <w:tr w14:paraId="717D00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9424" w:type="dxa"/>
            <w:gridSpan w:val="11"/>
            <w:vAlign w:val="center"/>
          </w:tcPr>
          <w:p w14:paraId="573D1991">
            <w:pPr>
              <w:spacing w:line="240" w:lineRule="exact"/>
              <w:ind w:left="-210" w:leftChars="-100" w:right="-210" w:rightChars="-100"/>
              <w:jc w:val="center"/>
              <w:rPr>
                <w:sz w:val="18"/>
                <w:szCs w:val="18"/>
              </w:rPr>
            </w:pPr>
          </w:p>
        </w:tc>
      </w:tr>
    </w:tbl>
    <w:p w14:paraId="5C1F3EF0">
      <w:pPr>
        <w:snapToGrid w:val="0"/>
        <w:ind w:left="-105" w:leftChars="-50" w:right="-105" w:rightChars="-50" w:firstLine="104" w:firstLineChars="58"/>
        <w:rPr>
          <w:sz w:val="18"/>
          <w:szCs w:val="18"/>
        </w:rPr>
      </w:pPr>
    </w:p>
    <w:p w14:paraId="0A0D4D50">
      <w:pPr>
        <w:snapToGrid w:val="0"/>
        <w:ind w:left="-105" w:leftChars="-50" w:right="-105" w:rightChars="-50" w:firstLine="104" w:firstLineChars="58"/>
        <w:rPr>
          <w:sz w:val="18"/>
          <w:szCs w:val="18"/>
        </w:rPr>
      </w:pPr>
      <w:r>
        <w:rPr>
          <w:sz w:val="18"/>
          <w:szCs w:val="18"/>
        </w:rPr>
        <w:t>续表三</w:t>
      </w:r>
    </w:p>
    <w:tbl>
      <w:tblPr>
        <w:tblStyle w:val="20"/>
        <w:tblW w:w="9449"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Change w:id="234" w:author="kylin" w:date="2025-10-17T16:45:26Z">
          <w:tblPr>
            <w:tblStyle w:val="20"/>
            <w:tblW w:w="9449"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PrChange>
      </w:tblPr>
      <w:tblGrid>
        <w:gridCol w:w="753"/>
        <w:gridCol w:w="1159"/>
        <w:gridCol w:w="954"/>
        <w:gridCol w:w="927"/>
        <w:gridCol w:w="900"/>
        <w:gridCol w:w="661"/>
        <w:gridCol w:w="103"/>
        <w:gridCol w:w="947"/>
        <w:gridCol w:w="1113"/>
        <w:gridCol w:w="966"/>
        <w:gridCol w:w="966"/>
        <w:tblGridChange w:id="235">
          <w:tblGrid>
            <w:gridCol w:w="753"/>
            <w:gridCol w:w="1260"/>
            <w:gridCol w:w="945"/>
            <w:gridCol w:w="945"/>
            <w:gridCol w:w="724"/>
            <w:gridCol w:w="727"/>
            <w:gridCol w:w="1050"/>
            <w:gridCol w:w="1113"/>
            <w:gridCol w:w="966"/>
            <w:gridCol w:w="966"/>
          </w:tblGrid>
        </w:tblGridChange>
      </w:tblGrid>
      <w:tr w14:paraId="0FE536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236" w:author="kylin" w:date="2025-10-17T16:45:26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567" w:hRule="atLeast"/>
          <w:jc w:val="center"/>
          <w:trPrChange w:id="236" w:author="kylin" w:date="2025-10-17T16:45:26Z">
            <w:trPr>
              <w:jc w:val="center"/>
            </w:trPr>
          </w:trPrChange>
        </w:trPr>
        <w:tc>
          <w:tcPr>
            <w:tcW w:w="753" w:type="dxa"/>
            <w:tcBorders>
              <w:tl2br w:val="nil"/>
              <w:tr2bl w:val="nil"/>
            </w:tcBorders>
            <w:vAlign w:val="center"/>
            <w:tcPrChange w:id="237" w:author="kylin" w:date="2025-10-17T16:45:26Z">
              <w:tcPr>
                <w:tcW w:w="753" w:type="dxa"/>
                <w:tcBorders>
                  <w:tl2br w:val="nil"/>
                  <w:tr2bl w:val="nil"/>
                </w:tcBorders>
                <w:vAlign w:val="center"/>
              </w:tcPr>
            </w:tcPrChange>
          </w:tcPr>
          <w:p w14:paraId="70792296">
            <w:pPr>
              <w:spacing w:line="240" w:lineRule="exact"/>
              <w:ind w:left="-105" w:leftChars="-50" w:right="-105" w:rightChars="-50"/>
              <w:jc w:val="center"/>
              <w:rPr>
                <w:sz w:val="18"/>
                <w:szCs w:val="18"/>
              </w:rPr>
            </w:pPr>
            <w:r>
              <w:rPr>
                <w:sz w:val="18"/>
                <w:szCs w:val="18"/>
              </w:rPr>
              <w:t>炼厂干气          (万吨)</w:t>
            </w:r>
          </w:p>
        </w:tc>
        <w:tc>
          <w:tcPr>
            <w:tcW w:w="1159" w:type="dxa"/>
            <w:tcBorders>
              <w:tl2br w:val="nil"/>
              <w:tr2bl w:val="nil"/>
            </w:tcBorders>
            <w:vAlign w:val="center"/>
            <w:tcPrChange w:id="238" w:author="kylin" w:date="2025-10-17T16:45:26Z">
              <w:tcPr>
                <w:tcW w:w="1260" w:type="dxa"/>
                <w:tcBorders>
                  <w:tl2br w:val="nil"/>
                  <w:tr2bl w:val="nil"/>
                </w:tcBorders>
                <w:vAlign w:val="center"/>
              </w:tcPr>
            </w:tcPrChange>
          </w:tcPr>
          <w:p w14:paraId="6618A668">
            <w:pPr>
              <w:spacing w:line="240" w:lineRule="exact"/>
              <w:ind w:left="-210" w:leftChars="-100" w:right="-210" w:rightChars="-100"/>
              <w:jc w:val="center"/>
              <w:rPr>
                <w:sz w:val="18"/>
                <w:szCs w:val="18"/>
              </w:rPr>
            </w:pPr>
            <w:r>
              <w:rPr>
                <w:sz w:val="18"/>
                <w:szCs w:val="18"/>
              </w:rPr>
              <w:t>其他石油制品</w:t>
            </w:r>
          </w:p>
          <w:p w14:paraId="6EB30CC2">
            <w:pPr>
              <w:spacing w:line="240" w:lineRule="exact"/>
              <w:ind w:left="-210" w:leftChars="-100" w:right="-210" w:rightChars="-100"/>
              <w:jc w:val="center"/>
              <w:rPr>
                <w:sz w:val="18"/>
                <w:szCs w:val="18"/>
              </w:rPr>
            </w:pPr>
            <w:r>
              <w:rPr>
                <w:sz w:val="18"/>
                <w:szCs w:val="18"/>
              </w:rPr>
              <w:t>(万吨)</w:t>
            </w:r>
          </w:p>
        </w:tc>
        <w:tc>
          <w:tcPr>
            <w:tcW w:w="954" w:type="dxa"/>
            <w:tcBorders>
              <w:tl2br w:val="nil"/>
              <w:tr2bl w:val="nil"/>
            </w:tcBorders>
            <w:vAlign w:val="center"/>
            <w:tcPrChange w:id="239" w:author="kylin" w:date="2025-10-17T16:45:26Z">
              <w:tcPr>
                <w:tcW w:w="945" w:type="dxa"/>
                <w:tcBorders>
                  <w:tl2br w:val="nil"/>
                  <w:tr2bl w:val="nil"/>
                </w:tcBorders>
                <w:vAlign w:val="center"/>
              </w:tcPr>
            </w:tcPrChange>
          </w:tcPr>
          <w:p w14:paraId="497AFF8F">
            <w:pPr>
              <w:spacing w:line="240" w:lineRule="exact"/>
              <w:ind w:left="-105" w:leftChars="-50" w:right="-105" w:rightChars="-50"/>
              <w:jc w:val="center"/>
              <w:rPr>
                <w:sz w:val="18"/>
                <w:szCs w:val="18"/>
              </w:rPr>
            </w:pPr>
            <w:r>
              <w:rPr>
                <w:sz w:val="18"/>
                <w:szCs w:val="18"/>
              </w:rPr>
              <w:t>天然气</w:t>
            </w:r>
          </w:p>
          <w:p w14:paraId="22BDDFEE">
            <w:pPr>
              <w:spacing w:line="240" w:lineRule="exact"/>
              <w:ind w:left="-105" w:leftChars="-50" w:right="-105" w:rightChars="-50"/>
              <w:jc w:val="center"/>
              <w:rPr>
                <w:sz w:val="18"/>
                <w:szCs w:val="18"/>
              </w:rPr>
            </w:pPr>
            <w:r>
              <w:rPr>
                <w:sz w:val="18"/>
                <w:szCs w:val="18"/>
              </w:rPr>
              <w:t>(亿立方米)</w:t>
            </w:r>
          </w:p>
        </w:tc>
        <w:tc>
          <w:tcPr>
            <w:tcW w:w="927" w:type="dxa"/>
            <w:tcBorders>
              <w:tl2br w:val="nil"/>
              <w:tr2bl w:val="nil"/>
            </w:tcBorders>
            <w:vAlign w:val="center"/>
            <w:tcPrChange w:id="240" w:author="kylin" w:date="2025-10-17T16:45:26Z">
              <w:tcPr>
                <w:tcW w:w="945" w:type="dxa"/>
                <w:tcBorders>
                  <w:tl2br w:val="nil"/>
                  <w:tr2bl w:val="nil"/>
                </w:tcBorders>
                <w:vAlign w:val="center"/>
              </w:tcPr>
            </w:tcPrChange>
          </w:tcPr>
          <w:p w14:paraId="7F195E21">
            <w:pPr>
              <w:spacing w:line="240" w:lineRule="exact"/>
              <w:ind w:left="-105" w:leftChars="-50" w:right="-105" w:rightChars="-50"/>
              <w:jc w:val="center"/>
              <w:rPr>
                <w:sz w:val="18"/>
                <w:szCs w:val="18"/>
              </w:rPr>
            </w:pPr>
            <w:r>
              <w:rPr>
                <w:sz w:val="18"/>
                <w:szCs w:val="18"/>
              </w:rPr>
              <w:t>液化天然气  (万吨)</w:t>
            </w:r>
          </w:p>
        </w:tc>
        <w:tc>
          <w:tcPr>
            <w:tcW w:w="900" w:type="dxa"/>
            <w:tcBorders>
              <w:tl2br w:val="nil"/>
              <w:tr2bl w:val="nil"/>
            </w:tcBorders>
            <w:vAlign w:val="center"/>
            <w:tcPrChange w:id="241" w:author="kylin" w:date="2025-10-17T16:45:26Z">
              <w:tcPr>
                <w:tcW w:w="724" w:type="dxa"/>
                <w:tcBorders>
                  <w:tl2br w:val="nil"/>
                  <w:tr2bl w:val="nil"/>
                </w:tcBorders>
                <w:vAlign w:val="center"/>
              </w:tcPr>
            </w:tcPrChange>
          </w:tcPr>
          <w:p w14:paraId="15A44B03">
            <w:pPr>
              <w:spacing w:line="240" w:lineRule="exact"/>
              <w:ind w:left="-105" w:leftChars="-50" w:right="-105" w:rightChars="-50"/>
              <w:jc w:val="center"/>
              <w:rPr>
                <w:sz w:val="18"/>
                <w:szCs w:val="18"/>
              </w:rPr>
            </w:pPr>
            <w:r>
              <w:rPr>
                <w:rFonts w:hint="eastAsia"/>
                <w:sz w:val="18"/>
                <w:szCs w:val="18"/>
                <w:lang w:eastAsia="zh-CN"/>
              </w:rPr>
              <w:t>氢</w:t>
            </w:r>
            <w:r>
              <w:rPr>
                <w:rFonts w:hint="eastAsia"/>
                <w:sz w:val="18"/>
                <w:szCs w:val="18"/>
                <w:lang w:val="en-US" w:eastAsia="zh-CN"/>
              </w:rPr>
              <w:t xml:space="preserve">  </w:t>
            </w:r>
            <w:del w:id="242" w:author="kylin" w:date="2025-10-17T16:44:58Z">
              <w:r>
                <w:rPr>
                  <w:rFonts w:hint="default"/>
                  <w:sz w:val="18"/>
                  <w:szCs w:val="18"/>
                  <w:lang w:val="en-US" w:eastAsia="zh-CN"/>
                </w:rPr>
                <w:delText>能</w:delText>
              </w:r>
            </w:del>
            <w:ins w:id="243" w:author="kylin" w:date="2025-10-17T16:45:02Z">
              <w:r>
                <w:rPr>
                  <w:rFonts w:hint="eastAsia"/>
                  <w:sz w:val="18"/>
                  <w:szCs w:val="18"/>
                  <w:lang w:val="en-US" w:eastAsia="zh-CN"/>
                </w:rPr>
                <w:t>气</w:t>
              </w:r>
            </w:ins>
            <w:r>
              <w:rPr>
                <w:sz w:val="18"/>
                <w:szCs w:val="18"/>
              </w:rPr>
              <w:t xml:space="preserve">            (</w:t>
            </w:r>
            <w:del w:id="244" w:author="kylin" w:date="2025-10-17T16:45:09Z">
              <w:r>
                <w:rPr>
                  <w:sz w:val="18"/>
                  <w:szCs w:val="18"/>
                </w:rPr>
                <w:delText>万吨</w:delText>
              </w:r>
            </w:del>
            <w:ins w:id="245" w:author="kylin" w:date="2025-10-17T16:45:09Z">
              <w:r>
                <w:rPr>
                  <w:rFonts w:hint="eastAsia"/>
                  <w:sz w:val="18"/>
                  <w:szCs w:val="18"/>
                  <w:lang w:eastAsia="zh-CN"/>
                </w:rPr>
                <w:t>亿立方</w:t>
              </w:r>
            </w:ins>
            <w:ins w:id="246" w:author="kylin" w:date="2025-10-17T16:45:10Z">
              <w:r>
                <w:rPr>
                  <w:rFonts w:hint="eastAsia"/>
                  <w:sz w:val="18"/>
                  <w:szCs w:val="18"/>
                  <w:lang w:eastAsia="zh-CN"/>
                </w:rPr>
                <w:t>米</w:t>
              </w:r>
            </w:ins>
            <w:r>
              <w:rPr>
                <w:sz w:val="18"/>
                <w:szCs w:val="18"/>
              </w:rPr>
              <w:t>)</w:t>
            </w:r>
          </w:p>
        </w:tc>
        <w:tc>
          <w:tcPr>
            <w:tcW w:w="764" w:type="dxa"/>
            <w:gridSpan w:val="2"/>
            <w:tcBorders>
              <w:tl2br w:val="nil"/>
              <w:tr2bl w:val="nil"/>
            </w:tcBorders>
            <w:vAlign w:val="center"/>
            <w:tcPrChange w:id="247" w:author="kylin" w:date="2025-10-17T16:45:26Z">
              <w:tcPr>
                <w:tcW w:w="727" w:type="dxa"/>
                <w:tcBorders>
                  <w:tl2br w:val="nil"/>
                  <w:tr2bl w:val="nil"/>
                </w:tcBorders>
                <w:vAlign w:val="center"/>
              </w:tcPr>
            </w:tcPrChange>
          </w:tcPr>
          <w:p w14:paraId="165F07E4">
            <w:pPr>
              <w:spacing w:line="240" w:lineRule="exact"/>
              <w:ind w:left="-105" w:leftChars="-50" w:right="-105" w:rightChars="-50"/>
              <w:jc w:val="center"/>
              <w:rPr>
                <w:sz w:val="18"/>
                <w:szCs w:val="18"/>
              </w:rPr>
            </w:pPr>
            <w:r>
              <w:rPr>
                <w:rFonts w:hint="eastAsia"/>
                <w:sz w:val="18"/>
                <w:szCs w:val="18"/>
                <w:lang w:eastAsia="zh-CN"/>
              </w:rPr>
              <w:t>秸秆</w:t>
            </w:r>
            <w:r>
              <w:rPr>
                <w:sz w:val="18"/>
                <w:szCs w:val="18"/>
              </w:rPr>
              <w:t>薪柴           (万吨)</w:t>
            </w:r>
          </w:p>
        </w:tc>
        <w:tc>
          <w:tcPr>
            <w:tcW w:w="947" w:type="dxa"/>
            <w:tcBorders>
              <w:tl2br w:val="nil"/>
              <w:tr2bl w:val="nil"/>
            </w:tcBorders>
            <w:vAlign w:val="center"/>
            <w:tcPrChange w:id="248" w:author="kylin" w:date="2025-10-17T16:45:26Z">
              <w:tcPr>
                <w:tcW w:w="1050" w:type="dxa"/>
                <w:tcBorders>
                  <w:tl2br w:val="nil"/>
                  <w:tr2bl w:val="nil"/>
                </w:tcBorders>
                <w:vAlign w:val="center"/>
              </w:tcPr>
            </w:tcPrChange>
          </w:tcPr>
          <w:p w14:paraId="15767FF0">
            <w:pPr>
              <w:spacing w:line="240" w:lineRule="exact"/>
              <w:ind w:left="-105" w:leftChars="-50" w:right="-105" w:rightChars="-50"/>
              <w:jc w:val="center"/>
              <w:rPr>
                <w:sz w:val="18"/>
                <w:szCs w:val="18"/>
              </w:rPr>
            </w:pPr>
            <w:r>
              <w:rPr>
                <w:sz w:val="18"/>
                <w:szCs w:val="18"/>
              </w:rPr>
              <w:t>沼  气          (亿立方米)</w:t>
            </w:r>
          </w:p>
        </w:tc>
        <w:tc>
          <w:tcPr>
            <w:tcW w:w="1113" w:type="dxa"/>
            <w:tcBorders>
              <w:tl2br w:val="nil"/>
              <w:tr2bl w:val="nil"/>
            </w:tcBorders>
            <w:vAlign w:val="center"/>
            <w:tcPrChange w:id="249" w:author="kylin" w:date="2025-10-17T16:45:26Z">
              <w:tcPr>
                <w:tcW w:w="1113" w:type="dxa"/>
                <w:tcBorders>
                  <w:tl2br w:val="nil"/>
                  <w:tr2bl w:val="nil"/>
                </w:tcBorders>
                <w:vAlign w:val="center"/>
              </w:tcPr>
            </w:tcPrChange>
          </w:tcPr>
          <w:p w14:paraId="3E3AD904">
            <w:pPr>
              <w:spacing w:line="240" w:lineRule="exact"/>
              <w:ind w:left="-105" w:leftChars="-50" w:right="-105" w:rightChars="-50"/>
              <w:jc w:val="center"/>
              <w:rPr>
                <w:sz w:val="18"/>
                <w:szCs w:val="18"/>
              </w:rPr>
            </w:pPr>
            <w:r>
              <w:rPr>
                <w:sz w:val="18"/>
                <w:szCs w:val="18"/>
              </w:rPr>
              <w:t>热  力             (万百万千焦)</w:t>
            </w:r>
          </w:p>
        </w:tc>
        <w:tc>
          <w:tcPr>
            <w:tcW w:w="966" w:type="dxa"/>
            <w:tcBorders>
              <w:tl2br w:val="nil"/>
              <w:tr2bl w:val="nil"/>
            </w:tcBorders>
            <w:vAlign w:val="center"/>
            <w:tcPrChange w:id="250" w:author="kylin" w:date="2025-10-17T16:45:26Z">
              <w:tcPr>
                <w:tcW w:w="966" w:type="dxa"/>
                <w:tcBorders>
                  <w:tl2br w:val="nil"/>
                  <w:tr2bl w:val="nil"/>
                </w:tcBorders>
                <w:vAlign w:val="center"/>
              </w:tcPr>
            </w:tcPrChange>
          </w:tcPr>
          <w:p w14:paraId="48733F7B">
            <w:pPr>
              <w:spacing w:line="240" w:lineRule="exact"/>
              <w:ind w:left="-105" w:leftChars="-50" w:right="-105" w:rightChars="-50"/>
              <w:jc w:val="center"/>
              <w:rPr>
                <w:sz w:val="18"/>
                <w:szCs w:val="18"/>
              </w:rPr>
            </w:pPr>
            <w:r>
              <w:rPr>
                <w:sz w:val="18"/>
                <w:szCs w:val="18"/>
              </w:rPr>
              <w:t>电  力           (亿千瓦时)</w:t>
            </w:r>
          </w:p>
        </w:tc>
        <w:tc>
          <w:tcPr>
            <w:tcW w:w="966" w:type="dxa"/>
            <w:tcBorders>
              <w:tl2br w:val="nil"/>
              <w:tr2bl w:val="nil"/>
            </w:tcBorders>
            <w:vAlign w:val="center"/>
            <w:tcPrChange w:id="251" w:author="kylin" w:date="2025-10-17T16:45:26Z">
              <w:tcPr>
                <w:tcW w:w="966" w:type="dxa"/>
                <w:tcBorders>
                  <w:tl2br w:val="nil"/>
                  <w:tr2bl w:val="nil"/>
                </w:tcBorders>
                <w:vAlign w:val="center"/>
              </w:tcPr>
            </w:tcPrChange>
          </w:tcPr>
          <w:p w14:paraId="54CA6F11">
            <w:pPr>
              <w:spacing w:line="240" w:lineRule="exact"/>
              <w:ind w:left="-105" w:leftChars="-50" w:right="-105" w:rightChars="-50"/>
              <w:jc w:val="center"/>
              <w:rPr>
                <w:sz w:val="18"/>
                <w:szCs w:val="18"/>
              </w:rPr>
            </w:pPr>
            <w:r>
              <w:rPr>
                <w:sz w:val="18"/>
                <w:szCs w:val="18"/>
              </w:rPr>
              <w:t xml:space="preserve">其他能源 </w:t>
            </w:r>
          </w:p>
          <w:p w14:paraId="68BA6F2C">
            <w:pPr>
              <w:spacing w:line="240" w:lineRule="exact"/>
              <w:ind w:left="-105" w:leftChars="-50" w:right="-105" w:rightChars="-50"/>
              <w:jc w:val="center"/>
              <w:rPr>
                <w:sz w:val="18"/>
                <w:szCs w:val="18"/>
              </w:rPr>
            </w:pPr>
            <w:r>
              <w:rPr>
                <w:sz w:val="18"/>
                <w:szCs w:val="18"/>
              </w:rPr>
              <w:t>(万吨标煤)</w:t>
            </w:r>
          </w:p>
        </w:tc>
      </w:tr>
      <w:tr w14:paraId="5FFB1E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252" w:author="kylin" w:date="2025-10-17T16:45:22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255" w:hRule="atLeast"/>
          <w:jc w:val="center"/>
          <w:trPrChange w:id="252" w:author="kylin" w:date="2025-10-17T16:45:22Z">
            <w:trPr>
              <w:jc w:val="center"/>
            </w:trPr>
          </w:trPrChange>
        </w:trPr>
        <w:tc>
          <w:tcPr>
            <w:tcW w:w="753" w:type="dxa"/>
            <w:tcBorders>
              <w:tl2br w:val="nil"/>
              <w:tr2bl w:val="nil"/>
            </w:tcBorders>
            <w:vAlign w:val="center"/>
            <w:tcPrChange w:id="253" w:author="kylin" w:date="2025-10-17T16:45:22Z">
              <w:tcPr>
                <w:tcW w:w="753" w:type="dxa"/>
                <w:tcBorders>
                  <w:tl2br w:val="nil"/>
                  <w:tr2bl w:val="nil"/>
                </w:tcBorders>
                <w:vAlign w:val="center"/>
              </w:tcPr>
            </w:tcPrChange>
          </w:tcPr>
          <w:p w14:paraId="2658D243">
            <w:pPr>
              <w:spacing w:line="240" w:lineRule="atLeast"/>
              <w:ind w:left="-105" w:leftChars="-50" w:right="-105" w:rightChars="-50"/>
              <w:jc w:val="center"/>
              <w:textAlignment w:val="center"/>
              <w:rPr>
                <w:sz w:val="18"/>
                <w:szCs w:val="18"/>
              </w:rPr>
            </w:pPr>
            <w:r>
              <w:rPr>
                <w:sz w:val="18"/>
                <w:szCs w:val="18"/>
              </w:rPr>
              <w:t>30</w:t>
            </w:r>
          </w:p>
        </w:tc>
        <w:tc>
          <w:tcPr>
            <w:tcW w:w="1159" w:type="dxa"/>
            <w:tcBorders>
              <w:tl2br w:val="nil"/>
              <w:tr2bl w:val="nil"/>
            </w:tcBorders>
            <w:vAlign w:val="center"/>
            <w:tcPrChange w:id="254" w:author="kylin" w:date="2025-10-17T16:45:22Z">
              <w:tcPr>
                <w:tcW w:w="1260" w:type="dxa"/>
                <w:tcBorders>
                  <w:tl2br w:val="nil"/>
                  <w:tr2bl w:val="nil"/>
                </w:tcBorders>
                <w:vAlign w:val="center"/>
              </w:tcPr>
            </w:tcPrChange>
          </w:tcPr>
          <w:p w14:paraId="15761FAB">
            <w:pPr>
              <w:spacing w:line="240" w:lineRule="atLeast"/>
              <w:ind w:left="-210" w:leftChars="-100" w:right="-210" w:rightChars="-100"/>
              <w:jc w:val="center"/>
              <w:textAlignment w:val="center"/>
              <w:rPr>
                <w:sz w:val="18"/>
                <w:szCs w:val="18"/>
              </w:rPr>
            </w:pPr>
            <w:r>
              <w:rPr>
                <w:sz w:val="18"/>
                <w:szCs w:val="18"/>
              </w:rPr>
              <w:t>31</w:t>
            </w:r>
          </w:p>
        </w:tc>
        <w:tc>
          <w:tcPr>
            <w:tcW w:w="954" w:type="dxa"/>
            <w:tcBorders>
              <w:tl2br w:val="nil"/>
              <w:tr2bl w:val="nil"/>
            </w:tcBorders>
            <w:vAlign w:val="center"/>
            <w:tcPrChange w:id="255" w:author="kylin" w:date="2025-10-17T16:45:22Z">
              <w:tcPr>
                <w:tcW w:w="945" w:type="dxa"/>
                <w:tcBorders>
                  <w:tl2br w:val="nil"/>
                  <w:tr2bl w:val="nil"/>
                </w:tcBorders>
                <w:vAlign w:val="center"/>
              </w:tcPr>
            </w:tcPrChange>
          </w:tcPr>
          <w:p w14:paraId="38B8908A">
            <w:pPr>
              <w:spacing w:line="240" w:lineRule="atLeast"/>
              <w:ind w:left="-105" w:leftChars="-50" w:right="-105" w:rightChars="-50"/>
              <w:jc w:val="center"/>
              <w:textAlignment w:val="center"/>
              <w:rPr>
                <w:sz w:val="18"/>
                <w:szCs w:val="18"/>
              </w:rPr>
            </w:pPr>
            <w:r>
              <w:rPr>
                <w:sz w:val="18"/>
                <w:szCs w:val="18"/>
              </w:rPr>
              <w:t>32</w:t>
            </w:r>
          </w:p>
        </w:tc>
        <w:tc>
          <w:tcPr>
            <w:tcW w:w="927" w:type="dxa"/>
            <w:tcBorders>
              <w:tl2br w:val="nil"/>
              <w:tr2bl w:val="nil"/>
            </w:tcBorders>
            <w:vAlign w:val="center"/>
            <w:tcPrChange w:id="256" w:author="kylin" w:date="2025-10-17T16:45:22Z">
              <w:tcPr>
                <w:tcW w:w="945" w:type="dxa"/>
                <w:tcBorders>
                  <w:tl2br w:val="nil"/>
                  <w:tr2bl w:val="nil"/>
                </w:tcBorders>
                <w:vAlign w:val="center"/>
              </w:tcPr>
            </w:tcPrChange>
          </w:tcPr>
          <w:p w14:paraId="4ED902B8">
            <w:pPr>
              <w:spacing w:line="240" w:lineRule="atLeast"/>
              <w:ind w:left="-105" w:leftChars="-50" w:right="-105" w:rightChars="-50"/>
              <w:jc w:val="center"/>
              <w:textAlignment w:val="center"/>
              <w:rPr>
                <w:sz w:val="18"/>
                <w:szCs w:val="18"/>
              </w:rPr>
            </w:pPr>
            <w:r>
              <w:rPr>
                <w:sz w:val="18"/>
                <w:szCs w:val="18"/>
              </w:rPr>
              <w:t>33</w:t>
            </w:r>
          </w:p>
        </w:tc>
        <w:tc>
          <w:tcPr>
            <w:tcW w:w="900" w:type="dxa"/>
            <w:tcBorders>
              <w:tl2br w:val="nil"/>
              <w:tr2bl w:val="nil"/>
            </w:tcBorders>
            <w:vAlign w:val="center"/>
            <w:tcPrChange w:id="257" w:author="kylin" w:date="2025-10-17T16:45:22Z">
              <w:tcPr>
                <w:tcW w:w="724" w:type="dxa"/>
                <w:tcBorders>
                  <w:tl2br w:val="nil"/>
                  <w:tr2bl w:val="nil"/>
                </w:tcBorders>
                <w:vAlign w:val="center"/>
              </w:tcPr>
            </w:tcPrChange>
          </w:tcPr>
          <w:p w14:paraId="618F380E">
            <w:pPr>
              <w:spacing w:line="240" w:lineRule="atLeast"/>
              <w:ind w:left="-105" w:leftChars="-50" w:right="-105" w:rightChars="-50"/>
              <w:jc w:val="center"/>
              <w:textAlignment w:val="center"/>
              <w:rPr>
                <w:sz w:val="18"/>
                <w:szCs w:val="18"/>
              </w:rPr>
            </w:pPr>
            <w:r>
              <w:rPr>
                <w:sz w:val="18"/>
                <w:szCs w:val="18"/>
              </w:rPr>
              <w:t>34</w:t>
            </w:r>
          </w:p>
        </w:tc>
        <w:tc>
          <w:tcPr>
            <w:tcW w:w="661" w:type="dxa"/>
            <w:tcBorders>
              <w:tl2br w:val="nil"/>
              <w:tr2bl w:val="nil"/>
            </w:tcBorders>
            <w:vAlign w:val="center"/>
            <w:tcPrChange w:id="258" w:author="kylin" w:date="2025-10-17T16:45:22Z">
              <w:tcPr>
                <w:tcW w:w="727" w:type="dxa"/>
                <w:tcBorders>
                  <w:tl2br w:val="nil"/>
                  <w:tr2bl w:val="nil"/>
                </w:tcBorders>
                <w:vAlign w:val="center"/>
              </w:tcPr>
            </w:tcPrChange>
          </w:tcPr>
          <w:p w14:paraId="28904895">
            <w:pPr>
              <w:spacing w:line="240" w:lineRule="atLeast"/>
              <w:ind w:left="-105" w:leftChars="-50" w:right="-105" w:rightChars="-50"/>
              <w:jc w:val="center"/>
              <w:textAlignment w:val="center"/>
              <w:rPr>
                <w:sz w:val="18"/>
                <w:szCs w:val="18"/>
              </w:rPr>
            </w:pPr>
            <w:r>
              <w:rPr>
                <w:sz w:val="18"/>
                <w:szCs w:val="18"/>
              </w:rPr>
              <w:t>35</w:t>
            </w:r>
          </w:p>
        </w:tc>
        <w:tc>
          <w:tcPr>
            <w:tcW w:w="1050" w:type="dxa"/>
            <w:gridSpan w:val="2"/>
            <w:tcBorders>
              <w:tl2br w:val="nil"/>
              <w:tr2bl w:val="nil"/>
            </w:tcBorders>
            <w:vAlign w:val="center"/>
            <w:tcPrChange w:id="259" w:author="kylin" w:date="2025-10-17T16:45:22Z">
              <w:tcPr>
                <w:tcW w:w="1050" w:type="dxa"/>
                <w:tcBorders>
                  <w:tl2br w:val="nil"/>
                  <w:tr2bl w:val="nil"/>
                </w:tcBorders>
                <w:vAlign w:val="center"/>
              </w:tcPr>
            </w:tcPrChange>
          </w:tcPr>
          <w:p w14:paraId="6AA42F11">
            <w:pPr>
              <w:spacing w:line="240" w:lineRule="atLeast"/>
              <w:ind w:left="-105" w:leftChars="-50" w:right="-105" w:rightChars="-50"/>
              <w:jc w:val="center"/>
              <w:textAlignment w:val="center"/>
              <w:rPr>
                <w:sz w:val="18"/>
                <w:szCs w:val="18"/>
              </w:rPr>
            </w:pPr>
            <w:r>
              <w:rPr>
                <w:sz w:val="18"/>
                <w:szCs w:val="18"/>
              </w:rPr>
              <w:t>36</w:t>
            </w:r>
          </w:p>
        </w:tc>
        <w:tc>
          <w:tcPr>
            <w:tcW w:w="1113" w:type="dxa"/>
            <w:tcBorders>
              <w:tl2br w:val="nil"/>
              <w:tr2bl w:val="nil"/>
            </w:tcBorders>
            <w:vAlign w:val="center"/>
            <w:tcPrChange w:id="260" w:author="kylin" w:date="2025-10-17T16:45:22Z">
              <w:tcPr>
                <w:tcW w:w="1113" w:type="dxa"/>
                <w:tcBorders>
                  <w:tl2br w:val="nil"/>
                  <w:tr2bl w:val="nil"/>
                </w:tcBorders>
                <w:vAlign w:val="center"/>
              </w:tcPr>
            </w:tcPrChange>
          </w:tcPr>
          <w:p w14:paraId="06F3308E">
            <w:pPr>
              <w:spacing w:line="240" w:lineRule="atLeast"/>
              <w:ind w:left="-105" w:leftChars="-50" w:right="-105" w:rightChars="-50"/>
              <w:jc w:val="center"/>
              <w:textAlignment w:val="center"/>
              <w:rPr>
                <w:sz w:val="18"/>
                <w:szCs w:val="18"/>
              </w:rPr>
            </w:pPr>
            <w:r>
              <w:rPr>
                <w:sz w:val="18"/>
                <w:szCs w:val="18"/>
              </w:rPr>
              <w:t>37</w:t>
            </w:r>
          </w:p>
        </w:tc>
        <w:tc>
          <w:tcPr>
            <w:tcW w:w="966" w:type="dxa"/>
            <w:tcBorders>
              <w:tl2br w:val="nil"/>
              <w:tr2bl w:val="nil"/>
            </w:tcBorders>
            <w:vAlign w:val="center"/>
            <w:tcPrChange w:id="261" w:author="kylin" w:date="2025-10-17T16:45:22Z">
              <w:tcPr>
                <w:tcW w:w="966" w:type="dxa"/>
                <w:tcBorders>
                  <w:tl2br w:val="nil"/>
                  <w:tr2bl w:val="nil"/>
                </w:tcBorders>
                <w:vAlign w:val="center"/>
              </w:tcPr>
            </w:tcPrChange>
          </w:tcPr>
          <w:p w14:paraId="299132EB">
            <w:pPr>
              <w:spacing w:line="240" w:lineRule="atLeast"/>
              <w:ind w:left="-105" w:leftChars="-50" w:right="-105" w:rightChars="-50"/>
              <w:jc w:val="center"/>
              <w:textAlignment w:val="center"/>
              <w:rPr>
                <w:sz w:val="18"/>
                <w:szCs w:val="18"/>
              </w:rPr>
            </w:pPr>
            <w:r>
              <w:rPr>
                <w:sz w:val="18"/>
                <w:szCs w:val="18"/>
              </w:rPr>
              <w:t>38</w:t>
            </w:r>
          </w:p>
        </w:tc>
        <w:tc>
          <w:tcPr>
            <w:tcW w:w="966" w:type="dxa"/>
            <w:tcBorders>
              <w:tl2br w:val="nil"/>
              <w:tr2bl w:val="nil"/>
            </w:tcBorders>
            <w:vAlign w:val="center"/>
            <w:tcPrChange w:id="262" w:author="kylin" w:date="2025-10-17T16:45:22Z">
              <w:tcPr>
                <w:tcW w:w="966" w:type="dxa"/>
                <w:tcBorders>
                  <w:tl2br w:val="nil"/>
                  <w:tr2bl w:val="nil"/>
                </w:tcBorders>
                <w:vAlign w:val="center"/>
              </w:tcPr>
            </w:tcPrChange>
          </w:tcPr>
          <w:p w14:paraId="6F3B15D8">
            <w:pPr>
              <w:spacing w:line="240" w:lineRule="atLeast"/>
              <w:ind w:left="-105" w:leftChars="-50" w:right="-105" w:rightChars="-50"/>
              <w:jc w:val="center"/>
              <w:textAlignment w:val="center"/>
              <w:rPr>
                <w:sz w:val="18"/>
                <w:szCs w:val="18"/>
              </w:rPr>
            </w:pPr>
            <w:r>
              <w:rPr>
                <w:sz w:val="18"/>
                <w:szCs w:val="18"/>
              </w:rPr>
              <w:t>39</w:t>
            </w:r>
          </w:p>
        </w:tc>
      </w:tr>
      <w:tr w14:paraId="100501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263" w:author="kylin" w:date="2025-10-17T16:45:1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306" w:hRule="atLeast"/>
          <w:jc w:val="center"/>
          <w:trPrChange w:id="263" w:author="kylin" w:date="2025-10-17T16:45:13Z">
            <w:trPr>
              <w:jc w:val="center"/>
            </w:trPr>
          </w:trPrChange>
        </w:trPr>
        <w:tc>
          <w:tcPr>
            <w:tcW w:w="9449" w:type="dxa"/>
            <w:gridSpan w:val="11"/>
            <w:tcBorders>
              <w:tl2br w:val="nil"/>
              <w:tr2bl w:val="nil"/>
            </w:tcBorders>
            <w:vAlign w:val="center"/>
            <w:tcPrChange w:id="264" w:author="kylin" w:date="2025-10-17T16:45:13Z">
              <w:tcPr>
                <w:tcW w:w="9449" w:type="dxa"/>
                <w:gridSpan w:val="10"/>
                <w:tcBorders>
                  <w:tl2br w:val="nil"/>
                  <w:tr2bl w:val="nil"/>
                </w:tcBorders>
                <w:vAlign w:val="center"/>
              </w:tcPr>
            </w:tcPrChange>
          </w:tcPr>
          <w:p w14:paraId="04C9CCF2">
            <w:pPr>
              <w:spacing w:line="240" w:lineRule="exact"/>
              <w:ind w:left="-105" w:leftChars="-50" w:right="-105" w:rightChars="-50"/>
              <w:jc w:val="center"/>
              <w:rPr>
                <w:sz w:val="18"/>
                <w:szCs w:val="18"/>
              </w:rPr>
            </w:pPr>
          </w:p>
        </w:tc>
      </w:tr>
    </w:tbl>
    <w:p w14:paraId="7E55D00F">
      <w:pPr>
        <w:snapToGrid w:val="0"/>
        <w:ind w:right="-21" w:rightChars="-10"/>
        <w:rPr>
          <w:sz w:val="18"/>
          <w:szCs w:val="18"/>
        </w:rPr>
      </w:pPr>
    </w:p>
    <w:p w14:paraId="2696428D">
      <w:pPr>
        <w:snapToGrid w:val="0"/>
        <w:ind w:right="-21" w:rightChars="-10"/>
        <w:rPr>
          <w:sz w:val="18"/>
          <w:szCs w:val="18"/>
        </w:rPr>
      </w:pPr>
      <w:r>
        <w:rPr>
          <w:sz w:val="18"/>
          <w:szCs w:val="18"/>
        </w:rPr>
        <w:t xml:space="preserve">补充资料一：电力产量                                                  　               计量单位：亿千瓦时                                        </w:t>
      </w:r>
    </w:p>
    <w:tbl>
      <w:tblPr>
        <w:tblStyle w:val="20"/>
        <w:tblW w:w="942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2"/>
        <w:gridCol w:w="1043"/>
        <w:gridCol w:w="1042"/>
        <w:gridCol w:w="1043"/>
        <w:gridCol w:w="1043"/>
        <w:gridCol w:w="1042"/>
        <w:gridCol w:w="1043"/>
        <w:gridCol w:w="1043"/>
      </w:tblGrid>
      <w:tr w14:paraId="114095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tcBorders>
              <w:top w:val="single" w:color="auto" w:sz="8" w:space="0"/>
              <w:bottom w:val="single" w:color="auto" w:sz="2" w:space="0"/>
              <w:right w:val="single" w:color="auto" w:sz="2" w:space="0"/>
            </w:tcBorders>
            <w:vAlign w:val="center"/>
          </w:tcPr>
          <w:p w14:paraId="780215C5">
            <w:pPr>
              <w:spacing w:line="240" w:lineRule="exact"/>
              <w:jc w:val="center"/>
              <w:rPr>
                <w:sz w:val="18"/>
                <w:szCs w:val="18"/>
              </w:rPr>
            </w:pPr>
          </w:p>
        </w:tc>
        <w:tc>
          <w:tcPr>
            <w:tcW w:w="1042" w:type="dxa"/>
            <w:tcBorders>
              <w:top w:val="single" w:color="auto" w:sz="8" w:space="0"/>
              <w:left w:val="single" w:color="auto" w:sz="2" w:space="0"/>
              <w:bottom w:val="single" w:color="auto" w:sz="2" w:space="0"/>
              <w:right w:val="single" w:color="auto" w:sz="2" w:space="0"/>
            </w:tcBorders>
            <w:vAlign w:val="center"/>
          </w:tcPr>
          <w:p w14:paraId="1EC8AF39">
            <w:pPr>
              <w:spacing w:line="240" w:lineRule="exact"/>
              <w:jc w:val="center"/>
              <w:rPr>
                <w:sz w:val="18"/>
                <w:szCs w:val="18"/>
              </w:rPr>
            </w:pPr>
            <w:r>
              <w:rPr>
                <w:sz w:val="18"/>
                <w:szCs w:val="18"/>
              </w:rPr>
              <w:t>合  计</w:t>
            </w:r>
          </w:p>
        </w:tc>
        <w:tc>
          <w:tcPr>
            <w:tcW w:w="1043" w:type="dxa"/>
            <w:tcBorders>
              <w:top w:val="single" w:color="auto" w:sz="8" w:space="0"/>
              <w:left w:val="single" w:color="auto" w:sz="2" w:space="0"/>
              <w:bottom w:val="single" w:color="auto" w:sz="2" w:space="0"/>
              <w:right w:val="single" w:color="auto" w:sz="2" w:space="0"/>
            </w:tcBorders>
            <w:vAlign w:val="center"/>
          </w:tcPr>
          <w:p w14:paraId="7FC337B3">
            <w:pPr>
              <w:spacing w:line="240" w:lineRule="exact"/>
              <w:jc w:val="center"/>
              <w:rPr>
                <w:sz w:val="18"/>
                <w:szCs w:val="18"/>
              </w:rPr>
            </w:pPr>
            <w:r>
              <w:rPr>
                <w:sz w:val="18"/>
                <w:szCs w:val="18"/>
              </w:rPr>
              <w:t>太阳能          热发电</w:t>
            </w:r>
          </w:p>
        </w:tc>
        <w:tc>
          <w:tcPr>
            <w:tcW w:w="1042" w:type="dxa"/>
            <w:tcBorders>
              <w:top w:val="single" w:color="auto" w:sz="8" w:space="0"/>
              <w:left w:val="single" w:color="auto" w:sz="2" w:space="0"/>
              <w:bottom w:val="single" w:color="auto" w:sz="2" w:space="0"/>
              <w:right w:val="single" w:color="auto" w:sz="2" w:space="0"/>
            </w:tcBorders>
            <w:vAlign w:val="center"/>
          </w:tcPr>
          <w:p w14:paraId="00B0BD9E">
            <w:pPr>
              <w:spacing w:line="240" w:lineRule="exact"/>
              <w:jc w:val="center"/>
              <w:rPr>
                <w:sz w:val="18"/>
                <w:szCs w:val="18"/>
              </w:rPr>
            </w:pPr>
            <w:r>
              <w:rPr>
                <w:sz w:val="18"/>
                <w:szCs w:val="18"/>
              </w:rPr>
              <w:t>太阳能  光伏发电</w:t>
            </w:r>
          </w:p>
        </w:tc>
        <w:tc>
          <w:tcPr>
            <w:tcW w:w="1043" w:type="dxa"/>
            <w:tcBorders>
              <w:top w:val="single" w:color="auto" w:sz="8" w:space="0"/>
              <w:left w:val="single" w:color="auto" w:sz="2" w:space="0"/>
              <w:bottom w:val="single" w:color="auto" w:sz="2" w:space="0"/>
              <w:right w:val="single" w:color="auto" w:sz="2" w:space="0"/>
            </w:tcBorders>
            <w:vAlign w:val="center"/>
          </w:tcPr>
          <w:p w14:paraId="1277CF65">
            <w:pPr>
              <w:spacing w:line="240" w:lineRule="exact"/>
              <w:jc w:val="center"/>
              <w:rPr>
                <w:sz w:val="18"/>
                <w:szCs w:val="18"/>
              </w:rPr>
            </w:pPr>
            <w:r>
              <w:rPr>
                <w:sz w:val="18"/>
                <w:szCs w:val="18"/>
              </w:rPr>
              <w:t>风  电</w:t>
            </w:r>
          </w:p>
        </w:tc>
        <w:tc>
          <w:tcPr>
            <w:tcW w:w="1043" w:type="dxa"/>
            <w:tcBorders>
              <w:top w:val="single" w:color="auto" w:sz="8" w:space="0"/>
              <w:left w:val="single" w:color="auto" w:sz="2" w:space="0"/>
              <w:bottom w:val="single" w:color="auto" w:sz="2" w:space="0"/>
              <w:right w:val="single" w:color="auto" w:sz="2" w:space="0"/>
            </w:tcBorders>
            <w:vAlign w:val="center"/>
          </w:tcPr>
          <w:p w14:paraId="4A928F09">
            <w:pPr>
              <w:spacing w:line="240" w:lineRule="exact"/>
              <w:jc w:val="center"/>
              <w:rPr>
                <w:sz w:val="18"/>
                <w:szCs w:val="18"/>
              </w:rPr>
            </w:pPr>
            <w:r>
              <w:rPr>
                <w:sz w:val="18"/>
                <w:szCs w:val="18"/>
              </w:rPr>
              <w:t>核  电</w:t>
            </w:r>
          </w:p>
        </w:tc>
        <w:tc>
          <w:tcPr>
            <w:tcW w:w="1042" w:type="dxa"/>
            <w:tcBorders>
              <w:top w:val="single" w:color="auto" w:sz="8" w:space="0"/>
              <w:left w:val="single" w:color="auto" w:sz="2" w:space="0"/>
              <w:bottom w:val="single" w:color="auto" w:sz="2" w:space="0"/>
              <w:right w:val="single" w:color="auto" w:sz="2" w:space="0"/>
            </w:tcBorders>
            <w:vAlign w:val="center"/>
          </w:tcPr>
          <w:p w14:paraId="41C86B10">
            <w:pPr>
              <w:spacing w:line="240" w:lineRule="exact"/>
              <w:jc w:val="center"/>
              <w:rPr>
                <w:sz w:val="18"/>
                <w:szCs w:val="18"/>
              </w:rPr>
            </w:pPr>
            <w:r>
              <w:rPr>
                <w:sz w:val="18"/>
                <w:szCs w:val="18"/>
              </w:rPr>
              <w:t>水  电</w:t>
            </w:r>
          </w:p>
        </w:tc>
        <w:tc>
          <w:tcPr>
            <w:tcW w:w="1043" w:type="dxa"/>
            <w:tcBorders>
              <w:top w:val="single" w:color="auto" w:sz="8" w:space="0"/>
              <w:left w:val="single" w:color="auto" w:sz="2" w:space="0"/>
              <w:bottom w:val="single" w:color="auto" w:sz="2" w:space="0"/>
              <w:right w:val="single" w:color="auto" w:sz="2" w:space="0"/>
            </w:tcBorders>
            <w:vAlign w:val="center"/>
          </w:tcPr>
          <w:p w14:paraId="6C62062D">
            <w:pPr>
              <w:spacing w:line="240" w:lineRule="exact"/>
              <w:jc w:val="center"/>
              <w:rPr>
                <w:sz w:val="18"/>
                <w:szCs w:val="18"/>
              </w:rPr>
            </w:pPr>
            <w:r>
              <w:rPr>
                <w:sz w:val="18"/>
                <w:szCs w:val="18"/>
              </w:rPr>
              <w:t>其    他          能源发电</w:t>
            </w:r>
          </w:p>
        </w:tc>
        <w:tc>
          <w:tcPr>
            <w:tcW w:w="1043" w:type="dxa"/>
            <w:tcBorders>
              <w:top w:val="single" w:color="auto" w:sz="8" w:space="0"/>
              <w:left w:val="single" w:color="auto" w:sz="2" w:space="0"/>
              <w:bottom w:val="single" w:color="auto" w:sz="2" w:space="0"/>
            </w:tcBorders>
            <w:vAlign w:val="center"/>
          </w:tcPr>
          <w:p w14:paraId="2A5A5677">
            <w:pPr>
              <w:spacing w:line="240" w:lineRule="exact"/>
              <w:jc w:val="center"/>
              <w:rPr>
                <w:sz w:val="18"/>
                <w:szCs w:val="18"/>
              </w:rPr>
            </w:pPr>
            <w:r>
              <w:rPr>
                <w:sz w:val="18"/>
                <w:szCs w:val="18"/>
              </w:rPr>
              <w:t>火  电</w:t>
            </w:r>
          </w:p>
        </w:tc>
      </w:tr>
      <w:tr w14:paraId="79365B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tcBorders>
              <w:top w:val="single" w:color="auto" w:sz="2" w:space="0"/>
              <w:bottom w:val="single" w:color="auto" w:sz="2" w:space="0"/>
              <w:right w:val="single" w:color="auto" w:sz="2" w:space="0"/>
            </w:tcBorders>
            <w:vAlign w:val="center"/>
          </w:tcPr>
          <w:p w14:paraId="791894CC">
            <w:pPr>
              <w:spacing w:line="240" w:lineRule="atLeast"/>
              <w:jc w:val="center"/>
              <w:rPr>
                <w:sz w:val="18"/>
                <w:szCs w:val="18"/>
              </w:rPr>
            </w:pPr>
            <w:r>
              <w:rPr>
                <w:sz w:val="18"/>
                <w:szCs w:val="18"/>
              </w:rPr>
              <w:t>甲</w:t>
            </w:r>
          </w:p>
        </w:tc>
        <w:tc>
          <w:tcPr>
            <w:tcW w:w="1042" w:type="dxa"/>
            <w:tcBorders>
              <w:top w:val="single" w:color="auto" w:sz="2" w:space="0"/>
              <w:left w:val="single" w:color="auto" w:sz="2" w:space="0"/>
              <w:bottom w:val="single" w:color="auto" w:sz="2" w:space="0"/>
              <w:right w:val="single" w:color="auto" w:sz="2" w:space="0"/>
            </w:tcBorders>
            <w:vAlign w:val="center"/>
          </w:tcPr>
          <w:p w14:paraId="56D7C1D7">
            <w:pPr>
              <w:spacing w:line="240" w:lineRule="atLeast"/>
              <w:jc w:val="center"/>
              <w:textAlignment w:val="center"/>
              <w:rPr>
                <w:sz w:val="18"/>
                <w:szCs w:val="18"/>
              </w:rPr>
            </w:pPr>
            <w:r>
              <w:rPr>
                <w:sz w:val="18"/>
                <w:szCs w:val="18"/>
              </w:rPr>
              <w:t>1</w:t>
            </w:r>
          </w:p>
        </w:tc>
        <w:tc>
          <w:tcPr>
            <w:tcW w:w="1043" w:type="dxa"/>
            <w:tcBorders>
              <w:top w:val="single" w:color="auto" w:sz="2" w:space="0"/>
              <w:left w:val="single" w:color="auto" w:sz="2" w:space="0"/>
              <w:bottom w:val="single" w:color="auto" w:sz="2" w:space="0"/>
              <w:right w:val="single" w:color="auto" w:sz="2" w:space="0"/>
            </w:tcBorders>
            <w:vAlign w:val="center"/>
          </w:tcPr>
          <w:p w14:paraId="0C7944D4">
            <w:pPr>
              <w:spacing w:line="240" w:lineRule="atLeast"/>
              <w:jc w:val="center"/>
              <w:textAlignment w:val="center"/>
              <w:rPr>
                <w:sz w:val="18"/>
                <w:szCs w:val="18"/>
              </w:rPr>
            </w:pPr>
            <w:r>
              <w:rPr>
                <w:sz w:val="18"/>
                <w:szCs w:val="18"/>
              </w:rPr>
              <w:t>2</w:t>
            </w:r>
          </w:p>
        </w:tc>
        <w:tc>
          <w:tcPr>
            <w:tcW w:w="1042" w:type="dxa"/>
            <w:tcBorders>
              <w:top w:val="single" w:color="auto" w:sz="2" w:space="0"/>
              <w:left w:val="single" w:color="auto" w:sz="2" w:space="0"/>
              <w:bottom w:val="single" w:color="auto" w:sz="2" w:space="0"/>
              <w:right w:val="single" w:color="auto" w:sz="2" w:space="0"/>
            </w:tcBorders>
            <w:vAlign w:val="center"/>
          </w:tcPr>
          <w:p w14:paraId="117C8596">
            <w:pPr>
              <w:spacing w:line="240" w:lineRule="atLeast"/>
              <w:jc w:val="center"/>
              <w:textAlignment w:val="center"/>
              <w:rPr>
                <w:sz w:val="18"/>
                <w:szCs w:val="18"/>
              </w:rPr>
            </w:pPr>
            <w:r>
              <w:rPr>
                <w:sz w:val="18"/>
                <w:szCs w:val="18"/>
              </w:rPr>
              <w:t>3</w:t>
            </w:r>
          </w:p>
        </w:tc>
        <w:tc>
          <w:tcPr>
            <w:tcW w:w="1043" w:type="dxa"/>
            <w:tcBorders>
              <w:top w:val="single" w:color="auto" w:sz="2" w:space="0"/>
              <w:left w:val="single" w:color="auto" w:sz="2" w:space="0"/>
              <w:bottom w:val="single" w:color="auto" w:sz="2" w:space="0"/>
              <w:right w:val="single" w:color="auto" w:sz="2" w:space="0"/>
            </w:tcBorders>
            <w:vAlign w:val="center"/>
          </w:tcPr>
          <w:p w14:paraId="4C48AFFE">
            <w:pPr>
              <w:spacing w:line="240" w:lineRule="atLeast"/>
              <w:jc w:val="center"/>
              <w:textAlignment w:val="center"/>
              <w:rPr>
                <w:sz w:val="18"/>
                <w:szCs w:val="18"/>
              </w:rPr>
            </w:pPr>
            <w:r>
              <w:rPr>
                <w:sz w:val="18"/>
                <w:szCs w:val="18"/>
              </w:rPr>
              <w:t>4</w:t>
            </w:r>
          </w:p>
        </w:tc>
        <w:tc>
          <w:tcPr>
            <w:tcW w:w="1043" w:type="dxa"/>
            <w:tcBorders>
              <w:top w:val="single" w:color="auto" w:sz="2" w:space="0"/>
              <w:left w:val="single" w:color="auto" w:sz="2" w:space="0"/>
              <w:bottom w:val="single" w:color="auto" w:sz="2" w:space="0"/>
              <w:right w:val="single" w:color="auto" w:sz="2" w:space="0"/>
            </w:tcBorders>
            <w:vAlign w:val="center"/>
          </w:tcPr>
          <w:p w14:paraId="041D5071">
            <w:pPr>
              <w:spacing w:line="240" w:lineRule="atLeast"/>
              <w:jc w:val="center"/>
              <w:textAlignment w:val="center"/>
              <w:rPr>
                <w:sz w:val="18"/>
                <w:szCs w:val="18"/>
              </w:rPr>
            </w:pPr>
            <w:r>
              <w:rPr>
                <w:sz w:val="18"/>
                <w:szCs w:val="18"/>
              </w:rPr>
              <w:t>5</w:t>
            </w:r>
          </w:p>
        </w:tc>
        <w:tc>
          <w:tcPr>
            <w:tcW w:w="1042" w:type="dxa"/>
            <w:tcBorders>
              <w:top w:val="single" w:color="auto" w:sz="2" w:space="0"/>
              <w:left w:val="single" w:color="auto" w:sz="2" w:space="0"/>
              <w:bottom w:val="single" w:color="auto" w:sz="2" w:space="0"/>
              <w:right w:val="single" w:color="auto" w:sz="2" w:space="0"/>
            </w:tcBorders>
            <w:vAlign w:val="center"/>
          </w:tcPr>
          <w:p w14:paraId="51C5FE01">
            <w:pPr>
              <w:spacing w:line="240" w:lineRule="atLeast"/>
              <w:jc w:val="center"/>
              <w:textAlignment w:val="center"/>
              <w:rPr>
                <w:sz w:val="18"/>
                <w:szCs w:val="18"/>
              </w:rPr>
            </w:pPr>
            <w:r>
              <w:rPr>
                <w:sz w:val="18"/>
                <w:szCs w:val="18"/>
              </w:rPr>
              <w:t>6</w:t>
            </w:r>
          </w:p>
        </w:tc>
        <w:tc>
          <w:tcPr>
            <w:tcW w:w="1043" w:type="dxa"/>
            <w:tcBorders>
              <w:top w:val="single" w:color="auto" w:sz="2" w:space="0"/>
              <w:left w:val="single" w:color="auto" w:sz="2" w:space="0"/>
              <w:bottom w:val="single" w:color="auto" w:sz="2" w:space="0"/>
              <w:right w:val="single" w:color="auto" w:sz="2" w:space="0"/>
            </w:tcBorders>
            <w:vAlign w:val="center"/>
          </w:tcPr>
          <w:p w14:paraId="6F5880D0">
            <w:pPr>
              <w:spacing w:line="240" w:lineRule="atLeast"/>
              <w:jc w:val="center"/>
              <w:textAlignment w:val="center"/>
              <w:rPr>
                <w:sz w:val="18"/>
                <w:szCs w:val="18"/>
              </w:rPr>
            </w:pPr>
            <w:r>
              <w:rPr>
                <w:sz w:val="18"/>
                <w:szCs w:val="18"/>
              </w:rPr>
              <w:t>7</w:t>
            </w:r>
          </w:p>
        </w:tc>
        <w:tc>
          <w:tcPr>
            <w:tcW w:w="1043" w:type="dxa"/>
            <w:tcBorders>
              <w:top w:val="single" w:color="auto" w:sz="2" w:space="0"/>
              <w:left w:val="single" w:color="auto" w:sz="2" w:space="0"/>
              <w:bottom w:val="single" w:color="auto" w:sz="2" w:space="0"/>
            </w:tcBorders>
            <w:vAlign w:val="center"/>
          </w:tcPr>
          <w:p w14:paraId="6B18E712">
            <w:pPr>
              <w:spacing w:line="240" w:lineRule="atLeast"/>
              <w:jc w:val="center"/>
              <w:textAlignment w:val="center"/>
              <w:rPr>
                <w:sz w:val="18"/>
                <w:szCs w:val="18"/>
              </w:rPr>
            </w:pPr>
            <w:r>
              <w:rPr>
                <w:sz w:val="18"/>
                <w:szCs w:val="18"/>
              </w:rPr>
              <w:t>8</w:t>
            </w:r>
          </w:p>
        </w:tc>
      </w:tr>
      <w:tr w14:paraId="170EC1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80" w:type="dxa"/>
            <w:tcBorders>
              <w:top w:val="single" w:color="auto" w:sz="2" w:space="0"/>
              <w:bottom w:val="single" w:color="auto" w:sz="8" w:space="0"/>
              <w:right w:val="single" w:color="auto" w:sz="2" w:space="0"/>
            </w:tcBorders>
            <w:vAlign w:val="center"/>
          </w:tcPr>
          <w:p w14:paraId="73288756">
            <w:pPr>
              <w:spacing w:line="240" w:lineRule="exact"/>
              <w:jc w:val="center"/>
              <w:rPr>
                <w:sz w:val="18"/>
                <w:szCs w:val="18"/>
              </w:rPr>
            </w:pPr>
            <w:r>
              <w:rPr>
                <w:sz w:val="18"/>
                <w:szCs w:val="18"/>
              </w:rPr>
              <w:t>产量</w:t>
            </w:r>
          </w:p>
        </w:tc>
        <w:tc>
          <w:tcPr>
            <w:tcW w:w="8341" w:type="dxa"/>
            <w:gridSpan w:val="8"/>
            <w:tcBorders>
              <w:top w:val="single" w:color="auto" w:sz="2" w:space="0"/>
              <w:left w:val="single" w:color="auto" w:sz="2" w:space="0"/>
              <w:bottom w:val="single" w:color="auto" w:sz="8" w:space="0"/>
            </w:tcBorders>
            <w:vAlign w:val="center"/>
          </w:tcPr>
          <w:p w14:paraId="56D8DCAB">
            <w:pPr>
              <w:spacing w:line="240" w:lineRule="exact"/>
              <w:rPr>
                <w:sz w:val="18"/>
                <w:szCs w:val="18"/>
              </w:rPr>
            </w:pPr>
          </w:p>
        </w:tc>
      </w:tr>
    </w:tbl>
    <w:p w14:paraId="43E8C9A5">
      <w:pPr>
        <w:tabs>
          <w:tab w:val="left" w:pos="9030"/>
        </w:tabs>
        <w:snapToGrid w:val="0"/>
        <w:ind w:right="4" w:rightChars="2"/>
        <w:rPr>
          <w:sz w:val="18"/>
          <w:szCs w:val="18"/>
        </w:rPr>
      </w:pPr>
    </w:p>
    <w:p w14:paraId="68DC1CC5">
      <w:pPr>
        <w:tabs>
          <w:tab w:val="left" w:pos="9030"/>
        </w:tabs>
        <w:snapToGrid w:val="0"/>
        <w:ind w:right="4" w:rightChars="2"/>
        <w:rPr>
          <w:sz w:val="18"/>
          <w:szCs w:val="18"/>
        </w:rPr>
      </w:pPr>
      <w:r>
        <w:rPr>
          <w:sz w:val="18"/>
          <w:szCs w:val="18"/>
        </w:rPr>
        <w:t>补充资料二：国际燃料舱                                              　　                   计量单位：万吨</w:t>
      </w:r>
    </w:p>
    <w:tbl>
      <w:tblPr>
        <w:tblStyle w:val="20"/>
        <w:tblW w:w="940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998"/>
        <w:gridCol w:w="1999"/>
        <w:gridCol w:w="1999"/>
        <w:gridCol w:w="1999"/>
      </w:tblGrid>
      <w:tr w14:paraId="17FBC0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2" w:type="dxa"/>
            <w:tcBorders>
              <w:top w:val="single" w:color="auto" w:sz="8" w:space="0"/>
              <w:bottom w:val="single" w:color="auto" w:sz="2" w:space="0"/>
              <w:right w:val="single" w:color="auto" w:sz="2" w:space="0"/>
            </w:tcBorders>
            <w:vAlign w:val="center"/>
          </w:tcPr>
          <w:p w14:paraId="1868A686">
            <w:pPr>
              <w:jc w:val="center"/>
              <w:rPr>
                <w:sz w:val="18"/>
                <w:szCs w:val="18"/>
              </w:rPr>
            </w:pPr>
          </w:p>
        </w:tc>
        <w:tc>
          <w:tcPr>
            <w:tcW w:w="1998" w:type="dxa"/>
            <w:tcBorders>
              <w:top w:val="single" w:color="auto" w:sz="8" w:space="0"/>
              <w:left w:val="single" w:color="auto" w:sz="2" w:space="0"/>
              <w:bottom w:val="single" w:color="auto" w:sz="2" w:space="0"/>
              <w:right w:val="single" w:color="auto" w:sz="2" w:space="0"/>
            </w:tcBorders>
            <w:vAlign w:val="center"/>
          </w:tcPr>
          <w:p w14:paraId="525C8881">
            <w:pPr>
              <w:jc w:val="center"/>
              <w:rPr>
                <w:sz w:val="18"/>
                <w:szCs w:val="18"/>
              </w:rPr>
            </w:pPr>
            <w:r>
              <w:rPr>
                <w:sz w:val="18"/>
                <w:szCs w:val="18"/>
              </w:rPr>
              <w:t>汽  油</w:t>
            </w:r>
          </w:p>
        </w:tc>
        <w:tc>
          <w:tcPr>
            <w:tcW w:w="1999" w:type="dxa"/>
            <w:tcBorders>
              <w:top w:val="single" w:color="auto" w:sz="8" w:space="0"/>
              <w:left w:val="single" w:color="auto" w:sz="2" w:space="0"/>
              <w:bottom w:val="single" w:color="auto" w:sz="2" w:space="0"/>
              <w:right w:val="single" w:color="auto" w:sz="2" w:space="0"/>
            </w:tcBorders>
            <w:vAlign w:val="center"/>
          </w:tcPr>
          <w:p w14:paraId="3CD28F44">
            <w:pPr>
              <w:jc w:val="center"/>
              <w:rPr>
                <w:sz w:val="18"/>
                <w:szCs w:val="18"/>
              </w:rPr>
            </w:pPr>
            <w:r>
              <w:rPr>
                <w:sz w:val="18"/>
                <w:szCs w:val="18"/>
              </w:rPr>
              <w:t>煤  油</w:t>
            </w:r>
          </w:p>
        </w:tc>
        <w:tc>
          <w:tcPr>
            <w:tcW w:w="1999" w:type="dxa"/>
            <w:tcBorders>
              <w:top w:val="single" w:color="auto" w:sz="8" w:space="0"/>
              <w:left w:val="single" w:color="auto" w:sz="2" w:space="0"/>
              <w:bottom w:val="single" w:color="auto" w:sz="2" w:space="0"/>
              <w:right w:val="single" w:color="auto" w:sz="2" w:space="0"/>
            </w:tcBorders>
            <w:vAlign w:val="center"/>
          </w:tcPr>
          <w:p w14:paraId="17CAD4E9">
            <w:pPr>
              <w:jc w:val="center"/>
              <w:rPr>
                <w:sz w:val="18"/>
                <w:szCs w:val="18"/>
              </w:rPr>
            </w:pPr>
            <w:r>
              <w:rPr>
                <w:sz w:val="18"/>
                <w:szCs w:val="18"/>
              </w:rPr>
              <w:t>柴  油</w:t>
            </w:r>
          </w:p>
        </w:tc>
        <w:tc>
          <w:tcPr>
            <w:tcW w:w="1999" w:type="dxa"/>
            <w:tcBorders>
              <w:top w:val="single" w:color="auto" w:sz="8" w:space="0"/>
              <w:left w:val="single" w:color="auto" w:sz="2" w:space="0"/>
              <w:bottom w:val="single" w:color="auto" w:sz="2" w:space="0"/>
            </w:tcBorders>
            <w:vAlign w:val="center"/>
          </w:tcPr>
          <w:p w14:paraId="76704B0C">
            <w:pPr>
              <w:jc w:val="center"/>
              <w:rPr>
                <w:sz w:val="18"/>
                <w:szCs w:val="18"/>
              </w:rPr>
            </w:pPr>
            <w:r>
              <w:rPr>
                <w:sz w:val="18"/>
                <w:szCs w:val="18"/>
              </w:rPr>
              <w:t>燃料油</w:t>
            </w:r>
          </w:p>
        </w:tc>
      </w:tr>
      <w:tr w14:paraId="6DE30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12" w:type="dxa"/>
            <w:tcBorders>
              <w:top w:val="single" w:color="auto" w:sz="2" w:space="0"/>
              <w:bottom w:val="single" w:color="auto" w:sz="2" w:space="0"/>
              <w:right w:val="single" w:color="auto" w:sz="2" w:space="0"/>
            </w:tcBorders>
            <w:vAlign w:val="center"/>
          </w:tcPr>
          <w:p w14:paraId="64B3F472">
            <w:pPr>
              <w:spacing w:line="240" w:lineRule="atLeast"/>
              <w:jc w:val="center"/>
              <w:rPr>
                <w:sz w:val="18"/>
                <w:szCs w:val="18"/>
              </w:rPr>
            </w:pPr>
            <w:r>
              <w:rPr>
                <w:sz w:val="18"/>
                <w:szCs w:val="18"/>
              </w:rPr>
              <w:t>甲</w:t>
            </w:r>
          </w:p>
        </w:tc>
        <w:tc>
          <w:tcPr>
            <w:tcW w:w="1998" w:type="dxa"/>
            <w:tcBorders>
              <w:top w:val="single" w:color="auto" w:sz="2" w:space="0"/>
              <w:left w:val="single" w:color="auto" w:sz="2" w:space="0"/>
              <w:bottom w:val="single" w:color="auto" w:sz="2" w:space="0"/>
              <w:right w:val="single" w:color="auto" w:sz="2" w:space="0"/>
            </w:tcBorders>
            <w:vAlign w:val="center"/>
          </w:tcPr>
          <w:p w14:paraId="70ED7AF8">
            <w:pPr>
              <w:spacing w:line="240" w:lineRule="atLeast"/>
              <w:jc w:val="center"/>
              <w:rPr>
                <w:sz w:val="18"/>
                <w:szCs w:val="18"/>
              </w:rPr>
            </w:pPr>
            <w:r>
              <w:rPr>
                <w:sz w:val="18"/>
                <w:szCs w:val="18"/>
              </w:rPr>
              <w:t>1</w:t>
            </w:r>
          </w:p>
        </w:tc>
        <w:tc>
          <w:tcPr>
            <w:tcW w:w="1999" w:type="dxa"/>
            <w:tcBorders>
              <w:top w:val="single" w:color="auto" w:sz="2" w:space="0"/>
              <w:left w:val="single" w:color="auto" w:sz="2" w:space="0"/>
              <w:bottom w:val="single" w:color="auto" w:sz="2" w:space="0"/>
              <w:right w:val="single" w:color="auto" w:sz="2" w:space="0"/>
            </w:tcBorders>
            <w:vAlign w:val="center"/>
          </w:tcPr>
          <w:p w14:paraId="5E3CBC84">
            <w:pPr>
              <w:spacing w:line="240" w:lineRule="atLeast"/>
              <w:jc w:val="center"/>
              <w:rPr>
                <w:sz w:val="18"/>
                <w:szCs w:val="18"/>
              </w:rPr>
            </w:pPr>
            <w:r>
              <w:rPr>
                <w:sz w:val="18"/>
                <w:szCs w:val="18"/>
              </w:rPr>
              <w:t>2</w:t>
            </w:r>
          </w:p>
        </w:tc>
        <w:tc>
          <w:tcPr>
            <w:tcW w:w="1999" w:type="dxa"/>
            <w:tcBorders>
              <w:top w:val="single" w:color="auto" w:sz="2" w:space="0"/>
              <w:left w:val="single" w:color="auto" w:sz="2" w:space="0"/>
              <w:bottom w:val="single" w:color="auto" w:sz="2" w:space="0"/>
              <w:right w:val="single" w:color="auto" w:sz="2" w:space="0"/>
            </w:tcBorders>
            <w:vAlign w:val="center"/>
          </w:tcPr>
          <w:p w14:paraId="36747DE6">
            <w:pPr>
              <w:spacing w:line="240" w:lineRule="atLeast"/>
              <w:jc w:val="center"/>
              <w:rPr>
                <w:sz w:val="18"/>
                <w:szCs w:val="18"/>
              </w:rPr>
            </w:pPr>
            <w:r>
              <w:rPr>
                <w:sz w:val="18"/>
                <w:szCs w:val="18"/>
              </w:rPr>
              <w:t>3</w:t>
            </w:r>
          </w:p>
        </w:tc>
        <w:tc>
          <w:tcPr>
            <w:tcW w:w="1999" w:type="dxa"/>
            <w:tcBorders>
              <w:top w:val="single" w:color="auto" w:sz="2" w:space="0"/>
              <w:left w:val="single" w:color="auto" w:sz="2" w:space="0"/>
              <w:bottom w:val="single" w:color="auto" w:sz="2" w:space="0"/>
            </w:tcBorders>
            <w:vAlign w:val="center"/>
          </w:tcPr>
          <w:p w14:paraId="08DF347C">
            <w:pPr>
              <w:spacing w:line="240" w:lineRule="atLeast"/>
              <w:jc w:val="center"/>
              <w:rPr>
                <w:sz w:val="18"/>
                <w:szCs w:val="18"/>
              </w:rPr>
            </w:pPr>
            <w:r>
              <w:rPr>
                <w:sz w:val="18"/>
                <w:szCs w:val="18"/>
              </w:rPr>
              <w:t>4</w:t>
            </w:r>
          </w:p>
        </w:tc>
      </w:tr>
      <w:tr w14:paraId="5B25D6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412" w:type="dxa"/>
            <w:tcBorders>
              <w:top w:val="single" w:color="auto" w:sz="2" w:space="0"/>
              <w:bottom w:val="nil"/>
              <w:right w:val="single" w:color="auto" w:sz="2" w:space="0"/>
            </w:tcBorders>
            <w:vAlign w:val="center"/>
          </w:tcPr>
          <w:p w14:paraId="4AC22D75">
            <w:pPr>
              <w:jc w:val="center"/>
              <w:rPr>
                <w:sz w:val="18"/>
                <w:szCs w:val="18"/>
              </w:rPr>
            </w:pPr>
            <w:r>
              <w:rPr>
                <w:sz w:val="18"/>
                <w:szCs w:val="18"/>
              </w:rPr>
              <w:t>国际航空</w:t>
            </w:r>
          </w:p>
        </w:tc>
        <w:tc>
          <w:tcPr>
            <w:tcW w:w="7995" w:type="dxa"/>
            <w:gridSpan w:val="4"/>
            <w:vMerge w:val="restart"/>
            <w:tcBorders>
              <w:top w:val="single" w:color="auto" w:sz="2" w:space="0"/>
              <w:left w:val="single" w:color="auto" w:sz="2" w:space="0"/>
            </w:tcBorders>
            <w:vAlign w:val="center"/>
          </w:tcPr>
          <w:p w14:paraId="51498D84">
            <w:pPr>
              <w:jc w:val="center"/>
              <w:rPr>
                <w:sz w:val="18"/>
                <w:szCs w:val="18"/>
              </w:rPr>
            </w:pPr>
          </w:p>
        </w:tc>
      </w:tr>
      <w:tr w14:paraId="6227B5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412" w:type="dxa"/>
            <w:tcBorders>
              <w:top w:val="nil"/>
              <w:bottom w:val="single" w:color="auto" w:sz="8" w:space="0"/>
              <w:right w:val="single" w:color="auto" w:sz="2" w:space="0"/>
            </w:tcBorders>
            <w:vAlign w:val="center"/>
          </w:tcPr>
          <w:p w14:paraId="068C6915">
            <w:pPr>
              <w:jc w:val="center"/>
              <w:rPr>
                <w:sz w:val="18"/>
                <w:szCs w:val="18"/>
              </w:rPr>
            </w:pPr>
            <w:r>
              <w:rPr>
                <w:sz w:val="18"/>
                <w:szCs w:val="18"/>
              </w:rPr>
              <w:t>国际海运</w:t>
            </w:r>
          </w:p>
        </w:tc>
        <w:tc>
          <w:tcPr>
            <w:tcW w:w="7995" w:type="dxa"/>
            <w:gridSpan w:val="4"/>
            <w:vMerge w:val="continue"/>
            <w:tcBorders>
              <w:left w:val="single" w:color="auto" w:sz="2" w:space="0"/>
              <w:bottom w:val="single" w:color="auto" w:sz="8" w:space="0"/>
            </w:tcBorders>
            <w:vAlign w:val="center"/>
          </w:tcPr>
          <w:p w14:paraId="24B3F8A8">
            <w:pPr>
              <w:jc w:val="center"/>
              <w:rPr>
                <w:sz w:val="18"/>
                <w:szCs w:val="18"/>
              </w:rPr>
            </w:pPr>
          </w:p>
        </w:tc>
      </w:tr>
    </w:tbl>
    <w:p w14:paraId="35737F24">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14:paraId="2BF33C65">
      <w:pPr>
        <w:spacing w:line="240" w:lineRule="exact"/>
        <w:ind w:right="-40"/>
        <w:rPr>
          <w:b/>
          <w:sz w:val="18"/>
          <w:szCs w:val="18"/>
        </w:rPr>
      </w:pPr>
    </w:p>
    <w:p w14:paraId="3A6165C2">
      <w:pPr>
        <w:spacing w:line="240" w:lineRule="exact"/>
        <w:ind w:right="-40"/>
        <w:rPr>
          <w:sz w:val="18"/>
          <w:szCs w:val="18"/>
        </w:rPr>
      </w:pPr>
      <w:r>
        <w:rPr>
          <w:sz w:val="18"/>
          <w:szCs w:val="18"/>
        </w:rPr>
        <w:t>说明：1.统计范围：辖区内除军队系统以外的全部能源生产和消费活动。</w:t>
      </w:r>
    </w:p>
    <w:p w14:paraId="2024AB18">
      <w:pPr>
        <w:spacing w:line="240" w:lineRule="exact"/>
        <w:ind w:left="667" w:leftChars="258" w:right="-40" w:hanging="125" w:hangingChars="70"/>
        <w:rPr>
          <w:sz w:val="18"/>
          <w:szCs w:val="18"/>
        </w:rPr>
      </w:pPr>
      <w:r>
        <w:rPr>
          <w:sz w:val="18"/>
          <w:szCs w:val="18"/>
        </w:rPr>
        <w:t>2.本表由各省、自治区、直辖市统计局根据现有资料加工编制并负责报送。报送时间为次年5月31日前，报送方式为电子邮件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5A7C68FC">
      <w:pPr>
        <w:spacing w:line="240" w:lineRule="exact"/>
        <w:ind w:right="-40" w:firstLine="540" w:firstLineChars="300"/>
        <w:rPr>
          <w:sz w:val="18"/>
          <w:szCs w:val="18"/>
        </w:rPr>
      </w:pPr>
      <w:r>
        <w:rPr>
          <w:sz w:val="18"/>
          <w:szCs w:val="18"/>
        </w:rPr>
        <w:t>3.平衡关系：</w:t>
      </w:r>
    </w:p>
    <w:p w14:paraId="14CAC1FA">
      <w:pPr>
        <w:spacing w:line="240" w:lineRule="exact"/>
        <w:ind w:right="-40" w:firstLine="673" w:firstLineChars="374"/>
        <w:rPr>
          <w:sz w:val="18"/>
          <w:szCs w:val="18"/>
        </w:rPr>
      </w:pPr>
      <w:r>
        <w:rPr>
          <w:sz w:val="18"/>
          <w:szCs w:val="18"/>
        </w:rPr>
        <w:t>列平衡关系：(1)第1列煤合计=2+7+8+9</w:t>
      </w:r>
      <w:r>
        <w:rPr>
          <w:rFonts w:hint="eastAsia"/>
          <w:sz w:val="18"/>
          <w:szCs w:val="18"/>
        </w:rPr>
        <w:t>（01—39行</w:t>
      </w:r>
      <w:r>
        <w:rPr>
          <w:sz w:val="18"/>
          <w:szCs w:val="18"/>
        </w:rPr>
        <w:t xml:space="preserve">） </w:t>
      </w:r>
    </w:p>
    <w:p w14:paraId="79A704FE">
      <w:pPr>
        <w:spacing w:line="240" w:lineRule="exact"/>
        <w:ind w:right="-40" w:firstLine="1753" w:firstLineChars="974"/>
        <w:rPr>
          <w:sz w:val="18"/>
          <w:szCs w:val="18"/>
        </w:rPr>
      </w:pPr>
      <w:r>
        <w:rPr>
          <w:sz w:val="18"/>
          <w:szCs w:val="18"/>
        </w:rPr>
        <w:t xml:space="preserve">(2)第2列原煤=3+4+5+6 </w:t>
      </w:r>
    </w:p>
    <w:p w14:paraId="2648BF4A">
      <w:pPr>
        <w:spacing w:line="240" w:lineRule="exact"/>
        <w:ind w:right="-40" w:firstLine="1753" w:firstLineChars="974"/>
        <w:rPr>
          <w:sz w:val="18"/>
          <w:szCs w:val="18"/>
        </w:rPr>
      </w:pPr>
      <w:r>
        <w:rPr>
          <w:sz w:val="18"/>
          <w:szCs w:val="18"/>
        </w:rPr>
        <w:t>(3)第17列</w:t>
      </w:r>
      <w:r>
        <w:rPr>
          <w:rFonts w:hint="eastAsia"/>
          <w:sz w:val="18"/>
          <w:szCs w:val="18"/>
        </w:rPr>
        <w:t>油品</w:t>
      </w:r>
      <w:r>
        <w:rPr>
          <w:sz w:val="18"/>
          <w:szCs w:val="18"/>
        </w:rPr>
        <w:t>合计=18+19+……+31</w:t>
      </w:r>
      <w:r>
        <w:rPr>
          <w:rFonts w:hint="eastAsia"/>
          <w:sz w:val="18"/>
          <w:szCs w:val="18"/>
        </w:rPr>
        <w:t>（01—39行</w:t>
      </w:r>
      <w:r>
        <w:rPr>
          <w:sz w:val="18"/>
          <w:szCs w:val="18"/>
        </w:rPr>
        <w:t>）</w:t>
      </w:r>
    </w:p>
    <w:p w14:paraId="1A86A84E">
      <w:pPr>
        <w:spacing w:line="240" w:lineRule="exact"/>
        <w:ind w:right="-40" w:firstLine="667" w:firstLineChars="371"/>
        <w:rPr>
          <w:sz w:val="18"/>
          <w:szCs w:val="18"/>
        </w:rPr>
      </w:pPr>
      <w:r>
        <w:rPr>
          <w:sz w:val="18"/>
          <w:szCs w:val="18"/>
        </w:rPr>
        <w:t>行平衡关系：(1)平衡差额(39)=01+11-23-25</w:t>
      </w:r>
    </w:p>
    <w:p w14:paraId="6E966035">
      <w:pPr>
        <w:spacing w:line="240" w:lineRule="exact"/>
        <w:ind w:right="-40" w:firstLine="1753" w:firstLineChars="974"/>
        <w:rPr>
          <w:sz w:val="18"/>
          <w:szCs w:val="18"/>
        </w:rPr>
      </w:pPr>
      <w:r>
        <w:rPr>
          <w:sz w:val="18"/>
          <w:szCs w:val="18"/>
        </w:rPr>
        <w:t>(2)消费量合计(40)=加工转换投入量(加工转换部分的全部负值求和后取绝对值)+23+25</w:t>
      </w:r>
    </w:p>
    <w:p w14:paraId="3B000407">
      <w:pPr>
        <w:spacing w:line="240" w:lineRule="exact"/>
        <w:ind w:right="-40" w:firstLine="1753" w:firstLineChars="974"/>
        <w:rPr>
          <w:sz w:val="18"/>
          <w:szCs w:val="18"/>
        </w:rPr>
      </w:pPr>
      <w:r>
        <w:rPr>
          <w:sz w:val="18"/>
          <w:szCs w:val="18"/>
        </w:rPr>
        <w:t>(3)可供本地区消费的能源量(01)=02+03+……+10</w:t>
      </w:r>
    </w:p>
    <w:p w14:paraId="5E22922D">
      <w:pPr>
        <w:spacing w:line="240" w:lineRule="exact"/>
        <w:ind w:right="-40" w:firstLine="1753" w:firstLineChars="974"/>
        <w:rPr>
          <w:sz w:val="18"/>
          <w:szCs w:val="18"/>
        </w:rPr>
      </w:pPr>
      <w:r>
        <w:rPr>
          <w:sz w:val="18"/>
          <w:szCs w:val="18"/>
        </w:rPr>
        <w:t xml:space="preserve">(4)加工转换投入产出(11)=12+13+……+22                 </w:t>
      </w:r>
    </w:p>
    <w:p w14:paraId="1F7FB180">
      <w:pPr>
        <w:spacing w:line="240" w:lineRule="exact"/>
        <w:ind w:right="-40" w:firstLine="1753" w:firstLineChars="974"/>
        <w:rPr>
          <w:sz w:val="18"/>
          <w:szCs w:val="18"/>
        </w:rPr>
      </w:pPr>
      <w:r>
        <w:rPr>
          <w:sz w:val="18"/>
          <w:szCs w:val="18"/>
        </w:rPr>
        <w:t>(5)损失量(23)≥24</w:t>
      </w:r>
    </w:p>
    <w:p w14:paraId="76C14A61">
      <w:pPr>
        <w:spacing w:line="240" w:lineRule="exact"/>
        <w:ind w:right="-40" w:firstLine="1753" w:firstLineChars="974"/>
        <w:rPr>
          <w:sz w:val="18"/>
          <w:szCs w:val="18"/>
        </w:rPr>
      </w:pPr>
      <w:r>
        <w:rPr>
          <w:sz w:val="18"/>
          <w:szCs w:val="18"/>
        </w:rPr>
        <w:t xml:space="preserve">(6)终端消费量(25)=26+28+32+36                         </w:t>
      </w:r>
    </w:p>
    <w:p w14:paraId="64CA1B17">
      <w:pPr>
        <w:spacing w:line="240" w:lineRule="exact"/>
        <w:ind w:right="-40" w:firstLine="1753" w:firstLineChars="974"/>
        <w:rPr>
          <w:sz w:val="18"/>
          <w:szCs w:val="18"/>
        </w:rPr>
      </w:pPr>
      <w:r>
        <w:rPr>
          <w:sz w:val="18"/>
          <w:szCs w:val="18"/>
        </w:rPr>
        <w:t>(7)</w:t>
      </w:r>
      <w:r>
        <w:rPr>
          <w:rFonts w:hint="eastAsia"/>
          <w:sz w:val="18"/>
          <w:szCs w:val="18"/>
        </w:rPr>
        <w:t>农、林、牧、渔业</w:t>
      </w:r>
      <w:r>
        <w:rPr>
          <w:sz w:val="18"/>
          <w:szCs w:val="18"/>
        </w:rPr>
        <w:t>(26)=27</w:t>
      </w:r>
    </w:p>
    <w:p w14:paraId="20B27106">
      <w:pPr>
        <w:spacing w:line="240" w:lineRule="exact"/>
        <w:ind w:right="-40" w:firstLine="1753" w:firstLineChars="974"/>
        <w:rPr>
          <w:sz w:val="18"/>
          <w:szCs w:val="18"/>
        </w:rPr>
      </w:pPr>
      <w:r>
        <w:rPr>
          <w:sz w:val="18"/>
          <w:szCs w:val="18"/>
        </w:rPr>
        <w:t>(8)</w:t>
      </w:r>
      <w:r>
        <w:rPr>
          <w:rFonts w:hint="eastAsia"/>
          <w:sz w:val="18"/>
          <w:szCs w:val="18"/>
        </w:rPr>
        <w:t>工业和建筑业</w:t>
      </w:r>
      <w:r>
        <w:rPr>
          <w:sz w:val="18"/>
          <w:szCs w:val="18"/>
        </w:rPr>
        <w:t xml:space="preserve">(28)=29+31                                 </w:t>
      </w:r>
    </w:p>
    <w:p w14:paraId="152F42D2">
      <w:pPr>
        <w:spacing w:line="240" w:lineRule="exact"/>
        <w:ind w:right="-40" w:firstLine="1753" w:firstLineChars="974"/>
        <w:rPr>
          <w:sz w:val="18"/>
          <w:szCs w:val="18"/>
        </w:rPr>
      </w:pPr>
      <w:r>
        <w:rPr>
          <w:sz w:val="18"/>
          <w:szCs w:val="18"/>
        </w:rPr>
        <w:t>(9)工业(29)≥30</w:t>
      </w:r>
    </w:p>
    <w:p w14:paraId="023C37AE">
      <w:pPr>
        <w:spacing w:line="240" w:lineRule="exact"/>
        <w:ind w:right="-40" w:firstLine="1753" w:firstLineChars="974"/>
        <w:rPr>
          <w:sz w:val="18"/>
          <w:szCs w:val="18"/>
        </w:rPr>
      </w:pPr>
      <w:r>
        <w:rPr>
          <w:sz w:val="18"/>
          <w:szCs w:val="18"/>
        </w:rPr>
        <w:t>(10)</w:t>
      </w:r>
      <w:r>
        <w:rPr>
          <w:rFonts w:hint="eastAsia"/>
          <w:sz w:val="18"/>
          <w:szCs w:val="18"/>
        </w:rPr>
        <w:t>服务业</w:t>
      </w:r>
      <w:r>
        <w:rPr>
          <w:rFonts w:hint="eastAsia"/>
          <w:kern w:val="0"/>
          <w:sz w:val="18"/>
          <w:szCs w:val="18"/>
          <w:vertAlign w:val="superscript"/>
        </w:rPr>
        <w:t>*</w:t>
      </w:r>
      <w:r>
        <w:rPr>
          <w:rFonts w:hint="eastAsia"/>
          <w:sz w:val="18"/>
          <w:szCs w:val="18"/>
        </w:rPr>
        <w:t xml:space="preserve"> </w:t>
      </w:r>
      <w:r>
        <w:rPr>
          <w:sz w:val="18"/>
          <w:szCs w:val="18"/>
        </w:rPr>
        <w:t xml:space="preserve">(32)=33+34+35                             </w:t>
      </w:r>
    </w:p>
    <w:p w14:paraId="43EBE34D">
      <w:pPr>
        <w:spacing w:line="240" w:lineRule="exact"/>
        <w:ind w:right="-40" w:firstLine="1753" w:firstLineChars="974"/>
        <w:rPr>
          <w:sz w:val="18"/>
          <w:szCs w:val="18"/>
        </w:rPr>
      </w:pPr>
      <w:r>
        <w:rPr>
          <w:sz w:val="18"/>
          <w:szCs w:val="18"/>
        </w:rPr>
        <w:t>(11)</w:t>
      </w:r>
      <w:r>
        <w:rPr>
          <w:rFonts w:hint="eastAsia"/>
          <w:sz w:val="18"/>
          <w:szCs w:val="18"/>
        </w:rPr>
        <w:t>居民</w:t>
      </w:r>
      <w:r>
        <w:rPr>
          <w:sz w:val="18"/>
          <w:szCs w:val="18"/>
        </w:rPr>
        <w:t>生活(36)=37+38</w:t>
      </w:r>
    </w:p>
    <w:p w14:paraId="02D1A1E8">
      <w:pPr>
        <w:spacing w:line="240" w:lineRule="exact"/>
        <w:ind w:right="-40" w:firstLine="540" w:firstLineChars="300"/>
        <w:rPr>
          <w:sz w:val="18"/>
          <w:szCs w:val="18"/>
        </w:rPr>
      </w:pPr>
      <w:r>
        <w:rPr>
          <w:sz w:val="18"/>
          <w:szCs w:val="18"/>
        </w:rPr>
        <w:t>4.电力产量：合计(1)=2+3+4+5+6+7+8</w:t>
      </w:r>
    </w:p>
    <w:p w14:paraId="0B74AD85">
      <w:pPr>
        <w:spacing w:line="240" w:lineRule="exact"/>
        <w:ind w:right="-40" w:firstLine="540" w:firstLineChars="300"/>
        <w:rPr>
          <w:sz w:val="18"/>
          <w:szCs w:val="18"/>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r>
        <w:rPr>
          <w:sz w:val="18"/>
          <w:szCs w:val="18"/>
        </w:rPr>
        <w:t>5.国际燃料舱指用于国际海运和航空航线轮船和飞机的消费量。</w:t>
      </w:r>
    </w:p>
    <w:p w14:paraId="45964C75">
      <w:pPr>
        <w:spacing w:before="480" w:beforeLines="200" w:after="240" w:afterLines="100"/>
        <w:jc w:val="center"/>
        <w:outlineLvl w:val="2"/>
        <w:rPr>
          <w:sz w:val="32"/>
          <w:szCs w:val="32"/>
        </w:rPr>
      </w:pPr>
      <w:r>
        <w:rPr>
          <w:rFonts w:hint="eastAsia"/>
          <w:sz w:val="32"/>
          <w:szCs w:val="32"/>
        </w:rPr>
        <w:t>分行业能源消费量（实物量）</w:t>
      </w:r>
      <w:r>
        <w:rPr>
          <w:sz w:val="32"/>
          <w:szCs w:val="32"/>
        </w:rPr>
        <w:br w:type="textWrapping"/>
      </w:r>
      <w:r>
        <w:rPr>
          <w:rFonts w:hint="eastAsia"/>
          <w:sz w:val="32"/>
          <w:szCs w:val="32"/>
        </w:rPr>
        <w:t>（包括中间投入和损失量）</w:t>
      </w:r>
    </w:p>
    <w:tbl>
      <w:tblPr>
        <w:tblStyle w:val="20"/>
        <w:tblW w:w="9402" w:type="dxa"/>
        <w:jc w:val="center"/>
        <w:tblLayout w:type="autofit"/>
        <w:tblCellMar>
          <w:top w:w="0" w:type="dxa"/>
          <w:left w:w="0" w:type="dxa"/>
          <w:bottom w:w="0" w:type="dxa"/>
          <w:right w:w="0" w:type="dxa"/>
        </w:tblCellMar>
      </w:tblPr>
      <w:tblGrid>
        <w:gridCol w:w="3460"/>
        <w:gridCol w:w="735"/>
        <w:gridCol w:w="2446"/>
        <w:gridCol w:w="850"/>
        <w:gridCol w:w="1911"/>
      </w:tblGrid>
      <w:tr w14:paraId="276B1756">
        <w:tblPrEx>
          <w:tblCellMar>
            <w:top w:w="0" w:type="dxa"/>
            <w:left w:w="0" w:type="dxa"/>
            <w:bottom w:w="0" w:type="dxa"/>
            <w:right w:w="0" w:type="dxa"/>
          </w:tblCellMar>
        </w:tblPrEx>
        <w:trPr>
          <w:jc w:val="center"/>
        </w:trPr>
        <w:tc>
          <w:tcPr>
            <w:tcW w:w="3460" w:type="dxa"/>
          </w:tcPr>
          <w:p w14:paraId="01BAD06E">
            <w:pPr>
              <w:spacing w:line="260" w:lineRule="exact"/>
              <w:rPr>
                <w:sz w:val="18"/>
                <w:szCs w:val="18"/>
              </w:rPr>
            </w:pPr>
          </w:p>
        </w:tc>
        <w:tc>
          <w:tcPr>
            <w:tcW w:w="735" w:type="dxa"/>
          </w:tcPr>
          <w:p w14:paraId="0BBE2F77">
            <w:pPr>
              <w:spacing w:line="260" w:lineRule="exact"/>
              <w:rPr>
                <w:sz w:val="18"/>
                <w:szCs w:val="18"/>
              </w:rPr>
            </w:pPr>
          </w:p>
        </w:tc>
        <w:tc>
          <w:tcPr>
            <w:tcW w:w="2446" w:type="dxa"/>
          </w:tcPr>
          <w:p w14:paraId="605F9CB2">
            <w:pPr>
              <w:spacing w:line="260" w:lineRule="exact"/>
              <w:rPr>
                <w:sz w:val="18"/>
                <w:szCs w:val="18"/>
              </w:rPr>
            </w:pPr>
            <w:r>
              <w:rPr>
                <w:sz w:val="18"/>
                <w:szCs w:val="18"/>
              </w:rPr>
              <w:t>　　　　　　　　　　　　　</w:t>
            </w:r>
          </w:p>
        </w:tc>
        <w:tc>
          <w:tcPr>
            <w:tcW w:w="850" w:type="dxa"/>
            <w:tcMar>
              <w:left w:w="0" w:type="dxa"/>
              <w:right w:w="0" w:type="dxa"/>
            </w:tcMar>
          </w:tcPr>
          <w:p w14:paraId="7898E3E6">
            <w:pPr>
              <w:spacing w:line="260" w:lineRule="exact"/>
              <w:rPr>
                <w:sz w:val="18"/>
                <w:szCs w:val="18"/>
              </w:rPr>
            </w:pPr>
            <w:r>
              <w:rPr>
                <w:sz w:val="18"/>
                <w:szCs w:val="18"/>
              </w:rPr>
              <w:t>表    号：</w:t>
            </w:r>
          </w:p>
        </w:tc>
        <w:tc>
          <w:tcPr>
            <w:tcW w:w="1911" w:type="dxa"/>
            <w:vAlign w:val="center"/>
          </w:tcPr>
          <w:p w14:paraId="50DB8E20">
            <w:pPr>
              <w:spacing w:line="260" w:lineRule="exact"/>
              <w:jc w:val="distribute"/>
              <w:rPr>
                <w:sz w:val="18"/>
                <w:szCs w:val="18"/>
              </w:rPr>
            </w:pPr>
            <w:r>
              <w:rPr>
                <w:sz w:val="18"/>
                <w:szCs w:val="18"/>
              </w:rPr>
              <w:t>Ｐ３０３－２表</w:t>
            </w:r>
          </w:p>
        </w:tc>
      </w:tr>
      <w:tr w14:paraId="6324CFC9">
        <w:tblPrEx>
          <w:tblCellMar>
            <w:top w:w="0" w:type="dxa"/>
            <w:left w:w="0" w:type="dxa"/>
            <w:bottom w:w="0" w:type="dxa"/>
            <w:right w:w="0" w:type="dxa"/>
          </w:tblCellMar>
        </w:tblPrEx>
        <w:trPr>
          <w:jc w:val="center"/>
        </w:trPr>
        <w:tc>
          <w:tcPr>
            <w:tcW w:w="3460" w:type="dxa"/>
          </w:tcPr>
          <w:p w14:paraId="728202A5">
            <w:pPr>
              <w:spacing w:line="260" w:lineRule="exact"/>
              <w:rPr>
                <w:sz w:val="18"/>
                <w:szCs w:val="18"/>
              </w:rPr>
            </w:pPr>
          </w:p>
        </w:tc>
        <w:tc>
          <w:tcPr>
            <w:tcW w:w="735" w:type="dxa"/>
          </w:tcPr>
          <w:p w14:paraId="58F8A26D">
            <w:pPr>
              <w:spacing w:line="260" w:lineRule="exact"/>
              <w:rPr>
                <w:sz w:val="18"/>
                <w:szCs w:val="18"/>
              </w:rPr>
            </w:pPr>
          </w:p>
        </w:tc>
        <w:tc>
          <w:tcPr>
            <w:tcW w:w="2446" w:type="dxa"/>
          </w:tcPr>
          <w:p w14:paraId="2569FFF3">
            <w:pPr>
              <w:spacing w:line="260" w:lineRule="exact"/>
              <w:rPr>
                <w:sz w:val="18"/>
                <w:szCs w:val="18"/>
              </w:rPr>
            </w:pPr>
          </w:p>
        </w:tc>
        <w:tc>
          <w:tcPr>
            <w:tcW w:w="850" w:type="dxa"/>
            <w:tcMar>
              <w:left w:w="0" w:type="dxa"/>
              <w:right w:w="0" w:type="dxa"/>
            </w:tcMar>
            <w:vAlign w:val="center"/>
          </w:tcPr>
          <w:p w14:paraId="6479B6ED">
            <w:pPr>
              <w:spacing w:line="260" w:lineRule="exact"/>
              <w:rPr>
                <w:sz w:val="18"/>
                <w:szCs w:val="18"/>
              </w:rPr>
            </w:pPr>
            <w:r>
              <w:rPr>
                <w:sz w:val="18"/>
                <w:szCs w:val="18"/>
              </w:rPr>
              <w:t>制定机关：</w:t>
            </w:r>
          </w:p>
        </w:tc>
        <w:tc>
          <w:tcPr>
            <w:tcW w:w="1911" w:type="dxa"/>
            <w:vAlign w:val="center"/>
          </w:tcPr>
          <w:p w14:paraId="27E5D2A1">
            <w:pPr>
              <w:spacing w:line="260" w:lineRule="exact"/>
              <w:jc w:val="distribute"/>
              <w:rPr>
                <w:sz w:val="18"/>
                <w:szCs w:val="18"/>
              </w:rPr>
            </w:pPr>
            <w:r>
              <w:rPr>
                <w:sz w:val="18"/>
                <w:szCs w:val="18"/>
              </w:rPr>
              <w:t>国 家 统 计 局</w:t>
            </w:r>
          </w:p>
        </w:tc>
      </w:tr>
      <w:tr w14:paraId="05D33C7F">
        <w:tblPrEx>
          <w:tblCellMar>
            <w:top w:w="0" w:type="dxa"/>
            <w:left w:w="0" w:type="dxa"/>
            <w:bottom w:w="0" w:type="dxa"/>
            <w:right w:w="0" w:type="dxa"/>
          </w:tblCellMar>
        </w:tblPrEx>
        <w:trPr>
          <w:jc w:val="center"/>
        </w:trPr>
        <w:tc>
          <w:tcPr>
            <w:tcW w:w="3460" w:type="dxa"/>
          </w:tcPr>
          <w:p w14:paraId="4572C427">
            <w:pPr>
              <w:spacing w:line="260" w:lineRule="exact"/>
              <w:rPr>
                <w:sz w:val="18"/>
                <w:szCs w:val="18"/>
              </w:rPr>
            </w:pPr>
          </w:p>
        </w:tc>
        <w:tc>
          <w:tcPr>
            <w:tcW w:w="735" w:type="dxa"/>
          </w:tcPr>
          <w:p w14:paraId="52BAF225">
            <w:pPr>
              <w:spacing w:line="260" w:lineRule="exact"/>
              <w:rPr>
                <w:sz w:val="18"/>
                <w:szCs w:val="18"/>
              </w:rPr>
            </w:pPr>
          </w:p>
        </w:tc>
        <w:tc>
          <w:tcPr>
            <w:tcW w:w="2446" w:type="dxa"/>
          </w:tcPr>
          <w:p w14:paraId="058CC7B3">
            <w:pPr>
              <w:spacing w:line="260" w:lineRule="exact"/>
              <w:rPr>
                <w:sz w:val="18"/>
                <w:szCs w:val="18"/>
              </w:rPr>
            </w:pPr>
          </w:p>
        </w:tc>
        <w:tc>
          <w:tcPr>
            <w:tcW w:w="850" w:type="dxa"/>
            <w:tcMar>
              <w:left w:w="0" w:type="dxa"/>
              <w:right w:w="0" w:type="dxa"/>
            </w:tcMar>
            <w:vAlign w:val="center"/>
          </w:tcPr>
          <w:p w14:paraId="288D236E">
            <w:pPr>
              <w:spacing w:line="260" w:lineRule="exact"/>
              <w:rPr>
                <w:sz w:val="18"/>
                <w:szCs w:val="18"/>
              </w:rPr>
            </w:pPr>
            <w:r>
              <w:rPr>
                <w:sz w:val="18"/>
                <w:szCs w:val="18"/>
              </w:rPr>
              <w:t>文    号：</w:t>
            </w:r>
          </w:p>
        </w:tc>
        <w:tc>
          <w:tcPr>
            <w:tcW w:w="1911" w:type="dxa"/>
            <w:vAlign w:val="center"/>
          </w:tcPr>
          <w:p w14:paraId="05ED3706">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265" w:author="kylin" w:date="2025-10-17T16:20:35Z">
              <w:r>
                <w:rPr>
                  <w:rFonts w:hint="default" w:ascii="宋体" w:hAnsi="宋体"/>
                  <w:spacing w:val="-16"/>
                  <w:sz w:val="18"/>
                  <w:szCs w:val="18"/>
                  <w:lang w:val="en-US" w:eastAsia="zh-CN"/>
                </w:rPr>
                <w:delText>４</w:delText>
              </w:r>
            </w:del>
            <w:ins w:id="266" w:author="kylin" w:date="2025-10-17T16:20:35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267" w:author="kylin" w:date="2025-10-17T16:20:38Z">
              <w:r>
                <w:rPr>
                  <w:rFonts w:hint="default" w:ascii="宋体" w:hAnsi="宋体"/>
                  <w:spacing w:val="-16"/>
                  <w:sz w:val="18"/>
                  <w:szCs w:val="18"/>
                  <w:lang w:val="en-US" w:eastAsia="zh-CN"/>
                </w:rPr>
                <w:delText>77</w:delText>
              </w:r>
            </w:del>
            <w:ins w:id="268" w:author="kylin" w:date="2025-10-17T16:20:38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0BE3A7B2">
        <w:tblPrEx>
          <w:tblCellMar>
            <w:top w:w="0" w:type="dxa"/>
            <w:left w:w="0" w:type="dxa"/>
            <w:bottom w:w="0" w:type="dxa"/>
            <w:right w:w="0" w:type="dxa"/>
          </w:tblCellMar>
        </w:tblPrEx>
        <w:trPr>
          <w:jc w:val="center"/>
        </w:trPr>
        <w:tc>
          <w:tcPr>
            <w:tcW w:w="3460" w:type="dxa"/>
          </w:tcPr>
          <w:p w14:paraId="6D2301CE">
            <w:pPr>
              <w:spacing w:line="260" w:lineRule="exact"/>
              <w:rPr>
                <w:sz w:val="18"/>
                <w:szCs w:val="18"/>
              </w:rPr>
            </w:pPr>
            <w:r>
              <w:rPr>
                <w:sz w:val="18"/>
              </w:rPr>
              <w:t>综合机关名称：</w:t>
            </w:r>
          </w:p>
        </w:tc>
        <w:tc>
          <w:tcPr>
            <w:tcW w:w="735" w:type="dxa"/>
          </w:tcPr>
          <w:p w14:paraId="43C1BDFE">
            <w:pPr>
              <w:spacing w:line="260" w:lineRule="exact"/>
              <w:rPr>
                <w:sz w:val="18"/>
                <w:szCs w:val="18"/>
              </w:rPr>
            </w:pPr>
          </w:p>
        </w:tc>
        <w:tc>
          <w:tcPr>
            <w:tcW w:w="2446" w:type="dxa"/>
          </w:tcPr>
          <w:p w14:paraId="3B9631C9">
            <w:pPr>
              <w:spacing w:line="260" w:lineRule="exact"/>
              <w:rPr>
                <w:sz w:val="18"/>
                <w:szCs w:val="18"/>
              </w:rPr>
            </w:pPr>
            <w:r>
              <w:rPr>
                <w:sz w:val="18"/>
                <w:szCs w:val="18"/>
              </w:rPr>
              <w:t>２０　　年　　　　　　　　　</w:t>
            </w:r>
          </w:p>
        </w:tc>
        <w:tc>
          <w:tcPr>
            <w:tcW w:w="850" w:type="dxa"/>
            <w:tcMar>
              <w:left w:w="0" w:type="dxa"/>
              <w:right w:w="0" w:type="dxa"/>
            </w:tcMar>
            <w:vAlign w:val="center"/>
          </w:tcPr>
          <w:p w14:paraId="531DE80A">
            <w:pPr>
              <w:spacing w:line="260" w:lineRule="exact"/>
              <w:rPr>
                <w:sz w:val="18"/>
                <w:szCs w:val="18"/>
              </w:rPr>
            </w:pPr>
            <w:r>
              <w:rPr>
                <w:sz w:val="18"/>
                <w:szCs w:val="18"/>
              </w:rPr>
              <w:t>有效期至：</w:t>
            </w:r>
          </w:p>
        </w:tc>
        <w:tc>
          <w:tcPr>
            <w:tcW w:w="1911" w:type="dxa"/>
            <w:vAlign w:val="center"/>
          </w:tcPr>
          <w:p w14:paraId="3CA384A1">
            <w:pPr>
              <w:spacing w:line="260" w:lineRule="exact"/>
              <w:jc w:val="distribute"/>
              <w:rPr>
                <w:rFonts w:hint="default"/>
                <w:sz w:val="18"/>
                <w:szCs w:val="18"/>
                <w:lang w:val="en"/>
              </w:rPr>
            </w:pPr>
            <w:r>
              <w:rPr>
                <w:sz w:val="18"/>
                <w:szCs w:val="18"/>
                <w:lang w:val="en"/>
              </w:rPr>
              <w:t>２０２</w:t>
            </w:r>
            <w:del w:id="269" w:author="kylin" w:date="2025-10-17T16:20:39Z">
              <w:r>
                <w:rPr>
                  <w:rFonts w:hint="default"/>
                  <w:kern w:val="0"/>
                  <w:sz w:val="18"/>
                  <w:szCs w:val="18"/>
                  <w:lang w:val="en-US"/>
                </w:rPr>
                <w:delText>５</w:delText>
              </w:r>
            </w:del>
            <w:ins w:id="270" w:author="kylin" w:date="2025-10-17T16:20:39Z">
              <w:r>
                <w:rPr>
                  <w:rFonts w:hint="eastAsia"/>
                  <w:kern w:val="0"/>
                  <w:sz w:val="18"/>
                  <w:szCs w:val="18"/>
                  <w:lang w:val="en-US" w:eastAsia="zh-CN"/>
                </w:rPr>
                <w:t>6</w:t>
              </w:r>
            </w:ins>
            <w:r>
              <w:rPr>
                <w:sz w:val="18"/>
                <w:szCs w:val="18"/>
                <w:lang w:val="en"/>
              </w:rPr>
              <w:t>年６月</w:t>
            </w:r>
          </w:p>
        </w:tc>
      </w:tr>
    </w:tbl>
    <w:p w14:paraId="50EE3EAF">
      <w:pPr>
        <w:spacing w:line="20" w:lineRule="exact"/>
        <w:ind w:firstLine="7020" w:firstLineChars="3900"/>
        <w:rPr>
          <w:sz w:val="18"/>
          <w:szCs w:val="18"/>
        </w:rPr>
      </w:pPr>
    </w:p>
    <w:tbl>
      <w:tblPr>
        <w:tblStyle w:val="20"/>
        <w:tblW w:w="942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744"/>
        <w:gridCol w:w="845"/>
        <w:gridCol w:w="845"/>
        <w:gridCol w:w="845"/>
        <w:gridCol w:w="885"/>
        <w:gridCol w:w="900"/>
        <w:gridCol w:w="900"/>
        <w:gridCol w:w="885"/>
        <w:gridCol w:w="787"/>
        <w:gridCol w:w="788"/>
      </w:tblGrid>
      <w:tr w14:paraId="1628F5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69" w:hRule="atLeast"/>
          <w:jc w:val="center"/>
        </w:trPr>
        <w:tc>
          <w:tcPr>
            <w:tcW w:w="1744" w:type="dxa"/>
            <w:vMerge w:val="restart"/>
            <w:vAlign w:val="center"/>
          </w:tcPr>
          <w:p w14:paraId="634BE93E">
            <w:pPr>
              <w:jc w:val="center"/>
              <w:rPr>
                <w:sz w:val="18"/>
                <w:szCs w:val="18"/>
              </w:rPr>
            </w:pPr>
            <w:r>
              <w:rPr>
                <w:sz w:val="18"/>
                <w:szCs w:val="18"/>
              </w:rPr>
              <w:t>指标名称</w:t>
            </w:r>
          </w:p>
        </w:tc>
        <w:tc>
          <w:tcPr>
            <w:tcW w:w="845" w:type="dxa"/>
            <w:vMerge w:val="restart"/>
            <w:vAlign w:val="center"/>
          </w:tcPr>
          <w:p w14:paraId="7BE305CE">
            <w:pPr>
              <w:jc w:val="center"/>
              <w:rPr>
                <w:sz w:val="18"/>
                <w:szCs w:val="18"/>
              </w:rPr>
            </w:pPr>
            <w:r>
              <w:rPr>
                <w:sz w:val="18"/>
                <w:szCs w:val="18"/>
              </w:rPr>
              <w:t>代码</w:t>
            </w:r>
          </w:p>
        </w:tc>
        <w:tc>
          <w:tcPr>
            <w:tcW w:w="845" w:type="dxa"/>
            <w:vMerge w:val="restart"/>
            <w:vAlign w:val="center"/>
          </w:tcPr>
          <w:p w14:paraId="37AFCE32">
            <w:pPr>
              <w:jc w:val="center"/>
              <w:rPr>
                <w:sz w:val="18"/>
                <w:szCs w:val="18"/>
              </w:rPr>
            </w:pPr>
            <w:r>
              <w:rPr>
                <w:sz w:val="18"/>
                <w:szCs w:val="18"/>
              </w:rPr>
              <w:t>煤合计      (万吨)</w:t>
            </w:r>
          </w:p>
        </w:tc>
        <w:tc>
          <w:tcPr>
            <w:tcW w:w="845" w:type="dxa"/>
            <w:vMerge w:val="restart"/>
            <w:tcBorders>
              <w:top w:val="single" w:color="auto" w:sz="8" w:space="0"/>
              <w:bottom w:val="single" w:color="auto" w:sz="2" w:space="0"/>
              <w:right w:val="nil"/>
            </w:tcBorders>
            <w:vAlign w:val="center"/>
          </w:tcPr>
          <w:p w14:paraId="68A0810D">
            <w:pPr>
              <w:jc w:val="center"/>
              <w:rPr>
                <w:sz w:val="18"/>
                <w:szCs w:val="18"/>
              </w:rPr>
            </w:pPr>
            <w:r>
              <w:rPr>
                <w:sz w:val="18"/>
                <w:szCs w:val="18"/>
              </w:rPr>
              <w:t>原 煤             (万吨)</w:t>
            </w:r>
          </w:p>
        </w:tc>
        <w:tc>
          <w:tcPr>
            <w:tcW w:w="3570" w:type="dxa"/>
            <w:gridSpan w:val="4"/>
            <w:tcBorders>
              <w:top w:val="single" w:color="auto" w:sz="8" w:space="0"/>
              <w:left w:val="nil"/>
              <w:bottom w:val="single" w:color="auto" w:sz="2" w:space="0"/>
            </w:tcBorders>
            <w:vAlign w:val="center"/>
          </w:tcPr>
          <w:p w14:paraId="572C5679">
            <w:pPr>
              <w:jc w:val="center"/>
              <w:rPr>
                <w:sz w:val="18"/>
                <w:szCs w:val="18"/>
              </w:rPr>
            </w:pPr>
          </w:p>
        </w:tc>
        <w:tc>
          <w:tcPr>
            <w:tcW w:w="787" w:type="dxa"/>
            <w:vMerge w:val="restart"/>
            <w:vAlign w:val="center"/>
          </w:tcPr>
          <w:p w14:paraId="19798EAA">
            <w:pPr>
              <w:ind w:left="-105" w:leftChars="-50" w:right="-105" w:rightChars="-50"/>
              <w:jc w:val="center"/>
              <w:rPr>
                <w:sz w:val="18"/>
                <w:szCs w:val="18"/>
              </w:rPr>
            </w:pPr>
            <w:r>
              <w:rPr>
                <w:sz w:val="18"/>
                <w:szCs w:val="18"/>
              </w:rPr>
              <w:t>洗精煤         (万吨)</w:t>
            </w:r>
          </w:p>
        </w:tc>
        <w:tc>
          <w:tcPr>
            <w:tcW w:w="788" w:type="dxa"/>
            <w:vMerge w:val="restart"/>
            <w:vAlign w:val="center"/>
          </w:tcPr>
          <w:p w14:paraId="03D04A3F">
            <w:pPr>
              <w:ind w:left="-105" w:leftChars="-50" w:right="-105" w:rightChars="-50"/>
              <w:jc w:val="center"/>
              <w:rPr>
                <w:sz w:val="18"/>
                <w:szCs w:val="18"/>
              </w:rPr>
            </w:pPr>
            <w:r>
              <w:rPr>
                <w:sz w:val="18"/>
                <w:szCs w:val="18"/>
              </w:rPr>
              <w:t>其他洗煤         (万吨)</w:t>
            </w:r>
          </w:p>
        </w:tc>
      </w:tr>
      <w:tr w14:paraId="26B28AD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69" w:hRule="atLeast"/>
          <w:jc w:val="center"/>
        </w:trPr>
        <w:tc>
          <w:tcPr>
            <w:tcW w:w="1744" w:type="dxa"/>
            <w:vMerge w:val="continue"/>
            <w:vAlign w:val="center"/>
          </w:tcPr>
          <w:p w14:paraId="0EBA392C">
            <w:pPr>
              <w:jc w:val="center"/>
              <w:rPr>
                <w:sz w:val="18"/>
                <w:szCs w:val="18"/>
              </w:rPr>
            </w:pPr>
          </w:p>
        </w:tc>
        <w:tc>
          <w:tcPr>
            <w:tcW w:w="845" w:type="dxa"/>
            <w:vMerge w:val="continue"/>
            <w:vAlign w:val="center"/>
          </w:tcPr>
          <w:p w14:paraId="20955334">
            <w:pPr>
              <w:jc w:val="center"/>
              <w:rPr>
                <w:sz w:val="18"/>
                <w:szCs w:val="18"/>
              </w:rPr>
            </w:pPr>
          </w:p>
        </w:tc>
        <w:tc>
          <w:tcPr>
            <w:tcW w:w="845" w:type="dxa"/>
            <w:vMerge w:val="continue"/>
            <w:vAlign w:val="center"/>
          </w:tcPr>
          <w:p w14:paraId="493C191D">
            <w:pPr>
              <w:jc w:val="center"/>
              <w:rPr>
                <w:sz w:val="18"/>
                <w:szCs w:val="18"/>
              </w:rPr>
            </w:pPr>
          </w:p>
        </w:tc>
        <w:tc>
          <w:tcPr>
            <w:tcW w:w="845" w:type="dxa"/>
            <w:vMerge w:val="continue"/>
            <w:tcBorders>
              <w:top w:val="single" w:color="auto" w:sz="2" w:space="0"/>
            </w:tcBorders>
            <w:vAlign w:val="center"/>
          </w:tcPr>
          <w:p w14:paraId="6A9BBDEB">
            <w:pPr>
              <w:jc w:val="center"/>
              <w:rPr>
                <w:sz w:val="18"/>
                <w:szCs w:val="18"/>
              </w:rPr>
            </w:pPr>
          </w:p>
        </w:tc>
        <w:tc>
          <w:tcPr>
            <w:tcW w:w="885" w:type="dxa"/>
            <w:vMerge w:val="restart"/>
            <w:tcBorders>
              <w:top w:val="single" w:color="auto" w:sz="2" w:space="0"/>
            </w:tcBorders>
            <w:vAlign w:val="center"/>
          </w:tcPr>
          <w:p w14:paraId="5361B621">
            <w:pPr>
              <w:jc w:val="center"/>
              <w:rPr>
                <w:sz w:val="18"/>
                <w:szCs w:val="18"/>
              </w:rPr>
            </w:pPr>
            <w:r>
              <w:rPr>
                <w:sz w:val="18"/>
                <w:szCs w:val="18"/>
              </w:rPr>
              <w:t>无烟煤 (万吨)</w:t>
            </w:r>
          </w:p>
        </w:tc>
        <w:tc>
          <w:tcPr>
            <w:tcW w:w="1800" w:type="dxa"/>
            <w:gridSpan w:val="2"/>
            <w:tcBorders>
              <w:top w:val="single" w:color="auto" w:sz="2" w:space="0"/>
            </w:tcBorders>
            <w:shd w:val="clear" w:color="auto" w:fill="auto"/>
            <w:vAlign w:val="center"/>
          </w:tcPr>
          <w:p w14:paraId="18ABB200">
            <w:pPr>
              <w:jc w:val="center"/>
              <w:rPr>
                <w:sz w:val="18"/>
                <w:szCs w:val="18"/>
              </w:rPr>
            </w:pPr>
            <w:r>
              <w:rPr>
                <w:sz w:val="18"/>
                <w:szCs w:val="18"/>
              </w:rPr>
              <w:t>烟煤(万吨)</w:t>
            </w:r>
          </w:p>
        </w:tc>
        <w:tc>
          <w:tcPr>
            <w:tcW w:w="885" w:type="dxa"/>
            <w:vMerge w:val="restart"/>
            <w:tcBorders>
              <w:top w:val="single" w:color="auto" w:sz="2" w:space="0"/>
            </w:tcBorders>
            <w:shd w:val="clear" w:color="auto" w:fill="auto"/>
            <w:vAlign w:val="center"/>
          </w:tcPr>
          <w:p w14:paraId="34EE1CA8">
            <w:pPr>
              <w:jc w:val="center"/>
              <w:rPr>
                <w:sz w:val="18"/>
                <w:szCs w:val="18"/>
              </w:rPr>
            </w:pPr>
            <w:r>
              <w:rPr>
                <w:sz w:val="18"/>
                <w:szCs w:val="18"/>
              </w:rPr>
              <w:t>褐 煤</w:t>
            </w:r>
          </w:p>
          <w:p w14:paraId="74FB1C0D">
            <w:pPr>
              <w:jc w:val="center"/>
              <w:rPr>
                <w:sz w:val="18"/>
                <w:szCs w:val="18"/>
              </w:rPr>
            </w:pPr>
            <w:r>
              <w:rPr>
                <w:sz w:val="18"/>
                <w:szCs w:val="18"/>
              </w:rPr>
              <w:t>(万吨)</w:t>
            </w:r>
          </w:p>
        </w:tc>
        <w:tc>
          <w:tcPr>
            <w:tcW w:w="787" w:type="dxa"/>
            <w:vMerge w:val="continue"/>
            <w:vAlign w:val="center"/>
          </w:tcPr>
          <w:p w14:paraId="58226B45">
            <w:pPr>
              <w:jc w:val="center"/>
              <w:rPr>
                <w:sz w:val="18"/>
                <w:szCs w:val="18"/>
              </w:rPr>
            </w:pPr>
          </w:p>
        </w:tc>
        <w:tc>
          <w:tcPr>
            <w:tcW w:w="788" w:type="dxa"/>
            <w:vMerge w:val="continue"/>
            <w:vAlign w:val="center"/>
          </w:tcPr>
          <w:p w14:paraId="7044E8BA">
            <w:pPr>
              <w:jc w:val="center"/>
              <w:rPr>
                <w:sz w:val="18"/>
                <w:szCs w:val="18"/>
              </w:rPr>
            </w:pPr>
          </w:p>
        </w:tc>
      </w:tr>
      <w:tr w14:paraId="1A00EAB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69" w:hRule="atLeast"/>
          <w:jc w:val="center"/>
        </w:trPr>
        <w:tc>
          <w:tcPr>
            <w:tcW w:w="1744" w:type="dxa"/>
            <w:vMerge w:val="continue"/>
            <w:vAlign w:val="center"/>
          </w:tcPr>
          <w:p w14:paraId="1DDF37C8">
            <w:pPr>
              <w:jc w:val="center"/>
              <w:rPr>
                <w:sz w:val="18"/>
                <w:szCs w:val="18"/>
              </w:rPr>
            </w:pPr>
          </w:p>
        </w:tc>
        <w:tc>
          <w:tcPr>
            <w:tcW w:w="845" w:type="dxa"/>
            <w:vMerge w:val="continue"/>
            <w:vAlign w:val="center"/>
          </w:tcPr>
          <w:p w14:paraId="746F5DD7">
            <w:pPr>
              <w:jc w:val="center"/>
              <w:rPr>
                <w:sz w:val="18"/>
                <w:szCs w:val="18"/>
              </w:rPr>
            </w:pPr>
          </w:p>
        </w:tc>
        <w:tc>
          <w:tcPr>
            <w:tcW w:w="845" w:type="dxa"/>
            <w:vMerge w:val="continue"/>
            <w:vAlign w:val="center"/>
          </w:tcPr>
          <w:p w14:paraId="4CF6CC8C">
            <w:pPr>
              <w:jc w:val="center"/>
              <w:rPr>
                <w:sz w:val="18"/>
                <w:szCs w:val="18"/>
              </w:rPr>
            </w:pPr>
          </w:p>
        </w:tc>
        <w:tc>
          <w:tcPr>
            <w:tcW w:w="845" w:type="dxa"/>
            <w:vMerge w:val="continue"/>
            <w:vAlign w:val="center"/>
          </w:tcPr>
          <w:p w14:paraId="736ECFE7">
            <w:pPr>
              <w:jc w:val="center"/>
              <w:rPr>
                <w:sz w:val="18"/>
                <w:szCs w:val="18"/>
              </w:rPr>
            </w:pPr>
          </w:p>
        </w:tc>
        <w:tc>
          <w:tcPr>
            <w:tcW w:w="885" w:type="dxa"/>
            <w:vMerge w:val="continue"/>
            <w:vAlign w:val="center"/>
          </w:tcPr>
          <w:p w14:paraId="5C7A6F08">
            <w:pPr>
              <w:jc w:val="center"/>
              <w:rPr>
                <w:sz w:val="18"/>
                <w:szCs w:val="18"/>
              </w:rPr>
            </w:pPr>
          </w:p>
        </w:tc>
        <w:tc>
          <w:tcPr>
            <w:tcW w:w="900" w:type="dxa"/>
            <w:shd w:val="clear" w:color="auto" w:fill="auto"/>
            <w:vAlign w:val="center"/>
          </w:tcPr>
          <w:p w14:paraId="708B17A8">
            <w:pPr>
              <w:ind w:left="-105" w:leftChars="-50" w:right="-105" w:rightChars="-50"/>
              <w:jc w:val="center"/>
              <w:rPr>
                <w:sz w:val="18"/>
                <w:szCs w:val="18"/>
              </w:rPr>
            </w:pPr>
            <w:r>
              <w:rPr>
                <w:sz w:val="18"/>
                <w:szCs w:val="18"/>
              </w:rPr>
              <w:t>炼焦烟煤</w:t>
            </w:r>
          </w:p>
        </w:tc>
        <w:tc>
          <w:tcPr>
            <w:tcW w:w="900" w:type="dxa"/>
            <w:shd w:val="clear" w:color="auto" w:fill="auto"/>
            <w:vAlign w:val="center"/>
          </w:tcPr>
          <w:p w14:paraId="09D778CB">
            <w:pPr>
              <w:ind w:left="-105" w:leftChars="-50" w:right="-105" w:rightChars="-50"/>
              <w:jc w:val="center"/>
              <w:rPr>
                <w:sz w:val="18"/>
                <w:szCs w:val="18"/>
              </w:rPr>
            </w:pPr>
            <w:r>
              <w:rPr>
                <w:sz w:val="18"/>
                <w:szCs w:val="18"/>
              </w:rPr>
              <w:t>一般烟煤</w:t>
            </w:r>
          </w:p>
        </w:tc>
        <w:tc>
          <w:tcPr>
            <w:tcW w:w="885" w:type="dxa"/>
            <w:vMerge w:val="continue"/>
            <w:shd w:val="clear" w:color="auto" w:fill="auto"/>
            <w:vAlign w:val="center"/>
          </w:tcPr>
          <w:p w14:paraId="7C69B8A2">
            <w:pPr>
              <w:jc w:val="center"/>
              <w:rPr>
                <w:sz w:val="18"/>
                <w:szCs w:val="18"/>
              </w:rPr>
            </w:pPr>
          </w:p>
        </w:tc>
        <w:tc>
          <w:tcPr>
            <w:tcW w:w="787" w:type="dxa"/>
            <w:vMerge w:val="continue"/>
            <w:vAlign w:val="center"/>
          </w:tcPr>
          <w:p w14:paraId="2A668CEF">
            <w:pPr>
              <w:jc w:val="center"/>
              <w:rPr>
                <w:sz w:val="18"/>
                <w:szCs w:val="18"/>
              </w:rPr>
            </w:pPr>
          </w:p>
        </w:tc>
        <w:tc>
          <w:tcPr>
            <w:tcW w:w="788" w:type="dxa"/>
            <w:vMerge w:val="continue"/>
            <w:vAlign w:val="center"/>
          </w:tcPr>
          <w:p w14:paraId="44241262">
            <w:pPr>
              <w:jc w:val="center"/>
              <w:rPr>
                <w:sz w:val="18"/>
                <w:szCs w:val="18"/>
              </w:rPr>
            </w:pPr>
          </w:p>
        </w:tc>
      </w:tr>
      <w:tr w14:paraId="64C7E7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06" w:hRule="atLeast"/>
          <w:jc w:val="center"/>
        </w:trPr>
        <w:tc>
          <w:tcPr>
            <w:tcW w:w="1744" w:type="dxa"/>
            <w:vAlign w:val="center"/>
          </w:tcPr>
          <w:p w14:paraId="3DD37CE9">
            <w:pPr>
              <w:spacing w:line="240" w:lineRule="atLeast"/>
              <w:jc w:val="center"/>
              <w:rPr>
                <w:sz w:val="18"/>
                <w:szCs w:val="18"/>
              </w:rPr>
            </w:pPr>
            <w:r>
              <w:rPr>
                <w:sz w:val="18"/>
                <w:szCs w:val="18"/>
              </w:rPr>
              <w:t>甲</w:t>
            </w:r>
          </w:p>
        </w:tc>
        <w:tc>
          <w:tcPr>
            <w:tcW w:w="845" w:type="dxa"/>
            <w:vAlign w:val="center"/>
          </w:tcPr>
          <w:p w14:paraId="37FB89A0">
            <w:pPr>
              <w:spacing w:line="240" w:lineRule="atLeast"/>
              <w:jc w:val="center"/>
              <w:rPr>
                <w:sz w:val="18"/>
                <w:szCs w:val="18"/>
              </w:rPr>
            </w:pPr>
            <w:r>
              <w:rPr>
                <w:sz w:val="18"/>
                <w:szCs w:val="18"/>
              </w:rPr>
              <w:t>乙</w:t>
            </w:r>
          </w:p>
        </w:tc>
        <w:tc>
          <w:tcPr>
            <w:tcW w:w="845" w:type="dxa"/>
            <w:vAlign w:val="center"/>
          </w:tcPr>
          <w:p w14:paraId="3FBE7687">
            <w:pPr>
              <w:spacing w:line="240" w:lineRule="atLeast"/>
              <w:jc w:val="center"/>
              <w:textAlignment w:val="center"/>
              <w:rPr>
                <w:sz w:val="18"/>
                <w:szCs w:val="18"/>
              </w:rPr>
            </w:pPr>
            <w:r>
              <w:rPr>
                <w:sz w:val="18"/>
                <w:szCs w:val="18"/>
              </w:rPr>
              <w:t>1</w:t>
            </w:r>
          </w:p>
        </w:tc>
        <w:tc>
          <w:tcPr>
            <w:tcW w:w="845" w:type="dxa"/>
            <w:vAlign w:val="center"/>
          </w:tcPr>
          <w:p w14:paraId="4AB07991">
            <w:pPr>
              <w:spacing w:line="240" w:lineRule="atLeast"/>
              <w:jc w:val="center"/>
              <w:textAlignment w:val="center"/>
              <w:rPr>
                <w:sz w:val="18"/>
                <w:szCs w:val="18"/>
              </w:rPr>
            </w:pPr>
            <w:r>
              <w:rPr>
                <w:sz w:val="18"/>
                <w:szCs w:val="18"/>
              </w:rPr>
              <w:t>2</w:t>
            </w:r>
          </w:p>
        </w:tc>
        <w:tc>
          <w:tcPr>
            <w:tcW w:w="885" w:type="dxa"/>
            <w:vAlign w:val="center"/>
          </w:tcPr>
          <w:p w14:paraId="284274F6">
            <w:pPr>
              <w:spacing w:line="240" w:lineRule="atLeast"/>
              <w:jc w:val="center"/>
              <w:textAlignment w:val="center"/>
              <w:rPr>
                <w:sz w:val="18"/>
                <w:szCs w:val="18"/>
              </w:rPr>
            </w:pPr>
            <w:r>
              <w:rPr>
                <w:sz w:val="18"/>
                <w:szCs w:val="18"/>
              </w:rPr>
              <w:t>3</w:t>
            </w:r>
          </w:p>
        </w:tc>
        <w:tc>
          <w:tcPr>
            <w:tcW w:w="900" w:type="dxa"/>
            <w:vAlign w:val="center"/>
          </w:tcPr>
          <w:p w14:paraId="37AE9701">
            <w:pPr>
              <w:spacing w:line="240" w:lineRule="atLeast"/>
              <w:jc w:val="center"/>
              <w:textAlignment w:val="center"/>
              <w:rPr>
                <w:sz w:val="18"/>
                <w:szCs w:val="18"/>
              </w:rPr>
            </w:pPr>
            <w:r>
              <w:rPr>
                <w:sz w:val="18"/>
                <w:szCs w:val="18"/>
              </w:rPr>
              <w:t>4</w:t>
            </w:r>
          </w:p>
        </w:tc>
        <w:tc>
          <w:tcPr>
            <w:tcW w:w="900" w:type="dxa"/>
            <w:vAlign w:val="center"/>
          </w:tcPr>
          <w:p w14:paraId="4FEE56B2">
            <w:pPr>
              <w:spacing w:line="240" w:lineRule="atLeast"/>
              <w:jc w:val="center"/>
              <w:textAlignment w:val="center"/>
              <w:rPr>
                <w:sz w:val="18"/>
                <w:szCs w:val="18"/>
              </w:rPr>
            </w:pPr>
            <w:r>
              <w:rPr>
                <w:sz w:val="18"/>
                <w:szCs w:val="18"/>
              </w:rPr>
              <w:t>5</w:t>
            </w:r>
          </w:p>
        </w:tc>
        <w:tc>
          <w:tcPr>
            <w:tcW w:w="885" w:type="dxa"/>
            <w:vAlign w:val="center"/>
          </w:tcPr>
          <w:p w14:paraId="2E4F013F">
            <w:pPr>
              <w:spacing w:line="240" w:lineRule="atLeast"/>
              <w:jc w:val="center"/>
              <w:textAlignment w:val="center"/>
              <w:rPr>
                <w:sz w:val="18"/>
                <w:szCs w:val="18"/>
              </w:rPr>
            </w:pPr>
            <w:r>
              <w:rPr>
                <w:sz w:val="18"/>
                <w:szCs w:val="18"/>
              </w:rPr>
              <w:t>6</w:t>
            </w:r>
          </w:p>
        </w:tc>
        <w:tc>
          <w:tcPr>
            <w:tcW w:w="787" w:type="dxa"/>
            <w:vAlign w:val="center"/>
          </w:tcPr>
          <w:p w14:paraId="650BDC34">
            <w:pPr>
              <w:spacing w:line="240" w:lineRule="atLeast"/>
              <w:jc w:val="center"/>
              <w:textAlignment w:val="center"/>
              <w:rPr>
                <w:sz w:val="18"/>
                <w:szCs w:val="18"/>
              </w:rPr>
            </w:pPr>
            <w:r>
              <w:rPr>
                <w:sz w:val="18"/>
                <w:szCs w:val="18"/>
              </w:rPr>
              <w:t>7</w:t>
            </w:r>
          </w:p>
        </w:tc>
        <w:tc>
          <w:tcPr>
            <w:tcW w:w="788" w:type="dxa"/>
            <w:vAlign w:val="center"/>
          </w:tcPr>
          <w:p w14:paraId="65DE3B3C">
            <w:pPr>
              <w:spacing w:line="240" w:lineRule="atLeast"/>
              <w:jc w:val="center"/>
              <w:textAlignment w:val="center"/>
              <w:rPr>
                <w:sz w:val="18"/>
                <w:szCs w:val="18"/>
              </w:rPr>
            </w:pPr>
            <w:r>
              <w:rPr>
                <w:sz w:val="18"/>
                <w:szCs w:val="18"/>
              </w:rPr>
              <w:t>8</w:t>
            </w:r>
          </w:p>
        </w:tc>
      </w:tr>
      <w:tr w14:paraId="2847DB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38" w:hRule="atLeast"/>
          <w:jc w:val="center"/>
        </w:trPr>
        <w:tc>
          <w:tcPr>
            <w:tcW w:w="1744" w:type="dxa"/>
            <w:vAlign w:val="center"/>
          </w:tcPr>
          <w:p w14:paraId="2AD0FFF7">
            <w:pPr>
              <w:rPr>
                <w:sz w:val="18"/>
                <w:szCs w:val="18"/>
              </w:rPr>
            </w:pPr>
            <w:r>
              <w:rPr>
                <w:sz w:val="18"/>
                <w:szCs w:val="18"/>
              </w:rPr>
              <w:t>按</w:t>
            </w:r>
            <w:r>
              <w:rPr>
                <w:rFonts w:hint="eastAsia"/>
                <w:sz w:val="18"/>
                <w:szCs w:val="18"/>
              </w:rPr>
              <w:t>《</w:t>
            </w:r>
            <w:r>
              <w:rPr>
                <w:sz w:val="18"/>
                <w:szCs w:val="18"/>
              </w:rPr>
              <w:t>分行业能源消费量目录</w:t>
            </w:r>
            <w:r>
              <w:rPr>
                <w:rFonts w:hint="eastAsia"/>
                <w:sz w:val="18"/>
                <w:szCs w:val="18"/>
              </w:rPr>
              <w:t>》</w:t>
            </w:r>
            <w:r>
              <w:rPr>
                <w:sz w:val="18"/>
                <w:szCs w:val="18"/>
              </w:rPr>
              <w:t>填报</w:t>
            </w:r>
          </w:p>
        </w:tc>
        <w:tc>
          <w:tcPr>
            <w:tcW w:w="7680" w:type="dxa"/>
            <w:gridSpan w:val="9"/>
          </w:tcPr>
          <w:p w14:paraId="40E4A52A">
            <w:pPr>
              <w:widowControl/>
              <w:rPr>
                <w:sz w:val="18"/>
                <w:szCs w:val="18"/>
              </w:rPr>
            </w:pPr>
          </w:p>
        </w:tc>
      </w:tr>
    </w:tbl>
    <w:p w14:paraId="47EBFDB8">
      <w:pPr>
        <w:snapToGrid w:val="0"/>
        <w:ind w:left="-105" w:leftChars="-50" w:right="-105" w:rightChars="-50" w:firstLine="90" w:firstLineChars="50"/>
        <w:rPr>
          <w:sz w:val="18"/>
          <w:szCs w:val="18"/>
        </w:rPr>
      </w:pPr>
    </w:p>
    <w:p w14:paraId="5F141895">
      <w:pPr>
        <w:snapToGrid w:val="0"/>
        <w:ind w:left="-105" w:leftChars="-50" w:right="-105" w:rightChars="-50" w:firstLine="90" w:firstLineChars="50"/>
        <w:rPr>
          <w:sz w:val="18"/>
          <w:szCs w:val="18"/>
        </w:rPr>
      </w:pPr>
      <w:r>
        <w:rPr>
          <w:sz w:val="18"/>
          <w:szCs w:val="18"/>
        </w:rPr>
        <w:t>续表一</w:t>
      </w:r>
    </w:p>
    <w:tbl>
      <w:tblPr>
        <w:tblStyle w:val="20"/>
        <w:tblW w:w="944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44"/>
        <w:gridCol w:w="945"/>
        <w:gridCol w:w="944"/>
        <w:gridCol w:w="945"/>
        <w:gridCol w:w="945"/>
        <w:gridCol w:w="944"/>
        <w:gridCol w:w="945"/>
        <w:gridCol w:w="1153"/>
        <w:gridCol w:w="840"/>
        <w:gridCol w:w="841"/>
      </w:tblGrid>
      <w:tr w14:paraId="261E8F3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944" w:type="dxa"/>
            <w:vAlign w:val="center"/>
          </w:tcPr>
          <w:p w14:paraId="357FE205">
            <w:pPr>
              <w:jc w:val="center"/>
              <w:rPr>
                <w:sz w:val="18"/>
                <w:szCs w:val="18"/>
              </w:rPr>
            </w:pPr>
            <w:r>
              <w:rPr>
                <w:sz w:val="18"/>
                <w:szCs w:val="18"/>
              </w:rPr>
              <w:t>煤制品       (万吨)</w:t>
            </w:r>
          </w:p>
        </w:tc>
        <w:tc>
          <w:tcPr>
            <w:tcW w:w="945" w:type="dxa"/>
            <w:vAlign w:val="center"/>
          </w:tcPr>
          <w:p w14:paraId="0D329FAA">
            <w:pPr>
              <w:jc w:val="center"/>
              <w:rPr>
                <w:sz w:val="18"/>
                <w:szCs w:val="18"/>
              </w:rPr>
            </w:pPr>
            <w:r>
              <w:rPr>
                <w:sz w:val="18"/>
                <w:szCs w:val="18"/>
              </w:rPr>
              <w:t>煤矸石           (万吨)</w:t>
            </w:r>
          </w:p>
        </w:tc>
        <w:tc>
          <w:tcPr>
            <w:tcW w:w="944" w:type="dxa"/>
            <w:vAlign w:val="center"/>
          </w:tcPr>
          <w:p w14:paraId="452D5AB5">
            <w:pPr>
              <w:jc w:val="center"/>
              <w:rPr>
                <w:sz w:val="18"/>
                <w:szCs w:val="18"/>
              </w:rPr>
            </w:pPr>
            <w:r>
              <w:rPr>
                <w:sz w:val="18"/>
                <w:szCs w:val="18"/>
              </w:rPr>
              <w:t>焦  炭            (万吨)</w:t>
            </w:r>
          </w:p>
        </w:tc>
        <w:tc>
          <w:tcPr>
            <w:tcW w:w="945" w:type="dxa"/>
            <w:vAlign w:val="center"/>
          </w:tcPr>
          <w:p w14:paraId="36730176">
            <w:pPr>
              <w:ind w:left="-109" w:leftChars="-65" w:right="-84" w:rightChars="-40" w:hanging="27"/>
              <w:jc w:val="center"/>
              <w:rPr>
                <w:sz w:val="18"/>
                <w:szCs w:val="18"/>
              </w:rPr>
            </w:pPr>
            <w:r>
              <w:rPr>
                <w:sz w:val="18"/>
                <w:szCs w:val="18"/>
              </w:rPr>
              <w:t>焦炉煤气     (亿立方米)</w:t>
            </w:r>
          </w:p>
        </w:tc>
        <w:tc>
          <w:tcPr>
            <w:tcW w:w="945" w:type="dxa"/>
            <w:vAlign w:val="center"/>
          </w:tcPr>
          <w:p w14:paraId="433EB45F">
            <w:pPr>
              <w:ind w:left="-118" w:leftChars="-56" w:right="-63" w:rightChars="-30" w:firstLine="12" w:firstLineChars="7"/>
              <w:jc w:val="center"/>
              <w:rPr>
                <w:sz w:val="18"/>
                <w:szCs w:val="18"/>
              </w:rPr>
            </w:pPr>
            <w:r>
              <w:rPr>
                <w:sz w:val="18"/>
                <w:szCs w:val="18"/>
              </w:rPr>
              <w:t>高炉煤气 (亿立方米)</w:t>
            </w:r>
          </w:p>
        </w:tc>
        <w:tc>
          <w:tcPr>
            <w:tcW w:w="944" w:type="dxa"/>
            <w:vAlign w:val="center"/>
          </w:tcPr>
          <w:p w14:paraId="6C9A237C">
            <w:pPr>
              <w:ind w:left="-109" w:leftChars="-52" w:right="-113" w:rightChars="-54"/>
              <w:jc w:val="center"/>
              <w:rPr>
                <w:sz w:val="18"/>
                <w:szCs w:val="18"/>
              </w:rPr>
            </w:pPr>
            <w:r>
              <w:rPr>
                <w:sz w:val="18"/>
                <w:szCs w:val="18"/>
              </w:rPr>
              <w:t>转炉煤气 (亿立方米)</w:t>
            </w:r>
          </w:p>
        </w:tc>
        <w:tc>
          <w:tcPr>
            <w:tcW w:w="945" w:type="dxa"/>
            <w:vAlign w:val="center"/>
          </w:tcPr>
          <w:p w14:paraId="33B34D9C">
            <w:pPr>
              <w:ind w:left="-118" w:leftChars="-56" w:right="-105" w:rightChars="-50" w:firstLine="12" w:firstLineChars="7"/>
              <w:jc w:val="center"/>
              <w:rPr>
                <w:sz w:val="18"/>
                <w:szCs w:val="18"/>
              </w:rPr>
            </w:pPr>
            <w:r>
              <w:rPr>
                <w:sz w:val="18"/>
                <w:szCs w:val="18"/>
              </w:rPr>
              <w:t>其他煤气 (亿立方米)</w:t>
            </w:r>
          </w:p>
        </w:tc>
        <w:tc>
          <w:tcPr>
            <w:tcW w:w="1153" w:type="dxa"/>
            <w:vAlign w:val="center"/>
          </w:tcPr>
          <w:p w14:paraId="3B0239A0">
            <w:pPr>
              <w:ind w:left="-1" w:leftChars="-39" w:right="-65" w:rightChars="-31" w:hanging="81" w:hangingChars="45"/>
              <w:jc w:val="center"/>
              <w:rPr>
                <w:sz w:val="18"/>
                <w:szCs w:val="18"/>
              </w:rPr>
            </w:pPr>
            <w:r>
              <w:rPr>
                <w:sz w:val="18"/>
                <w:szCs w:val="18"/>
              </w:rPr>
              <w:t xml:space="preserve">其他焦化产品 </w:t>
            </w:r>
          </w:p>
          <w:p w14:paraId="4C8B167E">
            <w:pPr>
              <w:jc w:val="center"/>
              <w:rPr>
                <w:sz w:val="18"/>
                <w:szCs w:val="18"/>
              </w:rPr>
            </w:pPr>
            <w:r>
              <w:rPr>
                <w:sz w:val="18"/>
                <w:szCs w:val="18"/>
              </w:rPr>
              <w:t>(万吨)</w:t>
            </w:r>
          </w:p>
        </w:tc>
        <w:tc>
          <w:tcPr>
            <w:tcW w:w="840" w:type="dxa"/>
            <w:vAlign w:val="center"/>
          </w:tcPr>
          <w:p w14:paraId="4A046C62">
            <w:pPr>
              <w:ind w:left="-101" w:leftChars="-48" w:right="-71" w:rightChars="-34" w:firstLine="41" w:firstLineChars="23"/>
              <w:jc w:val="center"/>
              <w:rPr>
                <w:sz w:val="18"/>
                <w:szCs w:val="18"/>
              </w:rPr>
            </w:pPr>
            <w:r>
              <w:rPr>
                <w:sz w:val="18"/>
                <w:szCs w:val="18"/>
              </w:rPr>
              <w:t>油品合计 (万吨)</w:t>
            </w:r>
          </w:p>
        </w:tc>
        <w:tc>
          <w:tcPr>
            <w:tcW w:w="841" w:type="dxa"/>
            <w:vAlign w:val="center"/>
          </w:tcPr>
          <w:p w14:paraId="6D90CDD1">
            <w:pPr>
              <w:jc w:val="center"/>
              <w:rPr>
                <w:sz w:val="18"/>
                <w:szCs w:val="18"/>
              </w:rPr>
            </w:pPr>
            <w:r>
              <w:rPr>
                <w:sz w:val="18"/>
                <w:szCs w:val="18"/>
              </w:rPr>
              <w:t>原  油           (万吨)</w:t>
            </w:r>
          </w:p>
        </w:tc>
      </w:tr>
      <w:tr w14:paraId="254CBA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944" w:type="dxa"/>
            <w:vAlign w:val="center"/>
          </w:tcPr>
          <w:p w14:paraId="2FB4FC44">
            <w:pPr>
              <w:spacing w:line="240" w:lineRule="atLeast"/>
              <w:jc w:val="center"/>
              <w:textAlignment w:val="center"/>
              <w:rPr>
                <w:sz w:val="18"/>
                <w:szCs w:val="18"/>
              </w:rPr>
            </w:pPr>
            <w:r>
              <w:rPr>
                <w:sz w:val="18"/>
                <w:szCs w:val="18"/>
              </w:rPr>
              <w:t>9</w:t>
            </w:r>
          </w:p>
        </w:tc>
        <w:tc>
          <w:tcPr>
            <w:tcW w:w="945" w:type="dxa"/>
            <w:vAlign w:val="center"/>
          </w:tcPr>
          <w:p w14:paraId="1E75BD8A">
            <w:pPr>
              <w:spacing w:line="240" w:lineRule="atLeast"/>
              <w:jc w:val="center"/>
              <w:textAlignment w:val="center"/>
              <w:rPr>
                <w:sz w:val="18"/>
                <w:szCs w:val="18"/>
              </w:rPr>
            </w:pPr>
            <w:r>
              <w:rPr>
                <w:sz w:val="18"/>
                <w:szCs w:val="18"/>
              </w:rPr>
              <w:t>10</w:t>
            </w:r>
          </w:p>
        </w:tc>
        <w:tc>
          <w:tcPr>
            <w:tcW w:w="944" w:type="dxa"/>
            <w:vAlign w:val="center"/>
          </w:tcPr>
          <w:p w14:paraId="20F28312">
            <w:pPr>
              <w:spacing w:line="240" w:lineRule="atLeast"/>
              <w:jc w:val="center"/>
              <w:textAlignment w:val="center"/>
              <w:rPr>
                <w:sz w:val="18"/>
                <w:szCs w:val="18"/>
              </w:rPr>
            </w:pPr>
            <w:r>
              <w:rPr>
                <w:sz w:val="18"/>
                <w:szCs w:val="18"/>
              </w:rPr>
              <w:t>11</w:t>
            </w:r>
          </w:p>
        </w:tc>
        <w:tc>
          <w:tcPr>
            <w:tcW w:w="945" w:type="dxa"/>
            <w:vAlign w:val="center"/>
          </w:tcPr>
          <w:p w14:paraId="1A5D5303">
            <w:pPr>
              <w:spacing w:line="240" w:lineRule="atLeast"/>
              <w:jc w:val="center"/>
              <w:textAlignment w:val="center"/>
              <w:rPr>
                <w:sz w:val="18"/>
                <w:szCs w:val="18"/>
              </w:rPr>
            </w:pPr>
            <w:r>
              <w:rPr>
                <w:sz w:val="18"/>
                <w:szCs w:val="18"/>
              </w:rPr>
              <w:t>12</w:t>
            </w:r>
          </w:p>
        </w:tc>
        <w:tc>
          <w:tcPr>
            <w:tcW w:w="945" w:type="dxa"/>
            <w:vAlign w:val="center"/>
          </w:tcPr>
          <w:p w14:paraId="3BA40556">
            <w:pPr>
              <w:spacing w:line="240" w:lineRule="atLeast"/>
              <w:jc w:val="center"/>
              <w:textAlignment w:val="center"/>
              <w:rPr>
                <w:sz w:val="18"/>
                <w:szCs w:val="18"/>
              </w:rPr>
            </w:pPr>
            <w:r>
              <w:rPr>
                <w:sz w:val="18"/>
                <w:szCs w:val="18"/>
              </w:rPr>
              <w:t>13</w:t>
            </w:r>
          </w:p>
        </w:tc>
        <w:tc>
          <w:tcPr>
            <w:tcW w:w="944" w:type="dxa"/>
            <w:vAlign w:val="center"/>
          </w:tcPr>
          <w:p w14:paraId="2A02D05D">
            <w:pPr>
              <w:spacing w:line="240" w:lineRule="atLeast"/>
              <w:jc w:val="center"/>
              <w:textAlignment w:val="center"/>
              <w:rPr>
                <w:sz w:val="18"/>
                <w:szCs w:val="18"/>
              </w:rPr>
            </w:pPr>
            <w:r>
              <w:rPr>
                <w:sz w:val="18"/>
                <w:szCs w:val="18"/>
              </w:rPr>
              <w:t>14</w:t>
            </w:r>
          </w:p>
        </w:tc>
        <w:tc>
          <w:tcPr>
            <w:tcW w:w="945" w:type="dxa"/>
            <w:vAlign w:val="center"/>
          </w:tcPr>
          <w:p w14:paraId="4262476F">
            <w:pPr>
              <w:spacing w:line="240" w:lineRule="atLeast"/>
              <w:jc w:val="center"/>
              <w:textAlignment w:val="center"/>
              <w:rPr>
                <w:sz w:val="18"/>
                <w:szCs w:val="18"/>
              </w:rPr>
            </w:pPr>
            <w:r>
              <w:rPr>
                <w:sz w:val="18"/>
                <w:szCs w:val="18"/>
              </w:rPr>
              <w:t>15</w:t>
            </w:r>
          </w:p>
        </w:tc>
        <w:tc>
          <w:tcPr>
            <w:tcW w:w="1153" w:type="dxa"/>
            <w:vAlign w:val="center"/>
          </w:tcPr>
          <w:p w14:paraId="638736AE">
            <w:pPr>
              <w:spacing w:line="240" w:lineRule="atLeast"/>
              <w:jc w:val="center"/>
              <w:textAlignment w:val="center"/>
              <w:rPr>
                <w:sz w:val="18"/>
                <w:szCs w:val="18"/>
              </w:rPr>
            </w:pPr>
            <w:r>
              <w:rPr>
                <w:sz w:val="18"/>
                <w:szCs w:val="18"/>
              </w:rPr>
              <w:t>16</w:t>
            </w:r>
          </w:p>
        </w:tc>
        <w:tc>
          <w:tcPr>
            <w:tcW w:w="840" w:type="dxa"/>
            <w:vAlign w:val="center"/>
          </w:tcPr>
          <w:p w14:paraId="154CCD5A">
            <w:pPr>
              <w:spacing w:line="240" w:lineRule="atLeast"/>
              <w:jc w:val="center"/>
              <w:textAlignment w:val="center"/>
              <w:rPr>
                <w:sz w:val="18"/>
                <w:szCs w:val="18"/>
              </w:rPr>
            </w:pPr>
            <w:r>
              <w:rPr>
                <w:sz w:val="18"/>
                <w:szCs w:val="18"/>
              </w:rPr>
              <w:t>17</w:t>
            </w:r>
          </w:p>
        </w:tc>
        <w:tc>
          <w:tcPr>
            <w:tcW w:w="841" w:type="dxa"/>
            <w:vAlign w:val="center"/>
          </w:tcPr>
          <w:p w14:paraId="3851448C">
            <w:pPr>
              <w:spacing w:line="240" w:lineRule="atLeast"/>
              <w:jc w:val="center"/>
              <w:textAlignment w:val="center"/>
              <w:rPr>
                <w:sz w:val="18"/>
                <w:szCs w:val="18"/>
              </w:rPr>
            </w:pPr>
            <w:r>
              <w:rPr>
                <w:sz w:val="18"/>
                <w:szCs w:val="18"/>
              </w:rPr>
              <w:t>18</w:t>
            </w:r>
          </w:p>
        </w:tc>
      </w:tr>
      <w:tr w14:paraId="7AC300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9446" w:type="dxa"/>
            <w:gridSpan w:val="10"/>
            <w:vAlign w:val="center"/>
          </w:tcPr>
          <w:p w14:paraId="7816647C">
            <w:pPr>
              <w:jc w:val="center"/>
              <w:rPr>
                <w:sz w:val="18"/>
                <w:szCs w:val="18"/>
              </w:rPr>
            </w:pPr>
          </w:p>
          <w:p w14:paraId="55D8DCD9">
            <w:pPr>
              <w:jc w:val="center"/>
              <w:rPr>
                <w:sz w:val="18"/>
                <w:szCs w:val="18"/>
              </w:rPr>
            </w:pPr>
          </w:p>
        </w:tc>
      </w:tr>
    </w:tbl>
    <w:p w14:paraId="64BE9FD6">
      <w:pPr>
        <w:snapToGrid w:val="0"/>
        <w:ind w:left="-105" w:leftChars="-50" w:right="-105" w:rightChars="-50" w:firstLine="90" w:firstLineChars="50"/>
        <w:rPr>
          <w:sz w:val="18"/>
          <w:szCs w:val="18"/>
        </w:rPr>
      </w:pPr>
    </w:p>
    <w:p w14:paraId="6929CEE6">
      <w:pPr>
        <w:snapToGrid w:val="0"/>
        <w:ind w:left="-105" w:leftChars="-50" w:right="-105" w:rightChars="-50" w:firstLine="90" w:firstLineChars="50"/>
        <w:rPr>
          <w:sz w:val="18"/>
          <w:szCs w:val="18"/>
        </w:rPr>
      </w:pPr>
      <w:r>
        <w:rPr>
          <w:sz w:val="18"/>
          <w:szCs w:val="18"/>
        </w:rPr>
        <w:t>续表二</w:t>
      </w:r>
    </w:p>
    <w:tbl>
      <w:tblPr>
        <w:tblStyle w:val="20"/>
        <w:tblW w:w="944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8"/>
        <w:gridCol w:w="859"/>
        <w:gridCol w:w="859"/>
        <w:gridCol w:w="858"/>
        <w:gridCol w:w="859"/>
        <w:gridCol w:w="859"/>
        <w:gridCol w:w="859"/>
        <w:gridCol w:w="858"/>
        <w:gridCol w:w="859"/>
        <w:gridCol w:w="786"/>
        <w:gridCol w:w="932"/>
      </w:tblGrid>
      <w:tr w14:paraId="636090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58" w:type="dxa"/>
            <w:tcMar>
              <w:left w:w="28" w:type="dxa"/>
              <w:right w:w="28" w:type="dxa"/>
            </w:tcMar>
            <w:vAlign w:val="center"/>
          </w:tcPr>
          <w:p w14:paraId="027ABF40">
            <w:pPr>
              <w:jc w:val="center"/>
              <w:rPr>
                <w:sz w:val="18"/>
                <w:szCs w:val="18"/>
              </w:rPr>
            </w:pPr>
            <w:r>
              <w:rPr>
                <w:sz w:val="18"/>
                <w:szCs w:val="18"/>
              </w:rPr>
              <w:t>汽  油       (万吨)</w:t>
            </w:r>
          </w:p>
        </w:tc>
        <w:tc>
          <w:tcPr>
            <w:tcW w:w="859" w:type="dxa"/>
            <w:tcMar>
              <w:left w:w="28" w:type="dxa"/>
              <w:right w:w="28" w:type="dxa"/>
            </w:tcMar>
            <w:vAlign w:val="center"/>
          </w:tcPr>
          <w:p w14:paraId="157A7374">
            <w:pPr>
              <w:jc w:val="center"/>
              <w:rPr>
                <w:sz w:val="18"/>
                <w:szCs w:val="18"/>
              </w:rPr>
            </w:pPr>
            <w:r>
              <w:rPr>
                <w:sz w:val="18"/>
                <w:szCs w:val="18"/>
              </w:rPr>
              <w:t>煤  油          (万吨)</w:t>
            </w:r>
          </w:p>
        </w:tc>
        <w:tc>
          <w:tcPr>
            <w:tcW w:w="859" w:type="dxa"/>
            <w:tcMar>
              <w:left w:w="28" w:type="dxa"/>
              <w:right w:w="28" w:type="dxa"/>
            </w:tcMar>
            <w:vAlign w:val="center"/>
          </w:tcPr>
          <w:p w14:paraId="2BC4A4FD">
            <w:pPr>
              <w:jc w:val="center"/>
              <w:rPr>
                <w:sz w:val="18"/>
                <w:szCs w:val="18"/>
              </w:rPr>
            </w:pPr>
            <w:r>
              <w:rPr>
                <w:sz w:val="18"/>
                <w:szCs w:val="18"/>
              </w:rPr>
              <w:t>柴  油          (万吨)</w:t>
            </w:r>
          </w:p>
        </w:tc>
        <w:tc>
          <w:tcPr>
            <w:tcW w:w="858" w:type="dxa"/>
            <w:tcMar>
              <w:left w:w="28" w:type="dxa"/>
              <w:right w:w="28" w:type="dxa"/>
            </w:tcMar>
            <w:vAlign w:val="center"/>
          </w:tcPr>
          <w:p w14:paraId="2675F281">
            <w:pPr>
              <w:jc w:val="center"/>
              <w:rPr>
                <w:sz w:val="18"/>
                <w:szCs w:val="18"/>
              </w:rPr>
            </w:pPr>
            <w:r>
              <w:rPr>
                <w:sz w:val="18"/>
                <w:szCs w:val="18"/>
              </w:rPr>
              <w:t>燃料油   (万吨)</w:t>
            </w:r>
          </w:p>
        </w:tc>
        <w:tc>
          <w:tcPr>
            <w:tcW w:w="859" w:type="dxa"/>
            <w:tcMar>
              <w:left w:w="28" w:type="dxa"/>
              <w:right w:w="28" w:type="dxa"/>
            </w:tcMar>
            <w:vAlign w:val="center"/>
          </w:tcPr>
          <w:p w14:paraId="4595B44A">
            <w:pPr>
              <w:jc w:val="center"/>
              <w:rPr>
                <w:sz w:val="18"/>
                <w:szCs w:val="18"/>
              </w:rPr>
            </w:pPr>
            <w:r>
              <w:rPr>
                <w:sz w:val="18"/>
                <w:szCs w:val="18"/>
              </w:rPr>
              <w:t>石脑油  (万吨)</w:t>
            </w:r>
          </w:p>
        </w:tc>
        <w:tc>
          <w:tcPr>
            <w:tcW w:w="859" w:type="dxa"/>
            <w:tcMar>
              <w:left w:w="28" w:type="dxa"/>
              <w:right w:w="28" w:type="dxa"/>
            </w:tcMar>
            <w:vAlign w:val="center"/>
          </w:tcPr>
          <w:p w14:paraId="51F8A363">
            <w:pPr>
              <w:jc w:val="center"/>
              <w:rPr>
                <w:sz w:val="18"/>
                <w:szCs w:val="18"/>
              </w:rPr>
            </w:pPr>
            <w:r>
              <w:rPr>
                <w:sz w:val="18"/>
                <w:szCs w:val="18"/>
              </w:rPr>
              <w:t>润滑油  (万吨)</w:t>
            </w:r>
          </w:p>
        </w:tc>
        <w:tc>
          <w:tcPr>
            <w:tcW w:w="859" w:type="dxa"/>
            <w:tcMar>
              <w:left w:w="28" w:type="dxa"/>
              <w:right w:w="28" w:type="dxa"/>
            </w:tcMar>
            <w:vAlign w:val="center"/>
          </w:tcPr>
          <w:p w14:paraId="4409AB35">
            <w:pPr>
              <w:jc w:val="center"/>
              <w:rPr>
                <w:sz w:val="18"/>
                <w:szCs w:val="18"/>
              </w:rPr>
            </w:pPr>
            <w:r>
              <w:rPr>
                <w:sz w:val="18"/>
                <w:szCs w:val="18"/>
              </w:rPr>
              <w:t>石  蜡          (万吨)</w:t>
            </w:r>
          </w:p>
        </w:tc>
        <w:tc>
          <w:tcPr>
            <w:tcW w:w="858" w:type="dxa"/>
            <w:tcBorders>
              <w:top w:val="single" w:color="auto" w:sz="8" w:space="0"/>
              <w:bottom w:val="single" w:color="auto" w:sz="2" w:space="0"/>
              <w:right w:val="single" w:color="auto" w:sz="2" w:space="0"/>
            </w:tcBorders>
            <w:tcMar>
              <w:left w:w="28" w:type="dxa"/>
              <w:right w:w="28" w:type="dxa"/>
            </w:tcMar>
            <w:vAlign w:val="center"/>
          </w:tcPr>
          <w:p w14:paraId="3394AFAB">
            <w:pPr>
              <w:jc w:val="center"/>
              <w:rPr>
                <w:sz w:val="18"/>
                <w:szCs w:val="18"/>
              </w:rPr>
            </w:pPr>
            <w:r>
              <w:rPr>
                <w:sz w:val="18"/>
                <w:szCs w:val="18"/>
              </w:rPr>
              <w:t>溶剂油</w:t>
            </w:r>
          </w:p>
          <w:p w14:paraId="5C259C2C">
            <w:pPr>
              <w:jc w:val="center"/>
              <w:rPr>
                <w:sz w:val="18"/>
                <w:szCs w:val="18"/>
              </w:rPr>
            </w:pPr>
            <w:r>
              <w:rPr>
                <w:sz w:val="18"/>
                <w:szCs w:val="18"/>
              </w:rPr>
              <w:t>(万吨)</w:t>
            </w:r>
          </w:p>
        </w:tc>
        <w:tc>
          <w:tcPr>
            <w:tcW w:w="859" w:type="dxa"/>
            <w:tcBorders>
              <w:top w:val="single" w:color="auto" w:sz="8" w:space="0"/>
              <w:left w:val="single" w:color="auto" w:sz="2" w:space="0"/>
              <w:bottom w:val="single" w:color="auto" w:sz="2" w:space="0"/>
            </w:tcBorders>
            <w:tcMar>
              <w:left w:w="28" w:type="dxa"/>
              <w:right w:w="28" w:type="dxa"/>
            </w:tcMar>
            <w:vAlign w:val="center"/>
          </w:tcPr>
          <w:p w14:paraId="407487EF">
            <w:pPr>
              <w:jc w:val="center"/>
              <w:rPr>
                <w:sz w:val="18"/>
                <w:szCs w:val="18"/>
              </w:rPr>
            </w:pPr>
            <w:r>
              <w:rPr>
                <w:sz w:val="18"/>
                <w:szCs w:val="18"/>
              </w:rPr>
              <w:t>石油沥青 (万吨)</w:t>
            </w:r>
          </w:p>
        </w:tc>
        <w:tc>
          <w:tcPr>
            <w:tcW w:w="786" w:type="dxa"/>
            <w:tcMar>
              <w:left w:w="28" w:type="dxa"/>
              <w:right w:w="28" w:type="dxa"/>
            </w:tcMar>
            <w:vAlign w:val="center"/>
          </w:tcPr>
          <w:p w14:paraId="3F54AB58">
            <w:pPr>
              <w:jc w:val="center"/>
              <w:rPr>
                <w:sz w:val="18"/>
                <w:szCs w:val="18"/>
              </w:rPr>
            </w:pPr>
            <w:r>
              <w:rPr>
                <w:sz w:val="18"/>
                <w:szCs w:val="18"/>
              </w:rPr>
              <w:t>石油焦  (万吨)</w:t>
            </w:r>
          </w:p>
        </w:tc>
        <w:tc>
          <w:tcPr>
            <w:tcW w:w="932" w:type="dxa"/>
            <w:tcMar>
              <w:left w:w="28" w:type="dxa"/>
              <w:right w:w="28" w:type="dxa"/>
            </w:tcMar>
            <w:vAlign w:val="center"/>
          </w:tcPr>
          <w:p w14:paraId="255548D4">
            <w:pPr>
              <w:ind w:left="-1" w:leftChars="-8" w:right="-19" w:rightChars="-9" w:hanging="16" w:hangingChars="9"/>
              <w:jc w:val="center"/>
              <w:rPr>
                <w:sz w:val="18"/>
                <w:szCs w:val="18"/>
              </w:rPr>
            </w:pPr>
            <w:r>
              <w:rPr>
                <w:sz w:val="18"/>
                <w:szCs w:val="18"/>
              </w:rPr>
              <w:t>液化石油气           (万吨)</w:t>
            </w:r>
          </w:p>
        </w:tc>
      </w:tr>
      <w:tr w14:paraId="313935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8" w:type="dxa"/>
            <w:tcMar>
              <w:left w:w="28" w:type="dxa"/>
              <w:right w:w="28" w:type="dxa"/>
            </w:tcMar>
            <w:vAlign w:val="center"/>
          </w:tcPr>
          <w:p w14:paraId="1F60C1A2">
            <w:pPr>
              <w:spacing w:line="240" w:lineRule="atLeast"/>
              <w:jc w:val="center"/>
              <w:textAlignment w:val="center"/>
              <w:rPr>
                <w:sz w:val="18"/>
                <w:szCs w:val="18"/>
              </w:rPr>
            </w:pPr>
            <w:r>
              <w:rPr>
                <w:sz w:val="18"/>
                <w:szCs w:val="18"/>
              </w:rPr>
              <w:t>19</w:t>
            </w:r>
          </w:p>
        </w:tc>
        <w:tc>
          <w:tcPr>
            <w:tcW w:w="859" w:type="dxa"/>
            <w:tcMar>
              <w:left w:w="28" w:type="dxa"/>
              <w:right w:w="28" w:type="dxa"/>
            </w:tcMar>
            <w:vAlign w:val="center"/>
          </w:tcPr>
          <w:p w14:paraId="0F7A2ADC">
            <w:pPr>
              <w:spacing w:line="240" w:lineRule="atLeast"/>
              <w:jc w:val="center"/>
              <w:textAlignment w:val="center"/>
              <w:rPr>
                <w:sz w:val="18"/>
                <w:szCs w:val="18"/>
              </w:rPr>
            </w:pPr>
            <w:r>
              <w:rPr>
                <w:sz w:val="18"/>
                <w:szCs w:val="18"/>
              </w:rPr>
              <w:t>20</w:t>
            </w:r>
          </w:p>
        </w:tc>
        <w:tc>
          <w:tcPr>
            <w:tcW w:w="859" w:type="dxa"/>
            <w:tcMar>
              <w:left w:w="28" w:type="dxa"/>
              <w:right w:w="28" w:type="dxa"/>
            </w:tcMar>
            <w:vAlign w:val="center"/>
          </w:tcPr>
          <w:p w14:paraId="054EACF6">
            <w:pPr>
              <w:spacing w:line="240" w:lineRule="atLeast"/>
              <w:jc w:val="center"/>
              <w:textAlignment w:val="center"/>
              <w:rPr>
                <w:sz w:val="18"/>
                <w:szCs w:val="18"/>
              </w:rPr>
            </w:pPr>
            <w:r>
              <w:rPr>
                <w:sz w:val="18"/>
                <w:szCs w:val="18"/>
              </w:rPr>
              <w:t>21</w:t>
            </w:r>
          </w:p>
        </w:tc>
        <w:tc>
          <w:tcPr>
            <w:tcW w:w="858" w:type="dxa"/>
            <w:tcMar>
              <w:left w:w="28" w:type="dxa"/>
              <w:right w:w="28" w:type="dxa"/>
            </w:tcMar>
            <w:vAlign w:val="center"/>
          </w:tcPr>
          <w:p w14:paraId="25D046DE">
            <w:pPr>
              <w:spacing w:line="240" w:lineRule="atLeast"/>
              <w:jc w:val="center"/>
              <w:textAlignment w:val="center"/>
              <w:rPr>
                <w:sz w:val="18"/>
                <w:szCs w:val="18"/>
              </w:rPr>
            </w:pPr>
            <w:r>
              <w:rPr>
                <w:sz w:val="18"/>
                <w:szCs w:val="18"/>
              </w:rPr>
              <w:t>22</w:t>
            </w:r>
          </w:p>
        </w:tc>
        <w:tc>
          <w:tcPr>
            <w:tcW w:w="859" w:type="dxa"/>
            <w:tcMar>
              <w:left w:w="28" w:type="dxa"/>
              <w:right w:w="28" w:type="dxa"/>
            </w:tcMar>
            <w:vAlign w:val="center"/>
          </w:tcPr>
          <w:p w14:paraId="2FA54E39">
            <w:pPr>
              <w:spacing w:line="240" w:lineRule="atLeast"/>
              <w:jc w:val="center"/>
              <w:textAlignment w:val="center"/>
              <w:rPr>
                <w:sz w:val="18"/>
                <w:szCs w:val="18"/>
              </w:rPr>
            </w:pPr>
            <w:r>
              <w:rPr>
                <w:sz w:val="18"/>
                <w:szCs w:val="18"/>
              </w:rPr>
              <w:t>23</w:t>
            </w:r>
          </w:p>
        </w:tc>
        <w:tc>
          <w:tcPr>
            <w:tcW w:w="859" w:type="dxa"/>
            <w:tcMar>
              <w:left w:w="28" w:type="dxa"/>
              <w:right w:w="28" w:type="dxa"/>
            </w:tcMar>
            <w:vAlign w:val="center"/>
          </w:tcPr>
          <w:p w14:paraId="48814F3C">
            <w:pPr>
              <w:spacing w:line="240" w:lineRule="atLeast"/>
              <w:jc w:val="center"/>
              <w:textAlignment w:val="center"/>
              <w:rPr>
                <w:sz w:val="18"/>
                <w:szCs w:val="18"/>
              </w:rPr>
            </w:pPr>
            <w:r>
              <w:rPr>
                <w:sz w:val="18"/>
                <w:szCs w:val="18"/>
              </w:rPr>
              <w:t>24</w:t>
            </w:r>
          </w:p>
        </w:tc>
        <w:tc>
          <w:tcPr>
            <w:tcW w:w="859" w:type="dxa"/>
            <w:tcMar>
              <w:left w:w="28" w:type="dxa"/>
              <w:right w:w="28" w:type="dxa"/>
            </w:tcMar>
            <w:vAlign w:val="center"/>
          </w:tcPr>
          <w:p w14:paraId="03654183">
            <w:pPr>
              <w:spacing w:line="240" w:lineRule="atLeast"/>
              <w:jc w:val="center"/>
              <w:textAlignment w:val="center"/>
              <w:rPr>
                <w:sz w:val="18"/>
                <w:szCs w:val="18"/>
              </w:rPr>
            </w:pPr>
            <w:r>
              <w:rPr>
                <w:sz w:val="18"/>
                <w:szCs w:val="18"/>
              </w:rPr>
              <w:t>25</w:t>
            </w:r>
          </w:p>
        </w:tc>
        <w:tc>
          <w:tcPr>
            <w:tcW w:w="858" w:type="dxa"/>
            <w:tcBorders>
              <w:top w:val="single" w:color="auto" w:sz="2" w:space="0"/>
              <w:bottom w:val="single" w:color="auto" w:sz="2" w:space="0"/>
              <w:right w:val="single" w:color="auto" w:sz="2" w:space="0"/>
            </w:tcBorders>
            <w:tcMar>
              <w:left w:w="28" w:type="dxa"/>
              <w:right w:w="28" w:type="dxa"/>
            </w:tcMar>
            <w:vAlign w:val="center"/>
          </w:tcPr>
          <w:p w14:paraId="2C599ECF">
            <w:pPr>
              <w:spacing w:line="240" w:lineRule="atLeast"/>
              <w:jc w:val="center"/>
              <w:textAlignment w:val="center"/>
              <w:rPr>
                <w:sz w:val="18"/>
                <w:szCs w:val="18"/>
              </w:rPr>
            </w:pPr>
            <w:r>
              <w:rPr>
                <w:sz w:val="18"/>
                <w:szCs w:val="18"/>
              </w:rPr>
              <w:t>26</w:t>
            </w:r>
          </w:p>
        </w:tc>
        <w:tc>
          <w:tcPr>
            <w:tcW w:w="859" w:type="dxa"/>
            <w:tcBorders>
              <w:top w:val="single" w:color="auto" w:sz="2" w:space="0"/>
              <w:left w:val="single" w:color="auto" w:sz="2" w:space="0"/>
              <w:bottom w:val="single" w:color="auto" w:sz="2" w:space="0"/>
            </w:tcBorders>
            <w:tcMar>
              <w:left w:w="28" w:type="dxa"/>
              <w:right w:w="28" w:type="dxa"/>
            </w:tcMar>
            <w:vAlign w:val="center"/>
          </w:tcPr>
          <w:p w14:paraId="72DFC237">
            <w:pPr>
              <w:spacing w:line="240" w:lineRule="atLeast"/>
              <w:jc w:val="center"/>
              <w:textAlignment w:val="center"/>
              <w:rPr>
                <w:sz w:val="18"/>
                <w:szCs w:val="18"/>
              </w:rPr>
            </w:pPr>
            <w:r>
              <w:rPr>
                <w:sz w:val="18"/>
                <w:szCs w:val="18"/>
              </w:rPr>
              <w:t>27</w:t>
            </w:r>
          </w:p>
        </w:tc>
        <w:tc>
          <w:tcPr>
            <w:tcW w:w="786" w:type="dxa"/>
            <w:tcMar>
              <w:left w:w="28" w:type="dxa"/>
              <w:right w:w="28" w:type="dxa"/>
            </w:tcMar>
            <w:vAlign w:val="center"/>
          </w:tcPr>
          <w:p w14:paraId="423C89AC">
            <w:pPr>
              <w:spacing w:line="240" w:lineRule="atLeast"/>
              <w:jc w:val="center"/>
              <w:textAlignment w:val="center"/>
              <w:rPr>
                <w:sz w:val="18"/>
                <w:szCs w:val="18"/>
              </w:rPr>
            </w:pPr>
            <w:r>
              <w:rPr>
                <w:sz w:val="18"/>
                <w:szCs w:val="18"/>
              </w:rPr>
              <w:t>28</w:t>
            </w:r>
          </w:p>
        </w:tc>
        <w:tc>
          <w:tcPr>
            <w:tcW w:w="932" w:type="dxa"/>
            <w:tcMar>
              <w:left w:w="28" w:type="dxa"/>
              <w:right w:w="28" w:type="dxa"/>
            </w:tcMar>
            <w:vAlign w:val="center"/>
          </w:tcPr>
          <w:p w14:paraId="517C72ED">
            <w:pPr>
              <w:spacing w:line="240" w:lineRule="atLeast"/>
              <w:jc w:val="center"/>
              <w:textAlignment w:val="center"/>
              <w:rPr>
                <w:sz w:val="18"/>
                <w:szCs w:val="18"/>
              </w:rPr>
            </w:pPr>
            <w:r>
              <w:rPr>
                <w:sz w:val="18"/>
                <w:szCs w:val="18"/>
              </w:rPr>
              <w:t>29</w:t>
            </w:r>
          </w:p>
        </w:tc>
      </w:tr>
      <w:tr w14:paraId="0E36DF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9446" w:type="dxa"/>
            <w:gridSpan w:val="11"/>
            <w:tcMar>
              <w:left w:w="28" w:type="dxa"/>
              <w:right w:w="28" w:type="dxa"/>
            </w:tcMar>
            <w:vAlign w:val="center"/>
          </w:tcPr>
          <w:p w14:paraId="198FDC7C">
            <w:pPr>
              <w:rPr>
                <w:sz w:val="18"/>
                <w:szCs w:val="18"/>
              </w:rPr>
            </w:pPr>
          </w:p>
          <w:p w14:paraId="14A06A1A">
            <w:pPr>
              <w:rPr>
                <w:sz w:val="18"/>
                <w:szCs w:val="18"/>
              </w:rPr>
            </w:pPr>
          </w:p>
        </w:tc>
      </w:tr>
    </w:tbl>
    <w:p w14:paraId="1AAC6C57">
      <w:pPr>
        <w:snapToGrid w:val="0"/>
        <w:ind w:left="-105" w:leftChars="-50" w:right="-105" w:rightChars="-50" w:firstLine="104" w:firstLineChars="58"/>
        <w:rPr>
          <w:sz w:val="18"/>
          <w:szCs w:val="18"/>
        </w:rPr>
      </w:pPr>
    </w:p>
    <w:p w14:paraId="2FD7C9AF">
      <w:pPr>
        <w:snapToGrid w:val="0"/>
        <w:ind w:left="-105" w:leftChars="-50" w:right="-105" w:rightChars="-50" w:firstLine="104" w:firstLineChars="58"/>
        <w:rPr>
          <w:sz w:val="18"/>
          <w:szCs w:val="18"/>
        </w:rPr>
      </w:pPr>
      <w:r>
        <w:rPr>
          <w:sz w:val="18"/>
          <w:szCs w:val="18"/>
        </w:rPr>
        <w:t>续表三</w:t>
      </w:r>
    </w:p>
    <w:tbl>
      <w:tblPr>
        <w:tblStyle w:val="20"/>
        <w:tblW w:w="946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Change w:id="271" w:author="kylin" w:date="2025-10-17T16:51:13Z">
          <w:tblPr>
            <w:tblStyle w:val="20"/>
            <w:tblW w:w="946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PrChange>
      </w:tblPr>
      <w:tblGrid>
        <w:gridCol w:w="826"/>
        <w:gridCol w:w="913"/>
        <w:gridCol w:w="914"/>
        <w:gridCol w:w="941"/>
        <w:gridCol w:w="1077"/>
        <w:gridCol w:w="941"/>
        <w:gridCol w:w="846"/>
        <w:gridCol w:w="1110"/>
        <w:gridCol w:w="946"/>
        <w:gridCol w:w="946"/>
        <w:tblGridChange w:id="272">
          <w:tblGrid>
            <w:gridCol w:w="836"/>
            <w:gridCol w:w="1148"/>
            <w:gridCol w:w="938"/>
            <w:gridCol w:w="980"/>
            <w:gridCol w:w="697"/>
            <w:gridCol w:w="950"/>
            <w:gridCol w:w="844"/>
            <w:gridCol w:w="1175"/>
            <w:gridCol w:w="946"/>
            <w:gridCol w:w="946"/>
          </w:tblGrid>
        </w:tblGridChange>
      </w:tblGrid>
      <w:tr w14:paraId="62E066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273" w:author="kylin" w:date="2025-10-17T16:51:1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737" w:hRule="atLeast"/>
          <w:jc w:val="center"/>
          <w:trPrChange w:id="273" w:author="kylin" w:date="2025-10-17T16:51:13Z">
            <w:trPr>
              <w:jc w:val="center"/>
            </w:trPr>
          </w:trPrChange>
        </w:trPr>
        <w:tc>
          <w:tcPr>
            <w:tcW w:w="826" w:type="dxa"/>
            <w:vAlign w:val="center"/>
            <w:tcPrChange w:id="274" w:author="kylin" w:date="2025-10-17T16:51:13Z">
              <w:tcPr>
                <w:tcW w:w="836" w:type="dxa"/>
                <w:vAlign w:val="center"/>
              </w:tcPr>
            </w:tcPrChange>
          </w:tcPr>
          <w:p w14:paraId="0A86E5CE">
            <w:pPr>
              <w:ind w:left="-111" w:leftChars="-53" w:right="-92" w:rightChars="-44" w:firstLine="12" w:firstLineChars="7"/>
              <w:jc w:val="center"/>
              <w:rPr>
                <w:sz w:val="18"/>
                <w:szCs w:val="18"/>
              </w:rPr>
            </w:pPr>
            <w:r>
              <w:rPr>
                <w:sz w:val="18"/>
                <w:szCs w:val="18"/>
              </w:rPr>
              <w:t>炼厂干气          (万吨)</w:t>
            </w:r>
          </w:p>
        </w:tc>
        <w:tc>
          <w:tcPr>
            <w:tcW w:w="913" w:type="dxa"/>
            <w:vAlign w:val="center"/>
            <w:tcPrChange w:id="275" w:author="kylin" w:date="2025-10-17T16:51:13Z">
              <w:tcPr>
                <w:tcW w:w="1148" w:type="dxa"/>
                <w:vAlign w:val="center"/>
              </w:tcPr>
            </w:tcPrChange>
          </w:tcPr>
          <w:p w14:paraId="598B29D4">
            <w:pPr>
              <w:ind w:left="-94" w:leftChars="-45" w:right="-80" w:rightChars="-38" w:firstLine="3" w:firstLineChars="2"/>
              <w:jc w:val="center"/>
              <w:rPr>
                <w:sz w:val="18"/>
                <w:szCs w:val="18"/>
              </w:rPr>
            </w:pPr>
            <w:r>
              <w:rPr>
                <w:sz w:val="18"/>
                <w:szCs w:val="18"/>
              </w:rPr>
              <w:t>其他石油制品(万吨)</w:t>
            </w:r>
          </w:p>
        </w:tc>
        <w:tc>
          <w:tcPr>
            <w:tcW w:w="914" w:type="dxa"/>
            <w:vAlign w:val="center"/>
            <w:tcPrChange w:id="276" w:author="kylin" w:date="2025-10-17T16:51:13Z">
              <w:tcPr>
                <w:tcW w:w="938" w:type="dxa"/>
                <w:vAlign w:val="center"/>
              </w:tcPr>
            </w:tcPrChange>
          </w:tcPr>
          <w:p w14:paraId="4C710C97">
            <w:pPr>
              <w:ind w:left="-109" w:leftChars="-52" w:right="-107" w:rightChars="-51"/>
              <w:jc w:val="center"/>
              <w:rPr>
                <w:sz w:val="18"/>
                <w:szCs w:val="18"/>
              </w:rPr>
            </w:pPr>
            <w:r>
              <w:rPr>
                <w:sz w:val="18"/>
                <w:szCs w:val="18"/>
              </w:rPr>
              <w:t>天然气</w:t>
            </w:r>
          </w:p>
          <w:p w14:paraId="162FBB7D">
            <w:pPr>
              <w:ind w:left="-109" w:leftChars="-52" w:right="-107" w:rightChars="-51"/>
              <w:jc w:val="center"/>
              <w:rPr>
                <w:sz w:val="18"/>
                <w:szCs w:val="18"/>
              </w:rPr>
            </w:pPr>
            <w:r>
              <w:rPr>
                <w:sz w:val="18"/>
                <w:szCs w:val="18"/>
              </w:rPr>
              <w:t>(亿立方米)</w:t>
            </w:r>
          </w:p>
        </w:tc>
        <w:tc>
          <w:tcPr>
            <w:tcW w:w="941" w:type="dxa"/>
            <w:vAlign w:val="center"/>
            <w:tcPrChange w:id="277" w:author="kylin" w:date="2025-10-17T16:51:13Z">
              <w:tcPr>
                <w:tcW w:w="980" w:type="dxa"/>
                <w:vAlign w:val="center"/>
              </w:tcPr>
            </w:tcPrChange>
          </w:tcPr>
          <w:p w14:paraId="2878810F">
            <w:pPr>
              <w:jc w:val="center"/>
              <w:rPr>
                <w:sz w:val="18"/>
                <w:szCs w:val="18"/>
              </w:rPr>
            </w:pPr>
            <w:r>
              <w:rPr>
                <w:sz w:val="18"/>
                <w:szCs w:val="18"/>
              </w:rPr>
              <w:t>液化天然气(万吨)</w:t>
            </w:r>
          </w:p>
        </w:tc>
        <w:tc>
          <w:tcPr>
            <w:tcW w:w="1077" w:type="dxa"/>
            <w:vAlign w:val="center"/>
            <w:tcPrChange w:id="278" w:author="kylin" w:date="2025-10-17T16:51:13Z">
              <w:tcPr>
                <w:tcW w:w="697" w:type="dxa"/>
                <w:vAlign w:val="center"/>
              </w:tcPr>
            </w:tcPrChange>
          </w:tcPr>
          <w:p w14:paraId="250F8970">
            <w:pPr>
              <w:jc w:val="center"/>
              <w:rPr>
                <w:rFonts w:hint="default" w:eastAsia="宋体"/>
                <w:sz w:val="18"/>
                <w:szCs w:val="18"/>
                <w:lang w:val="en-US" w:eastAsia="zh-CN"/>
              </w:rPr>
            </w:pPr>
            <w:r>
              <w:rPr>
                <w:rFonts w:hint="eastAsia"/>
                <w:sz w:val="18"/>
                <w:szCs w:val="18"/>
              </w:rPr>
              <w:t xml:space="preserve">氢 </w:t>
            </w:r>
            <w:ins w:id="279" w:author="kylin" w:date="2025-10-17T16:50:24Z">
              <w:r>
                <w:rPr>
                  <w:rFonts w:hint="eastAsia"/>
                  <w:sz w:val="18"/>
                  <w:szCs w:val="18"/>
                  <w:lang w:val="en-US" w:eastAsia="zh-CN"/>
                </w:rPr>
                <w:t xml:space="preserve"> </w:t>
              </w:r>
            </w:ins>
            <w:del w:id="280" w:author="kylin" w:date="2025-10-17T16:46:08Z">
              <w:r>
                <w:rPr>
                  <w:rFonts w:hint="eastAsia"/>
                  <w:sz w:val="18"/>
                  <w:szCs w:val="18"/>
                </w:rPr>
                <w:delText>能</w:delText>
              </w:r>
            </w:del>
            <w:ins w:id="281" w:author="kylin" w:date="2025-10-17T16:46:08Z">
              <w:r>
                <w:rPr>
                  <w:rFonts w:hint="eastAsia"/>
                  <w:sz w:val="18"/>
                  <w:szCs w:val="18"/>
                  <w:lang w:eastAsia="zh-CN"/>
                </w:rPr>
                <w:t>气</w:t>
              </w:r>
            </w:ins>
            <w:del w:id="282" w:author="kylin" w:date="2025-10-17T16:49:40Z">
              <w:r>
                <w:rPr>
                  <w:sz w:val="18"/>
                  <w:szCs w:val="18"/>
                </w:rPr>
                <w:delText xml:space="preserve">  </w:delText>
              </w:r>
            </w:del>
            <w:del w:id="283" w:author="kylin" w:date="2025-10-17T16:49:46Z">
              <w:r>
                <w:rPr>
                  <w:sz w:val="18"/>
                  <w:szCs w:val="18"/>
                </w:rPr>
                <w:delText xml:space="preserve">  </w:delText>
              </w:r>
            </w:del>
            <w:ins w:id="284" w:author="kylin" w:date="2025-10-17T16:50:39Z">
              <w:r>
                <w:rPr>
                  <w:rFonts w:hint="eastAsia"/>
                  <w:sz w:val="18"/>
                  <w:szCs w:val="18"/>
                  <w:lang w:val="en-US" w:eastAsia="zh-CN"/>
                </w:rPr>
                <w:t xml:space="preserve"> </w:t>
              </w:r>
            </w:ins>
            <w:del w:id="285" w:author="kylin" w:date="2025-10-17T16:49:55Z">
              <w:r>
                <w:rPr>
                  <w:sz w:val="18"/>
                  <w:szCs w:val="18"/>
                </w:rPr>
                <w:delText xml:space="preserve"> </w:delText>
              </w:r>
            </w:del>
            <w:del w:id="286" w:author="kylin" w:date="2025-10-17T16:49:50Z">
              <w:r>
                <w:rPr>
                  <w:sz w:val="18"/>
                  <w:szCs w:val="18"/>
                </w:rPr>
                <w:delText xml:space="preserve">     </w:delText>
              </w:r>
            </w:del>
            <w:del w:id="287" w:author="kylin" w:date="2025-10-17T16:49:44Z">
              <w:r>
                <w:rPr>
                  <w:sz w:val="18"/>
                  <w:szCs w:val="18"/>
                </w:rPr>
                <w:delText xml:space="preserve">  </w:delText>
              </w:r>
            </w:del>
            <w:del w:id="288" w:author="kylin" w:date="2025-10-17T16:49:22Z">
              <w:r>
                <w:rPr>
                  <w:rFonts w:hint="default"/>
                  <w:sz w:val="18"/>
                  <w:szCs w:val="18"/>
                  <w:lang w:val="en-US"/>
                </w:rPr>
                <w:delText>(万吨)</w:delText>
              </w:r>
            </w:del>
            <w:ins w:id="289" w:author="kylin" w:date="2025-10-17T16:49:28Z">
              <w:r>
                <w:rPr>
                  <w:rFonts w:hint="default"/>
                  <w:sz w:val="18"/>
                  <w:szCs w:val="18"/>
                  <w:lang w:val="en-US"/>
                </w:rPr>
                <w:t>(</w:t>
              </w:r>
            </w:ins>
            <w:ins w:id="290" w:author="kylin" w:date="2025-10-17T16:49:36Z">
              <w:r>
                <w:rPr>
                  <w:rFonts w:hint="eastAsia"/>
                  <w:sz w:val="18"/>
                  <w:szCs w:val="18"/>
                  <w:lang w:val="en-US" w:eastAsia="zh-CN"/>
                </w:rPr>
                <w:t>亿立方米</w:t>
              </w:r>
            </w:ins>
            <w:ins w:id="291" w:author="kylin" w:date="2025-10-17T16:49:23Z">
              <w:r>
                <w:rPr>
                  <w:rFonts w:hint="eastAsia"/>
                  <w:sz w:val="18"/>
                  <w:szCs w:val="18"/>
                  <w:lang w:val="en-US" w:eastAsia="zh-CN"/>
                </w:rPr>
                <w:t>)</w:t>
              </w:r>
            </w:ins>
          </w:p>
        </w:tc>
        <w:tc>
          <w:tcPr>
            <w:tcW w:w="941" w:type="dxa"/>
            <w:vAlign w:val="center"/>
            <w:tcPrChange w:id="292" w:author="kylin" w:date="2025-10-17T16:51:13Z">
              <w:tcPr>
                <w:tcW w:w="950" w:type="dxa"/>
                <w:vAlign w:val="center"/>
              </w:tcPr>
            </w:tcPrChange>
          </w:tcPr>
          <w:p w14:paraId="721DBD92">
            <w:pPr>
              <w:jc w:val="center"/>
              <w:rPr>
                <w:sz w:val="18"/>
                <w:szCs w:val="18"/>
              </w:rPr>
            </w:pPr>
            <w:r>
              <w:rPr>
                <w:rFonts w:hint="eastAsia"/>
                <w:sz w:val="18"/>
                <w:szCs w:val="18"/>
              </w:rPr>
              <w:t>秸秆薪柴</w:t>
            </w:r>
          </w:p>
          <w:p w14:paraId="007CB45E">
            <w:pPr>
              <w:jc w:val="center"/>
              <w:rPr>
                <w:sz w:val="18"/>
                <w:szCs w:val="18"/>
              </w:rPr>
            </w:pPr>
            <w:r>
              <w:rPr>
                <w:sz w:val="18"/>
                <w:szCs w:val="18"/>
              </w:rPr>
              <w:t>(万吨)</w:t>
            </w:r>
          </w:p>
        </w:tc>
        <w:tc>
          <w:tcPr>
            <w:tcW w:w="846" w:type="dxa"/>
            <w:vAlign w:val="center"/>
            <w:tcPrChange w:id="293" w:author="kylin" w:date="2025-10-17T16:51:13Z">
              <w:tcPr>
                <w:tcW w:w="844" w:type="dxa"/>
                <w:vAlign w:val="center"/>
              </w:tcPr>
            </w:tcPrChange>
          </w:tcPr>
          <w:p w14:paraId="0A308680">
            <w:pPr>
              <w:ind w:left="-107" w:leftChars="-51" w:right="-107" w:rightChars="-51" w:firstLine="14" w:firstLineChars="8"/>
              <w:jc w:val="center"/>
              <w:rPr>
                <w:sz w:val="18"/>
                <w:szCs w:val="18"/>
              </w:rPr>
            </w:pPr>
            <w:r>
              <w:rPr>
                <w:sz w:val="18"/>
                <w:szCs w:val="18"/>
              </w:rPr>
              <w:t>沼  气          (亿立方米)</w:t>
            </w:r>
          </w:p>
        </w:tc>
        <w:tc>
          <w:tcPr>
            <w:tcW w:w="1110" w:type="dxa"/>
            <w:vAlign w:val="center"/>
            <w:tcPrChange w:id="294" w:author="kylin" w:date="2025-10-17T16:51:13Z">
              <w:tcPr>
                <w:tcW w:w="1175" w:type="dxa"/>
                <w:vAlign w:val="center"/>
              </w:tcPr>
            </w:tcPrChange>
          </w:tcPr>
          <w:p w14:paraId="712FF1DF">
            <w:pPr>
              <w:ind w:left="-109" w:leftChars="-52" w:right="-94" w:rightChars="-45" w:firstLine="12" w:firstLineChars="7"/>
              <w:jc w:val="center"/>
              <w:rPr>
                <w:sz w:val="18"/>
                <w:szCs w:val="18"/>
              </w:rPr>
            </w:pPr>
            <w:r>
              <w:rPr>
                <w:sz w:val="18"/>
                <w:szCs w:val="18"/>
              </w:rPr>
              <w:t>热  力             (万百万千焦)</w:t>
            </w:r>
          </w:p>
        </w:tc>
        <w:tc>
          <w:tcPr>
            <w:tcW w:w="946" w:type="dxa"/>
            <w:vAlign w:val="center"/>
            <w:tcPrChange w:id="295" w:author="kylin" w:date="2025-10-17T16:51:13Z">
              <w:tcPr>
                <w:tcW w:w="946" w:type="dxa"/>
                <w:vAlign w:val="center"/>
              </w:tcPr>
            </w:tcPrChange>
          </w:tcPr>
          <w:p w14:paraId="7B7FB91E">
            <w:pPr>
              <w:ind w:left="-122" w:leftChars="-58" w:right="-101" w:rightChars="-48" w:firstLine="12" w:firstLineChars="7"/>
              <w:jc w:val="center"/>
              <w:rPr>
                <w:sz w:val="18"/>
                <w:szCs w:val="18"/>
              </w:rPr>
            </w:pPr>
            <w:r>
              <w:rPr>
                <w:sz w:val="18"/>
                <w:szCs w:val="18"/>
              </w:rPr>
              <w:t>电  力           (亿千瓦时)</w:t>
            </w:r>
          </w:p>
        </w:tc>
        <w:tc>
          <w:tcPr>
            <w:tcW w:w="946" w:type="dxa"/>
            <w:vAlign w:val="center"/>
            <w:tcPrChange w:id="296" w:author="kylin" w:date="2025-10-17T16:51:13Z">
              <w:tcPr>
                <w:tcW w:w="946" w:type="dxa"/>
                <w:vAlign w:val="center"/>
              </w:tcPr>
            </w:tcPrChange>
          </w:tcPr>
          <w:p w14:paraId="399C56D7">
            <w:pPr>
              <w:jc w:val="center"/>
              <w:rPr>
                <w:sz w:val="18"/>
                <w:szCs w:val="18"/>
              </w:rPr>
            </w:pPr>
            <w:r>
              <w:rPr>
                <w:sz w:val="18"/>
                <w:szCs w:val="18"/>
              </w:rPr>
              <w:t>其他能源</w:t>
            </w:r>
          </w:p>
          <w:p w14:paraId="44B182E9">
            <w:pPr>
              <w:ind w:left="-113" w:leftChars="-54" w:right="-92" w:rightChars="-44" w:firstLine="12" w:firstLineChars="7"/>
              <w:jc w:val="center"/>
              <w:rPr>
                <w:sz w:val="18"/>
                <w:szCs w:val="18"/>
              </w:rPr>
            </w:pPr>
            <w:r>
              <w:rPr>
                <w:sz w:val="18"/>
                <w:szCs w:val="18"/>
              </w:rPr>
              <w:t>(万吨标煤)</w:t>
            </w:r>
          </w:p>
        </w:tc>
      </w:tr>
      <w:tr w14:paraId="079BD2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297" w:author="kylin" w:date="2025-10-17T16:51:1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306" w:hRule="atLeast"/>
          <w:jc w:val="center"/>
          <w:trPrChange w:id="297" w:author="kylin" w:date="2025-10-17T16:51:13Z">
            <w:trPr>
              <w:jc w:val="center"/>
            </w:trPr>
          </w:trPrChange>
        </w:trPr>
        <w:tc>
          <w:tcPr>
            <w:tcW w:w="826" w:type="dxa"/>
            <w:vAlign w:val="center"/>
            <w:tcPrChange w:id="298" w:author="kylin" w:date="2025-10-17T16:51:13Z">
              <w:tcPr>
                <w:tcW w:w="836" w:type="dxa"/>
                <w:vAlign w:val="center"/>
              </w:tcPr>
            </w:tcPrChange>
          </w:tcPr>
          <w:p w14:paraId="179C1660">
            <w:pPr>
              <w:spacing w:line="240" w:lineRule="atLeast"/>
              <w:jc w:val="center"/>
              <w:textAlignment w:val="center"/>
              <w:rPr>
                <w:sz w:val="18"/>
                <w:szCs w:val="18"/>
              </w:rPr>
            </w:pPr>
            <w:r>
              <w:rPr>
                <w:sz w:val="18"/>
                <w:szCs w:val="18"/>
              </w:rPr>
              <w:t>30</w:t>
            </w:r>
          </w:p>
        </w:tc>
        <w:tc>
          <w:tcPr>
            <w:tcW w:w="913" w:type="dxa"/>
            <w:vAlign w:val="center"/>
            <w:tcPrChange w:id="299" w:author="kylin" w:date="2025-10-17T16:51:13Z">
              <w:tcPr>
                <w:tcW w:w="1148" w:type="dxa"/>
                <w:vAlign w:val="center"/>
              </w:tcPr>
            </w:tcPrChange>
          </w:tcPr>
          <w:p w14:paraId="204FEF87">
            <w:pPr>
              <w:spacing w:line="240" w:lineRule="atLeast"/>
              <w:jc w:val="center"/>
              <w:textAlignment w:val="center"/>
              <w:rPr>
                <w:sz w:val="18"/>
                <w:szCs w:val="18"/>
              </w:rPr>
            </w:pPr>
            <w:r>
              <w:rPr>
                <w:sz w:val="18"/>
                <w:szCs w:val="18"/>
              </w:rPr>
              <w:t>31</w:t>
            </w:r>
          </w:p>
        </w:tc>
        <w:tc>
          <w:tcPr>
            <w:tcW w:w="914" w:type="dxa"/>
            <w:vAlign w:val="center"/>
            <w:tcPrChange w:id="300" w:author="kylin" w:date="2025-10-17T16:51:13Z">
              <w:tcPr>
                <w:tcW w:w="938" w:type="dxa"/>
                <w:vAlign w:val="center"/>
              </w:tcPr>
            </w:tcPrChange>
          </w:tcPr>
          <w:p w14:paraId="2E5D98FD">
            <w:pPr>
              <w:spacing w:line="240" w:lineRule="atLeast"/>
              <w:jc w:val="center"/>
              <w:textAlignment w:val="center"/>
              <w:rPr>
                <w:sz w:val="18"/>
                <w:szCs w:val="18"/>
              </w:rPr>
            </w:pPr>
            <w:r>
              <w:rPr>
                <w:sz w:val="18"/>
                <w:szCs w:val="18"/>
              </w:rPr>
              <w:t>32</w:t>
            </w:r>
          </w:p>
        </w:tc>
        <w:tc>
          <w:tcPr>
            <w:tcW w:w="941" w:type="dxa"/>
            <w:vAlign w:val="center"/>
            <w:tcPrChange w:id="301" w:author="kylin" w:date="2025-10-17T16:51:13Z">
              <w:tcPr>
                <w:tcW w:w="980" w:type="dxa"/>
                <w:vAlign w:val="center"/>
              </w:tcPr>
            </w:tcPrChange>
          </w:tcPr>
          <w:p w14:paraId="16FD0E05">
            <w:pPr>
              <w:spacing w:line="240" w:lineRule="atLeast"/>
              <w:jc w:val="center"/>
              <w:textAlignment w:val="center"/>
              <w:rPr>
                <w:sz w:val="18"/>
                <w:szCs w:val="18"/>
              </w:rPr>
            </w:pPr>
            <w:r>
              <w:rPr>
                <w:sz w:val="18"/>
                <w:szCs w:val="18"/>
              </w:rPr>
              <w:t>33</w:t>
            </w:r>
          </w:p>
        </w:tc>
        <w:tc>
          <w:tcPr>
            <w:tcW w:w="1077" w:type="dxa"/>
            <w:vAlign w:val="center"/>
            <w:tcPrChange w:id="302" w:author="kylin" w:date="2025-10-17T16:51:13Z">
              <w:tcPr>
                <w:tcW w:w="697" w:type="dxa"/>
                <w:vAlign w:val="center"/>
              </w:tcPr>
            </w:tcPrChange>
          </w:tcPr>
          <w:p w14:paraId="523B4814">
            <w:pPr>
              <w:spacing w:line="240" w:lineRule="atLeast"/>
              <w:jc w:val="center"/>
              <w:textAlignment w:val="center"/>
              <w:rPr>
                <w:sz w:val="18"/>
                <w:szCs w:val="18"/>
              </w:rPr>
            </w:pPr>
            <w:r>
              <w:rPr>
                <w:sz w:val="18"/>
                <w:szCs w:val="18"/>
              </w:rPr>
              <w:t>34</w:t>
            </w:r>
          </w:p>
        </w:tc>
        <w:tc>
          <w:tcPr>
            <w:tcW w:w="941" w:type="dxa"/>
            <w:vAlign w:val="center"/>
            <w:tcPrChange w:id="303" w:author="kylin" w:date="2025-10-17T16:51:13Z">
              <w:tcPr>
                <w:tcW w:w="950" w:type="dxa"/>
                <w:vAlign w:val="center"/>
              </w:tcPr>
            </w:tcPrChange>
          </w:tcPr>
          <w:p w14:paraId="14E12586">
            <w:pPr>
              <w:spacing w:line="240" w:lineRule="atLeast"/>
              <w:jc w:val="center"/>
              <w:textAlignment w:val="center"/>
              <w:rPr>
                <w:sz w:val="18"/>
                <w:szCs w:val="18"/>
              </w:rPr>
            </w:pPr>
            <w:r>
              <w:rPr>
                <w:sz w:val="18"/>
                <w:szCs w:val="18"/>
              </w:rPr>
              <w:t>35</w:t>
            </w:r>
          </w:p>
        </w:tc>
        <w:tc>
          <w:tcPr>
            <w:tcW w:w="846" w:type="dxa"/>
            <w:vAlign w:val="center"/>
            <w:tcPrChange w:id="304" w:author="kylin" w:date="2025-10-17T16:51:13Z">
              <w:tcPr>
                <w:tcW w:w="844" w:type="dxa"/>
                <w:vAlign w:val="center"/>
              </w:tcPr>
            </w:tcPrChange>
          </w:tcPr>
          <w:p w14:paraId="11E24AB3">
            <w:pPr>
              <w:spacing w:line="240" w:lineRule="atLeast"/>
              <w:jc w:val="center"/>
              <w:textAlignment w:val="center"/>
              <w:rPr>
                <w:sz w:val="18"/>
                <w:szCs w:val="18"/>
              </w:rPr>
            </w:pPr>
            <w:r>
              <w:rPr>
                <w:sz w:val="18"/>
                <w:szCs w:val="18"/>
              </w:rPr>
              <w:t>36</w:t>
            </w:r>
          </w:p>
        </w:tc>
        <w:tc>
          <w:tcPr>
            <w:tcW w:w="1110" w:type="dxa"/>
            <w:vAlign w:val="center"/>
            <w:tcPrChange w:id="305" w:author="kylin" w:date="2025-10-17T16:51:13Z">
              <w:tcPr>
                <w:tcW w:w="1175" w:type="dxa"/>
                <w:vAlign w:val="center"/>
              </w:tcPr>
            </w:tcPrChange>
          </w:tcPr>
          <w:p w14:paraId="4F4A9DFD">
            <w:pPr>
              <w:spacing w:line="240" w:lineRule="atLeast"/>
              <w:jc w:val="center"/>
              <w:textAlignment w:val="center"/>
              <w:rPr>
                <w:sz w:val="18"/>
                <w:szCs w:val="18"/>
              </w:rPr>
            </w:pPr>
            <w:r>
              <w:rPr>
                <w:sz w:val="18"/>
                <w:szCs w:val="18"/>
              </w:rPr>
              <w:t>37</w:t>
            </w:r>
          </w:p>
        </w:tc>
        <w:tc>
          <w:tcPr>
            <w:tcW w:w="946" w:type="dxa"/>
            <w:vAlign w:val="center"/>
            <w:tcPrChange w:id="306" w:author="kylin" w:date="2025-10-17T16:51:13Z">
              <w:tcPr>
                <w:tcW w:w="946" w:type="dxa"/>
                <w:vAlign w:val="center"/>
              </w:tcPr>
            </w:tcPrChange>
          </w:tcPr>
          <w:p w14:paraId="63840749">
            <w:pPr>
              <w:spacing w:line="240" w:lineRule="atLeast"/>
              <w:jc w:val="center"/>
              <w:textAlignment w:val="center"/>
              <w:rPr>
                <w:sz w:val="18"/>
                <w:szCs w:val="18"/>
              </w:rPr>
            </w:pPr>
            <w:r>
              <w:rPr>
                <w:sz w:val="18"/>
                <w:szCs w:val="18"/>
              </w:rPr>
              <w:t>38</w:t>
            </w:r>
          </w:p>
        </w:tc>
        <w:tc>
          <w:tcPr>
            <w:tcW w:w="946" w:type="dxa"/>
            <w:vAlign w:val="center"/>
            <w:tcPrChange w:id="307" w:author="kylin" w:date="2025-10-17T16:51:13Z">
              <w:tcPr>
                <w:tcW w:w="946" w:type="dxa"/>
                <w:vAlign w:val="center"/>
              </w:tcPr>
            </w:tcPrChange>
          </w:tcPr>
          <w:p w14:paraId="303EF109">
            <w:pPr>
              <w:spacing w:line="240" w:lineRule="atLeast"/>
              <w:jc w:val="center"/>
              <w:textAlignment w:val="center"/>
              <w:rPr>
                <w:sz w:val="18"/>
                <w:szCs w:val="18"/>
              </w:rPr>
            </w:pPr>
            <w:r>
              <w:rPr>
                <w:sz w:val="18"/>
                <w:szCs w:val="18"/>
              </w:rPr>
              <w:t>39</w:t>
            </w:r>
          </w:p>
        </w:tc>
      </w:tr>
      <w:tr w14:paraId="122956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308" w:author="kylin" w:date="2025-10-17T16:49:00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148" w:hRule="atLeast"/>
          <w:jc w:val="center"/>
          <w:trPrChange w:id="308" w:author="kylin" w:date="2025-10-17T16:49:00Z">
            <w:trPr>
              <w:jc w:val="center"/>
            </w:trPr>
          </w:trPrChange>
        </w:trPr>
        <w:tc>
          <w:tcPr>
            <w:tcW w:w="9460" w:type="dxa"/>
            <w:gridSpan w:val="10"/>
            <w:vAlign w:val="center"/>
            <w:tcPrChange w:id="309" w:author="kylin" w:date="2025-10-17T16:49:00Z">
              <w:tcPr>
                <w:tcW w:w="9460" w:type="dxa"/>
                <w:gridSpan w:val="10"/>
                <w:vAlign w:val="center"/>
              </w:tcPr>
            </w:tcPrChange>
          </w:tcPr>
          <w:p w14:paraId="3655B256">
            <w:pPr>
              <w:ind w:left="-105" w:leftChars="-50" w:right="-105" w:rightChars="-50"/>
              <w:jc w:val="center"/>
              <w:rPr>
                <w:sz w:val="18"/>
                <w:szCs w:val="18"/>
              </w:rPr>
            </w:pPr>
          </w:p>
          <w:p w14:paraId="72EB0D77">
            <w:pPr>
              <w:ind w:left="-105" w:leftChars="-50" w:right="-105" w:rightChars="-50"/>
              <w:jc w:val="center"/>
              <w:rPr>
                <w:sz w:val="18"/>
                <w:szCs w:val="18"/>
              </w:rPr>
            </w:pPr>
          </w:p>
        </w:tc>
      </w:tr>
    </w:tbl>
    <w:p w14:paraId="4EE908E1">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14:paraId="1EED5062">
      <w:pPr>
        <w:ind w:right="-42" w:rightChars="-20"/>
        <w:rPr>
          <w:b/>
          <w:sz w:val="18"/>
          <w:szCs w:val="18"/>
        </w:rPr>
      </w:pPr>
    </w:p>
    <w:p w14:paraId="4A021AF9">
      <w:pPr>
        <w:spacing w:line="320" w:lineRule="exact"/>
        <w:ind w:right="-42" w:rightChars="-20"/>
        <w:rPr>
          <w:sz w:val="18"/>
          <w:szCs w:val="18"/>
        </w:rPr>
      </w:pPr>
      <w:r>
        <w:rPr>
          <w:sz w:val="18"/>
          <w:szCs w:val="18"/>
        </w:rPr>
        <w:t>说明：1.统计范围：辖区内除军队系统以外的全部能源生产和消费活动。</w:t>
      </w:r>
    </w:p>
    <w:p w14:paraId="179BB633">
      <w:pPr>
        <w:spacing w:line="320" w:lineRule="exact"/>
        <w:ind w:left="667" w:leftChars="258" w:hanging="125" w:hangingChars="70"/>
        <w:rPr>
          <w:sz w:val="18"/>
          <w:szCs w:val="18"/>
        </w:rPr>
      </w:pPr>
      <w:r>
        <w:rPr>
          <w:sz w:val="18"/>
          <w:szCs w:val="18"/>
        </w:rPr>
        <w:t>2.本表由各省、自治区、直辖市统计局根据现有资料加工编制并负责报送。报送时间为次年5月31日前，报送方式为电子邮件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4268AA10">
      <w:pPr>
        <w:spacing w:line="320" w:lineRule="exact"/>
        <w:ind w:right="-42" w:rightChars="-20" w:firstLine="540" w:firstLineChars="300"/>
        <w:rPr>
          <w:sz w:val="18"/>
          <w:szCs w:val="18"/>
        </w:rPr>
      </w:pPr>
      <w:r>
        <w:rPr>
          <w:sz w:val="18"/>
          <w:szCs w:val="18"/>
        </w:rPr>
        <w:t>3.平衡关系：</w:t>
      </w:r>
    </w:p>
    <w:p w14:paraId="0006877A">
      <w:pPr>
        <w:spacing w:line="320" w:lineRule="exact"/>
        <w:ind w:firstLine="684" w:firstLineChars="380"/>
        <w:rPr>
          <w:sz w:val="18"/>
          <w:szCs w:val="18"/>
        </w:rPr>
      </w:pPr>
      <w:r>
        <w:rPr>
          <w:sz w:val="18"/>
          <w:szCs w:val="18"/>
        </w:rPr>
        <w:t>列平衡关系：(1)煤合计(1)=2+7+8+9</w:t>
      </w:r>
    </w:p>
    <w:p w14:paraId="55A6E925">
      <w:pPr>
        <w:spacing w:line="320" w:lineRule="exact"/>
        <w:ind w:right="-42" w:rightChars="-20" w:firstLine="1764" w:firstLineChars="980"/>
        <w:rPr>
          <w:sz w:val="18"/>
          <w:szCs w:val="18"/>
        </w:rPr>
      </w:pPr>
      <w:r>
        <w:rPr>
          <w:sz w:val="18"/>
          <w:szCs w:val="18"/>
        </w:rPr>
        <w:t>(2)原煤(2)=3+4+5+6</w:t>
      </w:r>
    </w:p>
    <w:p w14:paraId="221259BB">
      <w:pPr>
        <w:spacing w:line="320" w:lineRule="exact"/>
        <w:ind w:right="-42" w:rightChars="-20" w:firstLine="1764" w:firstLineChars="980"/>
        <w:rPr>
          <w:sz w:val="18"/>
          <w:szCs w:val="18"/>
        </w:rPr>
      </w:pPr>
      <w:r>
        <w:rPr>
          <w:sz w:val="18"/>
          <w:szCs w:val="18"/>
        </w:rPr>
        <w:t>(3)油品合计(17)=18+19+……+31</w:t>
      </w:r>
    </w:p>
    <w:p w14:paraId="2E7A0EE0">
      <w:pPr>
        <w:spacing w:line="320" w:lineRule="exact"/>
        <w:ind w:right="-40" w:firstLine="684" w:firstLineChars="380"/>
        <w:rPr>
          <w:sz w:val="18"/>
          <w:szCs w:val="18"/>
        </w:rPr>
      </w:pPr>
      <w:r>
        <w:rPr>
          <w:sz w:val="18"/>
          <w:szCs w:val="18"/>
        </w:rPr>
        <w:t xml:space="preserve">行平衡关系：与行业分类目录平衡关系一致。 </w:t>
      </w:r>
    </w:p>
    <w:p w14:paraId="5AADCBEE">
      <w:pPr>
        <w:spacing w:before="480" w:beforeLines="200" w:after="240" w:afterLines="100"/>
        <w:jc w:val="center"/>
        <w:outlineLvl w:val="2"/>
        <w:rPr>
          <w:sz w:val="32"/>
          <w:szCs w:val="32"/>
        </w:rPr>
      </w:pPr>
      <w:r>
        <w:rPr>
          <w:sz w:val="18"/>
          <w:szCs w:val="18"/>
        </w:rPr>
        <w:br w:type="page"/>
      </w:r>
      <w:r>
        <w:rPr>
          <w:sz w:val="32"/>
          <w:szCs w:val="32"/>
        </w:rPr>
        <w:t>分行业终端能源消费量</w:t>
      </w:r>
      <w:r>
        <w:rPr>
          <w:rFonts w:hint="eastAsia"/>
          <w:sz w:val="32"/>
          <w:szCs w:val="32"/>
        </w:rPr>
        <w:t>（</w:t>
      </w:r>
      <w:r>
        <w:rPr>
          <w:sz w:val="32"/>
          <w:szCs w:val="32"/>
        </w:rPr>
        <w:t>实物量</w:t>
      </w:r>
      <w:r>
        <w:rPr>
          <w:rFonts w:hint="eastAsia"/>
          <w:sz w:val="32"/>
          <w:szCs w:val="32"/>
        </w:rPr>
        <w:t>）</w:t>
      </w:r>
    </w:p>
    <w:tbl>
      <w:tblPr>
        <w:tblStyle w:val="20"/>
        <w:tblW w:w="9402" w:type="dxa"/>
        <w:jc w:val="center"/>
        <w:tblLayout w:type="autofit"/>
        <w:tblCellMar>
          <w:top w:w="0" w:type="dxa"/>
          <w:left w:w="0" w:type="dxa"/>
          <w:bottom w:w="0" w:type="dxa"/>
          <w:right w:w="0" w:type="dxa"/>
        </w:tblCellMar>
      </w:tblPr>
      <w:tblGrid>
        <w:gridCol w:w="3355"/>
        <w:gridCol w:w="840"/>
        <w:gridCol w:w="2433"/>
        <w:gridCol w:w="863"/>
        <w:gridCol w:w="1911"/>
      </w:tblGrid>
      <w:tr w14:paraId="0AF1789D">
        <w:tblPrEx>
          <w:tblCellMar>
            <w:top w:w="0" w:type="dxa"/>
            <w:left w:w="0" w:type="dxa"/>
            <w:bottom w:w="0" w:type="dxa"/>
            <w:right w:w="0" w:type="dxa"/>
          </w:tblCellMar>
        </w:tblPrEx>
        <w:trPr>
          <w:jc w:val="center"/>
        </w:trPr>
        <w:tc>
          <w:tcPr>
            <w:tcW w:w="3355" w:type="dxa"/>
          </w:tcPr>
          <w:p w14:paraId="1A71A06C">
            <w:pPr>
              <w:spacing w:line="260" w:lineRule="exact"/>
              <w:rPr>
                <w:sz w:val="18"/>
                <w:szCs w:val="18"/>
              </w:rPr>
            </w:pPr>
          </w:p>
        </w:tc>
        <w:tc>
          <w:tcPr>
            <w:tcW w:w="840" w:type="dxa"/>
          </w:tcPr>
          <w:p w14:paraId="5708C1F7">
            <w:pPr>
              <w:spacing w:line="260" w:lineRule="exact"/>
              <w:rPr>
                <w:sz w:val="18"/>
                <w:szCs w:val="18"/>
              </w:rPr>
            </w:pPr>
          </w:p>
        </w:tc>
        <w:tc>
          <w:tcPr>
            <w:tcW w:w="2433" w:type="dxa"/>
          </w:tcPr>
          <w:p w14:paraId="2E5E0777">
            <w:pPr>
              <w:spacing w:line="260" w:lineRule="exact"/>
              <w:rPr>
                <w:sz w:val="18"/>
                <w:szCs w:val="18"/>
              </w:rPr>
            </w:pPr>
            <w:r>
              <w:rPr>
                <w:sz w:val="18"/>
                <w:szCs w:val="18"/>
              </w:rPr>
              <w:t>　　　　　　　　　　　　　</w:t>
            </w:r>
          </w:p>
        </w:tc>
        <w:tc>
          <w:tcPr>
            <w:tcW w:w="863" w:type="dxa"/>
            <w:tcMar>
              <w:left w:w="0" w:type="dxa"/>
              <w:right w:w="0" w:type="dxa"/>
            </w:tcMar>
          </w:tcPr>
          <w:p w14:paraId="711ABF8A">
            <w:pPr>
              <w:spacing w:line="260" w:lineRule="exact"/>
              <w:rPr>
                <w:sz w:val="18"/>
                <w:szCs w:val="18"/>
              </w:rPr>
            </w:pPr>
            <w:r>
              <w:rPr>
                <w:sz w:val="18"/>
                <w:szCs w:val="18"/>
              </w:rPr>
              <w:t>表    号：</w:t>
            </w:r>
          </w:p>
        </w:tc>
        <w:tc>
          <w:tcPr>
            <w:tcW w:w="1911" w:type="dxa"/>
            <w:vAlign w:val="center"/>
          </w:tcPr>
          <w:p w14:paraId="571940F7">
            <w:pPr>
              <w:spacing w:line="260" w:lineRule="exact"/>
              <w:jc w:val="distribute"/>
              <w:rPr>
                <w:sz w:val="18"/>
                <w:szCs w:val="18"/>
              </w:rPr>
            </w:pPr>
            <w:r>
              <w:rPr>
                <w:sz w:val="18"/>
                <w:szCs w:val="18"/>
              </w:rPr>
              <w:t>Ｐ３０３－３表</w:t>
            </w:r>
          </w:p>
        </w:tc>
      </w:tr>
      <w:tr w14:paraId="3EC3A653">
        <w:tblPrEx>
          <w:tblCellMar>
            <w:top w:w="0" w:type="dxa"/>
            <w:left w:w="0" w:type="dxa"/>
            <w:bottom w:w="0" w:type="dxa"/>
            <w:right w:w="0" w:type="dxa"/>
          </w:tblCellMar>
        </w:tblPrEx>
        <w:trPr>
          <w:jc w:val="center"/>
        </w:trPr>
        <w:tc>
          <w:tcPr>
            <w:tcW w:w="3355" w:type="dxa"/>
          </w:tcPr>
          <w:p w14:paraId="4A2DEC4C">
            <w:pPr>
              <w:spacing w:line="260" w:lineRule="exact"/>
              <w:rPr>
                <w:sz w:val="18"/>
                <w:szCs w:val="18"/>
              </w:rPr>
            </w:pPr>
          </w:p>
        </w:tc>
        <w:tc>
          <w:tcPr>
            <w:tcW w:w="840" w:type="dxa"/>
          </w:tcPr>
          <w:p w14:paraId="63023E7F">
            <w:pPr>
              <w:spacing w:line="260" w:lineRule="exact"/>
              <w:rPr>
                <w:sz w:val="18"/>
                <w:szCs w:val="18"/>
              </w:rPr>
            </w:pPr>
          </w:p>
        </w:tc>
        <w:tc>
          <w:tcPr>
            <w:tcW w:w="2433" w:type="dxa"/>
          </w:tcPr>
          <w:p w14:paraId="26019503">
            <w:pPr>
              <w:spacing w:line="260" w:lineRule="exact"/>
              <w:rPr>
                <w:sz w:val="18"/>
                <w:szCs w:val="18"/>
              </w:rPr>
            </w:pPr>
          </w:p>
        </w:tc>
        <w:tc>
          <w:tcPr>
            <w:tcW w:w="863" w:type="dxa"/>
            <w:tcMar>
              <w:left w:w="0" w:type="dxa"/>
              <w:right w:w="0" w:type="dxa"/>
            </w:tcMar>
            <w:vAlign w:val="center"/>
          </w:tcPr>
          <w:p w14:paraId="06993C94">
            <w:pPr>
              <w:spacing w:line="260" w:lineRule="exact"/>
              <w:rPr>
                <w:sz w:val="18"/>
                <w:szCs w:val="18"/>
              </w:rPr>
            </w:pPr>
            <w:r>
              <w:rPr>
                <w:sz w:val="18"/>
                <w:szCs w:val="18"/>
              </w:rPr>
              <w:t>制定机关：</w:t>
            </w:r>
          </w:p>
        </w:tc>
        <w:tc>
          <w:tcPr>
            <w:tcW w:w="1911" w:type="dxa"/>
            <w:vAlign w:val="center"/>
          </w:tcPr>
          <w:p w14:paraId="2142E303">
            <w:pPr>
              <w:spacing w:line="260" w:lineRule="exact"/>
              <w:jc w:val="distribute"/>
              <w:rPr>
                <w:sz w:val="18"/>
                <w:szCs w:val="18"/>
              </w:rPr>
            </w:pPr>
            <w:r>
              <w:rPr>
                <w:sz w:val="18"/>
                <w:szCs w:val="18"/>
              </w:rPr>
              <w:t>国 家 统 计 局</w:t>
            </w:r>
          </w:p>
        </w:tc>
      </w:tr>
      <w:tr w14:paraId="568CD8F3">
        <w:tblPrEx>
          <w:tblCellMar>
            <w:top w:w="0" w:type="dxa"/>
            <w:left w:w="0" w:type="dxa"/>
            <w:bottom w:w="0" w:type="dxa"/>
            <w:right w:w="0" w:type="dxa"/>
          </w:tblCellMar>
        </w:tblPrEx>
        <w:trPr>
          <w:jc w:val="center"/>
        </w:trPr>
        <w:tc>
          <w:tcPr>
            <w:tcW w:w="3355" w:type="dxa"/>
          </w:tcPr>
          <w:p w14:paraId="4969C91E">
            <w:pPr>
              <w:spacing w:line="260" w:lineRule="exact"/>
              <w:rPr>
                <w:sz w:val="18"/>
                <w:szCs w:val="18"/>
              </w:rPr>
            </w:pPr>
          </w:p>
        </w:tc>
        <w:tc>
          <w:tcPr>
            <w:tcW w:w="840" w:type="dxa"/>
          </w:tcPr>
          <w:p w14:paraId="275028D7">
            <w:pPr>
              <w:spacing w:line="260" w:lineRule="exact"/>
              <w:rPr>
                <w:sz w:val="18"/>
                <w:szCs w:val="18"/>
              </w:rPr>
            </w:pPr>
          </w:p>
        </w:tc>
        <w:tc>
          <w:tcPr>
            <w:tcW w:w="2433" w:type="dxa"/>
          </w:tcPr>
          <w:p w14:paraId="6DCDEE89">
            <w:pPr>
              <w:spacing w:line="260" w:lineRule="exact"/>
              <w:rPr>
                <w:sz w:val="18"/>
                <w:szCs w:val="18"/>
              </w:rPr>
            </w:pPr>
          </w:p>
        </w:tc>
        <w:tc>
          <w:tcPr>
            <w:tcW w:w="863" w:type="dxa"/>
            <w:tcMar>
              <w:left w:w="0" w:type="dxa"/>
              <w:right w:w="0" w:type="dxa"/>
            </w:tcMar>
            <w:vAlign w:val="center"/>
          </w:tcPr>
          <w:p w14:paraId="68D405CB">
            <w:pPr>
              <w:spacing w:line="260" w:lineRule="exact"/>
              <w:rPr>
                <w:sz w:val="18"/>
                <w:szCs w:val="18"/>
              </w:rPr>
            </w:pPr>
            <w:r>
              <w:rPr>
                <w:sz w:val="18"/>
                <w:szCs w:val="18"/>
              </w:rPr>
              <w:t>文    号：</w:t>
            </w:r>
          </w:p>
        </w:tc>
        <w:tc>
          <w:tcPr>
            <w:tcW w:w="1911" w:type="dxa"/>
            <w:vAlign w:val="center"/>
          </w:tcPr>
          <w:p w14:paraId="58667A0D">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10" w:author="kylin" w:date="2025-10-17T16:20:42Z">
              <w:r>
                <w:rPr>
                  <w:rFonts w:hint="default" w:ascii="宋体" w:hAnsi="宋体"/>
                  <w:spacing w:val="-16"/>
                  <w:sz w:val="18"/>
                  <w:szCs w:val="18"/>
                  <w:lang w:val="en-US" w:eastAsia="zh-CN"/>
                </w:rPr>
                <w:delText>４</w:delText>
              </w:r>
            </w:del>
            <w:ins w:id="311" w:author="kylin" w:date="2025-10-17T16:20:42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12" w:author="kylin" w:date="2025-10-17T16:20:44Z">
              <w:r>
                <w:rPr>
                  <w:rFonts w:hint="default" w:ascii="宋体" w:hAnsi="宋体"/>
                  <w:spacing w:val="-16"/>
                  <w:sz w:val="18"/>
                  <w:szCs w:val="18"/>
                  <w:lang w:val="en-US" w:eastAsia="zh-CN"/>
                </w:rPr>
                <w:delText>77</w:delText>
              </w:r>
            </w:del>
            <w:ins w:id="313" w:author="kylin" w:date="2025-10-17T16:20:44Z">
              <w:r>
                <w:rPr>
                  <w:rFonts w:hint="eastAsia" w:ascii="宋体" w:hAnsi="宋体"/>
                  <w:spacing w:val="-16"/>
                  <w:sz w:val="18"/>
                  <w:szCs w:val="18"/>
                  <w:lang w:val="en-US" w:eastAsia="zh-CN"/>
                </w:rPr>
                <w:t>8</w:t>
              </w:r>
            </w:ins>
            <w:ins w:id="314" w:author="kylin" w:date="2025-10-17T16:20:45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33A00EA8">
        <w:tblPrEx>
          <w:tblCellMar>
            <w:top w:w="0" w:type="dxa"/>
            <w:left w:w="0" w:type="dxa"/>
            <w:bottom w:w="0" w:type="dxa"/>
            <w:right w:w="0" w:type="dxa"/>
          </w:tblCellMar>
        </w:tblPrEx>
        <w:trPr>
          <w:jc w:val="center"/>
        </w:trPr>
        <w:tc>
          <w:tcPr>
            <w:tcW w:w="3355" w:type="dxa"/>
          </w:tcPr>
          <w:p w14:paraId="04EC135E">
            <w:pPr>
              <w:spacing w:line="260" w:lineRule="exact"/>
              <w:jc w:val="left"/>
              <w:rPr>
                <w:sz w:val="18"/>
                <w:szCs w:val="18"/>
              </w:rPr>
            </w:pPr>
            <w:r>
              <w:rPr>
                <w:sz w:val="18"/>
              </w:rPr>
              <w:t>综合机关名称：</w:t>
            </w:r>
          </w:p>
        </w:tc>
        <w:tc>
          <w:tcPr>
            <w:tcW w:w="840" w:type="dxa"/>
          </w:tcPr>
          <w:p w14:paraId="21AE60F9">
            <w:pPr>
              <w:spacing w:line="260" w:lineRule="exact"/>
              <w:rPr>
                <w:sz w:val="18"/>
                <w:szCs w:val="18"/>
              </w:rPr>
            </w:pPr>
          </w:p>
        </w:tc>
        <w:tc>
          <w:tcPr>
            <w:tcW w:w="2433" w:type="dxa"/>
          </w:tcPr>
          <w:p w14:paraId="2A59EE04">
            <w:pPr>
              <w:spacing w:line="260" w:lineRule="exact"/>
              <w:rPr>
                <w:sz w:val="18"/>
                <w:szCs w:val="18"/>
              </w:rPr>
            </w:pPr>
            <w:r>
              <w:rPr>
                <w:sz w:val="18"/>
                <w:szCs w:val="18"/>
              </w:rPr>
              <w:t>２０　　年　　　　　　　　　</w:t>
            </w:r>
          </w:p>
        </w:tc>
        <w:tc>
          <w:tcPr>
            <w:tcW w:w="863" w:type="dxa"/>
            <w:tcMar>
              <w:left w:w="0" w:type="dxa"/>
              <w:right w:w="0" w:type="dxa"/>
            </w:tcMar>
            <w:vAlign w:val="center"/>
          </w:tcPr>
          <w:p w14:paraId="06476D4A">
            <w:pPr>
              <w:spacing w:line="260" w:lineRule="exact"/>
              <w:rPr>
                <w:sz w:val="18"/>
                <w:szCs w:val="18"/>
              </w:rPr>
            </w:pPr>
            <w:r>
              <w:rPr>
                <w:sz w:val="18"/>
                <w:szCs w:val="18"/>
              </w:rPr>
              <w:t>有效期至：</w:t>
            </w:r>
          </w:p>
        </w:tc>
        <w:tc>
          <w:tcPr>
            <w:tcW w:w="1911" w:type="dxa"/>
            <w:vAlign w:val="center"/>
          </w:tcPr>
          <w:p w14:paraId="06C9000B">
            <w:pPr>
              <w:spacing w:line="260" w:lineRule="exact"/>
              <w:jc w:val="distribute"/>
              <w:rPr>
                <w:rFonts w:hint="default"/>
                <w:sz w:val="18"/>
                <w:szCs w:val="18"/>
                <w:lang w:val="en"/>
              </w:rPr>
            </w:pPr>
            <w:r>
              <w:rPr>
                <w:sz w:val="18"/>
                <w:szCs w:val="18"/>
                <w:lang w:val="en"/>
              </w:rPr>
              <w:t>２０２</w:t>
            </w:r>
            <w:del w:id="315" w:author="kylin" w:date="2025-10-17T16:20:46Z">
              <w:r>
                <w:rPr>
                  <w:rFonts w:hint="default"/>
                  <w:kern w:val="0"/>
                  <w:sz w:val="18"/>
                  <w:szCs w:val="18"/>
                  <w:lang w:val="en-US"/>
                </w:rPr>
                <w:delText>５</w:delText>
              </w:r>
            </w:del>
            <w:ins w:id="316" w:author="kylin" w:date="2025-10-17T16:20:46Z">
              <w:r>
                <w:rPr>
                  <w:rFonts w:hint="eastAsia"/>
                  <w:kern w:val="0"/>
                  <w:sz w:val="18"/>
                  <w:szCs w:val="18"/>
                  <w:lang w:val="en-US" w:eastAsia="zh-CN"/>
                </w:rPr>
                <w:t>6</w:t>
              </w:r>
            </w:ins>
            <w:r>
              <w:rPr>
                <w:sz w:val="18"/>
                <w:szCs w:val="18"/>
                <w:lang w:val="en"/>
              </w:rPr>
              <w:t>年６月</w:t>
            </w:r>
          </w:p>
        </w:tc>
      </w:tr>
    </w:tbl>
    <w:p w14:paraId="14519C66">
      <w:pPr>
        <w:spacing w:line="20" w:lineRule="exact"/>
        <w:ind w:firstLine="7020" w:firstLineChars="3900"/>
        <w:rPr>
          <w:sz w:val="18"/>
          <w:szCs w:val="18"/>
        </w:rPr>
      </w:pPr>
    </w:p>
    <w:tbl>
      <w:tblPr>
        <w:tblStyle w:val="20"/>
        <w:tblW w:w="9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0"/>
        <w:gridCol w:w="735"/>
        <w:gridCol w:w="907"/>
        <w:gridCol w:w="923"/>
        <w:gridCol w:w="855"/>
        <w:gridCol w:w="900"/>
        <w:gridCol w:w="900"/>
        <w:gridCol w:w="810"/>
        <w:gridCol w:w="735"/>
        <w:gridCol w:w="735"/>
      </w:tblGrid>
      <w:tr w14:paraId="7E103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 w:hRule="atLeast"/>
          <w:jc w:val="center"/>
        </w:trPr>
        <w:tc>
          <w:tcPr>
            <w:tcW w:w="1910" w:type="dxa"/>
            <w:vMerge w:val="restart"/>
            <w:tcBorders>
              <w:top w:val="single" w:color="auto" w:sz="8" w:space="0"/>
              <w:left w:val="nil"/>
              <w:bottom w:val="single" w:color="auto" w:sz="2" w:space="0"/>
              <w:right w:val="single" w:color="auto" w:sz="2" w:space="0"/>
            </w:tcBorders>
            <w:vAlign w:val="center"/>
          </w:tcPr>
          <w:p w14:paraId="69EE3810">
            <w:pPr>
              <w:jc w:val="center"/>
              <w:rPr>
                <w:sz w:val="18"/>
                <w:szCs w:val="18"/>
              </w:rPr>
            </w:pPr>
            <w:r>
              <w:rPr>
                <w:sz w:val="18"/>
                <w:szCs w:val="18"/>
              </w:rPr>
              <w:t>指标名称</w:t>
            </w:r>
          </w:p>
        </w:tc>
        <w:tc>
          <w:tcPr>
            <w:tcW w:w="735" w:type="dxa"/>
            <w:vMerge w:val="restart"/>
            <w:tcBorders>
              <w:top w:val="single" w:color="auto" w:sz="8" w:space="0"/>
              <w:left w:val="single" w:color="auto" w:sz="2" w:space="0"/>
              <w:bottom w:val="single" w:color="auto" w:sz="2" w:space="0"/>
              <w:right w:val="single" w:color="auto" w:sz="2" w:space="0"/>
            </w:tcBorders>
            <w:vAlign w:val="center"/>
          </w:tcPr>
          <w:p w14:paraId="67026311">
            <w:pPr>
              <w:jc w:val="center"/>
              <w:rPr>
                <w:sz w:val="18"/>
                <w:szCs w:val="18"/>
              </w:rPr>
            </w:pPr>
            <w:r>
              <w:rPr>
                <w:sz w:val="18"/>
                <w:szCs w:val="18"/>
              </w:rPr>
              <w:t>代码</w:t>
            </w:r>
          </w:p>
        </w:tc>
        <w:tc>
          <w:tcPr>
            <w:tcW w:w="907" w:type="dxa"/>
            <w:vMerge w:val="restart"/>
            <w:tcBorders>
              <w:top w:val="single" w:color="auto" w:sz="8" w:space="0"/>
              <w:left w:val="single" w:color="auto" w:sz="2" w:space="0"/>
              <w:bottom w:val="single" w:color="auto" w:sz="2" w:space="0"/>
              <w:right w:val="single" w:color="auto" w:sz="2" w:space="0"/>
            </w:tcBorders>
            <w:vAlign w:val="center"/>
          </w:tcPr>
          <w:p w14:paraId="3BFEC4AA">
            <w:pPr>
              <w:jc w:val="center"/>
              <w:rPr>
                <w:sz w:val="18"/>
                <w:szCs w:val="18"/>
              </w:rPr>
            </w:pPr>
            <w:r>
              <w:rPr>
                <w:sz w:val="18"/>
                <w:szCs w:val="18"/>
              </w:rPr>
              <w:t>煤合计</w:t>
            </w:r>
          </w:p>
          <w:p w14:paraId="62C922BD">
            <w:pPr>
              <w:jc w:val="center"/>
              <w:rPr>
                <w:sz w:val="18"/>
                <w:szCs w:val="18"/>
              </w:rPr>
            </w:pPr>
            <w:r>
              <w:rPr>
                <w:sz w:val="18"/>
                <w:szCs w:val="18"/>
              </w:rPr>
              <w:t>(万吨)</w:t>
            </w:r>
          </w:p>
        </w:tc>
        <w:tc>
          <w:tcPr>
            <w:tcW w:w="923" w:type="dxa"/>
            <w:vMerge w:val="restart"/>
            <w:tcBorders>
              <w:top w:val="single" w:color="auto" w:sz="8" w:space="0"/>
              <w:left w:val="single" w:color="auto" w:sz="2" w:space="0"/>
              <w:bottom w:val="single" w:color="auto" w:sz="2" w:space="0"/>
              <w:right w:val="nil"/>
            </w:tcBorders>
            <w:vAlign w:val="center"/>
          </w:tcPr>
          <w:p w14:paraId="20D799DC">
            <w:pPr>
              <w:jc w:val="center"/>
              <w:rPr>
                <w:sz w:val="18"/>
                <w:szCs w:val="18"/>
              </w:rPr>
            </w:pPr>
            <w:r>
              <w:rPr>
                <w:sz w:val="18"/>
                <w:szCs w:val="18"/>
              </w:rPr>
              <w:t>原  煤</w:t>
            </w:r>
          </w:p>
          <w:p w14:paraId="51BD0C43">
            <w:pPr>
              <w:jc w:val="center"/>
              <w:rPr>
                <w:sz w:val="18"/>
                <w:szCs w:val="18"/>
              </w:rPr>
            </w:pPr>
            <w:r>
              <w:rPr>
                <w:sz w:val="18"/>
                <w:szCs w:val="18"/>
              </w:rPr>
              <w:t>(万吨)</w:t>
            </w:r>
          </w:p>
        </w:tc>
        <w:tc>
          <w:tcPr>
            <w:tcW w:w="3465" w:type="dxa"/>
            <w:gridSpan w:val="4"/>
            <w:tcBorders>
              <w:top w:val="single" w:color="auto" w:sz="8" w:space="0"/>
              <w:left w:val="nil"/>
              <w:bottom w:val="single" w:color="auto" w:sz="2" w:space="0"/>
              <w:right w:val="single" w:color="auto" w:sz="2" w:space="0"/>
            </w:tcBorders>
            <w:vAlign w:val="center"/>
          </w:tcPr>
          <w:p w14:paraId="25099417">
            <w:pPr>
              <w:jc w:val="center"/>
              <w:rPr>
                <w:sz w:val="18"/>
                <w:szCs w:val="18"/>
              </w:rPr>
            </w:pPr>
          </w:p>
        </w:tc>
        <w:tc>
          <w:tcPr>
            <w:tcW w:w="735" w:type="dxa"/>
            <w:vMerge w:val="restart"/>
            <w:tcBorders>
              <w:top w:val="single" w:color="auto" w:sz="8" w:space="0"/>
              <w:left w:val="single" w:color="auto" w:sz="2" w:space="0"/>
              <w:bottom w:val="single" w:color="auto" w:sz="2" w:space="0"/>
              <w:right w:val="single" w:color="auto" w:sz="2" w:space="0"/>
            </w:tcBorders>
            <w:vAlign w:val="center"/>
          </w:tcPr>
          <w:p w14:paraId="32CE9F96">
            <w:pPr>
              <w:ind w:left="-105" w:leftChars="-50" w:right="-105" w:rightChars="-50"/>
              <w:jc w:val="center"/>
              <w:rPr>
                <w:sz w:val="18"/>
                <w:szCs w:val="18"/>
              </w:rPr>
            </w:pPr>
            <w:r>
              <w:rPr>
                <w:sz w:val="18"/>
                <w:szCs w:val="18"/>
              </w:rPr>
              <w:t>洗精煤</w:t>
            </w:r>
          </w:p>
          <w:p w14:paraId="40AED8E0">
            <w:pPr>
              <w:ind w:left="-105" w:leftChars="-50" w:right="-105" w:rightChars="-50"/>
              <w:jc w:val="center"/>
              <w:rPr>
                <w:sz w:val="18"/>
                <w:szCs w:val="18"/>
              </w:rPr>
            </w:pPr>
            <w:r>
              <w:rPr>
                <w:sz w:val="18"/>
                <w:szCs w:val="18"/>
              </w:rPr>
              <w:t>(万吨)</w:t>
            </w:r>
          </w:p>
        </w:tc>
        <w:tc>
          <w:tcPr>
            <w:tcW w:w="735" w:type="dxa"/>
            <w:vMerge w:val="restart"/>
            <w:tcBorders>
              <w:top w:val="single" w:color="auto" w:sz="8" w:space="0"/>
              <w:left w:val="single" w:color="auto" w:sz="2" w:space="0"/>
              <w:bottom w:val="single" w:color="auto" w:sz="2" w:space="0"/>
              <w:right w:val="nil"/>
            </w:tcBorders>
            <w:vAlign w:val="center"/>
          </w:tcPr>
          <w:p w14:paraId="2BD6707A">
            <w:pPr>
              <w:ind w:left="-105" w:leftChars="-50" w:right="-105" w:rightChars="-50"/>
              <w:jc w:val="center"/>
              <w:rPr>
                <w:sz w:val="18"/>
                <w:szCs w:val="18"/>
              </w:rPr>
            </w:pPr>
            <w:r>
              <w:rPr>
                <w:sz w:val="18"/>
                <w:szCs w:val="18"/>
              </w:rPr>
              <w:t>其他</w:t>
            </w:r>
          </w:p>
          <w:p w14:paraId="4099672C">
            <w:pPr>
              <w:ind w:left="-105" w:leftChars="-50" w:right="-105" w:rightChars="-50"/>
              <w:jc w:val="center"/>
              <w:rPr>
                <w:sz w:val="18"/>
                <w:szCs w:val="18"/>
              </w:rPr>
            </w:pPr>
            <w:r>
              <w:rPr>
                <w:sz w:val="18"/>
                <w:szCs w:val="18"/>
              </w:rPr>
              <w:t>洗煤</w:t>
            </w:r>
          </w:p>
          <w:p w14:paraId="1FE0C687">
            <w:pPr>
              <w:ind w:left="-105" w:leftChars="-50" w:right="-105" w:rightChars="-50"/>
              <w:jc w:val="center"/>
              <w:rPr>
                <w:sz w:val="18"/>
                <w:szCs w:val="18"/>
              </w:rPr>
            </w:pPr>
            <w:r>
              <w:rPr>
                <w:sz w:val="18"/>
                <w:szCs w:val="18"/>
              </w:rPr>
              <w:t>(万吨)</w:t>
            </w:r>
          </w:p>
        </w:tc>
      </w:tr>
      <w:tr w14:paraId="34FF0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52" w:hRule="atLeast"/>
          <w:jc w:val="center"/>
        </w:trPr>
        <w:tc>
          <w:tcPr>
            <w:tcW w:w="1910" w:type="dxa"/>
            <w:vMerge w:val="continue"/>
            <w:tcBorders>
              <w:top w:val="single" w:color="auto" w:sz="2" w:space="0"/>
              <w:left w:val="nil"/>
              <w:bottom w:val="single" w:color="auto" w:sz="2" w:space="0"/>
              <w:right w:val="single" w:color="auto" w:sz="2" w:space="0"/>
            </w:tcBorders>
            <w:vAlign w:val="center"/>
          </w:tcPr>
          <w:p w14:paraId="5BB40AA6">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4EEFE45D">
            <w:pPr>
              <w:jc w:val="center"/>
              <w:rPr>
                <w:sz w:val="18"/>
                <w:szCs w:val="18"/>
              </w:rPr>
            </w:pPr>
          </w:p>
        </w:tc>
        <w:tc>
          <w:tcPr>
            <w:tcW w:w="907" w:type="dxa"/>
            <w:vMerge w:val="continue"/>
            <w:tcBorders>
              <w:top w:val="single" w:color="auto" w:sz="2" w:space="0"/>
              <w:left w:val="single" w:color="auto" w:sz="2" w:space="0"/>
              <w:bottom w:val="single" w:color="auto" w:sz="2" w:space="0"/>
              <w:right w:val="single" w:color="auto" w:sz="2" w:space="0"/>
            </w:tcBorders>
            <w:vAlign w:val="center"/>
          </w:tcPr>
          <w:p w14:paraId="500A94E8">
            <w:pPr>
              <w:jc w:val="center"/>
              <w:rPr>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14:paraId="7B183DB7">
            <w:pPr>
              <w:jc w:val="center"/>
              <w:rPr>
                <w:sz w:val="18"/>
                <w:szCs w:val="18"/>
              </w:rPr>
            </w:pPr>
          </w:p>
        </w:tc>
        <w:tc>
          <w:tcPr>
            <w:tcW w:w="855" w:type="dxa"/>
            <w:vMerge w:val="restart"/>
            <w:tcBorders>
              <w:top w:val="single" w:color="auto" w:sz="2" w:space="0"/>
              <w:left w:val="single" w:color="auto" w:sz="2" w:space="0"/>
              <w:bottom w:val="single" w:color="auto" w:sz="2" w:space="0"/>
              <w:right w:val="single" w:color="auto" w:sz="2" w:space="0"/>
            </w:tcBorders>
            <w:vAlign w:val="center"/>
          </w:tcPr>
          <w:p w14:paraId="41233EFC">
            <w:pPr>
              <w:jc w:val="center"/>
              <w:rPr>
                <w:sz w:val="18"/>
                <w:szCs w:val="18"/>
              </w:rPr>
            </w:pPr>
            <w:r>
              <w:rPr>
                <w:sz w:val="18"/>
                <w:szCs w:val="18"/>
              </w:rPr>
              <w:t>无烟煤</w:t>
            </w:r>
          </w:p>
          <w:p w14:paraId="06D801D0">
            <w:pPr>
              <w:jc w:val="center"/>
              <w:rPr>
                <w:sz w:val="18"/>
                <w:szCs w:val="18"/>
              </w:rPr>
            </w:pPr>
            <w:r>
              <w:rPr>
                <w:sz w:val="18"/>
                <w:szCs w:val="18"/>
              </w:rPr>
              <w:t>(万吨)</w:t>
            </w:r>
          </w:p>
        </w:tc>
        <w:tc>
          <w:tcPr>
            <w:tcW w:w="180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763013A">
            <w:pPr>
              <w:jc w:val="center"/>
              <w:rPr>
                <w:sz w:val="18"/>
                <w:szCs w:val="18"/>
              </w:rPr>
            </w:pPr>
            <w:r>
              <w:rPr>
                <w:sz w:val="18"/>
                <w:szCs w:val="18"/>
              </w:rPr>
              <w:t>烟煤(万吨)</w:t>
            </w:r>
          </w:p>
        </w:tc>
        <w:tc>
          <w:tcPr>
            <w:tcW w:w="810"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1C86FDED">
            <w:pPr>
              <w:jc w:val="center"/>
              <w:rPr>
                <w:sz w:val="18"/>
                <w:szCs w:val="18"/>
              </w:rPr>
            </w:pPr>
            <w:r>
              <w:rPr>
                <w:sz w:val="18"/>
                <w:szCs w:val="18"/>
              </w:rPr>
              <w:t>褐  煤</w:t>
            </w:r>
          </w:p>
          <w:p w14:paraId="6F9CACED">
            <w:pPr>
              <w:jc w:val="center"/>
              <w:rPr>
                <w:sz w:val="18"/>
                <w:szCs w:val="18"/>
              </w:rPr>
            </w:pPr>
            <w:r>
              <w:rPr>
                <w:sz w:val="18"/>
                <w:szCs w:val="18"/>
              </w:rPr>
              <w:t>(万吨)</w:t>
            </w: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3F45A16F">
            <w:pPr>
              <w:jc w:val="center"/>
              <w:rPr>
                <w:sz w:val="18"/>
                <w:szCs w:val="18"/>
              </w:rPr>
            </w:pPr>
          </w:p>
        </w:tc>
        <w:tc>
          <w:tcPr>
            <w:tcW w:w="735" w:type="dxa"/>
            <w:vMerge w:val="continue"/>
            <w:tcBorders>
              <w:top w:val="single" w:color="auto" w:sz="2" w:space="0"/>
              <w:left w:val="single" w:color="auto" w:sz="2" w:space="0"/>
              <w:bottom w:val="single" w:color="auto" w:sz="2" w:space="0"/>
              <w:right w:val="nil"/>
            </w:tcBorders>
            <w:vAlign w:val="center"/>
          </w:tcPr>
          <w:p w14:paraId="1FE6E037">
            <w:pPr>
              <w:jc w:val="center"/>
              <w:rPr>
                <w:sz w:val="18"/>
                <w:szCs w:val="18"/>
              </w:rPr>
            </w:pPr>
          </w:p>
        </w:tc>
      </w:tr>
      <w:tr w14:paraId="2945E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00" w:hRule="atLeast"/>
          <w:jc w:val="center"/>
        </w:trPr>
        <w:tc>
          <w:tcPr>
            <w:tcW w:w="1910" w:type="dxa"/>
            <w:vMerge w:val="continue"/>
            <w:tcBorders>
              <w:top w:val="single" w:color="auto" w:sz="2" w:space="0"/>
              <w:left w:val="nil"/>
              <w:bottom w:val="single" w:color="auto" w:sz="2" w:space="0"/>
              <w:right w:val="single" w:color="auto" w:sz="2" w:space="0"/>
            </w:tcBorders>
            <w:vAlign w:val="center"/>
          </w:tcPr>
          <w:p w14:paraId="1D1CB9EC">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780C226C">
            <w:pPr>
              <w:jc w:val="center"/>
              <w:rPr>
                <w:sz w:val="18"/>
                <w:szCs w:val="18"/>
              </w:rPr>
            </w:pPr>
          </w:p>
        </w:tc>
        <w:tc>
          <w:tcPr>
            <w:tcW w:w="907" w:type="dxa"/>
            <w:vMerge w:val="continue"/>
            <w:tcBorders>
              <w:top w:val="single" w:color="auto" w:sz="2" w:space="0"/>
              <w:left w:val="single" w:color="auto" w:sz="2" w:space="0"/>
              <w:bottom w:val="single" w:color="auto" w:sz="2" w:space="0"/>
              <w:right w:val="single" w:color="auto" w:sz="2" w:space="0"/>
            </w:tcBorders>
            <w:vAlign w:val="center"/>
          </w:tcPr>
          <w:p w14:paraId="0C6E4D6B">
            <w:pPr>
              <w:jc w:val="center"/>
              <w:rPr>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14:paraId="69CCBC76">
            <w:pPr>
              <w:jc w:val="center"/>
              <w:rPr>
                <w:sz w:val="18"/>
                <w:szCs w:val="18"/>
              </w:rPr>
            </w:pPr>
          </w:p>
        </w:tc>
        <w:tc>
          <w:tcPr>
            <w:tcW w:w="855" w:type="dxa"/>
            <w:vMerge w:val="continue"/>
            <w:tcBorders>
              <w:top w:val="single" w:color="auto" w:sz="2" w:space="0"/>
              <w:left w:val="single" w:color="auto" w:sz="2" w:space="0"/>
              <w:bottom w:val="single" w:color="auto" w:sz="2" w:space="0"/>
              <w:right w:val="single" w:color="auto" w:sz="2" w:space="0"/>
            </w:tcBorders>
            <w:vAlign w:val="center"/>
          </w:tcPr>
          <w:p w14:paraId="3598DF3C">
            <w:pPr>
              <w:jc w:val="center"/>
              <w:rPr>
                <w:sz w:val="18"/>
                <w:szCs w:val="18"/>
              </w:rPr>
            </w:pP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14:paraId="680176BA">
            <w:pPr>
              <w:ind w:left="-105" w:leftChars="-50" w:right="-105" w:rightChars="-50"/>
              <w:jc w:val="center"/>
              <w:rPr>
                <w:sz w:val="18"/>
                <w:szCs w:val="18"/>
              </w:rPr>
            </w:pPr>
            <w:r>
              <w:rPr>
                <w:sz w:val="18"/>
                <w:szCs w:val="18"/>
              </w:rPr>
              <w:t>炼焦烟煤</w:t>
            </w:r>
          </w:p>
        </w:tc>
        <w:tc>
          <w:tcPr>
            <w:tcW w:w="900" w:type="dxa"/>
            <w:tcBorders>
              <w:top w:val="single" w:color="auto" w:sz="2" w:space="0"/>
              <w:left w:val="single" w:color="auto" w:sz="2" w:space="0"/>
              <w:bottom w:val="single" w:color="auto" w:sz="2" w:space="0"/>
              <w:right w:val="single" w:color="auto" w:sz="2" w:space="0"/>
            </w:tcBorders>
            <w:shd w:val="clear" w:color="auto" w:fill="auto"/>
            <w:vAlign w:val="center"/>
          </w:tcPr>
          <w:p w14:paraId="08C2CF38">
            <w:pPr>
              <w:ind w:left="-105" w:leftChars="-50" w:right="-105" w:rightChars="-50"/>
              <w:jc w:val="center"/>
              <w:rPr>
                <w:sz w:val="18"/>
                <w:szCs w:val="18"/>
              </w:rPr>
            </w:pPr>
            <w:r>
              <w:rPr>
                <w:sz w:val="18"/>
                <w:szCs w:val="18"/>
              </w:rPr>
              <w:t>一般烟煤</w:t>
            </w:r>
          </w:p>
        </w:tc>
        <w:tc>
          <w:tcPr>
            <w:tcW w:w="810"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241424F">
            <w:pPr>
              <w:jc w:val="center"/>
              <w:rPr>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75F85EB3">
            <w:pPr>
              <w:jc w:val="center"/>
              <w:rPr>
                <w:sz w:val="18"/>
                <w:szCs w:val="18"/>
              </w:rPr>
            </w:pPr>
          </w:p>
        </w:tc>
        <w:tc>
          <w:tcPr>
            <w:tcW w:w="735" w:type="dxa"/>
            <w:vMerge w:val="continue"/>
            <w:tcBorders>
              <w:top w:val="single" w:color="auto" w:sz="2" w:space="0"/>
              <w:left w:val="single" w:color="auto" w:sz="2" w:space="0"/>
              <w:bottom w:val="single" w:color="auto" w:sz="2" w:space="0"/>
              <w:right w:val="nil"/>
            </w:tcBorders>
            <w:vAlign w:val="center"/>
          </w:tcPr>
          <w:p w14:paraId="5DF3F74C">
            <w:pPr>
              <w:jc w:val="center"/>
              <w:rPr>
                <w:sz w:val="18"/>
                <w:szCs w:val="18"/>
              </w:rPr>
            </w:pPr>
          </w:p>
        </w:tc>
      </w:tr>
      <w:tr w14:paraId="56A4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6" w:hRule="exact"/>
          <w:jc w:val="center"/>
        </w:trPr>
        <w:tc>
          <w:tcPr>
            <w:tcW w:w="1910" w:type="dxa"/>
            <w:tcBorders>
              <w:top w:val="single" w:color="auto" w:sz="2" w:space="0"/>
              <w:left w:val="nil"/>
              <w:bottom w:val="single" w:color="auto" w:sz="2" w:space="0"/>
              <w:right w:val="single" w:color="auto" w:sz="2" w:space="0"/>
            </w:tcBorders>
            <w:vAlign w:val="center"/>
          </w:tcPr>
          <w:p w14:paraId="2E4E3393">
            <w:pPr>
              <w:spacing w:line="240" w:lineRule="atLeast"/>
              <w:jc w:val="center"/>
              <w:rPr>
                <w:sz w:val="18"/>
                <w:szCs w:val="18"/>
              </w:rPr>
            </w:pPr>
            <w:r>
              <w:rPr>
                <w:sz w:val="18"/>
                <w:szCs w:val="18"/>
              </w:rPr>
              <w:t>甲</w:t>
            </w:r>
          </w:p>
        </w:tc>
        <w:tc>
          <w:tcPr>
            <w:tcW w:w="735" w:type="dxa"/>
            <w:tcBorders>
              <w:top w:val="single" w:color="auto" w:sz="2" w:space="0"/>
              <w:left w:val="single" w:color="auto" w:sz="2" w:space="0"/>
              <w:bottom w:val="single" w:color="auto" w:sz="2" w:space="0"/>
              <w:right w:val="single" w:color="auto" w:sz="2" w:space="0"/>
            </w:tcBorders>
            <w:vAlign w:val="center"/>
          </w:tcPr>
          <w:p w14:paraId="3F5AD070">
            <w:pPr>
              <w:spacing w:line="240" w:lineRule="atLeast"/>
              <w:jc w:val="center"/>
              <w:rPr>
                <w:sz w:val="18"/>
                <w:szCs w:val="18"/>
              </w:rPr>
            </w:pPr>
            <w:r>
              <w:rPr>
                <w:sz w:val="18"/>
                <w:szCs w:val="18"/>
              </w:rPr>
              <w:t>乙</w:t>
            </w:r>
          </w:p>
        </w:tc>
        <w:tc>
          <w:tcPr>
            <w:tcW w:w="907" w:type="dxa"/>
            <w:tcBorders>
              <w:top w:val="single" w:color="auto" w:sz="2" w:space="0"/>
              <w:left w:val="single" w:color="auto" w:sz="2" w:space="0"/>
              <w:bottom w:val="single" w:color="auto" w:sz="2" w:space="0"/>
              <w:right w:val="single" w:color="auto" w:sz="2" w:space="0"/>
            </w:tcBorders>
            <w:vAlign w:val="center"/>
          </w:tcPr>
          <w:p w14:paraId="5E2D9F87">
            <w:pPr>
              <w:spacing w:line="240" w:lineRule="atLeast"/>
              <w:jc w:val="center"/>
              <w:textAlignment w:val="center"/>
              <w:rPr>
                <w:sz w:val="18"/>
                <w:szCs w:val="18"/>
              </w:rPr>
            </w:pPr>
            <w:r>
              <w:rPr>
                <w:sz w:val="18"/>
                <w:szCs w:val="18"/>
              </w:rPr>
              <w:t>1</w:t>
            </w:r>
          </w:p>
        </w:tc>
        <w:tc>
          <w:tcPr>
            <w:tcW w:w="923" w:type="dxa"/>
            <w:tcBorders>
              <w:top w:val="single" w:color="auto" w:sz="2" w:space="0"/>
              <w:left w:val="single" w:color="auto" w:sz="2" w:space="0"/>
              <w:bottom w:val="single" w:color="auto" w:sz="2" w:space="0"/>
              <w:right w:val="single" w:color="auto" w:sz="2" w:space="0"/>
            </w:tcBorders>
            <w:vAlign w:val="center"/>
          </w:tcPr>
          <w:p w14:paraId="1425103F">
            <w:pPr>
              <w:spacing w:line="240" w:lineRule="atLeast"/>
              <w:jc w:val="center"/>
              <w:textAlignment w:val="center"/>
              <w:rPr>
                <w:sz w:val="18"/>
                <w:szCs w:val="18"/>
              </w:rPr>
            </w:pPr>
            <w:r>
              <w:rPr>
                <w:sz w:val="18"/>
                <w:szCs w:val="18"/>
              </w:rPr>
              <w:t>2</w:t>
            </w:r>
          </w:p>
        </w:tc>
        <w:tc>
          <w:tcPr>
            <w:tcW w:w="855" w:type="dxa"/>
            <w:tcBorders>
              <w:top w:val="single" w:color="auto" w:sz="2" w:space="0"/>
              <w:left w:val="single" w:color="auto" w:sz="2" w:space="0"/>
              <w:bottom w:val="single" w:color="auto" w:sz="2" w:space="0"/>
              <w:right w:val="single" w:color="auto" w:sz="2" w:space="0"/>
            </w:tcBorders>
            <w:vAlign w:val="center"/>
          </w:tcPr>
          <w:p w14:paraId="6E7F5382">
            <w:pPr>
              <w:spacing w:line="240" w:lineRule="atLeast"/>
              <w:jc w:val="center"/>
              <w:textAlignment w:val="center"/>
              <w:rPr>
                <w:sz w:val="18"/>
                <w:szCs w:val="18"/>
              </w:rPr>
            </w:pPr>
            <w:r>
              <w:rPr>
                <w:sz w:val="18"/>
                <w:szCs w:val="18"/>
              </w:rPr>
              <w:t>3</w:t>
            </w:r>
          </w:p>
        </w:tc>
        <w:tc>
          <w:tcPr>
            <w:tcW w:w="900" w:type="dxa"/>
            <w:tcBorders>
              <w:top w:val="single" w:color="auto" w:sz="2" w:space="0"/>
              <w:left w:val="single" w:color="auto" w:sz="2" w:space="0"/>
              <w:bottom w:val="single" w:color="auto" w:sz="2" w:space="0"/>
              <w:right w:val="single" w:color="auto" w:sz="2" w:space="0"/>
            </w:tcBorders>
            <w:vAlign w:val="center"/>
          </w:tcPr>
          <w:p w14:paraId="27BBCCFE">
            <w:pPr>
              <w:spacing w:line="240" w:lineRule="atLeast"/>
              <w:jc w:val="center"/>
              <w:textAlignment w:val="center"/>
              <w:rPr>
                <w:sz w:val="18"/>
                <w:szCs w:val="18"/>
              </w:rPr>
            </w:pPr>
            <w:r>
              <w:rPr>
                <w:sz w:val="18"/>
                <w:szCs w:val="18"/>
              </w:rPr>
              <w:t>4</w:t>
            </w:r>
          </w:p>
        </w:tc>
        <w:tc>
          <w:tcPr>
            <w:tcW w:w="900" w:type="dxa"/>
            <w:tcBorders>
              <w:top w:val="single" w:color="auto" w:sz="2" w:space="0"/>
              <w:left w:val="single" w:color="auto" w:sz="2" w:space="0"/>
              <w:bottom w:val="single" w:color="auto" w:sz="2" w:space="0"/>
              <w:right w:val="single" w:color="auto" w:sz="2" w:space="0"/>
            </w:tcBorders>
            <w:vAlign w:val="center"/>
          </w:tcPr>
          <w:p w14:paraId="1DEC4026">
            <w:pPr>
              <w:spacing w:line="240" w:lineRule="atLeast"/>
              <w:jc w:val="center"/>
              <w:textAlignment w:val="center"/>
              <w:rPr>
                <w:sz w:val="18"/>
                <w:szCs w:val="18"/>
              </w:rPr>
            </w:pPr>
            <w:r>
              <w:rPr>
                <w:sz w:val="18"/>
                <w:szCs w:val="18"/>
              </w:rPr>
              <w:t>5</w:t>
            </w:r>
          </w:p>
        </w:tc>
        <w:tc>
          <w:tcPr>
            <w:tcW w:w="810" w:type="dxa"/>
            <w:tcBorders>
              <w:top w:val="single" w:color="auto" w:sz="2" w:space="0"/>
              <w:left w:val="single" w:color="auto" w:sz="2" w:space="0"/>
              <w:bottom w:val="single" w:color="auto" w:sz="2" w:space="0"/>
              <w:right w:val="single" w:color="auto" w:sz="2" w:space="0"/>
            </w:tcBorders>
            <w:vAlign w:val="center"/>
          </w:tcPr>
          <w:p w14:paraId="3EF4C546">
            <w:pPr>
              <w:spacing w:line="240" w:lineRule="atLeast"/>
              <w:jc w:val="center"/>
              <w:textAlignment w:val="center"/>
              <w:rPr>
                <w:sz w:val="18"/>
                <w:szCs w:val="18"/>
              </w:rPr>
            </w:pPr>
            <w:r>
              <w:rPr>
                <w:sz w:val="18"/>
                <w:szCs w:val="18"/>
              </w:rPr>
              <w:t>6</w:t>
            </w:r>
          </w:p>
        </w:tc>
        <w:tc>
          <w:tcPr>
            <w:tcW w:w="735" w:type="dxa"/>
            <w:tcBorders>
              <w:top w:val="single" w:color="auto" w:sz="2" w:space="0"/>
              <w:left w:val="single" w:color="auto" w:sz="2" w:space="0"/>
              <w:bottom w:val="single" w:color="auto" w:sz="2" w:space="0"/>
              <w:right w:val="single" w:color="auto" w:sz="2" w:space="0"/>
            </w:tcBorders>
            <w:vAlign w:val="center"/>
          </w:tcPr>
          <w:p w14:paraId="650CE11E">
            <w:pPr>
              <w:spacing w:line="240" w:lineRule="atLeast"/>
              <w:jc w:val="center"/>
              <w:textAlignment w:val="center"/>
              <w:rPr>
                <w:sz w:val="18"/>
                <w:szCs w:val="18"/>
              </w:rPr>
            </w:pPr>
            <w:r>
              <w:rPr>
                <w:sz w:val="18"/>
                <w:szCs w:val="18"/>
              </w:rPr>
              <w:t>7</w:t>
            </w:r>
          </w:p>
        </w:tc>
        <w:tc>
          <w:tcPr>
            <w:tcW w:w="735" w:type="dxa"/>
            <w:tcBorders>
              <w:top w:val="single" w:color="auto" w:sz="2" w:space="0"/>
              <w:left w:val="single" w:color="auto" w:sz="2" w:space="0"/>
              <w:bottom w:val="single" w:color="auto" w:sz="2" w:space="0"/>
              <w:right w:val="nil"/>
            </w:tcBorders>
            <w:vAlign w:val="center"/>
          </w:tcPr>
          <w:p w14:paraId="0CD3945C">
            <w:pPr>
              <w:spacing w:line="240" w:lineRule="atLeast"/>
              <w:jc w:val="center"/>
              <w:textAlignment w:val="center"/>
              <w:rPr>
                <w:sz w:val="18"/>
                <w:szCs w:val="18"/>
              </w:rPr>
            </w:pPr>
            <w:r>
              <w:rPr>
                <w:sz w:val="18"/>
                <w:szCs w:val="18"/>
              </w:rPr>
              <w:t>8</w:t>
            </w:r>
          </w:p>
        </w:tc>
      </w:tr>
      <w:tr w14:paraId="059A6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55" w:hRule="atLeast"/>
          <w:jc w:val="center"/>
        </w:trPr>
        <w:tc>
          <w:tcPr>
            <w:tcW w:w="1910" w:type="dxa"/>
            <w:tcBorders>
              <w:top w:val="single" w:color="auto" w:sz="2" w:space="0"/>
              <w:left w:val="nil"/>
              <w:bottom w:val="single" w:color="auto" w:sz="8" w:space="0"/>
              <w:right w:val="single" w:color="auto" w:sz="2" w:space="0"/>
            </w:tcBorders>
            <w:vAlign w:val="center"/>
          </w:tcPr>
          <w:p w14:paraId="048EC274">
            <w:pPr>
              <w:rPr>
                <w:sz w:val="18"/>
                <w:szCs w:val="18"/>
              </w:rPr>
            </w:pPr>
            <w:r>
              <w:rPr>
                <w:sz w:val="18"/>
                <w:szCs w:val="18"/>
              </w:rPr>
              <w:t>按</w:t>
            </w:r>
            <w:r>
              <w:rPr>
                <w:rFonts w:hint="eastAsia"/>
                <w:sz w:val="18"/>
                <w:szCs w:val="18"/>
              </w:rPr>
              <w:t>《</w:t>
            </w:r>
            <w:r>
              <w:rPr>
                <w:sz w:val="18"/>
                <w:szCs w:val="18"/>
              </w:rPr>
              <w:t>分行业能源消费量</w:t>
            </w:r>
            <w:r>
              <w:rPr>
                <w:sz w:val="18"/>
                <w:szCs w:val="18"/>
              </w:rPr>
              <w:br w:type="textWrapping"/>
            </w:r>
            <w:r>
              <w:rPr>
                <w:sz w:val="18"/>
                <w:szCs w:val="18"/>
              </w:rPr>
              <w:t>目录</w:t>
            </w:r>
            <w:r>
              <w:rPr>
                <w:rFonts w:hint="eastAsia"/>
                <w:sz w:val="18"/>
                <w:szCs w:val="18"/>
              </w:rPr>
              <w:t>》</w:t>
            </w:r>
            <w:r>
              <w:rPr>
                <w:sz w:val="18"/>
                <w:szCs w:val="18"/>
              </w:rPr>
              <w:t>填报</w:t>
            </w:r>
          </w:p>
        </w:tc>
        <w:tc>
          <w:tcPr>
            <w:tcW w:w="735" w:type="dxa"/>
            <w:tcBorders>
              <w:top w:val="single" w:color="auto" w:sz="2" w:space="0"/>
              <w:left w:val="single" w:color="auto" w:sz="2" w:space="0"/>
              <w:bottom w:val="single" w:color="auto" w:sz="8" w:space="0"/>
              <w:right w:val="nil"/>
            </w:tcBorders>
          </w:tcPr>
          <w:p w14:paraId="64F2BBA2">
            <w:pPr>
              <w:widowControl/>
              <w:jc w:val="center"/>
              <w:rPr>
                <w:sz w:val="18"/>
                <w:szCs w:val="18"/>
              </w:rPr>
            </w:pPr>
          </w:p>
        </w:tc>
        <w:tc>
          <w:tcPr>
            <w:tcW w:w="6765" w:type="dxa"/>
            <w:gridSpan w:val="8"/>
            <w:tcBorders>
              <w:top w:val="single" w:color="auto" w:sz="2" w:space="0"/>
              <w:left w:val="single" w:color="auto" w:sz="2" w:space="0"/>
              <w:bottom w:val="single" w:color="auto" w:sz="8" w:space="0"/>
              <w:right w:val="nil"/>
            </w:tcBorders>
          </w:tcPr>
          <w:p w14:paraId="3FF535F0">
            <w:pPr>
              <w:widowControl/>
              <w:jc w:val="center"/>
              <w:rPr>
                <w:sz w:val="18"/>
                <w:szCs w:val="18"/>
              </w:rPr>
            </w:pPr>
          </w:p>
        </w:tc>
      </w:tr>
    </w:tbl>
    <w:p w14:paraId="26A371E9">
      <w:pPr>
        <w:snapToGrid w:val="0"/>
        <w:ind w:left="-105" w:leftChars="-50" w:right="-105" w:rightChars="-50" w:firstLine="90" w:firstLineChars="50"/>
        <w:rPr>
          <w:sz w:val="18"/>
          <w:szCs w:val="18"/>
        </w:rPr>
      </w:pPr>
    </w:p>
    <w:p w14:paraId="546F754B">
      <w:pPr>
        <w:snapToGrid w:val="0"/>
        <w:ind w:left="-105" w:leftChars="-50" w:right="-105" w:rightChars="-50" w:firstLine="90" w:firstLineChars="50"/>
        <w:rPr>
          <w:sz w:val="18"/>
          <w:szCs w:val="18"/>
        </w:rPr>
      </w:pPr>
      <w:r>
        <w:rPr>
          <w:sz w:val="18"/>
          <w:szCs w:val="18"/>
        </w:rPr>
        <w:t>续表一</w:t>
      </w:r>
    </w:p>
    <w:tbl>
      <w:tblPr>
        <w:tblStyle w:val="20"/>
        <w:tblW w:w="9438"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98"/>
        <w:gridCol w:w="898"/>
        <w:gridCol w:w="898"/>
        <w:gridCol w:w="972"/>
        <w:gridCol w:w="972"/>
        <w:gridCol w:w="972"/>
        <w:gridCol w:w="972"/>
        <w:gridCol w:w="1071"/>
        <w:gridCol w:w="892"/>
        <w:gridCol w:w="893"/>
      </w:tblGrid>
      <w:tr w14:paraId="7BBF61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42" w:hRule="atLeast"/>
          <w:jc w:val="center"/>
        </w:trPr>
        <w:tc>
          <w:tcPr>
            <w:tcW w:w="898" w:type="dxa"/>
            <w:vAlign w:val="center"/>
          </w:tcPr>
          <w:p w14:paraId="1174C243">
            <w:pPr>
              <w:ind w:left="-105" w:leftChars="-50" w:right="-105" w:rightChars="-50"/>
              <w:jc w:val="center"/>
              <w:rPr>
                <w:sz w:val="18"/>
                <w:szCs w:val="18"/>
              </w:rPr>
            </w:pPr>
            <w:r>
              <w:rPr>
                <w:sz w:val="18"/>
                <w:szCs w:val="18"/>
              </w:rPr>
              <w:t>煤制品       (万吨)</w:t>
            </w:r>
          </w:p>
        </w:tc>
        <w:tc>
          <w:tcPr>
            <w:tcW w:w="898" w:type="dxa"/>
            <w:vAlign w:val="center"/>
          </w:tcPr>
          <w:p w14:paraId="554FBFB0">
            <w:pPr>
              <w:ind w:left="-105" w:leftChars="-50" w:right="-105" w:rightChars="-50"/>
              <w:jc w:val="center"/>
              <w:rPr>
                <w:sz w:val="18"/>
                <w:szCs w:val="18"/>
              </w:rPr>
            </w:pPr>
            <w:r>
              <w:rPr>
                <w:sz w:val="18"/>
                <w:szCs w:val="18"/>
              </w:rPr>
              <w:t>煤矸石           (万吨)</w:t>
            </w:r>
          </w:p>
        </w:tc>
        <w:tc>
          <w:tcPr>
            <w:tcW w:w="898" w:type="dxa"/>
            <w:vAlign w:val="center"/>
          </w:tcPr>
          <w:p w14:paraId="7745CB65">
            <w:pPr>
              <w:ind w:left="-105" w:leftChars="-50" w:right="-105" w:rightChars="-50"/>
              <w:jc w:val="center"/>
              <w:rPr>
                <w:sz w:val="18"/>
                <w:szCs w:val="18"/>
              </w:rPr>
            </w:pPr>
            <w:r>
              <w:rPr>
                <w:sz w:val="18"/>
                <w:szCs w:val="18"/>
              </w:rPr>
              <w:t>焦  炭            (万吨)</w:t>
            </w:r>
          </w:p>
        </w:tc>
        <w:tc>
          <w:tcPr>
            <w:tcW w:w="972" w:type="dxa"/>
            <w:vAlign w:val="center"/>
          </w:tcPr>
          <w:p w14:paraId="2A57631A">
            <w:pPr>
              <w:ind w:left="-105" w:leftChars="-50" w:right="-105" w:rightChars="-50"/>
              <w:jc w:val="center"/>
              <w:rPr>
                <w:sz w:val="18"/>
                <w:szCs w:val="18"/>
              </w:rPr>
            </w:pPr>
            <w:r>
              <w:rPr>
                <w:sz w:val="18"/>
                <w:szCs w:val="18"/>
              </w:rPr>
              <w:t>焦炉煤气     (亿立方米)</w:t>
            </w:r>
          </w:p>
        </w:tc>
        <w:tc>
          <w:tcPr>
            <w:tcW w:w="972" w:type="dxa"/>
            <w:vAlign w:val="center"/>
          </w:tcPr>
          <w:p w14:paraId="559DFECB">
            <w:pPr>
              <w:ind w:left="-105" w:leftChars="-50" w:right="-105" w:rightChars="-50"/>
              <w:jc w:val="center"/>
              <w:rPr>
                <w:sz w:val="18"/>
                <w:szCs w:val="18"/>
              </w:rPr>
            </w:pPr>
            <w:r>
              <w:rPr>
                <w:sz w:val="18"/>
                <w:szCs w:val="18"/>
              </w:rPr>
              <w:t>高炉煤气 (亿立方米)</w:t>
            </w:r>
          </w:p>
        </w:tc>
        <w:tc>
          <w:tcPr>
            <w:tcW w:w="972" w:type="dxa"/>
            <w:vAlign w:val="center"/>
          </w:tcPr>
          <w:p w14:paraId="1B482631">
            <w:pPr>
              <w:ind w:left="-105" w:leftChars="-50" w:right="-105" w:rightChars="-50"/>
              <w:jc w:val="center"/>
              <w:rPr>
                <w:sz w:val="18"/>
                <w:szCs w:val="18"/>
              </w:rPr>
            </w:pPr>
            <w:r>
              <w:rPr>
                <w:sz w:val="18"/>
                <w:szCs w:val="18"/>
              </w:rPr>
              <w:t>转炉煤气 (亿立方米)</w:t>
            </w:r>
          </w:p>
        </w:tc>
        <w:tc>
          <w:tcPr>
            <w:tcW w:w="972" w:type="dxa"/>
            <w:vAlign w:val="center"/>
          </w:tcPr>
          <w:p w14:paraId="561F0997">
            <w:pPr>
              <w:ind w:left="-105" w:leftChars="-50" w:right="-105" w:rightChars="-50"/>
              <w:jc w:val="center"/>
              <w:rPr>
                <w:sz w:val="18"/>
                <w:szCs w:val="18"/>
              </w:rPr>
            </w:pPr>
            <w:r>
              <w:rPr>
                <w:sz w:val="18"/>
                <w:szCs w:val="18"/>
              </w:rPr>
              <w:t>其他煤气 (亿立方米)</w:t>
            </w:r>
          </w:p>
        </w:tc>
        <w:tc>
          <w:tcPr>
            <w:tcW w:w="1071" w:type="dxa"/>
            <w:vAlign w:val="center"/>
          </w:tcPr>
          <w:p w14:paraId="1AFEE0EB">
            <w:pPr>
              <w:ind w:left="-210" w:leftChars="-100" w:right="-210" w:rightChars="-100"/>
              <w:jc w:val="center"/>
              <w:rPr>
                <w:sz w:val="18"/>
                <w:szCs w:val="18"/>
              </w:rPr>
            </w:pPr>
            <w:r>
              <w:rPr>
                <w:sz w:val="18"/>
                <w:szCs w:val="18"/>
              </w:rPr>
              <w:t>其他焦化产品 (万吨)</w:t>
            </w:r>
          </w:p>
        </w:tc>
        <w:tc>
          <w:tcPr>
            <w:tcW w:w="892" w:type="dxa"/>
            <w:vAlign w:val="center"/>
          </w:tcPr>
          <w:p w14:paraId="49C4D7D2">
            <w:pPr>
              <w:ind w:left="-105" w:leftChars="-50" w:right="-105" w:rightChars="-50"/>
              <w:jc w:val="center"/>
              <w:rPr>
                <w:sz w:val="18"/>
                <w:szCs w:val="18"/>
              </w:rPr>
            </w:pPr>
            <w:r>
              <w:rPr>
                <w:rFonts w:hint="eastAsia"/>
                <w:sz w:val="18"/>
                <w:szCs w:val="18"/>
              </w:rPr>
              <w:t>油品</w:t>
            </w:r>
            <w:r>
              <w:rPr>
                <w:sz w:val="18"/>
                <w:szCs w:val="18"/>
              </w:rPr>
              <w:t>合计</w:t>
            </w:r>
          </w:p>
          <w:p w14:paraId="316F74F7">
            <w:pPr>
              <w:ind w:left="-105" w:leftChars="-50" w:right="-105" w:rightChars="-50"/>
              <w:jc w:val="center"/>
              <w:rPr>
                <w:sz w:val="18"/>
                <w:szCs w:val="18"/>
              </w:rPr>
            </w:pPr>
            <w:r>
              <w:rPr>
                <w:sz w:val="18"/>
                <w:szCs w:val="18"/>
              </w:rPr>
              <w:t>(万吨)</w:t>
            </w:r>
          </w:p>
        </w:tc>
        <w:tc>
          <w:tcPr>
            <w:tcW w:w="893" w:type="dxa"/>
            <w:vAlign w:val="center"/>
          </w:tcPr>
          <w:p w14:paraId="1B9B343D">
            <w:pPr>
              <w:ind w:left="-105" w:leftChars="-50" w:right="-105" w:rightChars="-50"/>
              <w:jc w:val="center"/>
              <w:rPr>
                <w:sz w:val="18"/>
                <w:szCs w:val="18"/>
              </w:rPr>
            </w:pPr>
            <w:r>
              <w:rPr>
                <w:sz w:val="18"/>
                <w:szCs w:val="18"/>
              </w:rPr>
              <w:t>原  油</w:t>
            </w:r>
          </w:p>
          <w:p w14:paraId="2A85578C">
            <w:pPr>
              <w:ind w:left="-105" w:leftChars="-50" w:right="-105" w:rightChars="-50"/>
              <w:jc w:val="center"/>
              <w:rPr>
                <w:sz w:val="18"/>
                <w:szCs w:val="18"/>
              </w:rPr>
            </w:pPr>
            <w:r>
              <w:rPr>
                <w:sz w:val="18"/>
                <w:szCs w:val="18"/>
              </w:rPr>
              <w:t>(万吨)</w:t>
            </w:r>
          </w:p>
        </w:tc>
      </w:tr>
      <w:tr w14:paraId="4E4936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98" w:type="dxa"/>
            <w:vAlign w:val="center"/>
          </w:tcPr>
          <w:p w14:paraId="49C82910">
            <w:pPr>
              <w:spacing w:line="240" w:lineRule="atLeast"/>
              <w:ind w:left="-105" w:leftChars="-50" w:right="-105" w:rightChars="-50"/>
              <w:jc w:val="center"/>
              <w:textAlignment w:val="center"/>
              <w:rPr>
                <w:sz w:val="18"/>
                <w:szCs w:val="18"/>
              </w:rPr>
            </w:pPr>
            <w:r>
              <w:rPr>
                <w:sz w:val="18"/>
                <w:szCs w:val="18"/>
              </w:rPr>
              <w:t>9</w:t>
            </w:r>
          </w:p>
        </w:tc>
        <w:tc>
          <w:tcPr>
            <w:tcW w:w="898" w:type="dxa"/>
            <w:vAlign w:val="center"/>
          </w:tcPr>
          <w:p w14:paraId="7917744C">
            <w:pPr>
              <w:spacing w:line="240" w:lineRule="atLeast"/>
              <w:ind w:left="-105" w:leftChars="-50" w:right="-105" w:rightChars="-50"/>
              <w:jc w:val="center"/>
              <w:textAlignment w:val="center"/>
              <w:rPr>
                <w:sz w:val="18"/>
                <w:szCs w:val="18"/>
              </w:rPr>
            </w:pPr>
            <w:r>
              <w:rPr>
                <w:sz w:val="18"/>
                <w:szCs w:val="18"/>
              </w:rPr>
              <w:t>10</w:t>
            </w:r>
          </w:p>
        </w:tc>
        <w:tc>
          <w:tcPr>
            <w:tcW w:w="898" w:type="dxa"/>
            <w:vAlign w:val="center"/>
          </w:tcPr>
          <w:p w14:paraId="4D81D0DE">
            <w:pPr>
              <w:spacing w:line="240" w:lineRule="atLeast"/>
              <w:ind w:left="-105" w:leftChars="-50" w:right="-105" w:rightChars="-50"/>
              <w:jc w:val="center"/>
              <w:textAlignment w:val="center"/>
              <w:rPr>
                <w:sz w:val="18"/>
                <w:szCs w:val="18"/>
              </w:rPr>
            </w:pPr>
            <w:r>
              <w:rPr>
                <w:sz w:val="18"/>
                <w:szCs w:val="18"/>
              </w:rPr>
              <w:t>11</w:t>
            </w:r>
          </w:p>
        </w:tc>
        <w:tc>
          <w:tcPr>
            <w:tcW w:w="972" w:type="dxa"/>
            <w:vAlign w:val="center"/>
          </w:tcPr>
          <w:p w14:paraId="0B4FBB47">
            <w:pPr>
              <w:spacing w:line="240" w:lineRule="atLeast"/>
              <w:ind w:left="-105" w:leftChars="-50" w:right="-105" w:rightChars="-50"/>
              <w:jc w:val="center"/>
              <w:textAlignment w:val="center"/>
              <w:rPr>
                <w:sz w:val="18"/>
                <w:szCs w:val="18"/>
              </w:rPr>
            </w:pPr>
            <w:r>
              <w:rPr>
                <w:sz w:val="18"/>
                <w:szCs w:val="18"/>
              </w:rPr>
              <w:t>12</w:t>
            </w:r>
          </w:p>
        </w:tc>
        <w:tc>
          <w:tcPr>
            <w:tcW w:w="972" w:type="dxa"/>
            <w:vAlign w:val="center"/>
          </w:tcPr>
          <w:p w14:paraId="6AA5AAFB">
            <w:pPr>
              <w:spacing w:line="240" w:lineRule="atLeast"/>
              <w:ind w:left="-105" w:leftChars="-50" w:right="-105" w:rightChars="-50"/>
              <w:jc w:val="center"/>
              <w:textAlignment w:val="center"/>
              <w:rPr>
                <w:sz w:val="18"/>
                <w:szCs w:val="18"/>
              </w:rPr>
            </w:pPr>
            <w:r>
              <w:rPr>
                <w:sz w:val="18"/>
                <w:szCs w:val="18"/>
              </w:rPr>
              <w:t>13</w:t>
            </w:r>
          </w:p>
        </w:tc>
        <w:tc>
          <w:tcPr>
            <w:tcW w:w="972" w:type="dxa"/>
            <w:vAlign w:val="center"/>
          </w:tcPr>
          <w:p w14:paraId="351F12DE">
            <w:pPr>
              <w:spacing w:line="240" w:lineRule="atLeast"/>
              <w:ind w:left="-105" w:leftChars="-50" w:right="-105" w:rightChars="-50"/>
              <w:jc w:val="center"/>
              <w:textAlignment w:val="center"/>
              <w:rPr>
                <w:sz w:val="18"/>
                <w:szCs w:val="18"/>
              </w:rPr>
            </w:pPr>
            <w:r>
              <w:rPr>
                <w:sz w:val="18"/>
                <w:szCs w:val="18"/>
              </w:rPr>
              <w:t>14</w:t>
            </w:r>
          </w:p>
        </w:tc>
        <w:tc>
          <w:tcPr>
            <w:tcW w:w="972" w:type="dxa"/>
            <w:vAlign w:val="center"/>
          </w:tcPr>
          <w:p w14:paraId="4DD7F247">
            <w:pPr>
              <w:spacing w:line="240" w:lineRule="atLeast"/>
              <w:ind w:left="-105" w:leftChars="-50" w:right="-105" w:rightChars="-50"/>
              <w:jc w:val="center"/>
              <w:textAlignment w:val="center"/>
              <w:rPr>
                <w:sz w:val="18"/>
                <w:szCs w:val="18"/>
              </w:rPr>
            </w:pPr>
            <w:r>
              <w:rPr>
                <w:sz w:val="18"/>
                <w:szCs w:val="18"/>
              </w:rPr>
              <w:t>15</w:t>
            </w:r>
          </w:p>
        </w:tc>
        <w:tc>
          <w:tcPr>
            <w:tcW w:w="1071" w:type="dxa"/>
            <w:vAlign w:val="center"/>
          </w:tcPr>
          <w:p w14:paraId="0877901B">
            <w:pPr>
              <w:spacing w:line="240" w:lineRule="atLeast"/>
              <w:ind w:left="-210" w:leftChars="-100" w:right="-210" w:rightChars="-100"/>
              <w:jc w:val="center"/>
              <w:textAlignment w:val="center"/>
              <w:rPr>
                <w:sz w:val="18"/>
                <w:szCs w:val="18"/>
              </w:rPr>
            </w:pPr>
            <w:r>
              <w:rPr>
                <w:sz w:val="18"/>
                <w:szCs w:val="18"/>
              </w:rPr>
              <w:t>16</w:t>
            </w:r>
          </w:p>
        </w:tc>
        <w:tc>
          <w:tcPr>
            <w:tcW w:w="892" w:type="dxa"/>
            <w:vAlign w:val="center"/>
          </w:tcPr>
          <w:p w14:paraId="649274A0">
            <w:pPr>
              <w:spacing w:line="240" w:lineRule="atLeast"/>
              <w:ind w:left="-105" w:leftChars="-50" w:right="-105" w:rightChars="-50"/>
              <w:jc w:val="center"/>
              <w:textAlignment w:val="center"/>
              <w:rPr>
                <w:sz w:val="18"/>
                <w:szCs w:val="18"/>
              </w:rPr>
            </w:pPr>
            <w:r>
              <w:rPr>
                <w:sz w:val="18"/>
                <w:szCs w:val="18"/>
              </w:rPr>
              <w:t>17</w:t>
            </w:r>
          </w:p>
        </w:tc>
        <w:tc>
          <w:tcPr>
            <w:tcW w:w="893" w:type="dxa"/>
            <w:vAlign w:val="center"/>
          </w:tcPr>
          <w:p w14:paraId="30FAC706">
            <w:pPr>
              <w:spacing w:line="240" w:lineRule="atLeast"/>
              <w:ind w:left="-105" w:leftChars="-50" w:right="-105" w:rightChars="-50"/>
              <w:jc w:val="center"/>
              <w:textAlignment w:val="center"/>
              <w:rPr>
                <w:sz w:val="18"/>
                <w:szCs w:val="18"/>
              </w:rPr>
            </w:pPr>
            <w:r>
              <w:rPr>
                <w:sz w:val="18"/>
                <w:szCs w:val="18"/>
              </w:rPr>
              <w:t>18</w:t>
            </w:r>
          </w:p>
        </w:tc>
      </w:tr>
      <w:tr w14:paraId="257035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9438" w:type="dxa"/>
            <w:gridSpan w:val="10"/>
            <w:vAlign w:val="center"/>
          </w:tcPr>
          <w:p w14:paraId="64CD0861">
            <w:pPr>
              <w:ind w:left="-105" w:leftChars="-50" w:right="-105" w:rightChars="-50"/>
              <w:jc w:val="center"/>
              <w:rPr>
                <w:sz w:val="18"/>
                <w:szCs w:val="18"/>
              </w:rPr>
            </w:pPr>
          </w:p>
          <w:p w14:paraId="77A90106">
            <w:pPr>
              <w:ind w:left="-105" w:leftChars="-50" w:right="-105" w:rightChars="-50"/>
              <w:jc w:val="center"/>
              <w:rPr>
                <w:sz w:val="18"/>
                <w:szCs w:val="18"/>
              </w:rPr>
            </w:pPr>
          </w:p>
        </w:tc>
      </w:tr>
    </w:tbl>
    <w:p w14:paraId="36C163FA">
      <w:pPr>
        <w:snapToGrid w:val="0"/>
        <w:ind w:left="-105" w:leftChars="-50" w:right="-105" w:rightChars="-50" w:firstLine="75" w:firstLineChars="42"/>
        <w:rPr>
          <w:sz w:val="18"/>
          <w:szCs w:val="18"/>
        </w:rPr>
      </w:pPr>
    </w:p>
    <w:p w14:paraId="2AA58BF6">
      <w:pPr>
        <w:snapToGrid w:val="0"/>
        <w:ind w:left="-105" w:leftChars="-50" w:right="-105" w:rightChars="-50" w:firstLine="75" w:firstLineChars="42"/>
        <w:rPr>
          <w:sz w:val="18"/>
          <w:szCs w:val="18"/>
        </w:rPr>
      </w:pPr>
      <w:r>
        <w:rPr>
          <w:sz w:val="18"/>
          <w:szCs w:val="18"/>
        </w:rPr>
        <w:t>续表二</w:t>
      </w:r>
    </w:p>
    <w:tbl>
      <w:tblPr>
        <w:tblStyle w:val="20"/>
        <w:tblW w:w="946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60"/>
        <w:gridCol w:w="861"/>
        <w:gridCol w:w="860"/>
        <w:gridCol w:w="861"/>
        <w:gridCol w:w="860"/>
        <w:gridCol w:w="861"/>
        <w:gridCol w:w="860"/>
        <w:gridCol w:w="861"/>
        <w:gridCol w:w="799"/>
        <w:gridCol w:w="799"/>
        <w:gridCol w:w="984"/>
      </w:tblGrid>
      <w:tr w14:paraId="35F168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0" w:type="dxa"/>
            <w:vAlign w:val="center"/>
          </w:tcPr>
          <w:p w14:paraId="73619E9F">
            <w:pPr>
              <w:spacing w:line="240" w:lineRule="exact"/>
              <w:ind w:left="-105" w:leftChars="-50" w:right="-105" w:rightChars="-50"/>
              <w:jc w:val="center"/>
              <w:rPr>
                <w:sz w:val="18"/>
                <w:szCs w:val="18"/>
              </w:rPr>
            </w:pPr>
            <w:r>
              <w:rPr>
                <w:sz w:val="18"/>
                <w:szCs w:val="18"/>
              </w:rPr>
              <w:t>汽  油</w:t>
            </w:r>
          </w:p>
          <w:p w14:paraId="01965A30">
            <w:pPr>
              <w:spacing w:line="240" w:lineRule="exact"/>
              <w:ind w:left="-105" w:leftChars="-50" w:right="-105" w:rightChars="-50"/>
              <w:jc w:val="center"/>
              <w:rPr>
                <w:sz w:val="18"/>
                <w:szCs w:val="18"/>
              </w:rPr>
            </w:pPr>
            <w:r>
              <w:rPr>
                <w:sz w:val="18"/>
                <w:szCs w:val="18"/>
              </w:rPr>
              <w:t>(万吨)</w:t>
            </w:r>
          </w:p>
        </w:tc>
        <w:tc>
          <w:tcPr>
            <w:tcW w:w="861" w:type="dxa"/>
            <w:vAlign w:val="center"/>
          </w:tcPr>
          <w:p w14:paraId="62CD07B1">
            <w:pPr>
              <w:spacing w:line="240" w:lineRule="exact"/>
              <w:ind w:left="-105" w:leftChars="-50" w:right="-105" w:rightChars="-50"/>
              <w:jc w:val="center"/>
              <w:rPr>
                <w:sz w:val="18"/>
                <w:szCs w:val="18"/>
              </w:rPr>
            </w:pPr>
            <w:r>
              <w:rPr>
                <w:sz w:val="18"/>
                <w:szCs w:val="18"/>
              </w:rPr>
              <w:t>煤  油</w:t>
            </w:r>
          </w:p>
          <w:p w14:paraId="466A983A">
            <w:pPr>
              <w:spacing w:line="240" w:lineRule="exact"/>
              <w:ind w:left="-105" w:leftChars="-50" w:right="-105" w:rightChars="-50"/>
              <w:jc w:val="center"/>
              <w:rPr>
                <w:sz w:val="18"/>
                <w:szCs w:val="18"/>
              </w:rPr>
            </w:pPr>
            <w:r>
              <w:rPr>
                <w:sz w:val="18"/>
                <w:szCs w:val="18"/>
              </w:rPr>
              <w:t>(万吨)</w:t>
            </w:r>
          </w:p>
        </w:tc>
        <w:tc>
          <w:tcPr>
            <w:tcW w:w="860" w:type="dxa"/>
            <w:vAlign w:val="center"/>
          </w:tcPr>
          <w:p w14:paraId="19AB5925">
            <w:pPr>
              <w:spacing w:line="240" w:lineRule="exact"/>
              <w:ind w:left="-105" w:leftChars="-50" w:right="-105" w:rightChars="-50"/>
              <w:jc w:val="center"/>
              <w:rPr>
                <w:sz w:val="18"/>
                <w:szCs w:val="18"/>
              </w:rPr>
            </w:pPr>
            <w:r>
              <w:rPr>
                <w:sz w:val="18"/>
                <w:szCs w:val="18"/>
              </w:rPr>
              <w:t>柴  油</w:t>
            </w:r>
          </w:p>
          <w:p w14:paraId="0C062C96">
            <w:pPr>
              <w:spacing w:line="240" w:lineRule="exact"/>
              <w:ind w:left="-105" w:leftChars="-50" w:right="-105" w:rightChars="-50"/>
              <w:jc w:val="center"/>
              <w:rPr>
                <w:sz w:val="18"/>
                <w:szCs w:val="18"/>
              </w:rPr>
            </w:pPr>
            <w:r>
              <w:rPr>
                <w:sz w:val="18"/>
                <w:szCs w:val="18"/>
              </w:rPr>
              <w:t>(万吨)</w:t>
            </w:r>
          </w:p>
        </w:tc>
        <w:tc>
          <w:tcPr>
            <w:tcW w:w="861" w:type="dxa"/>
            <w:vAlign w:val="center"/>
          </w:tcPr>
          <w:p w14:paraId="43892BA1">
            <w:pPr>
              <w:spacing w:line="240" w:lineRule="exact"/>
              <w:ind w:left="-105" w:leftChars="-50" w:right="-105" w:rightChars="-50"/>
              <w:jc w:val="center"/>
              <w:rPr>
                <w:sz w:val="18"/>
                <w:szCs w:val="18"/>
              </w:rPr>
            </w:pPr>
            <w:r>
              <w:rPr>
                <w:sz w:val="18"/>
                <w:szCs w:val="18"/>
              </w:rPr>
              <w:t>燃料油</w:t>
            </w:r>
          </w:p>
          <w:p w14:paraId="1FF13BD5">
            <w:pPr>
              <w:spacing w:line="240" w:lineRule="exact"/>
              <w:ind w:left="-105" w:leftChars="-50" w:right="-105" w:rightChars="-50"/>
              <w:jc w:val="center"/>
              <w:rPr>
                <w:sz w:val="18"/>
                <w:szCs w:val="18"/>
              </w:rPr>
            </w:pPr>
            <w:r>
              <w:rPr>
                <w:sz w:val="18"/>
                <w:szCs w:val="18"/>
              </w:rPr>
              <w:t>(万吨)</w:t>
            </w:r>
          </w:p>
        </w:tc>
        <w:tc>
          <w:tcPr>
            <w:tcW w:w="860" w:type="dxa"/>
            <w:vAlign w:val="center"/>
          </w:tcPr>
          <w:p w14:paraId="5AD68AD9">
            <w:pPr>
              <w:spacing w:line="240" w:lineRule="exact"/>
              <w:ind w:left="-105" w:leftChars="-50" w:right="-105" w:rightChars="-50"/>
              <w:jc w:val="center"/>
              <w:rPr>
                <w:sz w:val="18"/>
                <w:szCs w:val="18"/>
              </w:rPr>
            </w:pPr>
            <w:r>
              <w:rPr>
                <w:sz w:val="18"/>
                <w:szCs w:val="18"/>
              </w:rPr>
              <w:t>石脑油</w:t>
            </w:r>
          </w:p>
          <w:p w14:paraId="1F9DFDD9">
            <w:pPr>
              <w:spacing w:line="240" w:lineRule="exact"/>
              <w:ind w:left="-105" w:leftChars="-50" w:right="-105" w:rightChars="-50"/>
              <w:jc w:val="center"/>
              <w:rPr>
                <w:sz w:val="18"/>
                <w:szCs w:val="18"/>
              </w:rPr>
            </w:pPr>
            <w:r>
              <w:rPr>
                <w:sz w:val="18"/>
                <w:szCs w:val="18"/>
              </w:rPr>
              <w:t>(万吨)</w:t>
            </w:r>
          </w:p>
        </w:tc>
        <w:tc>
          <w:tcPr>
            <w:tcW w:w="861" w:type="dxa"/>
            <w:vAlign w:val="center"/>
          </w:tcPr>
          <w:p w14:paraId="7428A69C">
            <w:pPr>
              <w:spacing w:line="240" w:lineRule="exact"/>
              <w:ind w:left="-105" w:leftChars="-50" w:right="-105" w:rightChars="-50"/>
              <w:jc w:val="center"/>
              <w:rPr>
                <w:sz w:val="18"/>
                <w:szCs w:val="18"/>
              </w:rPr>
            </w:pPr>
            <w:r>
              <w:rPr>
                <w:sz w:val="18"/>
                <w:szCs w:val="18"/>
              </w:rPr>
              <w:t>润滑油</w:t>
            </w:r>
          </w:p>
          <w:p w14:paraId="632BDE96">
            <w:pPr>
              <w:spacing w:line="240" w:lineRule="exact"/>
              <w:ind w:left="-105" w:leftChars="-50" w:right="-105" w:rightChars="-50"/>
              <w:jc w:val="center"/>
              <w:rPr>
                <w:sz w:val="18"/>
                <w:szCs w:val="18"/>
              </w:rPr>
            </w:pPr>
            <w:r>
              <w:rPr>
                <w:sz w:val="18"/>
                <w:szCs w:val="18"/>
              </w:rPr>
              <w:t>(万吨)</w:t>
            </w:r>
          </w:p>
        </w:tc>
        <w:tc>
          <w:tcPr>
            <w:tcW w:w="860" w:type="dxa"/>
            <w:vAlign w:val="center"/>
          </w:tcPr>
          <w:p w14:paraId="0F3CD347">
            <w:pPr>
              <w:spacing w:line="240" w:lineRule="exact"/>
              <w:ind w:left="-105" w:leftChars="-50" w:right="-105" w:rightChars="-50"/>
              <w:jc w:val="center"/>
              <w:rPr>
                <w:sz w:val="18"/>
                <w:szCs w:val="18"/>
              </w:rPr>
            </w:pPr>
            <w:r>
              <w:rPr>
                <w:sz w:val="18"/>
                <w:szCs w:val="18"/>
              </w:rPr>
              <w:t>石  蜡</w:t>
            </w:r>
          </w:p>
          <w:p w14:paraId="257B2AB5">
            <w:pPr>
              <w:spacing w:line="240" w:lineRule="exact"/>
              <w:ind w:left="-105" w:leftChars="-50" w:right="-105" w:rightChars="-50"/>
              <w:jc w:val="center"/>
              <w:rPr>
                <w:sz w:val="18"/>
                <w:szCs w:val="18"/>
              </w:rPr>
            </w:pPr>
            <w:r>
              <w:rPr>
                <w:sz w:val="18"/>
                <w:szCs w:val="18"/>
              </w:rPr>
              <w:t>(万吨)</w:t>
            </w:r>
          </w:p>
        </w:tc>
        <w:tc>
          <w:tcPr>
            <w:tcW w:w="861" w:type="dxa"/>
            <w:tcBorders>
              <w:top w:val="single" w:color="auto" w:sz="8" w:space="0"/>
              <w:bottom w:val="single" w:color="auto" w:sz="2" w:space="0"/>
              <w:right w:val="single" w:color="auto" w:sz="2" w:space="0"/>
            </w:tcBorders>
            <w:vAlign w:val="center"/>
          </w:tcPr>
          <w:p w14:paraId="3BBE30C6">
            <w:pPr>
              <w:spacing w:line="240" w:lineRule="exact"/>
              <w:ind w:left="-105" w:leftChars="-50" w:right="-105" w:rightChars="-50"/>
              <w:jc w:val="center"/>
              <w:rPr>
                <w:sz w:val="18"/>
                <w:szCs w:val="18"/>
              </w:rPr>
            </w:pPr>
            <w:r>
              <w:rPr>
                <w:sz w:val="18"/>
                <w:szCs w:val="18"/>
              </w:rPr>
              <w:t>溶剂油</w:t>
            </w:r>
          </w:p>
          <w:p w14:paraId="4E13DBD1">
            <w:pPr>
              <w:spacing w:line="240" w:lineRule="exact"/>
              <w:ind w:left="-105" w:leftChars="-50" w:right="-105" w:rightChars="-50"/>
              <w:jc w:val="center"/>
              <w:rPr>
                <w:sz w:val="18"/>
                <w:szCs w:val="18"/>
              </w:rPr>
            </w:pPr>
            <w:r>
              <w:rPr>
                <w:sz w:val="18"/>
                <w:szCs w:val="18"/>
              </w:rPr>
              <w:t>(万吨)</w:t>
            </w:r>
          </w:p>
        </w:tc>
        <w:tc>
          <w:tcPr>
            <w:tcW w:w="799" w:type="dxa"/>
            <w:tcBorders>
              <w:top w:val="single" w:color="auto" w:sz="8" w:space="0"/>
              <w:left w:val="single" w:color="auto" w:sz="2" w:space="0"/>
              <w:bottom w:val="single" w:color="auto" w:sz="2" w:space="0"/>
            </w:tcBorders>
            <w:vAlign w:val="center"/>
          </w:tcPr>
          <w:p w14:paraId="54E86977">
            <w:pPr>
              <w:spacing w:line="240" w:lineRule="exact"/>
              <w:ind w:left="-95" w:leftChars="-51" w:right="-105" w:rightChars="-50" w:hanging="12" w:hangingChars="7"/>
              <w:jc w:val="center"/>
              <w:rPr>
                <w:sz w:val="18"/>
                <w:szCs w:val="18"/>
              </w:rPr>
            </w:pPr>
            <w:r>
              <w:rPr>
                <w:sz w:val="18"/>
                <w:szCs w:val="18"/>
              </w:rPr>
              <w:t>石油沥青</w:t>
            </w:r>
          </w:p>
          <w:p w14:paraId="04139811">
            <w:pPr>
              <w:spacing w:line="240" w:lineRule="exact"/>
              <w:ind w:left="-95" w:leftChars="-51" w:right="-105" w:rightChars="-50" w:hanging="12" w:hangingChars="7"/>
              <w:jc w:val="center"/>
              <w:rPr>
                <w:sz w:val="18"/>
                <w:szCs w:val="18"/>
              </w:rPr>
            </w:pPr>
            <w:r>
              <w:rPr>
                <w:sz w:val="18"/>
                <w:szCs w:val="18"/>
              </w:rPr>
              <w:t>(万吨)</w:t>
            </w:r>
          </w:p>
        </w:tc>
        <w:tc>
          <w:tcPr>
            <w:tcW w:w="799" w:type="dxa"/>
            <w:vAlign w:val="center"/>
          </w:tcPr>
          <w:p w14:paraId="19CF90DB">
            <w:pPr>
              <w:spacing w:line="240" w:lineRule="exact"/>
              <w:ind w:left="-105" w:leftChars="-50" w:right="-105" w:rightChars="-50"/>
              <w:jc w:val="center"/>
              <w:rPr>
                <w:sz w:val="18"/>
                <w:szCs w:val="18"/>
              </w:rPr>
            </w:pPr>
            <w:r>
              <w:rPr>
                <w:sz w:val="18"/>
                <w:szCs w:val="18"/>
              </w:rPr>
              <w:t>石油焦</w:t>
            </w:r>
          </w:p>
          <w:p w14:paraId="3F6789FE">
            <w:pPr>
              <w:spacing w:line="240" w:lineRule="exact"/>
              <w:ind w:left="-105" w:leftChars="-50" w:right="-105" w:rightChars="-50"/>
              <w:jc w:val="center"/>
              <w:rPr>
                <w:sz w:val="18"/>
                <w:szCs w:val="18"/>
              </w:rPr>
            </w:pPr>
            <w:r>
              <w:rPr>
                <w:sz w:val="18"/>
                <w:szCs w:val="18"/>
              </w:rPr>
              <w:t>(万吨)</w:t>
            </w:r>
          </w:p>
        </w:tc>
        <w:tc>
          <w:tcPr>
            <w:tcW w:w="984" w:type="dxa"/>
            <w:vAlign w:val="center"/>
          </w:tcPr>
          <w:p w14:paraId="79B76336">
            <w:pPr>
              <w:spacing w:line="240" w:lineRule="exact"/>
              <w:ind w:left="-210" w:leftChars="-100" w:right="-210" w:rightChars="-100"/>
              <w:jc w:val="center"/>
              <w:rPr>
                <w:sz w:val="18"/>
                <w:szCs w:val="18"/>
              </w:rPr>
            </w:pPr>
            <w:r>
              <w:rPr>
                <w:sz w:val="18"/>
                <w:szCs w:val="18"/>
              </w:rPr>
              <w:t>液化石油气</w:t>
            </w:r>
          </w:p>
          <w:p w14:paraId="20726FC2">
            <w:pPr>
              <w:spacing w:line="240" w:lineRule="exact"/>
              <w:ind w:left="-210" w:leftChars="-100" w:right="-210" w:rightChars="-100"/>
              <w:jc w:val="center"/>
              <w:rPr>
                <w:sz w:val="18"/>
                <w:szCs w:val="18"/>
              </w:rPr>
            </w:pPr>
            <w:r>
              <w:rPr>
                <w:sz w:val="18"/>
                <w:szCs w:val="18"/>
              </w:rPr>
              <w:t>(万吨)</w:t>
            </w:r>
          </w:p>
        </w:tc>
      </w:tr>
      <w:tr w14:paraId="0EF0B6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60" w:type="dxa"/>
            <w:vAlign w:val="center"/>
          </w:tcPr>
          <w:p w14:paraId="4AC1E79D">
            <w:pPr>
              <w:spacing w:line="240" w:lineRule="atLeast"/>
              <w:ind w:left="-105" w:leftChars="-50" w:right="-105" w:rightChars="-50"/>
              <w:jc w:val="center"/>
              <w:textAlignment w:val="center"/>
              <w:rPr>
                <w:sz w:val="18"/>
                <w:szCs w:val="18"/>
              </w:rPr>
            </w:pPr>
            <w:r>
              <w:rPr>
                <w:sz w:val="18"/>
                <w:szCs w:val="18"/>
              </w:rPr>
              <w:t>19</w:t>
            </w:r>
          </w:p>
        </w:tc>
        <w:tc>
          <w:tcPr>
            <w:tcW w:w="861" w:type="dxa"/>
            <w:vAlign w:val="center"/>
          </w:tcPr>
          <w:p w14:paraId="5EB56AAE">
            <w:pPr>
              <w:spacing w:line="240" w:lineRule="atLeast"/>
              <w:ind w:left="-105" w:leftChars="-50" w:right="-105" w:rightChars="-50"/>
              <w:jc w:val="center"/>
              <w:textAlignment w:val="center"/>
              <w:rPr>
                <w:sz w:val="18"/>
                <w:szCs w:val="18"/>
              </w:rPr>
            </w:pPr>
            <w:r>
              <w:rPr>
                <w:sz w:val="18"/>
                <w:szCs w:val="18"/>
              </w:rPr>
              <w:t>20</w:t>
            </w:r>
          </w:p>
        </w:tc>
        <w:tc>
          <w:tcPr>
            <w:tcW w:w="860" w:type="dxa"/>
            <w:vAlign w:val="center"/>
          </w:tcPr>
          <w:p w14:paraId="545362D9">
            <w:pPr>
              <w:spacing w:line="240" w:lineRule="atLeast"/>
              <w:ind w:left="-105" w:leftChars="-50" w:right="-105" w:rightChars="-50"/>
              <w:jc w:val="center"/>
              <w:textAlignment w:val="center"/>
              <w:rPr>
                <w:sz w:val="18"/>
                <w:szCs w:val="18"/>
              </w:rPr>
            </w:pPr>
            <w:r>
              <w:rPr>
                <w:sz w:val="18"/>
                <w:szCs w:val="18"/>
              </w:rPr>
              <w:t>21</w:t>
            </w:r>
          </w:p>
        </w:tc>
        <w:tc>
          <w:tcPr>
            <w:tcW w:w="861" w:type="dxa"/>
            <w:vAlign w:val="center"/>
          </w:tcPr>
          <w:p w14:paraId="42058EE3">
            <w:pPr>
              <w:spacing w:line="240" w:lineRule="atLeast"/>
              <w:ind w:left="-105" w:leftChars="-50" w:right="-105" w:rightChars="-50"/>
              <w:jc w:val="center"/>
              <w:textAlignment w:val="center"/>
              <w:rPr>
                <w:sz w:val="18"/>
                <w:szCs w:val="18"/>
              </w:rPr>
            </w:pPr>
            <w:r>
              <w:rPr>
                <w:sz w:val="18"/>
                <w:szCs w:val="18"/>
              </w:rPr>
              <w:t>22</w:t>
            </w:r>
          </w:p>
        </w:tc>
        <w:tc>
          <w:tcPr>
            <w:tcW w:w="860" w:type="dxa"/>
            <w:vAlign w:val="center"/>
          </w:tcPr>
          <w:p w14:paraId="2B30F12C">
            <w:pPr>
              <w:spacing w:line="240" w:lineRule="atLeast"/>
              <w:ind w:left="-105" w:leftChars="-50" w:right="-105" w:rightChars="-50"/>
              <w:jc w:val="center"/>
              <w:textAlignment w:val="center"/>
              <w:rPr>
                <w:sz w:val="18"/>
                <w:szCs w:val="18"/>
              </w:rPr>
            </w:pPr>
            <w:r>
              <w:rPr>
                <w:sz w:val="18"/>
                <w:szCs w:val="18"/>
              </w:rPr>
              <w:t>23</w:t>
            </w:r>
          </w:p>
        </w:tc>
        <w:tc>
          <w:tcPr>
            <w:tcW w:w="861" w:type="dxa"/>
            <w:vAlign w:val="center"/>
          </w:tcPr>
          <w:p w14:paraId="20FA52CA">
            <w:pPr>
              <w:spacing w:line="240" w:lineRule="atLeast"/>
              <w:ind w:left="-105" w:leftChars="-50" w:right="-105" w:rightChars="-50"/>
              <w:jc w:val="center"/>
              <w:textAlignment w:val="center"/>
              <w:rPr>
                <w:sz w:val="18"/>
                <w:szCs w:val="18"/>
              </w:rPr>
            </w:pPr>
            <w:r>
              <w:rPr>
                <w:sz w:val="18"/>
                <w:szCs w:val="18"/>
              </w:rPr>
              <w:t>24</w:t>
            </w:r>
          </w:p>
        </w:tc>
        <w:tc>
          <w:tcPr>
            <w:tcW w:w="860" w:type="dxa"/>
            <w:vAlign w:val="center"/>
          </w:tcPr>
          <w:p w14:paraId="55EE45CE">
            <w:pPr>
              <w:spacing w:line="240" w:lineRule="atLeast"/>
              <w:ind w:left="-105" w:leftChars="-50" w:right="-105" w:rightChars="-50"/>
              <w:jc w:val="center"/>
              <w:textAlignment w:val="center"/>
              <w:rPr>
                <w:sz w:val="18"/>
                <w:szCs w:val="18"/>
              </w:rPr>
            </w:pPr>
            <w:r>
              <w:rPr>
                <w:sz w:val="18"/>
                <w:szCs w:val="18"/>
              </w:rPr>
              <w:t>25</w:t>
            </w:r>
          </w:p>
        </w:tc>
        <w:tc>
          <w:tcPr>
            <w:tcW w:w="861" w:type="dxa"/>
            <w:tcBorders>
              <w:top w:val="single" w:color="auto" w:sz="2" w:space="0"/>
              <w:bottom w:val="single" w:color="auto" w:sz="2" w:space="0"/>
              <w:right w:val="single" w:color="auto" w:sz="2" w:space="0"/>
            </w:tcBorders>
            <w:vAlign w:val="center"/>
          </w:tcPr>
          <w:p w14:paraId="3A371060">
            <w:pPr>
              <w:spacing w:line="240" w:lineRule="atLeast"/>
              <w:ind w:left="-105" w:leftChars="-50" w:right="-105" w:rightChars="-50"/>
              <w:jc w:val="center"/>
              <w:textAlignment w:val="center"/>
              <w:rPr>
                <w:sz w:val="18"/>
                <w:szCs w:val="18"/>
              </w:rPr>
            </w:pPr>
            <w:r>
              <w:rPr>
                <w:sz w:val="18"/>
                <w:szCs w:val="18"/>
              </w:rPr>
              <w:t>26</w:t>
            </w:r>
          </w:p>
        </w:tc>
        <w:tc>
          <w:tcPr>
            <w:tcW w:w="799" w:type="dxa"/>
            <w:tcBorders>
              <w:top w:val="single" w:color="auto" w:sz="2" w:space="0"/>
              <w:left w:val="single" w:color="auto" w:sz="2" w:space="0"/>
              <w:bottom w:val="single" w:color="auto" w:sz="2" w:space="0"/>
            </w:tcBorders>
            <w:vAlign w:val="center"/>
          </w:tcPr>
          <w:p w14:paraId="2B74593E">
            <w:pPr>
              <w:spacing w:line="240" w:lineRule="atLeast"/>
              <w:ind w:right="-105" w:rightChars="-50"/>
              <w:jc w:val="center"/>
              <w:textAlignment w:val="center"/>
              <w:rPr>
                <w:sz w:val="18"/>
                <w:szCs w:val="18"/>
              </w:rPr>
            </w:pPr>
            <w:r>
              <w:rPr>
                <w:sz w:val="18"/>
                <w:szCs w:val="18"/>
              </w:rPr>
              <w:t>27</w:t>
            </w:r>
          </w:p>
        </w:tc>
        <w:tc>
          <w:tcPr>
            <w:tcW w:w="799" w:type="dxa"/>
            <w:vAlign w:val="center"/>
          </w:tcPr>
          <w:p w14:paraId="68585D2E">
            <w:pPr>
              <w:spacing w:line="240" w:lineRule="atLeast"/>
              <w:ind w:left="-105" w:leftChars="-50" w:right="-105" w:rightChars="-50"/>
              <w:jc w:val="center"/>
              <w:textAlignment w:val="center"/>
              <w:rPr>
                <w:sz w:val="18"/>
                <w:szCs w:val="18"/>
              </w:rPr>
            </w:pPr>
            <w:r>
              <w:rPr>
                <w:sz w:val="18"/>
                <w:szCs w:val="18"/>
              </w:rPr>
              <w:t>28</w:t>
            </w:r>
          </w:p>
        </w:tc>
        <w:tc>
          <w:tcPr>
            <w:tcW w:w="984" w:type="dxa"/>
            <w:vAlign w:val="center"/>
          </w:tcPr>
          <w:p w14:paraId="249108D3">
            <w:pPr>
              <w:spacing w:line="240" w:lineRule="atLeast"/>
              <w:ind w:left="-210" w:leftChars="-100" w:right="-210" w:rightChars="-100"/>
              <w:jc w:val="center"/>
              <w:textAlignment w:val="center"/>
              <w:rPr>
                <w:sz w:val="18"/>
                <w:szCs w:val="18"/>
              </w:rPr>
            </w:pPr>
            <w:r>
              <w:rPr>
                <w:sz w:val="18"/>
                <w:szCs w:val="18"/>
              </w:rPr>
              <w:t>29</w:t>
            </w:r>
          </w:p>
        </w:tc>
      </w:tr>
      <w:tr w14:paraId="14DD81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9466" w:type="dxa"/>
            <w:gridSpan w:val="11"/>
            <w:vAlign w:val="center"/>
          </w:tcPr>
          <w:p w14:paraId="28804D63">
            <w:pPr>
              <w:spacing w:line="240" w:lineRule="exact"/>
              <w:ind w:left="-210" w:leftChars="-100" w:right="-210" w:rightChars="-100"/>
              <w:jc w:val="center"/>
              <w:rPr>
                <w:sz w:val="18"/>
                <w:szCs w:val="18"/>
              </w:rPr>
            </w:pPr>
          </w:p>
          <w:p w14:paraId="5BB48E68">
            <w:pPr>
              <w:spacing w:line="240" w:lineRule="exact"/>
              <w:ind w:left="-210" w:leftChars="-100" w:right="-210" w:rightChars="-100"/>
              <w:jc w:val="center"/>
              <w:rPr>
                <w:sz w:val="18"/>
                <w:szCs w:val="18"/>
              </w:rPr>
            </w:pPr>
          </w:p>
        </w:tc>
      </w:tr>
    </w:tbl>
    <w:p w14:paraId="10787485">
      <w:pPr>
        <w:snapToGrid w:val="0"/>
        <w:ind w:left="-105" w:leftChars="-50" w:right="-105" w:rightChars="-50" w:firstLine="62" w:firstLineChars="35"/>
        <w:rPr>
          <w:sz w:val="18"/>
          <w:szCs w:val="18"/>
        </w:rPr>
      </w:pPr>
    </w:p>
    <w:p w14:paraId="25EE7121">
      <w:pPr>
        <w:snapToGrid w:val="0"/>
        <w:ind w:left="-105" w:leftChars="-50" w:right="-105" w:rightChars="-50" w:firstLine="62" w:firstLineChars="35"/>
        <w:rPr>
          <w:sz w:val="18"/>
          <w:szCs w:val="18"/>
        </w:rPr>
      </w:pPr>
      <w:r>
        <w:rPr>
          <w:sz w:val="18"/>
          <w:szCs w:val="18"/>
        </w:rPr>
        <w:t>续表三</w:t>
      </w:r>
    </w:p>
    <w:tbl>
      <w:tblPr>
        <w:tblStyle w:val="20"/>
        <w:tblW w:w="947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Change w:id="317" w:author="kylin" w:date="2025-10-17T16:51:33Z">
          <w:tblPr>
            <w:tblStyle w:val="20"/>
            <w:tblW w:w="947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PrChange>
      </w:tblPr>
      <w:tblGrid>
        <w:gridCol w:w="815"/>
        <w:gridCol w:w="1079"/>
        <w:gridCol w:w="948"/>
        <w:gridCol w:w="947"/>
        <w:gridCol w:w="903"/>
        <w:gridCol w:w="771"/>
        <w:gridCol w:w="965"/>
        <w:gridCol w:w="1151"/>
        <w:gridCol w:w="947"/>
        <w:gridCol w:w="948"/>
        <w:tblGridChange w:id="318">
          <w:tblGrid>
            <w:gridCol w:w="815"/>
            <w:gridCol w:w="1079"/>
            <w:gridCol w:w="948"/>
            <w:gridCol w:w="947"/>
            <w:gridCol w:w="837"/>
            <w:gridCol w:w="837"/>
            <w:gridCol w:w="965"/>
            <w:gridCol w:w="1151"/>
            <w:gridCol w:w="947"/>
            <w:gridCol w:w="948"/>
          </w:tblGrid>
        </w:tblGridChange>
      </w:tblGrid>
      <w:tr w14:paraId="7499F6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319" w:author="kylin" w:date="2025-10-17T16:51:3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737" w:hRule="atLeast"/>
          <w:jc w:val="center"/>
          <w:trPrChange w:id="319" w:author="kylin" w:date="2025-10-17T16:51:33Z">
            <w:trPr>
              <w:jc w:val="center"/>
            </w:trPr>
          </w:trPrChange>
        </w:trPr>
        <w:tc>
          <w:tcPr>
            <w:tcW w:w="815" w:type="dxa"/>
            <w:vAlign w:val="center"/>
            <w:tcPrChange w:id="320" w:author="kylin" w:date="2025-10-17T16:51:33Z">
              <w:tcPr>
                <w:tcW w:w="815" w:type="dxa"/>
                <w:vAlign w:val="center"/>
              </w:tcPr>
            </w:tcPrChange>
          </w:tcPr>
          <w:p w14:paraId="13AB0F24">
            <w:pPr>
              <w:spacing w:line="240" w:lineRule="exact"/>
              <w:ind w:left="-105" w:leftChars="-50" w:right="-105" w:rightChars="-50"/>
              <w:jc w:val="center"/>
              <w:rPr>
                <w:sz w:val="18"/>
                <w:szCs w:val="18"/>
              </w:rPr>
            </w:pPr>
            <w:r>
              <w:rPr>
                <w:sz w:val="18"/>
                <w:szCs w:val="18"/>
              </w:rPr>
              <w:t>炼厂干气          (万吨)</w:t>
            </w:r>
          </w:p>
        </w:tc>
        <w:tc>
          <w:tcPr>
            <w:tcW w:w="1079" w:type="dxa"/>
            <w:vAlign w:val="center"/>
            <w:tcPrChange w:id="321" w:author="kylin" w:date="2025-10-17T16:51:33Z">
              <w:tcPr>
                <w:tcW w:w="1079" w:type="dxa"/>
                <w:vAlign w:val="center"/>
              </w:tcPr>
            </w:tcPrChange>
          </w:tcPr>
          <w:p w14:paraId="653C8E30">
            <w:pPr>
              <w:spacing w:line="240" w:lineRule="exact"/>
              <w:ind w:left="-210" w:leftChars="-100" w:right="-210" w:rightChars="-100"/>
              <w:jc w:val="center"/>
              <w:rPr>
                <w:sz w:val="18"/>
                <w:szCs w:val="18"/>
              </w:rPr>
            </w:pPr>
            <w:r>
              <w:rPr>
                <w:sz w:val="18"/>
                <w:szCs w:val="18"/>
              </w:rPr>
              <w:t>其他石油制品(万吨)</w:t>
            </w:r>
          </w:p>
        </w:tc>
        <w:tc>
          <w:tcPr>
            <w:tcW w:w="948" w:type="dxa"/>
            <w:vAlign w:val="center"/>
            <w:tcPrChange w:id="322" w:author="kylin" w:date="2025-10-17T16:51:33Z">
              <w:tcPr>
                <w:tcW w:w="948" w:type="dxa"/>
                <w:vAlign w:val="center"/>
              </w:tcPr>
            </w:tcPrChange>
          </w:tcPr>
          <w:p w14:paraId="493F10B5">
            <w:pPr>
              <w:spacing w:line="240" w:lineRule="exact"/>
              <w:ind w:left="-105" w:leftChars="-50" w:right="-105" w:rightChars="-50"/>
              <w:jc w:val="center"/>
              <w:rPr>
                <w:sz w:val="18"/>
                <w:szCs w:val="18"/>
              </w:rPr>
            </w:pPr>
            <w:r>
              <w:rPr>
                <w:sz w:val="18"/>
                <w:szCs w:val="18"/>
              </w:rPr>
              <w:t>天然气</w:t>
            </w:r>
          </w:p>
          <w:p w14:paraId="7D532A05">
            <w:pPr>
              <w:spacing w:line="240" w:lineRule="exact"/>
              <w:ind w:left="-105" w:leftChars="-50" w:right="-105" w:rightChars="-50"/>
              <w:jc w:val="center"/>
              <w:rPr>
                <w:sz w:val="18"/>
                <w:szCs w:val="18"/>
              </w:rPr>
            </w:pPr>
            <w:r>
              <w:rPr>
                <w:sz w:val="18"/>
                <w:szCs w:val="18"/>
              </w:rPr>
              <w:t>(亿立方米)</w:t>
            </w:r>
          </w:p>
        </w:tc>
        <w:tc>
          <w:tcPr>
            <w:tcW w:w="947" w:type="dxa"/>
            <w:vAlign w:val="center"/>
            <w:tcPrChange w:id="323" w:author="kylin" w:date="2025-10-17T16:51:33Z">
              <w:tcPr>
                <w:tcW w:w="947" w:type="dxa"/>
                <w:vAlign w:val="center"/>
              </w:tcPr>
            </w:tcPrChange>
          </w:tcPr>
          <w:p w14:paraId="08EE8632">
            <w:pPr>
              <w:spacing w:line="240" w:lineRule="exact"/>
              <w:ind w:left="-105" w:leftChars="-50" w:right="-105" w:rightChars="-50"/>
              <w:jc w:val="center"/>
              <w:rPr>
                <w:sz w:val="18"/>
                <w:szCs w:val="18"/>
              </w:rPr>
            </w:pPr>
            <w:r>
              <w:rPr>
                <w:sz w:val="18"/>
                <w:szCs w:val="18"/>
              </w:rPr>
              <w:t>液化天然气  (万吨)</w:t>
            </w:r>
          </w:p>
        </w:tc>
        <w:tc>
          <w:tcPr>
            <w:tcW w:w="903" w:type="dxa"/>
            <w:vAlign w:val="center"/>
            <w:tcPrChange w:id="324" w:author="kylin" w:date="2025-10-17T16:51:33Z">
              <w:tcPr>
                <w:tcW w:w="837" w:type="dxa"/>
                <w:vAlign w:val="center"/>
              </w:tcPr>
            </w:tcPrChange>
          </w:tcPr>
          <w:p w14:paraId="01464B05">
            <w:pPr>
              <w:spacing w:line="240" w:lineRule="exact"/>
              <w:ind w:left="-105" w:leftChars="-50" w:right="-105" w:rightChars="-50"/>
              <w:jc w:val="center"/>
              <w:rPr>
                <w:rFonts w:hint="default"/>
                <w:sz w:val="18"/>
                <w:szCs w:val="18"/>
                <w:lang w:val="en-US" w:eastAsia="zh-CN"/>
              </w:rPr>
            </w:pPr>
            <w:r>
              <w:rPr>
                <w:rFonts w:hint="eastAsia"/>
                <w:sz w:val="18"/>
                <w:szCs w:val="18"/>
                <w:lang w:eastAsia="zh-CN"/>
              </w:rPr>
              <w:t>氢</w:t>
            </w:r>
            <w:r>
              <w:rPr>
                <w:rFonts w:hint="eastAsia"/>
                <w:sz w:val="18"/>
                <w:szCs w:val="18"/>
                <w:lang w:val="en-US" w:eastAsia="zh-CN"/>
              </w:rPr>
              <w:t xml:space="preserve">  </w:t>
            </w:r>
            <w:del w:id="325" w:author="kylin" w:date="2025-10-17T16:51:21Z">
              <w:r>
                <w:rPr>
                  <w:rFonts w:hint="default"/>
                  <w:sz w:val="18"/>
                  <w:szCs w:val="18"/>
                  <w:lang w:val="en-US" w:eastAsia="zh-CN"/>
                </w:rPr>
                <w:delText>能</w:delText>
              </w:r>
            </w:del>
            <w:ins w:id="326" w:author="kylin" w:date="2025-10-17T16:51:27Z">
              <w:r>
                <w:rPr>
                  <w:rFonts w:hint="eastAsia"/>
                  <w:sz w:val="18"/>
                  <w:szCs w:val="18"/>
                  <w:lang w:val="en-US" w:eastAsia="zh-CN"/>
                </w:rPr>
                <w:t>气</w:t>
              </w:r>
            </w:ins>
          </w:p>
          <w:p w14:paraId="76D29695">
            <w:pPr>
              <w:spacing w:line="240" w:lineRule="exact"/>
              <w:ind w:left="-105" w:leftChars="-50" w:right="-105" w:rightChars="-50"/>
              <w:jc w:val="center"/>
              <w:rPr>
                <w:sz w:val="18"/>
                <w:szCs w:val="18"/>
              </w:rPr>
            </w:pPr>
            <w:r>
              <w:rPr>
                <w:sz w:val="18"/>
                <w:szCs w:val="18"/>
              </w:rPr>
              <w:t>(</w:t>
            </w:r>
            <w:del w:id="327" w:author="kylin" w:date="2025-10-17T16:51:30Z">
              <w:r>
                <w:rPr>
                  <w:sz w:val="18"/>
                  <w:szCs w:val="18"/>
                </w:rPr>
                <w:delText>万吨</w:delText>
              </w:r>
            </w:del>
            <w:ins w:id="328" w:author="kylin" w:date="2025-10-17T16:51:30Z">
              <w:r>
                <w:rPr>
                  <w:rFonts w:hint="eastAsia"/>
                  <w:sz w:val="18"/>
                  <w:szCs w:val="18"/>
                  <w:lang w:eastAsia="zh-CN"/>
                </w:rPr>
                <w:t>亿立方米</w:t>
              </w:r>
            </w:ins>
            <w:r>
              <w:rPr>
                <w:sz w:val="18"/>
                <w:szCs w:val="18"/>
              </w:rPr>
              <w:t>)</w:t>
            </w:r>
          </w:p>
        </w:tc>
        <w:tc>
          <w:tcPr>
            <w:tcW w:w="771" w:type="dxa"/>
            <w:vAlign w:val="center"/>
            <w:tcPrChange w:id="329" w:author="kylin" w:date="2025-10-17T16:51:33Z">
              <w:tcPr>
                <w:tcW w:w="837" w:type="dxa"/>
                <w:vAlign w:val="center"/>
              </w:tcPr>
            </w:tcPrChange>
          </w:tcPr>
          <w:p w14:paraId="2D8CA614">
            <w:pPr>
              <w:spacing w:line="240" w:lineRule="exact"/>
              <w:ind w:left="-105" w:leftChars="-50" w:right="-105" w:rightChars="-50"/>
              <w:jc w:val="center"/>
              <w:rPr>
                <w:sz w:val="18"/>
                <w:szCs w:val="18"/>
              </w:rPr>
            </w:pPr>
            <w:r>
              <w:rPr>
                <w:sz w:val="18"/>
                <w:szCs w:val="18"/>
              </w:rPr>
              <w:t>秸秆薪柴</w:t>
            </w:r>
          </w:p>
          <w:p w14:paraId="1A62C5D4">
            <w:pPr>
              <w:spacing w:line="240" w:lineRule="exact"/>
              <w:ind w:left="-105" w:leftChars="-50" w:right="-105" w:rightChars="-50"/>
              <w:jc w:val="center"/>
              <w:rPr>
                <w:sz w:val="18"/>
                <w:szCs w:val="18"/>
              </w:rPr>
            </w:pPr>
            <w:r>
              <w:rPr>
                <w:sz w:val="18"/>
                <w:szCs w:val="18"/>
              </w:rPr>
              <w:t>(万吨)</w:t>
            </w:r>
          </w:p>
        </w:tc>
        <w:tc>
          <w:tcPr>
            <w:tcW w:w="965" w:type="dxa"/>
            <w:vAlign w:val="center"/>
            <w:tcPrChange w:id="330" w:author="kylin" w:date="2025-10-17T16:51:33Z">
              <w:tcPr>
                <w:tcW w:w="965" w:type="dxa"/>
                <w:vAlign w:val="center"/>
              </w:tcPr>
            </w:tcPrChange>
          </w:tcPr>
          <w:p w14:paraId="17F8C3A2">
            <w:pPr>
              <w:spacing w:line="240" w:lineRule="exact"/>
              <w:ind w:left="-105" w:leftChars="-50" w:right="-105" w:rightChars="-50"/>
              <w:jc w:val="center"/>
              <w:rPr>
                <w:sz w:val="18"/>
                <w:szCs w:val="18"/>
              </w:rPr>
            </w:pPr>
            <w:r>
              <w:rPr>
                <w:sz w:val="18"/>
                <w:szCs w:val="18"/>
              </w:rPr>
              <w:t>沼  气          (亿立方米)</w:t>
            </w:r>
          </w:p>
        </w:tc>
        <w:tc>
          <w:tcPr>
            <w:tcW w:w="1151" w:type="dxa"/>
            <w:vAlign w:val="center"/>
            <w:tcPrChange w:id="331" w:author="kylin" w:date="2025-10-17T16:51:33Z">
              <w:tcPr>
                <w:tcW w:w="1151" w:type="dxa"/>
                <w:vAlign w:val="center"/>
              </w:tcPr>
            </w:tcPrChange>
          </w:tcPr>
          <w:p w14:paraId="57FD63CB">
            <w:pPr>
              <w:spacing w:line="240" w:lineRule="exact"/>
              <w:ind w:left="-105" w:leftChars="-50" w:right="-105" w:rightChars="-50"/>
              <w:jc w:val="center"/>
              <w:rPr>
                <w:sz w:val="18"/>
                <w:szCs w:val="18"/>
              </w:rPr>
            </w:pPr>
            <w:r>
              <w:rPr>
                <w:sz w:val="18"/>
                <w:szCs w:val="18"/>
              </w:rPr>
              <w:t>热  力             (万百万千焦)</w:t>
            </w:r>
          </w:p>
        </w:tc>
        <w:tc>
          <w:tcPr>
            <w:tcW w:w="947" w:type="dxa"/>
            <w:vAlign w:val="center"/>
            <w:tcPrChange w:id="332" w:author="kylin" w:date="2025-10-17T16:51:33Z">
              <w:tcPr>
                <w:tcW w:w="947" w:type="dxa"/>
                <w:vAlign w:val="center"/>
              </w:tcPr>
            </w:tcPrChange>
          </w:tcPr>
          <w:p w14:paraId="2DEA593F">
            <w:pPr>
              <w:spacing w:line="240" w:lineRule="exact"/>
              <w:ind w:left="-105" w:leftChars="-50" w:right="-105" w:rightChars="-50"/>
              <w:jc w:val="center"/>
              <w:rPr>
                <w:sz w:val="18"/>
                <w:szCs w:val="18"/>
              </w:rPr>
            </w:pPr>
            <w:r>
              <w:rPr>
                <w:sz w:val="18"/>
                <w:szCs w:val="18"/>
              </w:rPr>
              <w:t>电  力           (亿千瓦时)</w:t>
            </w:r>
          </w:p>
        </w:tc>
        <w:tc>
          <w:tcPr>
            <w:tcW w:w="948" w:type="dxa"/>
            <w:vAlign w:val="center"/>
            <w:tcPrChange w:id="333" w:author="kylin" w:date="2025-10-17T16:51:33Z">
              <w:tcPr>
                <w:tcW w:w="948" w:type="dxa"/>
                <w:vAlign w:val="center"/>
              </w:tcPr>
            </w:tcPrChange>
          </w:tcPr>
          <w:p w14:paraId="4D399F7C">
            <w:pPr>
              <w:spacing w:line="240" w:lineRule="exact"/>
              <w:ind w:left="-105" w:leftChars="-50" w:right="-105" w:rightChars="-50"/>
              <w:jc w:val="center"/>
              <w:rPr>
                <w:sz w:val="18"/>
                <w:szCs w:val="18"/>
              </w:rPr>
            </w:pPr>
            <w:r>
              <w:rPr>
                <w:sz w:val="18"/>
                <w:szCs w:val="18"/>
              </w:rPr>
              <w:t xml:space="preserve">其他能源 </w:t>
            </w:r>
          </w:p>
          <w:p w14:paraId="15585780">
            <w:pPr>
              <w:spacing w:line="240" w:lineRule="exact"/>
              <w:ind w:left="-105" w:leftChars="-50" w:right="-105" w:rightChars="-50"/>
              <w:jc w:val="center"/>
              <w:rPr>
                <w:sz w:val="18"/>
                <w:szCs w:val="18"/>
              </w:rPr>
            </w:pPr>
            <w:r>
              <w:rPr>
                <w:sz w:val="18"/>
                <w:szCs w:val="18"/>
              </w:rPr>
              <w:t>(万吨标煤)</w:t>
            </w:r>
          </w:p>
        </w:tc>
      </w:tr>
      <w:tr w14:paraId="1021A2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334" w:author="kylin" w:date="2025-10-17T16:51:3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306" w:hRule="atLeast"/>
          <w:jc w:val="center"/>
          <w:trPrChange w:id="334" w:author="kylin" w:date="2025-10-17T16:51:33Z">
            <w:trPr>
              <w:jc w:val="center"/>
            </w:trPr>
          </w:trPrChange>
        </w:trPr>
        <w:tc>
          <w:tcPr>
            <w:tcW w:w="815" w:type="dxa"/>
            <w:vAlign w:val="center"/>
            <w:tcPrChange w:id="335" w:author="kylin" w:date="2025-10-17T16:51:33Z">
              <w:tcPr>
                <w:tcW w:w="815" w:type="dxa"/>
                <w:vAlign w:val="center"/>
              </w:tcPr>
            </w:tcPrChange>
          </w:tcPr>
          <w:p w14:paraId="65813728">
            <w:pPr>
              <w:spacing w:line="240" w:lineRule="atLeast"/>
              <w:ind w:left="-105" w:leftChars="-50" w:right="-105" w:rightChars="-50"/>
              <w:jc w:val="center"/>
              <w:textAlignment w:val="center"/>
              <w:rPr>
                <w:sz w:val="18"/>
                <w:szCs w:val="18"/>
              </w:rPr>
            </w:pPr>
            <w:r>
              <w:rPr>
                <w:sz w:val="18"/>
                <w:szCs w:val="18"/>
              </w:rPr>
              <w:t>30</w:t>
            </w:r>
          </w:p>
        </w:tc>
        <w:tc>
          <w:tcPr>
            <w:tcW w:w="1079" w:type="dxa"/>
            <w:vAlign w:val="center"/>
            <w:tcPrChange w:id="336" w:author="kylin" w:date="2025-10-17T16:51:33Z">
              <w:tcPr>
                <w:tcW w:w="1079" w:type="dxa"/>
                <w:vAlign w:val="center"/>
              </w:tcPr>
            </w:tcPrChange>
          </w:tcPr>
          <w:p w14:paraId="5E74F313">
            <w:pPr>
              <w:spacing w:line="240" w:lineRule="atLeast"/>
              <w:ind w:left="-210" w:leftChars="-100" w:right="-210" w:rightChars="-100"/>
              <w:jc w:val="center"/>
              <w:textAlignment w:val="center"/>
              <w:rPr>
                <w:sz w:val="18"/>
                <w:szCs w:val="18"/>
              </w:rPr>
            </w:pPr>
            <w:r>
              <w:rPr>
                <w:sz w:val="18"/>
                <w:szCs w:val="18"/>
              </w:rPr>
              <w:t>31</w:t>
            </w:r>
          </w:p>
        </w:tc>
        <w:tc>
          <w:tcPr>
            <w:tcW w:w="948" w:type="dxa"/>
            <w:vAlign w:val="center"/>
            <w:tcPrChange w:id="337" w:author="kylin" w:date="2025-10-17T16:51:33Z">
              <w:tcPr>
                <w:tcW w:w="948" w:type="dxa"/>
                <w:vAlign w:val="center"/>
              </w:tcPr>
            </w:tcPrChange>
          </w:tcPr>
          <w:p w14:paraId="6DA9F495">
            <w:pPr>
              <w:spacing w:line="240" w:lineRule="atLeast"/>
              <w:ind w:left="-105" w:leftChars="-50" w:right="-105" w:rightChars="-50"/>
              <w:jc w:val="center"/>
              <w:textAlignment w:val="center"/>
              <w:rPr>
                <w:sz w:val="18"/>
                <w:szCs w:val="18"/>
              </w:rPr>
            </w:pPr>
            <w:r>
              <w:rPr>
                <w:sz w:val="18"/>
                <w:szCs w:val="18"/>
              </w:rPr>
              <w:t>32</w:t>
            </w:r>
          </w:p>
        </w:tc>
        <w:tc>
          <w:tcPr>
            <w:tcW w:w="947" w:type="dxa"/>
            <w:vAlign w:val="center"/>
            <w:tcPrChange w:id="338" w:author="kylin" w:date="2025-10-17T16:51:33Z">
              <w:tcPr>
                <w:tcW w:w="947" w:type="dxa"/>
                <w:vAlign w:val="center"/>
              </w:tcPr>
            </w:tcPrChange>
          </w:tcPr>
          <w:p w14:paraId="1D557B44">
            <w:pPr>
              <w:spacing w:line="240" w:lineRule="atLeast"/>
              <w:ind w:left="-105" w:leftChars="-50" w:right="-105" w:rightChars="-50"/>
              <w:jc w:val="center"/>
              <w:textAlignment w:val="center"/>
              <w:rPr>
                <w:sz w:val="18"/>
                <w:szCs w:val="18"/>
              </w:rPr>
            </w:pPr>
            <w:r>
              <w:rPr>
                <w:sz w:val="18"/>
                <w:szCs w:val="18"/>
              </w:rPr>
              <w:t>33</w:t>
            </w:r>
          </w:p>
        </w:tc>
        <w:tc>
          <w:tcPr>
            <w:tcW w:w="903" w:type="dxa"/>
            <w:vAlign w:val="center"/>
            <w:tcPrChange w:id="339" w:author="kylin" w:date="2025-10-17T16:51:33Z">
              <w:tcPr>
                <w:tcW w:w="837" w:type="dxa"/>
                <w:vAlign w:val="center"/>
              </w:tcPr>
            </w:tcPrChange>
          </w:tcPr>
          <w:p w14:paraId="4A0A9717">
            <w:pPr>
              <w:spacing w:line="240" w:lineRule="atLeast"/>
              <w:ind w:left="-105" w:leftChars="-50" w:right="-105" w:rightChars="-50"/>
              <w:jc w:val="center"/>
              <w:textAlignment w:val="center"/>
              <w:rPr>
                <w:sz w:val="18"/>
                <w:szCs w:val="18"/>
              </w:rPr>
            </w:pPr>
            <w:r>
              <w:rPr>
                <w:sz w:val="18"/>
                <w:szCs w:val="18"/>
              </w:rPr>
              <w:t>34</w:t>
            </w:r>
          </w:p>
        </w:tc>
        <w:tc>
          <w:tcPr>
            <w:tcW w:w="771" w:type="dxa"/>
            <w:vAlign w:val="center"/>
            <w:tcPrChange w:id="340" w:author="kylin" w:date="2025-10-17T16:51:33Z">
              <w:tcPr>
                <w:tcW w:w="837" w:type="dxa"/>
                <w:vAlign w:val="center"/>
              </w:tcPr>
            </w:tcPrChange>
          </w:tcPr>
          <w:p w14:paraId="0FE4D8B4">
            <w:pPr>
              <w:spacing w:line="240" w:lineRule="atLeast"/>
              <w:ind w:left="-105" w:leftChars="-50" w:right="-105" w:rightChars="-50"/>
              <w:jc w:val="center"/>
              <w:textAlignment w:val="center"/>
              <w:rPr>
                <w:sz w:val="18"/>
                <w:szCs w:val="18"/>
              </w:rPr>
            </w:pPr>
            <w:r>
              <w:rPr>
                <w:sz w:val="18"/>
                <w:szCs w:val="18"/>
              </w:rPr>
              <w:t>35</w:t>
            </w:r>
          </w:p>
        </w:tc>
        <w:tc>
          <w:tcPr>
            <w:tcW w:w="965" w:type="dxa"/>
            <w:vAlign w:val="center"/>
            <w:tcPrChange w:id="341" w:author="kylin" w:date="2025-10-17T16:51:33Z">
              <w:tcPr>
                <w:tcW w:w="965" w:type="dxa"/>
                <w:vAlign w:val="center"/>
              </w:tcPr>
            </w:tcPrChange>
          </w:tcPr>
          <w:p w14:paraId="1D92B47E">
            <w:pPr>
              <w:spacing w:line="240" w:lineRule="atLeast"/>
              <w:ind w:left="-105" w:leftChars="-50" w:right="-105" w:rightChars="-50"/>
              <w:jc w:val="center"/>
              <w:textAlignment w:val="center"/>
              <w:rPr>
                <w:sz w:val="18"/>
                <w:szCs w:val="18"/>
              </w:rPr>
            </w:pPr>
            <w:r>
              <w:rPr>
                <w:sz w:val="18"/>
                <w:szCs w:val="18"/>
              </w:rPr>
              <w:t>36</w:t>
            </w:r>
          </w:p>
        </w:tc>
        <w:tc>
          <w:tcPr>
            <w:tcW w:w="1151" w:type="dxa"/>
            <w:vAlign w:val="center"/>
            <w:tcPrChange w:id="342" w:author="kylin" w:date="2025-10-17T16:51:33Z">
              <w:tcPr>
                <w:tcW w:w="1151" w:type="dxa"/>
                <w:vAlign w:val="center"/>
              </w:tcPr>
            </w:tcPrChange>
          </w:tcPr>
          <w:p w14:paraId="49AFC111">
            <w:pPr>
              <w:spacing w:line="240" w:lineRule="atLeast"/>
              <w:ind w:left="-105" w:leftChars="-50" w:right="-105" w:rightChars="-50"/>
              <w:jc w:val="center"/>
              <w:textAlignment w:val="center"/>
              <w:rPr>
                <w:sz w:val="18"/>
                <w:szCs w:val="18"/>
              </w:rPr>
            </w:pPr>
            <w:r>
              <w:rPr>
                <w:sz w:val="18"/>
                <w:szCs w:val="18"/>
              </w:rPr>
              <w:t>37</w:t>
            </w:r>
          </w:p>
        </w:tc>
        <w:tc>
          <w:tcPr>
            <w:tcW w:w="947" w:type="dxa"/>
            <w:vAlign w:val="center"/>
            <w:tcPrChange w:id="343" w:author="kylin" w:date="2025-10-17T16:51:33Z">
              <w:tcPr>
                <w:tcW w:w="947" w:type="dxa"/>
                <w:vAlign w:val="center"/>
              </w:tcPr>
            </w:tcPrChange>
          </w:tcPr>
          <w:p w14:paraId="0C696945">
            <w:pPr>
              <w:spacing w:line="240" w:lineRule="atLeast"/>
              <w:ind w:left="-105" w:leftChars="-50" w:right="-105" w:rightChars="-50"/>
              <w:jc w:val="center"/>
              <w:textAlignment w:val="center"/>
              <w:rPr>
                <w:sz w:val="18"/>
                <w:szCs w:val="18"/>
              </w:rPr>
            </w:pPr>
            <w:r>
              <w:rPr>
                <w:sz w:val="18"/>
                <w:szCs w:val="18"/>
              </w:rPr>
              <w:t>38</w:t>
            </w:r>
          </w:p>
        </w:tc>
        <w:tc>
          <w:tcPr>
            <w:tcW w:w="948" w:type="dxa"/>
            <w:vAlign w:val="center"/>
            <w:tcPrChange w:id="344" w:author="kylin" w:date="2025-10-17T16:51:33Z">
              <w:tcPr>
                <w:tcW w:w="948" w:type="dxa"/>
                <w:vAlign w:val="center"/>
              </w:tcPr>
            </w:tcPrChange>
          </w:tcPr>
          <w:p w14:paraId="66B313F9">
            <w:pPr>
              <w:spacing w:line="240" w:lineRule="atLeast"/>
              <w:ind w:left="-105" w:leftChars="-50" w:right="-105" w:rightChars="-50"/>
              <w:jc w:val="center"/>
              <w:textAlignment w:val="center"/>
              <w:rPr>
                <w:sz w:val="18"/>
                <w:szCs w:val="18"/>
              </w:rPr>
            </w:pPr>
            <w:r>
              <w:rPr>
                <w:sz w:val="18"/>
                <w:szCs w:val="18"/>
              </w:rPr>
              <w:t>39</w:t>
            </w:r>
          </w:p>
        </w:tc>
      </w:tr>
      <w:tr w14:paraId="2C70A31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345" w:author="kylin" w:date="2025-10-17T16:51:33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148" w:hRule="atLeast"/>
          <w:jc w:val="center"/>
          <w:trPrChange w:id="345" w:author="kylin" w:date="2025-10-17T16:51:33Z">
            <w:trPr>
              <w:jc w:val="center"/>
            </w:trPr>
          </w:trPrChange>
        </w:trPr>
        <w:tc>
          <w:tcPr>
            <w:tcW w:w="9474" w:type="dxa"/>
            <w:gridSpan w:val="10"/>
            <w:vAlign w:val="center"/>
            <w:tcPrChange w:id="346" w:author="kylin" w:date="2025-10-17T16:51:33Z">
              <w:tcPr>
                <w:tcW w:w="9474" w:type="dxa"/>
                <w:gridSpan w:val="10"/>
                <w:vAlign w:val="center"/>
              </w:tcPr>
            </w:tcPrChange>
          </w:tcPr>
          <w:p w14:paraId="21557F9D">
            <w:pPr>
              <w:spacing w:line="240" w:lineRule="exact"/>
              <w:ind w:left="-105" w:leftChars="-50" w:right="-105" w:rightChars="-50"/>
              <w:jc w:val="center"/>
              <w:rPr>
                <w:sz w:val="18"/>
                <w:szCs w:val="18"/>
              </w:rPr>
            </w:pPr>
          </w:p>
          <w:p w14:paraId="01238198">
            <w:pPr>
              <w:spacing w:line="240" w:lineRule="exact"/>
              <w:ind w:left="-105" w:leftChars="-50" w:right="-105" w:rightChars="-50"/>
              <w:jc w:val="center"/>
              <w:rPr>
                <w:sz w:val="18"/>
                <w:szCs w:val="18"/>
              </w:rPr>
            </w:pPr>
          </w:p>
        </w:tc>
      </w:tr>
    </w:tbl>
    <w:p w14:paraId="37CDB282">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14:paraId="636DFEBB">
      <w:pPr>
        <w:ind w:right="-42" w:rightChars="-20"/>
        <w:rPr>
          <w:b/>
          <w:sz w:val="18"/>
          <w:szCs w:val="18"/>
        </w:rPr>
      </w:pPr>
    </w:p>
    <w:p w14:paraId="23B4AAA0">
      <w:pPr>
        <w:spacing w:line="320" w:lineRule="exact"/>
        <w:rPr>
          <w:sz w:val="18"/>
          <w:szCs w:val="18"/>
        </w:rPr>
      </w:pPr>
      <w:r>
        <w:rPr>
          <w:sz w:val="18"/>
          <w:szCs w:val="18"/>
        </w:rPr>
        <w:t>说明：1.统计范围：辖区内除军队系统以外的全部能源生产和消费活动。</w:t>
      </w:r>
    </w:p>
    <w:p w14:paraId="789B617B">
      <w:pPr>
        <w:spacing w:line="320" w:lineRule="exact"/>
        <w:ind w:left="686" w:leftChars="258" w:right="-42" w:rightChars="-20" w:hanging="144" w:hangingChars="80"/>
        <w:rPr>
          <w:sz w:val="18"/>
          <w:szCs w:val="18"/>
        </w:rPr>
      </w:pPr>
      <w:r>
        <w:rPr>
          <w:sz w:val="18"/>
          <w:szCs w:val="18"/>
        </w:rPr>
        <w:t>2.本表由各省、自治区、直辖市统计局根据现有资料加工编制并负责报送。报送时间为次年5月31日前，报送方式为电子邮件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0E569846">
      <w:pPr>
        <w:spacing w:line="320" w:lineRule="exact"/>
        <w:ind w:right="-42" w:rightChars="-20" w:firstLine="540" w:firstLineChars="300"/>
        <w:rPr>
          <w:sz w:val="18"/>
          <w:szCs w:val="18"/>
        </w:rPr>
      </w:pPr>
      <w:r>
        <w:rPr>
          <w:sz w:val="18"/>
          <w:szCs w:val="18"/>
        </w:rPr>
        <w:t>3.平衡关系：</w:t>
      </w:r>
    </w:p>
    <w:p w14:paraId="75DEED16">
      <w:pPr>
        <w:spacing w:line="320" w:lineRule="exact"/>
        <w:ind w:right="-42" w:rightChars="-20" w:firstLine="684" w:firstLineChars="380"/>
        <w:rPr>
          <w:sz w:val="18"/>
          <w:szCs w:val="18"/>
        </w:rPr>
      </w:pPr>
      <w:r>
        <w:rPr>
          <w:sz w:val="18"/>
          <w:szCs w:val="18"/>
        </w:rPr>
        <w:t>列平衡关系：(1)煤合计(1)=2+7+8+9</w:t>
      </w:r>
    </w:p>
    <w:p w14:paraId="31423E43">
      <w:pPr>
        <w:spacing w:line="320" w:lineRule="exact"/>
        <w:ind w:right="-42" w:rightChars="-20" w:firstLine="1764" w:firstLineChars="980"/>
        <w:rPr>
          <w:sz w:val="18"/>
          <w:szCs w:val="18"/>
        </w:rPr>
      </w:pPr>
      <w:r>
        <w:rPr>
          <w:sz w:val="18"/>
          <w:szCs w:val="18"/>
        </w:rPr>
        <w:t>(2)原煤(2)=3+4+5+6</w:t>
      </w:r>
    </w:p>
    <w:p w14:paraId="5E4AAD39">
      <w:pPr>
        <w:spacing w:line="320" w:lineRule="exact"/>
        <w:ind w:right="-42" w:rightChars="-20" w:firstLine="1764" w:firstLineChars="980"/>
        <w:rPr>
          <w:sz w:val="18"/>
          <w:szCs w:val="18"/>
        </w:rPr>
      </w:pPr>
      <w:r>
        <w:rPr>
          <w:sz w:val="18"/>
          <w:szCs w:val="18"/>
        </w:rPr>
        <w:t>(3)</w:t>
      </w:r>
      <w:r>
        <w:rPr>
          <w:rFonts w:hint="eastAsia"/>
          <w:sz w:val="18"/>
          <w:szCs w:val="18"/>
        </w:rPr>
        <w:t>油品</w:t>
      </w:r>
      <w:r>
        <w:rPr>
          <w:sz w:val="18"/>
          <w:szCs w:val="18"/>
        </w:rPr>
        <w:t>合计(17)=18+19+……+31</w:t>
      </w:r>
    </w:p>
    <w:p w14:paraId="5821259D">
      <w:pPr>
        <w:spacing w:line="320" w:lineRule="exact"/>
        <w:ind w:left="672" w:leftChars="320"/>
        <w:rPr>
          <w:sz w:val="18"/>
          <w:szCs w:val="18"/>
        </w:rPr>
      </w:pPr>
      <w:r>
        <w:rPr>
          <w:sz w:val="18"/>
          <w:szCs w:val="18"/>
        </w:rPr>
        <w:t>行平衡关系：与行业分类目录平衡关系一致。</w:t>
      </w:r>
    </w:p>
    <w:p w14:paraId="3E243A79">
      <w:pPr>
        <w:spacing w:before="480" w:beforeLines="200" w:after="240" w:afterLines="100"/>
        <w:jc w:val="center"/>
        <w:outlineLvl w:val="2"/>
        <w:rPr>
          <w:sz w:val="32"/>
          <w:szCs w:val="32"/>
        </w:rPr>
      </w:pPr>
      <w:r>
        <w:rPr>
          <w:sz w:val="18"/>
          <w:szCs w:val="18"/>
        </w:rPr>
        <w:br w:type="page"/>
      </w:r>
      <w:r>
        <w:rPr>
          <w:sz w:val="32"/>
          <w:szCs w:val="32"/>
        </w:rPr>
        <w:t>能源平衡表</w:t>
      </w:r>
      <w:r>
        <w:rPr>
          <w:rFonts w:hint="eastAsia"/>
          <w:sz w:val="32"/>
          <w:szCs w:val="32"/>
        </w:rPr>
        <w:t>（</w:t>
      </w:r>
      <w:r>
        <w:rPr>
          <w:sz w:val="32"/>
          <w:szCs w:val="32"/>
        </w:rPr>
        <w:t>标准量</w:t>
      </w:r>
      <w:r>
        <w:rPr>
          <w:rFonts w:hint="eastAsia"/>
          <w:sz w:val="32"/>
          <w:szCs w:val="32"/>
        </w:rPr>
        <w:t>）</w:t>
      </w:r>
    </w:p>
    <w:tbl>
      <w:tblPr>
        <w:tblStyle w:val="20"/>
        <w:tblW w:w="9402" w:type="dxa"/>
        <w:jc w:val="center"/>
        <w:tblLayout w:type="autofit"/>
        <w:tblCellMar>
          <w:top w:w="0" w:type="dxa"/>
          <w:left w:w="0" w:type="dxa"/>
          <w:bottom w:w="0" w:type="dxa"/>
          <w:right w:w="0" w:type="dxa"/>
        </w:tblCellMar>
      </w:tblPr>
      <w:tblGrid>
        <w:gridCol w:w="3565"/>
        <w:gridCol w:w="630"/>
        <w:gridCol w:w="2396"/>
        <w:gridCol w:w="850"/>
        <w:gridCol w:w="1961"/>
      </w:tblGrid>
      <w:tr w14:paraId="22B505FB">
        <w:tblPrEx>
          <w:tblCellMar>
            <w:top w:w="0" w:type="dxa"/>
            <w:left w:w="0" w:type="dxa"/>
            <w:bottom w:w="0" w:type="dxa"/>
            <w:right w:w="0" w:type="dxa"/>
          </w:tblCellMar>
        </w:tblPrEx>
        <w:trPr>
          <w:jc w:val="center"/>
        </w:trPr>
        <w:tc>
          <w:tcPr>
            <w:tcW w:w="3565" w:type="dxa"/>
          </w:tcPr>
          <w:p w14:paraId="5CBBA878">
            <w:pPr>
              <w:spacing w:line="260" w:lineRule="exact"/>
              <w:rPr>
                <w:sz w:val="18"/>
                <w:szCs w:val="18"/>
              </w:rPr>
            </w:pPr>
          </w:p>
        </w:tc>
        <w:tc>
          <w:tcPr>
            <w:tcW w:w="630" w:type="dxa"/>
          </w:tcPr>
          <w:p w14:paraId="4F5503B2">
            <w:pPr>
              <w:spacing w:line="260" w:lineRule="exact"/>
              <w:rPr>
                <w:sz w:val="18"/>
                <w:szCs w:val="18"/>
              </w:rPr>
            </w:pPr>
          </w:p>
        </w:tc>
        <w:tc>
          <w:tcPr>
            <w:tcW w:w="2396" w:type="dxa"/>
          </w:tcPr>
          <w:p w14:paraId="392EC8EE">
            <w:pPr>
              <w:spacing w:line="260" w:lineRule="exact"/>
              <w:rPr>
                <w:sz w:val="18"/>
                <w:szCs w:val="18"/>
              </w:rPr>
            </w:pPr>
            <w:r>
              <w:rPr>
                <w:sz w:val="18"/>
                <w:szCs w:val="18"/>
              </w:rPr>
              <w:t>　　　　　　　　　　　　　</w:t>
            </w:r>
          </w:p>
        </w:tc>
        <w:tc>
          <w:tcPr>
            <w:tcW w:w="850" w:type="dxa"/>
            <w:tcMar>
              <w:left w:w="0" w:type="dxa"/>
              <w:right w:w="0" w:type="dxa"/>
            </w:tcMar>
          </w:tcPr>
          <w:p w14:paraId="6BBBBA73">
            <w:pPr>
              <w:spacing w:line="260" w:lineRule="exact"/>
              <w:rPr>
                <w:sz w:val="18"/>
                <w:szCs w:val="18"/>
              </w:rPr>
            </w:pPr>
            <w:r>
              <w:rPr>
                <w:sz w:val="18"/>
                <w:szCs w:val="18"/>
              </w:rPr>
              <w:t>表    号：</w:t>
            </w:r>
          </w:p>
        </w:tc>
        <w:tc>
          <w:tcPr>
            <w:tcW w:w="1961" w:type="dxa"/>
            <w:vAlign w:val="center"/>
          </w:tcPr>
          <w:p w14:paraId="6CFEDC63">
            <w:pPr>
              <w:spacing w:line="260" w:lineRule="exact"/>
              <w:jc w:val="distribute"/>
              <w:rPr>
                <w:sz w:val="18"/>
                <w:szCs w:val="18"/>
              </w:rPr>
            </w:pPr>
            <w:r>
              <w:rPr>
                <w:sz w:val="18"/>
                <w:szCs w:val="18"/>
              </w:rPr>
              <w:t>Ｐ３０３－４表</w:t>
            </w:r>
          </w:p>
        </w:tc>
      </w:tr>
      <w:tr w14:paraId="722A12CB">
        <w:tblPrEx>
          <w:tblCellMar>
            <w:top w:w="0" w:type="dxa"/>
            <w:left w:w="0" w:type="dxa"/>
            <w:bottom w:w="0" w:type="dxa"/>
            <w:right w:w="0" w:type="dxa"/>
          </w:tblCellMar>
        </w:tblPrEx>
        <w:trPr>
          <w:jc w:val="center"/>
        </w:trPr>
        <w:tc>
          <w:tcPr>
            <w:tcW w:w="3565" w:type="dxa"/>
          </w:tcPr>
          <w:p w14:paraId="5B923AB7">
            <w:pPr>
              <w:spacing w:line="260" w:lineRule="exact"/>
              <w:rPr>
                <w:sz w:val="18"/>
                <w:szCs w:val="18"/>
              </w:rPr>
            </w:pPr>
          </w:p>
        </w:tc>
        <w:tc>
          <w:tcPr>
            <w:tcW w:w="630" w:type="dxa"/>
          </w:tcPr>
          <w:p w14:paraId="14DB4F8C">
            <w:pPr>
              <w:spacing w:line="260" w:lineRule="exact"/>
              <w:rPr>
                <w:sz w:val="18"/>
                <w:szCs w:val="18"/>
              </w:rPr>
            </w:pPr>
          </w:p>
        </w:tc>
        <w:tc>
          <w:tcPr>
            <w:tcW w:w="2396" w:type="dxa"/>
          </w:tcPr>
          <w:p w14:paraId="57F1BA2A">
            <w:pPr>
              <w:spacing w:line="260" w:lineRule="exact"/>
              <w:rPr>
                <w:sz w:val="18"/>
                <w:szCs w:val="18"/>
              </w:rPr>
            </w:pPr>
          </w:p>
        </w:tc>
        <w:tc>
          <w:tcPr>
            <w:tcW w:w="850" w:type="dxa"/>
            <w:tcMar>
              <w:left w:w="0" w:type="dxa"/>
              <w:right w:w="0" w:type="dxa"/>
            </w:tcMar>
            <w:vAlign w:val="center"/>
          </w:tcPr>
          <w:p w14:paraId="014F1BB9">
            <w:pPr>
              <w:spacing w:line="260" w:lineRule="exact"/>
              <w:rPr>
                <w:sz w:val="18"/>
                <w:szCs w:val="18"/>
              </w:rPr>
            </w:pPr>
            <w:r>
              <w:rPr>
                <w:sz w:val="18"/>
                <w:szCs w:val="18"/>
              </w:rPr>
              <w:t>制定机关：</w:t>
            </w:r>
          </w:p>
        </w:tc>
        <w:tc>
          <w:tcPr>
            <w:tcW w:w="1961" w:type="dxa"/>
            <w:vAlign w:val="center"/>
          </w:tcPr>
          <w:p w14:paraId="74F2C224">
            <w:pPr>
              <w:spacing w:line="260" w:lineRule="exact"/>
              <w:jc w:val="distribute"/>
              <w:rPr>
                <w:sz w:val="18"/>
                <w:szCs w:val="18"/>
              </w:rPr>
            </w:pPr>
            <w:r>
              <w:rPr>
                <w:sz w:val="18"/>
                <w:szCs w:val="18"/>
              </w:rPr>
              <w:t>国 家 统 计 局</w:t>
            </w:r>
          </w:p>
        </w:tc>
      </w:tr>
      <w:tr w14:paraId="5E976EE6">
        <w:tblPrEx>
          <w:tblCellMar>
            <w:top w:w="0" w:type="dxa"/>
            <w:left w:w="0" w:type="dxa"/>
            <w:bottom w:w="0" w:type="dxa"/>
            <w:right w:w="0" w:type="dxa"/>
          </w:tblCellMar>
        </w:tblPrEx>
        <w:trPr>
          <w:jc w:val="center"/>
        </w:trPr>
        <w:tc>
          <w:tcPr>
            <w:tcW w:w="3565" w:type="dxa"/>
          </w:tcPr>
          <w:p w14:paraId="41701164">
            <w:pPr>
              <w:spacing w:line="260" w:lineRule="exact"/>
              <w:rPr>
                <w:sz w:val="18"/>
                <w:szCs w:val="18"/>
              </w:rPr>
            </w:pPr>
          </w:p>
        </w:tc>
        <w:tc>
          <w:tcPr>
            <w:tcW w:w="630" w:type="dxa"/>
          </w:tcPr>
          <w:p w14:paraId="07318526">
            <w:pPr>
              <w:spacing w:line="260" w:lineRule="exact"/>
              <w:rPr>
                <w:sz w:val="18"/>
                <w:szCs w:val="18"/>
              </w:rPr>
            </w:pPr>
          </w:p>
        </w:tc>
        <w:tc>
          <w:tcPr>
            <w:tcW w:w="2396" w:type="dxa"/>
          </w:tcPr>
          <w:p w14:paraId="41BBEA9F">
            <w:pPr>
              <w:spacing w:line="260" w:lineRule="exact"/>
              <w:rPr>
                <w:sz w:val="18"/>
                <w:szCs w:val="18"/>
              </w:rPr>
            </w:pPr>
          </w:p>
        </w:tc>
        <w:tc>
          <w:tcPr>
            <w:tcW w:w="850" w:type="dxa"/>
            <w:tcMar>
              <w:left w:w="0" w:type="dxa"/>
              <w:right w:w="0" w:type="dxa"/>
            </w:tcMar>
            <w:vAlign w:val="center"/>
          </w:tcPr>
          <w:p w14:paraId="1FAB9BB2">
            <w:pPr>
              <w:spacing w:line="260" w:lineRule="exact"/>
              <w:rPr>
                <w:sz w:val="18"/>
                <w:szCs w:val="18"/>
              </w:rPr>
            </w:pPr>
            <w:r>
              <w:rPr>
                <w:sz w:val="18"/>
                <w:szCs w:val="18"/>
              </w:rPr>
              <w:t>文    号：</w:t>
            </w:r>
          </w:p>
        </w:tc>
        <w:tc>
          <w:tcPr>
            <w:tcW w:w="1961" w:type="dxa"/>
            <w:vAlign w:val="center"/>
          </w:tcPr>
          <w:p w14:paraId="19376981">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47" w:author="kylin" w:date="2025-10-17T16:20:50Z">
              <w:r>
                <w:rPr>
                  <w:rFonts w:hint="default" w:ascii="宋体" w:hAnsi="宋体"/>
                  <w:spacing w:val="-16"/>
                  <w:sz w:val="18"/>
                  <w:szCs w:val="18"/>
                  <w:lang w:val="en-US" w:eastAsia="zh-CN"/>
                </w:rPr>
                <w:delText>４</w:delText>
              </w:r>
            </w:del>
            <w:ins w:id="348" w:author="kylin" w:date="2025-10-17T16:20:50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49" w:author="kylin" w:date="2025-10-17T16:20:52Z">
              <w:r>
                <w:rPr>
                  <w:rFonts w:hint="default" w:ascii="宋体" w:hAnsi="宋体"/>
                  <w:spacing w:val="-16"/>
                  <w:sz w:val="18"/>
                  <w:szCs w:val="18"/>
                  <w:lang w:val="en-US" w:eastAsia="zh-CN"/>
                </w:rPr>
                <w:delText>77</w:delText>
              </w:r>
            </w:del>
            <w:ins w:id="350" w:author="kylin" w:date="2025-10-17T16:20:52Z">
              <w:r>
                <w:rPr>
                  <w:rFonts w:hint="eastAsia" w:ascii="宋体" w:hAnsi="宋体"/>
                  <w:spacing w:val="-16"/>
                  <w:sz w:val="18"/>
                  <w:szCs w:val="18"/>
                  <w:lang w:val="en-US" w:eastAsia="zh-CN"/>
                </w:rPr>
                <w:t>8</w:t>
              </w:r>
            </w:ins>
            <w:ins w:id="351" w:author="kylin" w:date="2025-10-17T16:20:53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4E2236AE">
        <w:tblPrEx>
          <w:tblCellMar>
            <w:top w:w="0" w:type="dxa"/>
            <w:left w:w="0" w:type="dxa"/>
            <w:bottom w:w="0" w:type="dxa"/>
            <w:right w:w="0" w:type="dxa"/>
          </w:tblCellMar>
        </w:tblPrEx>
        <w:trPr>
          <w:trHeight w:val="198" w:hRule="atLeast"/>
          <w:jc w:val="center"/>
        </w:trPr>
        <w:tc>
          <w:tcPr>
            <w:tcW w:w="3565" w:type="dxa"/>
          </w:tcPr>
          <w:p w14:paraId="725A53E1">
            <w:pPr>
              <w:spacing w:line="260" w:lineRule="exact"/>
              <w:rPr>
                <w:sz w:val="18"/>
                <w:szCs w:val="18"/>
              </w:rPr>
            </w:pPr>
          </w:p>
        </w:tc>
        <w:tc>
          <w:tcPr>
            <w:tcW w:w="630" w:type="dxa"/>
          </w:tcPr>
          <w:p w14:paraId="3D9A7A9D">
            <w:pPr>
              <w:spacing w:line="260" w:lineRule="exact"/>
              <w:rPr>
                <w:sz w:val="18"/>
                <w:szCs w:val="18"/>
              </w:rPr>
            </w:pPr>
          </w:p>
        </w:tc>
        <w:tc>
          <w:tcPr>
            <w:tcW w:w="2396" w:type="dxa"/>
          </w:tcPr>
          <w:p w14:paraId="4F94620B">
            <w:pPr>
              <w:spacing w:line="260" w:lineRule="exact"/>
              <w:rPr>
                <w:sz w:val="18"/>
                <w:szCs w:val="18"/>
              </w:rPr>
            </w:pPr>
          </w:p>
        </w:tc>
        <w:tc>
          <w:tcPr>
            <w:tcW w:w="850" w:type="dxa"/>
            <w:tcMar>
              <w:left w:w="0" w:type="dxa"/>
              <w:right w:w="0" w:type="dxa"/>
            </w:tcMar>
            <w:vAlign w:val="center"/>
          </w:tcPr>
          <w:p w14:paraId="22ED7F91">
            <w:pPr>
              <w:spacing w:line="260" w:lineRule="exact"/>
              <w:rPr>
                <w:sz w:val="18"/>
                <w:szCs w:val="18"/>
              </w:rPr>
            </w:pPr>
            <w:r>
              <w:rPr>
                <w:sz w:val="18"/>
                <w:szCs w:val="18"/>
              </w:rPr>
              <w:t>有效期至：</w:t>
            </w:r>
          </w:p>
        </w:tc>
        <w:tc>
          <w:tcPr>
            <w:tcW w:w="1961" w:type="dxa"/>
            <w:vAlign w:val="center"/>
          </w:tcPr>
          <w:p w14:paraId="67117119">
            <w:pPr>
              <w:spacing w:line="260" w:lineRule="exact"/>
              <w:jc w:val="distribute"/>
              <w:rPr>
                <w:rFonts w:hint="default"/>
                <w:sz w:val="18"/>
                <w:szCs w:val="18"/>
                <w:lang w:val="en"/>
              </w:rPr>
            </w:pPr>
            <w:r>
              <w:rPr>
                <w:sz w:val="18"/>
                <w:szCs w:val="18"/>
                <w:lang w:val="en"/>
              </w:rPr>
              <w:t>２０２</w:t>
            </w:r>
            <w:del w:id="352" w:author="kylin" w:date="2025-10-17T16:20:57Z">
              <w:r>
                <w:rPr>
                  <w:rFonts w:hint="default"/>
                  <w:kern w:val="0"/>
                  <w:sz w:val="18"/>
                  <w:szCs w:val="18"/>
                  <w:lang w:val="en-US"/>
                </w:rPr>
                <w:delText>５</w:delText>
              </w:r>
            </w:del>
            <w:ins w:id="353" w:author="kylin" w:date="2025-10-17T16:20:57Z">
              <w:r>
                <w:rPr>
                  <w:rFonts w:hint="eastAsia"/>
                  <w:kern w:val="0"/>
                  <w:sz w:val="18"/>
                  <w:szCs w:val="18"/>
                  <w:lang w:val="en-US" w:eastAsia="zh-CN"/>
                </w:rPr>
                <w:t>6</w:t>
              </w:r>
            </w:ins>
            <w:r>
              <w:rPr>
                <w:sz w:val="18"/>
                <w:szCs w:val="18"/>
                <w:lang w:val="en"/>
              </w:rPr>
              <w:t>年６月</w:t>
            </w:r>
          </w:p>
        </w:tc>
      </w:tr>
      <w:tr w14:paraId="52F604B5">
        <w:tblPrEx>
          <w:tblCellMar>
            <w:top w:w="0" w:type="dxa"/>
            <w:left w:w="0" w:type="dxa"/>
            <w:bottom w:w="0" w:type="dxa"/>
            <w:right w:w="0" w:type="dxa"/>
          </w:tblCellMar>
        </w:tblPrEx>
        <w:trPr>
          <w:jc w:val="center"/>
        </w:trPr>
        <w:tc>
          <w:tcPr>
            <w:tcW w:w="3565" w:type="dxa"/>
          </w:tcPr>
          <w:p w14:paraId="263B79B9">
            <w:pPr>
              <w:spacing w:line="260" w:lineRule="exact"/>
              <w:jc w:val="left"/>
              <w:rPr>
                <w:sz w:val="18"/>
              </w:rPr>
            </w:pPr>
            <w:r>
              <w:rPr>
                <w:sz w:val="18"/>
              </w:rPr>
              <w:t>综合机关名称：</w:t>
            </w:r>
          </w:p>
        </w:tc>
        <w:tc>
          <w:tcPr>
            <w:tcW w:w="630" w:type="dxa"/>
          </w:tcPr>
          <w:p w14:paraId="5A2DF1A8">
            <w:pPr>
              <w:spacing w:line="260" w:lineRule="exact"/>
              <w:jc w:val="left"/>
              <w:rPr>
                <w:sz w:val="18"/>
                <w:szCs w:val="18"/>
              </w:rPr>
            </w:pPr>
          </w:p>
        </w:tc>
        <w:tc>
          <w:tcPr>
            <w:tcW w:w="2396" w:type="dxa"/>
          </w:tcPr>
          <w:p w14:paraId="4206FC45">
            <w:pPr>
              <w:spacing w:line="260" w:lineRule="exact"/>
              <w:rPr>
                <w:sz w:val="18"/>
                <w:szCs w:val="18"/>
              </w:rPr>
            </w:pPr>
            <w:r>
              <w:rPr>
                <w:sz w:val="18"/>
                <w:szCs w:val="18"/>
              </w:rPr>
              <w:t>２０　　年　　　　　　　　　</w:t>
            </w:r>
          </w:p>
        </w:tc>
        <w:tc>
          <w:tcPr>
            <w:tcW w:w="850" w:type="dxa"/>
            <w:tcMar>
              <w:left w:w="0" w:type="dxa"/>
              <w:right w:w="0" w:type="dxa"/>
            </w:tcMar>
            <w:vAlign w:val="center"/>
          </w:tcPr>
          <w:p w14:paraId="52B27D57">
            <w:pPr>
              <w:spacing w:line="260" w:lineRule="exact"/>
              <w:rPr>
                <w:sz w:val="18"/>
                <w:szCs w:val="18"/>
              </w:rPr>
            </w:pPr>
            <w:r>
              <w:rPr>
                <w:sz w:val="18"/>
                <w:szCs w:val="18"/>
              </w:rPr>
              <w:t>计量单位：</w:t>
            </w:r>
          </w:p>
        </w:tc>
        <w:tc>
          <w:tcPr>
            <w:tcW w:w="1961" w:type="dxa"/>
            <w:vAlign w:val="center"/>
          </w:tcPr>
          <w:p w14:paraId="145B6AA4">
            <w:pPr>
              <w:spacing w:line="260" w:lineRule="exact"/>
              <w:jc w:val="distribute"/>
              <w:rPr>
                <w:sz w:val="18"/>
                <w:szCs w:val="18"/>
              </w:rPr>
            </w:pPr>
            <w:r>
              <w:rPr>
                <w:sz w:val="18"/>
                <w:szCs w:val="18"/>
              </w:rPr>
              <w:t>万吨标准煤</w:t>
            </w:r>
          </w:p>
        </w:tc>
      </w:tr>
    </w:tbl>
    <w:p w14:paraId="101A2AA9">
      <w:pPr>
        <w:spacing w:line="20" w:lineRule="exact"/>
        <w:ind w:right="-42" w:rightChars="-20"/>
        <w:rPr>
          <w:rFonts w:eastAsia="仿宋_GB2312"/>
          <w:sz w:val="28"/>
          <w:szCs w:val="28"/>
        </w:rPr>
      </w:pPr>
    </w:p>
    <w:tbl>
      <w:tblPr>
        <w:tblStyle w:val="20"/>
        <w:tblW w:w="9407" w:type="dxa"/>
        <w:jc w:val="center"/>
        <w:tblLayout w:type="fixed"/>
        <w:tblCellMar>
          <w:top w:w="0" w:type="dxa"/>
          <w:left w:w="108" w:type="dxa"/>
          <w:bottom w:w="0" w:type="dxa"/>
          <w:right w:w="108" w:type="dxa"/>
        </w:tblCellMar>
      </w:tblPr>
      <w:tblGrid>
        <w:gridCol w:w="2203"/>
        <w:gridCol w:w="665"/>
        <w:gridCol w:w="665"/>
        <w:gridCol w:w="665"/>
        <w:gridCol w:w="840"/>
        <w:gridCol w:w="900"/>
        <w:gridCol w:w="900"/>
        <w:gridCol w:w="720"/>
        <w:gridCol w:w="615"/>
        <w:gridCol w:w="616"/>
        <w:gridCol w:w="618"/>
      </w:tblGrid>
      <w:tr w14:paraId="7D9657C1">
        <w:tblPrEx>
          <w:tblCellMar>
            <w:top w:w="0" w:type="dxa"/>
            <w:left w:w="108" w:type="dxa"/>
            <w:bottom w:w="0" w:type="dxa"/>
            <w:right w:w="108" w:type="dxa"/>
          </w:tblCellMar>
        </w:tblPrEx>
        <w:trPr>
          <w:trHeight w:val="189" w:hRule="atLeast"/>
          <w:jc w:val="center"/>
        </w:trPr>
        <w:tc>
          <w:tcPr>
            <w:tcW w:w="2205" w:type="dxa"/>
            <w:vMerge w:val="restart"/>
            <w:tcBorders>
              <w:top w:val="single" w:color="auto" w:sz="8" w:space="0"/>
              <w:bottom w:val="single" w:color="auto" w:sz="2" w:space="0"/>
              <w:right w:val="single" w:color="auto" w:sz="2" w:space="0"/>
            </w:tcBorders>
            <w:shd w:val="clear" w:color="auto" w:fill="auto"/>
            <w:noWrap/>
            <w:vAlign w:val="center"/>
          </w:tcPr>
          <w:p w14:paraId="52150672">
            <w:pPr>
              <w:widowControl/>
              <w:ind w:left="-105" w:leftChars="-50" w:right="-105" w:rightChars="-50"/>
              <w:jc w:val="center"/>
              <w:rPr>
                <w:kern w:val="0"/>
                <w:sz w:val="18"/>
                <w:szCs w:val="18"/>
              </w:rPr>
            </w:pPr>
            <w:r>
              <w:rPr>
                <w:kern w:val="0"/>
                <w:sz w:val="18"/>
                <w:szCs w:val="18"/>
              </w:rPr>
              <w:t>指标名称</w:t>
            </w:r>
          </w:p>
        </w:tc>
        <w:tc>
          <w:tcPr>
            <w:tcW w:w="665" w:type="dxa"/>
            <w:vMerge w:val="restart"/>
            <w:tcBorders>
              <w:top w:val="single" w:color="auto" w:sz="8" w:space="0"/>
              <w:left w:val="single" w:color="auto" w:sz="2" w:space="0"/>
              <w:bottom w:val="single" w:color="auto" w:sz="2" w:space="0"/>
              <w:right w:val="single" w:color="auto" w:sz="2" w:space="0"/>
            </w:tcBorders>
            <w:shd w:val="clear" w:color="auto" w:fill="auto"/>
            <w:noWrap/>
            <w:vAlign w:val="center"/>
          </w:tcPr>
          <w:p w14:paraId="788838A6">
            <w:pPr>
              <w:widowControl/>
              <w:ind w:left="-105" w:leftChars="-50" w:right="-105" w:rightChars="-50"/>
              <w:jc w:val="center"/>
              <w:rPr>
                <w:bCs/>
                <w:kern w:val="0"/>
                <w:sz w:val="18"/>
                <w:szCs w:val="18"/>
              </w:rPr>
            </w:pPr>
            <w:r>
              <w:rPr>
                <w:bCs/>
                <w:kern w:val="0"/>
                <w:sz w:val="18"/>
                <w:szCs w:val="18"/>
              </w:rPr>
              <w:t>代码</w:t>
            </w:r>
          </w:p>
        </w:tc>
        <w:tc>
          <w:tcPr>
            <w:tcW w:w="665" w:type="dxa"/>
            <w:vMerge w:val="restart"/>
            <w:tcBorders>
              <w:top w:val="single" w:color="auto" w:sz="8" w:space="0"/>
              <w:left w:val="single" w:color="auto" w:sz="2" w:space="0"/>
              <w:bottom w:val="single" w:color="auto" w:sz="2" w:space="0"/>
              <w:right w:val="single" w:color="auto" w:sz="2" w:space="0"/>
            </w:tcBorders>
            <w:shd w:val="clear" w:color="auto" w:fill="auto"/>
            <w:noWrap/>
            <w:vAlign w:val="center"/>
          </w:tcPr>
          <w:p w14:paraId="65D05F0A">
            <w:pPr>
              <w:widowControl/>
              <w:ind w:left="-105" w:leftChars="-50" w:right="-105" w:rightChars="-50"/>
              <w:jc w:val="center"/>
              <w:rPr>
                <w:bCs/>
                <w:kern w:val="0"/>
                <w:sz w:val="18"/>
                <w:szCs w:val="18"/>
              </w:rPr>
            </w:pPr>
            <w:r>
              <w:rPr>
                <w:bCs/>
                <w:kern w:val="0"/>
                <w:sz w:val="18"/>
                <w:szCs w:val="18"/>
              </w:rPr>
              <w:t>煤合计</w:t>
            </w:r>
          </w:p>
        </w:tc>
        <w:tc>
          <w:tcPr>
            <w:tcW w:w="665" w:type="dxa"/>
            <w:vMerge w:val="restart"/>
            <w:tcBorders>
              <w:top w:val="single" w:color="auto" w:sz="8" w:space="0"/>
              <w:left w:val="single" w:color="auto" w:sz="2" w:space="0"/>
              <w:bottom w:val="single" w:color="auto" w:sz="2" w:space="0"/>
            </w:tcBorders>
            <w:shd w:val="clear" w:color="auto" w:fill="auto"/>
            <w:vAlign w:val="center"/>
          </w:tcPr>
          <w:p w14:paraId="5615CCD4">
            <w:pPr>
              <w:widowControl/>
              <w:ind w:left="-105" w:leftChars="-50" w:right="-105" w:rightChars="-50"/>
              <w:jc w:val="center"/>
              <w:rPr>
                <w:bCs/>
                <w:kern w:val="0"/>
                <w:sz w:val="18"/>
                <w:szCs w:val="18"/>
              </w:rPr>
            </w:pPr>
            <w:r>
              <w:rPr>
                <w:bCs/>
                <w:kern w:val="0"/>
                <w:sz w:val="18"/>
                <w:szCs w:val="18"/>
              </w:rPr>
              <w:t>原 煤</w:t>
            </w:r>
          </w:p>
        </w:tc>
        <w:tc>
          <w:tcPr>
            <w:tcW w:w="3360" w:type="dxa"/>
            <w:gridSpan w:val="4"/>
            <w:tcBorders>
              <w:top w:val="single" w:color="auto" w:sz="8" w:space="0"/>
              <w:bottom w:val="single" w:color="auto" w:sz="2" w:space="0"/>
              <w:right w:val="single" w:color="auto" w:sz="2" w:space="0"/>
            </w:tcBorders>
            <w:shd w:val="clear" w:color="auto" w:fill="auto"/>
            <w:vAlign w:val="center"/>
          </w:tcPr>
          <w:p w14:paraId="2AF4AEC7">
            <w:pPr>
              <w:widowControl/>
              <w:ind w:left="-105" w:leftChars="-50" w:right="-105" w:rightChars="-50"/>
              <w:jc w:val="center"/>
              <w:rPr>
                <w:bCs/>
                <w:kern w:val="0"/>
                <w:sz w:val="18"/>
                <w:szCs w:val="18"/>
              </w:rPr>
            </w:pPr>
            <w:r>
              <w:rPr>
                <w:bCs/>
                <w:kern w:val="0"/>
                <w:sz w:val="18"/>
                <w:szCs w:val="18"/>
              </w:rPr>
              <w:t>　</w:t>
            </w:r>
          </w:p>
        </w:tc>
        <w:tc>
          <w:tcPr>
            <w:tcW w:w="615"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1C5AA5A5">
            <w:pPr>
              <w:widowControl/>
              <w:ind w:left="-105" w:leftChars="-50" w:right="-105" w:rightChars="-50"/>
              <w:jc w:val="center"/>
              <w:rPr>
                <w:bCs/>
                <w:kern w:val="0"/>
                <w:sz w:val="18"/>
                <w:szCs w:val="18"/>
              </w:rPr>
            </w:pPr>
            <w:r>
              <w:rPr>
                <w:bCs/>
                <w:kern w:val="0"/>
                <w:sz w:val="18"/>
                <w:szCs w:val="18"/>
              </w:rPr>
              <w:t xml:space="preserve">洗精煤 </w:t>
            </w:r>
          </w:p>
        </w:tc>
        <w:tc>
          <w:tcPr>
            <w:tcW w:w="616"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0C58F850">
            <w:pPr>
              <w:widowControl/>
              <w:ind w:left="-105" w:leftChars="-50" w:right="-105" w:rightChars="-50"/>
              <w:jc w:val="center"/>
              <w:rPr>
                <w:bCs/>
                <w:kern w:val="0"/>
                <w:sz w:val="18"/>
                <w:szCs w:val="18"/>
              </w:rPr>
            </w:pPr>
            <w:r>
              <w:rPr>
                <w:bCs/>
                <w:kern w:val="0"/>
                <w:sz w:val="18"/>
                <w:szCs w:val="18"/>
              </w:rPr>
              <w:t>其 他　　　　洗 煤</w:t>
            </w:r>
          </w:p>
        </w:tc>
        <w:tc>
          <w:tcPr>
            <w:tcW w:w="616" w:type="dxa"/>
            <w:vMerge w:val="restart"/>
            <w:tcBorders>
              <w:top w:val="single" w:color="auto" w:sz="8" w:space="0"/>
              <w:left w:val="single" w:color="auto" w:sz="2" w:space="0"/>
              <w:bottom w:val="single" w:color="auto" w:sz="2" w:space="0"/>
            </w:tcBorders>
            <w:shd w:val="clear" w:color="auto" w:fill="auto"/>
            <w:vAlign w:val="center"/>
          </w:tcPr>
          <w:p w14:paraId="1A21C9B7">
            <w:pPr>
              <w:widowControl/>
              <w:ind w:left="-105" w:leftChars="-50" w:right="-105" w:rightChars="-50"/>
              <w:jc w:val="center"/>
              <w:rPr>
                <w:bCs/>
                <w:kern w:val="0"/>
                <w:sz w:val="18"/>
                <w:szCs w:val="18"/>
              </w:rPr>
            </w:pPr>
            <w:r>
              <w:rPr>
                <w:bCs/>
                <w:kern w:val="0"/>
                <w:sz w:val="18"/>
                <w:szCs w:val="18"/>
              </w:rPr>
              <w:t>煤制品</w:t>
            </w:r>
          </w:p>
        </w:tc>
      </w:tr>
      <w:tr w14:paraId="4259DB2D">
        <w:tblPrEx>
          <w:tblCellMar>
            <w:top w:w="0" w:type="dxa"/>
            <w:left w:w="108" w:type="dxa"/>
            <w:bottom w:w="0" w:type="dxa"/>
            <w:right w:w="108" w:type="dxa"/>
          </w:tblCellMar>
        </w:tblPrEx>
        <w:trPr>
          <w:trHeight w:val="324" w:hRule="atLeast"/>
          <w:jc w:val="center"/>
        </w:trPr>
        <w:tc>
          <w:tcPr>
            <w:tcW w:w="2205" w:type="dxa"/>
            <w:vMerge w:val="continue"/>
            <w:tcBorders>
              <w:top w:val="single" w:color="auto" w:sz="2" w:space="0"/>
              <w:bottom w:val="single" w:color="auto" w:sz="2" w:space="0"/>
              <w:right w:val="single" w:color="auto" w:sz="2" w:space="0"/>
            </w:tcBorders>
            <w:vAlign w:val="center"/>
          </w:tcPr>
          <w:p w14:paraId="4FCBA4BD">
            <w:pPr>
              <w:widowControl/>
              <w:ind w:left="-105" w:leftChars="-50" w:right="-105" w:rightChars="-50"/>
              <w:jc w:val="left"/>
              <w:rPr>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14:paraId="34662153">
            <w:pPr>
              <w:widowControl/>
              <w:ind w:left="-105" w:leftChars="-50" w:right="-105" w:rightChars="-50"/>
              <w:jc w:val="left"/>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390BA74F">
            <w:pPr>
              <w:widowControl/>
              <w:ind w:left="-105" w:leftChars="-50" w:right="-105" w:rightChars="-50"/>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14:paraId="75BDB5BF">
            <w:pPr>
              <w:widowControl/>
              <w:ind w:left="-105" w:leftChars="-50" w:right="-105" w:rightChars="-50"/>
              <w:jc w:val="left"/>
              <w:rPr>
                <w:bCs/>
                <w:kern w:val="0"/>
                <w:sz w:val="18"/>
                <w:szCs w:val="18"/>
              </w:rPr>
            </w:pPr>
          </w:p>
        </w:tc>
        <w:tc>
          <w:tcPr>
            <w:tcW w:w="840" w:type="dxa"/>
            <w:vMerge w:val="restart"/>
            <w:tcBorders>
              <w:top w:val="single" w:color="auto" w:sz="2" w:space="0"/>
              <w:left w:val="single" w:color="auto" w:sz="2" w:space="0"/>
              <w:bottom w:val="single" w:color="auto" w:sz="2" w:space="0"/>
              <w:right w:val="single" w:color="auto" w:sz="2" w:space="0"/>
            </w:tcBorders>
            <w:shd w:val="clear" w:color="auto" w:fill="auto"/>
            <w:noWrap/>
            <w:vAlign w:val="center"/>
          </w:tcPr>
          <w:p w14:paraId="39EC1BF0">
            <w:pPr>
              <w:widowControl/>
              <w:ind w:left="-105" w:leftChars="-50" w:right="-105" w:rightChars="-50"/>
              <w:jc w:val="center"/>
              <w:rPr>
                <w:bCs/>
                <w:kern w:val="0"/>
                <w:sz w:val="18"/>
                <w:szCs w:val="18"/>
              </w:rPr>
            </w:pPr>
            <w:r>
              <w:rPr>
                <w:bCs/>
                <w:kern w:val="0"/>
                <w:sz w:val="18"/>
                <w:szCs w:val="18"/>
              </w:rPr>
              <w:t>无烟煤</w:t>
            </w:r>
          </w:p>
        </w:tc>
        <w:tc>
          <w:tcPr>
            <w:tcW w:w="1800" w:type="dxa"/>
            <w:gridSpan w:val="2"/>
            <w:tcBorders>
              <w:top w:val="single" w:color="auto" w:sz="2" w:space="0"/>
              <w:left w:val="single" w:color="auto" w:sz="2" w:space="0"/>
              <w:bottom w:val="single" w:color="auto" w:sz="2" w:space="0"/>
              <w:right w:val="single" w:color="auto" w:sz="2" w:space="0"/>
            </w:tcBorders>
            <w:shd w:val="clear" w:color="auto" w:fill="auto"/>
            <w:noWrap/>
            <w:vAlign w:val="center"/>
          </w:tcPr>
          <w:p w14:paraId="75052E8C">
            <w:pPr>
              <w:widowControl/>
              <w:ind w:left="-105" w:leftChars="-50" w:right="-105" w:rightChars="-50"/>
              <w:jc w:val="center"/>
              <w:rPr>
                <w:bCs/>
                <w:kern w:val="0"/>
                <w:sz w:val="18"/>
                <w:szCs w:val="18"/>
              </w:rPr>
            </w:pPr>
            <w:r>
              <w:rPr>
                <w:bCs/>
                <w:kern w:val="0"/>
                <w:sz w:val="18"/>
                <w:szCs w:val="18"/>
              </w:rPr>
              <w:t>烟  煤</w:t>
            </w:r>
          </w:p>
        </w:tc>
        <w:tc>
          <w:tcPr>
            <w:tcW w:w="720" w:type="dxa"/>
            <w:vMerge w:val="restart"/>
            <w:tcBorders>
              <w:top w:val="single" w:color="auto" w:sz="2" w:space="0"/>
              <w:left w:val="single" w:color="auto" w:sz="2" w:space="0"/>
              <w:bottom w:val="single" w:color="auto" w:sz="2" w:space="0"/>
              <w:right w:val="single" w:color="auto" w:sz="2" w:space="0"/>
            </w:tcBorders>
            <w:shd w:val="clear" w:color="auto" w:fill="auto"/>
            <w:noWrap/>
            <w:vAlign w:val="center"/>
          </w:tcPr>
          <w:p w14:paraId="7AAF9ABE">
            <w:pPr>
              <w:widowControl/>
              <w:ind w:left="-107" w:leftChars="-51" w:right="-105" w:rightChars="-50" w:firstLine="1" w:firstLineChars="1"/>
              <w:jc w:val="center"/>
              <w:rPr>
                <w:bCs/>
                <w:kern w:val="0"/>
                <w:sz w:val="18"/>
                <w:szCs w:val="18"/>
              </w:rPr>
            </w:pPr>
            <w:r>
              <w:rPr>
                <w:bCs/>
                <w:kern w:val="0"/>
                <w:sz w:val="18"/>
                <w:szCs w:val="18"/>
              </w:rPr>
              <w:t>褐 煤</w:t>
            </w:r>
          </w:p>
        </w:tc>
        <w:tc>
          <w:tcPr>
            <w:tcW w:w="615" w:type="dxa"/>
            <w:vMerge w:val="continue"/>
            <w:tcBorders>
              <w:top w:val="single" w:color="auto" w:sz="2" w:space="0"/>
              <w:left w:val="single" w:color="auto" w:sz="2" w:space="0"/>
              <w:bottom w:val="single" w:color="auto" w:sz="2" w:space="0"/>
              <w:right w:val="single" w:color="auto" w:sz="2" w:space="0"/>
            </w:tcBorders>
            <w:vAlign w:val="center"/>
          </w:tcPr>
          <w:p w14:paraId="7CA0DB13">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right w:val="single" w:color="auto" w:sz="2" w:space="0"/>
            </w:tcBorders>
            <w:vAlign w:val="center"/>
          </w:tcPr>
          <w:p w14:paraId="3FA7FC93">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tcBorders>
            <w:vAlign w:val="center"/>
          </w:tcPr>
          <w:p w14:paraId="03CFC289">
            <w:pPr>
              <w:widowControl/>
              <w:ind w:left="-105" w:leftChars="-50" w:right="-105" w:rightChars="-50"/>
              <w:jc w:val="left"/>
              <w:rPr>
                <w:bCs/>
                <w:kern w:val="0"/>
                <w:sz w:val="18"/>
                <w:szCs w:val="18"/>
              </w:rPr>
            </w:pPr>
          </w:p>
        </w:tc>
      </w:tr>
      <w:tr w14:paraId="695D309D">
        <w:tblPrEx>
          <w:tblCellMar>
            <w:top w:w="0" w:type="dxa"/>
            <w:left w:w="108" w:type="dxa"/>
            <w:bottom w:w="0" w:type="dxa"/>
            <w:right w:w="108" w:type="dxa"/>
          </w:tblCellMar>
        </w:tblPrEx>
        <w:trPr>
          <w:trHeight w:val="338" w:hRule="atLeast"/>
          <w:jc w:val="center"/>
        </w:trPr>
        <w:tc>
          <w:tcPr>
            <w:tcW w:w="2205" w:type="dxa"/>
            <w:vMerge w:val="continue"/>
            <w:tcBorders>
              <w:top w:val="single" w:color="auto" w:sz="2" w:space="0"/>
              <w:bottom w:val="single" w:color="auto" w:sz="2" w:space="0"/>
              <w:right w:val="single" w:color="auto" w:sz="2" w:space="0"/>
            </w:tcBorders>
            <w:vAlign w:val="center"/>
          </w:tcPr>
          <w:p w14:paraId="2F03EDDC">
            <w:pPr>
              <w:widowControl/>
              <w:ind w:left="-105" w:leftChars="-50" w:right="-105" w:rightChars="-50"/>
              <w:jc w:val="left"/>
              <w:rPr>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14:paraId="2C3C2E57">
            <w:pPr>
              <w:widowControl/>
              <w:ind w:left="-105" w:leftChars="-50" w:right="-105" w:rightChars="-50"/>
              <w:jc w:val="left"/>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37C441E1">
            <w:pPr>
              <w:widowControl/>
              <w:ind w:left="-105" w:leftChars="-50" w:right="-105" w:rightChars="-50"/>
              <w:rPr>
                <w:bCs/>
                <w:kern w:val="0"/>
                <w:sz w:val="18"/>
                <w:szCs w:val="18"/>
              </w:rPr>
            </w:pPr>
          </w:p>
        </w:tc>
        <w:tc>
          <w:tcPr>
            <w:tcW w:w="665" w:type="dxa"/>
            <w:vMerge w:val="continue"/>
            <w:tcBorders>
              <w:top w:val="single" w:color="auto" w:sz="2" w:space="0"/>
              <w:left w:val="single" w:color="auto" w:sz="2" w:space="0"/>
              <w:bottom w:val="single" w:color="auto" w:sz="2" w:space="0"/>
              <w:right w:val="single" w:color="auto" w:sz="2" w:space="0"/>
            </w:tcBorders>
            <w:vAlign w:val="center"/>
          </w:tcPr>
          <w:p w14:paraId="69E3C9D1">
            <w:pPr>
              <w:widowControl/>
              <w:ind w:left="-105" w:leftChars="-50" w:right="-105" w:rightChars="-50"/>
              <w:jc w:val="left"/>
              <w:rPr>
                <w:bCs/>
                <w:kern w:val="0"/>
                <w:sz w:val="18"/>
                <w:szCs w:val="18"/>
              </w:rPr>
            </w:pPr>
          </w:p>
        </w:tc>
        <w:tc>
          <w:tcPr>
            <w:tcW w:w="840"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0E3459FA">
            <w:pPr>
              <w:widowControl/>
              <w:ind w:left="-105" w:leftChars="-50" w:right="-105" w:rightChars="-50"/>
              <w:jc w:val="center"/>
              <w:rPr>
                <w:bCs/>
                <w:kern w:val="0"/>
                <w:sz w:val="18"/>
                <w:szCs w:val="18"/>
              </w:rPr>
            </w:pPr>
          </w:p>
        </w:tc>
        <w:tc>
          <w:tcPr>
            <w:tcW w:w="9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5DA03DB">
            <w:pPr>
              <w:widowControl/>
              <w:ind w:left="-105" w:leftChars="-50" w:right="-105" w:rightChars="-50"/>
              <w:jc w:val="center"/>
              <w:rPr>
                <w:bCs/>
                <w:kern w:val="0"/>
                <w:sz w:val="18"/>
                <w:szCs w:val="18"/>
              </w:rPr>
            </w:pPr>
            <w:r>
              <w:rPr>
                <w:bCs/>
                <w:kern w:val="0"/>
                <w:sz w:val="18"/>
                <w:szCs w:val="18"/>
              </w:rPr>
              <w:t>炼焦烟煤</w:t>
            </w:r>
          </w:p>
        </w:tc>
        <w:tc>
          <w:tcPr>
            <w:tcW w:w="9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8397DEF">
            <w:pPr>
              <w:widowControl/>
              <w:ind w:left="-105" w:leftChars="-50" w:right="-105" w:rightChars="-50"/>
              <w:jc w:val="center"/>
              <w:rPr>
                <w:bCs/>
                <w:kern w:val="0"/>
                <w:sz w:val="18"/>
                <w:szCs w:val="18"/>
              </w:rPr>
            </w:pPr>
            <w:r>
              <w:rPr>
                <w:bCs/>
                <w:kern w:val="0"/>
                <w:sz w:val="18"/>
                <w:szCs w:val="18"/>
              </w:rPr>
              <w:t>一般烟煤</w:t>
            </w:r>
          </w:p>
        </w:tc>
        <w:tc>
          <w:tcPr>
            <w:tcW w:w="720"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720CCF51">
            <w:pPr>
              <w:widowControl/>
              <w:ind w:left="-105" w:leftChars="-50" w:right="-105" w:rightChars="-50"/>
              <w:jc w:val="center"/>
              <w:rPr>
                <w:bCs/>
                <w:kern w:val="0"/>
                <w:sz w:val="18"/>
                <w:szCs w:val="18"/>
              </w:rPr>
            </w:pPr>
          </w:p>
        </w:tc>
        <w:tc>
          <w:tcPr>
            <w:tcW w:w="615" w:type="dxa"/>
            <w:vMerge w:val="continue"/>
            <w:tcBorders>
              <w:top w:val="single" w:color="auto" w:sz="2" w:space="0"/>
              <w:left w:val="single" w:color="auto" w:sz="2" w:space="0"/>
              <w:bottom w:val="single" w:color="auto" w:sz="2" w:space="0"/>
              <w:right w:val="single" w:color="auto" w:sz="2" w:space="0"/>
            </w:tcBorders>
            <w:vAlign w:val="center"/>
          </w:tcPr>
          <w:p w14:paraId="55CCDEBB">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right w:val="single" w:color="auto" w:sz="2" w:space="0"/>
            </w:tcBorders>
            <w:vAlign w:val="center"/>
          </w:tcPr>
          <w:p w14:paraId="037A5F0B">
            <w:pPr>
              <w:widowControl/>
              <w:ind w:left="-105" w:leftChars="-50" w:right="-105" w:rightChars="-50"/>
              <w:jc w:val="left"/>
              <w:rPr>
                <w:bCs/>
                <w:kern w:val="0"/>
                <w:sz w:val="18"/>
                <w:szCs w:val="18"/>
              </w:rPr>
            </w:pPr>
          </w:p>
        </w:tc>
        <w:tc>
          <w:tcPr>
            <w:tcW w:w="616" w:type="dxa"/>
            <w:vMerge w:val="continue"/>
            <w:tcBorders>
              <w:top w:val="single" w:color="auto" w:sz="2" w:space="0"/>
              <w:left w:val="single" w:color="auto" w:sz="2" w:space="0"/>
              <w:bottom w:val="single" w:color="auto" w:sz="2" w:space="0"/>
            </w:tcBorders>
            <w:vAlign w:val="center"/>
          </w:tcPr>
          <w:p w14:paraId="54534A81">
            <w:pPr>
              <w:widowControl/>
              <w:ind w:left="-105" w:leftChars="-50" w:right="-105" w:rightChars="-50"/>
              <w:jc w:val="left"/>
              <w:rPr>
                <w:bCs/>
                <w:kern w:val="0"/>
                <w:sz w:val="18"/>
                <w:szCs w:val="18"/>
              </w:rPr>
            </w:pPr>
          </w:p>
        </w:tc>
      </w:tr>
      <w:tr w14:paraId="4ACC9A9A">
        <w:tblPrEx>
          <w:tblCellMar>
            <w:top w:w="0" w:type="dxa"/>
            <w:left w:w="108" w:type="dxa"/>
            <w:bottom w:w="0" w:type="dxa"/>
            <w:right w:w="108" w:type="dxa"/>
          </w:tblCellMar>
        </w:tblPrEx>
        <w:trPr>
          <w:trHeight w:val="306" w:hRule="atLeast"/>
          <w:jc w:val="center"/>
        </w:trPr>
        <w:tc>
          <w:tcPr>
            <w:tcW w:w="2205" w:type="dxa"/>
            <w:tcBorders>
              <w:top w:val="single" w:color="auto" w:sz="2" w:space="0"/>
              <w:left w:val="nil"/>
              <w:bottom w:val="single" w:color="auto" w:sz="2" w:space="0"/>
              <w:right w:val="single" w:color="auto" w:sz="2" w:space="0"/>
            </w:tcBorders>
            <w:shd w:val="clear" w:color="auto" w:fill="auto"/>
            <w:noWrap/>
            <w:vAlign w:val="center"/>
          </w:tcPr>
          <w:p w14:paraId="24C7ABB0">
            <w:pPr>
              <w:widowControl/>
              <w:spacing w:line="240" w:lineRule="atLeast"/>
              <w:ind w:left="-105" w:leftChars="-50" w:right="-105" w:rightChars="-50"/>
              <w:jc w:val="center"/>
              <w:rPr>
                <w:kern w:val="0"/>
                <w:sz w:val="18"/>
                <w:szCs w:val="18"/>
              </w:rPr>
            </w:pPr>
            <w:r>
              <w:rPr>
                <w:kern w:val="0"/>
                <w:sz w:val="18"/>
                <w:szCs w:val="18"/>
              </w:rPr>
              <w:t>甲</w:t>
            </w:r>
          </w:p>
        </w:tc>
        <w:tc>
          <w:tcPr>
            <w:tcW w:w="66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C3E765F">
            <w:pPr>
              <w:widowControl/>
              <w:spacing w:line="240" w:lineRule="atLeast"/>
              <w:ind w:left="-105" w:leftChars="-50" w:right="-105" w:rightChars="-50"/>
              <w:jc w:val="center"/>
              <w:rPr>
                <w:kern w:val="0"/>
                <w:sz w:val="18"/>
                <w:szCs w:val="18"/>
              </w:rPr>
            </w:pPr>
            <w:r>
              <w:rPr>
                <w:kern w:val="0"/>
                <w:sz w:val="18"/>
                <w:szCs w:val="18"/>
              </w:rPr>
              <w:t>乙</w:t>
            </w:r>
          </w:p>
        </w:tc>
        <w:tc>
          <w:tcPr>
            <w:tcW w:w="66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53A487C">
            <w:pPr>
              <w:spacing w:line="240" w:lineRule="atLeast"/>
              <w:ind w:left="-105" w:leftChars="-50" w:right="-105" w:rightChars="-50"/>
              <w:jc w:val="center"/>
              <w:textAlignment w:val="center"/>
              <w:rPr>
                <w:sz w:val="18"/>
                <w:szCs w:val="18"/>
              </w:rPr>
            </w:pPr>
            <w:r>
              <w:rPr>
                <w:sz w:val="18"/>
                <w:szCs w:val="18"/>
              </w:rPr>
              <w:t>1</w:t>
            </w:r>
          </w:p>
        </w:tc>
        <w:tc>
          <w:tcPr>
            <w:tcW w:w="66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7A9A30F">
            <w:pPr>
              <w:spacing w:line="240" w:lineRule="atLeast"/>
              <w:ind w:left="-105" w:leftChars="-50" w:right="-105" w:rightChars="-50"/>
              <w:jc w:val="center"/>
              <w:textAlignment w:val="center"/>
              <w:rPr>
                <w:sz w:val="18"/>
                <w:szCs w:val="18"/>
              </w:rPr>
            </w:pPr>
            <w:r>
              <w:rPr>
                <w:sz w:val="18"/>
                <w:szCs w:val="18"/>
              </w:rPr>
              <w:t>2</w:t>
            </w:r>
          </w:p>
        </w:tc>
        <w:tc>
          <w:tcPr>
            <w:tcW w:w="84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2BCB449">
            <w:pPr>
              <w:spacing w:line="240" w:lineRule="atLeast"/>
              <w:ind w:left="-105" w:leftChars="-50" w:right="-105" w:rightChars="-50"/>
              <w:jc w:val="center"/>
              <w:textAlignment w:val="center"/>
              <w:rPr>
                <w:sz w:val="18"/>
                <w:szCs w:val="18"/>
              </w:rPr>
            </w:pPr>
            <w:r>
              <w:rPr>
                <w:sz w:val="18"/>
                <w:szCs w:val="18"/>
              </w:rPr>
              <w:t>3</w:t>
            </w:r>
          </w:p>
        </w:tc>
        <w:tc>
          <w:tcPr>
            <w:tcW w:w="9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4E39AD3">
            <w:pPr>
              <w:spacing w:line="240" w:lineRule="atLeast"/>
              <w:ind w:left="-105" w:leftChars="-50" w:right="-105" w:rightChars="-50"/>
              <w:jc w:val="center"/>
              <w:textAlignment w:val="center"/>
              <w:rPr>
                <w:sz w:val="18"/>
                <w:szCs w:val="18"/>
              </w:rPr>
            </w:pPr>
            <w:r>
              <w:rPr>
                <w:sz w:val="18"/>
                <w:szCs w:val="18"/>
              </w:rPr>
              <w:t>4</w:t>
            </w:r>
          </w:p>
        </w:tc>
        <w:tc>
          <w:tcPr>
            <w:tcW w:w="9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4E3D697">
            <w:pPr>
              <w:spacing w:line="240" w:lineRule="atLeast"/>
              <w:ind w:left="-105" w:leftChars="-50" w:right="-105" w:rightChars="-50"/>
              <w:jc w:val="center"/>
              <w:textAlignment w:val="center"/>
              <w:rPr>
                <w:sz w:val="18"/>
                <w:szCs w:val="18"/>
              </w:rPr>
            </w:pPr>
            <w:r>
              <w:rPr>
                <w:sz w:val="18"/>
                <w:szCs w:val="18"/>
              </w:rPr>
              <w:t>5</w:t>
            </w:r>
          </w:p>
        </w:tc>
        <w:tc>
          <w:tcPr>
            <w:tcW w:w="72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CBCA3A4">
            <w:pPr>
              <w:spacing w:line="240" w:lineRule="atLeast"/>
              <w:ind w:left="-105" w:leftChars="-50" w:right="-105" w:rightChars="-50"/>
              <w:jc w:val="center"/>
              <w:textAlignment w:val="center"/>
              <w:rPr>
                <w:sz w:val="18"/>
                <w:szCs w:val="18"/>
              </w:rPr>
            </w:pPr>
            <w:r>
              <w:rPr>
                <w:sz w:val="18"/>
                <w:szCs w:val="18"/>
              </w:rPr>
              <w:t>6</w:t>
            </w:r>
          </w:p>
        </w:tc>
        <w:tc>
          <w:tcPr>
            <w:tcW w:w="61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BB72B92">
            <w:pPr>
              <w:spacing w:line="240" w:lineRule="atLeast"/>
              <w:ind w:left="-105" w:leftChars="-50" w:right="-105" w:rightChars="-50"/>
              <w:jc w:val="center"/>
              <w:textAlignment w:val="center"/>
              <w:rPr>
                <w:sz w:val="18"/>
                <w:szCs w:val="18"/>
              </w:rPr>
            </w:pPr>
            <w:r>
              <w:rPr>
                <w:sz w:val="18"/>
                <w:szCs w:val="18"/>
              </w:rPr>
              <w:t>7</w:t>
            </w:r>
          </w:p>
        </w:tc>
        <w:tc>
          <w:tcPr>
            <w:tcW w:w="61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C6BFA34">
            <w:pPr>
              <w:spacing w:line="240" w:lineRule="atLeast"/>
              <w:ind w:left="-105" w:leftChars="-50" w:right="-105" w:rightChars="-50"/>
              <w:jc w:val="center"/>
              <w:textAlignment w:val="center"/>
              <w:rPr>
                <w:sz w:val="18"/>
                <w:szCs w:val="18"/>
              </w:rPr>
            </w:pPr>
            <w:r>
              <w:rPr>
                <w:sz w:val="18"/>
                <w:szCs w:val="18"/>
              </w:rPr>
              <w:t>8</w:t>
            </w:r>
          </w:p>
        </w:tc>
        <w:tc>
          <w:tcPr>
            <w:tcW w:w="616" w:type="dxa"/>
            <w:tcBorders>
              <w:top w:val="single" w:color="auto" w:sz="2" w:space="0"/>
              <w:left w:val="single" w:color="auto" w:sz="2" w:space="0"/>
              <w:bottom w:val="single" w:color="auto" w:sz="2" w:space="0"/>
            </w:tcBorders>
            <w:shd w:val="clear" w:color="auto" w:fill="auto"/>
            <w:noWrap/>
            <w:vAlign w:val="center"/>
          </w:tcPr>
          <w:p w14:paraId="2492FEB8">
            <w:pPr>
              <w:spacing w:line="240" w:lineRule="atLeast"/>
              <w:ind w:left="-105" w:leftChars="-50" w:right="-105" w:rightChars="-50"/>
              <w:jc w:val="center"/>
              <w:textAlignment w:val="center"/>
              <w:rPr>
                <w:sz w:val="18"/>
                <w:szCs w:val="18"/>
              </w:rPr>
            </w:pPr>
            <w:r>
              <w:rPr>
                <w:sz w:val="18"/>
                <w:szCs w:val="18"/>
              </w:rPr>
              <w:t>9</w:t>
            </w:r>
          </w:p>
        </w:tc>
      </w:tr>
      <w:tr w14:paraId="5FFF345E">
        <w:tblPrEx>
          <w:tblCellMar>
            <w:top w:w="0" w:type="dxa"/>
            <w:left w:w="108" w:type="dxa"/>
            <w:bottom w:w="0" w:type="dxa"/>
            <w:right w:w="108" w:type="dxa"/>
          </w:tblCellMar>
        </w:tblPrEx>
        <w:trPr>
          <w:trHeight w:val="556" w:hRule="atLeast"/>
          <w:jc w:val="center"/>
        </w:trPr>
        <w:tc>
          <w:tcPr>
            <w:tcW w:w="2205" w:type="dxa"/>
            <w:tcBorders>
              <w:top w:val="single" w:color="auto" w:sz="2" w:space="0"/>
              <w:left w:val="nil"/>
              <w:bottom w:val="single" w:color="auto" w:sz="8" w:space="0"/>
              <w:right w:val="single" w:color="auto" w:sz="2" w:space="0"/>
            </w:tcBorders>
            <w:shd w:val="clear" w:color="auto" w:fill="auto"/>
            <w:noWrap/>
            <w:vAlign w:val="center"/>
          </w:tcPr>
          <w:p w14:paraId="78B2C5A6">
            <w:pPr>
              <w:widowControl/>
              <w:ind w:left="-50" w:right="-50"/>
              <w:rPr>
                <w:kern w:val="0"/>
                <w:sz w:val="18"/>
                <w:szCs w:val="18"/>
              </w:rPr>
            </w:pPr>
            <w:r>
              <w:rPr>
                <w:sz w:val="18"/>
                <w:szCs w:val="18"/>
              </w:rPr>
              <w:t>填报目录与P303-1表相同</w:t>
            </w:r>
          </w:p>
        </w:tc>
        <w:tc>
          <w:tcPr>
            <w:tcW w:w="663" w:type="dxa"/>
            <w:tcBorders>
              <w:top w:val="single" w:color="auto" w:sz="2" w:space="0"/>
              <w:left w:val="single" w:color="auto" w:sz="2" w:space="0"/>
              <w:bottom w:val="single" w:color="auto" w:sz="8" w:space="0"/>
            </w:tcBorders>
            <w:shd w:val="clear" w:color="auto" w:fill="auto"/>
            <w:noWrap/>
            <w:vAlign w:val="center"/>
          </w:tcPr>
          <w:p w14:paraId="70301A97">
            <w:pPr>
              <w:widowControl/>
              <w:ind w:left="-50" w:right="-50"/>
              <w:jc w:val="center"/>
              <w:rPr>
                <w:kern w:val="0"/>
                <w:sz w:val="18"/>
                <w:szCs w:val="18"/>
              </w:rPr>
            </w:pPr>
          </w:p>
        </w:tc>
        <w:tc>
          <w:tcPr>
            <w:tcW w:w="6539" w:type="dxa"/>
            <w:gridSpan w:val="9"/>
            <w:tcBorders>
              <w:top w:val="single" w:color="auto" w:sz="2" w:space="0"/>
              <w:left w:val="single" w:color="auto" w:sz="2" w:space="0"/>
              <w:bottom w:val="single" w:color="auto" w:sz="8" w:space="0"/>
            </w:tcBorders>
            <w:shd w:val="clear" w:color="auto" w:fill="auto"/>
            <w:vAlign w:val="center"/>
          </w:tcPr>
          <w:p w14:paraId="099D73A1">
            <w:pPr>
              <w:widowControl/>
              <w:ind w:left="-50" w:right="-50"/>
              <w:jc w:val="center"/>
              <w:rPr>
                <w:kern w:val="0"/>
                <w:sz w:val="18"/>
                <w:szCs w:val="18"/>
              </w:rPr>
            </w:pPr>
          </w:p>
        </w:tc>
      </w:tr>
    </w:tbl>
    <w:p w14:paraId="59F38811">
      <w:pPr>
        <w:spacing w:line="400" w:lineRule="exact"/>
        <w:ind w:left="-50" w:leftChars="-24" w:right="-51" w:firstLine="48" w:firstLineChars="27"/>
        <w:rPr>
          <w:sz w:val="18"/>
          <w:szCs w:val="18"/>
        </w:rPr>
      </w:pPr>
      <w:r>
        <w:rPr>
          <w:sz w:val="18"/>
          <w:szCs w:val="18"/>
        </w:rPr>
        <w:t>续表一</w:t>
      </w:r>
    </w:p>
    <w:tbl>
      <w:tblPr>
        <w:tblStyle w:val="20"/>
        <w:tblW w:w="9407"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5"/>
        <w:gridCol w:w="855"/>
        <w:gridCol w:w="855"/>
        <w:gridCol w:w="855"/>
        <w:gridCol w:w="855"/>
        <w:gridCol w:w="856"/>
        <w:gridCol w:w="855"/>
        <w:gridCol w:w="855"/>
        <w:gridCol w:w="855"/>
        <w:gridCol w:w="855"/>
        <w:gridCol w:w="856"/>
      </w:tblGrid>
      <w:tr w14:paraId="7FD848A9">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55" w:type="dxa"/>
            <w:tcBorders>
              <w:bottom w:val="single" w:color="auto" w:sz="2" w:space="0"/>
            </w:tcBorders>
            <w:vAlign w:val="center"/>
          </w:tcPr>
          <w:p w14:paraId="219EE6A1">
            <w:pPr>
              <w:ind w:right="-40"/>
              <w:jc w:val="center"/>
              <w:rPr>
                <w:sz w:val="18"/>
                <w:szCs w:val="18"/>
              </w:rPr>
            </w:pPr>
            <w:r>
              <w:rPr>
                <w:sz w:val="18"/>
                <w:szCs w:val="18"/>
              </w:rPr>
              <w:t>煤矸石</w:t>
            </w:r>
          </w:p>
        </w:tc>
        <w:tc>
          <w:tcPr>
            <w:tcW w:w="855" w:type="dxa"/>
            <w:tcBorders>
              <w:bottom w:val="single" w:color="auto" w:sz="2" w:space="0"/>
            </w:tcBorders>
            <w:vAlign w:val="center"/>
          </w:tcPr>
          <w:p w14:paraId="2050AF94">
            <w:pPr>
              <w:ind w:left="-50" w:right="-50"/>
              <w:jc w:val="center"/>
              <w:rPr>
                <w:sz w:val="18"/>
                <w:szCs w:val="18"/>
              </w:rPr>
            </w:pPr>
            <w:r>
              <w:rPr>
                <w:sz w:val="18"/>
                <w:szCs w:val="18"/>
              </w:rPr>
              <w:t>焦  炭</w:t>
            </w:r>
          </w:p>
        </w:tc>
        <w:tc>
          <w:tcPr>
            <w:tcW w:w="855" w:type="dxa"/>
            <w:tcBorders>
              <w:bottom w:val="single" w:color="auto" w:sz="2" w:space="0"/>
            </w:tcBorders>
            <w:vAlign w:val="center"/>
          </w:tcPr>
          <w:p w14:paraId="38D3AB36">
            <w:pPr>
              <w:ind w:left="-50" w:right="-50"/>
              <w:jc w:val="center"/>
              <w:rPr>
                <w:sz w:val="18"/>
                <w:szCs w:val="18"/>
              </w:rPr>
            </w:pPr>
            <w:r>
              <w:rPr>
                <w:sz w:val="18"/>
                <w:szCs w:val="18"/>
              </w:rPr>
              <w:t>焦 炉</w:t>
            </w:r>
          </w:p>
          <w:p w14:paraId="25F40F57">
            <w:pPr>
              <w:ind w:left="-50" w:right="-50"/>
              <w:jc w:val="center"/>
              <w:rPr>
                <w:sz w:val="18"/>
                <w:szCs w:val="18"/>
              </w:rPr>
            </w:pPr>
            <w:r>
              <w:rPr>
                <w:sz w:val="18"/>
                <w:szCs w:val="18"/>
              </w:rPr>
              <w:t>煤 气</w:t>
            </w:r>
          </w:p>
        </w:tc>
        <w:tc>
          <w:tcPr>
            <w:tcW w:w="855" w:type="dxa"/>
            <w:tcBorders>
              <w:bottom w:val="single" w:color="auto" w:sz="2" w:space="0"/>
            </w:tcBorders>
            <w:vAlign w:val="center"/>
          </w:tcPr>
          <w:p w14:paraId="6B06FF2E">
            <w:pPr>
              <w:ind w:left="-50" w:right="-50"/>
              <w:jc w:val="center"/>
              <w:rPr>
                <w:sz w:val="18"/>
                <w:szCs w:val="18"/>
              </w:rPr>
            </w:pPr>
            <w:r>
              <w:rPr>
                <w:sz w:val="18"/>
                <w:szCs w:val="18"/>
              </w:rPr>
              <w:t>高 炉</w:t>
            </w:r>
          </w:p>
          <w:p w14:paraId="0EB9F926">
            <w:pPr>
              <w:ind w:left="-50" w:right="-50"/>
              <w:jc w:val="center"/>
              <w:rPr>
                <w:sz w:val="18"/>
                <w:szCs w:val="18"/>
              </w:rPr>
            </w:pPr>
            <w:r>
              <w:rPr>
                <w:sz w:val="18"/>
                <w:szCs w:val="18"/>
              </w:rPr>
              <w:t>煤 气</w:t>
            </w:r>
          </w:p>
        </w:tc>
        <w:tc>
          <w:tcPr>
            <w:tcW w:w="855" w:type="dxa"/>
            <w:tcBorders>
              <w:bottom w:val="single" w:color="auto" w:sz="2" w:space="0"/>
            </w:tcBorders>
            <w:vAlign w:val="center"/>
          </w:tcPr>
          <w:p w14:paraId="584F7561">
            <w:pPr>
              <w:ind w:left="-50" w:right="-50"/>
              <w:jc w:val="center"/>
              <w:rPr>
                <w:sz w:val="18"/>
                <w:szCs w:val="18"/>
              </w:rPr>
            </w:pPr>
            <w:r>
              <w:rPr>
                <w:sz w:val="18"/>
                <w:szCs w:val="18"/>
              </w:rPr>
              <w:t>转 炉</w:t>
            </w:r>
          </w:p>
          <w:p w14:paraId="410E8541">
            <w:pPr>
              <w:ind w:left="-50" w:right="-50"/>
              <w:jc w:val="center"/>
              <w:rPr>
                <w:sz w:val="18"/>
                <w:szCs w:val="18"/>
              </w:rPr>
            </w:pPr>
            <w:r>
              <w:rPr>
                <w:sz w:val="18"/>
                <w:szCs w:val="18"/>
              </w:rPr>
              <w:t>煤 气</w:t>
            </w:r>
          </w:p>
        </w:tc>
        <w:tc>
          <w:tcPr>
            <w:tcW w:w="856" w:type="dxa"/>
            <w:tcBorders>
              <w:bottom w:val="single" w:color="auto" w:sz="2" w:space="0"/>
            </w:tcBorders>
            <w:vAlign w:val="center"/>
          </w:tcPr>
          <w:p w14:paraId="4C64C863">
            <w:pPr>
              <w:ind w:left="-50" w:right="-50"/>
              <w:jc w:val="center"/>
              <w:rPr>
                <w:sz w:val="18"/>
                <w:szCs w:val="18"/>
              </w:rPr>
            </w:pPr>
            <w:r>
              <w:rPr>
                <w:sz w:val="18"/>
                <w:szCs w:val="18"/>
              </w:rPr>
              <w:t>其 他</w:t>
            </w:r>
          </w:p>
          <w:p w14:paraId="3770830C">
            <w:pPr>
              <w:ind w:left="-50" w:right="-50"/>
              <w:jc w:val="center"/>
              <w:rPr>
                <w:sz w:val="18"/>
                <w:szCs w:val="18"/>
              </w:rPr>
            </w:pPr>
            <w:r>
              <w:rPr>
                <w:sz w:val="18"/>
                <w:szCs w:val="18"/>
              </w:rPr>
              <w:t>煤 气</w:t>
            </w:r>
          </w:p>
        </w:tc>
        <w:tc>
          <w:tcPr>
            <w:tcW w:w="855" w:type="dxa"/>
            <w:tcBorders>
              <w:bottom w:val="single" w:color="auto" w:sz="2" w:space="0"/>
            </w:tcBorders>
            <w:vAlign w:val="center"/>
          </w:tcPr>
          <w:p w14:paraId="4D558C4D">
            <w:pPr>
              <w:ind w:left="-50" w:right="-50"/>
              <w:jc w:val="center"/>
              <w:rPr>
                <w:sz w:val="18"/>
                <w:szCs w:val="18"/>
              </w:rPr>
            </w:pPr>
            <w:r>
              <w:rPr>
                <w:sz w:val="18"/>
                <w:szCs w:val="18"/>
              </w:rPr>
              <w:t>其    他　　　　　　　　　焦化产品</w:t>
            </w:r>
          </w:p>
        </w:tc>
        <w:tc>
          <w:tcPr>
            <w:tcW w:w="855" w:type="dxa"/>
            <w:tcBorders>
              <w:bottom w:val="single" w:color="auto" w:sz="2" w:space="0"/>
            </w:tcBorders>
            <w:vAlign w:val="center"/>
          </w:tcPr>
          <w:p w14:paraId="7761802A">
            <w:pPr>
              <w:ind w:left="-50" w:right="-50"/>
              <w:jc w:val="center"/>
              <w:rPr>
                <w:sz w:val="18"/>
                <w:szCs w:val="18"/>
              </w:rPr>
            </w:pPr>
            <w:r>
              <w:rPr>
                <w:rFonts w:hint="eastAsia"/>
                <w:sz w:val="18"/>
                <w:szCs w:val="18"/>
              </w:rPr>
              <w:t>油</w:t>
            </w:r>
            <w:r>
              <w:rPr>
                <w:sz w:val="18"/>
                <w:szCs w:val="18"/>
              </w:rPr>
              <w:t xml:space="preserve"> 品</w:t>
            </w:r>
          </w:p>
          <w:p w14:paraId="47F668EA">
            <w:pPr>
              <w:ind w:left="-50" w:right="-50"/>
              <w:jc w:val="center"/>
              <w:rPr>
                <w:sz w:val="18"/>
                <w:szCs w:val="18"/>
              </w:rPr>
            </w:pPr>
            <w:r>
              <w:rPr>
                <w:sz w:val="18"/>
                <w:szCs w:val="18"/>
              </w:rPr>
              <w:t>合 计</w:t>
            </w:r>
          </w:p>
        </w:tc>
        <w:tc>
          <w:tcPr>
            <w:tcW w:w="855" w:type="dxa"/>
            <w:tcBorders>
              <w:bottom w:val="single" w:color="auto" w:sz="2" w:space="0"/>
            </w:tcBorders>
            <w:vAlign w:val="center"/>
          </w:tcPr>
          <w:p w14:paraId="4F8936E1">
            <w:pPr>
              <w:ind w:left="-50" w:right="-50"/>
              <w:jc w:val="center"/>
              <w:rPr>
                <w:sz w:val="18"/>
                <w:szCs w:val="18"/>
              </w:rPr>
            </w:pPr>
            <w:r>
              <w:rPr>
                <w:sz w:val="18"/>
                <w:szCs w:val="18"/>
              </w:rPr>
              <w:t>原  油</w:t>
            </w:r>
          </w:p>
        </w:tc>
        <w:tc>
          <w:tcPr>
            <w:tcW w:w="855" w:type="dxa"/>
            <w:tcBorders>
              <w:bottom w:val="single" w:color="auto" w:sz="2" w:space="0"/>
            </w:tcBorders>
            <w:vAlign w:val="center"/>
          </w:tcPr>
          <w:p w14:paraId="2C26FB2F">
            <w:pPr>
              <w:ind w:left="-50" w:right="-50"/>
              <w:jc w:val="center"/>
              <w:rPr>
                <w:sz w:val="18"/>
                <w:szCs w:val="18"/>
              </w:rPr>
            </w:pPr>
            <w:r>
              <w:rPr>
                <w:sz w:val="18"/>
                <w:szCs w:val="18"/>
              </w:rPr>
              <w:t>汽  油</w:t>
            </w:r>
          </w:p>
        </w:tc>
        <w:tc>
          <w:tcPr>
            <w:tcW w:w="856" w:type="dxa"/>
            <w:tcBorders>
              <w:bottom w:val="single" w:color="auto" w:sz="2" w:space="0"/>
            </w:tcBorders>
            <w:vAlign w:val="center"/>
          </w:tcPr>
          <w:p w14:paraId="7B1FE7C6">
            <w:pPr>
              <w:ind w:left="-50" w:right="-50"/>
              <w:jc w:val="center"/>
              <w:rPr>
                <w:sz w:val="18"/>
                <w:szCs w:val="18"/>
              </w:rPr>
            </w:pPr>
            <w:r>
              <w:rPr>
                <w:sz w:val="18"/>
                <w:szCs w:val="18"/>
              </w:rPr>
              <w:t>煤  油</w:t>
            </w:r>
          </w:p>
        </w:tc>
      </w:tr>
      <w:tr w14:paraId="37E5D4DA">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5" w:type="dxa"/>
            <w:tcBorders>
              <w:top w:val="single" w:color="auto" w:sz="2" w:space="0"/>
              <w:bottom w:val="single" w:color="auto" w:sz="2" w:space="0"/>
            </w:tcBorders>
            <w:vAlign w:val="center"/>
          </w:tcPr>
          <w:p w14:paraId="3C0CEEE6">
            <w:pPr>
              <w:spacing w:line="240" w:lineRule="atLeast"/>
              <w:ind w:right="-40"/>
              <w:jc w:val="center"/>
              <w:textAlignment w:val="center"/>
              <w:rPr>
                <w:sz w:val="18"/>
                <w:szCs w:val="18"/>
              </w:rPr>
            </w:pPr>
            <w:r>
              <w:rPr>
                <w:sz w:val="18"/>
                <w:szCs w:val="18"/>
              </w:rPr>
              <w:t>10</w:t>
            </w:r>
          </w:p>
        </w:tc>
        <w:tc>
          <w:tcPr>
            <w:tcW w:w="855" w:type="dxa"/>
            <w:tcBorders>
              <w:top w:val="single" w:color="auto" w:sz="2" w:space="0"/>
              <w:bottom w:val="single" w:color="auto" w:sz="2" w:space="0"/>
            </w:tcBorders>
            <w:vAlign w:val="center"/>
          </w:tcPr>
          <w:p w14:paraId="46E8A8D3">
            <w:pPr>
              <w:spacing w:line="240" w:lineRule="atLeast"/>
              <w:ind w:right="-40"/>
              <w:jc w:val="center"/>
              <w:textAlignment w:val="center"/>
              <w:rPr>
                <w:sz w:val="18"/>
                <w:szCs w:val="18"/>
              </w:rPr>
            </w:pPr>
            <w:r>
              <w:rPr>
                <w:sz w:val="18"/>
                <w:szCs w:val="18"/>
              </w:rPr>
              <w:t>11</w:t>
            </w:r>
          </w:p>
        </w:tc>
        <w:tc>
          <w:tcPr>
            <w:tcW w:w="855" w:type="dxa"/>
            <w:tcBorders>
              <w:top w:val="single" w:color="auto" w:sz="2" w:space="0"/>
              <w:bottom w:val="single" w:color="auto" w:sz="2" w:space="0"/>
            </w:tcBorders>
            <w:vAlign w:val="center"/>
          </w:tcPr>
          <w:p w14:paraId="2C8B7254">
            <w:pPr>
              <w:spacing w:line="240" w:lineRule="atLeast"/>
              <w:ind w:right="-40"/>
              <w:jc w:val="center"/>
              <w:textAlignment w:val="center"/>
              <w:rPr>
                <w:sz w:val="18"/>
                <w:szCs w:val="18"/>
              </w:rPr>
            </w:pPr>
            <w:r>
              <w:rPr>
                <w:sz w:val="18"/>
                <w:szCs w:val="18"/>
              </w:rPr>
              <w:t>12</w:t>
            </w:r>
          </w:p>
        </w:tc>
        <w:tc>
          <w:tcPr>
            <w:tcW w:w="855" w:type="dxa"/>
            <w:tcBorders>
              <w:top w:val="single" w:color="auto" w:sz="2" w:space="0"/>
              <w:bottom w:val="single" w:color="auto" w:sz="2" w:space="0"/>
            </w:tcBorders>
            <w:vAlign w:val="center"/>
          </w:tcPr>
          <w:p w14:paraId="0FD7BB82">
            <w:pPr>
              <w:spacing w:line="240" w:lineRule="atLeast"/>
              <w:ind w:right="-40"/>
              <w:jc w:val="center"/>
              <w:textAlignment w:val="center"/>
              <w:rPr>
                <w:sz w:val="18"/>
                <w:szCs w:val="18"/>
              </w:rPr>
            </w:pPr>
            <w:r>
              <w:rPr>
                <w:sz w:val="18"/>
                <w:szCs w:val="18"/>
              </w:rPr>
              <w:t>13</w:t>
            </w:r>
          </w:p>
        </w:tc>
        <w:tc>
          <w:tcPr>
            <w:tcW w:w="855" w:type="dxa"/>
            <w:tcBorders>
              <w:top w:val="single" w:color="auto" w:sz="2" w:space="0"/>
              <w:bottom w:val="single" w:color="auto" w:sz="2" w:space="0"/>
            </w:tcBorders>
            <w:vAlign w:val="center"/>
          </w:tcPr>
          <w:p w14:paraId="47C59E2E">
            <w:pPr>
              <w:spacing w:line="240" w:lineRule="atLeast"/>
              <w:ind w:right="-40"/>
              <w:jc w:val="center"/>
              <w:textAlignment w:val="center"/>
              <w:rPr>
                <w:sz w:val="18"/>
                <w:szCs w:val="18"/>
              </w:rPr>
            </w:pPr>
            <w:r>
              <w:rPr>
                <w:sz w:val="18"/>
                <w:szCs w:val="18"/>
              </w:rPr>
              <w:t>14</w:t>
            </w:r>
          </w:p>
        </w:tc>
        <w:tc>
          <w:tcPr>
            <w:tcW w:w="856" w:type="dxa"/>
            <w:tcBorders>
              <w:top w:val="single" w:color="auto" w:sz="2" w:space="0"/>
              <w:bottom w:val="single" w:color="auto" w:sz="2" w:space="0"/>
            </w:tcBorders>
            <w:vAlign w:val="center"/>
          </w:tcPr>
          <w:p w14:paraId="2D73101A">
            <w:pPr>
              <w:spacing w:line="240" w:lineRule="atLeast"/>
              <w:ind w:right="-40"/>
              <w:jc w:val="center"/>
              <w:textAlignment w:val="center"/>
              <w:rPr>
                <w:sz w:val="18"/>
                <w:szCs w:val="18"/>
              </w:rPr>
            </w:pPr>
            <w:r>
              <w:rPr>
                <w:sz w:val="18"/>
                <w:szCs w:val="18"/>
              </w:rPr>
              <w:t>15</w:t>
            </w:r>
          </w:p>
        </w:tc>
        <w:tc>
          <w:tcPr>
            <w:tcW w:w="855" w:type="dxa"/>
            <w:tcBorders>
              <w:top w:val="single" w:color="auto" w:sz="2" w:space="0"/>
              <w:bottom w:val="single" w:color="auto" w:sz="2" w:space="0"/>
            </w:tcBorders>
            <w:vAlign w:val="center"/>
          </w:tcPr>
          <w:p w14:paraId="67A47050">
            <w:pPr>
              <w:spacing w:line="240" w:lineRule="atLeast"/>
              <w:ind w:right="-40"/>
              <w:jc w:val="center"/>
              <w:textAlignment w:val="center"/>
              <w:rPr>
                <w:sz w:val="18"/>
                <w:szCs w:val="18"/>
              </w:rPr>
            </w:pPr>
            <w:r>
              <w:rPr>
                <w:sz w:val="18"/>
                <w:szCs w:val="18"/>
              </w:rPr>
              <w:t>16</w:t>
            </w:r>
          </w:p>
        </w:tc>
        <w:tc>
          <w:tcPr>
            <w:tcW w:w="855" w:type="dxa"/>
            <w:tcBorders>
              <w:top w:val="single" w:color="auto" w:sz="2" w:space="0"/>
              <w:bottom w:val="single" w:color="auto" w:sz="2" w:space="0"/>
            </w:tcBorders>
            <w:vAlign w:val="center"/>
          </w:tcPr>
          <w:p w14:paraId="11DCB907">
            <w:pPr>
              <w:spacing w:line="240" w:lineRule="atLeast"/>
              <w:ind w:right="-40"/>
              <w:jc w:val="center"/>
              <w:textAlignment w:val="center"/>
              <w:rPr>
                <w:sz w:val="18"/>
                <w:szCs w:val="18"/>
              </w:rPr>
            </w:pPr>
            <w:r>
              <w:rPr>
                <w:sz w:val="18"/>
                <w:szCs w:val="18"/>
              </w:rPr>
              <w:t>17</w:t>
            </w:r>
          </w:p>
        </w:tc>
        <w:tc>
          <w:tcPr>
            <w:tcW w:w="855" w:type="dxa"/>
            <w:tcBorders>
              <w:top w:val="single" w:color="auto" w:sz="2" w:space="0"/>
              <w:bottom w:val="single" w:color="auto" w:sz="2" w:space="0"/>
            </w:tcBorders>
            <w:vAlign w:val="center"/>
          </w:tcPr>
          <w:p w14:paraId="33F3BE5D">
            <w:pPr>
              <w:spacing w:line="240" w:lineRule="atLeast"/>
              <w:ind w:right="-40"/>
              <w:jc w:val="center"/>
              <w:textAlignment w:val="center"/>
              <w:rPr>
                <w:sz w:val="18"/>
                <w:szCs w:val="18"/>
              </w:rPr>
            </w:pPr>
            <w:r>
              <w:rPr>
                <w:sz w:val="18"/>
                <w:szCs w:val="18"/>
              </w:rPr>
              <w:t>18</w:t>
            </w:r>
          </w:p>
        </w:tc>
        <w:tc>
          <w:tcPr>
            <w:tcW w:w="855" w:type="dxa"/>
            <w:tcBorders>
              <w:top w:val="single" w:color="auto" w:sz="2" w:space="0"/>
              <w:bottom w:val="single" w:color="auto" w:sz="2" w:space="0"/>
            </w:tcBorders>
            <w:vAlign w:val="center"/>
          </w:tcPr>
          <w:p w14:paraId="066EC72C">
            <w:pPr>
              <w:spacing w:line="240" w:lineRule="atLeast"/>
              <w:ind w:right="-40"/>
              <w:jc w:val="center"/>
              <w:textAlignment w:val="center"/>
              <w:rPr>
                <w:sz w:val="18"/>
                <w:szCs w:val="18"/>
              </w:rPr>
            </w:pPr>
            <w:r>
              <w:rPr>
                <w:sz w:val="18"/>
                <w:szCs w:val="18"/>
              </w:rPr>
              <w:t>19</w:t>
            </w:r>
          </w:p>
        </w:tc>
        <w:tc>
          <w:tcPr>
            <w:tcW w:w="856" w:type="dxa"/>
            <w:tcBorders>
              <w:top w:val="single" w:color="auto" w:sz="2" w:space="0"/>
              <w:bottom w:val="single" w:color="auto" w:sz="2" w:space="0"/>
            </w:tcBorders>
            <w:vAlign w:val="center"/>
          </w:tcPr>
          <w:p w14:paraId="41604FA1">
            <w:pPr>
              <w:spacing w:line="240" w:lineRule="atLeast"/>
              <w:ind w:right="-40"/>
              <w:jc w:val="center"/>
              <w:textAlignment w:val="center"/>
              <w:rPr>
                <w:sz w:val="18"/>
                <w:szCs w:val="18"/>
              </w:rPr>
            </w:pPr>
            <w:r>
              <w:rPr>
                <w:sz w:val="18"/>
                <w:szCs w:val="18"/>
              </w:rPr>
              <w:t>20</w:t>
            </w:r>
          </w:p>
        </w:tc>
      </w:tr>
      <w:tr w14:paraId="5C71BC92">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9407" w:type="dxa"/>
            <w:gridSpan w:val="11"/>
            <w:tcBorders>
              <w:top w:val="single" w:color="auto" w:sz="2" w:space="0"/>
              <w:bottom w:val="single" w:color="auto" w:sz="8" w:space="0"/>
            </w:tcBorders>
            <w:vAlign w:val="center"/>
          </w:tcPr>
          <w:p w14:paraId="0B04D6A5">
            <w:pPr>
              <w:ind w:right="-40"/>
              <w:jc w:val="center"/>
              <w:rPr>
                <w:sz w:val="18"/>
                <w:szCs w:val="18"/>
              </w:rPr>
            </w:pPr>
          </w:p>
        </w:tc>
      </w:tr>
    </w:tbl>
    <w:p w14:paraId="59179FFA">
      <w:pPr>
        <w:spacing w:line="400" w:lineRule="exact"/>
        <w:ind w:left="-50" w:leftChars="-24" w:right="-51" w:firstLine="48" w:firstLineChars="27"/>
        <w:rPr>
          <w:sz w:val="18"/>
          <w:szCs w:val="18"/>
        </w:rPr>
      </w:pPr>
      <w:r>
        <w:rPr>
          <w:sz w:val="18"/>
          <w:szCs w:val="18"/>
        </w:rPr>
        <w:t>续表二</w:t>
      </w:r>
    </w:p>
    <w:tbl>
      <w:tblPr>
        <w:tblStyle w:val="20"/>
        <w:tblW w:w="9421"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6"/>
        <w:gridCol w:w="856"/>
        <w:gridCol w:w="857"/>
        <w:gridCol w:w="856"/>
        <w:gridCol w:w="857"/>
        <w:gridCol w:w="856"/>
        <w:gridCol w:w="857"/>
        <w:gridCol w:w="856"/>
        <w:gridCol w:w="857"/>
        <w:gridCol w:w="856"/>
        <w:gridCol w:w="857"/>
      </w:tblGrid>
      <w:tr w14:paraId="35AAE7E4">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56" w:type="dxa"/>
            <w:tcBorders>
              <w:bottom w:val="single" w:color="auto" w:sz="2" w:space="0"/>
            </w:tcBorders>
            <w:vAlign w:val="center"/>
          </w:tcPr>
          <w:p w14:paraId="6495B5A8">
            <w:pPr>
              <w:ind w:right="-40"/>
              <w:jc w:val="center"/>
              <w:rPr>
                <w:sz w:val="18"/>
                <w:szCs w:val="18"/>
              </w:rPr>
            </w:pPr>
            <w:r>
              <w:rPr>
                <w:sz w:val="18"/>
                <w:szCs w:val="18"/>
              </w:rPr>
              <w:t>柴  油</w:t>
            </w:r>
          </w:p>
        </w:tc>
        <w:tc>
          <w:tcPr>
            <w:tcW w:w="856" w:type="dxa"/>
            <w:tcBorders>
              <w:bottom w:val="single" w:color="auto" w:sz="2" w:space="0"/>
            </w:tcBorders>
            <w:vAlign w:val="center"/>
          </w:tcPr>
          <w:p w14:paraId="770694C4">
            <w:pPr>
              <w:ind w:left="-50" w:right="-50"/>
              <w:jc w:val="center"/>
              <w:rPr>
                <w:sz w:val="18"/>
                <w:szCs w:val="18"/>
              </w:rPr>
            </w:pPr>
            <w:r>
              <w:rPr>
                <w:sz w:val="18"/>
                <w:szCs w:val="18"/>
              </w:rPr>
              <w:t>燃料油</w:t>
            </w:r>
          </w:p>
        </w:tc>
        <w:tc>
          <w:tcPr>
            <w:tcW w:w="857" w:type="dxa"/>
            <w:tcBorders>
              <w:bottom w:val="single" w:color="auto" w:sz="2" w:space="0"/>
            </w:tcBorders>
            <w:vAlign w:val="center"/>
          </w:tcPr>
          <w:p w14:paraId="28DA2F5F">
            <w:pPr>
              <w:ind w:left="-50" w:right="-50"/>
              <w:jc w:val="center"/>
              <w:rPr>
                <w:sz w:val="18"/>
                <w:szCs w:val="18"/>
              </w:rPr>
            </w:pPr>
            <w:r>
              <w:rPr>
                <w:sz w:val="18"/>
                <w:szCs w:val="18"/>
              </w:rPr>
              <w:t>石脑油</w:t>
            </w:r>
          </w:p>
        </w:tc>
        <w:tc>
          <w:tcPr>
            <w:tcW w:w="856" w:type="dxa"/>
            <w:tcBorders>
              <w:bottom w:val="single" w:color="auto" w:sz="2" w:space="0"/>
            </w:tcBorders>
            <w:vAlign w:val="center"/>
          </w:tcPr>
          <w:p w14:paraId="03EAB6D0">
            <w:pPr>
              <w:ind w:left="-50" w:right="-50"/>
              <w:jc w:val="center"/>
              <w:rPr>
                <w:sz w:val="18"/>
                <w:szCs w:val="18"/>
              </w:rPr>
            </w:pPr>
            <w:r>
              <w:rPr>
                <w:sz w:val="18"/>
                <w:szCs w:val="18"/>
              </w:rPr>
              <w:t>润滑油</w:t>
            </w:r>
          </w:p>
        </w:tc>
        <w:tc>
          <w:tcPr>
            <w:tcW w:w="857" w:type="dxa"/>
            <w:tcBorders>
              <w:bottom w:val="single" w:color="auto" w:sz="2" w:space="0"/>
            </w:tcBorders>
            <w:vAlign w:val="center"/>
          </w:tcPr>
          <w:p w14:paraId="11043614">
            <w:pPr>
              <w:ind w:left="-50" w:right="-50"/>
              <w:jc w:val="center"/>
              <w:rPr>
                <w:sz w:val="18"/>
                <w:szCs w:val="18"/>
              </w:rPr>
            </w:pPr>
            <w:r>
              <w:rPr>
                <w:sz w:val="18"/>
                <w:szCs w:val="18"/>
              </w:rPr>
              <w:t>石  蜡</w:t>
            </w:r>
          </w:p>
        </w:tc>
        <w:tc>
          <w:tcPr>
            <w:tcW w:w="856" w:type="dxa"/>
            <w:tcBorders>
              <w:bottom w:val="single" w:color="auto" w:sz="2" w:space="0"/>
            </w:tcBorders>
            <w:vAlign w:val="center"/>
          </w:tcPr>
          <w:p w14:paraId="41D16B9D">
            <w:pPr>
              <w:ind w:left="-50" w:right="-50"/>
              <w:jc w:val="center"/>
              <w:rPr>
                <w:sz w:val="18"/>
                <w:szCs w:val="18"/>
              </w:rPr>
            </w:pPr>
            <w:r>
              <w:rPr>
                <w:sz w:val="18"/>
                <w:szCs w:val="18"/>
              </w:rPr>
              <w:t>溶剂油</w:t>
            </w:r>
          </w:p>
        </w:tc>
        <w:tc>
          <w:tcPr>
            <w:tcW w:w="857" w:type="dxa"/>
            <w:tcBorders>
              <w:bottom w:val="single" w:color="auto" w:sz="2" w:space="0"/>
            </w:tcBorders>
            <w:vAlign w:val="center"/>
          </w:tcPr>
          <w:p w14:paraId="3D45E6FC">
            <w:pPr>
              <w:ind w:left="-50" w:right="-50"/>
              <w:jc w:val="center"/>
              <w:rPr>
                <w:sz w:val="18"/>
                <w:szCs w:val="18"/>
              </w:rPr>
            </w:pPr>
            <w:r>
              <w:rPr>
                <w:sz w:val="18"/>
                <w:szCs w:val="18"/>
              </w:rPr>
              <w:t>石 油</w:t>
            </w:r>
          </w:p>
          <w:p w14:paraId="36EE43DB">
            <w:pPr>
              <w:ind w:left="-50" w:right="-50"/>
              <w:jc w:val="center"/>
              <w:rPr>
                <w:sz w:val="18"/>
                <w:szCs w:val="18"/>
              </w:rPr>
            </w:pPr>
            <w:r>
              <w:rPr>
                <w:sz w:val="18"/>
                <w:szCs w:val="18"/>
              </w:rPr>
              <w:t>沥 青</w:t>
            </w:r>
          </w:p>
        </w:tc>
        <w:tc>
          <w:tcPr>
            <w:tcW w:w="856" w:type="dxa"/>
            <w:tcBorders>
              <w:bottom w:val="single" w:color="auto" w:sz="2" w:space="0"/>
            </w:tcBorders>
            <w:vAlign w:val="center"/>
          </w:tcPr>
          <w:p w14:paraId="4288DD0D">
            <w:pPr>
              <w:ind w:left="-50" w:right="-50"/>
              <w:jc w:val="center"/>
              <w:rPr>
                <w:sz w:val="18"/>
                <w:szCs w:val="18"/>
              </w:rPr>
            </w:pPr>
            <w:r>
              <w:rPr>
                <w:sz w:val="18"/>
                <w:szCs w:val="18"/>
              </w:rPr>
              <w:t>石油焦</w:t>
            </w:r>
          </w:p>
        </w:tc>
        <w:tc>
          <w:tcPr>
            <w:tcW w:w="857" w:type="dxa"/>
            <w:tcBorders>
              <w:bottom w:val="single" w:color="auto" w:sz="2" w:space="0"/>
            </w:tcBorders>
            <w:vAlign w:val="center"/>
          </w:tcPr>
          <w:p w14:paraId="1E94BA0A">
            <w:pPr>
              <w:ind w:left="-50" w:right="-50"/>
              <w:jc w:val="center"/>
              <w:rPr>
                <w:sz w:val="18"/>
                <w:szCs w:val="18"/>
              </w:rPr>
            </w:pPr>
            <w:r>
              <w:rPr>
                <w:sz w:val="18"/>
                <w:szCs w:val="18"/>
              </w:rPr>
              <w:t>液  化　石油气</w:t>
            </w:r>
          </w:p>
        </w:tc>
        <w:tc>
          <w:tcPr>
            <w:tcW w:w="856" w:type="dxa"/>
            <w:tcBorders>
              <w:bottom w:val="single" w:color="auto" w:sz="2" w:space="0"/>
            </w:tcBorders>
            <w:vAlign w:val="center"/>
          </w:tcPr>
          <w:p w14:paraId="4868FE13">
            <w:pPr>
              <w:ind w:left="-50" w:right="-50"/>
              <w:jc w:val="center"/>
              <w:rPr>
                <w:sz w:val="18"/>
                <w:szCs w:val="18"/>
              </w:rPr>
            </w:pPr>
            <w:r>
              <w:rPr>
                <w:sz w:val="18"/>
                <w:szCs w:val="18"/>
              </w:rPr>
              <w:t>炼 厂</w:t>
            </w:r>
          </w:p>
          <w:p w14:paraId="55369F4A">
            <w:pPr>
              <w:ind w:left="-50" w:right="-50"/>
              <w:jc w:val="center"/>
              <w:rPr>
                <w:sz w:val="18"/>
                <w:szCs w:val="18"/>
              </w:rPr>
            </w:pPr>
            <w:r>
              <w:rPr>
                <w:sz w:val="18"/>
                <w:szCs w:val="18"/>
              </w:rPr>
              <w:t>干 气</w:t>
            </w:r>
          </w:p>
        </w:tc>
        <w:tc>
          <w:tcPr>
            <w:tcW w:w="857" w:type="dxa"/>
            <w:tcBorders>
              <w:bottom w:val="single" w:color="auto" w:sz="2" w:space="0"/>
            </w:tcBorders>
            <w:vAlign w:val="center"/>
          </w:tcPr>
          <w:p w14:paraId="5DD2F228">
            <w:pPr>
              <w:ind w:left="-50" w:right="-50"/>
              <w:jc w:val="center"/>
              <w:rPr>
                <w:sz w:val="18"/>
                <w:szCs w:val="18"/>
              </w:rPr>
            </w:pPr>
            <w:r>
              <w:rPr>
                <w:sz w:val="18"/>
                <w:szCs w:val="18"/>
              </w:rPr>
              <w:t>其　　他　　　　　　　　　　　　　石油制品</w:t>
            </w:r>
          </w:p>
        </w:tc>
      </w:tr>
      <w:tr w14:paraId="5722EF4E">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6" w:type="dxa"/>
            <w:tcBorders>
              <w:top w:val="single" w:color="auto" w:sz="2" w:space="0"/>
              <w:bottom w:val="single" w:color="auto" w:sz="2" w:space="0"/>
            </w:tcBorders>
            <w:vAlign w:val="center"/>
          </w:tcPr>
          <w:p w14:paraId="7BD513C8">
            <w:pPr>
              <w:spacing w:line="240" w:lineRule="atLeast"/>
              <w:ind w:right="-40"/>
              <w:jc w:val="center"/>
              <w:textAlignment w:val="center"/>
              <w:rPr>
                <w:sz w:val="18"/>
                <w:szCs w:val="18"/>
              </w:rPr>
            </w:pPr>
            <w:r>
              <w:rPr>
                <w:sz w:val="18"/>
                <w:szCs w:val="18"/>
              </w:rPr>
              <w:t>21</w:t>
            </w:r>
          </w:p>
        </w:tc>
        <w:tc>
          <w:tcPr>
            <w:tcW w:w="856" w:type="dxa"/>
            <w:tcBorders>
              <w:top w:val="single" w:color="auto" w:sz="2" w:space="0"/>
              <w:bottom w:val="single" w:color="auto" w:sz="2" w:space="0"/>
            </w:tcBorders>
            <w:vAlign w:val="center"/>
          </w:tcPr>
          <w:p w14:paraId="1FFA1044">
            <w:pPr>
              <w:spacing w:line="240" w:lineRule="atLeast"/>
              <w:ind w:right="-40"/>
              <w:jc w:val="center"/>
              <w:textAlignment w:val="center"/>
              <w:rPr>
                <w:sz w:val="18"/>
                <w:szCs w:val="18"/>
              </w:rPr>
            </w:pPr>
            <w:r>
              <w:rPr>
                <w:sz w:val="18"/>
                <w:szCs w:val="18"/>
              </w:rPr>
              <w:t>22</w:t>
            </w:r>
          </w:p>
        </w:tc>
        <w:tc>
          <w:tcPr>
            <w:tcW w:w="857" w:type="dxa"/>
            <w:tcBorders>
              <w:top w:val="single" w:color="auto" w:sz="2" w:space="0"/>
              <w:bottom w:val="single" w:color="auto" w:sz="2" w:space="0"/>
            </w:tcBorders>
            <w:vAlign w:val="center"/>
          </w:tcPr>
          <w:p w14:paraId="760CF645">
            <w:pPr>
              <w:spacing w:line="240" w:lineRule="atLeast"/>
              <w:ind w:right="-40"/>
              <w:jc w:val="center"/>
              <w:textAlignment w:val="center"/>
              <w:rPr>
                <w:sz w:val="18"/>
                <w:szCs w:val="18"/>
              </w:rPr>
            </w:pPr>
            <w:r>
              <w:rPr>
                <w:sz w:val="18"/>
                <w:szCs w:val="18"/>
              </w:rPr>
              <w:t>23</w:t>
            </w:r>
          </w:p>
        </w:tc>
        <w:tc>
          <w:tcPr>
            <w:tcW w:w="856" w:type="dxa"/>
            <w:tcBorders>
              <w:top w:val="single" w:color="auto" w:sz="2" w:space="0"/>
              <w:bottom w:val="single" w:color="auto" w:sz="2" w:space="0"/>
            </w:tcBorders>
            <w:vAlign w:val="center"/>
          </w:tcPr>
          <w:p w14:paraId="17D13FEB">
            <w:pPr>
              <w:spacing w:line="240" w:lineRule="atLeast"/>
              <w:ind w:right="-40"/>
              <w:jc w:val="center"/>
              <w:textAlignment w:val="center"/>
              <w:rPr>
                <w:sz w:val="18"/>
                <w:szCs w:val="18"/>
              </w:rPr>
            </w:pPr>
            <w:r>
              <w:rPr>
                <w:sz w:val="18"/>
                <w:szCs w:val="18"/>
              </w:rPr>
              <w:t>24</w:t>
            </w:r>
          </w:p>
        </w:tc>
        <w:tc>
          <w:tcPr>
            <w:tcW w:w="857" w:type="dxa"/>
            <w:tcBorders>
              <w:top w:val="single" w:color="auto" w:sz="2" w:space="0"/>
              <w:bottom w:val="single" w:color="auto" w:sz="2" w:space="0"/>
            </w:tcBorders>
            <w:vAlign w:val="center"/>
          </w:tcPr>
          <w:p w14:paraId="49F5A92A">
            <w:pPr>
              <w:spacing w:line="240" w:lineRule="atLeast"/>
              <w:ind w:right="-40"/>
              <w:jc w:val="center"/>
              <w:textAlignment w:val="center"/>
              <w:rPr>
                <w:sz w:val="18"/>
                <w:szCs w:val="18"/>
              </w:rPr>
            </w:pPr>
            <w:r>
              <w:rPr>
                <w:sz w:val="18"/>
                <w:szCs w:val="18"/>
              </w:rPr>
              <w:t>25</w:t>
            </w:r>
          </w:p>
        </w:tc>
        <w:tc>
          <w:tcPr>
            <w:tcW w:w="856" w:type="dxa"/>
            <w:tcBorders>
              <w:top w:val="single" w:color="auto" w:sz="2" w:space="0"/>
              <w:bottom w:val="single" w:color="auto" w:sz="2" w:space="0"/>
            </w:tcBorders>
            <w:vAlign w:val="center"/>
          </w:tcPr>
          <w:p w14:paraId="08B813C1">
            <w:pPr>
              <w:spacing w:line="240" w:lineRule="atLeast"/>
              <w:ind w:right="-40"/>
              <w:jc w:val="center"/>
              <w:textAlignment w:val="center"/>
              <w:rPr>
                <w:sz w:val="18"/>
                <w:szCs w:val="18"/>
              </w:rPr>
            </w:pPr>
            <w:r>
              <w:rPr>
                <w:sz w:val="18"/>
                <w:szCs w:val="18"/>
              </w:rPr>
              <w:t>26</w:t>
            </w:r>
          </w:p>
        </w:tc>
        <w:tc>
          <w:tcPr>
            <w:tcW w:w="857" w:type="dxa"/>
            <w:tcBorders>
              <w:top w:val="single" w:color="auto" w:sz="2" w:space="0"/>
              <w:bottom w:val="single" w:color="auto" w:sz="2" w:space="0"/>
            </w:tcBorders>
            <w:vAlign w:val="center"/>
          </w:tcPr>
          <w:p w14:paraId="06E7DEED">
            <w:pPr>
              <w:spacing w:line="240" w:lineRule="atLeast"/>
              <w:ind w:right="-40"/>
              <w:jc w:val="center"/>
              <w:textAlignment w:val="center"/>
              <w:rPr>
                <w:sz w:val="18"/>
                <w:szCs w:val="18"/>
              </w:rPr>
            </w:pPr>
            <w:r>
              <w:rPr>
                <w:sz w:val="18"/>
                <w:szCs w:val="18"/>
              </w:rPr>
              <w:t>27</w:t>
            </w:r>
          </w:p>
        </w:tc>
        <w:tc>
          <w:tcPr>
            <w:tcW w:w="856" w:type="dxa"/>
            <w:tcBorders>
              <w:top w:val="single" w:color="auto" w:sz="2" w:space="0"/>
              <w:bottom w:val="single" w:color="auto" w:sz="2" w:space="0"/>
            </w:tcBorders>
            <w:vAlign w:val="center"/>
          </w:tcPr>
          <w:p w14:paraId="3E8560A9">
            <w:pPr>
              <w:spacing w:line="240" w:lineRule="atLeast"/>
              <w:ind w:right="-40"/>
              <w:jc w:val="center"/>
              <w:textAlignment w:val="center"/>
              <w:rPr>
                <w:sz w:val="18"/>
                <w:szCs w:val="18"/>
              </w:rPr>
            </w:pPr>
            <w:r>
              <w:rPr>
                <w:sz w:val="18"/>
                <w:szCs w:val="18"/>
              </w:rPr>
              <w:t>28</w:t>
            </w:r>
          </w:p>
        </w:tc>
        <w:tc>
          <w:tcPr>
            <w:tcW w:w="857" w:type="dxa"/>
            <w:tcBorders>
              <w:top w:val="single" w:color="auto" w:sz="2" w:space="0"/>
              <w:bottom w:val="single" w:color="auto" w:sz="2" w:space="0"/>
            </w:tcBorders>
            <w:vAlign w:val="center"/>
          </w:tcPr>
          <w:p w14:paraId="00CE4B0C">
            <w:pPr>
              <w:spacing w:line="240" w:lineRule="atLeast"/>
              <w:ind w:right="-40"/>
              <w:jc w:val="center"/>
              <w:textAlignment w:val="center"/>
              <w:rPr>
                <w:sz w:val="18"/>
                <w:szCs w:val="18"/>
              </w:rPr>
            </w:pPr>
            <w:r>
              <w:rPr>
                <w:sz w:val="18"/>
                <w:szCs w:val="18"/>
              </w:rPr>
              <w:t>29</w:t>
            </w:r>
          </w:p>
        </w:tc>
        <w:tc>
          <w:tcPr>
            <w:tcW w:w="856" w:type="dxa"/>
            <w:tcBorders>
              <w:top w:val="single" w:color="auto" w:sz="2" w:space="0"/>
              <w:bottom w:val="single" w:color="auto" w:sz="2" w:space="0"/>
            </w:tcBorders>
            <w:vAlign w:val="center"/>
          </w:tcPr>
          <w:p w14:paraId="2CB1726A">
            <w:pPr>
              <w:spacing w:line="240" w:lineRule="atLeast"/>
              <w:ind w:right="-40"/>
              <w:jc w:val="center"/>
              <w:textAlignment w:val="center"/>
              <w:rPr>
                <w:sz w:val="18"/>
                <w:szCs w:val="18"/>
              </w:rPr>
            </w:pPr>
            <w:r>
              <w:rPr>
                <w:sz w:val="18"/>
                <w:szCs w:val="18"/>
              </w:rPr>
              <w:t>30</w:t>
            </w:r>
          </w:p>
        </w:tc>
        <w:tc>
          <w:tcPr>
            <w:tcW w:w="857" w:type="dxa"/>
            <w:tcBorders>
              <w:top w:val="single" w:color="auto" w:sz="2" w:space="0"/>
              <w:bottom w:val="single" w:color="auto" w:sz="2" w:space="0"/>
            </w:tcBorders>
            <w:vAlign w:val="center"/>
          </w:tcPr>
          <w:p w14:paraId="7F12C7B5">
            <w:pPr>
              <w:spacing w:line="240" w:lineRule="atLeast"/>
              <w:ind w:right="-40"/>
              <w:jc w:val="center"/>
              <w:textAlignment w:val="center"/>
              <w:rPr>
                <w:sz w:val="18"/>
                <w:szCs w:val="18"/>
              </w:rPr>
            </w:pPr>
            <w:r>
              <w:rPr>
                <w:sz w:val="18"/>
                <w:szCs w:val="18"/>
              </w:rPr>
              <w:t>31</w:t>
            </w:r>
          </w:p>
        </w:tc>
      </w:tr>
      <w:tr w14:paraId="30C5C88E">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9421" w:type="dxa"/>
            <w:gridSpan w:val="11"/>
            <w:tcBorders>
              <w:top w:val="single" w:color="auto" w:sz="2" w:space="0"/>
              <w:bottom w:val="single" w:color="auto" w:sz="8" w:space="0"/>
            </w:tcBorders>
            <w:vAlign w:val="center"/>
          </w:tcPr>
          <w:p w14:paraId="62072A31">
            <w:pPr>
              <w:ind w:right="-40"/>
              <w:jc w:val="center"/>
              <w:rPr>
                <w:sz w:val="18"/>
                <w:szCs w:val="18"/>
              </w:rPr>
            </w:pPr>
          </w:p>
        </w:tc>
      </w:tr>
    </w:tbl>
    <w:p w14:paraId="2CB8E73C">
      <w:pPr>
        <w:spacing w:line="400" w:lineRule="exact"/>
        <w:ind w:left="-50" w:leftChars="-24" w:right="-51" w:firstLine="48" w:firstLineChars="27"/>
        <w:rPr>
          <w:sz w:val="18"/>
          <w:szCs w:val="18"/>
        </w:rPr>
      </w:pPr>
      <w:r>
        <w:rPr>
          <w:sz w:val="18"/>
          <w:szCs w:val="18"/>
        </w:rPr>
        <w:t>续表三</w:t>
      </w:r>
    </w:p>
    <w:tbl>
      <w:tblPr>
        <w:tblStyle w:val="20"/>
        <w:tblW w:w="9440"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36"/>
        <w:gridCol w:w="837"/>
        <w:gridCol w:w="837"/>
        <w:gridCol w:w="837"/>
        <w:gridCol w:w="837"/>
        <w:gridCol w:w="837"/>
        <w:gridCol w:w="884"/>
        <w:gridCol w:w="884"/>
        <w:gridCol w:w="883"/>
        <w:gridCol w:w="884"/>
        <w:gridCol w:w="884"/>
      </w:tblGrid>
      <w:tr w14:paraId="180417F9">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36" w:type="dxa"/>
            <w:vMerge w:val="restart"/>
            <w:vAlign w:val="center"/>
          </w:tcPr>
          <w:p w14:paraId="5CE3DFC7">
            <w:pPr>
              <w:ind w:right="-40"/>
              <w:jc w:val="center"/>
              <w:rPr>
                <w:sz w:val="18"/>
                <w:szCs w:val="18"/>
              </w:rPr>
            </w:pPr>
            <w:r>
              <w:rPr>
                <w:sz w:val="18"/>
                <w:szCs w:val="18"/>
              </w:rPr>
              <w:t>天然气</w:t>
            </w:r>
          </w:p>
        </w:tc>
        <w:tc>
          <w:tcPr>
            <w:tcW w:w="837" w:type="dxa"/>
            <w:vMerge w:val="restart"/>
            <w:vAlign w:val="center"/>
          </w:tcPr>
          <w:p w14:paraId="6C5B4F92">
            <w:pPr>
              <w:ind w:left="-50" w:right="-50"/>
              <w:jc w:val="center"/>
              <w:rPr>
                <w:sz w:val="18"/>
                <w:szCs w:val="18"/>
              </w:rPr>
            </w:pPr>
            <w:r>
              <w:rPr>
                <w:sz w:val="18"/>
                <w:szCs w:val="18"/>
              </w:rPr>
              <w:t>液  化     天然气</w:t>
            </w:r>
          </w:p>
        </w:tc>
        <w:tc>
          <w:tcPr>
            <w:tcW w:w="837" w:type="dxa"/>
            <w:vMerge w:val="restart"/>
            <w:vAlign w:val="center"/>
          </w:tcPr>
          <w:p w14:paraId="3594C889">
            <w:pPr>
              <w:ind w:left="-50" w:right="-50"/>
              <w:jc w:val="center"/>
              <w:rPr>
                <w:rFonts w:hint="eastAsia" w:eastAsia="宋体"/>
                <w:sz w:val="18"/>
                <w:szCs w:val="18"/>
                <w:lang w:eastAsia="zh-CN"/>
              </w:rPr>
            </w:pPr>
            <w:r>
              <w:rPr>
                <w:rFonts w:hint="eastAsia"/>
                <w:sz w:val="18"/>
                <w:szCs w:val="18"/>
                <w:lang w:eastAsia="zh-CN"/>
              </w:rPr>
              <w:t>氢</w:t>
            </w:r>
            <w:r>
              <w:rPr>
                <w:rFonts w:hint="eastAsia"/>
                <w:sz w:val="18"/>
                <w:szCs w:val="18"/>
                <w:lang w:val="en-US" w:eastAsia="zh-CN"/>
              </w:rPr>
              <w:t xml:space="preserve">  </w:t>
            </w:r>
            <w:del w:id="354" w:author="kylin" w:date="2025-10-17T16:51:46Z">
              <w:r>
                <w:rPr>
                  <w:rFonts w:hint="eastAsia"/>
                  <w:sz w:val="18"/>
                  <w:szCs w:val="18"/>
                  <w:lang w:eastAsia="zh-CN"/>
                </w:rPr>
                <w:delText>能</w:delText>
              </w:r>
            </w:del>
            <w:ins w:id="355" w:author="kylin" w:date="2025-10-17T16:51:46Z">
              <w:r>
                <w:rPr>
                  <w:rFonts w:hint="eastAsia"/>
                  <w:sz w:val="18"/>
                  <w:szCs w:val="18"/>
                  <w:lang w:eastAsia="zh-CN"/>
                </w:rPr>
                <w:t>气</w:t>
              </w:r>
            </w:ins>
          </w:p>
        </w:tc>
        <w:tc>
          <w:tcPr>
            <w:tcW w:w="837" w:type="dxa"/>
            <w:vMerge w:val="restart"/>
            <w:vAlign w:val="center"/>
          </w:tcPr>
          <w:p w14:paraId="3D068CB5">
            <w:pPr>
              <w:ind w:left="-50" w:right="-50"/>
              <w:jc w:val="center"/>
              <w:rPr>
                <w:sz w:val="18"/>
                <w:szCs w:val="18"/>
              </w:rPr>
            </w:pPr>
            <w:r>
              <w:rPr>
                <w:sz w:val="18"/>
                <w:szCs w:val="18"/>
              </w:rPr>
              <w:t>秸秆薪柴</w:t>
            </w:r>
          </w:p>
        </w:tc>
        <w:tc>
          <w:tcPr>
            <w:tcW w:w="837" w:type="dxa"/>
            <w:vMerge w:val="restart"/>
            <w:vAlign w:val="center"/>
          </w:tcPr>
          <w:p w14:paraId="581DE4B3">
            <w:pPr>
              <w:ind w:left="-50" w:right="-50"/>
              <w:jc w:val="center"/>
              <w:rPr>
                <w:sz w:val="18"/>
                <w:szCs w:val="18"/>
              </w:rPr>
            </w:pPr>
            <w:r>
              <w:rPr>
                <w:sz w:val="18"/>
                <w:szCs w:val="18"/>
              </w:rPr>
              <w:t>沼  气</w:t>
            </w:r>
          </w:p>
        </w:tc>
        <w:tc>
          <w:tcPr>
            <w:tcW w:w="837" w:type="dxa"/>
            <w:vMerge w:val="restart"/>
            <w:vAlign w:val="center"/>
          </w:tcPr>
          <w:p w14:paraId="500DE352">
            <w:pPr>
              <w:ind w:left="-50" w:right="-50"/>
              <w:jc w:val="center"/>
              <w:rPr>
                <w:sz w:val="18"/>
                <w:szCs w:val="18"/>
              </w:rPr>
            </w:pPr>
            <w:r>
              <w:rPr>
                <w:sz w:val="18"/>
                <w:szCs w:val="18"/>
              </w:rPr>
              <w:t>热  力</w:t>
            </w:r>
          </w:p>
        </w:tc>
        <w:tc>
          <w:tcPr>
            <w:tcW w:w="1768" w:type="dxa"/>
            <w:gridSpan w:val="2"/>
            <w:vAlign w:val="center"/>
          </w:tcPr>
          <w:p w14:paraId="6486AC9A">
            <w:pPr>
              <w:ind w:left="-50" w:right="-50"/>
              <w:jc w:val="center"/>
              <w:rPr>
                <w:sz w:val="18"/>
                <w:szCs w:val="18"/>
              </w:rPr>
            </w:pPr>
            <w:r>
              <w:rPr>
                <w:sz w:val="18"/>
                <w:szCs w:val="18"/>
              </w:rPr>
              <w:t>电力合计</w:t>
            </w:r>
          </w:p>
        </w:tc>
        <w:tc>
          <w:tcPr>
            <w:tcW w:w="883" w:type="dxa"/>
            <w:vMerge w:val="restart"/>
            <w:vAlign w:val="center"/>
          </w:tcPr>
          <w:p w14:paraId="651EF2EA">
            <w:pPr>
              <w:ind w:left="-50" w:right="-50"/>
              <w:jc w:val="center"/>
              <w:rPr>
                <w:sz w:val="18"/>
                <w:szCs w:val="18"/>
              </w:rPr>
            </w:pPr>
            <w:r>
              <w:rPr>
                <w:sz w:val="18"/>
                <w:szCs w:val="18"/>
              </w:rPr>
              <w:t>其 他　　　　　　　　　　能 源</w:t>
            </w:r>
          </w:p>
        </w:tc>
        <w:tc>
          <w:tcPr>
            <w:tcW w:w="1768" w:type="dxa"/>
            <w:gridSpan w:val="2"/>
            <w:shd w:val="clear" w:color="auto" w:fill="auto"/>
            <w:vAlign w:val="center"/>
          </w:tcPr>
          <w:p w14:paraId="0A357A83">
            <w:pPr>
              <w:ind w:left="-50" w:right="-50"/>
              <w:jc w:val="center"/>
              <w:rPr>
                <w:sz w:val="18"/>
                <w:szCs w:val="18"/>
              </w:rPr>
            </w:pPr>
            <w:r>
              <w:rPr>
                <w:sz w:val="18"/>
                <w:szCs w:val="18"/>
              </w:rPr>
              <w:t>合  计</w:t>
            </w:r>
          </w:p>
        </w:tc>
      </w:tr>
      <w:tr w14:paraId="3D25F85C">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3" w:hRule="atLeast"/>
          <w:jc w:val="center"/>
        </w:trPr>
        <w:tc>
          <w:tcPr>
            <w:tcW w:w="836" w:type="dxa"/>
            <w:vMerge w:val="continue"/>
            <w:tcBorders>
              <w:bottom w:val="single" w:color="auto" w:sz="2" w:space="0"/>
            </w:tcBorders>
            <w:vAlign w:val="center"/>
          </w:tcPr>
          <w:p w14:paraId="49F76111">
            <w:pPr>
              <w:ind w:right="-40"/>
              <w:jc w:val="center"/>
              <w:rPr>
                <w:sz w:val="18"/>
                <w:szCs w:val="18"/>
              </w:rPr>
            </w:pPr>
          </w:p>
        </w:tc>
        <w:tc>
          <w:tcPr>
            <w:tcW w:w="837" w:type="dxa"/>
            <w:vMerge w:val="continue"/>
            <w:tcBorders>
              <w:bottom w:val="single" w:color="auto" w:sz="2" w:space="0"/>
            </w:tcBorders>
            <w:vAlign w:val="center"/>
          </w:tcPr>
          <w:p w14:paraId="50C5783D">
            <w:pPr>
              <w:ind w:left="-50" w:right="-50"/>
              <w:jc w:val="center"/>
              <w:rPr>
                <w:sz w:val="18"/>
                <w:szCs w:val="18"/>
              </w:rPr>
            </w:pPr>
          </w:p>
        </w:tc>
        <w:tc>
          <w:tcPr>
            <w:tcW w:w="837" w:type="dxa"/>
            <w:vMerge w:val="continue"/>
            <w:tcBorders>
              <w:bottom w:val="single" w:color="auto" w:sz="2" w:space="0"/>
            </w:tcBorders>
            <w:vAlign w:val="center"/>
          </w:tcPr>
          <w:p w14:paraId="353C65C5">
            <w:pPr>
              <w:ind w:left="-50" w:right="-50"/>
              <w:jc w:val="center"/>
              <w:rPr>
                <w:sz w:val="18"/>
                <w:szCs w:val="18"/>
              </w:rPr>
            </w:pPr>
          </w:p>
        </w:tc>
        <w:tc>
          <w:tcPr>
            <w:tcW w:w="837" w:type="dxa"/>
            <w:vMerge w:val="continue"/>
            <w:tcBorders>
              <w:bottom w:val="single" w:color="auto" w:sz="2" w:space="0"/>
            </w:tcBorders>
            <w:vAlign w:val="center"/>
          </w:tcPr>
          <w:p w14:paraId="443355D8">
            <w:pPr>
              <w:ind w:left="-50" w:right="-50"/>
              <w:jc w:val="center"/>
              <w:rPr>
                <w:sz w:val="18"/>
                <w:szCs w:val="18"/>
              </w:rPr>
            </w:pPr>
          </w:p>
        </w:tc>
        <w:tc>
          <w:tcPr>
            <w:tcW w:w="837" w:type="dxa"/>
            <w:vMerge w:val="continue"/>
            <w:tcBorders>
              <w:bottom w:val="single" w:color="auto" w:sz="2" w:space="0"/>
            </w:tcBorders>
            <w:vAlign w:val="center"/>
          </w:tcPr>
          <w:p w14:paraId="3C10D9E1">
            <w:pPr>
              <w:ind w:left="-50" w:right="-50"/>
              <w:jc w:val="center"/>
              <w:rPr>
                <w:sz w:val="18"/>
                <w:szCs w:val="18"/>
              </w:rPr>
            </w:pPr>
          </w:p>
        </w:tc>
        <w:tc>
          <w:tcPr>
            <w:tcW w:w="837" w:type="dxa"/>
            <w:vMerge w:val="continue"/>
            <w:tcBorders>
              <w:bottom w:val="single" w:color="auto" w:sz="2" w:space="0"/>
            </w:tcBorders>
            <w:vAlign w:val="center"/>
          </w:tcPr>
          <w:p w14:paraId="3D53A0E1">
            <w:pPr>
              <w:ind w:left="-50" w:right="-50"/>
              <w:jc w:val="center"/>
              <w:rPr>
                <w:sz w:val="18"/>
                <w:szCs w:val="18"/>
              </w:rPr>
            </w:pPr>
          </w:p>
        </w:tc>
        <w:tc>
          <w:tcPr>
            <w:tcW w:w="884" w:type="dxa"/>
            <w:tcBorders>
              <w:bottom w:val="single" w:color="auto" w:sz="2" w:space="0"/>
            </w:tcBorders>
            <w:vAlign w:val="center"/>
          </w:tcPr>
          <w:p w14:paraId="1879EDB7">
            <w:pPr>
              <w:ind w:left="-50" w:right="-50"/>
              <w:jc w:val="center"/>
              <w:rPr>
                <w:sz w:val="18"/>
                <w:szCs w:val="18"/>
              </w:rPr>
            </w:pPr>
            <w:r>
              <w:rPr>
                <w:sz w:val="18"/>
                <w:szCs w:val="18"/>
              </w:rPr>
              <w:t>当量值</w:t>
            </w:r>
          </w:p>
        </w:tc>
        <w:tc>
          <w:tcPr>
            <w:tcW w:w="884" w:type="dxa"/>
            <w:tcBorders>
              <w:bottom w:val="single" w:color="auto" w:sz="2" w:space="0"/>
            </w:tcBorders>
            <w:shd w:val="clear" w:color="auto" w:fill="auto"/>
            <w:vAlign w:val="center"/>
          </w:tcPr>
          <w:p w14:paraId="6AAF150B">
            <w:pPr>
              <w:ind w:left="-50" w:right="-50"/>
              <w:jc w:val="center"/>
              <w:rPr>
                <w:sz w:val="18"/>
                <w:szCs w:val="18"/>
              </w:rPr>
            </w:pPr>
            <w:r>
              <w:rPr>
                <w:sz w:val="18"/>
                <w:szCs w:val="18"/>
              </w:rPr>
              <w:t>等价值</w:t>
            </w:r>
          </w:p>
        </w:tc>
        <w:tc>
          <w:tcPr>
            <w:tcW w:w="883" w:type="dxa"/>
            <w:vMerge w:val="continue"/>
            <w:tcBorders>
              <w:bottom w:val="single" w:color="auto" w:sz="2" w:space="0"/>
            </w:tcBorders>
            <w:vAlign w:val="center"/>
          </w:tcPr>
          <w:p w14:paraId="11CE1B0D">
            <w:pPr>
              <w:ind w:left="-50" w:right="-50"/>
              <w:jc w:val="center"/>
              <w:rPr>
                <w:sz w:val="18"/>
                <w:szCs w:val="18"/>
              </w:rPr>
            </w:pPr>
          </w:p>
        </w:tc>
        <w:tc>
          <w:tcPr>
            <w:tcW w:w="884" w:type="dxa"/>
            <w:tcBorders>
              <w:bottom w:val="single" w:color="auto" w:sz="2" w:space="0"/>
              <w:right w:val="single" w:color="auto" w:sz="4" w:space="0"/>
            </w:tcBorders>
            <w:shd w:val="clear" w:color="auto" w:fill="auto"/>
            <w:vAlign w:val="center"/>
          </w:tcPr>
          <w:p w14:paraId="0D8E200A">
            <w:pPr>
              <w:ind w:left="-50" w:right="-50"/>
              <w:jc w:val="center"/>
              <w:rPr>
                <w:sz w:val="18"/>
                <w:szCs w:val="18"/>
              </w:rPr>
            </w:pPr>
            <w:r>
              <w:rPr>
                <w:sz w:val="18"/>
                <w:szCs w:val="18"/>
              </w:rPr>
              <w:t>当量值</w:t>
            </w:r>
          </w:p>
        </w:tc>
        <w:tc>
          <w:tcPr>
            <w:tcW w:w="884" w:type="dxa"/>
            <w:tcBorders>
              <w:left w:val="single" w:color="auto" w:sz="4" w:space="0"/>
              <w:bottom w:val="single" w:color="auto" w:sz="2" w:space="0"/>
            </w:tcBorders>
            <w:shd w:val="clear" w:color="auto" w:fill="auto"/>
            <w:vAlign w:val="center"/>
          </w:tcPr>
          <w:p w14:paraId="7457C8D8">
            <w:pPr>
              <w:ind w:left="-50" w:right="-50"/>
              <w:jc w:val="center"/>
              <w:rPr>
                <w:sz w:val="18"/>
                <w:szCs w:val="18"/>
              </w:rPr>
            </w:pPr>
            <w:r>
              <w:rPr>
                <w:sz w:val="18"/>
                <w:szCs w:val="18"/>
              </w:rPr>
              <w:t>等价值</w:t>
            </w:r>
          </w:p>
        </w:tc>
      </w:tr>
      <w:tr w14:paraId="7C9B1F2E">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36" w:type="dxa"/>
            <w:tcBorders>
              <w:top w:val="single" w:color="auto" w:sz="2" w:space="0"/>
              <w:bottom w:val="single" w:color="auto" w:sz="2" w:space="0"/>
            </w:tcBorders>
            <w:vAlign w:val="center"/>
          </w:tcPr>
          <w:p w14:paraId="6704510C">
            <w:pPr>
              <w:spacing w:line="240" w:lineRule="atLeast"/>
              <w:ind w:right="-40"/>
              <w:jc w:val="center"/>
              <w:textAlignment w:val="center"/>
              <w:rPr>
                <w:sz w:val="18"/>
                <w:szCs w:val="18"/>
              </w:rPr>
            </w:pPr>
            <w:r>
              <w:rPr>
                <w:sz w:val="18"/>
                <w:szCs w:val="18"/>
              </w:rPr>
              <w:t>32</w:t>
            </w:r>
          </w:p>
        </w:tc>
        <w:tc>
          <w:tcPr>
            <w:tcW w:w="837" w:type="dxa"/>
            <w:tcBorders>
              <w:top w:val="single" w:color="auto" w:sz="2" w:space="0"/>
              <w:bottom w:val="single" w:color="auto" w:sz="2" w:space="0"/>
            </w:tcBorders>
            <w:vAlign w:val="center"/>
          </w:tcPr>
          <w:p w14:paraId="70501AA3">
            <w:pPr>
              <w:spacing w:line="240" w:lineRule="atLeast"/>
              <w:ind w:right="-40"/>
              <w:jc w:val="center"/>
              <w:textAlignment w:val="center"/>
              <w:rPr>
                <w:sz w:val="18"/>
                <w:szCs w:val="18"/>
              </w:rPr>
            </w:pPr>
            <w:r>
              <w:rPr>
                <w:sz w:val="18"/>
                <w:szCs w:val="18"/>
              </w:rPr>
              <w:t>33</w:t>
            </w:r>
          </w:p>
        </w:tc>
        <w:tc>
          <w:tcPr>
            <w:tcW w:w="837" w:type="dxa"/>
            <w:tcBorders>
              <w:top w:val="single" w:color="auto" w:sz="2" w:space="0"/>
              <w:bottom w:val="single" w:color="auto" w:sz="2" w:space="0"/>
            </w:tcBorders>
            <w:vAlign w:val="center"/>
          </w:tcPr>
          <w:p w14:paraId="7D118BBE">
            <w:pPr>
              <w:spacing w:line="240" w:lineRule="atLeast"/>
              <w:ind w:right="-40"/>
              <w:jc w:val="center"/>
              <w:textAlignment w:val="center"/>
              <w:rPr>
                <w:sz w:val="18"/>
                <w:szCs w:val="18"/>
              </w:rPr>
            </w:pPr>
            <w:r>
              <w:rPr>
                <w:sz w:val="18"/>
                <w:szCs w:val="18"/>
              </w:rPr>
              <w:t>34</w:t>
            </w:r>
          </w:p>
        </w:tc>
        <w:tc>
          <w:tcPr>
            <w:tcW w:w="837" w:type="dxa"/>
            <w:tcBorders>
              <w:top w:val="single" w:color="auto" w:sz="2" w:space="0"/>
              <w:bottom w:val="single" w:color="auto" w:sz="2" w:space="0"/>
            </w:tcBorders>
            <w:vAlign w:val="center"/>
          </w:tcPr>
          <w:p w14:paraId="58C01DEB">
            <w:pPr>
              <w:spacing w:line="240" w:lineRule="atLeast"/>
              <w:ind w:right="-40"/>
              <w:jc w:val="center"/>
              <w:textAlignment w:val="center"/>
              <w:rPr>
                <w:sz w:val="18"/>
                <w:szCs w:val="18"/>
              </w:rPr>
            </w:pPr>
            <w:r>
              <w:rPr>
                <w:sz w:val="18"/>
                <w:szCs w:val="18"/>
              </w:rPr>
              <w:t>35</w:t>
            </w:r>
          </w:p>
        </w:tc>
        <w:tc>
          <w:tcPr>
            <w:tcW w:w="837" w:type="dxa"/>
            <w:tcBorders>
              <w:top w:val="single" w:color="auto" w:sz="2" w:space="0"/>
              <w:bottom w:val="single" w:color="auto" w:sz="2" w:space="0"/>
            </w:tcBorders>
            <w:vAlign w:val="center"/>
          </w:tcPr>
          <w:p w14:paraId="6D578FE0">
            <w:pPr>
              <w:spacing w:line="240" w:lineRule="atLeast"/>
              <w:ind w:right="-40"/>
              <w:jc w:val="center"/>
              <w:textAlignment w:val="center"/>
              <w:rPr>
                <w:sz w:val="18"/>
                <w:szCs w:val="18"/>
              </w:rPr>
            </w:pPr>
            <w:r>
              <w:rPr>
                <w:sz w:val="18"/>
                <w:szCs w:val="18"/>
              </w:rPr>
              <w:t>36</w:t>
            </w:r>
          </w:p>
        </w:tc>
        <w:tc>
          <w:tcPr>
            <w:tcW w:w="837" w:type="dxa"/>
            <w:tcBorders>
              <w:top w:val="single" w:color="auto" w:sz="2" w:space="0"/>
              <w:bottom w:val="single" w:color="auto" w:sz="2" w:space="0"/>
            </w:tcBorders>
            <w:vAlign w:val="center"/>
          </w:tcPr>
          <w:p w14:paraId="3CB48F46">
            <w:pPr>
              <w:spacing w:line="240" w:lineRule="atLeast"/>
              <w:ind w:right="-40"/>
              <w:jc w:val="center"/>
              <w:textAlignment w:val="center"/>
              <w:rPr>
                <w:sz w:val="18"/>
                <w:szCs w:val="18"/>
              </w:rPr>
            </w:pPr>
            <w:r>
              <w:rPr>
                <w:sz w:val="18"/>
                <w:szCs w:val="18"/>
              </w:rPr>
              <w:t>37</w:t>
            </w:r>
          </w:p>
        </w:tc>
        <w:tc>
          <w:tcPr>
            <w:tcW w:w="884" w:type="dxa"/>
            <w:tcBorders>
              <w:top w:val="single" w:color="auto" w:sz="2" w:space="0"/>
              <w:bottom w:val="single" w:color="auto" w:sz="2" w:space="0"/>
            </w:tcBorders>
            <w:vAlign w:val="center"/>
          </w:tcPr>
          <w:p w14:paraId="5B414ABB">
            <w:pPr>
              <w:spacing w:line="240" w:lineRule="atLeast"/>
              <w:ind w:right="-40"/>
              <w:jc w:val="center"/>
              <w:textAlignment w:val="center"/>
              <w:rPr>
                <w:sz w:val="18"/>
                <w:szCs w:val="18"/>
              </w:rPr>
            </w:pPr>
            <w:r>
              <w:rPr>
                <w:sz w:val="18"/>
                <w:szCs w:val="18"/>
              </w:rPr>
              <w:t>38</w:t>
            </w:r>
          </w:p>
        </w:tc>
        <w:tc>
          <w:tcPr>
            <w:tcW w:w="884" w:type="dxa"/>
            <w:tcBorders>
              <w:top w:val="single" w:color="auto" w:sz="2" w:space="0"/>
              <w:bottom w:val="single" w:color="auto" w:sz="2" w:space="0"/>
            </w:tcBorders>
            <w:vAlign w:val="center"/>
          </w:tcPr>
          <w:p w14:paraId="6204F6C8">
            <w:pPr>
              <w:spacing w:line="240" w:lineRule="atLeast"/>
              <w:ind w:right="-40"/>
              <w:jc w:val="center"/>
              <w:textAlignment w:val="center"/>
              <w:rPr>
                <w:sz w:val="18"/>
                <w:szCs w:val="18"/>
              </w:rPr>
            </w:pPr>
            <w:r>
              <w:rPr>
                <w:sz w:val="18"/>
                <w:szCs w:val="18"/>
              </w:rPr>
              <w:t>39</w:t>
            </w:r>
          </w:p>
        </w:tc>
        <w:tc>
          <w:tcPr>
            <w:tcW w:w="883" w:type="dxa"/>
            <w:tcBorders>
              <w:top w:val="single" w:color="auto" w:sz="2" w:space="0"/>
              <w:bottom w:val="single" w:color="auto" w:sz="2" w:space="0"/>
            </w:tcBorders>
            <w:vAlign w:val="center"/>
          </w:tcPr>
          <w:p w14:paraId="3388765A">
            <w:pPr>
              <w:spacing w:line="240" w:lineRule="atLeast"/>
              <w:ind w:right="-40"/>
              <w:jc w:val="center"/>
              <w:textAlignment w:val="center"/>
              <w:rPr>
                <w:sz w:val="18"/>
                <w:szCs w:val="18"/>
              </w:rPr>
            </w:pPr>
            <w:r>
              <w:rPr>
                <w:sz w:val="18"/>
                <w:szCs w:val="18"/>
              </w:rPr>
              <w:t>40</w:t>
            </w:r>
          </w:p>
        </w:tc>
        <w:tc>
          <w:tcPr>
            <w:tcW w:w="884" w:type="dxa"/>
            <w:tcBorders>
              <w:top w:val="single" w:color="auto" w:sz="2" w:space="0"/>
              <w:bottom w:val="single" w:color="auto" w:sz="2" w:space="0"/>
            </w:tcBorders>
            <w:vAlign w:val="center"/>
          </w:tcPr>
          <w:p w14:paraId="39B04ADF">
            <w:pPr>
              <w:spacing w:line="240" w:lineRule="atLeast"/>
              <w:ind w:right="-40"/>
              <w:jc w:val="center"/>
              <w:textAlignment w:val="center"/>
              <w:rPr>
                <w:sz w:val="18"/>
                <w:szCs w:val="18"/>
              </w:rPr>
            </w:pPr>
            <w:r>
              <w:rPr>
                <w:sz w:val="18"/>
                <w:szCs w:val="18"/>
              </w:rPr>
              <w:t>41</w:t>
            </w:r>
          </w:p>
        </w:tc>
        <w:tc>
          <w:tcPr>
            <w:tcW w:w="884" w:type="dxa"/>
            <w:tcBorders>
              <w:top w:val="single" w:color="auto" w:sz="2" w:space="0"/>
              <w:bottom w:val="single" w:color="auto" w:sz="2" w:space="0"/>
            </w:tcBorders>
            <w:vAlign w:val="center"/>
          </w:tcPr>
          <w:p w14:paraId="2BFB8C1F">
            <w:pPr>
              <w:spacing w:line="240" w:lineRule="atLeast"/>
              <w:ind w:right="-40"/>
              <w:jc w:val="center"/>
              <w:textAlignment w:val="center"/>
              <w:rPr>
                <w:sz w:val="18"/>
                <w:szCs w:val="18"/>
              </w:rPr>
            </w:pPr>
            <w:r>
              <w:rPr>
                <w:sz w:val="18"/>
                <w:szCs w:val="18"/>
              </w:rPr>
              <w:t>42</w:t>
            </w:r>
          </w:p>
        </w:tc>
      </w:tr>
      <w:tr w14:paraId="1D4DDF4C">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9440" w:type="dxa"/>
            <w:gridSpan w:val="11"/>
            <w:tcBorders>
              <w:top w:val="single" w:color="auto" w:sz="2" w:space="0"/>
              <w:bottom w:val="single" w:color="auto" w:sz="8" w:space="0"/>
            </w:tcBorders>
            <w:vAlign w:val="center"/>
          </w:tcPr>
          <w:p w14:paraId="6EFE3331">
            <w:pPr>
              <w:ind w:right="-40"/>
              <w:jc w:val="center"/>
              <w:rPr>
                <w:sz w:val="18"/>
                <w:szCs w:val="18"/>
              </w:rPr>
            </w:pPr>
          </w:p>
        </w:tc>
      </w:tr>
    </w:tbl>
    <w:p w14:paraId="21772A07">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14:paraId="478CFB41">
      <w:pPr>
        <w:ind w:right="-40"/>
        <w:rPr>
          <w:b/>
          <w:sz w:val="18"/>
          <w:szCs w:val="18"/>
        </w:rPr>
      </w:pPr>
    </w:p>
    <w:p w14:paraId="007629E2">
      <w:pPr>
        <w:spacing w:line="320" w:lineRule="exact"/>
        <w:ind w:left="675" w:hanging="675" w:hangingChars="375"/>
        <w:rPr>
          <w:sz w:val="18"/>
          <w:szCs w:val="18"/>
        </w:rPr>
      </w:pPr>
      <w:r>
        <w:rPr>
          <w:sz w:val="18"/>
          <w:szCs w:val="18"/>
        </w:rPr>
        <w:t>说明：1.本表的标准量是由P303-1表中的实物量乘以折标准煤系数生成，由各省、自治区、直辖市统计局负责报送。报送时间为次年5月31日前，报送方式为电子邮件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7018CBC9">
      <w:pPr>
        <w:spacing w:line="320" w:lineRule="exact"/>
        <w:ind w:right="-40" w:firstLine="540" w:firstLineChars="300"/>
        <w:rPr>
          <w:sz w:val="18"/>
          <w:szCs w:val="18"/>
        </w:rPr>
      </w:pPr>
      <w:r>
        <w:rPr>
          <w:sz w:val="18"/>
          <w:szCs w:val="18"/>
        </w:rPr>
        <w:t>2.平衡关系：</w:t>
      </w:r>
    </w:p>
    <w:p w14:paraId="529D40E2">
      <w:pPr>
        <w:spacing w:line="320" w:lineRule="exact"/>
        <w:ind w:right="-40" w:firstLine="675" w:firstLineChars="375"/>
        <w:rPr>
          <w:sz w:val="18"/>
          <w:szCs w:val="18"/>
        </w:rPr>
      </w:pPr>
      <w:r>
        <w:rPr>
          <w:sz w:val="18"/>
          <w:szCs w:val="18"/>
        </w:rPr>
        <w:t>列平衡关系：(1)合计当量值(41)=1+10+……+17+32+……+37+38+40</w:t>
      </w:r>
    </w:p>
    <w:p w14:paraId="33586B3E">
      <w:pPr>
        <w:spacing w:line="320" w:lineRule="exact"/>
        <w:ind w:right="-40" w:firstLine="774" w:firstLineChars="430"/>
        <w:rPr>
          <w:sz w:val="18"/>
          <w:szCs w:val="18"/>
        </w:rPr>
      </w:pPr>
      <w:r>
        <w:rPr>
          <w:sz w:val="18"/>
          <w:szCs w:val="18"/>
        </w:rPr>
        <w:t xml:space="preserve">           (2)合计等价值(42)=1+10+……+17+32+……+37+39+40</w:t>
      </w:r>
    </w:p>
    <w:p w14:paraId="31230EFD">
      <w:pPr>
        <w:spacing w:line="320" w:lineRule="exact"/>
        <w:ind w:left="1932" w:leftChars="320" w:right="-40" w:hanging="1260" w:hangingChars="700"/>
        <w:rPr>
          <w:sz w:val="18"/>
          <w:szCs w:val="18"/>
        </w:rPr>
      </w:pPr>
      <w:r>
        <w:rPr>
          <w:sz w:val="18"/>
          <w:szCs w:val="18"/>
        </w:rPr>
        <w:t>行平衡关系：40行第41列和第42列的消费量合计=加工转换投入产出(-11)+损失量(23)+终端消费量(25)</w:t>
      </w:r>
    </w:p>
    <w:p w14:paraId="43DB45AD">
      <w:pPr>
        <w:spacing w:before="480" w:beforeLines="200" w:after="240" w:afterLines="100"/>
        <w:jc w:val="center"/>
        <w:outlineLvl w:val="2"/>
        <w:rPr>
          <w:sz w:val="32"/>
          <w:szCs w:val="32"/>
        </w:rPr>
      </w:pPr>
      <w:r>
        <w:rPr>
          <w:sz w:val="18"/>
          <w:szCs w:val="18"/>
        </w:rPr>
        <w:br w:type="page"/>
      </w:r>
      <w:r>
        <w:rPr>
          <w:sz w:val="32"/>
          <w:szCs w:val="32"/>
        </w:rPr>
        <w:t>分行业终端能源消费量</w:t>
      </w:r>
      <w:r>
        <w:rPr>
          <w:rFonts w:hint="eastAsia"/>
          <w:sz w:val="32"/>
          <w:szCs w:val="32"/>
        </w:rPr>
        <w:t>（</w:t>
      </w:r>
      <w:r>
        <w:rPr>
          <w:sz w:val="32"/>
          <w:szCs w:val="32"/>
        </w:rPr>
        <w:t>标准量</w:t>
      </w:r>
      <w:r>
        <w:rPr>
          <w:rFonts w:hint="eastAsia"/>
          <w:sz w:val="32"/>
          <w:szCs w:val="32"/>
        </w:rPr>
        <w:t>）</w:t>
      </w:r>
    </w:p>
    <w:tbl>
      <w:tblPr>
        <w:tblStyle w:val="20"/>
        <w:tblW w:w="9402" w:type="dxa"/>
        <w:jc w:val="center"/>
        <w:tblLayout w:type="autofit"/>
        <w:tblCellMar>
          <w:top w:w="0" w:type="dxa"/>
          <w:left w:w="0" w:type="dxa"/>
          <w:bottom w:w="0" w:type="dxa"/>
          <w:right w:w="0" w:type="dxa"/>
        </w:tblCellMar>
      </w:tblPr>
      <w:tblGrid>
        <w:gridCol w:w="3460"/>
        <w:gridCol w:w="735"/>
        <w:gridCol w:w="2446"/>
        <w:gridCol w:w="837"/>
        <w:gridCol w:w="1924"/>
      </w:tblGrid>
      <w:tr w14:paraId="35F5118A">
        <w:tblPrEx>
          <w:tblCellMar>
            <w:top w:w="0" w:type="dxa"/>
            <w:left w:w="0" w:type="dxa"/>
            <w:bottom w:w="0" w:type="dxa"/>
            <w:right w:w="0" w:type="dxa"/>
          </w:tblCellMar>
        </w:tblPrEx>
        <w:trPr>
          <w:jc w:val="center"/>
        </w:trPr>
        <w:tc>
          <w:tcPr>
            <w:tcW w:w="3460" w:type="dxa"/>
          </w:tcPr>
          <w:p w14:paraId="0782D9AB">
            <w:pPr>
              <w:spacing w:line="260" w:lineRule="exact"/>
              <w:rPr>
                <w:sz w:val="18"/>
                <w:szCs w:val="18"/>
              </w:rPr>
            </w:pPr>
          </w:p>
        </w:tc>
        <w:tc>
          <w:tcPr>
            <w:tcW w:w="735" w:type="dxa"/>
          </w:tcPr>
          <w:p w14:paraId="55CE9B78">
            <w:pPr>
              <w:spacing w:line="260" w:lineRule="exact"/>
              <w:rPr>
                <w:sz w:val="18"/>
                <w:szCs w:val="18"/>
              </w:rPr>
            </w:pPr>
          </w:p>
        </w:tc>
        <w:tc>
          <w:tcPr>
            <w:tcW w:w="2446" w:type="dxa"/>
          </w:tcPr>
          <w:p w14:paraId="0897EEEE">
            <w:pPr>
              <w:spacing w:line="260" w:lineRule="exact"/>
              <w:rPr>
                <w:sz w:val="18"/>
                <w:szCs w:val="18"/>
              </w:rPr>
            </w:pPr>
            <w:r>
              <w:rPr>
                <w:sz w:val="18"/>
                <w:szCs w:val="18"/>
              </w:rPr>
              <w:t>　　　　　　　　　　　　　</w:t>
            </w:r>
          </w:p>
        </w:tc>
        <w:tc>
          <w:tcPr>
            <w:tcW w:w="837" w:type="dxa"/>
            <w:tcMar>
              <w:left w:w="0" w:type="dxa"/>
              <w:right w:w="0" w:type="dxa"/>
            </w:tcMar>
          </w:tcPr>
          <w:p w14:paraId="31B9B494">
            <w:pPr>
              <w:spacing w:line="260" w:lineRule="exact"/>
              <w:rPr>
                <w:sz w:val="18"/>
                <w:szCs w:val="18"/>
              </w:rPr>
            </w:pPr>
            <w:r>
              <w:rPr>
                <w:sz w:val="18"/>
                <w:szCs w:val="18"/>
              </w:rPr>
              <w:t>表    号：</w:t>
            </w:r>
          </w:p>
        </w:tc>
        <w:tc>
          <w:tcPr>
            <w:tcW w:w="1924" w:type="dxa"/>
            <w:vAlign w:val="center"/>
          </w:tcPr>
          <w:p w14:paraId="0B4829CD">
            <w:pPr>
              <w:spacing w:line="260" w:lineRule="exact"/>
              <w:jc w:val="distribute"/>
              <w:rPr>
                <w:sz w:val="18"/>
                <w:szCs w:val="18"/>
              </w:rPr>
            </w:pPr>
            <w:r>
              <w:rPr>
                <w:sz w:val="18"/>
                <w:szCs w:val="18"/>
              </w:rPr>
              <w:t>Ｐ３０３－５表</w:t>
            </w:r>
          </w:p>
        </w:tc>
      </w:tr>
      <w:tr w14:paraId="41AB9E59">
        <w:tblPrEx>
          <w:tblCellMar>
            <w:top w:w="0" w:type="dxa"/>
            <w:left w:w="0" w:type="dxa"/>
            <w:bottom w:w="0" w:type="dxa"/>
            <w:right w:w="0" w:type="dxa"/>
          </w:tblCellMar>
        </w:tblPrEx>
        <w:trPr>
          <w:jc w:val="center"/>
        </w:trPr>
        <w:tc>
          <w:tcPr>
            <w:tcW w:w="3460" w:type="dxa"/>
          </w:tcPr>
          <w:p w14:paraId="13C288AE">
            <w:pPr>
              <w:spacing w:line="260" w:lineRule="exact"/>
              <w:rPr>
                <w:sz w:val="18"/>
                <w:szCs w:val="18"/>
              </w:rPr>
            </w:pPr>
          </w:p>
        </w:tc>
        <w:tc>
          <w:tcPr>
            <w:tcW w:w="735" w:type="dxa"/>
          </w:tcPr>
          <w:p w14:paraId="50D9850F">
            <w:pPr>
              <w:spacing w:line="260" w:lineRule="exact"/>
              <w:rPr>
                <w:sz w:val="18"/>
                <w:szCs w:val="18"/>
              </w:rPr>
            </w:pPr>
          </w:p>
        </w:tc>
        <w:tc>
          <w:tcPr>
            <w:tcW w:w="2446" w:type="dxa"/>
          </w:tcPr>
          <w:p w14:paraId="14F8A12D">
            <w:pPr>
              <w:spacing w:line="260" w:lineRule="exact"/>
              <w:rPr>
                <w:sz w:val="18"/>
                <w:szCs w:val="18"/>
              </w:rPr>
            </w:pPr>
          </w:p>
        </w:tc>
        <w:tc>
          <w:tcPr>
            <w:tcW w:w="837" w:type="dxa"/>
            <w:tcMar>
              <w:left w:w="0" w:type="dxa"/>
              <w:right w:w="0" w:type="dxa"/>
            </w:tcMar>
            <w:vAlign w:val="center"/>
          </w:tcPr>
          <w:p w14:paraId="3EF655EE">
            <w:pPr>
              <w:spacing w:line="260" w:lineRule="exact"/>
              <w:rPr>
                <w:sz w:val="18"/>
                <w:szCs w:val="18"/>
              </w:rPr>
            </w:pPr>
            <w:r>
              <w:rPr>
                <w:sz w:val="18"/>
                <w:szCs w:val="18"/>
              </w:rPr>
              <w:t>制定机关：</w:t>
            </w:r>
          </w:p>
        </w:tc>
        <w:tc>
          <w:tcPr>
            <w:tcW w:w="1924" w:type="dxa"/>
            <w:vAlign w:val="center"/>
          </w:tcPr>
          <w:p w14:paraId="3E6DEF9B">
            <w:pPr>
              <w:spacing w:line="260" w:lineRule="exact"/>
              <w:jc w:val="distribute"/>
              <w:rPr>
                <w:sz w:val="18"/>
                <w:szCs w:val="18"/>
              </w:rPr>
            </w:pPr>
            <w:r>
              <w:rPr>
                <w:sz w:val="18"/>
                <w:szCs w:val="18"/>
              </w:rPr>
              <w:t>国 家 统 计 局</w:t>
            </w:r>
          </w:p>
        </w:tc>
      </w:tr>
      <w:tr w14:paraId="27960AF0">
        <w:tblPrEx>
          <w:tblCellMar>
            <w:top w:w="0" w:type="dxa"/>
            <w:left w:w="0" w:type="dxa"/>
            <w:bottom w:w="0" w:type="dxa"/>
            <w:right w:w="0" w:type="dxa"/>
          </w:tblCellMar>
        </w:tblPrEx>
        <w:trPr>
          <w:jc w:val="center"/>
        </w:trPr>
        <w:tc>
          <w:tcPr>
            <w:tcW w:w="3460" w:type="dxa"/>
          </w:tcPr>
          <w:p w14:paraId="7E31343C">
            <w:pPr>
              <w:spacing w:line="260" w:lineRule="exact"/>
              <w:rPr>
                <w:sz w:val="18"/>
                <w:szCs w:val="18"/>
              </w:rPr>
            </w:pPr>
          </w:p>
        </w:tc>
        <w:tc>
          <w:tcPr>
            <w:tcW w:w="735" w:type="dxa"/>
          </w:tcPr>
          <w:p w14:paraId="4A5E3E56">
            <w:pPr>
              <w:spacing w:line="260" w:lineRule="exact"/>
              <w:rPr>
                <w:sz w:val="18"/>
                <w:szCs w:val="18"/>
              </w:rPr>
            </w:pPr>
          </w:p>
        </w:tc>
        <w:tc>
          <w:tcPr>
            <w:tcW w:w="2446" w:type="dxa"/>
          </w:tcPr>
          <w:p w14:paraId="6E132FA3">
            <w:pPr>
              <w:spacing w:line="260" w:lineRule="exact"/>
              <w:rPr>
                <w:sz w:val="18"/>
                <w:szCs w:val="18"/>
              </w:rPr>
            </w:pPr>
          </w:p>
        </w:tc>
        <w:tc>
          <w:tcPr>
            <w:tcW w:w="837" w:type="dxa"/>
            <w:tcMar>
              <w:left w:w="0" w:type="dxa"/>
              <w:right w:w="0" w:type="dxa"/>
            </w:tcMar>
            <w:vAlign w:val="center"/>
          </w:tcPr>
          <w:p w14:paraId="4F2C0491">
            <w:pPr>
              <w:spacing w:line="260" w:lineRule="exact"/>
              <w:rPr>
                <w:sz w:val="18"/>
                <w:szCs w:val="18"/>
              </w:rPr>
            </w:pPr>
            <w:r>
              <w:rPr>
                <w:sz w:val="18"/>
                <w:szCs w:val="18"/>
              </w:rPr>
              <w:t>文    号：</w:t>
            </w:r>
          </w:p>
        </w:tc>
        <w:tc>
          <w:tcPr>
            <w:tcW w:w="1924" w:type="dxa"/>
            <w:vAlign w:val="center"/>
          </w:tcPr>
          <w:p w14:paraId="7C415327">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56" w:author="kylin" w:date="2025-10-17T16:21:01Z">
              <w:r>
                <w:rPr>
                  <w:rFonts w:hint="default" w:ascii="宋体" w:hAnsi="宋体"/>
                  <w:spacing w:val="-16"/>
                  <w:sz w:val="18"/>
                  <w:szCs w:val="18"/>
                  <w:lang w:val="en-US" w:eastAsia="zh-CN"/>
                </w:rPr>
                <w:delText>４</w:delText>
              </w:r>
            </w:del>
            <w:ins w:id="357" w:author="kylin" w:date="2025-10-17T16:21:01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58" w:author="kylin" w:date="2025-10-17T16:21:03Z">
              <w:r>
                <w:rPr>
                  <w:rFonts w:hint="default" w:ascii="宋体" w:hAnsi="宋体"/>
                  <w:spacing w:val="-16"/>
                  <w:sz w:val="18"/>
                  <w:szCs w:val="18"/>
                  <w:lang w:val="en-US" w:eastAsia="zh-CN"/>
                </w:rPr>
                <w:delText>77</w:delText>
              </w:r>
            </w:del>
            <w:ins w:id="359" w:author="kylin" w:date="2025-10-17T16:21:03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7D15C50D">
        <w:tblPrEx>
          <w:tblCellMar>
            <w:top w:w="0" w:type="dxa"/>
            <w:left w:w="0" w:type="dxa"/>
            <w:bottom w:w="0" w:type="dxa"/>
            <w:right w:w="0" w:type="dxa"/>
          </w:tblCellMar>
        </w:tblPrEx>
        <w:trPr>
          <w:jc w:val="center"/>
        </w:trPr>
        <w:tc>
          <w:tcPr>
            <w:tcW w:w="3460" w:type="dxa"/>
          </w:tcPr>
          <w:p w14:paraId="291C3C8B">
            <w:pPr>
              <w:spacing w:line="260" w:lineRule="exact"/>
              <w:jc w:val="left"/>
              <w:rPr>
                <w:sz w:val="18"/>
                <w:szCs w:val="18"/>
              </w:rPr>
            </w:pPr>
          </w:p>
        </w:tc>
        <w:tc>
          <w:tcPr>
            <w:tcW w:w="735" w:type="dxa"/>
          </w:tcPr>
          <w:p w14:paraId="3D25E02F">
            <w:pPr>
              <w:spacing w:line="260" w:lineRule="exact"/>
              <w:rPr>
                <w:sz w:val="18"/>
                <w:szCs w:val="18"/>
              </w:rPr>
            </w:pPr>
          </w:p>
        </w:tc>
        <w:tc>
          <w:tcPr>
            <w:tcW w:w="2446" w:type="dxa"/>
          </w:tcPr>
          <w:p w14:paraId="4AD376BD">
            <w:pPr>
              <w:spacing w:line="260" w:lineRule="exact"/>
              <w:rPr>
                <w:sz w:val="18"/>
                <w:szCs w:val="18"/>
              </w:rPr>
            </w:pPr>
          </w:p>
        </w:tc>
        <w:tc>
          <w:tcPr>
            <w:tcW w:w="837" w:type="dxa"/>
            <w:tcMar>
              <w:left w:w="0" w:type="dxa"/>
              <w:right w:w="0" w:type="dxa"/>
            </w:tcMar>
            <w:vAlign w:val="center"/>
          </w:tcPr>
          <w:p w14:paraId="1F6E73BF">
            <w:pPr>
              <w:spacing w:line="260" w:lineRule="exact"/>
              <w:rPr>
                <w:sz w:val="18"/>
                <w:szCs w:val="18"/>
              </w:rPr>
            </w:pPr>
            <w:r>
              <w:rPr>
                <w:sz w:val="18"/>
                <w:szCs w:val="18"/>
              </w:rPr>
              <w:t>有效期至：</w:t>
            </w:r>
          </w:p>
        </w:tc>
        <w:tc>
          <w:tcPr>
            <w:tcW w:w="1924" w:type="dxa"/>
            <w:vAlign w:val="center"/>
          </w:tcPr>
          <w:p w14:paraId="01046560">
            <w:pPr>
              <w:spacing w:line="260" w:lineRule="exact"/>
              <w:jc w:val="distribute"/>
              <w:rPr>
                <w:rFonts w:hint="default"/>
                <w:sz w:val="18"/>
                <w:szCs w:val="18"/>
                <w:lang w:val="en"/>
              </w:rPr>
            </w:pPr>
            <w:r>
              <w:rPr>
                <w:sz w:val="18"/>
                <w:szCs w:val="18"/>
                <w:lang w:val="en"/>
              </w:rPr>
              <w:t>２０２</w:t>
            </w:r>
            <w:del w:id="360" w:author="kylin" w:date="2025-10-17T16:21:05Z">
              <w:r>
                <w:rPr>
                  <w:rFonts w:hint="default"/>
                  <w:kern w:val="0"/>
                  <w:sz w:val="18"/>
                  <w:szCs w:val="18"/>
                  <w:lang w:val="en-US"/>
                </w:rPr>
                <w:delText>５</w:delText>
              </w:r>
            </w:del>
            <w:ins w:id="361" w:author="kylin" w:date="2025-10-17T16:21:05Z">
              <w:r>
                <w:rPr>
                  <w:rFonts w:hint="eastAsia"/>
                  <w:kern w:val="0"/>
                  <w:sz w:val="18"/>
                  <w:szCs w:val="18"/>
                  <w:lang w:val="en-US" w:eastAsia="zh-CN"/>
                </w:rPr>
                <w:t>6</w:t>
              </w:r>
            </w:ins>
            <w:r>
              <w:rPr>
                <w:sz w:val="18"/>
                <w:szCs w:val="18"/>
                <w:lang w:val="en"/>
              </w:rPr>
              <w:t>年６月</w:t>
            </w:r>
          </w:p>
        </w:tc>
      </w:tr>
      <w:tr w14:paraId="27AA0012">
        <w:tblPrEx>
          <w:tblCellMar>
            <w:top w:w="0" w:type="dxa"/>
            <w:left w:w="0" w:type="dxa"/>
            <w:bottom w:w="0" w:type="dxa"/>
            <w:right w:w="0" w:type="dxa"/>
          </w:tblCellMar>
        </w:tblPrEx>
        <w:trPr>
          <w:jc w:val="center"/>
        </w:trPr>
        <w:tc>
          <w:tcPr>
            <w:tcW w:w="3460" w:type="dxa"/>
          </w:tcPr>
          <w:p w14:paraId="15E8B7D5">
            <w:pPr>
              <w:spacing w:line="260" w:lineRule="exact"/>
              <w:rPr>
                <w:sz w:val="18"/>
              </w:rPr>
            </w:pPr>
            <w:r>
              <w:rPr>
                <w:sz w:val="18"/>
              </w:rPr>
              <w:t>综合机关名称：</w:t>
            </w:r>
          </w:p>
        </w:tc>
        <w:tc>
          <w:tcPr>
            <w:tcW w:w="735" w:type="dxa"/>
          </w:tcPr>
          <w:p w14:paraId="2D2D4714">
            <w:pPr>
              <w:spacing w:line="260" w:lineRule="exact"/>
              <w:rPr>
                <w:sz w:val="18"/>
                <w:szCs w:val="18"/>
              </w:rPr>
            </w:pPr>
          </w:p>
        </w:tc>
        <w:tc>
          <w:tcPr>
            <w:tcW w:w="2446" w:type="dxa"/>
          </w:tcPr>
          <w:p w14:paraId="1D079F99">
            <w:pPr>
              <w:spacing w:line="260" w:lineRule="exact"/>
              <w:rPr>
                <w:sz w:val="18"/>
                <w:szCs w:val="18"/>
              </w:rPr>
            </w:pPr>
            <w:r>
              <w:rPr>
                <w:sz w:val="18"/>
                <w:szCs w:val="18"/>
              </w:rPr>
              <w:t>２０　　年　　　　　　　　　</w:t>
            </w:r>
          </w:p>
        </w:tc>
        <w:tc>
          <w:tcPr>
            <w:tcW w:w="837" w:type="dxa"/>
            <w:tcMar>
              <w:left w:w="0" w:type="dxa"/>
              <w:right w:w="0" w:type="dxa"/>
            </w:tcMar>
            <w:vAlign w:val="center"/>
          </w:tcPr>
          <w:p w14:paraId="61A2229B">
            <w:pPr>
              <w:spacing w:line="260" w:lineRule="exact"/>
              <w:rPr>
                <w:sz w:val="18"/>
                <w:szCs w:val="18"/>
              </w:rPr>
            </w:pPr>
            <w:r>
              <w:rPr>
                <w:sz w:val="18"/>
                <w:szCs w:val="18"/>
              </w:rPr>
              <w:t>计量单位：</w:t>
            </w:r>
          </w:p>
        </w:tc>
        <w:tc>
          <w:tcPr>
            <w:tcW w:w="1924" w:type="dxa"/>
            <w:vAlign w:val="center"/>
          </w:tcPr>
          <w:p w14:paraId="7CCB306A">
            <w:pPr>
              <w:spacing w:line="260" w:lineRule="exact"/>
              <w:jc w:val="distribute"/>
              <w:rPr>
                <w:sz w:val="18"/>
                <w:szCs w:val="18"/>
              </w:rPr>
            </w:pPr>
            <w:r>
              <w:rPr>
                <w:sz w:val="18"/>
                <w:szCs w:val="18"/>
              </w:rPr>
              <w:t>万吨标准煤</w:t>
            </w:r>
          </w:p>
        </w:tc>
      </w:tr>
    </w:tbl>
    <w:p w14:paraId="1E464624">
      <w:pPr>
        <w:spacing w:line="20" w:lineRule="exact"/>
        <w:ind w:right="-42" w:rightChars="-20"/>
        <w:rPr>
          <w:sz w:val="18"/>
          <w:szCs w:val="18"/>
        </w:rPr>
      </w:pPr>
    </w:p>
    <w:tbl>
      <w:tblPr>
        <w:tblStyle w:val="20"/>
        <w:tblW w:w="9394" w:type="dxa"/>
        <w:jc w:val="center"/>
        <w:tblLayout w:type="fixed"/>
        <w:tblCellMar>
          <w:top w:w="0" w:type="dxa"/>
          <w:left w:w="108" w:type="dxa"/>
          <w:bottom w:w="0" w:type="dxa"/>
          <w:right w:w="108" w:type="dxa"/>
        </w:tblCellMar>
      </w:tblPr>
      <w:tblGrid>
        <w:gridCol w:w="2093"/>
        <w:gridCol w:w="698"/>
        <w:gridCol w:w="731"/>
        <w:gridCol w:w="732"/>
        <w:gridCol w:w="728"/>
        <w:gridCol w:w="737"/>
        <w:gridCol w:w="733"/>
        <w:gridCol w:w="742"/>
        <w:gridCol w:w="732"/>
        <w:gridCol w:w="733"/>
        <w:gridCol w:w="735"/>
      </w:tblGrid>
      <w:tr w14:paraId="76929C80">
        <w:tblPrEx>
          <w:tblCellMar>
            <w:top w:w="0" w:type="dxa"/>
            <w:left w:w="108" w:type="dxa"/>
            <w:bottom w:w="0" w:type="dxa"/>
            <w:right w:w="108" w:type="dxa"/>
          </w:tblCellMar>
        </w:tblPrEx>
        <w:trPr>
          <w:trHeight w:val="189" w:hRule="atLeast"/>
          <w:jc w:val="center"/>
        </w:trPr>
        <w:tc>
          <w:tcPr>
            <w:tcW w:w="2095" w:type="dxa"/>
            <w:vMerge w:val="restart"/>
            <w:tcBorders>
              <w:top w:val="single" w:color="auto" w:sz="8" w:space="0"/>
              <w:bottom w:val="single" w:color="auto" w:sz="2" w:space="0"/>
              <w:right w:val="single" w:color="auto" w:sz="2" w:space="0"/>
            </w:tcBorders>
            <w:shd w:val="clear" w:color="auto" w:fill="auto"/>
            <w:noWrap/>
            <w:vAlign w:val="center"/>
          </w:tcPr>
          <w:p w14:paraId="5E8C22D7">
            <w:pPr>
              <w:widowControl/>
              <w:ind w:left="-105" w:leftChars="-50" w:right="-105" w:rightChars="-50"/>
              <w:jc w:val="center"/>
              <w:rPr>
                <w:kern w:val="0"/>
                <w:sz w:val="18"/>
                <w:szCs w:val="18"/>
              </w:rPr>
            </w:pPr>
            <w:r>
              <w:rPr>
                <w:kern w:val="0"/>
                <w:sz w:val="18"/>
                <w:szCs w:val="18"/>
              </w:rPr>
              <w:t>指标名称</w:t>
            </w:r>
          </w:p>
        </w:tc>
        <w:tc>
          <w:tcPr>
            <w:tcW w:w="698" w:type="dxa"/>
            <w:vMerge w:val="restart"/>
            <w:tcBorders>
              <w:top w:val="single" w:color="auto" w:sz="8" w:space="0"/>
              <w:left w:val="single" w:color="auto" w:sz="2" w:space="0"/>
              <w:bottom w:val="single" w:color="auto" w:sz="2" w:space="0"/>
              <w:right w:val="single" w:color="auto" w:sz="2" w:space="0"/>
            </w:tcBorders>
            <w:shd w:val="clear" w:color="auto" w:fill="auto"/>
            <w:noWrap/>
            <w:vAlign w:val="center"/>
          </w:tcPr>
          <w:p w14:paraId="5AC3580B">
            <w:pPr>
              <w:widowControl/>
              <w:ind w:left="-105" w:leftChars="-50" w:right="-105" w:rightChars="-50"/>
              <w:jc w:val="center"/>
              <w:rPr>
                <w:bCs/>
                <w:kern w:val="0"/>
                <w:sz w:val="18"/>
                <w:szCs w:val="18"/>
              </w:rPr>
            </w:pPr>
            <w:r>
              <w:rPr>
                <w:bCs/>
                <w:kern w:val="0"/>
                <w:sz w:val="18"/>
                <w:szCs w:val="18"/>
              </w:rPr>
              <w:t>代码</w:t>
            </w:r>
          </w:p>
        </w:tc>
        <w:tc>
          <w:tcPr>
            <w:tcW w:w="731" w:type="dxa"/>
            <w:vMerge w:val="restart"/>
            <w:tcBorders>
              <w:top w:val="single" w:color="auto" w:sz="8" w:space="0"/>
              <w:left w:val="single" w:color="auto" w:sz="2" w:space="0"/>
              <w:bottom w:val="single" w:color="auto" w:sz="2" w:space="0"/>
              <w:right w:val="single" w:color="auto" w:sz="2" w:space="0"/>
            </w:tcBorders>
            <w:shd w:val="clear" w:color="auto" w:fill="auto"/>
            <w:noWrap/>
            <w:vAlign w:val="center"/>
          </w:tcPr>
          <w:p w14:paraId="7CF0E032">
            <w:pPr>
              <w:widowControl/>
              <w:ind w:left="-105" w:leftChars="-50" w:right="-105" w:rightChars="-50"/>
              <w:jc w:val="center"/>
              <w:rPr>
                <w:bCs/>
                <w:kern w:val="0"/>
                <w:sz w:val="18"/>
                <w:szCs w:val="18"/>
              </w:rPr>
            </w:pPr>
            <w:r>
              <w:rPr>
                <w:bCs/>
                <w:kern w:val="0"/>
                <w:sz w:val="18"/>
                <w:szCs w:val="18"/>
              </w:rPr>
              <w:t>煤合计</w:t>
            </w:r>
          </w:p>
        </w:tc>
        <w:tc>
          <w:tcPr>
            <w:tcW w:w="732" w:type="dxa"/>
            <w:vMerge w:val="restart"/>
            <w:tcBorders>
              <w:top w:val="single" w:color="auto" w:sz="8" w:space="0"/>
              <w:left w:val="single" w:color="auto" w:sz="2" w:space="0"/>
              <w:bottom w:val="single" w:color="auto" w:sz="2" w:space="0"/>
            </w:tcBorders>
            <w:shd w:val="clear" w:color="auto" w:fill="auto"/>
            <w:vAlign w:val="center"/>
          </w:tcPr>
          <w:p w14:paraId="09C47B07">
            <w:pPr>
              <w:widowControl/>
              <w:ind w:left="-105" w:leftChars="-50" w:right="-105" w:rightChars="-50"/>
              <w:jc w:val="center"/>
              <w:rPr>
                <w:bCs/>
                <w:kern w:val="0"/>
                <w:sz w:val="18"/>
                <w:szCs w:val="18"/>
              </w:rPr>
            </w:pPr>
            <w:r>
              <w:rPr>
                <w:bCs/>
                <w:kern w:val="0"/>
                <w:sz w:val="18"/>
                <w:szCs w:val="18"/>
              </w:rPr>
              <w:t>原  煤</w:t>
            </w:r>
          </w:p>
        </w:tc>
        <w:tc>
          <w:tcPr>
            <w:tcW w:w="2940" w:type="dxa"/>
            <w:gridSpan w:val="4"/>
            <w:tcBorders>
              <w:top w:val="single" w:color="auto" w:sz="8" w:space="0"/>
              <w:bottom w:val="single" w:color="auto" w:sz="2" w:space="0"/>
              <w:right w:val="single" w:color="auto" w:sz="2" w:space="0"/>
            </w:tcBorders>
            <w:shd w:val="clear" w:color="auto" w:fill="auto"/>
            <w:vAlign w:val="center"/>
          </w:tcPr>
          <w:p w14:paraId="18FBB31A">
            <w:pPr>
              <w:widowControl/>
              <w:ind w:left="-105" w:leftChars="-50" w:right="-105" w:rightChars="-50"/>
              <w:jc w:val="center"/>
              <w:rPr>
                <w:bCs/>
                <w:kern w:val="0"/>
                <w:sz w:val="18"/>
                <w:szCs w:val="18"/>
              </w:rPr>
            </w:pPr>
            <w:r>
              <w:rPr>
                <w:bCs/>
                <w:kern w:val="0"/>
                <w:sz w:val="18"/>
                <w:szCs w:val="18"/>
              </w:rPr>
              <w:t>　</w:t>
            </w:r>
          </w:p>
        </w:tc>
        <w:tc>
          <w:tcPr>
            <w:tcW w:w="732"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2DE33E78">
            <w:pPr>
              <w:widowControl/>
              <w:ind w:left="-105" w:leftChars="-50" w:right="-105" w:rightChars="-50"/>
              <w:jc w:val="center"/>
              <w:rPr>
                <w:bCs/>
                <w:kern w:val="0"/>
                <w:sz w:val="18"/>
                <w:szCs w:val="18"/>
              </w:rPr>
            </w:pPr>
            <w:r>
              <w:rPr>
                <w:bCs/>
                <w:kern w:val="0"/>
                <w:sz w:val="18"/>
                <w:szCs w:val="18"/>
              </w:rPr>
              <w:t>洗精煤</w:t>
            </w:r>
          </w:p>
        </w:tc>
        <w:tc>
          <w:tcPr>
            <w:tcW w:w="73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5BDE9645">
            <w:pPr>
              <w:widowControl/>
              <w:ind w:left="-105" w:leftChars="-50" w:right="-105" w:rightChars="-50"/>
              <w:jc w:val="center"/>
              <w:rPr>
                <w:bCs/>
                <w:kern w:val="0"/>
                <w:sz w:val="18"/>
                <w:szCs w:val="18"/>
              </w:rPr>
            </w:pPr>
            <w:r>
              <w:rPr>
                <w:bCs/>
                <w:kern w:val="0"/>
                <w:sz w:val="18"/>
                <w:szCs w:val="18"/>
              </w:rPr>
              <w:t>其 他</w:t>
            </w:r>
          </w:p>
          <w:p w14:paraId="4BD145C8">
            <w:pPr>
              <w:widowControl/>
              <w:ind w:left="-105" w:leftChars="-50" w:right="-105" w:rightChars="-50"/>
              <w:jc w:val="center"/>
              <w:rPr>
                <w:bCs/>
                <w:kern w:val="0"/>
                <w:sz w:val="18"/>
                <w:szCs w:val="18"/>
              </w:rPr>
            </w:pPr>
            <w:r>
              <w:rPr>
                <w:bCs/>
                <w:kern w:val="0"/>
                <w:sz w:val="18"/>
                <w:szCs w:val="18"/>
              </w:rPr>
              <w:t>洗 煤</w:t>
            </w:r>
          </w:p>
        </w:tc>
        <w:tc>
          <w:tcPr>
            <w:tcW w:w="733" w:type="dxa"/>
            <w:vMerge w:val="restart"/>
            <w:tcBorders>
              <w:top w:val="single" w:color="auto" w:sz="8" w:space="0"/>
              <w:left w:val="single" w:color="auto" w:sz="2" w:space="0"/>
              <w:bottom w:val="single" w:color="auto" w:sz="2" w:space="0"/>
            </w:tcBorders>
            <w:shd w:val="clear" w:color="auto" w:fill="auto"/>
            <w:vAlign w:val="center"/>
          </w:tcPr>
          <w:p w14:paraId="70E60B7F">
            <w:pPr>
              <w:widowControl/>
              <w:ind w:left="-105" w:leftChars="-50" w:right="-105" w:rightChars="-50"/>
              <w:jc w:val="center"/>
              <w:rPr>
                <w:bCs/>
                <w:kern w:val="0"/>
                <w:sz w:val="18"/>
                <w:szCs w:val="18"/>
              </w:rPr>
            </w:pPr>
            <w:r>
              <w:rPr>
                <w:bCs/>
                <w:kern w:val="0"/>
                <w:sz w:val="18"/>
                <w:szCs w:val="18"/>
              </w:rPr>
              <w:t>煤制品</w:t>
            </w:r>
          </w:p>
        </w:tc>
      </w:tr>
      <w:tr w14:paraId="009E6FAD">
        <w:tblPrEx>
          <w:tblCellMar>
            <w:top w:w="0" w:type="dxa"/>
            <w:left w:w="108" w:type="dxa"/>
            <w:bottom w:w="0" w:type="dxa"/>
            <w:right w:w="108" w:type="dxa"/>
          </w:tblCellMar>
        </w:tblPrEx>
        <w:trPr>
          <w:trHeight w:val="296" w:hRule="atLeast"/>
          <w:jc w:val="center"/>
        </w:trPr>
        <w:tc>
          <w:tcPr>
            <w:tcW w:w="2095" w:type="dxa"/>
            <w:vMerge w:val="continue"/>
            <w:tcBorders>
              <w:top w:val="single" w:color="auto" w:sz="2" w:space="0"/>
              <w:bottom w:val="single" w:color="auto" w:sz="2" w:space="0"/>
              <w:right w:val="single" w:color="auto" w:sz="2" w:space="0"/>
            </w:tcBorders>
            <w:vAlign w:val="center"/>
          </w:tcPr>
          <w:p w14:paraId="5AF44352">
            <w:pPr>
              <w:widowControl/>
              <w:ind w:left="-105" w:leftChars="-50" w:right="-105" w:rightChars="-50"/>
              <w:jc w:val="left"/>
              <w:rPr>
                <w:kern w:val="0"/>
                <w:sz w:val="18"/>
                <w:szCs w:val="18"/>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14:paraId="77DAC56C">
            <w:pPr>
              <w:widowControl/>
              <w:ind w:left="-105" w:leftChars="-50" w:right="-105" w:rightChars="-50"/>
              <w:jc w:val="left"/>
              <w:rPr>
                <w:bCs/>
                <w:kern w:val="0"/>
                <w:sz w:val="18"/>
                <w:szCs w:val="18"/>
              </w:rPr>
            </w:pPr>
          </w:p>
        </w:tc>
        <w:tc>
          <w:tcPr>
            <w:tcW w:w="731"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3BFB1577">
            <w:pPr>
              <w:widowControl/>
              <w:ind w:left="-105" w:leftChars="-50" w:right="-105" w:rightChars="-50"/>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14:paraId="565E89C7">
            <w:pPr>
              <w:widowControl/>
              <w:ind w:left="-105" w:leftChars="-50" w:right="-105" w:rightChars="-50"/>
              <w:jc w:val="left"/>
              <w:rPr>
                <w:bCs/>
                <w:kern w:val="0"/>
                <w:sz w:val="18"/>
                <w:szCs w:val="18"/>
              </w:rPr>
            </w:pPr>
          </w:p>
        </w:tc>
        <w:tc>
          <w:tcPr>
            <w:tcW w:w="728" w:type="dxa"/>
            <w:vMerge w:val="restart"/>
            <w:tcBorders>
              <w:top w:val="single" w:color="auto" w:sz="2" w:space="0"/>
              <w:left w:val="single" w:color="auto" w:sz="2" w:space="0"/>
              <w:bottom w:val="single" w:color="auto" w:sz="2" w:space="0"/>
              <w:right w:val="single" w:color="auto" w:sz="2" w:space="0"/>
            </w:tcBorders>
            <w:shd w:val="clear" w:color="auto" w:fill="auto"/>
            <w:noWrap/>
            <w:vAlign w:val="center"/>
          </w:tcPr>
          <w:p w14:paraId="0346AC02">
            <w:pPr>
              <w:widowControl/>
              <w:ind w:left="-105" w:leftChars="-50" w:right="-105" w:rightChars="-50"/>
              <w:jc w:val="center"/>
              <w:rPr>
                <w:bCs/>
                <w:kern w:val="0"/>
                <w:sz w:val="18"/>
                <w:szCs w:val="18"/>
              </w:rPr>
            </w:pPr>
            <w:r>
              <w:rPr>
                <w:bCs/>
                <w:kern w:val="0"/>
                <w:sz w:val="18"/>
                <w:szCs w:val="18"/>
              </w:rPr>
              <w:t>无烟煤</w:t>
            </w:r>
          </w:p>
        </w:tc>
        <w:tc>
          <w:tcPr>
            <w:tcW w:w="1470" w:type="dxa"/>
            <w:gridSpan w:val="2"/>
            <w:tcBorders>
              <w:top w:val="single" w:color="auto" w:sz="2" w:space="0"/>
              <w:left w:val="single" w:color="auto" w:sz="2" w:space="0"/>
              <w:bottom w:val="single" w:color="auto" w:sz="2" w:space="0"/>
              <w:right w:val="single" w:color="auto" w:sz="2" w:space="0"/>
            </w:tcBorders>
            <w:shd w:val="clear" w:color="auto" w:fill="auto"/>
            <w:noWrap/>
            <w:vAlign w:val="center"/>
          </w:tcPr>
          <w:p w14:paraId="451188C1">
            <w:pPr>
              <w:widowControl/>
              <w:ind w:left="-105" w:leftChars="-50" w:right="-105" w:rightChars="-50"/>
              <w:jc w:val="center"/>
              <w:rPr>
                <w:bCs/>
                <w:kern w:val="0"/>
                <w:sz w:val="18"/>
                <w:szCs w:val="18"/>
              </w:rPr>
            </w:pPr>
            <w:r>
              <w:rPr>
                <w:bCs/>
                <w:kern w:val="0"/>
                <w:sz w:val="18"/>
                <w:szCs w:val="18"/>
              </w:rPr>
              <w:t>烟  煤</w:t>
            </w:r>
          </w:p>
        </w:tc>
        <w:tc>
          <w:tcPr>
            <w:tcW w:w="742" w:type="dxa"/>
            <w:vMerge w:val="restart"/>
            <w:tcBorders>
              <w:top w:val="single" w:color="auto" w:sz="2" w:space="0"/>
              <w:left w:val="single" w:color="auto" w:sz="2" w:space="0"/>
              <w:bottom w:val="single" w:color="auto" w:sz="2" w:space="0"/>
              <w:right w:val="single" w:color="auto" w:sz="2" w:space="0"/>
            </w:tcBorders>
            <w:shd w:val="clear" w:color="auto" w:fill="auto"/>
            <w:noWrap/>
            <w:vAlign w:val="center"/>
          </w:tcPr>
          <w:p w14:paraId="22596B28">
            <w:pPr>
              <w:widowControl/>
              <w:ind w:left="-107" w:leftChars="-51" w:right="-105" w:rightChars="-50" w:firstLine="1" w:firstLineChars="1"/>
              <w:jc w:val="center"/>
              <w:rPr>
                <w:bCs/>
                <w:kern w:val="0"/>
                <w:sz w:val="18"/>
                <w:szCs w:val="18"/>
              </w:rPr>
            </w:pPr>
            <w:r>
              <w:rPr>
                <w:bCs/>
                <w:kern w:val="0"/>
                <w:sz w:val="18"/>
                <w:szCs w:val="18"/>
              </w:rPr>
              <w:t>褐  煤</w:t>
            </w:r>
          </w:p>
        </w:tc>
        <w:tc>
          <w:tcPr>
            <w:tcW w:w="732" w:type="dxa"/>
            <w:vMerge w:val="continue"/>
            <w:tcBorders>
              <w:top w:val="single" w:color="auto" w:sz="2" w:space="0"/>
              <w:left w:val="single" w:color="auto" w:sz="2" w:space="0"/>
              <w:bottom w:val="single" w:color="auto" w:sz="2" w:space="0"/>
              <w:right w:val="single" w:color="auto" w:sz="2" w:space="0"/>
            </w:tcBorders>
            <w:vAlign w:val="center"/>
          </w:tcPr>
          <w:p w14:paraId="7E89CEC2">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right w:val="single" w:color="auto" w:sz="2" w:space="0"/>
            </w:tcBorders>
            <w:vAlign w:val="center"/>
          </w:tcPr>
          <w:p w14:paraId="17B7DD24">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tcBorders>
            <w:vAlign w:val="center"/>
          </w:tcPr>
          <w:p w14:paraId="290D4305">
            <w:pPr>
              <w:widowControl/>
              <w:ind w:left="-105" w:leftChars="-50" w:right="-105" w:rightChars="-50"/>
              <w:jc w:val="left"/>
              <w:rPr>
                <w:bCs/>
                <w:kern w:val="0"/>
                <w:sz w:val="18"/>
                <w:szCs w:val="18"/>
              </w:rPr>
            </w:pPr>
          </w:p>
        </w:tc>
      </w:tr>
      <w:tr w14:paraId="11F328C4">
        <w:tblPrEx>
          <w:tblCellMar>
            <w:top w:w="0" w:type="dxa"/>
            <w:left w:w="108" w:type="dxa"/>
            <w:bottom w:w="0" w:type="dxa"/>
            <w:right w:w="108" w:type="dxa"/>
          </w:tblCellMar>
        </w:tblPrEx>
        <w:trPr>
          <w:trHeight w:val="338" w:hRule="atLeast"/>
          <w:jc w:val="center"/>
        </w:trPr>
        <w:tc>
          <w:tcPr>
            <w:tcW w:w="2095" w:type="dxa"/>
            <w:vMerge w:val="continue"/>
            <w:tcBorders>
              <w:top w:val="single" w:color="auto" w:sz="2" w:space="0"/>
              <w:bottom w:val="single" w:color="auto" w:sz="2" w:space="0"/>
              <w:right w:val="single" w:color="auto" w:sz="2" w:space="0"/>
            </w:tcBorders>
            <w:vAlign w:val="center"/>
          </w:tcPr>
          <w:p w14:paraId="38F3BF68">
            <w:pPr>
              <w:widowControl/>
              <w:ind w:left="-105" w:leftChars="-50" w:right="-105" w:rightChars="-50"/>
              <w:jc w:val="left"/>
              <w:rPr>
                <w:kern w:val="0"/>
                <w:sz w:val="18"/>
                <w:szCs w:val="18"/>
              </w:rPr>
            </w:pPr>
          </w:p>
        </w:tc>
        <w:tc>
          <w:tcPr>
            <w:tcW w:w="698" w:type="dxa"/>
            <w:vMerge w:val="continue"/>
            <w:tcBorders>
              <w:top w:val="single" w:color="auto" w:sz="2" w:space="0"/>
              <w:left w:val="single" w:color="auto" w:sz="2" w:space="0"/>
              <w:bottom w:val="single" w:color="auto" w:sz="2" w:space="0"/>
              <w:right w:val="single" w:color="auto" w:sz="2" w:space="0"/>
            </w:tcBorders>
            <w:vAlign w:val="center"/>
          </w:tcPr>
          <w:p w14:paraId="16FD3DED">
            <w:pPr>
              <w:widowControl/>
              <w:ind w:left="-105" w:leftChars="-50" w:right="-105" w:rightChars="-50"/>
              <w:jc w:val="left"/>
              <w:rPr>
                <w:bCs/>
                <w:kern w:val="0"/>
                <w:sz w:val="18"/>
                <w:szCs w:val="18"/>
              </w:rPr>
            </w:pPr>
          </w:p>
        </w:tc>
        <w:tc>
          <w:tcPr>
            <w:tcW w:w="731"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5A20C514">
            <w:pPr>
              <w:widowControl/>
              <w:ind w:left="-105" w:leftChars="-50" w:right="-105" w:rightChars="-50"/>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14:paraId="67F9E167">
            <w:pPr>
              <w:widowControl/>
              <w:ind w:left="-105" w:leftChars="-50" w:right="-105" w:rightChars="-50"/>
              <w:jc w:val="left"/>
              <w:rPr>
                <w:bCs/>
                <w:kern w:val="0"/>
                <w:sz w:val="18"/>
                <w:szCs w:val="18"/>
              </w:rPr>
            </w:pPr>
          </w:p>
        </w:tc>
        <w:tc>
          <w:tcPr>
            <w:tcW w:w="728"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7DADF3E5">
            <w:pPr>
              <w:widowControl/>
              <w:ind w:left="-105" w:leftChars="-50" w:right="-105" w:rightChars="-50"/>
              <w:jc w:val="center"/>
              <w:rPr>
                <w:bCs/>
                <w:kern w:val="0"/>
                <w:sz w:val="18"/>
                <w:szCs w:val="18"/>
              </w:rPr>
            </w:pPr>
          </w:p>
        </w:tc>
        <w:tc>
          <w:tcPr>
            <w:tcW w:w="737" w:type="dxa"/>
            <w:tcBorders>
              <w:top w:val="single" w:color="auto" w:sz="2" w:space="0"/>
              <w:left w:val="single" w:color="auto" w:sz="2" w:space="0"/>
              <w:bottom w:val="single" w:color="auto" w:sz="2" w:space="0"/>
              <w:right w:val="single" w:color="auto" w:sz="2" w:space="0"/>
            </w:tcBorders>
            <w:shd w:val="clear" w:color="auto" w:fill="auto"/>
            <w:noWrap/>
            <w:vAlign w:val="center"/>
          </w:tcPr>
          <w:p w14:paraId="3A96AD4E">
            <w:pPr>
              <w:widowControl/>
              <w:ind w:left="-105" w:leftChars="-50" w:right="-105" w:rightChars="-50"/>
              <w:jc w:val="center"/>
              <w:rPr>
                <w:bCs/>
                <w:kern w:val="0"/>
                <w:sz w:val="18"/>
                <w:szCs w:val="18"/>
              </w:rPr>
            </w:pPr>
            <w:r>
              <w:rPr>
                <w:bCs/>
                <w:kern w:val="0"/>
                <w:sz w:val="18"/>
                <w:szCs w:val="18"/>
              </w:rPr>
              <w:t>炼焦烟煤</w:t>
            </w:r>
          </w:p>
        </w:tc>
        <w:tc>
          <w:tcPr>
            <w:tcW w:w="733" w:type="dxa"/>
            <w:tcBorders>
              <w:top w:val="single" w:color="auto" w:sz="2" w:space="0"/>
              <w:left w:val="single" w:color="auto" w:sz="2" w:space="0"/>
              <w:bottom w:val="single" w:color="auto" w:sz="2" w:space="0"/>
              <w:right w:val="single" w:color="auto" w:sz="2" w:space="0"/>
            </w:tcBorders>
            <w:shd w:val="clear" w:color="auto" w:fill="auto"/>
            <w:noWrap/>
            <w:vAlign w:val="center"/>
          </w:tcPr>
          <w:p w14:paraId="6BCFF10B">
            <w:pPr>
              <w:widowControl/>
              <w:ind w:left="-105" w:leftChars="-50" w:right="-105" w:rightChars="-50"/>
              <w:jc w:val="center"/>
              <w:rPr>
                <w:bCs/>
                <w:kern w:val="0"/>
                <w:sz w:val="18"/>
                <w:szCs w:val="18"/>
              </w:rPr>
            </w:pPr>
            <w:r>
              <w:rPr>
                <w:bCs/>
                <w:kern w:val="0"/>
                <w:sz w:val="18"/>
                <w:szCs w:val="18"/>
              </w:rPr>
              <w:t>一般烟煤</w:t>
            </w:r>
          </w:p>
        </w:tc>
        <w:tc>
          <w:tcPr>
            <w:tcW w:w="742" w:type="dxa"/>
            <w:vMerge w:val="continue"/>
            <w:tcBorders>
              <w:top w:val="single" w:color="auto" w:sz="2" w:space="0"/>
              <w:left w:val="single" w:color="auto" w:sz="2" w:space="0"/>
              <w:bottom w:val="single" w:color="auto" w:sz="2" w:space="0"/>
              <w:right w:val="single" w:color="auto" w:sz="2" w:space="0"/>
            </w:tcBorders>
            <w:shd w:val="clear" w:color="auto" w:fill="auto"/>
            <w:noWrap/>
            <w:vAlign w:val="center"/>
          </w:tcPr>
          <w:p w14:paraId="678B32CD">
            <w:pPr>
              <w:widowControl/>
              <w:ind w:left="-105" w:leftChars="-50" w:right="-105" w:rightChars="-50"/>
              <w:jc w:val="center"/>
              <w:rPr>
                <w:bCs/>
                <w:kern w:val="0"/>
                <w:sz w:val="18"/>
                <w:szCs w:val="18"/>
              </w:rPr>
            </w:pPr>
          </w:p>
        </w:tc>
        <w:tc>
          <w:tcPr>
            <w:tcW w:w="732" w:type="dxa"/>
            <w:vMerge w:val="continue"/>
            <w:tcBorders>
              <w:top w:val="single" w:color="auto" w:sz="2" w:space="0"/>
              <w:left w:val="single" w:color="auto" w:sz="2" w:space="0"/>
              <w:bottom w:val="single" w:color="auto" w:sz="2" w:space="0"/>
              <w:right w:val="single" w:color="auto" w:sz="2" w:space="0"/>
            </w:tcBorders>
            <w:vAlign w:val="center"/>
          </w:tcPr>
          <w:p w14:paraId="29E939BF">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right w:val="single" w:color="auto" w:sz="2" w:space="0"/>
            </w:tcBorders>
            <w:vAlign w:val="center"/>
          </w:tcPr>
          <w:p w14:paraId="2D64EDAF">
            <w:pPr>
              <w:widowControl/>
              <w:ind w:left="-105" w:leftChars="-50" w:right="-105" w:rightChars="-50"/>
              <w:jc w:val="left"/>
              <w:rPr>
                <w:bCs/>
                <w:kern w:val="0"/>
                <w:sz w:val="18"/>
                <w:szCs w:val="18"/>
              </w:rPr>
            </w:pPr>
          </w:p>
        </w:tc>
        <w:tc>
          <w:tcPr>
            <w:tcW w:w="733" w:type="dxa"/>
            <w:vMerge w:val="continue"/>
            <w:tcBorders>
              <w:top w:val="single" w:color="auto" w:sz="2" w:space="0"/>
              <w:left w:val="single" w:color="auto" w:sz="2" w:space="0"/>
              <w:bottom w:val="single" w:color="auto" w:sz="2" w:space="0"/>
            </w:tcBorders>
            <w:vAlign w:val="center"/>
          </w:tcPr>
          <w:p w14:paraId="380C1F56">
            <w:pPr>
              <w:widowControl/>
              <w:ind w:left="-105" w:leftChars="-50" w:right="-105" w:rightChars="-50"/>
              <w:jc w:val="left"/>
              <w:rPr>
                <w:bCs/>
                <w:kern w:val="0"/>
                <w:sz w:val="18"/>
                <w:szCs w:val="18"/>
              </w:rPr>
            </w:pPr>
          </w:p>
        </w:tc>
      </w:tr>
      <w:tr w14:paraId="7D6B38F6">
        <w:tblPrEx>
          <w:tblCellMar>
            <w:top w:w="0" w:type="dxa"/>
            <w:left w:w="108" w:type="dxa"/>
            <w:bottom w:w="0" w:type="dxa"/>
            <w:right w:w="108" w:type="dxa"/>
          </w:tblCellMar>
        </w:tblPrEx>
        <w:trPr>
          <w:trHeight w:val="306" w:hRule="atLeast"/>
          <w:jc w:val="center"/>
        </w:trPr>
        <w:tc>
          <w:tcPr>
            <w:tcW w:w="2095" w:type="dxa"/>
            <w:tcBorders>
              <w:top w:val="single" w:color="auto" w:sz="2" w:space="0"/>
              <w:left w:val="nil"/>
              <w:bottom w:val="single" w:color="auto" w:sz="2" w:space="0"/>
              <w:right w:val="single" w:color="auto" w:sz="2" w:space="0"/>
            </w:tcBorders>
            <w:shd w:val="clear" w:color="auto" w:fill="auto"/>
            <w:noWrap/>
            <w:vAlign w:val="center"/>
          </w:tcPr>
          <w:p w14:paraId="6422043B">
            <w:pPr>
              <w:widowControl/>
              <w:spacing w:line="240" w:lineRule="atLeast"/>
              <w:ind w:left="-105" w:leftChars="-50" w:right="-105" w:rightChars="-50"/>
              <w:jc w:val="center"/>
              <w:rPr>
                <w:kern w:val="0"/>
                <w:sz w:val="18"/>
                <w:szCs w:val="18"/>
              </w:rPr>
            </w:pPr>
            <w:r>
              <w:rPr>
                <w:kern w:val="0"/>
                <w:sz w:val="18"/>
                <w:szCs w:val="18"/>
              </w:rPr>
              <w:t>甲</w:t>
            </w:r>
          </w:p>
        </w:tc>
        <w:tc>
          <w:tcPr>
            <w:tcW w:w="698"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FE4576E">
            <w:pPr>
              <w:widowControl/>
              <w:spacing w:line="240" w:lineRule="atLeast"/>
              <w:ind w:left="-105" w:leftChars="-50" w:right="-105" w:rightChars="-50"/>
              <w:jc w:val="center"/>
              <w:rPr>
                <w:kern w:val="0"/>
                <w:sz w:val="18"/>
                <w:szCs w:val="18"/>
              </w:rPr>
            </w:pPr>
            <w:r>
              <w:rPr>
                <w:kern w:val="0"/>
                <w:sz w:val="18"/>
                <w:szCs w:val="18"/>
              </w:rPr>
              <w:t>乙</w:t>
            </w:r>
          </w:p>
        </w:tc>
        <w:tc>
          <w:tcPr>
            <w:tcW w:w="731"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039D4B1">
            <w:pPr>
              <w:spacing w:line="240" w:lineRule="atLeast"/>
              <w:ind w:left="-105" w:leftChars="-50" w:right="-105" w:rightChars="-50"/>
              <w:jc w:val="center"/>
              <w:textAlignment w:val="center"/>
              <w:rPr>
                <w:sz w:val="18"/>
                <w:szCs w:val="18"/>
              </w:rPr>
            </w:pPr>
            <w:r>
              <w:rPr>
                <w:sz w:val="18"/>
                <w:szCs w:val="18"/>
              </w:rPr>
              <w:t>1</w:t>
            </w:r>
          </w:p>
        </w:tc>
        <w:tc>
          <w:tcPr>
            <w:tcW w:w="73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76637D7F">
            <w:pPr>
              <w:spacing w:line="240" w:lineRule="atLeast"/>
              <w:ind w:left="-105" w:leftChars="-50" w:right="-105" w:rightChars="-50"/>
              <w:jc w:val="center"/>
              <w:textAlignment w:val="center"/>
              <w:rPr>
                <w:sz w:val="18"/>
                <w:szCs w:val="18"/>
              </w:rPr>
            </w:pPr>
            <w:r>
              <w:rPr>
                <w:sz w:val="18"/>
                <w:szCs w:val="18"/>
              </w:rPr>
              <w:t>2</w:t>
            </w:r>
          </w:p>
        </w:tc>
        <w:tc>
          <w:tcPr>
            <w:tcW w:w="728"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FC13DF6">
            <w:pPr>
              <w:spacing w:line="240" w:lineRule="atLeast"/>
              <w:ind w:left="-105" w:leftChars="-50" w:right="-105" w:rightChars="-50"/>
              <w:jc w:val="center"/>
              <w:textAlignment w:val="center"/>
              <w:rPr>
                <w:sz w:val="18"/>
                <w:szCs w:val="18"/>
              </w:rPr>
            </w:pPr>
            <w:r>
              <w:rPr>
                <w:sz w:val="18"/>
                <w:szCs w:val="18"/>
              </w:rPr>
              <w:t>3</w:t>
            </w:r>
          </w:p>
        </w:tc>
        <w:tc>
          <w:tcPr>
            <w:tcW w:w="737" w:type="dxa"/>
            <w:tcBorders>
              <w:top w:val="single" w:color="auto" w:sz="2" w:space="0"/>
              <w:left w:val="single" w:color="auto" w:sz="2" w:space="0"/>
              <w:bottom w:val="single" w:color="auto" w:sz="2" w:space="0"/>
              <w:right w:val="single" w:color="auto" w:sz="2" w:space="0"/>
            </w:tcBorders>
            <w:shd w:val="clear" w:color="auto" w:fill="auto"/>
            <w:noWrap/>
            <w:vAlign w:val="center"/>
          </w:tcPr>
          <w:p w14:paraId="773FA47E">
            <w:pPr>
              <w:spacing w:line="240" w:lineRule="atLeast"/>
              <w:ind w:left="-105" w:leftChars="-50" w:right="-105" w:rightChars="-50"/>
              <w:jc w:val="center"/>
              <w:textAlignment w:val="center"/>
              <w:rPr>
                <w:sz w:val="18"/>
                <w:szCs w:val="18"/>
              </w:rPr>
            </w:pPr>
            <w:r>
              <w:rPr>
                <w:sz w:val="18"/>
                <w:szCs w:val="18"/>
              </w:rPr>
              <w:t>4</w:t>
            </w:r>
          </w:p>
        </w:tc>
        <w:tc>
          <w:tcPr>
            <w:tcW w:w="733"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8017F9E">
            <w:pPr>
              <w:spacing w:line="240" w:lineRule="atLeast"/>
              <w:ind w:left="-105" w:leftChars="-50" w:right="-105" w:rightChars="-50"/>
              <w:jc w:val="center"/>
              <w:textAlignment w:val="center"/>
              <w:rPr>
                <w:sz w:val="18"/>
                <w:szCs w:val="18"/>
              </w:rPr>
            </w:pPr>
            <w:r>
              <w:rPr>
                <w:sz w:val="18"/>
                <w:szCs w:val="18"/>
              </w:rPr>
              <w:t>5</w:t>
            </w:r>
          </w:p>
        </w:tc>
        <w:tc>
          <w:tcPr>
            <w:tcW w:w="74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731735A3">
            <w:pPr>
              <w:spacing w:line="240" w:lineRule="atLeast"/>
              <w:ind w:left="-105" w:leftChars="-50" w:right="-105" w:rightChars="-50"/>
              <w:jc w:val="center"/>
              <w:textAlignment w:val="center"/>
              <w:rPr>
                <w:sz w:val="18"/>
                <w:szCs w:val="18"/>
              </w:rPr>
            </w:pPr>
            <w:r>
              <w:rPr>
                <w:sz w:val="18"/>
                <w:szCs w:val="18"/>
              </w:rPr>
              <w:t>6</w:t>
            </w:r>
          </w:p>
        </w:tc>
        <w:tc>
          <w:tcPr>
            <w:tcW w:w="73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62C85EF">
            <w:pPr>
              <w:spacing w:line="240" w:lineRule="atLeast"/>
              <w:ind w:left="-105" w:leftChars="-50" w:right="-105" w:rightChars="-50"/>
              <w:jc w:val="center"/>
              <w:textAlignment w:val="center"/>
              <w:rPr>
                <w:sz w:val="18"/>
                <w:szCs w:val="18"/>
              </w:rPr>
            </w:pPr>
            <w:r>
              <w:rPr>
                <w:sz w:val="18"/>
                <w:szCs w:val="18"/>
              </w:rPr>
              <w:t>7</w:t>
            </w:r>
          </w:p>
        </w:tc>
        <w:tc>
          <w:tcPr>
            <w:tcW w:w="733" w:type="dxa"/>
            <w:tcBorders>
              <w:top w:val="single" w:color="auto" w:sz="2" w:space="0"/>
              <w:left w:val="single" w:color="auto" w:sz="2" w:space="0"/>
              <w:bottom w:val="single" w:color="auto" w:sz="2" w:space="0"/>
              <w:right w:val="single" w:color="auto" w:sz="2" w:space="0"/>
            </w:tcBorders>
            <w:shd w:val="clear" w:color="auto" w:fill="auto"/>
            <w:noWrap/>
            <w:vAlign w:val="center"/>
          </w:tcPr>
          <w:p w14:paraId="3AEB3D7B">
            <w:pPr>
              <w:spacing w:line="240" w:lineRule="atLeast"/>
              <w:ind w:left="-105" w:leftChars="-50" w:right="-105" w:rightChars="-50"/>
              <w:jc w:val="center"/>
              <w:textAlignment w:val="center"/>
              <w:rPr>
                <w:sz w:val="18"/>
                <w:szCs w:val="18"/>
              </w:rPr>
            </w:pPr>
            <w:r>
              <w:rPr>
                <w:sz w:val="18"/>
                <w:szCs w:val="18"/>
              </w:rPr>
              <w:t>8</w:t>
            </w:r>
          </w:p>
        </w:tc>
        <w:tc>
          <w:tcPr>
            <w:tcW w:w="733" w:type="dxa"/>
            <w:tcBorders>
              <w:top w:val="single" w:color="auto" w:sz="2" w:space="0"/>
              <w:left w:val="single" w:color="auto" w:sz="2" w:space="0"/>
              <w:bottom w:val="single" w:color="auto" w:sz="2" w:space="0"/>
            </w:tcBorders>
            <w:shd w:val="clear" w:color="auto" w:fill="auto"/>
            <w:noWrap/>
            <w:vAlign w:val="center"/>
          </w:tcPr>
          <w:p w14:paraId="302CF861">
            <w:pPr>
              <w:spacing w:line="240" w:lineRule="atLeast"/>
              <w:ind w:left="-105" w:leftChars="-50" w:right="-105" w:rightChars="-50"/>
              <w:jc w:val="center"/>
              <w:textAlignment w:val="center"/>
              <w:rPr>
                <w:sz w:val="18"/>
                <w:szCs w:val="18"/>
              </w:rPr>
            </w:pPr>
            <w:r>
              <w:rPr>
                <w:sz w:val="18"/>
                <w:szCs w:val="18"/>
              </w:rPr>
              <w:t>9</w:t>
            </w:r>
          </w:p>
        </w:tc>
      </w:tr>
      <w:tr w14:paraId="3B4E48F0">
        <w:tblPrEx>
          <w:tblCellMar>
            <w:top w:w="0" w:type="dxa"/>
            <w:left w:w="108" w:type="dxa"/>
            <w:bottom w:w="0" w:type="dxa"/>
            <w:right w:w="108" w:type="dxa"/>
          </w:tblCellMar>
        </w:tblPrEx>
        <w:trPr>
          <w:trHeight w:val="259" w:hRule="atLeast"/>
          <w:jc w:val="center"/>
        </w:trPr>
        <w:tc>
          <w:tcPr>
            <w:tcW w:w="2095" w:type="dxa"/>
            <w:tcBorders>
              <w:top w:val="single" w:color="auto" w:sz="2" w:space="0"/>
              <w:left w:val="nil"/>
              <w:bottom w:val="single" w:color="auto" w:sz="8" w:space="0"/>
              <w:right w:val="single" w:color="auto" w:sz="2" w:space="0"/>
            </w:tcBorders>
            <w:shd w:val="clear" w:color="auto" w:fill="auto"/>
            <w:noWrap/>
            <w:vAlign w:val="center"/>
          </w:tcPr>
          <w:p w14:paraId="56BA58A8">
            <w:pPr>
              <w:widowControl/>
              <w:ind w:left="-105" w:leftChars="-50" w:right="-105" w:rightChars="-50"/>
              <w:rPr>
                <w:kern w:val="0"/>
                <w:sz w:val="18"/>
                <w:szCs w:val="18"/>
              </w:rPr>
            </w:pPr>
            <w:r>
              <w:rPr>
                <w:sz w:val="18"/>
                <w:szCs w:val="18"/>
              </w:rPr>
              <w:t>按</w:t>
            </w:r>
            <w:r>
              <w:rPr>
                <w:rFonts w:hint="eastAsia"/>
                <w:sz w:val="18"/>
                <w:szCs w:val="18"/>
              </w:rPr>
              <w:t>《</w:t>
            </w:r>
            <w:r>
              <w:rPr>
                <w:sz w:val="18"/>
                <w:szCs w:val="18"/>
              </w:rPr>
              <w:t>分行业能源消费量目录</w:t>
            </w:r>
            <w:r>
              <w:rPr>
                <w:rFonts w:hint="eastAsia"/>
                <w:sz w:val="18"/>
                <w:szCs w:val="18"/>
              </w:rPr>
              <w:t>》</w:t>
            </w:r>
            <w:r>
              <w:rPr>
                <w:sz w:val="18"/>
                <w:szCs w:val="18"/>
              </w:rPr>
              <w:t>填报</w:t>
            </w:r>
          </w:p>
        </w:tc>
        <w:tc>
          <w:tcPr>
            <w:tcW w:w="696" w:type="dxa"/>
            <w:tcBorders>
              <w:top w:val="single" w:color="auto" w:sz="2" w:space="0"/>
              <w:left w:val="single" w:color="auto" w:sz="2" w:space="0"/>
              <w:bottom w:val="single" w:color="auto" w:sz="8" w:space="0"/>
            </w:tcBorders>
            <w:shd w:val="clear" w:color="auto" w:fill="auto"/>
            <w:noWrap/>
            <w:vAlign w:val="center"/>
          </w:tcPr>
          <w:p w14:paraId="47981CF1">
            <w:pPr>
              <w:ind w:right="-105" w:rightChars="-50"/>
              <w:rPr>
                <w:sz w:val="18"/>
                <w:szCs w:val="18"/>
              </w:rPr>
            </w:pPr>
          </w:p>
        </w:tc>
        <w:tc>
          <w:tcPr>
            <w:tcW w:w="6603" w:type="dxa"/>
            <w:gridSpan w:val="9"/>
            <w:tcBorders>
              <w:top w:val="single" w:color="auto" w:sz="2" w:space="0"/>
              <w:left w:val="single" w:color="auto" w:sz="2" w:space="0"/>
              <w:bottom w:val="single" w:color="auto" w:sz="8" w:space="0"/>
            </w:tcBorders>
            <w:shd w:val="clear" w:color="auto" w:fill="auto"/>
            <w:vAlign w:val="center"/>
          </w:tcPr>
          <w:p w14:paraId="0657522C">
            <w:pPr>
              <w:ind w:right="-105" w:rightChars="-50"/>
              <w:rPr>
                <w:sz w:val="18"/>
                <w:szCs w:val="18"/>
              </w:rPr>
            </w:pPr>
          </w:p>
        </w:tc>
      </w:tr>
    </w:tbl>
    <w:p w14:paraId="642308AF">
      <w:pPr>
        <w:snapToGrid w:val="0"/>
        <w:rPr>
          <w:sz w:val="18"/>
          <w:szCs w:val="18"/>
        </w:rPr>
      </w:pPr>
    </w:p>
    <w:p w14:paraId="434D3BC0">
      <w:pPr>
        <w:snapToGrid w:val="0"/>
        <w:rPr>
          <w:sz w:val="18"/>
          <w:szCs w:val="18"/>
        </w:rPr>
      </w:pPr>
      <w:r>
        <w:rPr>
          <w:sz w:val="18"/>
          <w:szCs w:val="18"/>
        </w:rPr>
        <w:t>续表一</w:t>
      </w:r>
    </w:p>
    <w:tbl>
      <w:tblPr>
        <w:tblStyle w:val="20"/>
        <w:tblW w:w="9393"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854"/>
        <w:gridCol w:w="854"/>
        <w:gridCol w:w="854"/>
        <w:gridCol w:w="854"/>
        <w:gridCol w:w="854"/>
        <w:gridCol w:w="854"/>
        <w:gridCol w:w="854"/>
        <w:gridCol w:w="854"/>
        <w:gridCol w:w="854"/>
        <w:gridCol w:w="854"/>
      </w:tblGrid>
      <w:tr w14:paraId="544B6113">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53" w:type="dxa"/>
            <w:tcBorders>
              <w:bottom w:val="single" w:color="auto" w:sz="2" w:space="0"/>
            </w:tcBorders>
            <w:vAlign w:val="center"/>
          </w:tcPr>
          <w:p w14:paraId="67A36CD1">
            <w:pPr>
              <w:ind w:right="-40"/>
              <w:jc w:val="center"/>
              <w:rPr>
                <w:sz w:val="18"/>
                <w:szCs w:val="18"/>
              </w:rPr>
            </w:pPr>
            <w:r>
              <w:rPr>
                <w:sz w:val="18"/>
                <w:szCs w:val="18"/>
              </w:rPr>
              <w:t>煤矸石</w:t>
            </w:r>
          </w:p>
        </w:tc>
        <w:tc>
          <w:tcPr>
            <w:tcW w:w="854" w:type="dxa"/>
            <w:tcBorders>
              <w:bottom w:val="single" w:color="auto" w:sz="2" w:space="0"/>
            </w:tcBorders>
            <w:vAlign w:val="center"/>
          </w:tcPr>
          <w:p w14:paraId="79F56B78">
            <w:pPr>
              <w:ind w:left="-50" w:right="-50"/>
              <w:jc w:val="center"/>
              <w:rPr>
                <w:sz w:val="18"/>
                <w:szCs w:val="18"/>
              </w:rPr>
            </w:pPr>
            <w:r>
              <w:rPr>
                <w:sz w:val="18"/>
                <w:szCs w:val="18"/>
              </w:rPr>
              <w:t>焦  炭</w:t>
            </w:r>
          </w:p>
        </w:tc>
        <w:tc>
          <w:tcPr>
            <w:tcW w:w="854" w:type="dxa"/>
            <w:tcBorders>
              <w:bottom w:val="single" w:color="auto" w:sz="2" w:space="0"/>
            </w:tcBorders>
            <w:vAlign w:val="center"/>
          </w:tcPr>
          <w:p w14:paraId="4BD9AB25">
            <w:pPr>
              <w:ind w:left="-50" w:right="-50"/>
              <w:jc w:val="center"/>
              <w:rPr>
                <w:sz w:val="18"/>
                <w:szCs w:val="18"/>
              </w:rPr>
            </w:pPr>
            <w:r>
              <w:rPr>
                <w:sz w:val="18"/>
                <w:szCs w:val="18"/>
              </w:rPr>
              <w:t>焦 炉</w:t>
            </w:r>
          </w:p>
          <w:p w14:paraId="46E3E270">
            <w:pPr>
              <w:ind w:left="-50" w:right="-50"/>
              <w:jc w:val="center"/>
              <w:rPr>
                <w:sz w:val="18"/>
                <w:szCs w:val="18"/>
              </w:rPr>
            </w:pPr>
            <w:r>
              <w:rPr>
                <w:sz w:val="18"/>
                <w:szCs w:val="18"/>
              </w:rPr>
              <w:t>煤 气</w:t>
            </w:r>
          </w:p>
        </w:tc>
        <w:tc>
          <w:tcPr>
            <w:tcW w:w="854" w:type="dxa"/>
            <w:tcBorders>
              <w:bottom w:val="single" w:color="auto" w:sz="2" w:space="0"/>
            </w:tcBorders>
            <w:vAlign w:val="center"/>
          </w:tcPr>
          <w:p w14:paraId="28DA0F2F">
            <w:pPr>
              <w:ind w:left="-50" w:right="-50"/>
              <w:jc w:val="center"/>
              <w:rPr>
                <w:sz w:val="18"/>
                <w:szCs w:val="18"/>
              </w:rPr>
            </w:pPr>
            <w:r>
              <w:rPr>
                <w:sz w:val="18"/>
                <w:szCs w:val="18"/>
              </w:rPr>
              <w:t>高 炉</w:t>
            </w:r>
          </w:p>
          <w:p w14:paraId="2E13A5CD">
            <w:pPr>
              <w:ind w:left="-50" w:right="-50"/>
              <w:jc w:val="center"/>
              <w:rPr>
                <w:sz w:val="18"/>
                <w:szCs w:val="18"/>
              </w:rPr>
            </w:pPr>
            <w:r>
              <w:rPr>
                <w:sz w:val="18"/>
                <w:szCs w:val="18"/>
              </w:rPr>
              <w:t>煤 气</w:t>
            </w:r>
          </w:p>
        </w:tc>
        <w:tc>
          <w:tcPr>
            <w:tcW w:w="854" w:type="dxa"/>
            <w:tcBorders>
              <w:bottom w:val="single" w:color="auto" w:sz="2" w:space="0"/>
            </w:tcBorders>
            <w:vAlign w:val="center"/>
          </w:tcPr>
          <w:p w14:paraId="1322EC6C">
            <w:pPr>
              <w:ind w:left="-50" w:right="-50"/>
              <w:jc w:val="center"/>
              <w:rPr>
                <w:sz w:val="18"/>
                <w:szCs w:val="18"/>
              </w:rPr>
            </w:pPr>
            <w:r>
              <w:rPr>
                <w:sz w:val="18"/>
                <w:szCs w:val="18"/>
              </w:rPr>
              <w:t>转 炉</w:t>
            </w:r>
          </w:p>
          <w:p w14:paraId="67990557">
            <w:pPr>
              <w:ind w:left="-50" w:right="-50"/>
              <w:jc w:val="center"/>
              <w:rPr>
                <w:sz w:val="18"/>
                <w:szCs w:val="18"/>
              </w:rPr>
            </w:pPr>
            <w:r>
              <w:rPr>
                <w:sz w:val="18"/>
                <w:szCs w:val="18"/>
              </w:rPr>
              <w:t>煤 气</w:t>
            </w:r>
          </w:p>
        </w:tc>
        <w:tc>
          <w:tcPr>
            <w:tcW w:w="854" w:type="dxa"/>
            <w:tcBorders>
              <w:bottom w:val="single" w:color="auto" w:sz="2" w:space="0"/>
            </w:tcBorders>
            <w:vAlign w:val="center"/>
          </w:tcPr>
          <w:p w14:paraId="672CA548">
            <w:pPr>
              <w:ind w:left="-50" w:right="-50"/>
              <w:jc w:val="center"/>
              <w:rPr>
                <w:sz w:val="18"/>
                <w:szCs w:val="18"/>
              </w:rPr>
            </w:pPr>
            <w:r>
              <w:rPr>
                <w:sz w:val="18"/>
                <w:szCs w:val="18"/>
              </w:rPr>
              <w:t>其 他</w:t>
            </w:r>
          </w:p>
          <w:p w14:paraId="221C35B6">
            <w:pPr>
              <w:ind w:left="-50" w:right="-50"/>
              <w:jc w:val="center"/>
              <w:rPr>
                <w:sz w:val="18"/>
                <w:szCs w:val="18"/>
              </w:rPr>
            </w:pPr>
            <w:r>
              <w:rPr>
                <w:sz w:val="18"/>
                <w:szCs w:val="18"/>
              </w:rPr>
              <w:t>煤 气</w:t>
            </w:r>
          </w:p>
        </w:tc>
        <w:tc>
          <w:tcPr>
            <w:tcW w:w="854" w:type="dxa"/>
            <w:tcBorders>
              <w:bottom w:val="single" w:color="auto" w:sz="2" w:space="0"/>
            </w:tcBorders>
            <w:vAlign w:val="center"/>
          </w:tcPr>
          <w:p w14:paraId="7D7EB155">
            <w:pPr>
              <w:ind w:left="-50" w:right="-50"/>
              <w:jc w:val="center"/>
              <w:rPr>
                <w:sz w:val="18"/>
                <w:szCs w:val="18"/>
              </w:rPr>
            </w:pPr>
            <w:r>
              <w:rPr>
                <w:sz w:val="18"/>
                <w:szCs w:val="18"/>
              </w:rPr>
              <w:t>其    他　　　　　　　　　焦化产品</w:t>
            </w:r>
          </w:p>
        </w:tc>
        <w:tc>
          <w:tcPr>
            <w:tcW w:w="854" w:type="dxa"/>
            <w:tcBorders>
              <w:bottom w:val="single" w:color="auto" w:sz="2" w:space="0"/>
            </w:tcBorders>
            <w:vAlign w:val="center"/>
          </w:tcPr>
          <w:p w14:paraId="4C603EC1">
            <w:pPr>
              <w:ind w:left="-50" w:right="-50"/>
              <w:jc w:val="center"/>
              <w:rPr>
                <w:sz w:val="18"/>
                <w:szCs w:val="18"/>
              </w:rPr>
            </w:pPr>
            <w:r>
              <w:rPr>
                <w:sz w:val="18"/>
                <w:szCs w:val="18"/>
              </w:rPr>
              <w:t>油 品</w:t>
            </w:r>
          </w:p>
          <w:p w14:paraId="6A105013">
            <w:pPr>
              <w:ind w:left="-50" w:right="-50"/>
              <w:jc w:val="center"/>
              <w:rPr>
                <w:sz w:val="18"/>
                <w:szCs w:val="18"/>
              </w:rPr>
            </w:pPr>
            <w:r>
              <w:rPr>
                <w:sz w:val="18"/>
                <w:szCs w:val="18"/>
              </w:rPr>
              <w:t>合 计</w:t>
            </w:r>
          </w:p>
        </w:tc>
        <w:tc>
          <w:tcPr>
            <w:tcW w:w="854" w:type="dxa"/>
            <w:tcBorders>
              <w:bottom w:val="single" w:color="auto" w:sz="2" w:space="0"/>
            </w:tcBorders>
            <w:vAlign w:val="center"/>
          </w:tcPr>
          <w:p w14:paraId="135E8795">
            <w:pPr>
              <w:ind w:left="-50" w:right="-50"/>
              <w:jc w:val="center"/>
              <w:rPr>
                <w:sz w:val="18"/>
                <w:szCs w:val="18"/>
              </w:rPr>
            </w:pPr>
            <w:r>
              <w:rPr>
                <w:sz w:val="18"/>
                <w:szCs w:val="18"/>
              </w:rPr>
              <w:t>原  油</w:t>
            </w:r>
          </w:p>
        </w:tc>
        <w:tc>
          <w:tcPr>
            <w:tcW w:w="854" w:type="dxa"/>
            <w:tcBorders>
              <w:bottom w:val="single" w:color="auto" w:sz="2" w:space="0"/>
            </w:tcBorders>
            <w:vAlign w:val="center"/>
          </w:tcPr>
          <w:p w14:paraId="40237375">
            <w:pPr>
              <w:ind w:left="-50" w:right="-50"/>
              <w:jc w:val="center"/>
              <w:rPr>
                <w:sz w:val="18"/>
                <w:szCs w:val="18"/>
              </w:rPr>
            </w:pPr>
            <w:r>
              <w:rPr>
                <w:sz w:val="18"/>
                <w:szCs w:val="18"/>
              </w:rPr>
              <w:t>汽  油</w:t>
            </w:r>
          </w:p>
        </w:tc>
        <w:tc>
          <w:tcPr>
            <w:tcW w:w="854" w:type="dxa"/>
            <w:tcBorders>
              <w:bottom w:val="single" w:color="auto" w:sz="2" w:space="0"/>
            </w:tcBorders>
            <w:vAlign w:val="center"/>
          </w:tcPr>
          <w:p w14:paraId="6415F662">
            <w:pPr>
              <w:ind w:left="-50" w:right="-50"/>
              <w:jc w:val="center"/>
              <w:rPr>
                <w:sz w:val="18"/>
                <w:szCs w:val="18"/>
              </w:rPr>
            </w:pPr>
            <w:r>
              <w:rPr>
                <w:sz w:val="18"/>
                <w:szCs w:val="18"/>
              </w:rPr>
              <w:t>煤  油</w:t>
            </w:r>
          </w:p>
        </w:tc>
      </w:tr>
      <w:tr w14:paraId="52BAF3F8">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3" w:type="dxa"/>
            <w:tcBorders>
              <w:top w:val="single" w:color="auto" w:sz="2" w:space="0"/>
              <w:bottom w:val="single" w:color="auto" w:sz="2" w:space="0"/>
            </w:tcBorders>
            <w:vAlign w:val="center"/>
          </w:tcPr>
          <w:p w14:paraId="31DEDAAE">
            <w:pPr>
              <w:spacing w:line="240" w:lineRule="atLeast"/>
              <w:ind w:right="0"/>
              <w:jc w:val="center"/>
              <w:textAlignment w:val="center"/>
              <w:rPr>
                <w:sz w:val="18"/>
                <w:szCs w:val="18"/>
              </w:rPr>
            </w:pPr>
            <w:r>
              <w:rPr>
                <w:sz w:val="18"/>
                <w:szCs w:val="18"/>
              </w:rPr>
              <w:t>10</w:t>
            </w:r>
          </w:p>
        </w:tc>
        <w:tc>
          <w:tcPr>
            <w:tcW w:w="854" w:type="dxa"/>
            <w:tcBorders>
              <w:top w:val="single" w:color="auto" w:sz="2" w:space="0"/>
              <w:bottom w:val="single" w:color="auto" w:sz="2" w:space="0"/>
            </w:tcBorders>
            <w:vAlign w:val="center"/>
          </w:tcPr>
          <w:p w14:paraId="7E902DA3">
            <w:pPr>
              <w:spacing w:line="240" w:lineRule="atLeast"/>
              <w:ind w:right="0"/>
              <w:jc w:val="center"/>
              <w:textAlignment w:val="center"/>
              <w:rPr>
                <w:sz w:val="18"/>
                <w:szCs w:val="18"/>
              </w:rPr>
            </w:pPr>
            <w:r>
              <w:rPr>
                <w:sz w:val="18"/>
                <w:szCs w:val="18"/>
              </w:rPr>
              <w:t>11</w:t>
            </w:r>
          </w:p>
        </w:tc>
        <w:tc>
          <w:tcPr>
            <w:tcW w:w="854" w:type="dxa"/>
            <w:tcBorders>
              <w:top w:val="single" w:color="auto" w:sz="2" w:space="0"/>
              <w:bottom w:val="single" w:color="auto" w:sz="2" w:space="0"/>
            </w:tcBorders>
            <w:vAlign w:val="center"/>
          </w:tcPr>
          <w:p w14:paraId="45121614">
            <w:pPr>
              <w:spacing w:line="240" w:lineRule="atLeast"/>
              <w:ind w:right="0"/>
              <w:jc w:val="center"/>
              <w:textAlignment w:val="center"/>
              <w:rPr>
                <w:sz w:val="18"/>
                <w:szCs w:val="18"/>
              </w:rPr>
            </w:pPr>
            <w:r>
              <w:rPr>
                <w:sz w:val="18"/>
                <w:szCs w:val="18"/>
              </w:rPr>
              <w:t>12</w:t>
            </w:r>
          </w:p>
        </w:tc>
        <w:tc>
          <w:tcPr>
            <w:tcW w:w="854" w:type="dxa"/>
            <w:tcBorders>
              <w:top w:val="single" w:color="auto" w:sz="2" w:space="0"/>
              <w:bottom w:val="single" w:color="auto" w:sz="2" w:space="0"/>
            </w:tcBorders>
            <w:vAlign w:val="center"/>
          </w:tcPr>
          <w:p w14:paraId="3C58936B">
            <w:pPr>
              <w:spacing w:line="240" w:lineRule="atLeast"/>
              <w:ind w:right="0"/>
              <w:jc w:val="center"/>
              <w:textAlignment w:val="center"/>
              <w:rPr>
                <w:sz w:val="18"/>
                <w:szCs w:val="18"/>
              </w:rPr>
            </w:pPr>
            <w:r>
              <w:rPr>
                <w:sz w:val="18"/>
                <w:szCs w:val="18"/>
              </w:rPr>
              <w:t>13</w:t>
            </w:r>
          </w:p>
        </w:tc>
        <w:tc>
          <w:tcPr>
            <w:tcW w:w="854" w:type="dxa"/>
            <w:tcBorders>
              <w:top w:val="single" w:color="auto" w:sz="2" w:space="0"/>
              <w:bottom w:val="single" w:color="auto" w:sz="2" w:space="0"/>
            </w:tcBorders>
            <w:vAlign w:val="center"/>
          </w:tcPr>
          <w:p w14:paraId="2F50C91E">
            <w:pPr>
              <w:spacing w:line="240" w:lineRule="atLeast"/>
              <w:ind w:right="0"/>
              <w:jc w:val="center"/>
              <w:textAlignment w:val="center"/>
              <w:rPr>
                <w:sz w:val="18"/>
                <w:szCs w:val="18"/>
              </w:rPr>
            </w:pPr>
            <w:r>
              <w:rPr>
                <w:sz w:val="18"/>
                <w:szCs w:val="18"/>
              </w:rPr>
              <w:t>14</w:t>
            </w:r>
          </w:p>
        </w:tc>
        <w:tc>
          <w:tcPr>
            <w:tcW w:w="854" w:type="dxa"/>
            <w:tcBorders>
              <w:top w:val="single" w:color="auto" w:sz="2" w:space="0"/>
              <w:bottom w:val="single" w:color="auto" w:sz="2" w:space="0"/>
            </w:tcBorders>
            <w:vAlign w:val="center"/>
          </w:tcPr>
          <w:p w14:paraId="4CC5C372">
            <w:pPr>
              <w:spacing w:line="240" w:lineRule="atLeast"/>
              <w:ind w:right="0"/>
              <w:jc w:val="center"/>
              <w:textAlignment w:val="center"/>
              <w:rPr>
                <w:sz w:val="18"/>
                <w:szCs w:val="18"/>
              </w:rPr>
            </w:pPr>
            <w:r>
              <w:rPr>
                <w:sz w:val="18"/>
                <w:szCs w:val="18"/>
              </w:rPr>
              <w:t>15</w:t>
            </w:r>
          </w:p>
        </w:tc>
        <w:tc>
          <w:tcPr>
            <w:tcW w:w="854" w:type="dxa"/>
            <w:tcBorders>
              <w:top w:val="single" w:color="auto" w:sz="2" w:space="0"/>
              <w:bottom w:val="single" w:color="auto" w:sz="2" w:space="0"/>
            </w:tcBorders>
            <w:vAlign w:val="center"/>
          </w:tcPr>
          <w:p w14:paraId="7883CF65">
            <w:pPr>
              <w:spacing w:line="240" w:lineRule="atLeast"/>
              <w:ind w:right="0"/>
              <w:jc w:val="center"/>
              <w:textAlignment w:val="center"/>
              <w:rPr>
                <w:sz w:val="18"/>
                <w:szCs w:val="18"/>
              </w:rPr>
            </w:pPr>
            <w:r>
              <w:rPr>
                <w:sz w:val="18"/>
                <w:szCs w:val="18"/>
              </w:rPr>
              <w:t>16</w:t>
            </w:r>
          </w:p>
        </w:tc>
        <w:tc>
          <w:tcPr>
            <w:tcW w:w="854" w:type="dxa"/>
            <w:tcBorders>
              <w:top w:val="single" w:color="auto" w:sz="2" w:space="0"/>
              <w:bottom w:val="single" w:color="auto" w:sz="2" w:space="0"/>
            </w:tcBorders>
            <w:vAlign w:val="center"/>
          </w:tcPr>
          <w:p w14:paraId="78E5D92F">
            <w:pPr>
              <w:spacing w:line="240" w:lineRule="atLeast"/>
              <w:ind w:right="0"/>
              <w:jc w:val="center"/>
              <w:textAlignment w:val="center"/>
              <w:rPr>
                <w:sz w:val="18"/>
                <w:szCs w:val="18"/>
              </w:rPr>
            </w:pPr>
            <w:r>
              <w:rPr>
                <w:sz w:val="18"/>
                <w:szCs w:val="18"/>
              </w:rPr>
              <w:t>17</w:t>
            </w:r>
          </w:p>
        </w:tc>
        <w:tc>
          <w:tcPr>
            <w:tcW w:w="854" w:type="dxa"/>
            <w:tcBorders>
              <w:top w:val="single" w:color="auto" w:sz="2" w:space="0"/>
              <w:bottom w:val="single" w:color="auto" w:sz="2" w:space="0"/>
            </w:tcBorders>
            <w:vAlign w:val="center"/>
          </w:tcPr>
          <w:p w14:paraId="51C8ED2C">
            <w:pPr>
              <w:spacing w:line="240" w:lineRule="atLeast"/>
              <w:ind w:right="0"/>
              <w:jc w:val="center"/>
              <w:textAlignment w:val="center"/>
              <w:rPr>
                <w:sz w:val="18"/>
                <w:szCs w:val="18"/>
              </w:rPr>
            </w:pPr>
            <w:r>
              <w:rPr>
                <w:sz w:val="18"/>
                <w:szCs w:val="18"/>
              </w:rPr>
              <w:t>18</w:t>
            </w:r>
          </w:p>
        </w:tc>
        <w:tc>
          <w:tcPr>
            <w:tcW w:w="854" w:type="dxa"/>
            <w:tcBorders>
              <w:top w:val="single" w:color="auto" w:sz="2" w:space="0"/>
              <w:bottom w:val="single" w:color="auto" w:sz="2" w:space="0"/>
            </w:tcBorders>
            <w:vAlign w:val="center"/>
          </w:tcPr>
          <w:p w14:paraId="1E318694">
            <w:pPr>
              <w:spacing w:line="240" w:lineRule="atLeast"/>
              <w:ind w:right="0"/>
              <w:jc w:val="center"/>
              <w:textAlignment w:val="center"/>
              <w:rPr>
                <w:sz w:val="18"/>
                <w:szCs w:val="18"/>
              </w:rPr>
            </w:pPr>
            <w:r>
              <w:rPr>
                <w:sz w:val="18"/>
                <w:szCs w:val="18"/>
              </w:rPr>
              <w:t>19</w:t>
            </w:r>
          </w:p>
        </w:tc>
        <w:tc>
          <w:tcPr>
            <w:tcW w:w="854" w:type="dxa"/>
            <w:tcBorders>
              <w:top w:val="single" w:color="auto" w:sz="2" w:space="0"/>
              <w:bottom w:val="single" w:color="auto" w:sz="2" w:space="0"/>
            </w:tcBorders>
            <w:vAlign w:val="center"/>
          </w:tcPr>
          <w:p w14:paraId="7F2F45BB">
            <w:pPr>
              <w:spacing w:line="240" w:lineRule="atLeast"/>
              <w:ind w:right="0"/>
              <w:jc w:val="center"/>
              <w:textAlignment w:val="center"/>
              <w:rPr>
                <w:sz w:val="18"/>
                <w:szCs w:val="18"/>
              </w:rPr>
            </w:pPr>
            <w:r>
              <w:rPr>
                <w:sz w:val="18"/>
                <w:szCs w:val="18"/>
              </w:rPr>
              <w:t>20</w:t>
            </w:r>
          </w:p>
        </w:tc>
      </w:tr>
      <w:tr w14:paraId="6CBFDD04">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9393" w:type="dxa"/>
            <w:gridSpan w:val="11"/>
            <w:tcBorders>
              <w:top w:val="single" w:color="auto" w:sz="2" w:space="0"/>
              <w:bottom w:val="single" w:color="auto" w:sz="8" w:space="0"/>
            </w:tcBorders>
            <w:vAlign w:val="center"/>
          </w:tcPr>
          <w:p w14:paraId="78B1CF57">
            <w:pPr>
              <w:ind w:right="-40"/>
              <w:jc w:val="center"/>
              <w:rPr>
                <w:sz w:val="18"/>
                <w:szCs w:val="18"/>
              </w:rPr>
            </w:pPr>
          </w:p>
          <w:p w14:paraId="27A8AA73">
            <w:pPr>
              <w:ind w:right="-40"/>
              <w:jc w:val="center"/>
              <w:rPr>
                <w:sz w:val="18"/>
                <w:szCs w:val="18"/>
              </w:rPr>
            </w:pPr>
          </w:p>
        </w:tc>
      </w:tr>
    </w:tbl>
    <w:p w14:paraId="42787635">
      <w:pPr>
        <w:snapToGrid w:val="0"/>
        <w:rPr>
          <w:sz w:val="18"/>
          <w:szCs w:val="18"/>
        </w:rPr>
      </w:pPr>
    </w:p>
    <w:p w14:paraId="08E65990">
      <w:pPr>
        <w:snapToGrid w:val="0"/>
        <w:rPr>
          <w:sz w:val="18"/>
          <w:szCs w:val="18"/>
        </w:rPr>
      </w:pPr>
      <w:r>
        <w:rPr>
          <w:sz w:val="18"/>
          <w:szCs w:val="18"/>
        </w:rPr>
        <w:t>续表二</w:t>
      </w:r>
    </w:p>
    <w:tbl>
      <w:tblPr>
        <w:tblStyle w:val="20"/>
        <w:tblW w:w="9408"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5"/>
        <w:gridCol w:w="855"/>
        <w:gridCol w:w="855"/>
        <w:gridCol w:w="856"/>
        <w:gridCol w:w="855"/>
        <w:gridCol w:w="855"/>
        <w:gridCol w:w="855"/>
        <w:gridCol w:w="856"/>
        <w:gridCol w:w="855"/>
        <w:gridCol w:w="855"/>
        <w:gridCol w:w="856"/>
      </w:tblGrid>
      <w:tr w14:paraId="660AC357">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55" w:type="dxa"/>
            <w:tcBorders>
              <w:bottom w:val="single" w:color="auto" w:sz="2" w:space="0"/>
            </w:tcBorders>
            <w:vAlign w:val="center"/>
          </w:tcPr>
          <w:p w14:paraId="39A3FCAE">
            <w:pPr>
              <w:ind w:right="-40"/>
              <w:jc w:val="center"/>
              <w:rPr>
                <w:sz w:val="18"/>
                <w:szCs w:val="18"/>
              </w:rPr>
            </w:pPr>
            <w:r>
              <w:rPr>
                <w:sz w:val="18"/>
                <w:szCs w:val="18"/>
              </w:rPr>
              <w:t>柴  油</w:t>
            </w:r>
          </w:p>
        </w:tc>
        <w:tc>
          <w:tcPr>
            <w:tcW w:w="855" w:type="dxa"/>
            <w:tcBorders>
              <w:bottom w:val="single" w:color="auto" w:sz="2" w:space="0"/>
            </w:tcBorders>
            <w:vAlign w:val="center"/>
          </w:tcPr>
          <w:p w14:paraId="6534590F">
            <w:pPr>
              <w:ind w:left="-50" w:right="-50"/>
              <w:jc w:val="center"/>
              <w:rPr>
                <w:sz w:val="18"/>
                <w:szCs w:val="18"/>
              </w:rPr>
            </w:pPr>
            <w:r>
              <w:rPr>
                <w:sz w:val="18"/>
                <w:szCs w:val="18"/>
              </w:rPr>
              <w:t>燃料油</w:t>
            </w:r>
          </w:p>
        </w:tc>
        <w:tc>
          <w:tcPr>
            <w:tcW w:w="855" w:type="dxa"/>
            <w:tcBorders>
              <w:bottom w:val="single" w:color="auto" w:sz="2" w:space="0"/>
            </w:tcBorders>
            <w:vAlign w:val="center"/>
          </w:tcPr>
          <w:p w14:paraId="7FFC84B6">
            <w:pPr>
              <w:ind w:left="-50" w:right="-50"/>
              <w:jc w:val="center"/>
              <w:rPr>
                <w:sz w:val="18"/>
                <w:szCs w:val="18"/>
              </w:rPr>
            </w:pPr>
            <w:r>
              <w:rPr>
                <w:sz w:val="18"/>
                <w:szCs w:val="18"/>
              </w:rPr>
              <w:t>石脑油</w:t>
            </w:r>
          </w:p>
        </w:tc>
        <w:tc>
          <w:tcPr>
            <w:tcW w:w="856" w:type="dxa"/>
            <w:tcBorders>
              <w:bottom w:val="single" w:color="auto" w:sz="2" w:space="0"/>
            </w:tcBorders>
            <w:vAlign w:val="center"/>
          </w:tcPr>
          <w:p w14:paraId="4A309262">
            <w:pPr>
              <w:ind w:left="-50" w:right="-50"/>
              <w:jc w:val="center"/>
              <w:rPr>
                <w:sz w:val="18"/>
                <w:szCs w:val="18"/>
              </w:rPr>
            </w:pPr>
            <w:r>
              <w:rPr>
                <w:sz w:val="18"/>
                <w:szCs w:val="18"/>
              </w:rPr>
              <w:t>润滑油</w:t>
            </w:r>
          </w:p>
        </w:tc>
        <w:tc>
          <w:tcPr>
            <w:tcW w:w="855" w:type="dxa"/>
            <w:tcBorders>
              <w:bottom w:val="single" w:color="auto" w:sz="2" w:space="0"/>
            </w:tcBorders>
            <w:vAlign w:val="center"/>
          </w:tcPr>
          <w:p w14:paraId="388CDEF9">
            <w:pPr>
              <w:ind w:left="-50" w:right="-50"/>
              <w:jc w:val="center"/>
              <w:rPr>
                <w:sz w:val="18"/>
                <w:szCs w:val="18"/>
              </w:rPr>
            </w:pPr>
            <w:r>
              <w:rPr>
                <w:sz w:val="18"/>
                <w:szCs w:val="18"/>
              </w:rPr>
              <w:t>石  蜡</w:t>
            </w:r>
          </w:p>
        </w:tc>
        <w:tc>
          <w:tcPr>
            <w:tcW w:w="855" w:type="dxa"/>
            <w:tcBorders>
              <w:bottom w:val="single" w:color="auto" w:sz="2" w:space="0"/>
            </w:tcBorders>
            <w:vAlign w:val="center"/>
          </w:tcPr>
          <w:p w14:paraId="07331FBD">
            <w:pPr>
              <w:ind w:left="-50" w:right="-50"/>
              <w:jc w:val="center"/>
              <w:rPr>
                <w:sz w:val="18"/>
                <w:szCs w:val="18"/>
              </w:rPr>
            </w:pPr>
            <w:r>
              <w:rPr>
                <w:sz w:val="18"/>
                <w:szCs w:val="18"/>
              </w:rPr>
              <w:t>溶剂油</w:t>
            </w:r>
          </w:p>
        </w:tc>
        <w:tc>
          <w:tcPr>
            <w:tcW w:w="855" w:type="dxa"/>
            <w:tcBorders>
              <w:bottom w:val="single" w:color="auto" w:sz="2" w:space="0"/>
            </w:tcBorders>
            <w:vAlign w:val="center"/>
          </w:tcPr>
          <w:p w14:paraId="47E908E5">
            <w:pPr>
              <w:ind w:left="-50" w:right="-50"/>
              <w:jc w:val="center"/>
              <w:rPr>
                <w:sz w:val="18"/>
                <w:szCs w:val="18"/>
              </w:rPr>
            </w:pPr>
            <w:r>
              <w:rPr>
                <w:sz w:val="18"/>
                <w:szCs w:val="18"/>
              </w:rPr>
              <w:t>石 油</w:t>
            </w:r>
          </w:p>
          <w:p w14:paraId="1D4C3C0A">
            <w:pPr>
              <w:ind w:left="-50" w:right="-50"/>
              <w:jc w:val="center"/>
              <w:rPr>
                <w:sz w:val="18"/>
                <w:szCs w:val="18"/>
              </w:rPr>
            </w:pPr>
            <w:r>
              <w:rPr>
                <w:sz w:val="18"/>
                <w:szCs w:val="18"/>
              </w:rPr>
              <w:t>沥 青</w:t>
            </w:r>
          </w:p>
        </w:tc>
        <w:tc>
          <w:tcPr>
            <w:tcW w:w="856" w:type="dxa"/>
            <w:tcBorders>
              <w:bottom w:val="single" w:color="auto" w:sz="2" w:space="0"/>
            </w:tcBorders>
            <w:vAlign w:val="center"/>
          </w:tcPr>
          <w:p w14:paraId="4603BE7B">
            <w:pPr>
              <w:ind w:left="-50" w:right="-50"/>
              <w:jc w:val="center"/>
              <w:rPr>
                <w:sz w:val="18"/>
                <w:szCs w:val="18"/>
              </w:rPr>
            </w:pPr>
            <w:r>
              <w:rPr>
                <w:sz w:val="18"/>
                <w:szCs w:val="18"/>
              </w:rPr>
              <w:t>石油焦</w:t>
            </w:r>
          </w:p>
        </w:tc>
        <w:tc>
          <w:tcPr>
            <w:tcW w:w="855" w:type="dxa"/>
            <w:tcBorders>
              <w:bottom w:val="single" w:color="auto" w:sz="2" w:space="0"/>
            </w:tcBorders>
            <w:vAlign w:val="center"/>
          </w:tcPr>
          <w:p w14:paraId="3830D6ED">
            <w:pPr>
              <w:ind w:left="-50" w:right="-50"/>
              <w:jc w:val="center"/>
              <w:rPr>
                <w:sz w:val="18"/>
                <w:szCs w:val="18"/>
              </w:rPr>
            </w:pPr>
            <w:r>
              <w:rPr>
                <w:sz w:val="18"/>
                <w:szCs w:val="18"/>
              </w:rPr>
              <w:t>液  化　石油气</w:t>
            </w:r>
          </w:p>
        </w:tc>
        <w:tc>
          <w:tcPr>
            <w:tcW w:w="855" w:type="dxa"/>
            <w:tcBorders>
              <w:bottom w:val="single" w:color="auto" w:sz="2" w:space="0"/>
            </w:tcBorders>
            <w:vAlign w:val="center"/>
          </w:tcPr>
          <w:p w14:paraId="07F331D1">
            <w:pPr>
              <w:ind w:left="-50" w:right="-50"/>
              <w:jc w:val="center"/>
              <w:rPr>
                <w:sz w:val="18"/>
                <w:szCs w:val="18"/>
              </w:rPr>
            </w:pPr>
            <w:r>
              <w:rPr>
                <w:sz w:val="18"/>
                <w:szCs w:val="18"/>
              </w:rPr>
              <w:t>炼 厂</w:t>
            </w:r>
          </w:p>
          <w:p w14:paraId="16DB582E">
            <w:pPr>
              <w:ind w:left="-50" w:right="-50"/>
              <w:jc w:val="center"/>
              <w:rPr>
                <w:sz w:val="18"/>
                <w:szCs w:val="18"/>
              </w:rPr>
            </w:pPr>
            <w:r>
              <w:rPr>
                <w:sz w:val="18"/>
                <w:szCs w:val="18"/>
              </w:rPr>
              <w:t>干 气</w:t>
            </w:r>
          </w:p>
        </w:tc>
        <w:tc>
          <w:tcPr>
            <w:tcW w:w="856" w:type="dxa"/>
            <w:tcBorders>
              <w:bottom w:val="single" w:color="auto" w:sz="2" w:space="0"/>
            </w:tcBorders>
            <w:vAlign w:val="center"/>
          </w:tcPr>
          <w:p w14:paraId="2B5EE547">
            <w:pPr>
              <w:ind w:left="-50" w:right="-50"/>
              <w:jc w:val="center"/>
              <w:rPr>
                <w:sz w:val="18"/>
                <w:szCs w:val="18"/>
              </w:rPr>
            </w:pPr>
            <w:r>
              <w:rPr>
                <w:sz w:val="18"/>
                <w:szCs w:val="18"/>
              </w:rPr>
              <w:t>其　　他　　　　　　　　　　　　　石油制品</w:t>
            </w:r>
          </w:p>
        </w:tc>
      </w:tr>
      <w:tr w14:paraId="7ED45B07">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5" w:type="dxa"/>
            <w:tcBorders>
              <w:top w:val="single" w:color="auto" w:sz="2" w:space="0"/>
              <w:bottom w:val="single" w:color="auto" w:sz="2" w:space="0"/>
            </w:tcBorders>
            <w:vAlign w:val="center"/>
          </w:tcPr>
          <w:p w14:paraId="2D15A3E4">
            <w:pPr>
              <w:spacing w:line="240" w:lineRule="atLeast"/>
              <w:ind w:right="0"/>
              <w:jc w:val="center"/>
              <w:textAlignment w:val="center"/>
              <w:rPr>
                <w:sz w:val="18"/>
                <w:szCs w:val="18"/>
              </w:rPr>
            </w:pPr>
            <w:r>
              <w:rPr>
                <w:sz w:val="18"/>
                <w:szCs w:val="18"/>
              </w:rPr>
              <w:t>21</w:t>
            </w:r>
          </w:p>
        </w:tc>
        <w:tc>
          <w:tcPr>
            <w:tcW w:w="855" w:type="dxa"/>
            <w:tcBorders>
              <w:top w:val="single" w:color="auto" w:sz="2" w:space="0"/>
              <w:bottom w:val="single" w:color="auto" w:sz="2" w:space="0"/>
            </w:tcBorders>
            <w:vAlign w:val="center"/>
          </w:tcPr>
          <w:p w14:paraId="7ABBF588">
            <w:pPr>
              <w:spacing w:line="240" w:lineRule="atLeast"/>
              <w:ind w:right="0"/>
              <w:jc w:val="center"/>
              <w:textAlignment w:val="center"/>
              <w:rPr>
                <w:sz w:val="18"/>
                <w:szCs w:val="18"/>
              </w:rPr>
            </w:pPr>
            <w:r>
              <w:rPr>
                <w:sz w:val="18"/>
                <w:szCs w:val="18"/>
              </w:rPr>
              <w:t>22</w:t>
            </w:r>
          </w:p>
        </w:tc>
        <w:tc>
          <w:tcPr>
            <w:tcW w:w="855" w:type="dxa"/>
            <w:tcBorders>
              <w:top w:val="single" w:color="auto" w:sz="2" w:space="0"/>
              <w:bottom w:val="single" w:color="auto" w:sz="2" w:space="0"/>
            </w:tcBorders>
            <w:vAlign w:val="center"/>
          </w:tcPr>
          <w:p w14:paraId="7AFE5C06">
            <w:pPr>
              <w:spacing w:line="240" w:lineRule="atLeast"/>
              <w:ind w:right="0"/>
              <w:jc w:val="center"/>
              <w:textAlignment w:val="center"/>
              <w:rPr>
                <w:sz w:val="18"/>
                <w:szCs w:val="18"/>
              </w:rPr>
            </w:pPr>
            <w:r>
              <w:rPr>
                <w:sz w:val="18"/>
                <w:szCs w:val="18"/>
              </w:rPr>
              <w:t>23</w:t>
            </w:r>
          </w:p>
        </w:tc>
        <w:tc>
          <w:tcPr>
            <w:tcW w:w="856" w:type="dxa"/>
            <w:tcBorders>
              <w:top w:val="single" w:color="auto" w:sz="2" w:space="0"/>
              <w:bottom w:val="single" w:color="auto" w:sz="2" w:space="0"/>
            </w:tcBorders>
            <w:vAlign w:val="center"/>
          </w:tcPr>
          <w:p w14:paraId="2AE28B5F">
            <w:pPr>
              <w:spacing w:line="240" w:lineRule="atLeast"/>
              <w:ind w:right="0"/>
              <w:jc w:val="center"/>
              <w:textAlignment w:val="center"/>
              <w:rPr>
                <w:sz w:val="18"/>
                <w:szCs w:val="18"/>
              </w:rPr>
            </w:pPr>
            <w:r>
              <w:rPr>
                <w:sz w:val="18"/>
                <w:szCs w:val="18"/>
              </w:rPr>
              <w:t>24</w:t>
            </w:r>
          </w:p>
        </w:tc>
        <w:tc>
          <w:tcPr>
            <w:tcW w:w="855" w:type="dxa"/>
            <w:tcBorders>
              <w:top w:val="single" w:color="auto" w:sz="2" w:space="0"/>
              <w:bottom w:val="single" w:color="auto" w:sz="2" w:space="0"/>
            </w:tcBorders>
            <w:vAlign w:val="center"/>
          </w:tcPr>
          <w:p w14:paraId="673F705A">
            <w:pPr>
              <w:spacing w:line="240" w:lineRule="atLeast"/>
              <w:ind w:right="0"/>
              <w:jc w:val="center"/>
              <w:textAlignment w:val="center"/>
              <w:rPr>
                <w:sz w:val="18"/>
                <w:szCs w:val="18"/>
              </w:rPr>
            </w:pPr>
            <w:r>
              <w:rPr>
                <w:sz w:val="18"/>
                <w:szCs w:val="18"/>
              </w:rPr>
              <w:t>25</w:t>
            </w:r>
          </w:p>
        </w:tc>
        <w:tc>
          <w:tcPr>
            <w:tcW w:w="855" w:type="dxa"/>
            <w:tcBorders>
              <w:top w:val="single" w:color="auto" w:sz="2" w:space="0"/>
              <w:bottom w:val="single" w:color="auto" w:sz="2" w:space="0"/>
            </w:tcBorders>
            <w:vAlign w:val="center"/>
          </w:tcPr>
          <w:p w14:paraId="46BB6651">
            <w:pPr>
              <w:spacing w:line="240" w:lineRule="atLeast"/>
              <w:ind w:right="0"/>
              <w:jc w:val="center"/>
              <w:textAlignment w:val="center"/>
              <w:rPr>
                <w:sz w:val="18"/>
                <w:szCs w:val="18"/>
              </w:rPr>
            </w:pPr>
            <w:r>
              <w:rPr>
                <w:sz w:val="18"/>
                <w:szCs w:val="18"/>
              </w:rPr>
              <w:t>26</w:t>
            </w:r>
          </w:p>
        </w:tc>
        <w:tc>
          <w:tcPr>
            <w:tcW w:w="855" w:type="dxa"/>
            <w:tcBorders>
              <w:top w:val="single" w:color="auto" w:sz="2" w:space="0"/>
              <w:bottom w:val="single" w:color="auto" w:sz="2" w:space="0"/>
            </w:tcBorders>
            <w:vAlign w:val="center"/>
          </w:tcPr>
          <w:p w14:paraId="2E016F9B">
            <w:pPr>
              <w:spacing w:line="240" w:lineRule="atLeast"/>
              <w:ind w:right="0"/>
              <w:jc w:val="center"/>
              <w:textAlignment w:val="center"/>
              <w:rPr>
                <w:sz w:val="18"/>
                <w:szCs w:val="18"/>
              </w:rPr>
            </w:pPr>
            <w:r>
              <w:rPr>
                <w:sz w:val="18"/>
                <w:szCs w:val="18"/>
              </w:rPr>
              <w:t>27</w:t>
            </w:r>
          </w:p>
        </w:tc>
        <w:tc>
          <w:tcPr>
            <w:tcW w:w="856" w:type="dxa"/>
            <w:tcBorders>
              <w:top w:val="single" w:color="auto" w:sz="2" w:space="0"/>
              <w:bottom w:val="single" w:color="auto" w:sz="2" w:space="0"/>
            </w:tcBorders>
            <w:vAlign w:val="center"/>
          </w:tcPr>
          <w:p w14:paraId="0FEA064F">
            <w:pPr>
              <w:spacing w:line="240" w:lineRule="atLeast"/>
              <w:ind w:right="0"/>
              <w:jc w:val="center"/>
              <w:textAlignment w:val="center"/>
              <w:rPr>
                <w:sz w:val="18"/>
                <w:szCs w:val="18"/>
              </w:rPr>
            </w:pPr>
            <w:r>
              <w:rPr>
                <w:sz w:val="18"/>
                <w:szCs w:val="18"/>
              </w:rPr>
              <w:t>28</w:t>
            </w:r>
          </w:p>
        </w:tc>
        <w:tc>
          <w:tcPr>
            <w:tcW w:w="855" w:type="dxa"/>
            <w:tcBorders>
              <w:top w:val="single" w:color="auto" w:sz="2" w:space="0"/>
              <w:bottom w:val="single" w:color="auto" w:sz="2" w:space="0"/>
            </w:tcBorders>
            <w:vAlign w:val="center"/>
          </w:tcPr>
          <w:p w14:paraId="79E2868D">
            <w:pPr>
              <w:spacing w:line="240" w:lineRule="atLeast"/>
              <w:ind w:right="0"/>
              <w:jc w:val="center"/>
              <w:textAlignment w:val="center"/>
              <w:rPr>
                <w:sz w:val="18"/>
                <w:szCs w:val="18"/>
              </w:rPr>
            </w:pPr>
            <w:r>
              <w:rPr>
                <w:sz w:val="18"/>
                <w:szCs w:val="18"/>
              </w:rPr>
              <w:t>29</w:t>
            </w:r>
          </w:p>
        </w:tc>
        <w:tc>
          <w:tcPr>
            <w:tcW w:w="855" w:type="dxa"/>
            <w:tcBorders>
              <w:top w:val="single" w:color="auto" w:sz="2" w:space="0"/>
              <w:bottom w:val="single" w:color="auto" w:sz="2" w:space="0"/>
            </w:tcBorders>
            <w:vAlign w:val="center"/>
          </w:tcPr>
          <w:p w14:paraId="5ACFE412">
            <w:pPr>
              <w:spacing w:line="240" w:lineRule="atLeast"/>
              <w:ind w:right="0"/>
              <w:jc w:val="center"/>
              <w:textAlignment w:val="center"/>
              <w:rPr>
                <w:sz w:val="18"/>
                <w:szCs w:val="18"/>
              </w:rPr>
            </w:pPr>
            <w:r>
              <w:rPr>
                <w:sz w:val="18"/>
                <w:szCs w:val="18"/>
              </w:rPr>
              <w:t>30</w:t>
            </w:r>
          </w:p>
        </w:tc>
        <w:tc>
          <w:tcPr>
            <w:tcW w:w="856" w:type="dxa"/>
            <w:tcBorders>
              <w:top w:val="single" w:color="auto" w:sz="2" w:space="0"/>
              <w:bottom w:val="single" w:color="auto" w:sz="2" w:space="0"/>
            </w:tcBorders>
            <w:vAlign w:val="center"/>
          </w:tcPr>
          <w:p w14:paraId="0FC398E1">
            <w:pPr>
              <w:spacing w:line="240" w:lineRule="atLeast"/>
              <w:ind w:right="0"/>
              <w:jc w:val="center"/>
              <w:textAlignment w:val="center"/>
              <w:rPr>
                <w:sz w:val="18"/>
                <w:szCs w:val="18"/>
              </w:rPr>
            </w:pPr>
            <w:r>
              <w:rPr>
                <w:sz w:val="18"/>
                <w:szCs w:val="18"/>
              </w:rPr>
              <w:t>31</w:t>
            </w:r>
          </w:p>
        </w:tc>
      </w:tr>
      <w:tr w14:paraId="289B7184">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9408" w:type="dxa"/>
            <w:gridSpan w:val="11"/>
            <w:tcBorders>
              <w:top w:val="single" w:color="auto" w:sz="2" w:space="0"/>
              <w:bottom w:val="single" w:color="auto" w:sz="8" w:space="0"/>
            </w:tcBorders>
            <w:vAlign w:val="center"/>
          </w:tcPr>
          <w:p w14:paraId="6284C29F">
            <w:pPr>
              <w:ind w:right="-40"/>
              <w:jc w:val="center"/>
              <w:rPr>
                <w:sz w:val="18"/>
                <w:szCs w:val="18"/>
              </w:rPr>
            </w:pPr>
          </w:p>
          <w:p w14:paraId="5F3DF7D2">
            <w:pPr>
              <w:ind w:right="-40"/>
              <w:jc w:val="center"/>
              <w:rPr>
                <w:sz w:val="18"/>
                <w:szCs w:val="18"/>
              </w:rPr>
            </w:pPr>
          </w:p>
        </w:tc>
      </w:tr>
    </w:tbl>
    <w:p w14:paraId="6124F1D4">
      <w:pPr>
        <w:snapToGrid w:val="0"/>
        <w:rPr>
          <w:sz w:val="18"/>
          <w:szCs w:val="18"/>
        </w:rPr>
      </w:pPr>
    </w:p>
    <w:p w14:paraId="03535C59">
      <w:pPr>
        <w:snapToGrid w:val="0"/>
        <w:rPr>
          <w:sz w:val="18"/>
          <w:szCs w:val="18"/>
        </w:rPr>
      </w:pPr>
      <w:r>
        <w:rPr>
          <w:sz w:val="18"/>
          <w:szCs w:val="18"/>
        </w:rPr>
        <w:t>续表三</w:t>
      </w:r>
    </w:p>
    <w:tbl>
      <w:tblPr>
        <w:tblStyle w:val="20"/>
        <w:tblW w:w="9436"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853"/>
        <w:gridCol w:w="856"/>
        <w:gridCol w:w="855"/>
        <w:gridCol w:w="857"/>
        <w:gridCol w:w="861"/>
        <w:gridCol w:w="856"/>
        <w:gridCol w:w="858"/>
        <w:gridCol w:w="858"/>
        <w:gridCol w:w="862"/>
        <w:gridCol w:w="867"/>
      </w:tblGrid>
      <w:tr w14:paraId="2234C2B3">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53" w:type="dxa"/>
            <w:vMerge w:val="restart"/>
            <w:vAlign w:val="center"/>
          </w:tcPr>
          <w:p w14:paraId="61AA6436">
            <w:pPr>
              <w:ind w:right="-40"/>
              <w:jc w:val="center"/>
              <w:rPr>
                <w:sz w:val="18"/>
                <w:szCs w:val="18"/>
              </w:rPr>
            </w:pPr>
            <w:r>
              <w:rPr>
                <w:sz w:val="18"/>
                <w:szCs w:val="18"/>
              </w:rPr>
              <w:t>天然气</w:t>
            </w:r>
          </w:p>
        </w:tc>
        <w:tc>
          <w:tcPr>
            <w:tcW w:w="853" w:type="dxa"/>
            <w:vMerge w:val="restart"/>
            <w:vAlign w:val="center"/>
          </w:tcPr>
          <w:p w14:paraId="791FF46A">
            <w:pPr>
              <w:ind w:left="-50" w:right="-50"/>
              <w:jc w:val="center"/>
              <w:rPr>
                <w:sz w:val="18"/>
                <w:szCs w:val="18"/>
              </w:rPr>
            </w:pPr>
            <w:r>
              <w:rPr>
                <w:sz w:val="18"/>
                <w:szCs w:val="18"/>
              </w:rPr>
              <w:t>液  化</w:t>
            </w:r>
          </w:p>
          <w:p w14:paraId="3B005539">
            <w:pPr>
              <w:ind w:left="-50" w:right="-50"/>
              <w:jc w:val="center"/>
              <w:rPr>
                <w:sz w:val="18"/>
                <w:szCs w:val="18"/>
              </w:rPr>
            </w:pPr>
            <w:r>
              <w:rPr>
                <w:sz w:val="18"/>
                <w:szCs w:val="18"/>
              </w:rPr>
              <w:t>天然气</w:t>
            </w:r>
          </w:p>
        </w:tc>
        <w:tc>
          <w:tcPr>
            <w:tcW w:w="856" w:type="dxa"/>
            <w:vMerge w:val="restart"/>
            <w:vAlign w:val="center"/>
          </w:tcPr>
          <w:p w14:paraId="67DBD762">
            <w:pPr>
              <w:ind w:left="-50" w:right="-50"/>
              <w:jc w:val="center"/>
              <w:rPr>
                <w:rFonts w:hint="eastAsia" w:eastAsia="宋体"/>
                <w:sz w:val="18"/>
                <w:szCs w:val="18"/>
                <w:lang w:eastAsia="zh-CN"/>
              </w:rPr>
            </w:pPr>
            <w:r>
              <w:rPr>
                <w:rFonts w:hint="eastAsia"/>
                <w:sz w:val="18"/>
                <w:szCs w:val="18"/>
                <w:lang w:eastAsia="zh-CN"/>
              </w:rPr>
              <w:t>氢</w:t>
            </w:r>
            <w:r>
              <w:rPr>
                <w:rFonts w:hint="eastAsia"/>
                <w:sz w:val="18"/>
                <w:szCs w:val="18"/>
                <w:lang w:val="en-US" w:eastAsia="zh-CN"/>
              </w:rPr>
              <w:t xml:space="preserve">  </w:t>
            </w:r>
            <w:del w:id="362" w:author="kylin" w:date="2025-10-17T16:51:50Z">
              <w:r>
                <w:rPr>
                  <w:rFonts w:hint="eastAsia"/>
                  <w:sz w:val="18"/>
                  <w:szCs w:val="18"/>
                  <w:lang w:eastAsia="zh-CN"/>
                </w:rPr>
                <w:delText>能</w:delText>
              </w:r>
            </w:del>
            <w:ins w:id="363" w:author="kylin" w:date="2025-10-17T16:51:50Z">
              <w:r>
                <w:rPr>
                  <w:rFonts w:hint="eastAsia"/>
                  <w:sz w:val="18"/>
                  <w:szCs w:val="18"/>
                  <w:lang w:eastAsia="zh-CN"/>
                </w:rPr>
                <w:t>气</w:t>
              </w:r>
            </w:ins>
          </w:p>
        </w:tc>
        <w:tc>
          <w:tcPr>
            <w:tcW w:w="855" w:type="dxa"/>
            <w:vMerge w:val="restart"/>
            <w:vAlign w:val="center"/>
          </w:tcPr>
          <w:p w14:paraId="572BB1FD">
            <w:pPr>
              <w:ind w:left="-50" w:right="-50"/>
              <w:jc w:val="center"/>
              <w:rPr>
                <w:sz w:val="18"/>
                <w:szCs w:val="18"/>
              </w:rPr>
            </w:pPr>
            <w:r>
              <w:rPr>
                <w:sz w:val="18"/>
                <w:szCs w:val="18"/>
              </w:rPr>
              <w:t>秸秆薪柴</w:t>
            </w:r>
          </w:p>
        </w:tc>
        <w:tc>
          <w:tcPr>
            <w:tcW w:w="857" w:type="dxa"/>
            <w:vMerge w:val="restart"/>
            <w:vAlign w:val="center"/>
          </w:tcPr>
          <w:p w14:paraId="35B9412A">
            <w:pPr>
              <w:ind w:left="-50" w:right="-50"/>
              <w:jc w:val="center"/>
              <w:rPr>
                <w:sz w:val="18"/>
                <w:szCs w:val="18"/>
              </w:rPr>
            </w:pPr>
            <w:r>
              <w:rPr>
                <w:sz w:val="18"/>
                <w:szCs w:val="18"/>
              </w:rPr>
              <w:t>沼  气</w:t>
            </w:r>
          </w:p>
        </w:tc>
        <w:tc>
          <w:tcPr>
            <w:tcW w:w="861" w:type="dxa"/>
            <w:vMerge w:val="restart"/>
            <w:vAlign w:val="center"/>
          </w:tcPr>
          <w:p w14:paraId="2D19FFEE">
            <w:pPr>
              <w:ind w:left="-50" w:right="-50"/>
              <w:jc w:val="center"/>
              <w:rPr>
                <w:sz w:val="18"/>
                <w:szCs w:val="18"/>
              </w:rPr>
            </w:pPr>
            <w:r>
              <w:rPr>
                <w:sz w:val="18"/>
                <w:szCs w:val="18"/>
              </w:rPr>
              <w:t>热  力</w:t>
            </w:r>
          </w:p>
        </w:tc>
        <w:tc>
          <w:tcPr>
            <w:tcW w:w="1714" w:type="dxa"/>
            <w:gridSpan w:val="2"/>
            <w:vAlign w:val="center"/>
          </w:tcPr>
          <w:p w14:paraId="5DF2CF74">
            <w:pPr>
              <w:ind w:left="-50" w:right="-50"/>
              <w:jc w:val="center"/>
              <w:rPr>
                <w:sz w:val="18"/>
                <w:szCs w:val="18"/>
              </w:rPr>
            </w:pPr>
            <w:r>
              <w:rPr>
                <w:sz w:val="18"/>
                <w:szCs w:val="18"/>
              </w:rPr>
              <w:t>电力合计</w:t>
            </w:r>
          </w:p>
        </w:tc>
        <w:tc>
          <w:tcPr>
            <w:tcW w:w="858" w:type="dxa"/>
            <w:vMerge w:val="restart"/>
            <w:vAlign w:val="center"/>
          </w:tcPr>
          <w:p w14:paraId="32467EAF">
            <w:pPr>
              <w:ind w:left="-50" w:right="-50"/>
              <w:jc w:val="center"/>
              <w:rPr>
                <w:sz w:val="18"/>
                <w:szCs w:val="18"/>
              </w:rPr>
            </w:pPr>
            <w:r>
              <w:rPr>
                <w:sz w:val="18"/>
                <w:szCs w:val="18"/>
              </w:rPr>
              <w:t>其 他</w:t>
            </w:r>
          </w:p>
          <w:p w14:paraId="600843DB">
            <w:pPr>
              <w:ind w:left="-50" w:right="-50"/>
              <w:jc w:val="center"/>
              <w:rPr>
                <w:sz w:val="18"/>
                <w:szCs w:val="18"/>
              </w:rPr>
            </w:pPr>
            <w:r>
              <w:rPr>
                <w:sz w:val="18"/>
                <w:szCs w:val="18"/>
              </w:rPr>
              <w:t>能 源</w:t>
            </w:r>
          </w:p>
        </w:tc>
        <w:tc>
          <w:tcPr>
            <w:tcW w:w="1729" w:type="dxa"/>
            <w:gridSpan w:val="2"/>
            <w:shd w:val="clear" w:color="auto" w:fill="auto"/>
            <w:vAlign w:val="center"/>
          </w:tcPr>
          <w:p w14:paraId="13ACCC2C">
            <w:pPr>
              <w:ind w:left="-50" w:right="-50"/>
              <w:jc w:val="center"/>
              <w:rPr>
                <w:sz w:val="18"/>
                <w:szCs w:val="18"/>
              </w:rPr>
            </w:pPr>
            <w:r>
              <w:rPr>
                <w:sz w:val="18"/>
                <w:szCs w:val="18"/>
              </w:rPr>
              <w:t>合  计</w:t>
            </w:r>
          </w:p>
        </w:tc>
      </w:tr>
      <w:tr w14:paraId="4B3A31C9">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853" w:type="dxa"/>
            <w:vMerge w:val="continue"/>
            <w:tcBorders>
              <w:bottom w:val="single" w:color="auto" w:sz="2" w:space="0"/>
            </w:tcBorders>
            <w:vAlign w:val="center"/>
          </w:tcPr>
          <w:p w14:paraId="69D9E1B9">
            <w:pPr>
              <w:ind w:right="-40"/>
              <w:jc w:val="center"/>
              <w:rPr>
                <w:sz w:val="18"/>
                <w:szCs w:val="18"/>
              </w:rPr>
            </w:pPr>
          </w:p>
        </w:tc>
        <w:tc>
          <w:tcPr>
            <w:tcW w:w="853" w:type="dxa"/>
            <w:vMerge w:val="continue"/>
            <w:tcBorders>
              <w:bottom w:val="single" w:color="auto" w:sz="2" w:space="0"/>
            </w:tcBorders>
            <w:vAlign w:val="center"/>
          </w:tcPr>
          <w:p w14:paraId="383D9BA3">
            <w:pPr>
              <w:ind w:left="-50" w:right="-50"/>
              <w:jc w:val="center"/>
              <w:rPr>
                <w:sz w:val="18"/>
                <w:szCs w:val="18"/>
              </w:rPr>
            </w:pPr>
          </w:p>
        </w:tc>
        <w:tc>
          <w:tcPr>
            <w:tcW w:w="856" w:type="dxa"/>
            <w:vMerge w:val="continue"/>
            <w:tcBorders>
              <w:bottom w:val="single" w:color="auto" w:sz="2" w:space="0"/>
            </w:tcBorders>
            <w:vAlign w:val="center"/>
          </w:tcPr>
          <w:p w14:paraId="0F9C5DC8">
            <w:pPr>
              <w:ind w:left="-50" w:right="-50"/>
              <w:jc w:val="center"/>
              <w:rPr>
                <w:sz w:val="18"/>
                <w:szCs w:val="18"/>
              </w:rPr>
            </w:pPr>
          </w:p>
        </w:tc>
        <w:tc>
          <w:tcPr>
            <w:tcW w:w="855" w:type="dxa"/>
            <w:vMerge w:val="continue"/>
            <w:tcBorders>
              <w:bottom w:val="single" w:color="auto" w:sz="2" w:space="0"/>
            </w:tcBorders>
            <w:vAlign w:val="center"/>
          </w:tcPr>
          <w:p w14:paraId="5577047C">
            <w:pPr>
              <w:ind w:left="-50" w:right="-50"/>
              <w:jc w:val="center"/>
              <w:rPr>
                <w:sz w:val="18"/>
                <w:szCs w:val="18"/>
              </w:rPr>
            </w:pPr>
          </w:p>
        </w:tc>
        <w:tc>
          <w:tcPr>
            <w:tcW w:w="857" w:type="dxa"/>
            <w:vMerge w:val="continue"/>
            <w:tcBorders>
              <w:bottom w:val="single" w:color="auto" w:sz="2" w:space="0"/>
            </w:tcBorders>
            <w:vAlign w:val="center"/>
          </w:tcPr>
          <w:p w14:paraId="4C1D7234">
            <w:pPr>
              <w:ind w:left="-50" w:right="-50"/>
              <w:jc w:val="center"/>
              <w:rPr>
                <w:sz w:val="18"/>
                <w:szCs w:val="18"/>
              </w:rPr>
            </w:pPr>
          </w:p>
        </w:tc>
        <w:tc>
          <w:tcPr>
            <w:tcW w:w="861" w:type="dxa"/>
            <w:vMerge w:val="continue"/>
            <w:tcBorders>
              <w:bottom w:val="single" w:color="auto" w:sz="2" w:space="0"/>
            </w:tcBorders>
            <w:vAlign w:val="center"/>
          </w:tcPr>
          <w:p w14:paraId="56255B98">
            <w:pPr>
              <w:ind w:left="-50" w:right="-50"/>
              <w:jc w:val="center"/>
              <w:rPr>
                <w:sz w:val="18"/>
                <w:szCs w:val="18"/>
              </w:rPr>
            </w:pPr>
          </w:p>
        </w:tc>
        <w:tc>
          <w:tcPr>
            <w:tcW w:w="856" w:type="dxa"/>
            <w:tcBorders>
              <w:bottom w:val="single" w:color="auto" w:sz="2" w:space="0"/>
            </w:tcBorders>
            <w:vAlign w:val="center"/>
          </w:tcPr>
          <w:p w14:paraId="2BC3CB8C">
            <w:pPr>
              <w:ind w:left="-50" w:right="-50"/>
              <w:jc w:val="center"/>
              <w:rPr>
                <w:sz w:val="18"/>
                <w:szCs w:val="18"/>
              </w:rPr>
            </w:pPr>
            <w:r>
              <w:rPr>
                <w:sz w:val="18"/>
                <w:szCs w:val="18"/>
              </w:rPr>
              <w:t>当量值</w:t>
            </w:r>
          </w:p>
        </w:tc>
        <w:tc>
          <w:tcPr>
            <w:tcW w:w="858" w:type="dxa"/>
            <w:tcBorders>
              <w:bottom w:val="single" w:color="auto" w:sz="2" w:space="0"/>
            </w:tcBorders>
            <w:shd w:val="clear" w:color="auto" w:fill="auto"/>
            <w:vAlign w:val="center"/>
          </w:tcPr>
          <w:p w14:paraId="096E13FD">
            <w:pPr>
              <w:ind w:left="-50" w:right="-50"/>
              <w:jc w:val="center"/>
              <w:rPr>
                <w:sz w:val="18"/>
                <w:szCs w:val="18"/>
              </w:rPr>
            </w:pPr>
            <w:r>
              <w:rPr>
                <w:sz w:val="18"/>
                <w:szCs w:val="18"/>
              </w:rPr>
              <w:t>等价值</w:t>
            </w:r>
          </w:p>
        </w:tc>
        <w:tc>
          <w:tcPr>
            <w:tcW w:w="858" w:type="dxa"/>
            <w:vMerge w:val="continue"/>
            <w:tcBorders>
              <w:bottom w:val="single" w:color="auto" w:sz="2" w:space="0"/>
            </w:tcBorders>
            <w:vAlign w:val="center"/>
          </w:tcPr>
          <w:p w14:paraId="6EFAE95E">
            <w:pPr>
              <w:ind w:left="-50" w:right="-50"/>
              <w:jc w:val="center"/>
              <w:rPr>
                <w:sz w:val="18"/>
                <w:szCs w:val="18"/>
              </w:rPr>
            </w:pPr>
          </w:p>
        </w:tc>
        <w:tc>
          <w:tcPr>
            <w:tcW w:w="862" w:type="dxa"/>
            <w:tcBorders>
              <w:bottom w:val="single" w:color="auto" w:sz="2" w:space="0"/>
              <w:right w:val="single" w:color="auto" w:sz="4" w:space="0"/>
            </w:tcBorders>
            <w:shd w:val="clear" w:color="auto" w:fill="auto"/>
            <w:vAlign w:val="center"/>
          </w:tcPr>
          <w:p w14:paraId="283927AC">
            <w:pPr>
              <w:ind w:left="-50" w:right="-50"/>
              <w:jc w:val="center"/>
              <w:rPr>
                <w:sz w:val="18"/>
                <w:szCs w:val="18"/>
              </w:rPr>
            </w:pPr>
            <w:r>
              <w:rPr>
                <w:sz w:val="18"/>
                <w:szCs w:val="18"/>
              </w:rPr>
              <w:t>当量值</w:t>
            </w:r>
          </w:p>
        </w:tc>
        <w:tc>
          <w:tcPr>
            <w:tcW w:w="867" w:type="dxa"/>
            <w:tcBorders>
              <w:left w:val="single" w:color="auto" w:sz="4" w:space="0"/>
              <w:bottom w:val="single" w:color="auto" w:sz="2" w:space="0"/>
            </w:tcBorders>
            <w:shd w:val="clear" w:color="auto" w:fill="auto"/>
            <w:vAlign w:val="center"/>
          </w:tcPr>
          <w:p w14:paraId="3F0E5C5A">
            <w:pPr>
              <w:ind w:left="-50" w:right="-50"/>
              <w:jc w:val="center"/>
              <w:rPr>
                <w:sz w:val="18"/>
                <w:szCs w:val="18"/>
              </w:rPr>
            </w:pPr>
            <w:r>
              <w:rPr>
                <w:sz w:val="18"/>
                <w:szCs w:val="18"/>
              </w:rPr>
              <w:t>等价值</w:t>
            </w:r>
          </w:p>
        </w:tc>
      </w:tr>
      <w:tr w14:paraId="57A5F233">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853" w:type="dxa"/>
            <w:tcBorders>
              <w:top w:val="single" w:color="auto" w:sz="2" w:space="0"/>
              <w:bottom w:val="single" w:color="auto" w:sz="2" w:space="0"/>
            </w:tcBorders>
            <w:vAlign w:val="center"/>
          </w:tcPr>
          <w:p w14:paraId="242D344A">
            <w:pPr>
              <w:spacing w:line="240" w:lineRule="atLeast"/>
              <w:ind w:right="-40"/>
              <w:jc w:val="center"/>
              <w:textAlignment w:val="center"/>
              <w:rPr>
                <w:sz w:val="18"/>
                <w:szCs w:val="18"/>
              </w:rPr>
            </w:pPr>
            <w:r>
              <w:rPr>
                <w:sz w:val="18"/>
                <w:szCs w:val="18"/>
              </w:rPr>
              <w:t>32</w:t>
            </w:r>
          </w:p>
        </w:tc>
        <w:tc>
          <w:tcPr>
            <w:tcW w:w="853" w:type="dxa"/>
            <w:tcBorders>
              <w:top w:val="single" w:color="auto" w:sz="2" w:space="0"/>
              <w:bottom w:val="single" w:color="auto" w:sz="2" w:space="0"/>
            </w:tcBorders>
            <w:vAlign w:val="center"/>
          </w:tcPr>
          <w:p w14:paraId="436766CE">
            <w:pPr>
              <w:spacing w:line="240" w:lineRule="atLeast"/>
              <w:ind w:right="-40"/>
              <w:jc w:val="center"/>
              <w:textAlignment w:val="center"/>
              <w:rPr>
                <w:sz w:val="18"/>
                <w:szCs w:val="18"/>
              </w:rPr>
            </w:pPr>
            <w:r>
              <w:rPr>
                <w:sz w:val="18"/>
                <w:szCs w:val="18"/>
              </w:rPr>
              <w:t>33</w:t>
            </w:r>
          </w:p>
        </w:tc>
        <w:tc>
          <w:tcPr>
            <w:tcW w:w="856" w:type="dxa"/>
            <w:tcBorders>
              <w:top w:val="single" w:color="auto" w:sz="2" w:space="0"/>
              <w:bottom w:val="single" w:color="auto" w:sz="2" w:space="0"/>
            </w:tcBorders>
            <w:vAlign w:val="center"/>
          </w:tcPr>
          <w:p w14:paraId="456717B5">
            <w:pPr>
              <w:spacing w:line="240" w:lineRule="atLeast"/>
              <w:ind w:right="-40"/>
              <w:jc w:val="center"/>
              <w:textAlignment w:val="center"/>
              <w:rPr>
                <w:sz w:val="18"/>
                <w:szCs w:val="18"/>
              </w:rPr>
            </w:pPr>
            <w:r>
              <w:rPr>
                <w:sz w:val="18"/>
                <w:szCs w:val="18"/>
              </w:rPr>
              <w:t>34</w:t>
            </w:r>
          </w:p>
        </w:tc>
        <w:tc>
          <w:tcPr>
            <w:tcW w:w="855" w:type="dxa"/>
            <w:tcBorders>
              <w:top w:val="single" w:color="auto" w:sz="2" w:space="0"/>
              <w:bottom w:val="single" w:color="auto" w:sz="2" w:space="0"/>
            </w:tcBorders>
            <w:vAlign w:val="center"/>
          </w:tcPr>
          <w:p w14:paraId="349C6970">
            <w:pPr>
              <w:spacing w:line="240" w:lineRule="atLeast"/>
              <w:ind w:right="-40"/>
              <w:jc w:val="center"/>
              <w:textAlignment w:val="center"/>
              <w:rPr>
                <w:sz w:val="18"/>
                <w:szCs w:val="18"/>
              </w:rPr>
            </w:pPr>
            <w:r>
              <w:rPr>
                <w:sz w:val="18"/>
                <w:szCs w:val="18"/>
              </w:rPr>
              <w:t>35</w:t>
            </w:r>
          </w:p>
        </w:tc>
        <w:tc>
          <w:tcPr>
            <w:tcW w:w="857" w:type="dxa"/>
            <w:tcBorders>
              <w:top w:val="single" w:color="auto" w:sz="2" w:space="0"/>
              <w:bottom w:val="single" w:color="auto" w:sz="2" w:space="0"/>
            </w:tcBorders>
            <w:vAlign w:val="center"/>
          </w:tcPr>
          <w:p w14:paraId="5F253C17">
            <w:pPr>
              <w:spacing w:line="240" w:lineRule="atLeast"/>
              <w:ind w:right="-40"/>
              <w:jc w:val="center"/>
              <w:textAlignment w:val="center"/>
              <w:rPr>
                <w:sz w:val="18"/>
                <w:szCs w:val="18"/>
              </w:rPr>
            </w:pPr>
            <w:r>
              <w:rPr>
                <w:sz w:val="18"/>
                <w:szCs w:val="18"/>
              </w:rPr>
              <w:t>36</w:t>
            </w:r>
          </w:p>
        </w:tc>
        <w:tc>
          <w:tcPr>
            <w:tcW w:w="861" w:type="dxa"/>
            <w:tcBorders>
              <w:top w:val="single" w:color="auto" w:sz="2" w:space="0"/>
              <w:bottom w:val="single" w:color="auto" w:sz="2" w:space="0"/>
            </w:tcBorders>
            <w:vAlign w:val="center"/>
          </w:tcPr>
          <w:p w14:paraId="3C80BF33">
            <w:pPr>
              <w:spacing w:line="240" w:lineRule="atLeast"/>
              <w:ind w:right="-40"/>
              <w:jc w:val="center"/>
              <w:textAlignment w:val="center"/>
              <w:rPr>
                <w:sz w:val="18"/>
                <w:szCs w:val="18"/>
              </w:rPr>
            </w:pPr>
            <w:r>
              <w:rPr>
                <w:sz w:val="18"/>
                <w:szCs w:val="18"/>
              </w:rPr>
              <w:t>37</w:t>
            </w:r>
          </w:p>
        </w:tc>
        <w:tc>
          <w:tcPr>
            <w:tcW w:w="856" w:type="dxa"/>
            <w:tcBorders>
              <w:top w:val="single" w:color="auto" w:sz="2" w:space="0"/>
              <w:bottom w:val="single" w:color="auto" w:sz="2" w:space="0"/>
            </w:tcBorders>
            <w:vAlign w:val="center"/>
          </w:tcPr>
          <w:p w14:paraId="5627FF16">
            <w:pPr>
              <w:spacing w:line="240" w:lineRule="atLeast"/>
              <w:ind w:right="-40"/>
              <w:jc w:val="center"/>
              <w:textAlignment w:val="center"/>
              <w:rPr>
                <w:sz w:val="18"/>
                <w:szCs w:val="18"/>
              </w:rPr>
            </w:pPr>
            <w:r>
              <w:rPr>
                <w:sz w:val="18"/>
                <w:szCs w:val="18"/>
              </w:rPr>
              <w:t>38</w:t>
            </w:r>
          </w:p>
        </w:tc>
        <w:tc>
          <w:tcPr>
            <w:tcW w:w="858" w:type="dxa"/>
            <w:tcBorders>
              <w:top w:val="single" w:color="auto" w:sz="2" w:space="0"/>
              <w:bottom w:val="single" w:color="auto" w:sz="2" w:space="0"/>
            </w:tcBorders>
            <w:vAlign w:val="center"/>
          </w:tcPr>
          <w:p w14:paraId="4BDB1B05">
            <w:pPr>
              <w:spacing w:line="240" w:lineRule="atLeast"/>
              <w:ind w:right="-40"/>
              <w:jc w:val="center"/>
              <w:textAlignment w:val="center"/>
              <w:rPr>
                <w:sz w:val="18"/>
                <w:szCs w:val="18"/>
              </w:rPr>
            </w:pPr>
            <w:r>
              <w:rPr>
                <w:sz w:val="18"/>
                <w:szCs w:val="18"/>
              </w:rPr>
              <w:t>39</w:t>
            </w:r>
          </w:p>
        </w:tc>
        <w:tc>
          <w:tcPr>
            <w:tcW w:w="858" w:type="dxa"/>
            <w:tcBorders>
              <w:top w:val="single" w:color="auto" w:sz="2" w:space="0"/>
              <w:bottom w:val="single" w:color="auto" w:sz="2" w:space="0"/>
            </w:tcBorders>
            <w:vAlign w:val="center"/>
          </w:tcPr>
          <w:p w14:paraId="2DB775CB">
            <w:pPr>
              <w:spacing w:line="240" w:lineRule="atLeast"/>
              <w:ind w:right="-40"/>
              <w:jc w:val="center"/>
              <w:textAlignment w:val="center"/>
              <w:rPr>
                <w:sz w:val="18"/>
                <w:szCs w:val="18"/>
              </w:rPr>
            </w:pPr>
            <w:r>
              <w:rPr>
                <w:sz w:val="18"/>
                <w:szCs w:val="18"/>
              </w:rPr>
              <w:t>40</w:t>
            </w:r>
          </w:p>
        </w:tc>
        <w:tc>
          <w:tcPr>
            <w:tcW w:w="862" w:type="dxa"/>
            <w:tcBorders>
              <w:top w:val="single" w:color="auto" w:sz="2" w:space="0"/>
              <w:bottom w:val="single" w:color="auto" w:sz="2" w:space="0"/>
            </w:tcBorders>
            <w:vAlign w:val="center"/>
          </w:tcPr>
          <w:p w14:paraId="50BAC2FC">
            <w:pPr>
              <w:spacing w:line="240" w:lineRule="atLeast"/>
              <w:ind w:right="-40"/>
              <w:jc w:val="center"/>
              <w:textAlignment w:val="center"/>
              <w:rPr>
                <w:sz w:val="18"/>
                <w:szCs w:val="18"/>
              </w:rPr>
            </w:pPr>
            <w:r>
              <w:rPr>
                <w:sz w:val="18"/>
                <w:szCs w:val="18"/>
              </w:rPr>
              <w:t>41</w:t>
            </w:r>
          </w:p>
        </w:tc>
        <w:tc>
          <w:tcPr>
            <w:tcW w:w="867" w:type="dxa"/>
            <w:tcBorders>
              <w:top w:val="single" w:color="auto" w:sz="2" w:space="0"/>
              <w:bottom w:val="single" w:color="auto" w:sz="2" w:space="0"/>
            </w:tcBorders>
            <w:vAlign w:val="center"/>
          </w:tcPr>
          <w:p w14:paraId="52FBF1E4">
            <w:pPr>
              <w:spacing w:line="240" w:lineRule="atLeast"/>
              <w:ind w:right="-40"/>
              <w:jc w:val="center"/>
              <w:textAlignment w:val="center"/>
              <w:rPr>
                <w:sz w:val="18"/>
                <w:szCs w:val="18"/>
              </w:rPr>
            </w:pPr>
            <w:r>
              <w:rPr>
                <w:sz w:val="18"/>
                <w:szCs w:val="18"/>
              </w:rPr>
              <w:t>42</w:t>
            </w:r>
          </w:p>
        </w:tc>
      </w:tr>
      <w:tr w14:paraId="3977F9F1">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0" w:hRule="atLeast"/>
          <w:jc w:val="center"/>
        </w:trPr>
        <w:tc>
          <w:tcPr>
            <w:tcW w:w="9436" w:type="dxa"/>
            <w:gridSpan w:val="11"/>
            <w:tcBorders>
              <w:top w:val="single" w:color="auto" w:sz="2" w:space="0"/>
              <w:bottom w:val="single" w:color="auto" w:sz="8" w:space="0"/>
            </w:tcBorders>
            <w:vAlign w:val="center"/>
          </w:tcPr>
          <w:p w14:paraId="6CFED8A9">
            <w:pPr>
              <w:ind w:right="-40"/>
              <w:jc w:val="center"/>
              <w:rPr>
                <w:sz w:val="18"/>
                <w:szCs w:val="18"/>
              </w:rPr>
            </w:pPr>
          </w:p>
          <w:p w14:paraId="3F9709FC">
            <w:pPr>
              <w:ind w:right="-40"/>
              <w:jc w:val="center"/>
              <w:rPr>
                <w:sz w:val="18"/>
                <w:szCs w:val="18"/>
              </w:rPr>
            </w:pPr>
          </w:p>
        </w:tc>
      </w:tr>
    </w:tbl>
    <w:p w14:paraId="5F717F2A">
      <w:pPr>
        <w:ind w:right="-1234"/>
        <w:rPr>
          <w:sz w:val="18"/>
          <w:szCs w:val="18"/>
        </w:rPr>
      </w:pPr>
      <w:r>
        <w:rPr>
          <w:sz w:val="18"/>
          <w:szCs w:val="18"/>
        </w:rPr>
        <w:t xml:space="preserve">单位负责人：            填表人：          </w:t>
      </w:r>
      <w:r>
        <w:rPr>
          <w:rFonts w:hint="eastAsia"/>
          <w:sz w:val="18"/>
          <w:szCs w:val="18"/>
        </w:rPr>
        <w:t>联系电话</w:t>
      </w:r>
      <w:r>
        <w:rPr>
          <w:sz w:val="18"/>
          <w:szCs w:val="18"/>
        </w:rPr>
        <w:t>：                        报出日期：２０  年   月   日</w:t>
      </w:r>
    </w:p>
    <w:p w14:paraId="1DF851CE">
      <w:pPr>
        <w:ind w:left="720" w:hanging="720" w:hangingChars="400"/>
        <w:rPr>
          <w:sz w:val="18"/>
          <w:szCs w:val="18"/>
        </w:rPr>
      </w:pPr>
    </w:p>
    <w:p w14:paraId="7C291854">
      <w:pPr>
        <w:spacing w:line="320" w:lineRule="exact"/>
        <w:ind w:left="671" w:hanging="671" w:hangingChars="373"/>
        <w:rPr>
          <w:sz w:val="18"/>
          <w:szCs w:val="18"/>
        </w:rPr>
      </w:pPr>
      <w:r>
        <w:rPr>
          <w:sz w:val="18"/>
          <w:szCs w:val="18"/>
        </w:rPr>
        <w:t>说明：1.本表的标准量由P303-3表的实物量乘以折标准煤系数生成，各省、自治区、直辖市统计局负责报送。报送时间为次年5月31日前，报送方式为电子邮件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50A52B56">
      <w:pPr>
        <w:spacing w:line="320" w:lineRule="exact"/>
        <w:ind w:right="-42" w:firstLine="540" w:firstLineChars="300"/>
        <w:rPr>
          <w:sz w:val="18"/>
          <w:szCs w:val="18"/>
        </w:rPr>
      </w:pPr>
      <w:r>
        <w:rPr>
          <w:sz w:val="18"/>
          <w:szCs w:val="18"/>
        </w:rPr>
        <w:t>2.平衡关系：</w:t>
      </w:r>
    </w:p>
    <w:p w14:paraId="0488ECAB">
      <w:pPr>
        <w:tabs>
          <w:tab w:val="left" w:pos="714"/>
        </w:tabs>
        <w:spacing w:line="320" w:lineRule="exact"/>
        <w:ind w:right="0" w:firstLine="674" w:firstLineChars="383"/>
        <w:rPr>
          <w:sz w:val="18"/>
          <w:szCs w:val="18"/>
        </w:rPr>
      </w:pPr>
      <w:r>
        <w:rPr>
          <w:spacing w:val="-2"/>
          <w:sz w:val="18"/>
          <w:szCs w:val="18"/>
        </w:rPr>
        <w:t>列平衡关系：(1)</w:t>
      </w:r>
      <w:r>
        <w:rPr>
          <w:sz w:val="18"/>
          <w:szCs w:val="18"/>
        </w:rPr>
        <w:t>合计当量值(41)=1+10+……+17+32+……+37+38+40</w:t>
      </w:r>
    </w:p>
    <w:p w14:paraId="75E29DBA">
      <w:pPr>
        <w:spacing w:line="320" w:lineRule="exact"/>
        <w:ind w:right="-40" w:firstLine="1728" w:firstLineChars="960"/>
        <w:rPr>
          <w:sz w:val="18"/>
          <w:szCs w:val="18"/>
        </w:rPr>
      </w:pPr>
      <w:r>
        <w:rPr>
          <w:sz w:val="18"/>
          <w:szCs w:val="18"/>
        </w:rPr>
        <w:t>(2)合计等价值(42)=1+10+……+17+32+……+37+39+40</w:t>
      </w:r>
    </w:p>
    <w:p w14:paraId="3510F0AA">
      <w:pPr>
        <w:spacing w:line="320" w:lineRule="exact"/>
        <w:ind w:right="-42" w:firstLine="684" w:firstLineChars="380"/>
        <w:rPr>
          <w:sz w:val="18"/>
          <w:szCs w:val="18"/>
        </w:rPr>
      </w:pPr>
      <w:r>
        <w:rPr>
          <w:sz w:val="18"/>
          <w:szCs w:val="18"/>
        </w:rPr>
        <w:t>行平衡关系：与行业分类目录平衡关系一致。</w:t>
      </w:r>
    </w:p>
    <w:p w14:paraId="7DFBC95F">
      <w:pPr>
        <w:spacing w:before="480" w:beforeLines="200" w:after="240" w:afterLines="100"/>
        <w:jc w:val="center"/>
        <w:outlineLvl w:val="2"/>
        <w:rPr>
          <w:sz w:val="32"/>
          <w:szCs w:val="32"/>
        </w:rPr>
      </w:pPr>
      <w:r>
        <w:rPr>
          <w:rFonts w:eastAsia="黑体"/>
          <w:sz w:val="24"/>
        </w:rPr>
        <w:br w:type="page"/>
      </w:r>
      <w:r>
        <w:rPr>
          <w:sz w:val="32"/>
          <w:szCs w:val="32"/>
        </w:rPr>
        <w:t>铁路企业主要能源消费与库存</w:t>
      </w:r>
    </w:p>
    <w:tbl>
      <w:tblPr>
        <w:tblStyle w:val="20"/>
        <w:tblW w:w="9402" w:type="dxa"/>
        <w:jc w:val="center"/>
        <w:tblLayout w:type="autofit"/>
        <w:tblCellMar>
          <w:top w:w="0" w:type="dxa"/>
          <w:left w:w="0" w:type="dxa"/>
          <w:bottom w:w="0" w:type="dxa"/>
          <w:right w:w="0" w:type="dxa"/>
        </w:tblCellMar>
      </w:tblPr>
      <w:tblGrid>
        <w:gridCol w:w="3355"/>
        <w:gridCol w:w="840"/>
        <w:gridCol w:w="2471"/>
        <w:gridCol w:w="862"/>
        <w:gridCol w:w="1874"/>
      </w:tblGrid>
      <w:tr w14:paraId="64A0EA85">
        <w:tblPrEx>
          <w:tblCellMar>
            <w:top w:w="0" w:type="dxa"/>
            <w:left w:w="0" w:type="dxa"/>
            <w:bottom w:w="0" w:type="dxa"/>
            <w:right w:w="0" w:type="dxa"/>
          </w:tblCellMar>
        </w:tblPrEx>
        <w:trPr>
          <w:jc w:val="center"/>
        </w:trPr>
        <w:tc>
          <w:tcPr>
            <w:tcW w:w="3355" w:type="dxa"/>
          </w:tcPr>
          <w:p w14:paraId="41105ACC">
            <w:pPr>
              <w:spacing w:line="260" w:lineRule="exact"/>
              <w:rPr>
                <w:sz w:val="18"/>
                <w:szCs w:val="18"/>
              </w:rPr>
            </w:pPr>
          </w:p>
        </w:tc>
        <w:tc>
          <w:tcPr>
            <w:tcW w:w="840" w:type="dxa"/>
          </w:tcPr>
          <w:p w14:paraId="55DEBAA1">
            <w:pPr>
              <w:spacing w:line="260" w:lineRule="exact"/>
              <w:rPr>
                <w:sz w:val="18"/>
                <w:szCs w:val="18"/>
              </w:rPr>
            </w:pPr>
          </w:p>
        </w:tc>
        <w:tc>
          <w:tcPr>
            <w:tcW w:w="2471" w:type="dxa"/>
          </w:tcPr>
          <w:p w14:paraId="00948268">
            <w:pPr>
              <w:spacing w:line="260" w:lineRule="exact"/>
              <w:rPr>
                <w:rFonts w:ascii="宋体" w:hAnsi="宋体"/>
                <w:sz w:val="18"/>
                <w:szCs w:val="18"/>
              </w:rPr>
            </w:pPr>
            <w:r>
              <w:rPr>
                <w:rFonts w:ascii="宋体" w:hAnsi="宋体"/>
                <w:sz w:val="18"/>
                <w:szCs w:val="18"/>
              </w:rPr>
              <w:t>　　　　　　　　　　　　　</w:t>
            </w:r>
          </w:p>
        </w:tc>
        <w:tc>
          <w:tcPr>
            <w:tcW w:w="862" w:type="dxa"/>
            <w:tcMar>
              <w:left w:w="0" w:type="dxa"/>
              <w:right w:w="0" w:type="dxa"/>
            </w:tcMar>
          </w:tcPr>
          <w:p w14:paraId="0205F1CE">
            <w:pPr>
              <w:spacing w:line="260" w:lineRule="exact"/>
              <w:rPr>
                <w:rFonts w:ascii="宋体" w:hAnsi="宋体"/>
                <w:sz w:val="18"/>
                <w:szCs w:val="18"/>
              </w:rPr>
            </w:pPr>
            <w:r>
              <w:rPr>
                <w:rFonts w:ascii="宋体" w:hAnsi="宋体"/>
                <w:sz w:val="18"/>
                <w:szCs w:val="18"/>
              </w:rPr>
              <w:t>表    号：</w:t>
            </w:r>
          </w:p>
        </w:tc>
        <w:tc>
          <w:tcPr>
            <w:tcW w:w="1874" w:type="dxa"/>
            <w:vAlign w:val="center"/>
          </w:tcPr>
          <w:p w14:paraId="2901EFD7">
            <w:pPr>
              <w:spacing w:line="260" w:lineRule="exact"/>
              <w:jc w:val="distribute"/>
              <w:rPr>
                <w:rFonts w:ascii="宋体" w:hAnsi="宋体"/>
                <w:sz w:val="18"/>
                <w:szCs w:val="18"/>
              </w:rPr>
            </w:pPr>
            <w:r>
              <w:rPr>
                <w:rFonts w:ascii="宋体" w:hAnsi="宋体"/>
                <w:sz w:val="18"/>
                <w:szCs w:val="18"/>
              </w:rPr>
              <w:t>ＴＬ３０１表</w:t>
            </w:r>
          </w:p>
        </w:tc>
      </w:tr>
      <w:tr w14:paraId="49121520">
        <w:tblPrEx>
          <w:tblCellMar>
            <w:top w:w="0" w:type="dxa"/>
            <w:left w:w="0" w:type="dxa"/>
            <w:bottom w:w="0" w:type="dxa"/>
            <w:right w:w="0" w:type="dxa"/>
          </w:tblCellMar>
        </w:tblPrEx>
        <w:trPr>
          <w:jc w:val="center"/>
        </w:trPr>
        <w:tc>
          <w:tcPr>
            <w:tcW w:w="3355" w:type="dxa"/>
          </w:tcPr>
          <w:p w14:paraId="36BDB8AA">
            <w:pPr>
              <w:spacing w:line="260" w:lineRule="exact"/>
              <w:rPr>
                <w:sz w:val="18"/>
                <w:szCs w:val="18"/>
              </w:rPr>
            </w:pPr>
          </w:p>
        </w:tc>
        <w:tc>
          <w:tcPr>
            <w:tcW w:w="840" w:type="dxa"/>
          </w:tcPr>
          <w:p w14:paraId="3BC7AC15">
            <w:pPr>
              <w:spacing w:line="260" w:lineRule="exact"/>
              <w:rPr>
                <w:sz w:val="18"/>
                <w:szCs w:val="18"/>
              </w:rPr>
            </w:pPr>
          </w:p>
        </w:tc>
        <w:tc>
          <w:tcPr>
            <w:tcW w:w="2471" w:type="dxa"/>
          </w:tcPr>
          <w:p w14:paraId="262AF927">
            <w:pPr>
              <w:spacing w:line="260" w:lineRule="exact"/>
              <w:rPr>
                <w:rFonts w:ascii="宋体" w:hAnsi="宋体"/>
                <w:sz w:val="18"/>
                <w:szCs w:val="18"/>
              </w:rPr>
            </w:pPr>
          </w:p>
        </w:tc>
        <w:tc>
          <w:tcPr>
            <w:tcW w:w="862" w:type="dxa"/>
            <w:tcMar>
              <w:left w:w="0" w:type="dxa"/>
              <w:right w:w="0" w:type="dxa"/>
            </w:tcMar>
            <w:vAlign w:val="center"/>
          </w:tcPr>
          <w:p w14:paraId="69699776">
            <w:pPr>
              <w:spacing w:line="260" w:lineRule="exact"/>
              <w:rPr>
                <w:rFonts w:ascii="宋体" w:hAnsi="宋体"/>
                <w:sz w:val="18"/>
                <w:szCs w:val="18"/>
              </w:rPr>
            </w:pPr>
            <w:r>
              <w:rPr>
                <w:rFonts w:ascii="宋体" w:hAnsi="宋体"/>
                <w:sz w:val="18"/>
                <w:szCs w:val="18"/>
              </w:rPr>
              <w:t>制定机关：</w:t>
            </w:r>
          </w:p>
        </w:tc>
        <w:tc>
          <w:tcPr>
            <w:tcW w:w="1874" w:type="dxa"/>
            <w:vAlign w:val="center"/>
          </w:tcPr>
          <w:p w14:paraId="0DB97E40">
            <w:pPr>
              <w:spacing w:line="260" w:lineRule="exact"/>
              <w:jc w:val="distribute"/>
              <w:rPr>
                <w:rFonts w:ascii="宋体" w:hAnsi="宋体"/>
                <w:sz w:val="18"/>
                <w:szCs w:val="18"/>
              </w:rPr>
            </w:pPr>
            <w:r>
              <w:rPr>
                <w:rFonts w:ascii="宋体" w:hAnsi="宋体"/>
                <w:sz w:val="18"/>
                <w:szCs w:val="18"/>
              </w:rPr>
              <w:t>国 家 统 计 局</w:t>
            </w:r>
          </w:p>
        </w:tc>
      </w:tr>
      <w:tr w14:paraId="3E83B8B2">
        <w:tblPrEx>
          <w:tblCellMar>
            <w:top w:w="0" w:type="dxa"/>
            <w:left w:w="0" w:type="dxa"/>
            <w:bottom w:w="0" w:type="dxa"/>
            <w:right w:w="0" w:type="dxa"/>
          </w:tblCellMar>
        </w:tblPrEx>
        <w:trPr>
          <w:jc w:val="center"/>
        </w:trPr>
        <w:tc>
          <w:tcPr>
            <w:tcW w:w="3355" w:type="dxa"/>
          </w:tcPr>
          <w:p w14:paraId="7CFE7D0E">
            <w:pPr>
              <w:spacing w:line="260" w:lineRule="exact"/>
              <w:jc w:val="left"/>
              <w:rPr>
                <w:sz w:val="18"/>
                <w:szCs w:val="18"/>
              </w:rPr>
            </w:pPr>
          </w:p>
        </w:tc>
        <w:tc>
          <w:tcPr>
            <w:tcW w:w="840" w:type="dxa"/>
          </w:tcPr>
          <w:p w14:paraId="238FFC80">
            <w:pPr>
              <w:spacing w:line="260" w:lineRule="exact"/>
              <w:rPr>
                <w:sz w:val="18"/>
                <w:szCs w:val="18"/>
              </w:rPr>
            </w:pPr>
          </w:p>
        </w:tc>
        <w:tc>
          <w:tcPr>
            <w:tcW w:w="2471" w:type="dxa"/>
          </w:tcPr>
          <w:p w14:paraId="3D5439B6">
            <w:pPr>
              <w:spacing w:line="260" w:lineRule="exact"/>
              <w:rPr>
                <w:rFonts w:ascii="宋体" w:hAnsi="宋体"/>
                <w:sz w:val="18"/>
                <w:szCs w:val="18"/>
              </w:rPr>
            </w:pPr>
          </w:p>
        </w:tc>
        <w:tc>
          <w:tcPr>
            <w:tcW w:w="862" w:type="dxa"/>
            <w:tcMar>
              <w:left w:w="0" w:type="dxa"/>
              <w:right w:w="0" w:type="dxa"/>
            </w:tcMar>
            <w:vAlign w:val="center"/>
          </w:tcPr>
          <w:p w14:paraId="2F85BB23">
            <w:pPr>
              <w:spacing w:line="260" w:lineRule="exact"/>
              <w:rPr>
                <w:rFonts w:ascii="宋体" w:hAnsi="宋体"/>
                <w:sz w:val="18"/>
                <w:szCs w:val="18"/>
              </w:rPr>
            </w:pPr>
            <w:r>
              <w:rPr>
                <w:rFonts w:ascii="宋体" w:hAnsi="宋体"/>
                <w:sz w:val="18"/>
                <w:szCs w:val="18"/>
              </w:rPr>
              <w:t>文    号：</w:t>
            </w:r>
          </w:p>
        </w:tc>
        <w:tc>
          <w:tcPr>
            <w:tcW w:w="1874" w:type="dxa"/>
            <w:vAlign w:val="center"/>
          </w:tcPr>
          <w:p w14:paraId="4916AFC3">
            <w:pPr>
              <w:spacing w:line="260" w:lineRule="exact"/>
              <w:jc w:val="distribute"/>
              <w:rPr>
                <w:rFonts w:ascii="宋体" w:hAnsi="宋体"/>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64" w:author="kylin" w:date="2025-10-17T16:21:08Z">
              <w:r>
                <w:rPr>
                  <w:rFonts w:hint="default" w:ascii="宋体" w:hAnsi="宋体"/>
                  <w:spacing w:val="-16"/>
                  <w:sz w:val="18"/>
                  <w:szCs w:val="18"/>
                  <w:lang w:val="en-US" w:eastAsia="zh-CN"/>
                </w:rPr>
                <w:delText>４</w:delText>
              </w:r>
            </w:del>
            <w:ins w:id="365" w:author="kylin" w:date="2025-10-17T16:21:08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66" w:author="kylin" w:date="2025-10-17T16:21:10Z">
              <w:r>
                <w:rPr>
                  <w:rFonts w:hint="default" w:ascii="宋体" w:hAnsi="宋体"/>
                  <w:spacing w:val="-16"/>
                  <w:sz w:val="18"/>
                  <w:szCs w:val="18"/>
                  <w:lang w:val="en-US" w:eastAsia="zh-CN"/>
                </w:rPr>
                <w:delText>77</w:delText>
              </w:r>
            </w:del>
            <w:ins w:id="367" w:author="kylin" w:date="2025-10-17T16:21:10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33C2A54B">
        <w:tblPrEx>
          <w:tblCellMar>
            <w:top w:w="0" w:type="dxa"/>
            <w:left w:w="0" w:type="dxa"/>
            <w:bottom w:w="0" w:type="dxa"/>
            <w:right w:w="0" w:type="dxa"/>
          </w:tblCellMar>
        </w:tblPrEx>
        <w:trPr>
          <w:jc w:val="center"/>
        </w:trPr>
        <w:tc>
          <w:tcPr>
            <w:tcW w:w="3355" w:type="dxa"/>
          </w:tcPr>
          <w:p w14:paraId="1A1D13D2">
            <w:pPr>
              <w:spacing w:line="260" w:lineRule="exact"/>
              <w:rPr>
                <w:sz w:val="18"/>
                <w:szCs w:val="18"/>
              </w:rPr>
            </w:pPr>
            <w:r>
              <w:rPr>
                <w:sz w:val="18"/>
                <w:szCs w:val="18"/>
              </w:rPr>
              <w:t>综合机关名称：中国</w:t>
            </w:r>
            <w:r>
              <w:rPr>
                <w:rFonts w:hint="eastAsia"/>
                <w:sz w:val="18"/>
                <w:szCs w:val="18"/>
              </w:rPr>
              <w:t>国家</w:t>
            </w:r>
            <w:r>
              <w:rPr>
                <w:sz w:val="18"/>
                <w:szCs w:val="18"/>
              </w:rPr>
              <w:t>铁路</w:t>
            </w:r>
            <w:r>
              <w:rPr>
                <w:rFonts w:hint="eastAsia"/>
                <w:sz w:val="18"/>
                <w:szCs w:val="18"/>
              </w:rPr>
              <w:t>集团有限</w:t>
            </w:r>
            <w:r>
              <w:rPr>
                <w:sz w:val="18"/>
                <w:szCs w:val="18"/>
              </w:rPr>
              <w:t>公司</w:t>
            </w:r>
          </w:p>
        </w:tc>
        <w:tc>
          <w:tcPr>
            <w:tcW w:w="840" w:type="dxa"/>
          </w:tcPr>
          <w:p w14:paraId="0DC77B88">
            <w:pPr>
              <w:spacing w:line="260" w:lineRule="exact"/>
              <w:rPr>
                <w:sz w:val="18"/>
                <w:szCs w:val="18"/>
              </w:rPr>
            </w:pPr>
          </w:p>
        </w:tc>
        <w:tc>
          <w:tcPr>
            <w:tcW w:w="2471" w:type="dxa"/>
          </w:tcPr>
          <w:p w14:paraId="313352A2">
            <w:pPr>
              <w:spacing w:line="260" w:lineRule="exact"/>
              <w:rPr>
                <w:rFonts w:ascii="宋体" w:hAnsi="宋体"/>
                <w:sz w:val="18"/>
                <w:szCs w:val="18"/>
              </w:rPr>
            </w:pPr>
            <w:r>
              <w:rPr>
                <w:rFonts w:ascii="宋体" w:hAnsi="宋体"/>
                <w:sz w:val="18"/>
                <w:szCs w:val="18"/>
              </w:rPr>
              <w:t>２０　　年　　　　　　　　　</w:t>
            </w:r>
          </w:p>
        </w:tc>
        <w:tc>
          <w:tcPr>
            <w:tcW w:w="862" w:type="dxa"/>
            <w:tcMar>
              <w:left w:w="0" w:type="dxa"/>
              <w:right w:w="0" w:type="dxa"/>
            </w:tcMar>
            <w:vAlign w:val="center"/>
          </w:tcPr>
          <w:p w14:paraId="6F7C9B14">
            <w:pPr>
              <w:spacing w:line="260" w:lineRule="exact"/>
              <w:rPr>
                <w:rFonts w:ascii="宋体" w:hAnsi="宋体"/>
                <w:sz w:val="18"/>
                <w:szCs w:val="18"/>
              </w:rPr>
            </w:pPr>
            <w:r>
              <w:rPr>
                <w:rFonts w:ascii="宋体" w:hAnsi="宋体"/>
                <w:sz w:val="18"/>
                <w:szCs w:val="18"/>
              </w:rPr>
              <w:t>有效期至：</w:t>
            </w:r>
          </w:p>
        </w:tc>
        <w:tc>
          <w:tcPr>
            <w:tcW w:w="1874" w:type="dxa"/>
            <w:vAlign w:val="center"/>
          </w:tcPr>
          <w:p w14:paraId="79EB3AAD">
            <w:pPr>
              <w:spacing w:line="260" w:lineRule="exact"/>
              <w:jc w:val="distribute"/>
              <w:rPr>
                <w:rFonts w:hint="default" w:ascii="宋体" w:hAnsi="宋体"/>
                <w:sz w:val="18"/>
                <w:szCs w:val="18"/>
                <w:lang w:val="en"/>
              </w:rPr>
            </w:pPr>
            <w:r>
              <w:rPr>
                <w:rFonts w:ascii="宋体" w:hAnsi="宋体"/>
                <w:sz w:val="18"/>
                <w:szCs w:val="18"/>
                <w:lang w:val="en"/>
              </w:rPr>
              <w:t>２０２</w:t>
            </w:r>
            <w:del w:id="368" w:author="kylin" w:date="2025-10-17T16:21:12Z">
              <w:r>
                <w:rPr>
                  <w:rFonts w:hint="default"/>
                  <w:kern w:val="0"/>
                  <w:sz w:val="18"/>
                  <w:szCs w:val="18"/>
                  <w:lang w:val="en-US"/>
                </w:rPr>
                <w:delText>５</w:delText>
              </w:r>
            </w:del>
            <w:ins w:id="369" w:author="kylin" w:date="2025-10-17T16:21:12Z">
              <w:r>
                <w:rPr>
                  <w:rFonts w:hint="eastAsia"/>
                  <w:kern w:val="0"/>
                  <w:sz w:val="18"/>
                  <w:szCs w:val="18"/>
                  <w:lang w:val="en-US" w:eastAsia="zh-CN"/>
                </w:rPr>
                <w:t>6</w:t>
              </w:r>
            </w:ins>
            <w:r>
              <w:rPr>
                <w:rFonts w:ascii="宋体" w:hAnsi="宋体"/>
                <w:sz w:val="18"/>
                <w:szCs w:val="18"/>
                <w:lang w:val="en"/>
              </w:rPr>
              <w:t>年６月</w:t>
            </w:r>
          </w:p>
        </w:tc>
      </w:tr>
    </w:tbl>
    <w:p w14:paraId="2390E62D">
      <w:pPr>
        <w:spacing w:line="20" w:lineRule="exact"/>
        <w:jc w:val="center"/>
        <w:rPr>
          <w:sz w:val="32"/>
          <w:szCs w:val="32"/>
        </w:rPr>
      </w:pPr>
    </w:p>
    <w:tbl>
      <w:tblPr>
        <w:tblStyle w:val="20"/>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60"/>
        <w:gridCol w:w="1113"/>
        <w:gridCol w:w="1114"/>
        <w:gridCol w:w="1645"/>
        <w:gridCol w:w="1645"/>
        <w:gridCol w:w="1645"/>
      </w:tblGrid>
      <w:tr w14:paraId="7197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260" w:type="dxa"/>
            <w:tcBorders>
              <w:top w:val="single" w:color="auto" w:sz="8" w:space="0"/>
              <w:left w:val="nil"/>
              <w:bottom w:val="single" w:color="auto" w:sz="2" w:space="0"/>
              <w:right w:val="single" w:color="auto" w:sz="2" w:space="0"/>
            </w:tcBorders>
            <w:vAlign w:val="center"/>
          </w:tcPr>
          <w:p w14:paraId="02126BF5">
            <w:pPr>
              <w:ind w:right="-50"/>
              <w:jc w:val="center"/>
              <w:rPr>
                <w:sz w:val="18"/>
                <w:szCs w:val="18"/>
              </w:rPr>
            </w:pPr>
            <w:r>
              <w:rPr>
                <w:sz w:val="18"/>
                <w:szCs w:val="18"/>
              </w:rPr>
              <w:t>品      种</w:t>
            </w:r>
          </w:p>
        </w:tc>
        <w:tc>
          <w:tcPr>
            <w:tcW w:w="1113" w:type="dxa"/>
            <w:tcBorders>
              <w:top w:val="single" w:color="auto" w:sz="8" w:space="0"/>
              <w:left w:val="single" w:color="auto" w:sz="2" w:space="0"/>
              <w:bottom w:val="single" w:color="auto" w:sz="2" w:space="0"/>
              <w:right w:val="single" w:color="auto" w:sz="2" w:space="0"/>
            </w:tcBorders>
            <w:vAlign w:val="center"/>
          </w:tcPr>
          <w:p w14:paraId="2C5C97B7">
            <w:pPr>
              <w:jc w:val="center"/>
              <w:rPr>
                <w:sz w:val="18"/>
                <w:szCs w:val="18"/>
              </w:rPr>
            </w:pPr>
            <w:r>
              <w:rPr>
                <w:sz w:val="18"/>
                <w:szCs w:val="18"/>
              </w:rPr>
              <w:t>计量单位</w:t>
            </w:r>
          </w:p>
        </w:tc>
        <w:tc>
          <w:tcPr>
            <w:tcW w:w="1114" w:type="dxa"/>
            <w:tcBorders>
              <w:top w:val="single" w:color="auto" w:sz="8" w:space="0"/>
              <w:left w:val="single" w:color="auto" w:sz="2" w:space="0"/>
              <w:bottom w:val="single" w:color="auto" w:sz="2" w:space="0"/>
              <w:right w:val="single" w:color="auto" w:sz="2" w:space="0"/>
            </w:tcBorders>
            <w:vAlign w:val="center"/>
          </w:tcPr>
          <w:p w14:paraId="0AA555CB">
            <w:pPr>
              <w:ind w:right="4"/>
              <w:jc w:val="center"/>
              <w:rPr>
                <w:sz w:val="18"/>
                <w:szCs w:val="18"/>
              </w:rPr>
            </w:pPr>
            <w:r>
              <w:rPr>
                <w:sz w:val="18"/>
                <w:szCs w:val="18"/>
              </w:rPr>
              <w:t>代码</w:t>
            </w:r>
          </w:p>
        </w:tc>
        <w:tc>
          <w:tcPr>
            <w:tcW w:w="1645" w:type="dxa"/>
            <w:tcBorders>
              <w:top w:val="single" w:color="auto" w:sz="8" w:space="0"/>
              <w:left w:val="single" w:color="auto" w:sz="2" w:space="0"/>
              <w:bottom w:val="single" w:color="auto" w:sz="2" w:space="0"/>
              <w:right w:val="single" w:color="auto" w:sz="2" w:space="0"/>
            </w:tcBorders>
            <w:vAlign w:val="center"/>
          </w:tcPr>
          <w:p w14:paraId="78C4643A">
            <w:pPr>
              <w:jc w:val="center"/>
              <w:rPr>
                <w:sz w:val="18"/>
                <w:szCs w:val="18"/>
              </w:rPr>
            </w:pPr>
            <w:r>
              <w:rPr>
                <w:sz w:val="18"/>
                <w:szCs w:val="18"/>
              </w:rPr>
              <w:t>期初库存量</w:t>
            </w:r>
          </w:p>
        </w:tc>
        <w:tc>
          <w:tcPr>
            <w:tcW w:w="1645" w:type="dxa"/>
            <w:tcBorders>
              <w:top w:val="single" w:color="auto" w:sz="8" w:space="0"/>
              <w:left w:val="single" w:color="auto" w:sz="2" w:space="0"/>
              <w:bottom w:val="single" w:color="auto" w:sz="2" w:space="0"/>
              <w:right w:val="single" w:color="auto" w:sz="2" w:space="0"/>
            </w:tcBorders>
            <w:vAlign w:val="center"/>
          </w:tcPr>
          <w:p w14:paraId="5B35AEE9">
            <w:pPr>
              <w:jc w:val="center"/>
              <w:rPr>
                <w:sz w:val="18"/>
                <w:szCs w:val="18"/>
              </w:rPr>
            </w:pPr>
            <w:r>
              <w:rPr>
                <w:sz w:val="18"/>
                <w:szCs w:val="18"/>
              </w:rPr>
              <w:t>本年消费量</w:t>
            </w:r>
          </w:p>
        </w:tc>
        <w:tc>
          <w:tcPr>
            <w:tcW w:w="1645" w:type="dxa"/>
            <w:tcBorders>
              <w:top w:val="single" w:color="auto" w:sz="8" w:space="0"/>
              <w:left w:val="single" w:color="auto" w:sz="2" w:space="0"/>
              <w:bottom w:val="single" w:color="auto" w:sz="2" w:space="0"/>
              <w:right w:val="nil"/>
            </w:tcBorders>
            <w:vAlign w:val="center"/>
          </w:tcPr>
          <w:p w14:paraId="4AD07DCD">
            <w:pPr>
              <w:jc w:val="center"/>
              <w:rPr>
                <w:sz w:val="18"/>
                <w:szCs w:val="18"/>
              </w:rPr>
            </w:pPr>
            <w:r>
              <w:rPr>
                <w:sz w:val="18"/>
                <w:szCs w:val="18"/>
              </w:rPr>
              <w:t>期末库存量</w:t>
            </w:r>
          </w:p>
        </w:tc>
      </w:tr>
      <w:tr w14:paraId="301A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 w:hRule="exact"/>
          <w:jc w:val="center"/>
        </w:trPr>
        <w:tc>
          <w:tcPr>
            <w:tcW w:w="2260" w:type="dxa"/>
            <w:tcBorders>
              <w:top w:val="single" w:color="auto" w:sz="2" w:space="0"/>
              <w:left w:val="nil"/>
              <w:bottom w:val="single" w:color="auto" w:sz="2" w:space="0"/>
              <w:right w:val="single" w:color="auto" w:sz="2" w:space="0"/>
            </w:tcBorders>
            <w:vAlign w:val="center"/>
          </w:tcPr>
          <w:p w14:paraId="75191550">
            <w:pPr>
              <w:spacing w:line="240" w:lineRule="atLeast"/>
              <w:ind w:right="0"/>
              <w:jc w:val="center"/>
              <w:textAlignment w:val="center"/>
              <w:rPr>
                <w:sz w:val="18"/>
                <w:szCs w:val="18"/>
              </w:rPr>
            </w:pPr>
            <w:r>
              <w:rPr>
                <w:sz w:val="18"/>
                <w:szCs w:val="18"/>
              </w:rPr>
              <w:t>甲</w:t>
            </w:r>
          </w:p>
        </w:tc>
        <w:tc>
          <w:tcPr>
            <w:tcW w:w="1113" w:type="dxa"/>
            <w:tcBorders>
              <w:top w:val="single" w:color="auto" w:sz="2" w:space="0"/>
              <w:left w:val="single" w:color="auto" w:sz="2" w:space="0"/>
              <w:bottom w:val="single" w:color="auto" w:sz="2" w:space="0"/>
              <w:right w:val="single" w:color="auto" w:sz="2" w:space="0"/>
            </w:tcBorders>
            <w:vAlign w:val="center"/>
          </w:tcPr>
          <w:p w14:paraId="3F259212">
            <w:pPr>
              <w:spacing w:line="240" w:lineRule="atLeast"/>
              <w:jc w:val="center"/>
              <w:textAlignment w:val="center"/>
              <w:rPr>
                <w:sz w:val="18"/>
                <w:szCs w:val="18"/>
              </w:rPr>
            </w:pPr>
            <w:r>
              <w:rPr>
                <w:sz w:val="18"/>
                <w:szCs w:val="18"/>
              </w:rPr>
              <w:t>乙</w:t>
            </w:r>
          </w:p>
        </w:tc>
        <w:tc>
          <w:tcPr>
            <w:tcW w:w="1114" w:type="dxa"/>
            <w:tcBorders>
              <w:top w:val="single" w:color="auto" w:sz="2" w:space="0"/>
              <w:left w:val="single" w:color="auto" w:sz="2" w:space="0"/>
              <w:bottom w:val="single" w:color="auto" w:sz="2" w:space="0"/>
              <w:right w:val="single" w:color="auto" w:sz="2" w:space="0"/>
            </w:tcBorders>
            <w:vAlign w:val="center"/>
          </w:tcPr>
          <w:p w14:paraId="3C127227">
            <w:pPr>
              <w:spacing w:line="240" w:lineRule="atLeast"/>
              <w:ind w:right="0"/>
              <w:jc w:val="center"/>
              <w:textAlignment w:val="center"/>
              <w:rPr>
                <w:sz w:val="18"/>
                <w:szCs w:val="18"/>
              </w:rPr>
            </w:pPr>
            <w:r>
              <w:rPr>
                <w:sz w:val="18"/>
                <w:szCs w:val="18"/>
              </w:rPr>
              <w:t>丙</w:t>
            </w:r>
          </w:p>
        </w:tc>
        <w:tc>
          <w:tcPr>
            <w:tcW w:w="1645" w:type="dxa"/>
            <w:tcBorders>
              <w:top w:val="single" w:color="auto" w:sz="2" w:space="0"/>
              <w:left w:val="single" w:color="auto" w:sz="2" w:space="0"/>
              <w:bottom w:val="single" w:color="auto" w:sz="2" w:space="0"/>
              <w:right w:val="single" w:color="auto" w:sz="2" w:space="0"/>
            </w:tcBorders>
            <w:vAlign w:val="center"/>
          </w:tcPr>
          <w:p w14:paraId="1595624C">
            <w:pPr>
              <w:spacing w:line="240" w:lineRule="atLeast"/>
              <w:jc w:val="center"/>
              <w:textAlignment w:val="center"/>
              <w:rPr>
                <w:sz w:val="18"/>
                <w:szCs w:val="18"/>
              </w:rPr>
            </w:pPr>
            <w:r>
              <w:rPr>
                <w:sz w:val="18"/>
                <w:szCs w:val="18"/>
              </w:rPr>
              <w:t>1</w:t>
            </w:r>
          </w:p>
        </w:tc>
        <w:tc>
          <w:tcPr>
            <w:tcW w:w="1645" w:type="dxa"/>
            <w:tcBorders>
              <w:top w:val="single" w:color="auto" w:sz="2" w:space="0"/>
              <w:left w:val="single" w:color="auto" w:sz="2" w:space="0"/>
              <w:bottom w:val="single" w:color="auto" w:sz="2" w:space="0"/>
              <w:right w:val="single" w:color="auto" w:sz="2" w:space="0"/>
            </w:tcBorders>
            <w:vAlign w:val="center"/>
          </w:tcPr>
          <w:p w14:paraId="4FBB7D3D">
            <w:pPr>
              <w:spacing w:line="240" w:lineRule="atLeast"/>
              <w:jc w:val="center"/>
              <w:textAlignment w:val="center"/>
              <w:rPr>
                <w:sz w:val="18"/>
                <w:szCs w:val="18"/>
              </w:rPr>
            </w:pPr>
            <w:r>
              <w:rPr>
                <w:sz w:val="18"/>
                <w:szCs w:val="18"/>
              </w:rPr>
              <w:t>2</w:t>
            </w:r>
          </w:p>
        </w:tc>
        <w:tc>
          <w:tcPr>
            <w:tcW w:w="1645" w:type="dxa"/>
            <w:tcBorders>
              <w:top w:val="single" w:color="auto" w:sz="2" w:space="0"/>
              <w:left w:val="single" w:color="auto" w:sz="2" w:space="0"/>
              <w:bottom w:val="single" w:color="auto" w:sz="2" w:space="0"/>
              <w:right w:val="nil"/>
            </w:tcBorders>
            <w:vAlign w:val="center"/>
          </w:tcPr>
          <w:p w14:paraId="27CFE049">
            <w:pPr>
              <w:spacing w:line="240" w:lineRule="atLeast"/>
              <w:jc w:val="center"/>
              <w:textAlignment w:val="center"/>
              <w:rPr>
                <w:sz w:val="18"/>
                <w:szCs w:val="18"/>
              </w:rPr>
            </w:pPr>
            <w:r>
              <w:rPr>
                <w:sz w:val="18"/>
                <w:szCs w:val="18"/>
              </w:rPr>
              <w:t>3</w:t>
            </w:r>
          </w:p>
        </w:tc>
      </w:tr>
      <w:tr w14:paraId="52E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7" w:hRule="atLeast"/>
          <w:jc w:val="center"/>
        </w:trPr>
        <w:tc>
          <w:tcPr>
            <w:tcW w:w="2260" w:type="dxa"/>
            <w:tcBorders>
              <w:top w:val="single" w:color="auto" w:sz="2" w:space="0"/>
              <w:left w:val="nil"/>
              <w:bottom w:val="single" w:color="auto" w:sz="8" w:space="0"/>
              <w:right w:val="single" w:color="auto" w:sz="2" w:space="0"/>
            </w:tcBorders>
            <w:vAlign w:val="center"/>
          </w:tcPr>
          <w:p w14:paraId="5F635411">
            <w:pPr>
              <w:spacing w:line="320" w:lineRule="exact"/>
              <w:ind w:right="-50"/>
              <w:jc w:val="center"/>
              <w:rPr>
                <w:sz w:val="18"/>
                <w:szCs w:val="18"/>
              </w:rPr>
            </w:pPr>
            <w:r>
              <w:rPr>
                <w:sz w:val="18"/>
                <w:szCs w:val="18"/>
              </w:rPr>
              <w:t>煤      炭</w:t>
            </w:r>
          </w:p>
          <w:p w14:paraId="78471C50">
            <w:pPr>
              <w:spacing w:line="320" w:lineRule="exact"/>
              <w:ind w:right="-50"/>
              <w:jc w:val="center"/>
              <w:rPr>
                <w:sz w:val="18"/>
                <w:szCs w:val="18"/>
              </w:rPr>
            </w:pPr>
            <w:r>
              <w:rPr>
                <w:sz w:val="18"/>
                <w:szCs w:val="18"/>
              </w:rPr>
              <w:t>汽      油</w:t>
            </w:r>
          </w:p>
          <w:p w14:paraId="4542AB4B">
            <w:pPr>
              <w:spacing w:line="320" w:lineRule="exact"/>
              <w:ind w:right="-50"/>
              <w:jc w:val="center"/>
              <w:rPr>
                <w:sz w:val="18"/>
                <w:szCs w:val="18"/>
              </w:rPr>
            </w:pPr>
            <w:r>
              <w:rPr>
                <w:sz w:val="18"/>
                <w:szCs w:val="18"/>
              </w:rPr>
              <w:t>煤      油</w:t>
            </w:r>
          </w:p>
          <w:p w14:paraId="4A61958E">
            <w:pPr>
              <w:spacing w:line="320" w:lineRule="exact"/>
              <w:ind w:right="-50"/>
              <w:jc w:val="center"/>
              <w:rPr>
                <w:sz w:val="18"/>
                <w:szCs w:val="18"/>
              </w:rPr>
            </w:pPr>
            <w:r>
              <w:rPr>
                <w:sz w:val="18"/>
                <w:szCs w:val="18"/>
              </w:rPr>
              <w:t>柴      油</w:t>
            </w:r>
          </w:p>
          <w:p w14:paraId="545538E9">
            <w:pPr>
              <w:spacing w:line="320" w:lineRule="exact"/>
              <w:ind w:right="-50"/>
              <w:jc w:val="center"/>
              <w:rPr>
                <w:sz w:val="18"/>
                <w:szCs w:val="18"/>
              </w:rPr>
            </w:pPr>
            <w:r>
              <w:rPr>
                <w:sz w:val="18"/>
                <w:szCs w:val="18"/>
              </w:rPr>
              <w:t>燃  料  油</w:t>
            </w:r>
          </w:p>
          <w:p w14:paraId="53C11057">
            <w:pPr>
              <w:spacing w:line="320" w:lineRule="exact"/>
              <w:ind w:right="-50"/>
              <w:jc w:val="center"/>
              <w:rPr>
                <w:sz w:val="18"/>
                <w:szCs w:val="18"/>
              </w:rPr>
            </w:pPr>
            <w:r>
              <w:rPr>
                <w:sz w:val="18"/>
                <w:szCs w:val="18"/>
              </w:rPr>
              <w:t>电      力</w:t>
            </w:r>
          </w:p>
          <w:p w14:paraId="16A7A586">
            <w:pPr>
              <w:spacing w:line="320" w:lineRule="exact"/>
              <w:ind w:right="-50"/>
              <w:jc w:val="center"/>
              <w:rPr>
                <w:sz w:val="18"/>
                <w:szCs w:val="18"/>
              </w:rPr>
            </w:pPr>
            <w:r>
              <w:rPr>
                <w:sz w:val="18"/>
              </w:rPr>
              <w:t>┊</w:t>
            </w:r>
          </w:p>
        </w:tc>
        <w:tc>
          <w:tcPr>
            <w:tcW w:w="1113" w:type="dxa"/>
            <w:tcBorders>
              <w:top w:val="single" w:color="auto" w:sz="2" w:space="0"/>
              <w:left w:val="single" w:color="auto" w:sz="2" w:space="0"/>
              <w:bottom w:val="single" w:color="auto" w:sz="8" w:space="0"/>
              <w:right w:val="single" w:color="auto" w:sz="2" w:space="0"/>
            </w:tcBorders>
            <w:vAlign w:val="center"/>
          </w:tcPr>
          <w:p w14:paraId="3758775E">
            <w:pPr>
              <w:spacing w:line="320" w:lineRule="exact"/>
              <w:jc w:val="center"/>
              <w:rPr>
                <w:sz w:val="18"/>
                <w:szCs w:val="18"/>
              </w:rPr>
            </w:pPr>
            <w:r>
              <w:rPr>
                <w:sz w:val="18"/>
                <w:szCs w:val="18"/>
              </w:rPr>
              <w:t>万吨</w:t>
            </w:r>
          </w:p>
          <w:p w14:paraId="1E39C154">
            <w:pPr>
              <w:spacing w:line="320" w:lineRule="exact"/>
              <w:jc w:val="center"/>
              <w:rPr>
                <w:sz w:val="18"/>
                <w:szCs w:val="18"/>
              </w:rPr>
            </w:pPr>
            <w:r>
              <w:rPr>
                <w:sz w:val="18"/>
                <w:szCs w:val="18"/>
              </w:rPr>
              <w:t>吨</w:t>
            </w:r>
          </w:p>
          <w:p w14:paraId="1B6EA738">
            <w:pPr>
              <w:spacing w:line="320" w:lineRule="exact"/>
              <w:jc w:val="center"/>
              <w:rPr>
                <w:sz w:val="18"/>
                <w:szCs w:val="18"/>
              </w:rPr>
            </w:pPr>
            <w:r>
              <w:rPr>
                <w:sz w:val="18"/>
                <w:szCs w:val="18"/>
              </w:rPr>
              <w:t>吨</w:t>
            </w:r>
          </w:p>
          <w:p w14:paraId="5CCF49B9">
            <w:pPr>
              <w:spacing w:line="320" w:lineRule="exact"/>
              <w:jc w:val="center"/>
              <w:rPr>
                <w:sz w:val="18"/>
                <w:szCs w:val="18"/>
              </w:rPr>
            </w:pPr>
            <w:r>
              <w:rPr>
                <w:sz w:val="18"/>
                <w:szCs w:val="18"/>
              </w:rPr>
              <w:t>吨</w:t>
            </w:r>
          </w:p>
          <w:p w14:paraId="2416D5DB">
            <w:pPr>
              <w:spacing w:line="320" w:lineRule="exact"/>
              <w:jc w:val="center"/>
              <w:rPr>
                <w:sz w:val="18"/>
                <w:szCs w:val="18"/>
              </w:rPr>
            </w:pPr>
            <w:r>
              <w:rPr>
                <w:sz w:val="18"/>
                <w:szCs w:val="18"/>
              </w:rPr>
              <w:t>吨</w:t>
            </w:r>
          </w:p>
          <w:p w14:paraId="2A5E8F2B">
            <w:pPr>
              <w:spacing w:line="320" w:lineRule="exact"/>
              <w:jc w:val="center"/>
              <w:rPr>
                <w:sz w:val="18"/>
                <w:szCs w:val="18"/>
              </w:rPr>
            </w:pPr>
            <w:r>
              <w:rPr>
                <w:sz w:val="18"/>
                <w:szCs w:val="18"/>
              </w:rPr>
              <w:t>万千瓦时</w:t>
            </w:r>
          </w:p>
          <w:p w14:paraId="5F701B79">
            <w:pPr>
              <w:spacing w:line="320" w:lineRule="exact"/>
              <w:jc w:val="center"/>
              <w:rPr>
                <w:sz w:val="18"/>
                <w:szCs w:val="18"/>
              </w:rPr>
            </w:pPr>
            <w:r>
              <w:rPr>
                <w:sz w:val="18"/>
              </w:rPr>
              <w:t>┊</w:t>
            </w:r>
          </w:p>
        </w:tc>
        <w:tc>
          <w:tcPr>
            <w:tcW w:w="1114" w:type="dxa"/>
            <w:tcBorders>
              <w:top w:val="single" w:color="auto" w:sz="2" w:space="0"/>
              <w:left w:val="single" w:color="auto" w:sz="2" w:space="0"/>
              <w:bottom w:val="single" w:color="auto" w:sz="8" w:space="0"/>
              <w:right w:val="single" w:color="auto" w:sz="2" w:space="0"/>
            </w:tcBorders>
            <w:vAlign w:val="center"/>
          </w:tcPr>
          <w:p w14:paraId="0A4E75A0">
            <w:pPr>
              <w:spacing w:line="320" w:lineRule="exact"/>
              <w:ind w:right="4"/>
              <w:jc w:val="center"/>
              <w:rPr>
                <w:sz w:val="18"/>
                <w:szCs w:val="18"/>
              </w:rPr>
            </w:pPr>
            <w:r>
              <w:rPr>
                <w:sz w:val="18"/>
                <w:szCs w:val="18"/>
              </w:rPr>
              <w:t>01</w:t>
            </w:r>
          </w:p>
          <w:p w14:paraId="45B30361">
            <w:pPr>
              <w:spacing w:line="320" w:lineRule="exact"/>
              <w:ind w:right="4"/>
              <w:jc w:val="center"/>
              <w:rPr>
                <w:sz w:val="18"/>
                <w:szCs w:val="18"/>
              </w:rPr>
            </w:pPr>
            <w:r>
              <w:rPr>
                <w:sz w:val="18"/>
                <w:szCs w:val="18"/>
              </w:rPr>
              <w:t>02</w:t>
            </w:r>
          </w:p>
          <w:p w14:paraId="18B1E6F6">
            <w:pPr>
              <w:spacing w:line="320" w:lineRule="exact"/>
              <w:ind w:right="4"/>
              <w:jc w:val="center"/>
              <w:rPr>
                <w:sz w:val="18"/>
                <w:szCs w:val="18"/>
              </w:rPr>
            </w:pPr>
            <w:r>
              <w:rPr>
                <w:sz w:val="18"/>
                <w:szCs w:val="18"/>
              </w:rPr>
              <w:t>03</w:t>
            </w:r>
          </w:p>
          <w:p w14:paraId="08D3EE8E">
            <w:pPr>
              <w:spacing w:line="320" w:lineRule="exact"/>
              <w:ind w:right="4"/>
              <w:jc w:val="center"/>
              <w:rPr>
                <w:sz w:val="18"/>
                <w:szCs w:val="18"/>
              </w:rPr>
            </w:pPr>
            <w:r>
              <w:rPr>
                <w:sz w:val="18"/>
                <w:szCs w:val="18"/>
              </w:rPr>
              <w:t>04</w:t>
            </w:r>
          </w:p>
          <w:p w14:paraId="685EA3CE">
            <w:pPr>
              <w:spacing w:line="320" w:lineRule="exact"/>
              <w:ind w:right="4"/>
              <w:jc w:val="center"/>
              <w:rPr>
                <w:sz w:val="18"/>
                <w:szCs w:val="18"/>
              </w:rPr>
            </w:pPr>
            <w:r>
              <w:rPr>
                <w:sz w:val="18"/>
                <w:szCs w:val="18"/>
              </w:rPr>
              <w:t>05</w:t>
            </w:r>
          </w:p>
          <w:p w14:paraId="64391349">
            <w:pPr>
              <w:spacing w:line="320" w:lineRule="exact"/>
              <w:ind w:right="4"/>
              <w:jc w:val="center"/>
              <w:rPr>
                <w:sz w:val="18"/>
                <w:szCs w:val="18"/>
              </w:rPr>
            </w:pPr>
            <w:r>
              <w:rPr>
                <w:sz w:val="18"/>
                <w:szCs w:val="18"/>
              </w:rPr>
              <w:t>06</w:t>
            </w:r>
          </w:p>
          <w:p w14:paraId="120FE764">
            <w:pPr>
              <w:spacing w:line="320" w:lineRule="exact"/>
              <w:ind w:right="4"/>
              <w:jc w:val="center"/>
              <w:rPr>
                <w:sz w:val="18"/>
                <w:szCs w:val="18"/>
              </w:rPr>
            </w:pPr>
            <w:r>
              <w:rPr>
                <w:sz w:val="18"/>
              </w:rPr>
              <w:t>┊</w:t>
            </w:r>
          </w:p>
        </w:tc>
        <w:tc>
          <w:tcPr>
            <w:tcW w:w="4935" w:type="dxa"/>
            <w:gridSpan w:val="3"/>
            <w:tcBorders>
              <w:top w:val="single" w:color="auto" w:sz="2" w:space="0"/>
              <w:left w:val="single" w:color="auto" w:sz="2" w:space="0"/>
              <w:bottom w:val="single" w:color="auto" w:sz="8" w:space="0"/>
              <w:right w:val="nil"/>
            </w:tcBorders>
            <w:vAlign w:val="center"/>
          </w:tcPr>
          <w:p w14:paraId="05C82223">
            <w:pPr>
              <w:pStyle w:val="14"/>
              <w:pBdr>
                <w:bottom w:val="none" w:color="auto" w:sz="0" w:space="0"/>
              </w:pBdr>
              <w:tabs>
                <w:tab w:val="clear" w:pos="4153"/>
                <w:tab w:val="clear" w:pos="8306"/>
              </w:tabs>
              <w:snapToGrid/>
            </w:pPr>
          </w:p>
        </w:tc>
      </w:tr>
    </w:tbl>
    <w:p w14:paraId="6ED16F90">
      <w:pPr>
        <w:spacing w:line="280" w:lineRule="exact"/>
        <w:ind w:right="-38"/>
        <w:rPr>
          <w:sz w:val="18"/>
        </w:rPr>
      </w:pPr>
      <w:r>
        <w:rPr>
          <w:sz w:val="18"/>
        </w:rPr>
        <w:t>单位负责人：             统计负责人：         填表人：          联系电话：       报出日期：２０　年　月　日</w:t>
      </w:r>
    </w:p>
    <w:p w14:paraId="5D0F223E">
      <w:pPr>
        <w:ind w:right="-38"/>
        <w:rPr>
          <w:sz w:val="18"/>
          <w:szCs w:val="18"/>
        </w:rPr>
      </w:pPr>
    </w:p>
    <w:p w14:paraId="486320A8">
      <w:pPr>
        <w:spacing w:line="320" w:lineRule="exact"/>
        <w:ind w:right="-38"/>
        <w:rPr>
          <w:sz w:val="18"/>
        </w:rPr>
      </w:pPr>
      <w:r>
        <w:rPr>
          <w:sz w:val="18"/>
          <w:szCs w:val="18"/>
        </w:rPr>
        <w:t>说明：</w:t>
      </w:r>
      <w:r>
        <w:rPr>
          <w:sz w:val="18"/>
        </w:rPr>
        <w:t>1.</w:t>
      </w:r>
      <w:r>
        <w:rPr>
          <w:sz w:val="18"/>
          <w:szCs w:val="18"/>
        </w:rPr>
        <w:t>统</w:t>
      </w:r>
      <w:r>
        <w:rPr>
          <w:sz w:val="18"/>
        </w:rPr>
        <w:t>计范围：铁路运输企业，不包括部门所管理的工业、建筑业等企业及行政、事业单位。</w:t>
      </w:r>
    </w:p>
    <w:p w14:paraId="2FFBC35D">
      <w:pPr>
        <w:spacing w:line="320" w:lineRule="exact"/>
        <w:ind w:right="-38" w:firstLine="540" w:firstLineChars="300"/>
        <w:rPr>
          <w:sz w:val="18"/>
        </w:rPr>
      </w:pPr>
      <w:r>
        <w:rPr>
          <w:sz w:val="18"/>
        </w:rPr>
        <w:t>2.报送时间为次年3月31日前。</w:t>
      </w:r>
    </w:p>
    <w:p w14:paraId="35022D15">
      <w:pPr>
        <w:spacing w:line="320" w:lineRule="exact"/>
        <w:ind w:left="722" w:leftChars="258" w:hanging="180" w:hangingChars="100"/>
        <w:rPr>
          <w:sz w:val="18"/>
          <w:szCs w:val="18"/>
        </w:rPr>
      </w:pPr>
      <w:r>
        <w:rPr>
          <w:sz w:val="18"/>
        </w:rPr>
        <w:t>3.</w:t>
      </w:r>
      <w:r>
        <w:rPr>
          <w:sz w:val="18"/>
          <w:szCs w:val="18"/>
        </w:rPr>
        <w:t>本表由中国</w:t>
      </w:r>
      <w:r>
        <w:rPr>
          <w:rFonts w:hint="eastAsia"/>
          <w:sz w:val="18"/>
          <w:szCs w:val="18"/>
        </w:rPr>
        <w:t>国家</w:t>
      </w:r>
      <w:r>
        <w:rPr>
          <w:sz w:val="18"/>
          <w:szCs w:val="18"/>
        </w:rPr>
        <w:t>铁路</w:t>
      </w:r>
      <w:r>
        <w:rPr>
          <w:rFonts w:hint="eastAsia"/>
          <w:sz w:val="18"/>
          <w:szCs w:val="18"/>
        </w:rPr>
        <w:t>集团有限</w:t>
      </w:r>
      <w:r>
        <w:rPr>
          <w:sz w:val="18"/>
          <w:szCs w:val="18"/>
        </w:rPr>
        <w:t>公司报送分省</w:t>
      </w:r>
      <w:r>
        <w:rPr>
          <w:rFonts w:hint="eastAsia"/>
          <w:sz w:val="18"/>
          <w:szCs w:val="18"/>
        </w:rPr>
        <w:t>（</w:t>
      </w:r>
      <w:r>
        <w:rPr>
          <w:sz w:val="18"/>
          <w:szCs w:val="18"/>
        </w:rPr>
        <w:t>区、市</w:t>
      </w:r>
      <w:r>
        <w:rPr>
          <w:rFonts w:hint="eastAsia"/>
          <w:sz w:val="18"/>
          <w:szCs w:val="18"/>
        </w:rPr>
        <w:t>）</w:t>
      </w:r>
      <w:r>
        <w:rPr>
          <w:sz w:val="18"/>
          <w:szCs w:val="18"/>
        </w:rPr>
        <w:t>的数据。</w:t>
      </w:r>
    </w:p>
    <w:p w14:paraId="24EB2423">
      <w:pPr>
        <w:spacing w:before="480" w:beforeLines="200" w:after="240" w:afterLines="100"/>
        <w:jc w:val="center"/>
        <w:outlineLvl w:val="2"/>
        <w:rPr>
          <w:sz w:val="32"/>
          <w:szCs w:val="32"/>
        </w:rPr>
      </w:pPr>
      <w:r>
        <w:rPr>
          <w:sz w:val="32"/>
          <w:szCs w:val="32"/>
        </w:rPr>
        <w:t>航空企业主要能源消费与库存</w:t>
      </w:r>
    </w:p>
    <w:tbl>
      <w:tblPr>
        <w:tblStyle w:val="20"/>
        <w:tblW w:w="9402" w:type="dxa"/>
        <w:jc w:val="center"/>
        <w:tblLayout w:type="autofit"/>
        <w:tblCellMar>
          <w:top w:w="0" w:type="dxa"/>
          <w:left w:w="0" w:type="dxa"/>
          <w:bottom w:w="0" w:type="dxa"/>
          <w:right w:w="0" w:type="dxa"/>
        </w:tblCellMar>
      </w:tblPr>
      <w:tblGrid>
        <w:gridCol w:w="3355"/>
        <w:gridCol w:w="840"/>
        <w:gridCol w:w="2446"/>
        <w:gridCol w:w="850"/>
        <w:gridCol w:w="1911"/>
      </w:tblGrid>
      <w:tr w14:paraId="23E2B78D">
        <w:tblPrEx>
          <w:tblCellMar>
            <w:top w:w="0" w:type="dxa"/>
            <w:left w:w="0" w:type="dxa"/>
            <w:bottom w:w="0" w:type="dxa"/>
            <w:right w:w="0" w:type="dxa"/>
          </w:tblCellMar>
        </w:tblPrEx>
        <w:trPr>
          <w:jc w:val="center"/>
        </w:trPr>
        <w:tc>
          <w:tcPr>
            <w:tcW w:w="3355" w:type="dxa"/>
          </w:tcPr>
          <w:p w14:paraId="119C194D">
            <w:pPr>
              <w:spacing w:line="260" w:lineRule="exact"/>
              <w:rPr>
                <w:sz w:val="18"/>
                <w:szCs w:val="18"/>
              </w:rPr>
            </w:pPr>
          </w:p>
        </w:tc>
        <w:tc>
          <w:tcPr>
            <w:tcW w:w="840" w:type="dxa"/>
          </w:tcPr>
          <w:p w14:paraId="668A4E46">
            <w:pPr>
              <w:spacing w:line="260" w:lineRule="exact"/>
              <w:rPr>
                <w:sz w:val="18"/>
                <w:szCs w:val="18"/>
              </w:rPr>
            </w:pPr>
          </w:p>
        </w:tc>
        <w:tc>
          <w:tcPr>
            <w:tcW w:w="2446" w:type="dxa"/>
          </w:tcPr>
          <w:p w14:paraId="547688D6">
            <w:pPr>
              <w:spacing w:line="260" w:lineRule="exact"/>
              <w:rPr>
                <w:sz w:val="18"/>
                <w:szCs w:val="18"/>
              </w:rPr>
            </w:pPr>
            <w:r>
              <w:rPr>
                <w:sz w:val="18"/>
                <w:szCs w:val="18"/>
              </w:rPr>
              <w:t>　　　　　　　　　　　　　</w:t>
            </w:r>
          </w:p>
        </w:tc>
        <w:tc>
          <w:tcPr>
            <w:tcW w:w="850" w:type="dxa"/>
            <w:tcMar>
              <w:left w:w="0" w:type="dxa"/>
              <w:right w:w="0" w:type="dxa"/>
            </w:tcMar>
          </w:tcPr>
          <w:p w14:paraId="4D127FAE">
            <w:pPr>
              <w:spacing w:line="260" w:lineRule="exact"/>
              <w:rPr>
                <w:sz w:val="18"/>
                <w:szCs w:val="18"/>
              </w:rPr>
            </w:pPr>
            <w:r>
              <w:rPr>
                <w:sz w:val="18"/>
                <w:szCs w:val="18"/>
              </w:rPr>
              <w:t>表    号：</w:t>
            </w:r>
          </w:p>
        </w:tc>
        <w:tc>
          <w:tcPr>
            <w:tcW w:w="1911" w:type="dxa"/>
            <w:vAlign w:val="center"/>
          </w:tcPr>
          <w:p w14:paraId="572372BF">
            <w:pPr>
              <w:spacing w:line="260" w:lineRule="exact"/>
              <w:jc w:val="distribute"/>
              <w:rPr>
                <w:sz w:val="18"/>
                <w:szCs w:val="18"/>
              </w:rPr>
            </w:pPr>
            <w:r>
              <w:rPr>
                <w:sz w:val="18"/>
                <w:szCs w:val="18"/>
              </w:rPr>
              <w:t>ＭＨ３０１表</w:t>
            </w:r>
          </w:p>
        </w:tc>
      </w:tr>
      <w:tr w14:paraId="5820C35B">
        <w:tblPrEx>
          <w:tblCellMar>
            <w:top w:w="0" w:type="dxa"/>
            <w:left w:w="0" w:type="dxa"/>
            <w:bottom w:w="0" w:type="dxa"/>
            <w:right w:w="0" w:type="dxa"/>
          </w:tblCellMar>
        </w:tblPrEx>
        <w:trPr>
          <w:jc w:val="center"/>
        </w:trPr>
        <w:tc>
          <w:tcPr>
            <w:tcW w:w="3355" w:type="dxa"/>
          </w:tcPr>
          <w:p w14:paraId="0136C095">
            <w:pPr>
              <w:spacing w:line="260" w:lineRule="exact"/>
              <w:rPr>
                <w:sz w:val="18"/>
                <w:szCs w:val="18"/>
              </w:rPr>
            </w:pPr>
          </w:p>
        </w:tc>
        <w:tc>
          <w:tcPr>
            <w:tcW w:w="840" w:type="dxa"/>
          </w:tcPr>
          <w:p w14:paraId="0BA9DDC2">
            <w:pPr>
              <w:spacing w:line="260" w:lineRule="exact"/>
              <w:rPr>
                <w:sz w:val="18"/>
                <w:szCs w:val="18"/>
              </w:rPr>
            </w:pPr>
          </w:p>
        </w:tc>
        <w:tc>
          <w:tcPr>
            <w:tcW w:w="2446" w:type="dxa"/>
          </w:tcPr>
          <w:p w14:paraId="462DF41A">
            <w:pPr>
              <w:spacing w:line="260" w:lineRule="exact"/>
              <w:rPr>
                <w:sz w:val="18"/>
                <w:szCs w:val="18"/>
              </w:rPr>
            </w:pPr>
          </w:p>
        </w:tc>
        <w:tc>
          <w:tcPr>
            <w:tcW w:w="850" w:type="dxa"/>
            <w:tcMar>
              <w:left w:w="0" w:type="dxa"/>
              <w:right w:w="0" w:type="dxa"/>
            </w:tcMar>
            <w:vAlign w:val="center"/>
          </w:tcPr>
          <w:p w14:paraId="794E9608">
            <w:pPr>
              <w:spacing w:line="260" w:lineRule="exact"/>
              <w:rPr>
                <w:sz w:val="18"/>
                <w:szCs w:val="18"/>
              </w:rPr>
            </w:pPr>
            <w:r>
              <w:rPr>
                <w:sz w:val="18"/>
                <w:szCs w:val="18"/>
              </w:rPr>
              <w:t>制定机关：</w:t>
            </w:r>
          </w:p>
        </w:tc>
        <w:tc>
          <w:tcPr>
            <w:tcW w:w="1911" w:type="dxa"/>
            <w:vAlign w:val="center"/>
          </w:tcPr>
          <w:p w14:paraId="259E49B2">
            <w:pPr>
              <w:spacing w:line="260" w:lineRule="exact"/>
              <w:jc w:val="distribute"/>
              <w:rPr>
                <w:sz w:val="18"/>
                <w:szCs w:val="18"/>
              </w:rPr>
            </w:pPr>
            <w:r>
              <w:rPr>
                <w:sz w:val="18"/>
                <w:szCs w:val="18"/>
              </w:rPr>
              <w:t>国 家 统 计 局</w:t>
            </w:r>
          </w:p>
        </w:tc>
      </w:tr>
      <w:tr w14:paraId="23C5DAB4">
        <w:tblPrEx>
          <w:tblCellMar>
            <w:top w:w="0" w:type="dxa"/>
            <w:left w:w="0" w:type="dxa"/>
            <w:bottom w:w="0" w:type="dxa"/>
            <w:right w:w="0" w:type="dxa"/>
          </w:tblCellMar>
        </w:tblPrEx>
        <w:trPr>
          <w:jc w:val="center"/>
        </w:trPr>
        <w:tc>
          <w:tcPr>
            <w:tcW w:w="3355" w:type="dxa"/>
          </w:tcPr>
          <w:p w14:paraId="04D9E5EF">
            <w:pPr>
              <w:spacing w:line="260" w:lineRule="exact"/>
              <w:jc w:val="left"/>
              <w:rPr>
                <w:sz w:val="18"/>
                <w:szCs w:val="18"/>
              </w:rPr>
            </w:pPr>
          </w:p>
        </w:tc>
        <w:tc>
          <w:tcPr>
            <w:tcW w:w="840" w:type="dxa"/>
          </w:tcPr>
          <w:p w14:paraId="705E1838">
            <w:pPr>
              <w:spacing w:line="260" w:lineRule="exact"/>
              <w:rPr>
                <w:sz w:val="18"/>
                <w:szCs w:val="18"/>
              </w:rPr>
            </w:pPr>
          </w:p>
        </w:tc>
        <w:tc>
          <w:tcPr>
            <w:tcW w:w="2446" w:type="dxa"/>
          </w:tcPr>
          <w:p w14:paraId="139B3DBE">
            <w:pPr>
              <w:spacing w:line="260" w:lineRule="exact"/>
              <w:rPr>
                <w:sz w:val="18"/>
                <w:szCs w:val="18"/>
              </w:rPr>
            </w:pPr>
          </w:p>
        </w:tc>
        <w:tc>
          <w:tcPr>
            <w:tcW w:w="850" w:type="dxa"/>
            <w:tcMar>
              <w:left w:w="0" w:type="dxa"/>
              <w:right w:w="0" w:type="dxa"/>
            </w:tcMar>
            <w:vAlign w:val="center"/>
          </w:tcPr>
          <w:p w14:paraId="11E6C10C">
            <w:pPr>
              <w:spacing w:line="260" w:lineRule="exact"/>
              <w:rPr>
                <w:sz w:val="18"/>
                <w:szCs w:val="18"/>
              </w:rPr>
            </w:pPr>
            <w:r>
              <w:rPr>
                <w:sz w:val="18"/>
                <w:szCs w:val="18"/>
              </w:rPr>
              <w:t>文    号：</w:t>
            </w:r>
          </w:p>
        </w:tc>
        <w:tc>
          <w:tcPr>
            <w:tcW w:w="1911" w:type="dxa"/>
            <w:vAlign w:val="center"/>
          </w:tcPr>
          <w:p w14:paraId="69A056AA">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70" w:author="kylin" w:date="2025-10-17T16:21:15Z">
              <w:r>
                <w:rPr>
                  <w:rFonts w:hint="default" w:ascii="宋体" w:hAnsi="宋体"/>
                  <w:spacing w:val="-16"/>
                  <w:sz w:val="18"/>
                  <w:szCs w:val="18"/>
                  <w:lang w:val="en-US" w:eastAsia="zh-CN"/>
                </w:rPr>
                <w:delText>４</w:delText>
              </w:r>
            </w:del>
            <w:ins w:id="371" w:author="kylin" w:date="2025-10-17T16:21:15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72" w:author="kylin" w:date="2025-10-17T16:21:17Z">
              <w:r>
                <w:rPr>
                  <w:rFonts w:hint="default" w:ascii="宋体" w:hAnsi="宋体"/>
                  <w:spacing w:val="-16"/>
                  <w:sz w:val="18"/>
                  <w:szCs w:val="18"/>
                  <w:lang w:val="en-US" w:eastAsia="zh-CN"/>
                </w:rPr>
                <w:delText>77</w:delText>
              </w:r>
            </w:del>
            <w:ins w:id="373" w:author="kylin" w:date="2025-10-17T16:21:17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61396DD1">
        <w:tblPrEx>
          <w:tblCellMar>
            <w:top w:w="0" w:type="dxa"/>
            <w:left w:w="0" w:type="dxa"/>
            <w:bottom w:w="0" w:type="dxa"/>
            <w:right w:w="0" w:type="dxa"/>
          </w:tblCellMar>
        </w:tblPrEx>
        <w:trPr>
          <w:jc w:val="center"/>
        </w:trPr>
        <w:tc>
          <w:tcPr>
            <w:tcW w:w="3355" w:type="dxa"/>
          </w:tcPr>
          <w:p w14:paraId="045C0035">
            <w:pPr>
              <w:spacing w:line="260" w:lineRule="exact"/>
              <w:rPr>
                <w:sz w:val="18"/>
                <w:szCs w:val="18"/>
              </w:rPr>
            </w:pPr>
            <w:r>
              <w:rPr>
                <w:sz w:val="18"/>
              </w:rPr>
              <w:t>综合机关名称：</w:t>
            </w:r>
            <w:r>
              <w:rPr>
                <w:rFonts w:hint="eastAsia"/>
                <w:sz w:val="18"/>
              </w:rPr>
              <w:t>中国</w:t>
            </w:r>
            <w:r>
              <w:rPr>
                <w:sz w:val="18"/>
              </w:rPr>
              <w:t>民用航空局</w:t>
            </w:r>
          </w:p>
        </w:tc>
        <w:tc>
          <w:tcPr>
            <w:tcW w:w="840" w:type="dxa"/>
          </w:tcPr>
          <w:p w14:paraId="19B3647C">
            <w:pPr>
              <w:spacing w:line="260" w:lineRule="exact"/>
              <w:rPr>
                <w:sz w:val="18"/>
                <w:szCs w:val="18"/>
              </w:rPr>
            </w:pPr>
          </w:p>
        </w:tc>
        <w:tc>
          <w:tcPr>
            <w:tcW w:w="2446" w:type="dxa"/>
          </w:tcPr>
          <w:p w14:paraId="7BAD3DC3">
            <w:pPr>
              <w:spacing w:line="260" w:lineRule="exact"/>
              <w:rPr>
                <w:sz w:val="18"/>
                <w:szCs w:val="18"/>
              </w:rPr>
            </w:pPr>
            <w:r>
              <w:rPr>
                <w:sz w:val="18"/>
                <w:szCs w:val="18"/>
              </w:rPr>
              <w:t>２０　　年　　　　　　　　　</w:t>
            </w:r>
          </w:p>
        </w:tc>
        <w:tc>
          <w:tcPr>
            <w:tcW w:w="850" w:type="dxa"/>
            <w:tcMar>
              <w:left w:w="0" w:type="dxa"/>
              <w:right w:w="0" w:type="dxa"/>
            </w:tcMar>
            <w:vAlign w:val="center"/>
          </w:tcPr>
          <w:p w14:paraId="7038C4FB">
            <w:pPr>
              <w:spacing w:line="260" w:lineRule="exact"/>
              <w:rPr>
                <w:sz w:val="18"/>
                <w:szCs w:val="18"/>
              </w:rPr>
            </w:pPr>
            <w:r>
              <w:rPr>
                <w:sz w:val="18"/>
                <w:szCs w:val="18"/>
              </w:rPr>
              <w:t>有效期至：</w:t>
            </w:r>
          </w:p>
        </w:tc>
        <w:tc>
          <w:tcPr>
            <w:tcW w:w="1911" w:type="dxa"/>
            <w:vAlign w:val="center"/>
          </w:tcPr>
          <w:p w14:paraId="1706D681">
            <w:pPr>
              <w:spacing w:line="260" w:lineRule="exact"/>
              <w:jc w:val="distribute"/>
              <w:rPr>
                <w:rFonts w:hint="default"/>
                <w:sz w:val="18"/>
                <w:szCs w:val="18"/>
                <w:lang w:val="en"/>
              </w:rPr>
            </w:pPr>
            <w:r>
              <w:rPr>
                <w:sz w:val="18"/>
                <w:szCs w:val="18"/>
                <w:lang w:val="en"/>
              </w:rPr>
              <w:t>２０２</w:t>
            </w:r>
            <w:del w:id="374" w:author="kylin" w:date="2025-10-17T16:21:19Z">
              <w:r>
                <w:rPr>
                  <w:rFonts w:hint="default"/>
                  <w:kern w:val="0"/>
                  <w:sz w:val="18"/>
                  <w:szCs w:val="18"/>
                  <w:lang w:val="en-US"/>
                </w:rPr>
                <w:delText>５</w:delText>
              </w:r>
            </w:del>
            <w:ins w:id="375" w:author="kylin" w:date="2025-10-17T16:21:19Z">
              <w:r>
                <w:rPr>
                  <w:rFonts w:hint="eastAsia"/>
                  <w:kern w:val="0"/>
                  <w:sz w:val="18"/>
                  <w:szCs w:val="18"/>
                  <w:lang w:val="en-US" w:eastAsia="zh-CN"/>
                </w:rPr>
                <w:t>6</w:t>
              </w:r>
            </w:ins>
            <w:r>
              <w:rPr>
                <w:sz w:val="18"/>
                <w:szCs w:val="18"/>
                <w:lang w:val="en"/>
              </w:rPr>
              <w:t>年６月</w:t>
            </w:r>
          </w:p>
        </w:tc>
      </w:tr>
    </w:tbl>
    <w:p w14:paraId="5495E882">
      <w:pPr>
        <w:spacing w:line="20" w:lineRule="exact"/>
        <w:jc w:val="center"/>
        <w:rPr>
          <w:sz w:val="32"/>
          <w:szCs w:val="32"/>
        </w:rPr>
      </w:pPr>
    </w:p>
    <w:tbl>
      <w:tblPr>
        <w:tblStyle w:val="20"/>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60"/>
        <w:gridCol w:w="1113"/>
        <w:gridCol w:w="1114"/>
        <w:gridCol w:w="1645"/>
        <w:gridCol w:w="1645"/>
        <w:gridCol w:w="1645"/>
      </w:tblGrid>
      <w:tr w14:paraId="58FC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2260" w:type="dxa"/>
            <w:tcBorders>
              <w:top w:val="single" w:color="auto" w:sz="8" w:space="0"/>
              <w:left w:val="nil"/>
              <w:bottom w:val="single" w:color="auto" w:sz="2" w:space="0"/>
              <w:right w:val="single" w:color="auto" w:sz="2" w:space="0"/>
            </w:tcBorders>
            <w:vAlign w:val="center"/>
          </w:tcPr>
          <w:p w14:paraId="2094DC0B">
            <w:pPr>
              <w:ind w:right="-50"/>
              <w:jc w:val="center"/>
              <w:rPr>
                <w:sz w:val="18"/>
                <w:szCs w:val="18"/>
              </w:rPr>
            </w:pPr>
            <w:r>
              <w:rPr>
                <w:sz w:val="18"/>
                <w:szCs w:val="18"/>
              </w:rPr>
              <w:t>品      种</w:t>
            </w:r>
          </w:p>
        </w:tc>
        <w:tc>
          <w:tcPr>
            <w:tcW w:w="1113" w:type="dxa"/>
            <w:tcBorders>
              <w:top w:val="single" w:color="auto" w:sz="8" w:space="0"/>
              <w:left w:val="single" w:color="auto" w:sz="2" w:space="0"/>
              <w:bottom w:val="single" w:color="auto" w:sz="2" w:space="0"/>
              <w:right w:val="single" w:color="auto" w:sz="2" w:space="0"/>
            </w:tcBorders>
            <w:vAlign w:val="center"/>
          </w:tcPr>
          <w:p w14:paraId="549B68D1">
            <w:pPr>
              <w:jc w:val="center"/>
              <w:rPr>
                <w:sz w:val="18"/>
                <w:szCs w:val="18"/>
              </w:rPr>
            </w:pPr>
            <w:r>
              <w:rPr>
                <w:sz w:val="18"/>
                <w:szCs w:val="18"/>
              </w:rPr>
              <w:t>计量单位</w:t>
            </w:r>
          </w:p>
        </w:tc>
        <w:tc>
          <w:tcPr>
            <w:tcW w:w="1114" w:type="dxa"/>
            <w:tcBorders>
              <w:top w:val="single" w:color="auto" w:sz="8" w:space="0"/>
              <w:left w:val="single" w:color="auto" w:sz="2" w:space="0"/>
              <w:bottom w:val="single" w:color="auto" w:sz="2" w:space="0"/>
              <w:right w:val="single" w:color="auto" w:sz="2" w:space="0"/>
            </w:tcBorders>
            <w:vAlign w:val="center"/>
          </w:tcPr>
          <w:p w14:paraId="486B9AE2">
            <w:pPr>
              <w:ind w:right="4"/>
              <w:jc w:val="center"/>
              <w:rPr>
                <w:sz w:val="18"/>
                <w:szCs w:val="18"/>
              </w:rPr>
            </w:pPr>
            <w:r>
              <w:rPr>
                <w:sz w:val="18"/>
                <w:szCs w:val="18"/>
              </w:rPr>
              <w:t>代码</w:t>
            </w:r>
          </w:p>
        </w:tc>
        <w:tc>
          <w:tcPr>
            <w:tcW w:w="1645" w:type="dxa"/>
            <w:tcBorders>
              <w:top w:val="single" w:color="auto" w:sz="8" w:space="0"/>
              <w:left w:val="single" w:color="auto" w:sz="2" w:space="0"/>
              <w:bottom w:val="single" w:color="auto" w:sz="2" w:space="0"/>
              <w:right w:val="single" w:color="auto" w:sz="2" w:space="0"/>
            </w:tcBorders>
            <w:vAlign w:val="center"/>
          </w:tcPr>
          <w:p w14:paraId="704E188F">
            <w:pPr>
              <w:jc w:val="center"/>
              <w:rPr>
                <w:sz w:val="18"/>
                <w:szCs w:val="18"/>
              </w:rPr>
            </w:pPr>
            <w:r>
              <w:rPr>
                <w:sz w:val="18"/>
                <w:szCs w:val="18"/>
              </w:rPr>
              <w:t>期初库存量</w:t>
            </w:r>
          </w:p>
        </w:tc>
        <w:tc>
          <w:tcPr>
            <w:tcW w:w="1645" w:type="dxa"/>
            <w:tcBorders>
              <w:top w:val="single" w:color="auto" w:sz="8" w:space="0"/>
              <w:left w:val="single" w:color="auto" w:sz="2" w:space="0"/>
              <w:bottom w:val="single" w:color="auto" w:sz="2" w:space="0"/>
              <w:right w:val="single" w:color="auto" w:sz="2" w:space="0"/>
            </w:tcBorders>
            <w:vAlign w:val="center"/>
          </w:tcPr>
          <w:p w14:paraId="07D76CA2">
            <w:pPr>
              <w:jc w:val="center"/>
              <w:rPr>
                <w:sz w:val="18"/>
                <w:szCs w:val="18"/>
              </w:rPr>
            </w:pPr>
            <w:r>
              <w:rPr>
                <w:sz w:val="18"/>
                <w:szCs w:val="18"/>
              </w:rPr>
              <w:t>本年消费量</w:t>
            </w:r>
          </w:p>
        </w:tc>
        <w:tc>
          <w:tcPr>
            <w:tcW w:w="1645" w:type="dxa"/>
            <w:tcBorders>
              <w:top w:val="single" w:color="auto" w:sz="8" w:space="0"/>
              <w:left w:val="single" w:color="auto" w:sz="2" w:space="0"/>
              <w:bottom w:val="single" w:color="auto" w:sz="2" w:space="0"/>
              <w:right w:val="nil"/>
            </w:tcBorders>
            <w:vAlign w:val="center"/>
          </w:tcPr>
          <w:p w14:paraId="757D04B5">
            <w:pPr>
              <w:jc w:val="center"/>
              <w:rPr>
                <w:sz w:val="18"/>
                <w:szCs w:val="18"/>
              </w:rPr>
            </w:pPr>
            <w:r>
              <w:rPr>
                <w:sz w:val="18"/>
                <w:szCs w:val="18"/>
              </w:rPr>
              <w:t>期末库存量</w:t>
            </w:r>
          </w:p>
        </w:tc>
      </w:tr>
      <w:tr w14:paraId="43D1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 w:hRule="exact"/>
          <w:jc w:val="center"/>
        </w:trPr>
        <w:tc>
          <w:tcPr>
            <w:tcW w:w="2260" w:type="dxa"/>
            <w:tcBorders>
              <w:top w:val="single" w:color="auto" w:sz="2" w:space="0"/>
              <w:left w:val="nil"/>
              <w:bottom w:val="single" w:color="auto" w:sz="2" w:space="0"/>
              <w:right w:val="single" w:color="auto" w:sz="2" w:space="0"/>
            </w:tcBorders>
            <w:vAlign w:val="center"/>
          </w:tcPr>
          <w:p w14:paraId="4CF42771">
            <w:pPr>
              <w:spacing w:line="240" w:lineRule="atLeast"/>
              <w:ind w:right="0"/>
              <w:jc w:val="center"/>
              <w:textAlignment w:val="center"/>
              <w:rPr>
                <w:sz w:val="18"/>
                <w:szCs w:val="18"/>
              </w:rPr>
            </w:pPr>
            <w:r>
              <w:rPr>
                <w:sz w:val="18"/>
                <w:szCs w:val="18"/>
              </w:rPr>
              <w:t>甲</w:t>
            </w:r>
          </w:p>
        </w:tc>
        <w:tc>
          <w:tcPr>
            <w:tcW w:w="1113" w:type="dxa"/>
            <w:tcBorders>
              <w:top w:val="single" w:color="auto" w:sz="2" w:space="0"/>
              <w:left w:val="single" w:color="auto" w:sz="2" w:space="0"/>
              <w:bottom w:val="single" w:color="auto" w:sz="2" w:space="0"/>
              <w:right w:val="single" w:color="auto" w:sz="2" w:space="0"/>
            </w:tcBorders>
            <w:vAlign w:val="center"/>
          </w:tcPr>
          <w:p w14:paraId="5E6481B7">
            <w:pPr>
              <w:spacing w:line="240" w:lineRule="atLeast"/>
              <w:jc w:val="center"/>
              <w:textAlignment w:val="center"/>
              <w:rPr>
                <w:sz w:val="18"/>
                <w:szCs w:val="18"/>
              </w:rPr>
            </w:pPr>
            <w:r>
              <w:rPr>
                <w:sz w:val="18"/>
                <w:szCs w:val="18"/>
              </w:rPr>
              <w:t>乙</w:t>
            </w:r>
          </w:p>
        </w:tc>
        <w:tc>
          <w:tcPr>
            <w:tcW w:w="1114" w:type="dxa"/>
            <w:tcBorders>
              <w:top w:val="single" w:color="auto" w:sz="2" w:space="0"/>
              <w:left w:val="single" w:color="auto" w:sz="2" w:space="0"/>
              <w:bottom w:val="single" w:color="auto" w:sz="2" w:space="0"/>
              <w:right w:val="single" w:color="auto" w:sz="2" w:space="0"/>
            </w:tcBorders>
            <w:vAlign w:val="center"/>
          </w:tcPr>
          <w:p w14:paraId="517F9BE7">
            <w:pPr>
              <w:spacing w:line="240" w:lineRule="atLeast"/>
              <w:ind w:right="0"/>
              <w:jc w:val="center"/>
              <w:textAlignment w:val="center"/>
              <w:rPr>
                <w:sz w:val="18"/>
                <w:szCs w:val="18"/>
              </w:rPr>
            </w:pPr>
            <w:r>
              <w:rPr>
                <w:sz w:val="18"/>
                <w:szCs w:val="18"/>
              </w:rPr>
              <w:t>丙</w:t>
            </w:r>
          </w:p>
        </w:tc>
        <w:tc>
          <w:tcPr>
            <w:tcW w:w="1645" w:type="dxa"/>
            <w:tcBorders>
              <w:top w:val="single" w:color="auto" w:sz="2" w:space="0"/>
              <w:left w:val="single" w:color="auto" w:sz="2" w:space="0"/>
              <w:bottom w:val="single" w:color="auto" w:sz="2" w:space="0"/>
              <w:right w:val="single" w:color="auto" w:sz="2" w:space="0"/>
            </w:tcBorders>
            <w:vAlign w:val="center"/>
          </w:tcPr>
          <w:p w14:paraId="5161EF2B">
            <w:pPr>
              <w:spacing w:line="240" w:lineRule="atLeast"/>
              <w:jc w:val="center"/>
              <w:textAlignment w:val="center"/>
              <w:rPr>
                <w:sz w:val="18"/>
                <w:szCs w:val="18"/>
              </w:rPr>
            </w:pPr>
            <w:r>
              <w:rPr>
                <w:sz w:val="18"/>
                <w:szCs w:val="18"/>
              </w:rPr>
              <w:t>1</w:t>
            </w:r>
          </w:p>
        </w:tc>
        <w:tc>
          <w:tcPr>
            <w:tcW w:w="1645" w:type="dxa"/>
            <w:tcBorders>
              <w:top w:val="single" w:color="auto" w:sz="2" w:space="0"/>
              <w:left w:val="single" w:color="auto" w:sz="2" w:space="0"/>
              <w:bottom w:val="single" w:color="auto" w:sz="2" w:space="0"/>
              <w:right w:val="single" w:color="auto" w:sz="2" w:space="0"/>
            </w:tcBorders>
            <w:vAlign w:val="center"/>
          </w:tcPr>
          <w:p w14:paraId="7CB8A20F">
            <w:pPr>
              <w:spacing w:line="240" w:lineRule="atLeast"/>
              <w:jc w:val="center"/>
              <w:textAlignment w:val="center"/>
              <w:rPr>
                <w:sz w:val="18"/>
                <w:szCs w:val="18"/>
              </w:rPr>
            </w:pPr>
            <w:r>
              <w:rPr>
                <w:sz w:val="18"/>
                <w:szCs w:val="18"/>
              </w:rPr>
              <w:t>2</w:t>
            </w:r>
          </w:p>
        </w:tc>
        <w:tc>
          <w:tcPr>
            <w:tcW w:w="1645" w:type="dxa"/>
            <w:tcBorders>
              <w:top w:val="single" w:color="auto" w:sz="2" w:space="0"/>
              <w:left w:val="single" w:color="auto" w:sz="2" w:space="0"/>
              <w:bottom w:val="single" w:color="auto" w:sz="2" w:space="0"/>
              <w:right w:val="nil"/>
            </w:tcBorders>
            <w:vAlign w:val="center"/>
          </w:tcPr>
          <w:p w14:paraId="068AE84F">
            <w:pPr>
              <w:spacing w:line="240" w:lineRule="atLeast"/>
              <w:jc w:val="center"/>
              <w:textAlignment w:val="center"/>
              <w:rPr>
                <w:sz w:val="18"/>
                <w:szCs w:val="18"/>
              </w:rPr>
            </w:pPr>
            <w:r>
              <w:rPr>
                <w:sz w:val="18"/>
                <w:szCs w:val="18"/>
              </w:rPr>
              <w:t>3</w:t>
            </w:r>
          </w:p>
        </w:tc>
      </w:tr>
      <w:tr w14:paraId="38E2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7" w:hRule="atLeast"/>
          <w:jc w:val="center"/>
        </w:trPr>
        <w:tc>
          <w:tcPr>
            <w:tcW w:w="2260" w:type="dxa"/>
            <w:tcBorders>
              <w:top w:val="single" w:color="auto" w:sz="2" w:space="0"/>
              <w:left w:val="nil"/>
              <w:bottom w:val="single" w:color="auto" w:sz="8" w:space="0"/>
              <w:right w:val="single" w:color="auto" w:sz="2" w:space="0"/>
            </w:tcBorders>
            <w:vAlign w:val="center"/>
          </w:tcPr>
          <w:p w14:paraId="26DD81C4">
            <w:pPr>
              <w:spacing w:line="320" w:lineRule="exact"/>
              <w:ind w:right="-50"/>
              <w:jc w:val="center"/>
              <w:rPr>
                <w:sz w:val="18"/>
                <w:szCs w:val="18"/>
              </w:rPr>
            </w:pPr>
            <w:r>
              <w:rPr>
                <w:sz w:val="18"/>
                <w:szCs w:val="18"/>
              </w:rPr>
              <w:t>煤      炭</w:t>
            </w:r>
          </w:p>
          <w:p w14:paraId="69FC58EF">
            <w:pPr>
              <w:spacing w:line="320" w:lineRule="exact"/>
              <w:ind w:right="-50"/>
              <w:jc w:val="center"/>
              <w:rPr>
                <w:sz w:val="18"/>
                <w:szCs w:val="18"/>
              </w:rPr>
            </w:pPr>
            <w:r>
              <w:rPr>
                <w:sz w:val="18"/>
                <w:szCs w:val="18"/>
              </w:rPr>
              <w:t>汽      油</w:t>
            </w:r>
          </w:p>
          <w:p w14:paraId="4F2D3BD4">
            <w:pPr>
              <w:spacing w:line="320" w:lineRule="exact"/>
              <w:ind w:right="-50"/>
              <w:jc w:val="center"/>
              <w:rPr>
                <w:sz w:val="18"/>
                <w:szCs w:val="18"/>
              </w:rPr>
            </w:pPr>
            <w:r>
              <w:rPr>
                <w:sz w:val="18"/>
                <w:szCs w:val="18"/>
              </w:rPr>
              <w:t>煤      油</w:t>
            </w:r>
          </w:p>
          <w:p w14:paraId="27F6FF32">
            <w:pPr>
              <w:spacing w:line="320" w:lineRule="exact"/>
              <w:ind w:right="-50"/>
              <w:jc w:val="center"/>
              <w:rPr>
                <w:sz w:val="18"/>
                <w:szCs w:val="18"/>
              </w:rPr>
            </w:pPr>
            <w:r>
              <w:rPr>
                <w:sz w:val="18"/>
                <w:szCs w:val="18"/>
              </w:rPr>
              <w:t>柴      油</w:t>
            </w:r>
          </w:p>
          <w:p w14:paraId="53548BDB">
            <w:pPr>
              <w:spacing w:line="320" w:lineRule="exact"/>
              <w:ind w:right="-50"/>
              <w:jc w:val="center"/>
              <w:rPr>
                <w:sz w:val="18"/>
                <w:szCs w:val="18"/>
              </w:rPr>
            </w:pPr>
            <w:r>
              <w:rPr>
                <w:sz w:val="18"/>
                <w:szCs w:val="18"/>
              </w:rPr>
              <w:t>燃  料  油</w:t>
            </w:r>
          </w:p>
          <w:p w14:paraId="467FC003">
            <w:pPr>
              <w:spacing w:line="320" w:lineRule="exact"/>
              <w:ind w:right="-50"/>
              <w:jc w:val="center"/>
              <w:rPr>
                <w:sz w:val="18"/>
                <w:szCs w:val="18"/>
              </w:rPr>
            </w:pPr>
            <w:r>
              <w:rPr>
                <w:sz w:val="18"/>
                <w:szCs w:val="18"/>
              </w:rPr>
              <w:t>电      力</w:t>
            </w:r>
          </w:p>
        </w:tc>
        <w:tc>
          <w:tcPr>
            <w:tcW w:w="1113" w:type="dxa"/>
            <w:tcBorders>
              <w:top w:val="single" w:color="auto" w:sz="2" w:space="0"/>
              <w:left w:val="single" w:color="auto" w:sz="2" w:space="0"/>
              <w:bottom w:val="single" w:color="auto" w:sz="8" w:space="0"/>
              <w:right w:val="single" w:color="auto" w:sz="2" w:space="0"/>
            </w:tcBorders>
            <w:vAlign w:val="center"/>
          </w:tcPr>
          <w:p w14:paraId="1FF96348">
            <w:pPr>
              <w:spacing w:line="320" w:lineRule="exact"/>
              <w:jc w:val="center"/>
              <w:rPr>
                <w:sz w:val="18"/>
                <w:szCs w:val="18"/>
              </w:rPr>
            </w:pPr>
            <w:r>
              <w:rPr>
                <w:sz w:val="18"/>
                <w:szCs w:val="18"/>
              </w:rPr>
              <w:t>万吨</w:t>
            </w:r>
          </w:p>
          <w:p w14:paraId="71FA8A09">
            <w:pPr>
              <w:spacing w:line="320" w:lineRule="exact"/>
              <w:jc w:val="center"/>
              <w:rPr>
                <w:sz w:val="18"/>
                <w:szCs w:val="18"/>
              </w:rPr>
            </w:pPr>
            <w:r>
              <w:rPr>
                <w:sz w:val="18"/>
                <w:szCs w:val="18"/>
              </w:rPr>
              <w:t>吨</w:t>
            </w:r>
          </w:p>
          <w:p w14:paraId="341E1AA9">
            <w:pPr>
              <w:spacing w:line="320" w:lineRule="exact"/>
              <w:jc w:val="center"/>
              <w:rPr>
                <w:sz w:val="18"/>
                <w:szCs w:val="18"/>
              </w:rPr>
            </w:pPr>
            <w:r>
              <w:rPr>
                <w:sz w:val="18"/>
                <w:szCs w:val="18"/>
              </w:rPr>
              <w:t>吨</w:t>
            </w:r>
          </w:p>
          <w:p w14:paraId="58F8EA72">
            <w:pPr>
              <w:spacing w:line="320" w:lineRule="exact"/>
              <w:jc w:val="center"/>
              <w:rPr>
                <w:sz w:val="18"/>
                <w:szCs w:val="18"/>
              </w:rPr>
            </w:pPr>
            <w:r>
              <w:rPr>
                <w:sz w:val="18"/>
                <w:szCs w:val="18"/>
              </w:rPr>
              <w:t>吨</w:t>
            </w:r>
          </w:p>
          <w:p w14:paraId="2A1C391B">
            <w:pPr>
              <w:spacing w:line="320" w:lineRule="exact"/>
              <w:jc w:val="center"/>
              <w:rPr>
                <w:sz w:val="18"/>
                <w:szCs w:val="18"/>
              </w:rPr>
            </w:pPr>
            <w:r>
              <w:rPr>
                <w:sz w:val="18"/>
                <w:szCs w:val="18"/>
              </w:rPr>
              <w:t>吨</w:t>
            </w:r>
          </w:p>
          <w:p w14:paraId="35DE831D">
            <w:pPr>
              <w:spacing w:line="320" w:lineRule="exact"/>
              <w:jc w:val="center"/>
              <w:rPr>
                <w:sz w:val="18"/>
                <w:szCs w:val="18"/>
              </w:rPr>
            </w:pPr>
            <w:r>
              <w:rPr>
                <w:sz w:val="18"/>
                <w:szCs w:val="18"/>
              </w:rPr>
              <w:t>万千瓦时</w:t>
            </w:r>
          </w:p>
        </w:tc>
        <w:tc>
          <w:tcPr>
            <w:tcW w:w="1114" w:type="dxa"/>
            <w:tcBorders>
              <w:top w:val="single" w:color="auto" w:sz="2" w:space="0"/>
              <w:left w:val="single" w:color="auto" w:sz="2" w:space="0"/>
              <w:bottom w:val="single" w:color="auto" w:sz="8" w:space="0"/>
              <w:right w:val="single" w:color="auto" w:sz="2" w:space="0"/>
            </w:tcBorders>
            <w:vAlign w:val="center"/>
          </w:tcPr>
          <w:p w14:paraId="7D87B541">
            <w:pPr>
              <w:spacing w:line="320" w:lineRule="exact"/>
              <w:ind w:right="4"/>
              <w:jc w:val="center"/>
              <w:rPr>
                <w:sz w:val="18"/>
                <w:szCs w:val="18"/>
              </w:rPr>
            </w:pPr>
            <w:r>
              <w:rPr>
                <w:sz w:val="18"/>
                <w:szCs w:val="18"/>
              </w:rPr>
              <w:t>01</w:t>
            </w:r>
          </w:p>
          <w:p w14:paraId="0AC94373">
            <w:pPr>
              <w:spacing w:line="320" w:lineRule="exact"/>
              <w:ind w:right="4"/>
              <w:jc w:val="center"/>
              <w:rPr>
                <w:sz w:val="18"/>
                <w:szCs w:val="18"/>
              </w:rPr>
            </w:pPr>
            <w:r>
              <w:rPr>
                <w:sz w:val="18"/>
                <w:szCs w:val="18"/>
              </w:rPr>
              <w:t>02</w:t>
            </w:r>
          </w:p>
          <w:p w14:paraId="445BE147">
            <w:pPr>
              <w:spacing w:line="320" w:lineRule="exact"/>
              <w:ind w:right="4"/>
              <w:jc w:val="center"/>
              <w:rPr>
                <w:sz w:val="18"/>
                <w:szCs w:val="18"/>
              </w:rPr>
            </w:pPr>
            <w:r>
              <w:rPr>
                <w:sz w:val="18"/>
                <w:szCs w:val="18"/>
              </w:rPr>
              <w:t>03</w:t>
            </w:r>
          </w:p>
          <w:p w14:paraId="30AD677C">
            <w:pPr>
              <w:spacing w:line="320" w:lineRule="exact"/>
              <w:ind w:right="4"/>
              <w:jc w:val="center"/>
              <w:rPr>
                <w:sz w:val="18"/>
                <w:szCs w:val="18"/>
              </w:rPr>
            </w:pPr>
            <w:r>
              <w:rPr>
                <w:sz w:val="18"/>
                <w:szCs w:val="18"/>
              </w:rPr>
              <w:t>04</w:t>
            </w:r>
          </w:p>
          <w:p w14:paraId="03302C91">
            <w:pPr>
              <w:spacing w:line="320" w:lineRule="exact"/>
              <w:ind w:right="4"/>
              <w:jc w:val="center"/>
              <w:rPr>
                <w:sz w:val="18"/>
                <w:szCs w:val="18"/>
              </w:rPr>
            </w:pPr>
            <w:r>
              <w:rPr>
                <w:sz w:val="18"/>
                <w:szCs w:val="18"/>
              </w:rPr>
              <w:t>05</w:t>
            </w:r>
          </w:p>
          <w:p w14:paraId="3B6B78C6">
            <w:pPr>
              <w:spacing w:line="320" w:lineRule="exact"/>
              <w:ind w:right="4"/>
              <w:jc w:val="center"/>
              <w:rPr>
                <w:sz w:val="18"/>
                <w:szCs w:val="18"/>
              </w:rPr>
            </w:pPr>
            <w:r>
              <w:rPr>
                <w:sz w:val="18"/>
                <w:szCs w:val="18"/>
              </w:rPr>
              <w:t>06</w:t>
            </w:r>
          </w:p>
        </w:tc>
        <w:tc>
          <w:tcPr>
            <w:tcW w:w="4935" w:type="dxa"/>
            <w:gridSpan w:val="3"/>
            <w:tcBorders>
              <w:top w:val="single" w:color="auto" w:sz="2" w:space="0"/>
              <w:left w:val="single" w:color="auto" w:sz="2" w:space="0"/>
              <w:bottom w:val="single" w:color="auto" w:sz="8" w:space="0"/>
              <w:right w:val="nil"/>
            </w:tcBorders>
            <w:vAlign w:val="center"/>
          </w:tcPr>
          <w:p w14:paraId="2CB0F796">
            <w:pPr>
              <w:pStyle w:val="14"/>
              <w:pBdr>
                <w:bottom w:val="none" w:color="auto" w:sz="0" w:space="0"/>
              </w:pBdr>
              <w:tabs>
                <w:tab w:val="clear" w:pos="4153"/>
                <w:tab w:val="clear" w:pos="8306"/>
              </w:tabs>
              <w:snapToGrid/>
            </w:pPr>
          </w:p>
        </w:tc>
      </w:tr>
    </w:tbl>
    <w:p w14:paraId="0BA6EB4E">
      <w:pPr>
        <w:spacing w:line="280" w:lineRule="exact"/>
        <w:ind w:right="-38"/>
        <w:rPr>
          <w:sz w:val="18"/>
        </w:rPr>
      </w:pPr>
      <w:r>
        <w:rPr>
          <w:sz w:val="18"/>
        </w:rPr>
        <w:t>单位负责人：             统计负责人：         填表人：          联系电话：       报出日期：２０　年　月　日</w:t>
      </w:r>
    </w:p>
    <w:p w14:paraId="323E70E4">
      <w:pPr>
        <w:ind w:right="-38"/>
        <w:rPr>
          <w:sz w:val="18"/>
          <w:szCs w:val="18"/>
        </w:rPr>
      </w:pPr>
    </w:p>
    <w:p w14:paraId="46D5739B">
      <w:pPr>
        <w:spacing w:line="320" w:lineRule="exact"/>
        <w:ind w:right="-38"/>
        <w:rPr>
          <w:sz w:val="18"/>
        </w:rPr>
      </w:pPr>
      <w:r>
        <w:rPr>
          <w:sz w:val="18"/>
          <w:szCs w:val="18"/>
        </w:rPr>
        <w:t>说明：</w:t>
      </w:r>
      <w:r>
        <w:rPr>
          <w:sz w:val="18"/>
        </w:rPr>
        <w:t>1.</w:t>
      </w:r>
      <w:r>
        <w:rPr>
          <w:sz w:val="18"/>
          <w:szCs w:val="18"/>
        </w:rPr>
        <w:t>统</w:t>
      </w:r>
      <w:r>
        <w:rPr>
          <w:sz w:val="18"/>
        </w:rPr>
        <w:t>计范围：航空运输企业，不包括部门所管理的工业、建筑业等企业及行政、事业单位。</w:t>
      </w:r>
    </w:p>
    <w:p w14:paraId="6034612E">
      <w:pPr>
        <w:spacing w:line="320" w:lineRule="exact"/>
        <w:ind w:right="-38" w:firstLine="540" w:firstLineChars="300"/>
        <w:rPr>
          <w:sz w:val="18"/>
        </w:rPr>
      </w:pPr>
      <w:r>
        <w:rPr>
          <w:sz w:val="18"/>
        </w:rPr>
        <w:t>2.报送时间为次年3月31日前。</w:t>
      </w:r>
    </w:p>
    <w:p w14:paraId="56031605">
      <w:pPr>
        <w:spacing w:line="320" w:lineRule="exact"/>
        <w:ind w:right="-38" w:firstLine="960" w:firstLineChars="300"/>
        <w:rPr>
          <w:sz w:val="32"/>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4255CD84">
      <w:pPr>
        <w:spacing w:before="480" w:beforeLines="200" w:after="240" w:afterLines="100"/>
        <w:jc w:val="center"/>
        <w:outlineLvl w:val="2"/>
        <w:rPr>
          <w:sz w:val="32"/>
          <w:szCs w:val="32"/>
        </w:rPr>
      </w:pPr>
      <w:r>
        <w:rPr>
          <w:sz w:val="32"/>
          <w:szCs w:val="32"/>
        </w:rPr>
        <w:t>公路、水上运输企业主要能源消费与库存</w:t>
      </w:r>
    </w:p>
    <w:tbl>
      <w:tblPr>
        <w:tblStyle w:val="20"/>
        <w:tblW w:w="9445" w:type="dxa"/>
        <w:jc w:val="center"/>
        <w:tblLayout w:type="autofit"/>
        <w:tblCellMar>
          <w:top w:w="0" w:type="dxa"/>
          <w:left w:w="0" w:type="dxa"/>
          <w:bottom w:w="0" w:type="dxa"/>
          <w:right w:w="0" w:type="dxa"/>
        </w:tblCellMar>
      </w:tblPr>
      <w:tblGrid>
        <w:gridCol w:w="3587"/>
        <w:gridCol w:w="608"/>
        <w:gridCol w:w="2468"/>
        <w:gridCol w:w="850"/>
        <w:gridCol w:w="1932"/>
      </w:tblGrid>
      <w:tr w14:paraId="53ED1FDF">
        <w:tblPrEx>
          <w:tblCellMar>
            <w:top w:w="0" w:type="dxa"/>
            <w:left w:w="0" w:type="dxa"/>
            <w:bottom w:w="0" w:type="dxa"/>
            <w:right w:w="0" w:type="dxa"/>
          </w:tblCellMar>
        </w:tblPrEx>
        <w:trPr>
          <w:jc w:val="center"/>
        </w:trPr>
        <w:tc>
          <w:tcPr>
            <w:tcW w:w="3587" w:type="dxa"/>
          </w:tcPr>
          <w:p w14:paraId="329215C9">
            <w:pPr>
              <w:spacing w:line="260" w:lineRule="exact"/>
              <w:rPr>
                <w:sz w:val="18"/>
                <w:szCs w:val="18"/>
              </w:rPr>
            </w:pPr>
          </w:p>
        </w:tc>
        <w:tc>
          <w:tcPr>
            <w:tcW w:w="608" w:type="dxa"/>
          </w:tcPr>
          <w:p w14:paraId="59AF318A">
            <w:pPr>
              <w:spacing w:line="260" w:lineRule="exact"/>
              <w:rPr>
                <w:sz w:val="18"/>
                <w:szCs w:val="18"/>
              </w:rPr>
            </w:pPr>
          </w:p>
        </w:tc>
        <w:tc>
          <w:tcPr>
            <w:tcW w:w="2468" w:type="dxa"/>
          </w:tcPr>
          <w:p w14:paraId="312A4DF3">
            <w:pPr>
              <w:spacing w:line="260" w:lineRule="exact"/>
              <w:rPr>
                <w:sz w:val="18"/>
                <w:szCs w:val="18"/>
              </w:rPr>
            </w:pPr>
            <w:r>
              <w:rPr>
                <w:sz w:val="18"/>
                <w:szCs w:val="18"/>
              </w:rPr>
              <w:t>　　　　　　　　　　　　　</w:t>
            </w:r>
          </w:p>
        </w:tc>
        <w:tc>
          <w:tcPr>
            <w:tcW w:w="850" w:type="dxa"/>
            <w:tcMar>
              <w:left w:w="0" w:type="dxa"/>
              <w:right w:w="0" w:type="dxa"/>
            </w:tcMar>
          </w:tcPr>
          <w:p w14:paraId="048809F4">
            <w:pPr>
              <w:spacing w:line="260" w:lineRule="exact"/>
              <w:rPr>
                <w:sz w:val="18"/>
                <w:szCs w:val="18"/>
              </w:rPr>
            </w:pPr>
            <w:r>
              <w:rPr>
                <w:sz w:val="18"/>
                <w:szCs w:val="18"/>
              </w:rPr>
              <w:t>表    号：</w:t>
            </w:r>
          </w:p>
        </w:tc>
        <w:tc>
          <w:tcPr>
            <w:tcW w:w="1932" w:type="dxa"/>
            <w:vAlign w:val="center"/>
          </w:tcPr>
          <w:p w14:paraId="6521EA5C">
            <w:pPr>
              <w:spacing w:line="260" w:lineRule="exact"/>
              <w:jc w:val="distribute"/>
              <w:rPr>
                <w:sz w:val="18"/>
                <w:szCs w:val="18"/>
              </w:rPr>
            </w:pPr>
            <w:r>
              <w:rPr>
                <w:sz w:val="18"/>
                <w:szCs w:val="18"/>
              </w:rPr>
              <w:t>ＪＴ３２</w:t>
            </w:r>
            <w:r>
              <w:rPr>
                <w:rFonts w:hint="eastAsia"/>
                <w:sz w:val="18"/>
                <w:szCs w:val="18"/>
              </w:rPr>
              <w:t>０</w:t>
            </w:r>
            <w:r>
              <w:rPr>
                <w:sz w:val="18"/>
                <w:szCs w:val="18"/>
              </w:rPr>
              <w:t>表</w:t>
            </w:r>
          </w:p>
        </w:tc>
      </w:tr>
      <w:tr w14:paraId="3BC52776">
        <w:tblPrEx>
          <w:tblCellMar>
            <w:top w:w="0" w:type="dxa"/>
            <w:left w:w="0" w:type="dxa"/>
            <w:bottom w:w="0" w:type="dxa"/>
            <w:right w:w="0" w:type="dxa"/>
          </w:tblCellMar>
        </w:tblPrEx>
        <w:trPr>
          <w:jc w:val="center"/>
        </w:trPr>
        <w:tc>
          <w:tcPr>
            <w:tcW w:w="3587" w:type="dxa"/>
          </w:tcPr>
          <w:p w14:paraId="28CB5AEC">
            <w:pPr>
              <w:spacing w:line="260" w:lineRule="exact"/>
              <w:rPr>
                <w:sz w:val="18"/>
                <w:szCs w:val="18"/>
              </w:rPr>
            </w:pPr>
          </w:p>
        </w:tc>
        <w:tc>
          <w:tcPr>
            <w:tcW w:w="608" w:type="dxa"/>
          </w:tcPr>
          <w:p w14:paraId="0DAE5C90">
            <w:pPr>
              <w:spacing w:line="260" w:lineRule="exact"/>
              <w:rPr>
                <w:sz w:val="18"/>
                <w:szCs w:val="18"/>
              </w:rPr>
            </w:pPr>
          </w:p>
        </w:tc>
        <w:tc>
          <w:tcPr>
            <w:tcW w:w="2468" w:type="dxa"/>
          </w:tcPr>
          <w:p w14:paraId="23042D99">
            <w:pPr>
              <w:spacing w:line="260" w:lineRule="exact"/>
              <w:rPr>
                <w:sz w:val="18"/>
                <w:szCs w:val="18"/>
              </w:rPr>
            </w:pPr>
          </w:p>
        </w:tc>
        <w:tc>
          <w:tcPr>
            <w:tcW w:w="850" w:type="dxa"/>
            <w:tcMar>
              <w:left w:w="0" w:type="dxa"/>
              <w:right w:w="0" w:type="dxa"/>
            </w:tcMar>
            <w:vAlign w:val="center"/>
          </w:tcPr>
          <w:p w14:paraId="274537A1">
            <w:pPr>
              <w:spacing w:line="260" w:lineRule="exact"/>
              <w:rPr>
                <w:sz w:val="18"/>
                <w:szCs w:val="18"/>
              </w:rPr>
            </w:pPr>
            <w:r>
              <w:rPr>
                <w:sz w:val="18"/>
                <w:szCs w:val="18"/>
              </w:rPr>
              <w:t>制定机关：</w:t>
            </w:r>
          </w:p>
        </w:tc>
        <w:tc>
          <w:tcPr>
            <w:tcW w:w="1932" w:type="dxa"/>
            <w:vAlign w:val="center"/>
          </w:tcPr>
          <w:p w14:paraId="05B4BDE5">
            <w:pPr>
              <w:spacing w:line="260" w:lineRule="exact"/>
              <w:jc w:val="distribute"/>
              <w:rPr>
                <w:sz w:val="18"/>
                <w:szCs w:val="18"/>
              </w:rPr>
            </w:pPr>
            <w:r>
              <w:rPr>
                <w:sz w:val="18"/>
                <w:szCs w:val="18"/>
              </w:rPr>
              <w:t>国 家 统 计 局</w:t>
            </w:r>
          </w:p>
        </w:tc>
      </w:tr>
      <w:tr w14:paraId="5097F301">
        <w:tblPrEx>
          <w:tblCellMar>
            <w:top w:w="0" w:type="dxa"/>
            <w:left w:w="0" w:type="dxa"/>
            <w:bottom w:w="0" w:type="dxa"/>
            <w:right w:w="0" w:type="dxa"/>
          </w:tblCellMar>
        </w:tblPrEx>
        <w:trPr>
          <w:jc w:val="center"/>
        </w:trPr>
        <w:tc>
          <w:tcPr>
            <w:tcW w:w="3587" w:type="dxa"/>
          </w:tcPr>
          <w:p w14:paraId="33776487">
            <w:pPr>
              <w:spacing w:line="260" w:lineRule="exact"/>
              <w:jc w:val="left"/>
              <w:rPr>
                <w:sz w:val="18"/>
                <w:szCs w:val="18"/>
              </w:rPr>
            </w:pPr>
          </w:p>
        </w:tc>
        <w:tc>
          <w:tcPr>
            <w:tcW w:w="608" w:type="dxa"/>
          </w:tcPr>
          <w:p w14:paraId="0709010D">
            <w:pPr>
              <w:spacing w:line="260" w:lineRule="exact"/>
              <w:rPr>
                <w:sz w:val="18"/>
                <w:szCs w:val="18"/>
              </w:rPr>
            </w:pPr>
          </w:p>
        </w:tc>
        <w:tc>
          <w:tcPr>
            <w:tcW w:w="2468" w:type="dxa"/>
          </w:tcPr>
          <w:p w14:paraId="0EEEE00B">
            <w:pPr>
              <w:spacing w:line="260" w:lineRule="exact"/>
              <w:rPr>
                <w:sz w:val="18"/>
                <w:szCs w:val="18"/>
              </w:rPr>
            </w:pPr>
          </w:p>
        </w:tc>
        <w:tc>
          <w:tcPr>
            <w:tcW w:w="850" w:type="dxa"/>
            <w:tcMar>
              <w:left w:w="0" w:type="dxa"/>
              <w:right w:w="0" w:type="dxa"/>
            </w:tcMar>
            <w:vAlign w:val="center"/>
          </w:tcPr>
          <w:p w14:paraId="6330D75E">
            <w:pPr>
              <w:spacing w:line="260" w:lineRule="exact"/>
              <w:rPr>
                <w:sz w:val="18"/>
                <w:szCs w:val="18"/>
              </w:rPr>
            </w:pPr>
            <w:r>
              <w:rPr>
                <w:sz w:val="18"/>
                <w:szCs w:val="18"/>
              </w:rPr>
              <w:t>文    号：</w:t>
            </w:r>
          </w:p>
        </w:tc>
        <w:tc>
          <w:tcPr>
            <w:tcW w:w="1932" w:type="dxa"/>
            <w:vAlign w:val="center"/>
          </w:tcPr>
          <w:p w14:paraId="1B827149">
            <w:pPr>
              <w:spacing w:line="260" w:lineRule="exact"/>
              <w:jc w:val="distribute"/>
              <w:rPr>
                <w:rFonts w:ascii="宋体" w:hAnsi="宋体"/>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76" w:author="kylin" w:date="2025-10-17T16:21:22Z">
              <w:r>
                <w:rPr>
                  <w:rFonts w:hint="default" w:ascii="宋体" w:hAnsi="宋体"/>
                  <w:spacing w:val="-16"/>
                  <w:sz w:val="18"/>
                  <w:szCs w:val="18"/>
                  <w:lang w:val="en-US" w:eastAsia="zh-CN"/>
                </w:rPr>
                <w:delText>４</w:delText>
              </w:r>
            </w:del>
            <w:ins w:id="377" w:author="kylin" w:date="2025-10-17T16:21:22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78" w:author="kylin" w:date="2025-10-17T16:21:25Z">
              <w:r>
                <w:rPr>
                  <w:rFonts w:hint="default" w:ascii="宋体" w:hAnsi="宋体"/>
                  <w:spacing w:val="-16"/>
                  <w:sz w:val="18"/>
                  <w:szCs w:val="18"/>
                  <w:lang w:val="en-US" w:eastAsia="zh-CN"/>
                </w:rPr>
                <w:delText>77</w:delText>
              </w:r>
            </w:del>
            <w:ins w:id="379" w:author="kylin" w:date="2025-10-17T16:21:25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30499FD1">
        <w:tblPrEx>
          <w:tblCellMar>
            <w:top w:w="0" w:type="dxa"/>
            <w:left w:w="0" w:type="dxa"/>
            <w:bottom w:w="0" w:type="dxa"/>
            <w:right w:w="0" w:type="dxa"/>
          </w:tblCellMar>
        </w:tblPrEx>
        <w:trPr>
          <w:jc w:val="center"/>
        </w:trPr>
        <w:tc>
          <w:tcPr>
            <w:tcW w:w="3587" w:type="dxa"/>
          </w:tcPr>
          <w:p w14:paraId="4F1834A7">
            <w:pPr>
              <w:spacing w:line="260" w:lineRule="exact"/>
              <w:rPr>
                <w:sz w:val="18"/>
                <w:szCs w:val="18"/>
              </w:rPr>
            </w:pPr>
            <w:r>
              <w:rPr>
                <w:sz w:val="18"/>
              </w:rPr>
              <w:t>综合机关名称：</w:t>
            </w:r>
            <w:r>
              <w:rPr>
                <w:sz w:val="18"/>
                <w:szCs w:val="18"/>
              </w:rPr>
              <w:t>交通运输部</w:t>
            </w:r>
          </w:p>
        </w:tc>
        <w:tc>
          <w:tcPr>
            <w:tcW w:w="608" w:type="dxa"/>
          </w:tcPr>
          <w:p w14:paraId="0DCABA79">
            <w:pPr>
              <w:spacing w:line="260" w:lineRule="exact"/>
              <w:rPr>
                <w:sz w:val="18"/>
                <w:szCs w:val="18"/>
              </w:rPr>
            </w:pPr>
          </w:p>
        </w:tc>
        <w:tc>
          <w:tcPr>
            <w:tcW w:w="2468" w:type="dxa"/>
          </w:tcPr>
          <w:p w14:paraId="0DB28682">
            <w:pPr>
              <w:spacing w:line="260" w:lineRule="exact"/>
              <w:rPr>
                <w:sz w:val="18"/>
                <w:szCs w:val="18"/>
              </w:rPr>
            </w:pPr>
            <w:r>
              <w:rPr>
                <w:sz w:val="18"/>
                <w:szCs w:val="18"/>
              </w:rPr>
              <w:t>２０　　年　　　　　　　　　</w:t>
            </w:r>
          </w:p>
        </w:tc>
        <w:tc>
          <w:tcPr>
            <w:tcW w:w="850" w:type="dxa"/>
            <w:tcMar>
              <w:left w:w="0" w:type="dxa"/>
              <w:right w:w="0" w:type="dxa"/>
            </w:tcMar>
            <w:vAlign w:val="center"/>
          </w:tcPr>
          <w:p w14:paraId="15213F5F">
            <w:pPr>
              <w:spacing w:line="260" w:lineRule="exact"/>
              <w:rPr>
                <w:sz w:val="18"/>
                <w:szCs w:val="18"/>
              </w:rPr>
            </w:pPr>
            <w:r>
              <w:rPr>
                <w:sz w:val="18"/>
                <w:szCs w:val="18"/>
              </w:rPr>
              <w:t>有效期至：</w:t>
            </w:r>
          </w:p>
        </w:tc>
        <w:tc>
          <w:tcPr>
            <w:tcW w:w="1932" w:type="dxa"/>
            <w:vAlign w:val="center"/>
          </w:tcPr>
          <w:p w14:paraId="22FFF297">
            <w:pPr>
              <w:spacing w:line="260" w:lineRule="exact"/>
              <w:jc w:val="distribute"/>
              <w:rPr>
                <w:rFonts w:hint="default"/>
                <w:sz w:val="18"/>
                <w:szCs w:val="18"/>
                <w:lang w:val="en"/>
              </w:rPr>
            </w:pPr>
            <w:r>
              <w:rPr>
                <w:sz w:val="18"/>
                <w:szCs w:val="18"/>
                <w:lang w:val="en"/>
              </w:rPr>
              <w:t>２０２</w:t>
            </w:r>
            <w:del w:id="380" w:author="kylin" w:date="2025-10-17T16:21:26Z">
              <w:r>
                <w:rPr>
                  <w:rFonts w:hint="default"/>
                  <w:kern w:val="0"/>
                  <w:sz w:val="18"/>
                  <w:szCs w:val="18"/>
                  <w:lang w:val="en-US"/>
                </w:rPr>
                <w:delText>５</w:delText>
              </w:r>
            </w:del>
            <w:ins w:id="381" w:author="kylin" w:date="2025-10-17T16:21:26Z">
              <w:r>
                <w:rPr>
                  <w:rFonts w:hint="eastAsia"/>
                  <w:kern w:val="0"/>
                  <w:sz w:val="18"/>
                  <w:szCs w:val="18"/>
                  <w:lang w:val="en-US" w:eastAsia="zh-CN"/>
                </w:rPr>
                <w:t>6</w:t>
              </w:r>
            </w:ins>
            <w:r>
              <w:rPr>
                <w:sz w:val="18"/>
                <w:szCs w:val="18"/>
                <w:lang w:val="en"/>
              </w:rPr>
              <w:t>年６月</w:t>
            </w:r>
          </w:p>
        </w:tc>
      </w:tr>
    </w:tbl>
    <w:p w14:paraId="0FAD4A3D">
      <w:pPr>
        <w:spacing w:line="20" w:lineRule="exact"/>
        <w:jc w:val="center"/>
        <w:rPr>
          <w:sz w:val="18"/>
        </w:rPr>
      </w:pPr>
    </w:p>
    <w:tbl>
      <w:tblPr>
        <w:tblStyle w:val="2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48"/>
        <w:gridCol w:w="910"/>
        <w:gridCol w:w="910"/>
        <w:gridCol w:w="1120"/>
        <w:gridCol w:w="1121"/>
        <w:gridCol w:w="1152"/>
        <w:gridCol w:w="1152"/>
        <w:gridCol w:w="1090"/>
      </w:tblGrid>
      <w:tr w14:paraId="18A5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948" w:type="dxa"/>
            <w:vMerge w:val="restart"/>
            <w:tcBorders>
              <w:top w:val="single" w:color="auto" w:sz="8" w:space="0"/>
              <w:left w:val="nil"/>
              <w:bottom w:val="single" w:color="auto" w:sz="2" w:space="0"/>
              <w:right w:val="single" w:color="auto" w:sz="2" w:space="0"/>
            </w:tcBorders>
            <w:vAlign w:val="center"/>
          </w:tcPr>
          <w:p w14:paraId="1B8D6B09">
            <w:pPr>
              <w:ind w:right="-12"/>
              <w:jc w:val="center"/>
              <w:rPr>
                <w:sz w:val="18"/>
                <w:szCs w:val="18"/>
              </w:rPr>
            </w:pPr>
            <w:r>
              <w:rPr>
                <w:sz w:val="18"/>
                <w:szCs w:val="18"/>
              </w:rPr>
              <w:t>品      种</w:t>
            </w:r>
          </w:p>
        </w:tc>
        <w:tc>
          <w:tcPr>
            <w:tcW w:w="910" w:type="dxa"/>
            <w:vMerge w:val="restart"/>
            <w:tcBorders>
              <w:top w:val="single" w:color="auto" w:sz="8" w:space="0"/>
              <w:left w:val="single" w:color="auto" w:sz="2" w:space="0"/>
              <w:bottom w:val="single" w:color="auto" w:sz="2" w:space="0"/>
              <w:right w:val="single" w:color="auto" w:sz="2" w:space="0"/>
            </w:tcBorders>
            <w:vAlign w:val="center"/>
          </w:tcPr>
          <w:p w14:paraId="2E9C049E">
            <w:pPr>
              <w:ind w:right="-12"/>
              <w:jc w:val="center"/>
              <w:rPr>
                <w:sz w:val="18"/>
                <w:szCs w:val="18"/>
              </w:rPr>
            </w:pPr>
            <w:r>
              <w:rPr>
                <w:sz w:val="18"/>
                <w:szCs w:val="18"/>
              </w:rPr>
              <w:t>计量</w:t>
            </w:r>
            <w:r>
              <w:rPr>
                <w:rFonts w:hint="eastAsia"/>
                <w:sz w:val="18"/>
                <w:szCs w:val="18"/>
              </w:rPr>
              <w:br w:type="textWrapping"/>
            </w:r>
            <w:r>
              <w:rPr>
                <w:sz w:val="18"/>
                <w:szCs w:val="18"/>
              </w:rPr>
              <w:t>单位</w:t>
            </w:r>
          </w:p>
        </w:tc>
        <w:tc>
          <w:tcPr>
            <w:tcW w:w="910" w:type="dxa"/>
            <w:vMerge w:val="restart"/>
            <w:tcBorders>
              <w:top w:val="single" w:color="auto" w:sz="8" w:space="0"/>
              <w:left w:val="single" w:color="auto" w:sz="2" w:space="0"/>
              <w:bottom w:val="single" w:color="auto" w:sz="2" w:space="0"/>
              <w:right w:val="single" w:color="auto" w:sz="2" w:space="0"/>
            </w:tcBorders>
            <w:vAlign w:val="center"/>
          </w:tcPr>
          <w:p w14:paraId="7DCD12F5">
            <w:pPr>
              <w:ind w:right="-12"/>
              <w:jc w:val="center"/>
              <w:rPr>
                <w:sz w:val="18"/>
                <w:szCs w:val="18"/>
              </w:rPr>
            </w:pPr>
            <w:r>
              <w:rPr>
                <w:sz w:val="18"/>
                <w:szCs w:val="18"/>
              </w:rPr>
              <w:t>代码</w:t>
            </w:r>
          </w:p>
        </w:tc>
        <w:tc>
          <w:tcPr>
            <w:tcW w:w="1120" w:type="dxa"/>
            <w:vMerge w:val="restart"/>
            <w:tcBorders>
              <w:top w:val="single" w:color="auto" w:sz="8" w:space="0"/>
              <w:left w:val="single" w:color="auto" w:sz="2" w:space="0"/>
              <w:bottom w:val="single" w:color="auto" w:sz="2" w:space="0"/>
              <w:right w:val="single" w:color="auto" w:sz="2" w:space="0"/>
            </w:tcBorders>
            <w:vAlign w:val="center"/>
          </w:tcPr>
          <w:p w14:paraId="3BB8A3EA">
            <w:pPr>
              <w:jc w:val="center"/>
              <w:rPr>
                <w:sz w:val="18"/>
                <w:szCs w:val="18"/>
              </w:rPr>
            </w:pPr>
            <w:r>
              <w:rPr>
                <w:sz w:val="18"/>
                <w:szCs w:val="18"/>
              </w:rPr>
              <w:t>期  初</w:t>
            </w:r>
          </w:p>
          <w:p w14:paraId="6F6DC75E">
            <w:pPr>
              <w:jc w:val="center"/>
              <w:rPr>
                <w:sz w:val="18"/>
                <w:szCs w:val="18"/>
              </w:rPr>
            </w:pPr>
            <w:r>
              <w:rPr>
                <w:sz w:val="18"/>
                <w:szCs w:val="18"/>
              </w:rPr>
              <w:t>库存量</w:t>
            </w:r>
          </w:p>
        </w:tc>
        <w:tc>
          <w:tcPr>
            <w:tcW w:w="1121" w:type="dxa"/>
            <w:vMerge w:val="restart"/>
            <w:tcBorders>
              <w:top w:val="single" w:color="auto" w:sz="8" w:space="0"/>
              <w:left w:val="single" w:color="auto" w:sz="2" w:space="0"/>
              <w:bottom w:val="single" w:color="auto" w:sz="2" w:space="0"/>
              <w:right w:val="nil"/>
            </w:tcBorders>
            <w:vAlign w:val="center"/>
          </w:tcPr>
          <w:p w14:paraId="5EE4F972">
            <w:pPr>
              <w:jc w:val="center"/>
              <w:rPr>
                <w:sz w:val="18"/>
                <w:szCs w:val="18"/>
              </w:rPr>
            </w:pPr>
            <w:r>
              <w:rPr>
                <w:sz w:val="18"/>
                <w:szCs w:val="18"/>
              </w:rPr>
              <w:t>本  年</w:t>
            </w:r>
          </w:p>
          <w:p w14:paraId="4ED3F4D2">
            <w:pPr>
              <w:jc w:val="center"/>
              <w:rPr>
                <w:sz w:val="18"/>
                <w:szCs w:val="18"/>
              </w:rPr>
            </w:pPr>
            <w:r>
              <w:rPr>
                <w:sz w:val="18"/>
                <w:szCs w:val="18"/>
              </w:rPr>
              <w:t>消费量</w:t>
            </w:r>
          </w:p>
        </w:tc>
        <w:tc>
          <w:tcPr>
            <w:tcW w:w="2304" w:type="dxa"/>
            <w:gridSpan w:val="2"/>
            <w:tcBorders>
              <w:top w:val="single" w:color="auto" w:sz="8" w:space="0"/>
              <w:left w:val="nil"/>
              <w:bottom w:val="single" w:color="auto" w:sz="2" w:space="0"/>
              <w:right w:val="single" w:color="auto" w:sz="2" w:space="0"/>
            </w:tcBorders>
            <w:vAlign w:val="center"/>
          </w:tcPr>
          <w:p w14:paraId="15BCDE29">
            <w:pPr>
              <w:jc w:val="center"/>
              <w:rPr>
                <w:sz w:val="18"/>
                <w:szCs w:val="18"/>
              </w:rPr>
            </w:pPr>
          </w:p>
        </w:tc>
        <w:tc>
          <w:tcPr>
            <w:tcW w:w="1090" w:type="dxa"/>
            <w:vMerge w:val="restart"/>
            <w:tcBorders>
              <w:top w:val="single" w:color="auto" w:sz="8" w:space="0"/>
              <w:left w:val="single" w:color="auto" w:sz="2" w:space="0"/>
              <w:bottom w:val="single" w:color="auto" w:sz="2" w:space="0"/>
              <w:right w:val="nil"/>
            </w:tcBorders>
            <w:vAlign w:val="center"/>
          </w:tcPr>
          <w:p w14:paraId="557F6AFA">
            <w:pPr>
              <w:jc w:val="center"/>
              <w:rPr>
                <w:sz w:val="18"/>
                <w:szCs w:val="18"/>
              </w:rPr>
            </w:pPr>
            <w:r>
              <w:rPr>
                <w:sz w:val="18"/>
                <w:szCs w:val="18"/>
              </w:rPr>
              <w:t>期  末</w:t>
            </w:r>
          </w:p>
          <w:p w14:paraId="07344A37">
            <w:pPr>
              <w:jc w:val="center"/>
              <w:rPr>
                <w:sz w:val="18"/>
                <w:szCs w:val="18"/>
              </w:rPr>
            </w:pPr>
            <w:r>
              <w:rPr>
                <w:sz w:val="18"/>
                <w:szCs w:val="18"/>
              </w:rPr>
              <w:t>库存量</w:t>
            </w:r>
          </w:p>
        </w:tc>
      </w:tr>
      <w:tr w14:paraId="01E2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948" w:type="dxa"/>
            <w:vMerge w:val="continue"/>
            <w:tcBorders>
              <w:top w:val="single" w:color="auto" w:sz="2" w:space="0"/>
              <w:left w:val="nil"/>
              <w:bottom w:val="single" w:color="auto" w:sz="2" w:space="0"/>
              <w:right w:val="single" w:color="auto" w:sz="2" w:space="0"/>
            </w:tcBorders>
            <w:vAlign w:val="center"/>
          </w:tcPr>
          <w:p w14:paraId="4CB971B3">
            <w:pPr>
              <w:widowControl/>
              <w:ind w:right="-12"/>
              <w:jc w:val="center"/>
              <w:rPr>
                <w:sz w:val="18"/>
                <w:szCs w:val="18"/>
              </w:rPr>
            </w:pPr>
          </w:p>
        </w:tc>
        <w:tc>
          <w:tcPr>
            <w:tcW w:w="910" w:type="dxa"/>
            <w:vMerge w:val="continue"/>
            <w:tcBorders>
              <w:top w:val="single" w:color="auto" w:sz="2" w:space="0"/>
              <w:left w:val="single" w:color="auto" w:sz="2" w:space="0"/>
              <w:bottom w:val="single" w:color="auto" w:sz="2" w:space="0"/>
              <w:right w:val="single" w:color="auto" w:sz="2" w:space="0"/>
            </w:tcBorders>
            <w:vAlign w:val="center"/>
          </w:tcPr>
          <w:p w14:paraId="29210289">
            <w:pPr>
              <w:widowControl/>
              <w:ind w:right="-12"/>
              <w:jc w:val="center"/>
              <w:rPr>
                <w:sz w:val="18"/>
                <w:szCs w:val="18"/>
              </w:rPr>
            </w:pPr>
          </w:p>
        </w:tc>
        <w:tc>
          <w:tcPr>
            <w:tcW w:w="910" w:type="dxa"/>
            <w:vMerge w:val="continue"/>
            <w:tcBorders>
              <w:top w:val="single" w:color="auto" w:sz="2" w:space="0"/>
              <w:left w:val="single" w:color="auto" w:sz="2" w:space="0"/>
              <w:bottom w:val="single" w:color="auto" w:sz="2" w:space="0"/>
              <w:right w:val="single" w:color="auto" w:sz="2" w:space="0"/>
            </w:tcBorders>
            <w:vAlign w:val="center"/>
          </w:tcPr>
          <w:p w14:paraId="4C970D1A">
            <w:pPr>
              <w:widowControl/>
              <w:ind w:right="-12"/>
              <w:jc w:val="center"/>
              <w:rPr>
                <w:sz w:val="18"/>
                <w:szCs w:val="18"/>
              </w:rPr>
            </w:pPr>
          </w:p>
        </w:tc>
        <w:tc>
          <w:tcPr>
            <w:tcW w:w="1120" w:type="dxa"/>
            <w:vMerge w:val="continue"/>
            <w:tcBorders>
              <w:top w:val="single" w:color="auto" w:sz="2" w:space="0"/>
              <w:left w:val="single" w:color="auto" w:sz="2" w:space="0"/>
              <w:bottom w:val="single" w:color="auto" w:sz="2" w:space="0"/>
              <w:right w:val="single" w:color="auto" w:sz="2" w:space="0"/>
            </w:tcBorders>
            <w:vAlign w:val="center"/>
          </w:tcPr>
          <w:p w14:paraId="3572FE35">
            <w:pPr>
              <w:widowControl/>
              <w:jc w:val="center"/>
              <w:rPr>
                <w:sz w:val="18"/>
                <w:szCs w:val="18"/>
              </w:rPr>
            </w:pPr>
          </w:p>
        </w:tc>
        <w:tc>
          <w:tcPr>
            <w:tcW w:w="1121" w:type="dxa"/>
            <w:vMerge w:val="continue"/>
            <w:tcBorders>
              <w:top w:val="single" w:color="auto" w:sz="2" w:space="0"/>
              <w:left w:val="single" w:color="auto" w:sz="2" w:space="0"/>
              <w:bottom w:val="single" w:color="auto" w:sz="2" w:space="0"/>
              <w:right w:val="single" w:color="auto" w:sz="2" w:space="0"/>
            </w:tcBorders>
            <w:vAlign w:val="center"/>
          </w:tcPr>
          <w:p w14:paraId="6277029A">
            <w:pPr>
              <w:widowControl/>
              <w:jc w:val="center"/>
              <w:rPr>
                <w:sz w:val="18"/>
                <w:szCs w:val="18"/>
              </w:rPr>
            </w:pPr>
          </w:p>
        </w:tc>
        <w:tc>
          <w:tcPr>
            <w:tcW w:w="1152" w:type="dxa"/>
            <w:tcBorders>
              <w:top w:val="single" w:color="auto" w:sz="2" w:space="0"/>
              <w:left w:val="single" w:color="auto" w:sz="2" w:space="0"/>
              <w:bottom w:val="single" w:color="auto" w:sz="2" w:space="0"/>
              <w:right w:val="single" w:color="auto" w:sz="2" w:space="0"/>
            </w:tcBorders>
            <w:vAlign w:val="center"/>
          </w:tcPr>
          <w:p w14:paraId="33C6F27B">
            <w:pPr>
              <w:jc w:val="center"/>
              <w:rPr>
                <w:sz w:val="18"/>
                <w:szCs w:val="18"/>
              </w:rPr>
            </w:pPr>
            <w:r>
              <w:rPr>
                <w:sz w:val="18"/>
                <w:szCs w:val="18"/>
              </w:rPr>
              <w:t>公路运输</w:t>
            </w:r>
          </w:p>
        </w:tc>
        <w:tc>
          <w:tcPr>
            <w:tcW w:w="1152" w:type="dxa"/>
            <w:tcBorders>
              <w:top w:val="single" w:color="auto" w:sz="2" w:space="0"/>
              <w:left w:val="single" w:color="auto" w:sz="2" w:space="0"/>
              <w:bottom w:val="single" w:color="auto" w:sz="2" w:space="0"/>
              <w:right w:val="single" w:color="auto" w:sz="2" w:space="0"/>
            </w:tcBorders>
            <w:vAlign w:val="center"/>
          </w:tcPr>
          <w:p w14:paraId="7070A87C">
            <w:pPr>
              <w:ind w:left="-59"/>
              <w:jc w:val="center"/>
              <w:rPr>
                <w:sz w:val="18"/>
                <w:szCs w:val="18"/>
              </w:rPr>
            </w:pPr>
            <w:r>
              <w:rPr>
                <w:sz w:val="18"/>
                <w:szCs w:val="18"/>
              </w:rPr>
              <w:t>水上运输</w:t>
            </w:r>
            <w:r>
              <w:rPr>
                <w:sz w:val="18"/>
                <w:szCs w:val="18"/>
              </w:rPr>
              <w:br w:type="textWrapping"/>
            </w:r>
            <w:r>
              <w:rPr>
                <w:sz w:val="18"/>
                <w:szCs w:val="18"/>
              </w:rPr>
              <w:t>和 港 口</w:t>
            </w:r>
          </w:p>
        </w:tc>
        <w:tc>
          <w:tcPr>
            <w:tcW w:w="1090" w:type="dxa"/>
            <w:vMerge w:val="continue"/>
            <w:tcBorders>
              <w:top w:val="single" w:color="auto" w:sz="2" w:space="0"/>
              <w:left w:val="single" w:color="auto" w:sz="2" w:space="0"/>
              <w:bottom w:val="single" w:color="auto" w:sz="2" w:space="0"/>
              <w:right w:val="nil"/>
            </w:tcBorders>
            <w:vAlign w:val="center"/>
          </w:tcPr>
          <w:p w14:paraId="37160667">
            <w:pPr>
              <w:widowControl/>
              <w:jc w:val="center"/>
              <w:rPr>
                <w:sz w:val="18"/>
                <w:szCs w:val="18"/>
              </w:rPr>
            </w:pPr>
          </w:p>
        </w:tc>
      </w:tr>
      <w:tr w14:paraId="31A5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 w:hRule="exact"/>
          <w:jc w:val="center"/>
        </w:trPr>
        <w:tc>
          <w:tcPr>
            <w:tcW w:w="1948" w:type="dxa"/>
            <w:tcBorders>
              <w:top w:val="single" w:color="auto" w:sz="2" w:space="0"/>
              <w:left w:val="nil"/>
              <w:bottom w:val="single" w:color="auto" w:sz="2" w:space="0"/>
              <w:right w:val="single" w:color="auto" w:sz="2" w:space="0"/>
            </w:tcBorders>
            <w:vAlign w:val="center"/>
          </w:tcPr>
          <w:p w14:paraId="3F9EDD64">
            <w:pPr>
              <w:spacing w:line="240" w:lineRule="atLeast"/>
              <w:ind w:right="0"/>
              <w:jc w:val="center"/>
              <w:textAlignment w:val="center"/>
              <w:rPr>
                <w:sz w:val="18"/>
                <w:szCs w:val="18"/>
              </w:rPr>
            </w:pPr>
            <w:r>
              <w:rPr>
                <w:sz w:val="18"/>
                <w:szCs w:val="18"/>
              </w:rPr>
              <w:t>甲</w:t>
            </w:r>
          </w:p>
        </w:tc>
        <w:tc>
          <w:tcPr>
            <w:tcW w:w="910" w:type="dxa"/>
            <w:tcBorders>
              <w:top w:val="single" w:color="auto" w:sz="2" w:space="0"/>
              <w:left w:val="single" w:color="auto" w:sz="2" w:space="0"/>
              <w:bottom w:val="single" w:color="auto" w:sz="2" w:space="0"/>
              <w:right w:val="single" w:color="auto" w:sz="2" w:space="0"/>
            </w:tcBorders>
            <w:vAlign w:val="center"/>
          </w:tcPr>
          <w:p w14:paraId="5A3F06D2">
            <w:pPr>
              <w:spacing w:line="240" w:lineRule="atLeast"/>
              <w:ind w:right="0"/>
              <w:jc w:val="center"/>
              <w:textAlignment w:val="center"/>
              <w:rPr>
                <w:sz w:val="18"/>
                <w:szCs w:val="18"/>
              </w:rPr>
            </w:pPr>
            <w:r>
              <w:rPr>
                <w:sz w:val="18"/>
                <w:szCs w:val="18"/>
              </w:rPr>
              <w:t>乙</w:t>
            </w:r>
          </w:p>
        </w:tc>
        <w:tc>
          <w:tcPr>
            <w:tcW w:w="910" w:type="dxa"/>
            <w:tcBorders>
              <w:top w:val="single" w:color="auto" w:sz="2" w:space="0"/>
              <w:left w:val="single" w:color="auto" w:sz="2" w:space="0"/>
              <w:bottom w:val="single" w:color="auto" w:sz="2" w:space="0"/>
              <w:right w:val="single" w:color="auto" w:sz="2" w:space="0"/>
            </w:tcBorders>
            <w:vAlign w:val="center"/>
          </w:tcPr>
          <w:p w14:paraId="3072799F">
            <w:pPr>
              <w:spacing w:line="240" w:lineRule="atLeast"/>
              <w:ind w:right="0"/>
              <w:jc w:val="center"/>
              <w:textAlignment w:val="center"/>
              <w:rPr>
                <w:sz w:val="18"/>
                <w:szCs w:val="18"/>
              </w:rPr>
            </w:pPr>
            <w:r>
              <w:rPr>
                <w:sz w:val="18"/>
                <w:szCs w:val="18"/>
              </w:rPr>
              <w:t>丙</w:t>
            </w:r>
          </w:p>
        </w:tc>
        <w:tc>
          <w:tcPr>
            <w:tcW w:w="1120" w:type="dxa"/>
            <w:tcBorders>
              <w:top w:val="single" w:color="auto" w:sz="2" w:space="0"/>
              <w:left w:val="single" w:color="auto" w:sz="2" w:space="0"/>
              <w:bottom w:val="single" w:color="auto" w:sz="2" w:space="0"/>
              <w:right w:val="single" w:color="auto" w:sz="2" w:space="0"/>
            </w:tcBorders>
            <w:vAlign w:val="center"/>
          </w:tcPr>
          <w:p w14:paraId="19A11F25">
            <w:pPr>
              <w:spacing w:line="240" w:lineRule="atLeast"/>
              <w:jc w:val="center"/>
              <w:textAlignment w:val="center"/>
              <w:rPr>
                <w:sz w:val="18"/>
                <w:szCs w:val="18"/>
              </w:rPr>
            </w:pPr>
            <w:r>
              <w:rPr>
                <w:sz w:val="18"/>
                <w:szCs w:val="18"/>
              </w:rPr>
              <w:t>1</w:t>
            </w:r>
          </w:p>
        </w:tc>
        <w:tc>
          <w:tcPr>
            <w:tcW w:w="1121" w:type="dxa"/>
            <w:tcBorders>
              <w:top w:val="single" w:color="auto" w:sz="2" w:space="0"/>
              <w:left w:val="single" w:color="auto" w:sz="2" w:space="0"/>
              <w:bottom w:val="single" w:color="auto" w:sz="2" w:space="0"/>
              <w:right w:val="single" w:color="auto" w:sz="2" w:space="0"/>
            </w:tcBorders>
            <w:vAlign w:val="center"/>
          </w:tcPr>
          <w:p w14:paraId="0159F9CE">
            <w:pPr>
              <w:spacing w:line="240" w:lineRule="atLeast"/>
              <w:jc w:val="center"/>
              <w:textAlignment w:val="center"/>
              <w:rPr>
                <w:sz w:val="18"/>
                <w:szCs w:val="18"/>
              </w:rPr>
            </w:pPr>
            <w:r>
              <w:rPr>
                <w:sz w:val="18"/>
                <w:szCs w:val="18"/>
              </w:rPr>
              <w:t>2</w:t>
            </w:r>
          </w:p>
        </w:tc>
        <w:tc>
          <w:tcPr>
            <w:tcW w:w="1152" w:type="dxa"/>
            <w:tcBorders>
              <w:top w:val="single" w:color="auto" w:sz="2" w:space="0"/>
              <w:left w:val="single" w:color="auto" w:sz="2" w:space="0"/>
              <w:bottom w:val="single" w:color="auto" w:sz="2" w:space="0"/>
              <w:right w:val="single" w:color="auto" w:sz="2" w:space="0"/>
            </w:tcBorders>
            <w:vAlign w:val="center"/>
          </w:tcPr>
          <w:p w14:paraId="5BDAED77">
            <w:pPr>
              <w:spacing w:line="240" w:lineRule="atLeast"/>
              <w:jc w:val="center"/>
              <w:textAlignment w:val="center"/>
              <w:rPr>
                <w:sz w:val="18"/>
                <w:szCs w:val="18"/>
              </w:rPr>
            </w:pPr>
            <w:r>
              <w:rPr>
                <w:sz w:val="18"/>
                <w:szCs w:val="18"/>
              </w:rPr>
              <w:t>3</w:t>
            </w:r>
          </w:p>
        </w:tc>
        <w:tc>
          <w:tcPr>
            <w:tcW w:w="1152" w:type="dxa"/>
            <w:tcBorders>
              <w:top w:val="single" w:color="auto" w:sz="2" w:space="0"/>
              <w:left w:val="single" w:color="auto" w:sz="2" w:space="0"/>
              <w:bottom w:val="single" w:color="auto" w:sz="2" w:space="0"/>
              <w:right w:val="single" w:color="auto" w:sz="2" w:space="0"/>
            </w:tcBorders>
            <w:vAlign w:val="center"/>
          </w:tcPr>
          <w:p w14:paraId="46A8481F">
            <w:pPr>
              <w:spacing w:line="240" w:lineRule="atLeast"/>
              <w:jc w:val="center"/>
              <w:textAlignment w:val="center"/>
              <w:rPr>
                <w:sz w:val="18"/>
                <w:szCs w:val="18"/>
              </w:rPr>
            </w:pPr>
            <w:r>
              <w:rPr>
                <w:sz w:val="18"/>
                <w:szCs w:val="18"/>
              </w:rPr>
              <w:t>4</w:t>
            </w:r>
          </w:p>
        </w:tc>
        <w:tc>
          <w:tcPr>
            <w:tcW w:w="1090" w:type="dxa"/>
            <w:tcBorders>
              <w:top w:val="single" w:color="auto" w:sz="2" w:space="0"/>
              <w:left w:val="single" w:color="auto" w:sz="2" w:space="0"/>
              <w:bottom w:val="single" w:color="auto" w:sz="2" w:space="0"/>
              <w:right w:val="nil"/>
            </w:tcBorders>
            <w:vAlign w:val="center"/>
          </w:tcPr>
          <w:p w14:paraId="6E6901C3">
            <w:pPr>
              <w:spacing w:line="240" w:lineRule="atLeast"/>
              <w:jc w:val="center"/>
              <w:textAlignment w:val="center"/>
              <w:rPr>
                <w:sz w:val="18"/>
                <w:szCs w:val="18"/>
              </w:rPr>
            </w:pPr>
            <w:r>
              <w:rPr>
                <w:sz w:val="18"/>
                <w:szCs w:val="18"/>
              </w:rPr>
              <w:t>5</w:t>
            </w:r>
          </w:p>
        </w:tc>
      </w:tr>
      <w:tr w14:paraId="6591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 w:hRule="atLeast"/>
          <w:jc w:val="center"/>
        </w:trPr>
        <w:tc>
          <w:tcPr>
            <w:tcW w:w="1948" w:type="dxa"/>
            <w:tcBorders>
              <w:top w:val="single" w:color="auto" w:sz="2" w:space="0"/>
              <w:left w:val="nil"/>
              <w:bottom w:val="single" w:color="auto" w:sz="8" w:space="0"/>
              <w:right w:val="single" w:color="auto" w:sz="2" w:space="0"/>
            </w:tcBorders>
            <w:vAlign w:val="center"/>
          </w:tcPr>
          <w:p w14:paraId="4F4DBEA3">
            <w:pPr>
              <w:spacing w:line="320" w:lineRule="exact"/>
              <w:ind w:right="-11"/>
              <w:jc w:val="center"/>
              <w:rPr>
                <w:sz w:val="18"/>
                <w:szCs w:val="18"/>
              </w:rPr>
            </w:pPr>
            <w:r>
              <w:rPr>
                <w:sz w:val="18"/>
                <w:szCs w:val="18"/>
              </w:rPr>
              <w:t>煤      炭</w:t>
            </w:r>
          </w:p>
          <w:p w14:paraId="607D937E">
            <w:pPr>
              <w:spacing w:line="320" w:lineRule="exact"/>
              <w:ind w:right="-11"/>
              <w:jc w:val="center"/>
              <w:rPr>
                <w:sz w:val="18"/>
                <w:szCs w:val="18"/>
              </w:rPr>
            </w:pPr>
            <w:r>
              <w:rPr>
                <w:sz w:val="18"/>
                <w:szCs w:val="18"/>
              </w:rPr>
              <w:t>汽      油</w:t>
            </w:r>
          </w:p>
          <w:p w14:paraId="1F84E23F">
            <w:pPr>
              <w:spacing w:line="320" w:lineRule="exact"/>
              <w:ind w:right="-11"/>
              <w:jc w:val="center"/>
              <w:rPr>
                <w:sz w:val="18"/>
                <w:szCs w:val="18"/>
              </w:rPr>
            </w:pPr>
            <w:r>
              <w:rPr>
                <w:sz w:val="18"/>
                <w:szCs w:val="18"/>
              </w:rPr>
              <w:t>煤      油</w:t>
            </w:r>
          </w:p>
          <w:p w14:paraId="2D2357C2">
            <w:pPr>
              <w:spacing w:line="320" w:lineRule="exact"/>
              <w:ind w:right="-11"/>
              <w:jc w:val="center"/>
              <w:rPr>
                <w:sz w:val="18"/>
                <w:szCs w:val="18"/>
              </w:rPr>
            </w:pPr>
            <w:r>
              <w:rPr>
                <w:sz w:val="18"/>
                <w:szCs w:val="18"/>
              </w:rPr>
              <w:t>柴      油</w:t>
            </w:r>
          </w:p>
          <w:p w14:paraId="3D76B88D">
            <w:pPr>
              <w:spacing w:line="320" w:lineRule="exact"/>
              <w:ind w:right="-11"/>
              <w:jc w:val="center"/>
              <w:rPr>
                <w:sz w:val="18"/>
                <w:szCs w:val="18"/>
              </w:rPr>
            </w:pPr>
            <w:r>
              <w:rPr>
                <w:sz w:val="18"/>
                <w:szCs w:val="18"/>
              </w:rPr>
              <w:t>燃  料  油</w:t>
            </w:r>
          </w:p>
        </w:tc>
        <w:tc>
          <w:tcPr>
            <w:tcW w:w="910" w:type="dxa"/>
            <w:tcBorders>
              <w:top w:val="single" w:color="auto" w:sz="2" w:space="0"/>
              <w:left w:val="single" w:color="auto" w:sz="2" w:space="0"/>
              <w:bottom w:val="single" w:color="auto" w:sz="8" w:space="0"/>
              <w:right w:val="single" w:color="auto" w:sz="2" w:space="0"/>
            </w:tcBorders>
            <w:vAlign w:val="center"/>
          </w:tcPr>
          <w:p w14:paraId="25C9FB06">
            <w:pPr>
              <w:spacing w:line="320" w:lineRule="exact"/>
              <w:ind w:right="-11"/>
              <w:jc w:val="center"/>
              <w:rPr>
                <w:sz w:val="18"/>
                <w:szCs w:val="18"/>
              </w:rPr>
            </w:pPr>
            <w:r>
              <w:rPr>
                <w:sz w:val="18"/>
                <w:szCs w:val="18"/>
              </w:rPr>
              <w:t>万吨</w:t>
            </w:r>
          </w:p>
          <w:p w14:paraId="46B7052E">
            <w:pPr>
              <w:spacing w:line="320" w:lineRule="exact"/>
              <w:ind w:right="-11"/>
              <w:jc w:val="center"/>
              <w:rPr>
                <w:sz w:val="18"/>
                <w:szCs w:val="18"/>
              </w:rPr>
            </w:pPr>
            <w:r>
              <w:rPr>
                <w:sz w:val="18"/>
                <w:szCs w:val="18"/>
              </w:rPr>
              <w:t>吨</w:t>
            </w:r>
          </w:p>
          <w:p w14:paraId="640BAA2D">
            <w:pPr>
              <w:spacing w:line="320" w:lineRule="exact"/>
              <w:ind w:right="-11"/>
              <w:jc w:val="center"/>
              <w:rPr>
                <w:sz w:val="18"/>
                <w:szCs w:val="18"/>
              </w:rPr>
            </w:pPr>
            <w:r>
              <w:rPr>
                <w:sz w:val="18"/>
                <w:szCs w:val="18"/>
              </w:rPr>
              <w:t>吨</w:t>
            </w:r>
          </w:p>
          <w:p w14:paraId="77FBC4DD">
            <w:pPr>
              <w:spacing w:line="320" w:lineRule="exact"/>
              <w:ind w:right="-11"/>
              <w:jc w:val="center"/>
              <w:rPr>
                <w:sz w:val="18"/>
                <w:szCs w:val="18"/>
              </w:rPr>
            </w:pPr>
            <w:r>
              <w:rPr>
                <w:sz w:val="18"/>
                <w:szCs w:val="18"/>
              </w:rPr>
              <w:t>吨</w:t>
            </w:r>
          </w:p>
          <w:p w14:paraId="199BF08A">
            <w:pPr>
              <w:spacing w:line="320" w:lineRule="exact"/>
              <w:ind w:right="-11"/>
              <w:jc w:val="center"/>
              <w:rPr>
                <w:sz w:val="18"/>
                <w:szCs w:val="18"/>
              </w:rPr>
            </w:pPr>
            <w:r>
              <w:rPr>
                <w:sz w:val="18"/>
                <w:szCs w:val="18"/>
              </w:rPr>
              <w:t>吨</w:t>
            </w:r>
          </w:p>
        </w:tc>
        <w:tc>
          <w:tcPr>
            <w:tcW w:w="910" w:type="dxa"/>
            <w:tcBorders>
              <w:top w:val="single" w:color="auto" w:sz="2" w:space="0"/>
              <w:left w:val="single" w:color="auto" w:sz="2" w:space="0"/>
              <w:bottom w:val="single" w:color="auto" w:sz="8" w:space="0"/>
              <w:right w:val="single" w:color="auto" w:sz="2" w:space="0"/>
            </w:tcBorders>
            <w:vAlign w:val="center"/>
          </w:tcPr>
          <w:p w14:paraId="5A84CBDA">
            <w:pPr>
              <w:spacing w:line="320" w:lineRule="exact"/>
              <w:ind w:right="-11"/>
              <w:jc w:val="center"/>
              <w:rPr>
                <w:sz w:val="18"/>
                <w:szCs w:val="18"/>
              </w:rPr>
            </w:pPr>
            <w:r>
              <w:rPr>
                <w:sz w:val="18"/>
                <w:szCs w:val="18"/>
              </w:rPr>
              <w:t>01</w:t>
            </w:r>
          </w:p>
          <w:p w14:paraId="4B1D4DE6">
            <w:pPr>
              <w:spacing w:line="320" w:lineRule="exact"/>
              <w:ind w:right="-11"/>
              <w:jc w:val="center"/>
              <w:rPr>
                <w:sz w:val="18"/>
                <w:szCs w:val="18"/>
              </w:rPr>
            </w:pPr>
            <w:r>
              <w:rPr>
                <w:sz w:val="18"/>
                <w:szCs w:val="18"/>
              </w:rPr>
              <w:t>02</w:t>
            </w:r>
          </w:p>
          <w:p w14:paraId="6CE94AC4">
            <w:pPr>
              <w:spacing w:line="320" w:lineRule="exact"/>
              <w:ind w:right="-11"/>
              <w:jc w:val="center"/>
              <w:rPr>
                <w:sz w:val="18"/>
                <w:szCs w:val="18"/>
              </w:rPr>
            </w:pPr>
            <w:r>
              <w:rPr>
                <w:sz w:val="18"/>
                <w:szCs w:val="18"/>
              </w:rPr>
              <w:t>03</w:t>
            </w:r>
          </w:p>
          <w:p w14:paraId="04F42824">
            <w:pPr>
              <w:spacing w:line="320" w:lineRule="exact"/>
              <w:ind w:right="-11"/>
              <w:jc w:val="center"/>
              <w:rPr>
                <w:sz w:val="18"/>
                <w:szCs w:val="18"/>
              </w:rPr>
            </w:pPr>
            <w:r>
              <w:rPr>
                <w:sz w:val="18"/>
                <w:szCs w:val="18"/>
              </w:rPr>
              <w:t>04</w:t>
            </w:r>
          </w:p>
          <w:p w14:paraId="0BF53305">
            <w:pPr>
              <w:spacing w:line="320" w:lineRule="exact"/>
              <w:ind w:right="-11"/>
              <w:jc w:val="center"/>
              <w:rPr>
                <w:sz w:val="18"/>
                <w:szCs w:val="18"/>
              </w:rPr>
            </w:pPr>
            <w:r>
              <w:rPr>
                <w:sz w:val="18"/>
                <w:szCs w:val="18"/>
              </w:rPr>
              <w:t>05</w:t>
            </w:r>
          </w:p>
        </w:tc>
        <w:tc>
          <w:tcPr>
            <w:tcW w:w="5635" w:type="dxa"/>
            <w:gridSpan w:val="5"/>
            <w:tcBorders>
              <w:top w:val="single" w:color="auto" w:sz="2" w:space="0"/>
              <w:left w:val="single" w:color="auto" w:sz="2" w:space="0"/>
              <w:bottom w:val="single" w:color="auto" w:sz="8" w:space="0"/>
              <w:right w:val="nil"/>
            </w:tcBorders>
          </w:tcPr>
          <w:p w14:paraId="065CAB2A">
            <w:pPr>
              <w:rPr>
                <w:sz w:val="18"/>
                <w:szCs w:val="18"/>
              </w:rPr>
            </w:pPr>
          </w:p>
        </w:tc>
      </w:tr>
    </w:tbl>
    <w:p w14:paraId="0292E27F">
      <w:pPr>
        <w:spacing w:line="280" w:lineRule="exact"/>
        <w:ind w:right="-38"/>
        <w:rPr>
          <w:sz w:val="18"/>
        </w:rPr>
      </w:pPr>
      <w:r>
        <w:rPr>
          <w:sz w:val="18"/>
        </w:rPr>
        <w:t>单位负责人：             统计负责人：         填表人：          联系电话：       报出日期：２０　年　月　日</w:t>
      </w:r>
    </w:p>
    <w:p w14:paraId="61FD0C05">
      <w:pPr>
        <w:ind w:right="-143"/>
        <w:rPr>
          <w:b/>
          <w:sz w:val="18"/>
          <w:szCs w:val="18"/>
        </w:rPr>
      </w:pPr>
    </w:p>
    <w:p w14:paraId="31880458">
      <w:pPr>
        <w:spacing w:line="320" w:lineRule="exact"/>
        <w:ind w:right="19"/>
        <w:rPr>
          <w:sz w:val="18"/>
          <w:szCs w:val="18"/>
        </w:rPr>
      </w:pPr>
      <w:r>
        <w:rPr>
          <w:sz w:val="18"/>
          <w:szCs w:val="18"/>
        </w:rPr>
        <w:t>说明：1.统计范围是公路运输企业、水上运输企业和港口，不包括部门所管理的工业、建筑业等企业及行政、事业单位。</w:t>
      </w:r>
    </w:p>
    <w:p w14:paraId="7FEB08B2">
      <w:pPr>
        <w:spacing w:line="320" w:lineRule="exact"/>
        <w:ind w:right="19" w:firstLine="540" w:firstLineChars="300"/>
        <w:rPr>
          <w:sz w:val="18"/>
          <w:szCs w:val="18"/>
        </w:rPr>
      </w:pPr>
      <w:r>
        <w:rPr>
          <w:sz w:val="18"/>
          <w:szCs w:val="18"/>
        </w:rPr>
        <w:t>2.报送时间为次年3月31日前。</w:t>
      </w:r>
    </w:p>
    <w:p w14:paraId="347BF81B">
      <w:pPr>
        <w:snapToGrid w:val="0"/>
        <w:spacing w:before="0" w:beforeLines="0" w:after="0" w:afterLines="0"/>
        <w:ind w:firstLine="540" w:firstLineChars="300"/>
        <w:jc w:val="both"/>
        <w:outlineLvl w:val="9"/>
        <w:rPr>
          <w:sz w:val="18"/>
        </w:rPr>
      </w:pPr>
      <w:r>
        <w:rPr>
          <w:sz w:val="18"/>
        </w:rPr>
        <w:br w:type="page"/>
      </w:r>
    </w:p>
    <w:p w14:paraId="4470F12B">
      <w:pPr>
        <w:snapToGrid w:val="0"/>
        <w:spacing w:before="287" w:beforeLines="100" w:after="287" w:afterLines="100" w:line="240" w:lineRule="auto"/>
        <w:ind w:firstLine="0" w:firstLineChars="0"/>
        <w:jc w:val="center"/>
        <w:outlineLvl w:val="9"/>
        <w:rPr>
          <w:sz w:val="18"/>
          <w:szCs w:val="18"/>
        </w:rPr>
      </w:pPr>
      <w:r>
        <w:rPr>
          <w:rFonts w:eastAsia="黑体"/>
          <w:sz w:val="28"/>
          <w:szCs w:val="28"/>
        </w:rPr>
        <w:t>（</w:t>
      </w:r>
      <w:r>
        <w:rPr>
          <w:rFonts w:hint="eastAsia" w:eastAsia="黑体"/>
          <w:sz w:val="28"/>
          <w:szCs w:val="28"/>
          <w:lang w:eastAsia="zh-CN"/>
        </w:rPr>
        <w:t>三</w:t>
      </w:r>
      <w:r>
        <w:rPr>
          <w:rFonts w:eastAsia="黑体"/>
          <w:sz w:val="28"/>
          <w:szCs w:val="28"/>
        </w:rPr>
        <w:t>）综合定报表</w:t>
      </w:r>
    </w:p>
    <w:p w14:paraId="2D070E72">
      <w:pPr>
        <w:spacing w:before="287" w:beforeLines="100" w:after="287" w:afterLines="100"/>
        <w:jc w:val="center"/>
        <w:outlineLvl w:val="2"/>
        <w:rPr>
          <w:sz w:val="32"/>
          <w:szCs w:val="32"/>
        </w:rPr>
      </w:pPr>
      <w:r>
        <w:rPr>
          <w:sz w:val="32"/>
          <w:szCs w:val="32"/>
        </w:rPr>
        <w:t>石油生产企业石油产品生产、销售与库存</w:t>
      </w:r>
    </w:p>
    <w:tbl>
      <w:tblPr>
        <w:tblStyle w:val="20"/>
        <w:tblW w:w="9402" w:type="dxa"/>
        <w:jc w:val="center"/>
        <w:tblLayout w:type="autofit"/>
        <w:tblCellMar>
          <w:top w:w="0" w:type="dxa"/>
          <w:left w:w="0" w:type="dxa"/>
          <w:bottom w:w="0" w:type="dxa"/>
          <w:right w:w="0" w:type="dxa"/>
        </w:tblCellMar>
      </w:tblPr>
      <w:tblGrid>
        <w:gridCol w:w="3460"/>
        <w:gridCol w:w="441"/>
        <w:gridCol w:w="2727"/>
        <w:gridCol w:w="850"/>
        <w:gridCol w:w="1924"/>
      </w:tblGrid>
      <w:tr w14:paraId="2EEFC1C6">
        <w:tblPrEx>
          <w:tblCellMar>
            <w:top w:w="0" w:type="dxa"/>
            <w:left w:w="0" w:type="dxa"/>
            <w:bottom w:w="0" w:type="dxa"/>
            <w:right w:w="0" w:type="dxa"/>
          </w:tblCellMar>
        </w:tblPrEx>
        <w:trPr>
          <w:trHeight w:val="20" w:hRule="atLeast"/>
          <w:jc w:val="center"/>
        </w:trPr>
        <w:tc>
          <w:tcPr>
            <w:tcW w:w="3460" w:type="dxa"/>
          </w:tcPr>
          <w:p w14:paraId="5D1E8DD9">
            <w:pPr>
              <w:spacing w:line="260" w:lineRule="exact"/>
              <w:rPr>
                <w:sz w:val="18"/>
                <w:szCs w:val="18"/>
              </w:rPr>
            </w:pPr>
          </w:p>
        </w:tc>
        <w:tc>
          <w:tcPr>
            <w:tcW w:w="441" w:type="dxa"/>
          </w:tcPr>
          <w:p w14:paraId="7A1375EF">
            <w:pPr>
              <w:spacing w:line="260" w:lineRule="exact"/>
              <w:rPr>
                <w:sz w:val="18"/>
                <w:szCs w:val="18"/>
              </w:rPr>
            </w:pPr>
          </w:p>
        </w:tc>
        <w:tc>
          <w:tcPr>
            <w:tcW w:w="2727" w:type="dxa"/>
          </w:tcPr>
          <w:p w14:paraId="1D3658A0">
            <w:pPr>
              <w:spacing w:line="260" w:lineRule="exact"/>
              <w:rPr>
                <w:sz w:val="18"/>
                <w:szCs w:val="18"/>
              </w:rPr>
            </w:pPr>
            <w:r>
              <w:rPr>
                <w:sz w:val="18"/>
                <w:szCs w:val="18"/>
              </w:rPr>
              <w:t>　　　　　　　　　　　　　</w:t>
            </w:r>
          </w:p>
        </w:tc>
        <w:tc>
          <w:tcPr>
            <w:tcW w:w="850" w:type="dxa"/>
            <w:tcMar>
              <w:left w:w="0" w:type="dxa"/>
              <w:right w:w="0" w:type="dxa"/>
            </w:tcMar>
          </w:tcPr>
          <w:p w14:paraId="69F6BB30">
            <w:pPr>
              <w:spacing w:line="260" w:lineRule="exact"/>
              <w:rPr>
                <w:sz w:val="18"/>
                <w:szCs w:val="18"/>
              </w:rPr>
            </w:pPr>
            <w:r>
              <w:rPr>
                <w:sz w:val="18"/>
                <w:szCs w:val="18"/>
              </w:rPr>
              <w:t>表    号：</w:t>
            </w:r>
          </w:p>
        </w:tc>
        <w:tc>
          <w:tcPr>
            <w:tcW w:w="1924" w:type="dxa"/>
            <w:vAlign w:val="center"/>
          </w:tcPr>
          <w:p w14:paraId="59D8CFB3">
            <w:pPr>
              <w:spacing w:line="260" w:lineRule="exact"/>
              <w:jc w:val="distribute"/>
              <w:rPr>
                <w:sz w:val="18"/>
                <w:szCs w:val="18"/>
              </w:rPr>
            </w:pPr>
            <w:r>
              <w:rPr>
                <w:sz w:val="18"/>
                <w:szCs w:val="18"/>
              </w:rPr>
              <w:t>ＺＹ４０１表</w:t>
            </w:r>
          </w:p>
        </w:tc>
      </w:tr>
      <w:tr w14:paraId="2382C5E0">
        <w:tblPrEx>
          <w:tblCellMar>
            <w:top w:w="0" w:type="dxa"/>
            <w:left w:w="0" w:type="dxa"/>
            <w:bottom w:w="0" w:type="dxa"/>
            <w:right w:w="0" w:type="dxa"/>
          </w:tblCellMar>
        </w:tblPrEx>
        <w:trPr>
          <w:trHeight w:val="20" w:hRule="atLeast"/>
          <w:jc w:val="center"/>
        </w:trPr>
        <w:tc>
          <w:tcPr>
            <w:tcW w:w="3460" w:type="dxa"/>
          </w:tcPr>
          <w:p w14:paraId="1F50254E">
            <w:pPr>
              <w:spacing w:line="260" w:lineRule="exact"/>
              <w:rPr>
                <w:sz w:val="18"/>
                <w:szCs w:val="18"/>
              </w:rPr>
            </w:pPr>
          </w:p>
        </w:tc>
        <w:tc>
          <w:tcPr>
            <w:tcW w:w="441" w:type="dxa"/>
          </w:tcPr>
          <w:p w14:paraId="2103B026">
            <w:pPr>
              <w:spacing w:line="260" w:lineRule="exact"/>
              <w:rPr>
                <w:sz w:val="18"/>
                <w:szCs w:val="18"/>
              </w:rPr>
            </w:pPr>
          </w:p>
        </w:tc>
        <w:tc>
          <w:tcPr>
            <w:tcW w:w="2727" w:type="dxa"/>
          </w:tcPr>
          <w:p w14:paraId="3C1AEE15">
            <w:pPr>
              <w:spacing w:line="260" w:lineRule="exact"/>
              <w:rPr>
                <w:sz w:val="18"/>
                <w:szCs w:val="18"/>
              </w:rPr>
            </w:pPr>
          </w:p>
        </w:tc>
        <w:tc>
          <w:tcPr>
            <w:tcW w:w="850" w:type="dxa"/>
            <w:tcMar>
              <w:left w:w="0" w:type="dxa"/>
              <w:right w:w="0" w:type="dxa"/>
            </w:tcMar>
          </w:tcPr>
          <w:p w14:paraId="10662025">
            <w:pPr>
              <w:spacing w:line="260" w:lineRule="exact"/>
              <w:rPr>
                <w:sz w:val="18"/>
                <w:szCs w:val="18"/>
              </w:rPr>
            </w:pPr>
          </w:p>
        </w:tc>
        <w:tc>
          <w:tcPr>
            <w:tcW w:w="1924" w:type="dxa"/>
            <w:vAlign w:val="center"/>
          </w:tcPr>
          <w:p w14:paraId="3A3635AA">
            <w:pPr>
              <w:spacing w:line="260" w:lineRule="exact"/>
              <w:jc w:val="distribute"/>
              <w:rPr>
                <w:sz w:val="18"/>
                <w:szCs w:val="18"/>
              </w:rPr>
            </w:pPr>
            <w:r>
              <w:rPr>
                <w:sz w:val="18"/>
                <w:szCs w:val="18"/>
              </w:rPr>
              <w:t>ＺＳ４０１表</w:t>
            </w:r>
            <w:r>
              <w:rPr>
                <w:sz w:val="18"/>
                <w:szCs w:val="18"/>
              </w:rPr>
              <w:br w:type="textWrapping"/>
            </w:r>
            <w:r>
              <w:rPr>
                <w:sz w:val="18"/>
                <w:szCs w:val="18"/>
              </w:rPr>
              <w:t>ＺＨ４０１表</w:t>
            </w:r>
          </w:p>
        </w:tc>
      </w:tr>
      <w:tr w14:paraId="1F262A60">
        <w:tblPrEx>
          <w:tblCellMar>
            <w:top w:w="0" w:type="dxa"/>
            <w:left w:w="0" w:type="dxa"/>
            <w:bottom w:w="0" w:type="dxa"/>
            <w:right w:w="0" w:type="dxa"/>
          </w:tblCellMar>
        </w:tblPrEx>
        <w:trPr>
          <w:trHeight w:val="20" w:hRule="atLeast"/>
          <w:jc w:val="center"/>
        </w:trPr>
        <w:tc>
          <w:tcPr>
            <w:tcW w:w="3460" w:type="dxa"/>
          </w:tcPr>
          <w:p w14:paraId="47FAFF12">
            <w:pPr>
              <w:spacing w:line="260" w:lineRule="exact"/>
              <w:rPr>
                <w:sz w:val="18"/>
                <w:szCs w:val="18"/>
              </w:rPr>
            </w:pPr>
          </w:p>
        </w:tc>
        <w:tc>
          <w:tcPr>
            <w:tcW w:w="441" w:type="dxa"/>
          </w:tcPr>
          <w:p w14:paraId="4337179F">
            <w:pPr>
              <w:spacing w:line="260" w:lineRule="exact"/>
              <w:rPr>
                <w:sz w:val="18"/>
                <w:szCs w:val="18"/>
              </w:rPr>
            </w:pPr>
          </w:p>
        </w:tc>
        <w:tc>
          <w:tcPr>
            <w:tcW w:w="2727" w:type="dxa"/>
          </w:tcPr>
          <w:p w14:paraId="1042DF46">
            <w:pPr>
              <w:spacing w:line="260" w:lineRule="exact"/>
              <w:rPr>
                <w:sz w:val="18"/>
                <w:szCs w:val="18"/>
              </w:rPr>
            </w:pPr>
          </w:p>
        </w:tc>
        <w:tc>
          <w:tcPr>
            <w:tcW w:w="850" w:type="dxa"/>
            <w:tcMar>
              <w:left w:w="0" w:type="dxa"/>
              <w:right w:w="0" w:type="dxa"/>
            </w:tcMar>
            <w:vAlign w:val="center"/>
          </w:tcPr>
          <w:p w14:paraId="0AB032ED">
            <w:pPr>
              <w:spacing w:line="260" w:lineRule="exact"/>
              <w:rPr>
                <w:sz w:val="18"/>
                <w:szCs w:val="18"/>
              </w:rPr>
            </w:pPr>
            <w:r>
              <w:rPr>
                <w:sz w:val="18"/>
                <w:szCs w:val="18"/>
              </w:rPr>
              <w:t>制定机关：</w:t>
            </w:r>
          </w:p>
        </w:tc>
        <w:tc>
          <w:tcPr>
            <w:tcW w:w="1924" w:type="dxa"/>
            <w:vAlign w:val="center"/>
          </w:tcPr>
          <w:p w14:paraId="263DAAD0">
            <w:pPr>
              <w:spacing w:line="260" w:lineRule="exact"/>
              <w:jc w:val="distribute"/>
              <w:rPr>
                <w:sz w:val="18"/>
                <w:szCs w:val="18"/>
              </w:rPr>
            </w:pPr>
            <w:r>
              <w:rPr>
                <w:sz w:val="18"/>
                <w:szCs w:val="18"/>
              </w:rPr>
              <w:t>国 家 统 计 局</w:t>
            </w:r>
          </w:p>
        </w:tc>
      </w:tr>
      <w:tr w14:paraId="38224EFD">
        <w:tblPrEx>
          <w:tblCellMar>
            <w:top w:w="0" w:type="dxa"/>
            <w:left w:w="0" w:type="dxa"/>
            <w:bottom w:w="0" w:type="dxa"/>
            <w:right w:w="0" w:type="dxa"/>
          </w:tblCellMar>
        </w:tblPrEx>
        <w:trPr>
          <w:trHeight w:val="20" w:hRule="atLeast"/>
          <w:jc w:val="center"/>
        </w:trPr>
        <w:tc>
          <w:tcPr>
            <w:tcW w:w="6628" w:type="dxa"/>
            <w:gridSpan w:val="3"/>
          </w:tcPr>
          <w:p w14:paraId="59D293ED">
            <w:pPr>
              <w:spacing w:line="260" w:lineRule="exact"/>
              <w:rPr>
                <w:sz w:val="18"/>
                <w:szCs w:val="18"/>
              </w:rPr>
            </w:pPr>
            <w:r>
              <w:rPr>
                <w:rFonts w:hint="eastAsia" w:ascii="宋体" w:hAnsi="宋体" w:cs="宋体"/>
                <w:color w:val="000000"/>
                <w:kern w:val="0"/>
                <w:sz w:val="18"/>
                <w:szCs w:val="18"/>
              </w:rPr>
              <w:t>统一社会信用代码□□□□□□□□□□□□□□□□□□</w:t>
            </w:r>
          </w:p>
        </w:tc>
        <w:tc>
          <w:tcPr>
            <w:tcW w:w="850" w:type="dxa"/>
            <w:tcMar>
              <w:left w:w="0" w:type="dxa"/>
              <w:right w:w="0" w:type="dxa"/>
            </w:tcMar>
            <w:vAlign w:val="center"/>
          </w:tcPr>
          <w:p w14:paraId="4CF0DBE9">
            <w:pPr>
              <w:spacing w:line="260" w:lineRule="exact"/>
              <w:rPr>
                <w:sz w:val="18"/>
                <w:szCs w:val="18"/>
              </w:rPr>
            </w:pPr>
            <w:r>
              <w:rPr>
                <w:sz w:val="18"/>
                <w:szCs w:val="18"/>
              </w:rPr>
              <w:t>文    号：</w:t>
            </w:r>
          </w:p>
        </w:tc>
        <w:tc>
          <w:tcPr>
            <w:tcW w:w="1924" w:type="dxa"/>
            <w:vAlign w:val="center"/>
          </w:tcPr>
          <w:p w14:paraId="1A846314">
            <w:pPr>
              <w:spacing w:line="260" w:lineRule="exact"/>
              <w:jc w:val="distribute"/>
              <w:rPr>
                <w:rFonts w:ascii="宋体" w:hAnsi="宋体"/>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82" w:author="kylin" w:date="2025-10-17T16:22:02Z">
              <w:r>
                <w:rPr>
                  <w:rFonts w:hint="default" w:ascii="宋体" w:hAnsi="宋体"/>
                  <w:spacing w:val="-16"/>
                  <w:sz w:val="18"/>
                  <w:szCs w:val="18"/>
                  <w:lang w:val="en-US" w:eastAsia="zh-CN"/>
                </w:rPr>
                <w:delText>４</w:delText>
              </w:r>
            </w:del>
            <w:ins w:id="383" w:author="kylin" w:date="2025-10-17T16:22:02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84" w:author="kylin" w:date="2025-10-17T16:22:05Z">
              <w:r>
                <w:rPr>
                  <w:rFonts w:hint="default" w:ascii="宋体" w:hAnsi="宋体"/>
                  <w:spacing w:val="-16"/>
                  <w:sz w:val="18"/>
                  <w:szCs w:val="18"/>
                  <w:lang w:val="en-US" w:eastAsia="zh-CN"/>
                </w:rPr>
                <w:delText>77</w:delText>
              </w:r>
            </w:del>
            <w:ins w:id="385" w:author="kylin" w:date="2025-10-17T16:22:05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729DABAE">
        <w:tblPrEx>
          <w:tblCellMar>
            <w:top w:w="0" w:type="dxa"/>
            <w:left w:w="0" w:type="dxa"/>
            <w:bottom w:w="0" w:type="dxa"/>
            <w:right w:w="0" w:type="dxa"/>
          </w:tblCellMar>
        </w:tblPrEx>
        <w:trPr>
          <w:trHeight w:val="20" w:hRule="atLeast"/>
          <w:jc w:val="center"/>
        </w:trPr>
        <w:tc>
          <w:tcPr>
            <w:tcW w:w="3460" w:type="dxa"/>
          </w:tcPr>
          <w:p w14:paraId="5CC6AEFF">
            <w:pPr>
              <w:spacing w:line="260" w:lineRule="exact"/>
              <w:rPr>
                <w:sz w:val="18"/>
                <w:szCs w:val="18"/>
              </w:rPr>
            </w:pPr>
            <w:r>
              <w:rPr>
                <w:sz w:val="18"/>
              </w:rPr>
              <w:t>综合机关名称：</w:t>
            </w:r>
          </w:p>
        </w:tc>
        <w:tc>
          <w:tcPr>
            <w:tcW w:w="441" w:type="dxa"/>
          </w:tcPr>
          <w:p w14:paraId="69B2F6C7">
            <w:pPr>
              <w:spacing w:line="260" w:lineRule="exact"/>
              <w:rPr>
                <w:sz w:val="18"/>
                <w:szCs w:val="18"/>
              </w:rPr>
            </w:pPr>
          </w:p>
        </w:tc>
        <w:tc>
          <w:tcPr>
            <w:tcW w:w="2727" w:type="dxa"/>
          </w:tcPr>
          <w:p w14:paraId="068214D6">
            <w:pPr>
              <w:spacing w:line="260" w:lineRule="exact"/>
              <w:rPr>
                <w:sz w:val="18"/>
                <w:szCs w:val="18"/>
              </w:rPr>
            </w:pPr>
            <w:r>
              <w:rPr>
                <w:sz w:val="18"/>
                <w:szCs w:val="18"/>
              </w:rPr>
              <w:t>２０　　年</w:t>
            </w:r>
            <w:r>
              <w:rPr>
                <w:rFonts w:hint="eastAsia"/>
                <w:sz w:val="18"/>
                <w:szCs w:val="18"/>
              </w:rPr>
              <w:t xml:space="preserve"> </w:t>
            </w:r>
            <w:r>
              <w:rPr>
                <w:sz w:val="18"/>
                <w:szCs w:val="18"/>
              </w:rPr>
              <w:t>１</w:t>
            </w:r>
            <w:r>
              <w:rPr>
                <w:kern w:val="0"/>
                <w:sz w:val="18"/>
                <w:szCs w:val="18"/>
              </w:rPr>
              <w:t>－</w:t>
            </w:r>
            <w:r>
              <w:rPr>
                <w:sz w:val="18"/>
                <w:szCs w:val="18"/>
              </w:rPr>
              <w:t xml:space="preserve">   月　　　　　　　　　</w:t>
            </w:r>
          </w:p>
        </w:tc>
        <w:tc>
          <w:tcPr>
            <w:tcW w:w="850" w:type="dxa"/>
            <w:tcMar>
              <w:left w:w="0" w:type="dxa"/>
              <w:right w:w="0" w:type="dxa"/>
            </w:tcMar>
            <w:vAlign w:val="center"/>
          </w:tcPr>
          <w:p w14:paraId="22CEFBAD">
            <w:pPr>
              <w:spacing w:line="260" w:lineRule="exact"/>
              <w:rPr>
                <w:sz w:val="18"/>
                <w:szCs w:val="18"/>
              </w:rPr>
            </w:pPr>
            <w:r>
              <w:rPr>
                <w:sz w:val="18"/>
                <w:szCs w:val="18"/>
              </w:rPr>
              <w:t>有效期至：</w:t>
            </w:r>
          </w:p>
        </w:tc>
        <w:tc>
          <w:tcPr>
            <w:tcW w:w="1924" w:type="dxa"/>
            <w:vAlign w:val="center"/>
          </w:tcPr>
          <w:p w14:paraId="60133D64">
            <w:pPr>
              <w:spacing w:line="260" w:lineRule="exact"/>
              <w:jc w:val="distribute"/>
              <w:rPr>
                <w:rFonts w:hint="default" w:eastAsia="宋体"/>
                <w:sz w:val="18"/>
                <w:szCs w:val="18"/>
                <w:lang w:val="en-US" w:eastAsia="zh-CN"/>
              </w:rPr>
            </w:pPr>
            <w:r>
              <w:rPr>
                <w:rFonts w:hint="default"/>
                <w:sz w:val="18"/>
                <w:szCs w:val="18"/>
                <w:lang w:val="en-US" w:eastAsia="zh-CN"/>
              </w:rPr>
              <w:t>２０２</w:t>
            </w:r>
            <w:del w:id="386" w:author="kylin" w:date="2025-10-17T16:22:07Z">
              <w:r>
                <w:rPr>
                  <w:rFonts w:hint="default"/>
                  <w:sz w:val="18"/>
                  <w:szCs w:val="18"/>
                  <w:lang w:val="en-US" w:eastAsia="zh-CN"/>
                </w:rPr>
                <w:delText>６</w:delText>
              </w:r>
            </w:del>
            <w:ins w:id="387" w:author="kylin" w:date="2025-10-17T16:22:07Z">
              <w:r>
                <w:rPr>
                  <w:rFonts w:hint="eastAsia"/>
                  <w:sz w:val="18"/>
                  <w:szCs w:val="18"/>
                  <w:lang w:val="en-US" w:eastAsia="zh-CN"/>
                </w:rPr>
                <w:t>7</w:t>
              </w:r>
            </w:ins>
            <w:r>
              <w:rPr>
                <w:rFonts w:hint="default"/>
                <w:sz w:val="18"/>
                <w:szCs w:val="18"/>
                <w:lang w:val="en-US" w:eastAsia="zh-CN"/>
              </w:rPr>
              <w:t>年１月</w:t>
            </w:r>
          </w:p>
        </w:tc>
      </w:tr>
    </w:tbl>
    <w:p w14:paraId="45D1E6D7">
      <w:pPr>
        <w:spacing w:line="20" w:lineRule="exact"/>
        <w:jc w:val="center"/>
        <w:rPr>
          <w:rFonts w:eastAsia="黑体"/>
          <w:sz w:val="32"/>
        </w:rPr>
      </w:pPr>
    </w:p>
    <w:tbl>
      <w:tblPr>
        <w:tblStyle w:val="20"/>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99"/>
        <w:gridCol w:w="900"/>
        <w:gridCol w:w="643"/>
        <w:gridCol w:w="962"/>
        <w:gridCol w:w="963"/>
        <w:gridCol w:w="1015"/>
        <w:gridCol w:w="945"/>
        <w:gridCol w:w="927"/>
        <w:gridCol w:w="963"/>
      </w:tblGrid>
      <w:tr w14:paraId="17A4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2" w:hRule="atLeast"/>
          <w:jc w:val="center"/>
        </w:trPr>
        <w:tc>
          <w:tcPr>
            <w:tcW w:w="2099" w:type="dxa"/>
            <w:vMerge w:val="restart"/>
            <w:tcBorders>
              <w:top w:val="single" w:color="auto" w:sz="8" w:space="0"/>
              <w:left w:val="nil"/>
              <w:bottom w:val="single" w:color="auto" w:sz="2" w:space="0"/>
              <w:right w:val="single" w:color="auto" w:sz="2" w:space="0"/>
            </w:tcBorders>
            <w:vAlign w:val="center"/>
          </w:tcPr>
          <w:p w14:paraId="612E83C1">
            <w:pPr>
              <w:spacing w:line="240" w:lineRule="exact"/>
              <w:ind w:right="4"/>
              <w:jc w:val="center"/>
              <w:rPr>
                <w:sz w:val="18"/>
                <w:szCs w:val="18"/>
              </w:rPr>
            </w:pPr>
            <w:r>
              <w:rPr>
                <w:sz w:val="18"/>
                <w:szCs w:val="18"/>
              </w:rPr>
              <w:t>能源名称</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14:paraId="2B3B15D3">
            <w:pPr>
              <w:spacing w:line="240" w:lineRule="exact"/>
              <w:ind w:right="-41"/>
              <w:jc w:val="center"/>
              <w:rPr>
                <w:sz w:val="18"/>
                <w:szCs w:val="18"/>
              </w:rPr>
            </w:pPr>
            <w:r>
              <w:rPr>
                <w:sz w:val="18"/>
                <w:szCs w:val="18"/>
              </w:rPr>
              <w:t>计量</w:t>
            </w:r>
          </w:p>
          <w:p w14:paraId="328CA344">
            <w:pPr>
              <w:spacing w:line="240" w:lineRule="exact"/>
              <w:ind w:right="-41"/>
              <w:jc w:val="center"/>
              <w:rPr>
                <w:sz w:val="18"/>
                <w:szCs w:val="18"/>
              </w:rPr>
            </w:pPr>
            <w:r>
              <w:rPr>
                <w:sz w:val="18"/>
                <w:szCs w:val="18"/>
              </w:rPr>
              <w:t>单位</w:t>
            </w:r>
          </w:p>
        </w:tc>
        <w:tc>
          <w:tcPr>
            <w:tcW w:w="643" w:type="dxa"/>
            <w:vMerge w:val="restart"/>
            <w:tcBorders>
              <w:top w:val="single" w:color="auto" w:sz="8" w:space="0"/>
              <w:left w:val="single" w:color="auto" w:sz="2" w:space="0"/>
              <w:bottom w:val="single" w:color="auto" w:sz="2" w:space="0"/>
              <w:right w:val="single" w:color="auto" w:sz="2" w:space="0"/>
            </w:tcBorders>
            <w:vAlign w:val="center"/>
          </w:tcPr>
          <w:p w14:paraId="7D5189D4">
            <w:pPr>
              <w:spacing w:line="240" w:lineRule="exact"/>
              <w:ind w:right="-41"/>
              <w:jc w:val="center"/>
              <w:rPr>
                <w:sz w:val="18"/>
                <w:szCs w:val="18"/>
              </w:rPr>
            </w:pPr>
            <w:r>
              <w:rPr>
                <w:sz w:val="18"/>
                <w:szCs w:val="18"/>
              </w:rPr>
              <w:t>代码</w:t>
            </w:r>
          </w:p>
        </w:tc>
        <w:tc>
          <w:tcPr>
            <w:tcW w:w="962" w:type="dxa"/>
            <w:vMerge w:val="restart"/>
            <w:tcBorders>
              <w:top w:val="single" w:color="auto" w:sz="8" w:space="0"/>
              <w:left w:val="single" w:color="auto" w:sz="2" w:space="0"/>
              <w:bottom w:val="single" w:color="auto" w:sz="2" w:space="0"/>
              <w:right w:val="single" w:color="auto" w:sz="2" w:space="0"/>
            </w:tcBorders>
            <w:vAlign w:val="center"/>
          </w:tcPr>
          <w:p w14:paraId="7BF42E81">
            <w:pPr>
              <w:spacing w:line="240" w:lineRule="exact"/>
              <w:ind w:right="-41"/>
              <w:jc w:val="center"/>
              <w:rPr>
                <w:sz w:val="18"/>
                <w:szCs w:val="18"/>
              </w:rPr>
            </w:pPr>
            <w:r>
              <w:rPr>
                <w:sz w:val="18"/>
                <w:szCs w:val="18"/>
              </w:rPr>
              <w:t>年  初</w:t>
            </w:r>
          </w:p>
          <w:p w14:paraId="34A30C6D">
            <w:pPr>
              <w:spacing w:line="240" w:lineRule="exact"/>
              <w:ind w:right="-41"/>
              <w:jc w:val="center"/>
              <w:rPr>
                <w:sz w:val="18"/>
                <w:szCs w:val="18"/>
              </w:rPr>
            </w:pPr>
            <w:r>
              <w:rPr>
                <w:sz w:val="18"/>
                <w:szCs w:val="18"/>
              </w:rPr>
              <w:t>库存量</w:t>
            </w:r>
          </w:p>
        </w:tc>
        <w:tc>
          <w:tcPr>
            <w:tcW w:w="963" w:type="dxa"/>
            <w:vMerge w:val="restart"/>
            <w:tcBorders>
              <w:top w:val="single" w:color="auto" w:sz="8" w:space="0"/>
              <w:left w:val="single" w:color="auto" w:sz="2" w:space="0"/>
              <w:bottom w:val="single" w:color="auto" w:sz="2" w:space="0"/>
              <w:right w:val="single" w:color="auto" w:sz="2" w:space="0"/>
            </w:tcBorders>
            <w:vAlign w:val="center"/>
          </w:tcPr>
          <w:p w14:paraId="751691AF">
            <w:pPr>
              <w:spacing w:line="240" w:lineRule="exact"/>
              <w:ind w:right="-41"/>
              <w:jc w:val="center"/>
              <w:rPr>
                <w:sz w:val="18"/>
                <w:szCs w:val="18"/>
              </w:rPr>
            </w:pPr>
            <w:r>
              <w:rPr>
                <w:sz w:val="18"/>
                <w:szCs w:val="18"/>
              </w:rPr>
              <w:t>生产量</w:t>
            </w:r>
          </w:p>
        </w:tc>
        <w:tc>
          <w:tcPr>
            <w:tcW w:w="1015" w:type="dxa"/>
            <w:vMerge w:val="restart"/>
            <w:tcBorders>
              <w:top w:val="single" w:color="auto" w:sz="8" w:space="0"/>
              <w:left w:val="single" w:color="auto" w:sz="2" w:space="0"/>
              <w:bottom w:val="single" w:color="auto" w:sz="2" w:space="0"/>
              <w:right w:val="nil"/>
            </w:tcBorders>
            <w:vAlign w:val="center"/>
          </w:tcPr>
          <w:p w14:paraId="5F85D7DD">
            <w:pPr>
              <w:spacing w:line="240" w:lineRule="exact"/>
              <w:ind w:right="-41"/>
              <w:jc w:val="center"/>
              <w:rPr>
                <w:sz w:val="18"/>
                <w:szCs w:val="18"/>
              </w:rPr>
            </w:pPr>
            <w:r>
              <w:rPr>
                <w:sz w:val="18"/>
                <w:szCs w:val="18"/>
              </w:rPr>
              <w:t>销售量</w:t>
            </w:r>
          </w:p>
          <w:p w14:paraId="756DA51C">
            <w:pPr>
              <w:spacing w:line="240" w:lineRule="exact"/>
              <w:ind w:right="-41"/>
              <w:jc w:val="center"/>
              <w:rPr>
                <w:sz w:val="18"/>
                <w:szCs w:val="18"/>
              </w:rPr>
            </w:pPr>
            <w:r>
              <w:rPr>
                <w:sz w:val="18"/>
                <w:szCs w:val="18"/>
              </w:rPr>
              <w:t>合  计</w:t>
            </w:r>
          </w:p>
        </w:tc>
        <w:tc>
          <w:tcPr>
            <w:tcW w:w="1872" w:type="dxa"/>
            <w:gridSpan w:val="2"/>
            <w:tcBorders>
              <w:top w:val="single" w:color="auto" w:sz="8" w:space="0"/>
              <w:left w:val="nil"/>
              <w:bottom w:val="single" w:color="auto" w:sz="2" w:space="0"/>
              <w:right w:val="single" w:color="auto" w:sz="2" w:space="0"/>
            </w:tcBorders>
            <w:vAlign w:val="center"/>
          </w:tcPr>
          <w:p w14:paraId="5C57CC4C">
            <w:pPr>
              <w:spacing w:line="240" w:lineRule="exact"/>
              <w:ind w:left="282" w:right="-41"/>
              <w:jc w:val="center"/>
              <w:rPr>
                <w:sz w:val="18"/>
                <w:szCs w:val="18"/>
              </w:rPr>
            </w:pPr>
          </w:p>
        </w:tc>
        <w:tc>
          <w:tcPr>
            <w:tcW w:w="963" w:type="dxa"/>
            <w:vMerge w:val="restart"/>
            <w:tcBorders>
              <w:top w:val="single" w:color="auto" w:sz="8" w:space="0"/>
              <w:left w:val="single" w:color="auto" w:sz="2" w:space="0"/>
              <w:bottom w:val="single" w:color="auto" w:sz="2" w:space="0"/>
              <w:right w:val="nil"/>
            </w:tcBorders>
            <w:vAlign w:val="center"/>
          </w:tcPr>
          <w:p w14:paraId="585CB13C">
            <w:pPr>
              <w:spacing w:line="240" w:lineRule="exact"/>
              <w:ind w:right="-41"/>
              <w:jc w:val="center"/>
              <w:rPr>
                <w:sz w:val="18"/>
                <w:szCs w:val="18"/>
              </w:rPr>
            </w:pPr>
            <w:r>
              <w:rPr>
                <w:sz w:val="18"/>
                <w:szCs w:val="18"/>
              </w:rPr>
              <w:t>期  末</w:t>
            </w:r>
          </w:p>
          <w:p w14:paraId="7135D103">
            <w:pPr>
              <w:spacing w:line="240" w:lineRule="exact"/>
              <w:ind w:right="-41"/>
              <w:jc w:val="center"/>
              <w:rPr>
                <w:sz w:val="18"/>
                <w:szCs w:val="18"/>
              </w:rPr>
            </w:pPr>
            <w:r>
              <w:rPr>
                <w:sz w:val="18"/>
                <w:szCs w:val="18"/>
              </w:rPr>
              <w:t>库存量</w:t>
            </w:r>
          </w:p>
        </w:tc>
      </w:tr>
      <w:tr w14:paraId="1E1D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5" w:hRule="atLeast"/>
          <w:jc w:val="center"/>
        </w:trPr>
        <w:tc>
          <w:tcPr>
            <w:tcW w:w="2099" w:type="dxa"/>
            <w:vMerge w:val="continue"/>
            <w:tcBorders>
              <w:top w:val="single" w:color="auto" w:sz="2" w:space="0"/>
              <w:left w:val="nil"/>
              <w:bottom w:val="single" w:color="auto" w:sz="2" w:space="0"/>
              <w:right w:val="single" w:color="auto" w:sz="2" w:space="0"/>
            </w:tcBorders>
            <w:vAlign w:val="center"/>
          </w:tcPr>
          <w:p w14:paraId="2D0670BD">
            <w:pPr>
              <w:widowControl/>
              <w:spacing w:line="240" w:lineRule="exact"/>
              <w:ind w:right="4"/>
              <w:jc w:val="center"/>
              <w:rPr>
                <w:sz w:val="18"/>
                <w:szCs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14:paraId="75193D0F">
            <w:pPr>
              <w:widowControl/>
              <w:spacing w:line="240" w:lineRule="exact"/>
              <w:ind w:right="-41"/>
              <w:jc w:val="center"/>
              <w:rPr>
                <w:sz w:val="18"/>
                <w:szCs w:val="18"/>
              </w:rPr>
            </w:pPr>
          </w:p>
        </w:tc>
        <w:tc>
          <w:tcPr>
            <w:tcW w:w="643" w:type="dxa"/>
            <w:vMerge w:val="continue"/>
            <w:tcBorders>
              <w:top w:val="single" w:color="auto" w:sz="2" w:space="0"/>
              <w:left w:val="single" w:color="auto" w:sz="2" w:space="0"/>
              <w:bottom w:val="single" w:color="auto" w:sz="2" w:space="0"/>
              <w:right w:val="single" w:color="auto" w:sz="2" w:space="0"/>
            </w:tcBorders>
            <w:vAlign w:val="center"/>
          </w:tcPr>
          <w:p w14:paraId="5D45834A">
            <w:pPr>
              <w:widowControl/>
              <w:spacing w:line="240" w:lineRule="exact"/>
              <w:ind w:right="-41"/>
              <w:jc w:val="center"/>
              <w:rPr>
                <w:sz w:val="18"/>
                <w:szCs w:val="18"/>
              </w:rPr>
            </w:pPr>
          </w:p>
        </w:tc>
        <w:tc>
          <w:tcPr>
            <w:tcW w:w="962" w:type="dxa"/>
            <w:vMerge w:val="continue"/>
            <w:tcBorders>
              <w:top w:val="single" w:color="auto" w:sz="2" w:space="0"/>
              <w:left w:val="single" w:color="auto" w:sz="2" w:space="0"/>
              <w:bottom w:val="single" w:color="auto" w:sz="2" w:space="0"/>
              <w:right w:val="single" w:color="auto" w:sz="2" w:space="0"/>
            </w:tcBorders>
            <w:vAlign w:val="center"/>
          </w:tcPr>
          <w:p w14:paraId="1DB93C1F">
            <w:pPr>
              <w:widowControl/>
              <w:spacing w:line="240" w:lineRule="exact"/>
              <w:ind w:right="-41"/>
              <w:jc w:val="center"/>
              <w:rPr>
                <w:sz w:val="18"/>
                <w:szCs w:val="18"/>
              </w:rPr>
            </w:pPr>
          </w:p>
        </w:tc>
        <w:tc>
          <w:tcPr>
            <w:tcW w:w="963" w:type="dxa"/>
            <w:vMerge w:val="continue"/>
            <w:tcBorders>
              <w:top w:val="single" w:color="auto" w:sz="2" w:space="0"/>
              <w:left w:val="single" w:color="auto" w:sz="2" w:space="0"/>
              <w:bottom w:val="single" w:color="auto" w:sz="2" w:space="0"/>
              <w:right w:val="single" w:color="auto" w:sz="2" w:space="0"/>
            </w:tcBorders>
            <w:vAlign w:val="center"/>
          </w:tcPr>
          <w:p w14:paraId="30C680D6">
            <w:pPr>
              <w:widowControl/>
              <w:spacing w:line="240" w:lineRule="exact"/>
              <w:ind w:right="-41"/>
              <w:jc w:val="center"/>
              <w:rPr>
                <w:sz w:val="18"/>
                <w:szCs w:val="18"/>
              </w:rPr>
            </w:pPr>
          </w:p>
        </w:tc>
        <w:tc>
          <w:tcPr>
            <w:tcW w:w="1015" w:type="dxa"/>
            <w:vMerge w:val="continue"/>
            <w:tcBorders>
              <w:top w:val="single" w:color="auto" w:sz="2" w:space="0"/>
              <w:left w:val="single" w:color="auto" w:sz="2" w:space="0"/>
              <w:bottom w:val="single" w:color="auto" w:sz="2" w:space="0"/>
              <w:right w:val="single" w:color="auto" w:sz="2" w:space="0"/>
            </w:tcBorders>
            <w:vAlign w:val="center"/>
          </w:tcPr>
          <w:p w14:paraId="66DF831E">
            <w:pPr>
              <w:spacing w:line="240" w:lineRule="exact"/>
              <w:ind w:right="-41"/>
              <w:jc w:val="center"/>
              <w:rPr>
                <w:sz w:val="18"/>
                <w:szCs w:val="18"/>
              </w:rPr>
            </w:pPr>
          </w:p>
        </w:tc>
        <w:tc>
          <w:tcPr>
            <w:tcW w:w="945" w:type="dxa"/>
            <w:tcBorders>
              <w:top w:val="single" w:color="auto" w:sz="2" w:space="0"/>
              <w:left w:val="single" w:color="auto" w:sz="2" w:space="0"/>
              <w:bottom w:val="single" w:color="auto" w:sz="2" w:space="0"/>
              <w:right w:val="single" w:color="auto" w:sz="2" w:space="0"/>
            </w:tcBorders>
            <w:vAlign w:val="center"/>
          </w:tcPr>
          <w:p w14:paraId="071A3E52">
            <w:pPr>
              <w:spacing w:line="240" w:lineRule="exact"/>
              <w:ind w:right="-41"/>
              <w:jc w:val="center"/>
              <w:rPr>
                <w:sz w:val="18"/>
                <w:szCs w:val="18"/>
              </w:rPr>
            </w:pPr>
            <w:r>
              <w:rPr>
                <w:sz w:val="18"/>
                <w:szCs w:val="18"/>
              </w:rPr>
              <w:t>自产自用</w:t>
            </w:r>
          </w:p>
        </w:tc>
        <w:tc>
          <w:tcPr>
            <w:tcW w:w="927" w:type="dxa"/>
            <w:tcBorders>
              <w:top w:val="single" w:color="auto" w:sz="2" w:space="0"/>
              <w:left w:val="single" w:color="auto" w:sz="2" w:space="0"/>
              <w:bottom w:val="single" w:color="auto" w:sz="2" w:space="0"/>
              <w:right w:val="single" w:color="auto" w:sz="2" w:space="0"/>
            </w:tcBorders>
            <w:vAlign w:val="center"/>
          </w:tcPr>
          <w:p w14:paraId="7BA93E2C">
            <w:pPr>
              <w:spacing w:line="240" w:lineRule="exact"/>
              <w:ind w:right="-41"/>
              <w:jc w:val="center"/>
              <w:rPr>
                <w:sz w:val="18"/>
                <w:szCs w:val="18"/>
              </w:rPr>
            </w:pPr>
            <w:r>
              <w:rPr>
                <w:sz w:val="18"/>
                <w:szCs w:val="18"/>
              </w:rPr>
              <w:t>售于批发</w:t>
            </w:r>
          </w:p>
          <w:p w14:paraId="5140186F">
            <w:pPr>
              <w:spacing w:line="240" w:lineRule="exact"/>
              <w:ind w:right="-41"/>
              <w:jc w:val="center"/>
              <w:rPr>
                <w:sz w:val="18"/>
                <w:szCs w:val="18"/>
              </w:rPr>
            </w:pPr>
            <w:r>
              <w:rPr>
                <w:sz w:val="18"/>
                <w:szCs w:val="18"/>
              </w:rPr>
              <w:t>零售企业</w:t>
            </w:r>
          </w:p>
        </w:tc>
        <w:tc>
          <w:tcPr>
            <w:tcW w:w="963" w:type="dxa"/>
            <w:vMerge w:val="continue"/>
            <w:tcBorders>
              <w:top w:val="single" w:color="auto" w:sz="2" w:space="0"/>
              <w:left w:val="single" w:color="auto" w:sz="2" w:space="0"/>
              <w:bottom w:val="single" w:color="auto" w:sz="2" w:space="0"/>
              <w:right w:val="nil"/>
            </w:tcBorders>
            <w:vAlign w:val="center"/>
          </w:tcPr>
          <w:p w14:paraId="16001E33">
            <w:pPr>
              <w:widowControl/>
              <w:spacing w:line="240" w:lineRule="exact"/>
              <w:ind w:right="-41"/>
              <w:jc w:val="center"/>
              <w:rPr>
                <w:sz w:val="18"/>
                <w:szCs w:val="18"/>
              </w:rPr>
            </w:pPr>
          </w:p>
        </w:tc>
      </w:tr>
      <w:tr w14:paraId="19F4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exact"/>
          <w:jc w:val="center"/>
        </w:trPr>
        <w:tc>
          <w:tcPr>
            <w:tcW w:w="2099" w:type="dxa"/>
            <w:tcBorders>
              <w:top w:val="single" w:color="auto" w:sz="2" w:space="0"/>
              <w:left w:val="nil"/>
              <w:bottom w:val="single" w:color="auto" w:sz="2" w:space="0"/>
              <w:right w:val="single" w:color="auto" w:sz="2" w:space="0"/>
            </w:tcBorders>
            <w:vAlign w:val="center"/>
          </w:tcPr>
          <w:p w14:paraId="68EA2C20">
            <w:pPr>
              <w:spacing w:line="240" w:lineRule="atLeast"/>
              <w:ind w:right="0"/>
              <w:jc w:val="center"/>
              <w:rPr>
                <w:sz w:val="18"/>
                <w:szCs w:val="18"/>
              </w:rPr>
            </w:pPr>
            <w:r>
              <w:rPr>
                <w:sz w:val="18"/>
                <w:szCs w:val="18"/>
              </w:rPr>
              <w:t>甲</w:t>
            </w:r>
          </w:p>
        </w:tc>
        <w:tc>
          <w:tcPr>
            <w:tcW w:w="900" w:type="dxa"/>
            <w:tcBorders>
              <w:top w:val="single" w:color="auto" w:sz="2" w:space="0"/>
              <w:left w:val="single" w:color="auto" w:sz="2" w:space="0"/>
              <w:bottom w:val="single" w:color="auto" w:sz="2" w:space="0"/>
              <w:right w:val="single" w:color="auto" w:sz="2" w:space="0"/>
            </w:tcBorders>
            <w:vAlign w:val="center"/>
          </w:tcPr>
          <w:p w14:paraId="29DE55D9">
            <w:pPr>
              <w:spacing w:line="240" w:lineRule="atLeast"/>
              <w:ind w:right="0"/>
              <w:jc w:val="center"/>
              <w:rPr>
                <w:sz w:val="18"/>
                <w:szCs w:val="18"/>
              </w:rPr>
            </w:pPr>
            <w:r>
              <w:rPr>
                <w:sz w:val="18"/>
                <w:szCs w:val="18"/>
              </w:rPr>
              <w:t>乙</w:t>
            </w:r>
          </w:p>
        </w:tc>
        <w:tc>
          <w:tcPr>
            <w:tcW w:w="643" w:type="dxa"/>
            <w:tcBorders>
              <w:top w:val="single" w:color="auto" w:sz="2" w:space="0"/>
              <w:left w:val="single" w:color="auto" w:sz="2" w:space="0"/>
              <w:bottom w:val="single" w:color="auto" w:sz="2" w:space="0"/>
              <w:right w:val="single" w:color="auto" w:sz="2" w:space="0"/>
            </w:tcBorders>
            <w:vAlign w:val="center"/>
          </w:tcPr>
          <w:p w14:paraId="2EB7C856">
            <w:pPr>
              <w:spacing w:line="240" w:lineRule="atLeast"/>
              <w:ind w:right="0"/>
              <w:jc w:val="center"/>
              <w:rPr>
                <w:sz w:val="18"/>
                <w:szCs w:val="18"/>
              </w:rPr>
            </w:pPr>
            <w:r>
              <w:rPr>
                <w:sz w:val="18"/>
                <w:szCs w:val="18"/>
              </w:rPr>
              <w:t>丙</w:t>
            </w:r>
          </w:p>
        </w:tc>
        <w:tc>
          <w:tcPr>
            <w:tcW w:w="962" w:type="dxa"/>
            <w:tcBorders>
              <w:top w:val="single" w:color="auto" w:sz="2" w:space="0"/>
              <w:left w:val="single" w:color="auto" w:sz="2" w:space="0"/>
              <w:bottom w:val="single" w:color="auto" w:sz="2" w:space="0"/>
              <w:right w:val="single" w:color="auto" w:sz="2" w:space="0"/>
            </w:tcBorders>
            <w:vAlign w:val="center"/>
          </w:tcPr>
          <w:p w14:paraId="19DFDFC1">
            <w:pPr>
              <w:spacing w:line="240" w:lineRule="atLeast"/>
              <w:ind w:right="0"/>
              <w:jc w:val="center"/>
              <w:rPr>
                <w:sz w:val="18"/>
                <w:szCs w:val="18"/>
              </w:rPr>
            </w:pPr>
            <w:r>
              <w:rPr>
                <w:sz w:val="18"/>
                <w:szCs w:val="18"/>
              </w:rPr>
              <w:t>1</w:t>
            </w:r>
          </w:p>
        </w:tc>
        <w:tc>
          <w:tcPr>
            <w:tcW w:w="963" w:type="dxa"/>
            <w:tcBorders>
              <w:top w:val="single" w:color="auto" w:sz="2" w:space="0"/>
              <w:left w:val="single" w:color="auto" w:sz="2" w:space="0"/>
              <w:bottom w:val="single" w:color="auto" w:sz="2" w:space="0"/>
              <w:right w:val="single" w:color="auto" w:sz="2" w:space="0"/>
            </w:tcBorders>
            <w:vAlign w:val="center"/>
          </w:tcPr>
          <w:p w14:paraId="1741CD16">
            <w:pPr>
              <w:spacing w:line="240" w:lineRule="atLeast"/>
              <w:ind w:right="0"/>
              <w:jc w:val="center"/>
              <w:rPr>
                <w:sz w:val="18"/>
                <w:szCs w:val="18"/>
              </w:rPr>
            </w:pPr>
            <w:r>
              <w:rPr>
                <w:sz w:val="18"/>
                <w:szCs w:val="18"/>
              </w:rPr>
              <w:t>2</w:t>
            </w:r>
          </w:p>
        </w:tc>
        <w:tc>
          <w:tcPr>
            <w:tcW w:w="1015" w:type="dxa"/>
            <w:tcBorders>
              <w:top w:val="single" w:color="auto" w:sz="2" w:space="0"/>
              <w:left w:val="single" w:color="auto" w:sz="2" w:space="0"/>
              <w:bottom w:val="single" w:color="auto" w:sz="2" w:space="0"/>
              <w:right w:val="single" w:color="auto" w:sz="2" w:space="0"/>
            </w:tcBorders>
            <w:vAlign w:val="center"/>
          </w:tcPr>
          <w:p w14:paraId="715C7242">
            <w:pPr>
              <w:spacing w:line="240" w:lineRule="atLeast"/>
              <w:ind w:right="0"/>
              <w:jc w:val="center"/>
              <w:rPr>
                <w:sz w:val="18"/>
                <w:szCs w:val="18"/>
              </w:rPr>
            </w:pPr>
            <w:r>
              <w:rPr>
                <w:sz w:val="18"/>
                <w:szCs w:val="18"/>
              </w:rPr>
              <w:t>3</w:t>
            </w:r>
          </w:p>
        </w:tc>
        <w:tc>
          <w:tcPr>
            <w:tcW w:w="945" w:type="dxa"/>
            <w:tcBorders>
              <w:top w:val="single" w:color="auto" w:sz="2" w:space="0"/>
              <w:left w:val="single" w:color="auto" w:sz="2" w:space="0"/>
              <w:bottom w:val="single" w:color="auto" w:sz="2" w:space="0"/>
              <w:right w:val="single" w:color="auto" w:sz="2" w:space="0"/>
            </w:tcBorders>
            <w:vAlign w:val="center"/>
          </w:tcPr>
          <w:p w14:paraId="550391C2">
            <w:pPr>
              <w:spacing w:line="240" w:lineRule="atLeast"/>
              <w:ind w:right="0"/>
              <w:jc w:val="center"/>
              <w:rPr>
                <w:sz w:val="18"/>
                <w:szCs w:val="18"/>
              </w:rPr>
            </w:pPr>
            <w:r>
              <w:rPr>
                <w:sz w:val="18"/>
                <w:szCs w:val="18"/>
              </w:rPr>
              <w:t>4</w:t>
            </w:r>
          </w:p>
        </w:tc>
        <w:tc>
          <w:tcPr>
            <w:tcW w:w="927" w:type="dxa"/>
            <w:tcBorders>
              <w:top w:val="single" w:color="auto" w:sz="2" w:space="0"/>
              <w:left w:val="single" w:color="auto" w:sz="2" w:space="0"/>
              <w:bottom w:val="single" w:color="auto" w:sz="2" w:space="0"/>
              <w:right w:val="single" w:color="auto" w:sz="2" w:space="0"/>
            </w:tcBorders>
            <w:vAlign w:val="center"/>
          </w:tcPr>
          <w:p w14:paraId="712AA28B">
            <w:pPr>
              <w:spacing w:line="240" w:lineRule="atLeast"/>
              <w:ind w:right="0"/>
              <w:jc w:val="center"/>
              <w:rPr>
                <w:sz w:val="18"/>
                <w:szCs w:val="18"/>
              </w:rPr>
            </w:pPr>
            <w:r>
              <w:rPr>
                <w:sz w:val="18"/>
                <w:szCs w:val="18"/>
              </w:rPr>
              <w:t>5</w:t>
            </w:r>
          </w:p>
        </w:tc>
        <w:tc>
          <w:tcPr>
            <w:tcW w:w="963" w:type="dxa"/>
            <w:tcBorders>
              <w:top w:val="single" w:color="auto" w:sz="2" w:space="0"/>
              <w:left w:val="single" w:color="auto" w:sz="2" w:space="0"/>
              <w:bottom w:val="single" w:color="auto" w:sz="2" w:space="0"/>
              <w:right w:val="nil"/>
            </w:tcBorders>
            <w:vAlign w:val="center"/>
          </w:tcPr>
          <w:p w14:paraId="3D9BE235">
            <w:pPr>
              <w:spacing w:line="240" w:lineRule="atLeast"/>
              <w:ind w:right="0"/>
              <w:jc w:val="center"/>
              <w:rPr>
                <w:sz w:val="18"/>
                <w:szCs w:val="18"/>
              </w:rPr>
            </w:pPr>
            <w:r>
              <w:rPr>
                <w:sz w:val="18"/>
                <w:szCs w:val="18"/>
              </w:rPr>
              <w:t>6</w:t>
            </w:r>
          </w:p>
        </w:tc>
      </w:tr>
      <w:tr w14:paraId="1D1F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2" w:hRule="atLeast"/>
          <w:jc w:val="center"/>
        </w:trPr>
        <w:tc>
          <w:tcPr>
            <w:tcW w:w="2099" w:type="dxa"/>
            <w:tcBorders>
              <w:top w:val="single" w:color="auto" w:sz="2" w:space="0"/>
              <w:left w:val="nil"/>
              <w:bottom w:val="single" w:color="auto" w:sz="8" w:space="0"/>
              <w:right w:val="single" w:color="auto" w:sz="2" w:space="0"/>
            </w:tcBorders>
            <w:vAlign w:val="center"/>
          </w:tcPr>
          <w:p w14:paraId="25DF21BE">
            <w:pPr>
              <w:spacing w:line="240" w:lineRule="exact"/>
              <w:ind w:right="4"/>
              <w:jc w:val="center"/>
              <w:rPr>
                <w:sz w:val="18"/>
                <w:szCs w:val="18"/>
              </w:rPr>
            </w:pPr>
            <w:r>
              <w:rPr>
                <w:sz w:val="18"/>
                <w:szCs w:val="18"/>
              </w:rPr>
              <w:t>原      油</w:t>
            </w:r>
          </w:p>
          <w:p w14:paraId="58D2EC38">
            <w:pPr>
              <w:spacing w:line="240" w:lineRule="exact"/>
              <w:ind w:right="4"/>
              <w:jc w:val="center"/>
              <w:rPr>
                <w:sz w:val="18"/>
                <w:szCs w:val="18"/>
              </w:rPr>
            </w:pPr>
            <w:r>
              <w:rPr>
                <w:sz w:val="18"/>
                <w:szCs w:val="18"/>
              </w:rPr>
              <w:t>成品油合计</w:t>
            </w:r>
          </w:p>
          <w:p w14:paraId="066FFF22">
            <w:pPr>
              <w:spacing w:line="240" w:lineRule="exact"/>
              <w:ind w:right="4"/>
              <w:jc w:val="center"/>
              <w:rPr>
                <w:sz w:val="18"/>
                <w:szCs w:val="18"/>
              </w:rPr>
            </w:pPr>
            <w:r>
              <w:rPr>
                <w:sz w:val="18"/>
                <w:szCs w:val="18"/>
              </w:rPr>
              <w:t>汽      油</w:t>
            </w:r>
          </w:p>
          <w:p w14:paraId="51B17D71">
            <w:pPr>
              <w:spacing w:line="240" w:lineRule="exact"/>
              <w:ind w:right="4"/>
              <w:jc w:val="center"/>
              <w:rPr>
                <w:sz w:val="18"/>
                <w:szCs w:val="18"/>
              </w:rPr>
            </w:pPr>
            <w:r>
              <w:rPr>
                <w:sz w:val="18"/>
                <w:szCs w:val="18"/>
              </w:rPr>
              <w:t>煤      油</w:t>
            </w:r>
          </w:p>
          <w:p w14:paraId="2FEBEEEE">
            <w:pPr>
              <w:spacing w:line="240" w:lineRule="exact"/>
              <w:ind w:right="4"/>
              <w:jc w:val="center"/>
              <w:rPr>
                <w:sz w:val="18"/>
                <w:szCs w:val="18"/>
              </w:rPr>
            </w:pPr>
            <w:r>
              <w:rPr>
                <w:sz w:val="18"/>
                <w:szCs w:val="18"/>
              </w:rPr>
              <w:t>柴      油</w:t>
            </w:r>
          </w:p>
          <w:p w14:paraId="1F26E103">
            <w:pPr>
              <w:spacing w:line="240" w:lineRule="exact"/>
              <w:ind w:right="4"/>
              <w:jc w:val="center"/>
              <w:rPr>
                <w:sz w:val="18"/>
                <w:szCs w:val="18"/>
              </w:rPr>
            </w:pPr>
            <w:r>
              <w:rPr>
                <w:sz w:val="18"/>
                <w:szCs w:val="18"/>
              </w:rPr>
              <w:t>燃  料  油</w:t>
            </w:r>
          </w:p>
          <w:p w14:paraId="4ABE2B4A">
            <w:pPr>
              <w:spacing w:line="240" w:lineRule="exact"/>
              <w:ind w:right="4"/>
              <w:jc w:val="center"/>
              <w:rPr>
                <w:sz w:val="18"/>
                <w:szCs w:val="18"/>
              </w:rPr>
            </w:pPr>
            <w:r>
              <w:rPr>
                <w:sz w:val="18"/>
                <w:szCs w:val="18"/>
              </w:rPr>
              <w:t>润  滑  油</w:t>
            </w:r>
          </w:p>
        </w:tc>
        <w:tc>
          <w:tcPr>
            <w:tcW w:w="900" w:type="dxa"/>
            <w:tcBorders>
              <w:top w:val="single" w:color="auto" w:sz="2" w:space="0"/>
              <w:left w:val="single" w:color="auto" w:sz="2" w:space="0"/>
              <w:bottom w:val="single" w:color="auto" w:sz="8" w:space="0"/>
              <w:right w:val="single" w:color="auto" w:sz="2" w:space="0"/>
            </w:tcBorders>
            <w:vAlign w:val="center"/>
          </w:tcPr>
          <w:p w14:paraId="31EAA1CB">
            <w:pPr>
              <w:spacing w:line="240" w:lineRule="exact"/>
              <w:ind w:right="-41"/>
              <w:jc w:val="center"/>
              <w:rPr>
                <w:sz w:val="18"/>
                <w:szCs w:val="18"/>
              </w:rPr>
            </w:pPr>
            <w:r>
              <w:rPr>
                <w:sz w:val="18"/>
                <w:szCs w:val="18"/>
              </w:rPr>
              <w:t>吨</w:t>
            </w:r>
          </w:p>
          <w:p w14:paraId="0F8B626B">
            <w:pPr>
              <w:spacing w:line="240" w:lineRule="exact"/>
              <w:ind w:right="-41"/>
              <w:jc w:val="center"/>
              <w:rPr>
                <w:sz w:val="18"/>
                <w:szCs w:val="18"/>
              </w:rPr>
            </w:pPr>
            <w:r>
              <w:rPr>
                <w:sz w:val="18"/>
                <w:szCs w:val="18"/>
              </w:rPr>
              <w:t>吨</w:t>
            </w:r>
          </w:p>
          <w:p w14:paraId="326EF9A5">
            <w:pPr>
              <w:spacing w:line="240" w:lineRule="exact"/>
              <w:ind w:right="-41"/>
              <w:jc w:val="center"/>
              <w:rPr>
                <w:sz w:val="18"/>
                <w:szCs w:val="18"/>
              </w:rPr>
            </w:pPr>
            <w:r>
              <w:rPr>
                <w:sz w:val="18"/>
                <w:szCs w:val="18"/>
              </w:rPr>
              <w:t>吨</w:t>
            </w:r>
          </w:p>
          <w:p w14:paraId="756DD9E3">
            <w:pPr>
              <w:spacing w:line="240" w:lineRule="exact"/>
              <w:ind w:right="-41"/>
              <w:jc w:val="center"/>
              <w:rPr>
                <w:sz w:val="18"/>
                <w:szCs w:val="18"/>
              </w:rPr>
            </w:pPr>
            <w:r>
              <w:rPr>
                <w:sz w:val="18"/>
                <w:szCs w:val="18"/>
              </w:rPr>
              <w:t>吨</w:t>
            </w:r>
          </w:p>
          <w:p w14:paraId="78B9C4F1">
            <w:pPr>
              <w:spacing w:line="240" w:lineRule="exact"/>
              <w:ind w:right="-41"/>
              <w:jc w:val="center"/>
              <w:rPr>
                <w:sz w:val="18"/>
                <w:szCs w:val="18"/>
              </w:rPr>
            </w:pPr>
            <w:r>
              <w:rPr>
                <w:sz w:val="18"/>
                <w:szCs w:val="18"/>
              </w:rPr>
              <w:t>吨</w:t>
            </w:r>
          </w:p>
          <w:p w14:paraId="5CB930A2">
            <w:pPr>
              <w:spacing w:line="240" w:lineRule="exact"/>
              <w:ind w:right="-41"/>
              <w:jc w:val="center"/>
              <w:rPr>
                <w:sz w:val="18"/>
                <w:szCs w:val="18"/>
              </w:rPr>
            </w:pPr>
            <w:r>
              <w:rPr>
                <w:sz w:val="18"/>
                <w:szCs w:val="18"/>
              </w:rPr>
              <w:t>吨</w:t>
            </w:r>
          </w:p>
          <w:p w14:paraId="3D5C9B54">
            <w:pPr>
              <w:spacing w:line="240" w:lineRule="exact"/>
              <w:ind w:right="-41"/>
              <w:jc w:val="center"/>
              <w:rPr>
                <w:sz w:val="18"/>
                <w:szCs w:val="18"/>
              </w:rPr>
            </w:pPr>
            <w:r>
              <w:rPr>
                <w:sz w:val="18"/>
                <w:szCs w:val="18"/>
              </w:rPr>
              <w:t>吨</w:t>
            </w:r>
          </w:p>
        </w:tc>
        <w:tc>
          <w:tcPr>
            <w:tcW w:w="643" w:type="dxa"/>
            <w:tcBorders>
              <w:top w:val="single" w:color="auto" w:sz="2" w:space="0"/>
              <w:left w:val="single" w:color="auto" w:sz="2" w:space="0"/>
              <w:bottom w:val="single" w:color="auto" w:sz="8" w:space="0"/>
              <w:right w:val="single" w:color="auto" w:sz="2" w:space="0"/>
            </w:tcBorders>
            <w:vAlign w:val="center"/>
          </w:tcPr>
          <w:p w14:paraId="74B35391">
            <w:pPr>
              <w:spacing w:line="240" w:lineRule="exact"/>
              <w:ind w:right="-41"/>
              <w:jc w:val="center"/>
              <w:rPr>
                <w:sz w:val="18"/>
                <w:szCs w:val="18"/>
              </w:rPr>
            </w:pPr>
            <w:r>
              <w:rPr>
                <w:sz w:val="18"/>
                <w:szCs w:val="18"/>
              </w:rPr>
              <w:t>01</w:t>
            </w:r>
          </w:p>
          <w:p w14:paraId="4437C58B">
            <w:pPr>
              <w:spacing w:line="240" w:lineRule="exact"/>
              <w:ind w:right="-41"/>
              <w:jc w:val="center"/>
              <w:rPr>
                <w:sz w:val="18"/>
                <w:szCs w:val="18"/>
              </w:rPr>
            </w:pPr>
            <w:r>
              <w:rPr>
                <w:sz w:val="18"/>
                <w:szCs w:val="18"/>
              </w:rPr>
              <w:t>02</w:t>
            </w:r>
          </w:p>
          <w:p w14:paraId="2418690B">
            <w:pPr>
              <w:spacing w:line="240" w:lineRule="exact"/>
              <w:ind w:right="-41"/>
              <w:jc w:val="center"/>
              <w:rPr>
                <w:sz w:val="18"/>
                <w:szCs w:val="18"/>
              </w:rPr>
            </w:pPr>
            <w:r>
              <w:rPr>
                <w:sz w:val="18"/>
                <w:szCs w:val="18"/>
              </w:rPr>
              <w:t>03</w:t>
            </w:r>
          </w:p>
          <w:p w14:paraId="076D7735">
            <w:pPr>
              <w:spacing w:line="240" w:lineRule="exact"/>
              <w:ind w:right="-41"/>
              <w:jc w:val="center"/>
              <w:rPr>
                <w:sz w:val="18"/>
                <w:szCs w:val="18"/>
              </w:rPr>
            </w:pPr>
            <w:r>
              <w:rPr>
                <w:sz w:val="18"/>
                <w:szCs w:val="18"/>
              </w:rPr>
              <w:t>04</w:t>
            </w:r>
          </w:p>
          <w:p w14:paraId="2E3C20C9">
            <w:pPr>
              <w:spacing w:line="240" w:lineRule="exact"/>
              <w:ind w:right="-41"/>
              <w:jc w:val="center"/>
              <w:rPr>
                <w:sz w:val="18"/>
                <w:szCs w:val="18"/>
              </w:rPr>
            </w:pPr>
            <w:r>
              <w:rPr>
                <w:sz w:val="18"/>
                <w:szCs w:val="18"/>
              </w:rPr>
              <w:t>05</w:t>
            </w:r>
          </w:p>
          <w:p w14:paraId="6343B6B6">
            <w:pPr>
              <w:spacing w:line="240" w:lineRule="exact"/>
              <w:ind w:right="-41"/>
              <w:jc w:val="center"/>
              <w:rPr>
                <w:sz w:val="18"/>
                <w:szCs w:val="18"/>
              </w:rPr>
            </w:pPr>
            <w:r>
              <w:rPr>
                <w:sz w:val="18"/>
                <w:szCs w:val="18"/>
              </w:rPr>
              <w:t>06</w:t>
            </w:r>
          </w:p>
          <w:p w14:paraId="222BA7E9">
            <w:pPr>
              <w:spacing w:line="240" w:lineRule="exact"/>
              <w:ind w:right="-41"/>
              <w:jc w:val="center"/>
              <w:rPr>
                <w:sz w:val="18"/>
                <w:szCs w:val="18"/>
              </w:rPr>
            </w:pPr>
            <w:r>
              <w:rPr>
                <w:sz w:val="18"/>
                <w:szCs w:val="18"/>
              </w:rPr>
              <w:t>07</w:t>
            </w:r>
          </w:p>
        </w:tc>
        <w:tc>
          <w:tcPr>
            <w:tcW w:w="5775" w:type="dxa"/>
            <w:gridSpan w:val="6"/>
            <w:tcBorders>
              <w:top w:val="single" w:color="auto" w:sz="2" w:space="0"/>
              <w:left w:val="single" w:color="auto" w:sz="2" w:space="0"/>
              <w:bottom w:val="single" w:color="auto" w:sz="8" w:space="0"/>
              <w:right w:val="nil"/>
            </w:tcBorders>
            <w:vAlign w:val="center"/>
          </w:tcPr>
          <w:p w14:paraId="45A8F51D">
            <w:pPr>
              <w:spacing w:line="240" w:lineRule="exact"/>
              <w:ind w:right="-41"/>
              <w:jc w:val="center"/>
              <w:rPr>
                <w:sz w:val="18"/>
                <w:szCs w:val="18"/>
              </w:rPr>
            </w:pPr>
          </w:p>
        </w:tc>
      </w:tr>
    </w:tbl>
    <w:p w14:paraId="172D406C">
      <w:pPr>
        <w:spacing w:line="280" w:lineRule="exact"/>
        <w:ind w:right="-38"/>
        <w:rPr>
          <w:sz w:val="18"/>
        </w:rPr>
      </w:pPr>
      <w:r>
        <w:rPr>
          <w:sz w:val="18"/>
        </w:rPr>
        <w:t>单位负责人：             统计负责人：         填表人：          联系电话：       报出日期：２０　年　月　日</w:t>
      </w:r>
    </w:p>
    <w:p w14:paraId="337F1FE0">
      <w:pPr>
        <w:spacing w:before="120" w:beforeLines="50" w:line="320" w:lineRule="exact"/>
        <w:ind w:left="1530" w:hanging="1530" w:hangingChars="850"/>
        <w:rPr>
          <w:sz w:val="18"/>
          <w:szCs w:val="18"/>
        </w:rPr>
      </w:pPr>
      <w:r>
        <w:rPr>
          <w:sz w:val="18"/>
          <w:szCs w:val="18"/>
        </w:rPr>
        <w:t>说明：1.统计范围：</w:t>
      </w:r>
      <w:r>
        <w:rPr>
          <w:spacing w:val="-12"/>
          <w:sz w:val="18"/>
          <w:szCs w:val="18"/>
        </w:rPr>
        <w:t>中国石油天然气股份有限公司、中国石油化工股份有限公司、中国海洋石油总公司所属的石油生产企业。</w:t>
      </w:r>
    </w:p>
    <w:p w14:paraId="4782345A">
      <w:pPr>
        <w:spacing w:line="280" w:lineRule="exact"/>
        <w:ind w:right="-516" w:firstLine="540" w:firstLineChars="300"/>
        <w:rPr>
          <w:sz w:val="18"/>
          <w:szCs w:val="18"/>
        </w:rPr>
      </w:pPr>
      <w:r>
        <w:rPr>
          <w:sz w:val="18"/>
          <w:szCs w:val="18"/>
        </w:rPr>
        <w:t>2.报送时间为月后15日前，报送方式为邮寄或电子邮件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szCs w:val="18"/>
        </w:rPr>
        <w:t>。</w:t>
      </w:r>
    </w:p>
    <w:p w14:paraId="725DD806">
      <w:pPr>
        <w:spacing w:line="280" w:lineRule="exact"/>
        <w:ind w:firstLine="540" w:firstLineChars="300"/>
        <w:jc w:val="left"/>
        <w:rPr>
          <w:sz w:val="18"/>
          <w:szCs w:val="18"/>
        </w:rPr>
      </w:pPr>
      <w:r>
        <w:rPr>
          <w:sz w:val="18"/>
          <w:szCs w:val="18"/>
        </w:rPr>
        <w:t>3.本表由中国石油天然气股份有限公司、中国石油化工股份有限公司、中国海洋石油总公司报送。</w:t>
      </w:r>
    </w:p>
    <w:p w14:paraId="0DA1223E">
      <w:pPr>
        <w:numPr>
          <w:ilvl w:val="0"/>
          <w:numId w:val="1"/>
        </w:numPr>
        <w:spacing w:line="280" w:lineRule="exact"/>
        <w:ind w:firstLine="540" w:firstLineChars="300"/>
        <w:jc w:val="left"/>
        <w:rPr>
          <w:sz w:val="18"/>
          <w:szCs w:val="18"/>
        </w:rPr>
      </w:pPr>
      <w:r>
        <w:rPr>
          <w:sz w:val="18"/>
          <w:szCs w:val="18"/>
        </w:rPr>
        <w:t>本表数据从上述三公司现有石油产品生产、销售与库存业务报表取得，国家统计局不另行制发基层表。</w:t>
      </w:r>
    </w:p>
    <w:p w14:paraId="72A2F91A">
      <w:pPr>
        <w:spacing w:line="240" w:lineRule="atLeast"/>
        <w:ind w:right="-516"/>
        <w:jc w:val="left"/>
        <w:rPr>
          <w:sz w:val="32"/>
        </w:rPr>
      </w:pPr>
    </w:p>
    <w:p w14:paraId="506871B4">
      <w:pPr>
        <w:spacing w:before="0" w:beforeLines="-2147483648" w:after="0" w:afterLines="-2147483648"/>
        <w:jc w:val="left"/>
        <w:outlineLvl w:val="9"/>
        <w:rPr>
          <w:sz w:val="32"/>
        </w:rPr>
      </w:pPr>
      <w:r>
        <w:rPr>
          <w:sz w:val="32"/>
        </w:rPr>
        <w:br w:type="page"/>
      </w:r>
    </w:p>
    <w:p w14:paraId="4A291F6B">
      <w:pPr>
        <w:spacing w:before="287" w:beforeLines="100" w:after="287" w:afterLines="100"/>
        <w:jc w:val="center"/>
        <w:outlineLvl w:val="2"/>
        <w:rPr>
          <w:sz w:val="32"/>
          <w:szCs w:val="32"/>
        </w:rPr>
      </w:pPr>
      <w:r>
        <w:rPr>
          <w:sz w:val="32"/>
          <w:szCs w:val="32"/>
        </w:rPr>
        <w:t>石油销售企业石油商品购进、销售与库存</w:t>
      </w:r>
    </w:p>
    <w:tbl>
      <w:tblPr>
        <w:tblStyle w:val="20"/>
        <w:tblW w:w="9402" w:type="dxa"/>
        <w:jc w:val="center"/>
        <w:tblLayout w:type="autofit"/>
        <w:tblCellMar>
          <w:top w:w="0" w:type="dxa"/>
          <w:left w:w="0" w:type="dxa"/>
          <w:bottom w:w="0" w:type="dxa"/>
          <w:right w:w="0" w:type="dxa"/>
        </w:tblCellMar>
      </w:tblPr>
      <w:tblGrid>
        <w:gridCol w:w="3355"/>
        <w:gridCol w:w="546"/>
        <w:gridCol w:w="2740"/>
        <w:gridCol w:w="875"/>
        <w:gridCol w:w="1886"/>
      </w:tblGrid>
      <w:tr w14:paraId="1C57AD3B">
        <w:tblPrEx>
          <w:tblCellMar>
            <w:top w:w="0" w:type="dxa"/>
            <w:left w:w="0" w:type="dxa"/>
            <w:bottom w:w="0" w:type="dxa"/>
            <w:right w:w="0" w:type="dxa"/>
          </w:tblCellMar>
        </w:tblPrEx>
        <w:trPr>
          <w:jc w:val="center"/>
        </w:trPr>
        <w:tc>
          <w:tcPr>
            <w:tcW w:w="3355" w:type="dxa"/>
          </w:tcPr>
          <w:p w14:paraId="0D32D7A6">
            <w:pPr>
              <w:spacing w:line="260" w:lineRule="exact"/>
              <w:rPr>
                <w:sz w:val="18"/>
                <w:szCs w:val="18"/>
              </w:rPr>
            </w:pPr>
          </w:p>
        </w:tc>
        <w:tc>
          <w:tcPr>
            <w:tcW w:w="546" w:type="dxa"/>
          </w:tcPr>
          <w:p w14:paraId="2282FB0D">
            <w:pPr>
              <w:spacing w:line="260" w:lineRule="exact"/>
              <w:rPr>
                <w:sz w:val="18"/>
                <w:szCs w:val="18"/>
              </w:rPr>
            </w:pPr>
          </w:p>
        </w:tc>
        <w:tc>
          <w:tcPr>
            <w:tcW w:w="2740" w:type="dxa"/>
          </w:tcPr>
          <w:p w14:paraId="59580264">
            <w:pPr>
              <w:spacing w:line="260" w:lineRule="exact"/>
              <w:rPr>
                <w:sz w:val="18"/>
                <w:szCs w:val="18"/>
              </w:rPr>
            </w:pPr>
            <w:r>
              <w:rPr>
                <w:sz w:val="18"/>
                <w:szCs w:val="18"/>
              </w:rPr>
              <w:t>　　　　　　　　　　　　　</w:t>
            </w:r>
          </w:p>
        </w:tc>
        <w:tc>
          <w:tcPr>
            <w:tcW w:w="875" w:type="dxa"/>
            <w:tcMar>
              <w:left w:w="0" w:type="dxa"/>
              <w:right w:w="0" w:type="dxa"/>
            </w:tcMar>
          </w:tcPr>
          <w:p w14:paraId="6B65313C">
            <w:pPr>
              <w:spacing w:line="260" w:lineRule="exact"/>
              <w:rPr>
                <w:sz w:val="18"/>
                <w:szCs w:val="18"/>
              </w:rPr>
            </w:pPr>
            <w:r>
              <w:rPr>
                <w:sz w:val="18"/>
                <w:szCs w:val="18"/>
              </w:rPr>
              <w:t>表    号：</w:t>
            </w:r>
          </w:p>
        </w:tc>
        <w:tc>
          <w:tcPr>
            <w:tcW w:w="1886" w:type="dxa"/>
            <w:vAlign w:val="center"/>
          </w:tcPr>
          <w:p w14:paraId="48D3440B">
            <w:pPr>
              <w:spacing w:line="260" w:lineRule="exact"/>
              <w:rPr>
                <w:rFonts w:hint="eastAsia"/>
                <w:kern w:val="0"/>
                <w:sz w:val="18"/>
                <w:szCs w:val="18"/>
              </w:rPr>
            </w:pPr>
            <w:r>
              <w:rPr>
                <w:rFonts w:hint="eastAsia"/>
                <w:spacing w:val="80"/>
                <w:kern w:val="0"/>
                <w:sz w:val="18"/>
                <w:szCs w:val="18"/>
                <w:fitText w:val="1880" w:id="2031299230"/>
              </w:rPr>
              <w:t>ＺＹ４０２</w:t>
            </w:r>
            <w:r>
              <w:rPr>
                <w:rFonts w:hint="eastAsia"/>
                <w:spacing w:val="0"/>
                <w:kern w:val="0"/>
                <w:sz w:val="18"/>
                <w:szCs w:val="18"/>
                <w:fitText w:val="1880" w:id="2031299230"/>
              </w:rPr>
              <w:t>表</w:t>
            </w:r>
          </w:p>
          <w:p w14:paraId="682F94E0">
            <w:pPr>
              <w:spacing w:line="260" w:lineRule="exact"/>
              <w:rPr>
                <w:spacing w:val="36"/>
                <w:kern w:val="0"/>
                <w:sz w:val="18"/>
                <w:szCs w:val="18"/>
              </w:rPr>
            </w:pPr>
            <w:r>
              <w:rPr>
                <w:rFonts w:hint="eastAsia"/>
                <w:spacing w:val="80"/>
                <w:kern w:val="0"/>
                <w:sz w:val="18"/>
                <w:szCs w:val="18"/>
                <w:fitText w:val="1880" w:id="1279950412"/>
              </w:rPr>
              <w:t>ＺＳ４０２</w:t>
            </w:r>
            <w:r>
              <w:rPr>
                <w:rFonts w:hint="eastAsia"/>
                <w:spacing w:val="0"/>
                <w:kern w:val="0"/>
                <w:sz w:val="18"/>
                <w:szCs w:val="18"/>
                <w:fitText w:val="1880" w:id="1279950412"/>
              </w:rPr>
              <w:t>表</w:t>
            </w:r>
          </w:p>
          <w:p w14:paraId="0D532908">
            <w:pPr>
              <w:spacing w:line="260" w:lineRule="exact"/>
              <w:rPr>
                <w:sz w:val="18"/>
                <w:szCs w:val="18"/>
              </w:rPr>
            </w:pPr>
            <w:r>
              <w:rPr>
                <w:rFonts w:hint="eastAsia"/>
                <w:spacing w:val="80"/>
                <w:kern w:val="0"/>
                <w:sz w:val="18"/>
                <w:szCs w:val="18"/>
                <w:fitText w:val="1880" w:id="71065121"/>
              </w:rPr>
              <w:t>ＺＨ４０２</w:t>
            </w:r>
            <w:r>
              <w:rPr>
                <w:rFonts w:hint="eastAsia"/>
                <w:spacing w:val="0"/>
                <w:kern w:val="0"/>
                <w:sz w:val="18"/>
                <w:szCs w:val="18"/>
                <w:fitText w:val="1880" w:id="71065121"/>
              </w:rPr>
              <w:t>表</w:t>
            </w:r>
          </w:p>
        </w:tc>
      </w:tr>
      <w:tr w14:paraId="35090C30">
        <w:tblPrEx>
          <w:tblCellMar>
            <w:top w:w="0" w:type="dxa"/>
            <w:left w:w="0" w:type="dxa"/>
            <w:bottom w:w="0" w:type="dxa"/>
            <w:right w:w="0" w:type="dxa"/>
          </w:tblCellMar>
        </w:tblPrEx>
        <w:trPr>
          <w:jc w:val="center"/>
        </w:trPr>
        <w:tc>
          <w:tcPr>
            <w:tcW w:w="3355" w:type="dxa"/>
          </w:tcPr>
          <w:p w14:paraId="489168FD">
            <w:pPr>
              <w:spacing w:line="260" w:lineRule="exact"/>
              <w:rPr>
                <w:sz w:val="18"/>
                <w:szCs w:val="18"/>
              </w:rPr>
            </w:pPr>
          </w:p>
        </w:tc>
        <w:tc>
          <w:tcPr>
            <w:tcW w:w="546" w:type="dxa"/>
          </w:tcPr>
          <w:p w14:paraId="427BFBD9">
            <w:pPr>
              <w:spacing w:line="260" w:lineRule="exact"/>
              <w:rPr>
                <w:sz w:val="18"/>
                <w:szCs w:val="18"/>
              </w:rPr>
            </w:pPr>
          </w:p>
        </w:tc>
        <w:tc>
          <w:tcPr>
            <w:tcW w:w="2740" w:type="dxa"/>
          </w:tcPr>
          <w:p w14:paraId="4136E9F1">
            <w:pPr>
              <w:spacing w:line="260" w:lineRule="exact"/>
              <w:rPr>
                <w:sz w:val="18"/>
                <w:szCs w:val="18"/>
              </w:rPr>
            </w:pPr>
          </w:p>
        </w:tc>
        <w:tc>
          <w:tcPr>
            <w:tcW w:w="875" w:type="dxa"/>
            <w:tcMar>
              <w:left w:w="0" w:type="dxa"/>
              <w:right w:w="0" w:type="dxa"/>
            </w:tcMar>
            <w:vAlign w:val="center"/>
          </w:tcPr>
          <w:p w14:paraId="490AB289">
            <w:pPr>
              <w:spacing w:line="260" w:lineRule="exact"/>
              <w:rPr>
                <w:sz w:val="18"/>
                <w:szCs w:val="18"/>
              </w:rPr>
            </w:pPr>
            <w:r>
              <w:rPr>
                <w:sz w:val="18"/>
                <w:szCs w:val="18"/>
              </w:rPr>
              <w:t>制定机关：</w:t>
            </w:r>
          </w:p>
        </w:tc>
        <w:tc>
          <w:tcPr>
            <w:tcW w:w="1886" w:type="dxa"/>
            <w:vAlign w:val="center"/>
          </w:tcPr>
          <w:p w14:paraId="17A8973F">
            <w:pPr>
              <w:spacing w:line="260" w:lineRule="exact"/>
              <w:jc w:val="distribute"/>
              <w:rPr>
                <w:sz w:val="18"/>
                <w:szCs w:val="18"/>
              </w:rPr>
            </w:pPr>
            <w:r>
              <w:rPr>
                <w:sz w:val="18"/>
                <w:szCs w:val="18"/>
              </w:rPr>
              <w:t>国 家 统 计 局</w:t>
            </w:r>
          </w:p>
        </w:tc>
      </w:tr>
      <w:tr w14:paraId="75A7317D">
        <w:tblPrEx>
          <w:tblCellMar>
            <w:top w:w="0" w:type="dxa"/>
            <w:left w:w="0" w:type="dxa"/>
            <w:bottom w:w="0" w:type="dxa"/>
            <w:right w:w="0" w:type="dxa"/>
          </w:tblCellMar>
        </w:tblPrEx>
        <w:trPr>
          <w:jc w:val="center"/>
        </w:trPr>
        <w:tc>
          <w:tcPr>
            <w:tcW w:w="6641" w:type="dxa"/>
            <w:gridSpan w:val="3"/>
          </w:tcPr>
          <w:p w14:paraId="66EC13B9">
            <w:pPr>
              <w:spacing w:line="260" w:lineRule="exact"/>
              <w:rPr>
                <w:sz w:val="18"/>
                <w:szCs w:val="18"/>
              </w:rPr>
            </w:pPr>
            <w:r>
              <w:rPr>
                <w:rFonts w:hint="eastAsia" w:ascii="宋体" w:hAnsi="宋体" w:cs="宋体"/>
                <w:color w:val="000000"/>
                <w:kern w:val="0"/>
                <w:sz w:val="18"/>
                <w:szCs w:val="18"/>
              </w:rPr>
              <w:t>统一社会信用代码□□□□□□□□□□□□□□□□□□</w:t>
            </w:r>
          </w:p>
        </w:tc>
        <w:tc>
          <w:tcPr>
            <w:tcW w:w="875" w:type="dxa"/>
            <w:tcMar>
              <w:left w:w="0" w:type="dxa"/>
              <w:right w:w="0" w:type="dxa"/>
            </w:tcMar>
            <w:vAlign w:val="center"/>
          </w:tcPr>
          <w:p w14:paraId="7D36EE34">
            <w:pPr>
              <w:spacing w:line="260" w:lineRule="exact"/>
              <w:rPr>
                <w:sz w:val="18"/>
                <w:szCs w:val="18"/>
              </w:rPr>
            </w:pPr>
            <w:r>
              <w:rPr>
                <w:sz w:val="18"/>
                <w:szCs w:val="18"/>
              </w:rPr>
              <w:t>文    号：</w:t>
            </w:r>
          </w:p>
        </w:tc>
        <w:tc>
          <w:tcPr>
            <w:tcW w:w="1886" w:type="dxa"/>
            <w:vAlign w:val="center"/>
          </w:tcPr>
          <w:p w14:paraId="233D632F">
            <w:pPr>
              <w:spacing w:line="260" w:lineRule="exact"/>
              <w:jc w:val="distribute"/>
              <w:rPr>
                <w:rFonts w:ascii="宋体" w:hAnsi="宋体"/>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88" w:author="kylin" w:date="2025-10-17T16:22:10Z">
              <w:r>
                <w:rPr>
                  <w:rFonts w:hint="default" w:ascii="宋体" w:hAnsi="宋体"/>
                  <w:spacing w:val="-16"/>
                  <w:sz w:val="18"/>
                  <w:szCs w:val="18"/>
                  <w:lang w:val="en-US" w:eastAsia="zh-CN"/>
                </w:rPr>
                <w:delText>４</w:delText>
              </w:r>
            </w:del>
            <w:ins w:id="389" w:author="kylin" w:date="2025-10-17T16:22:10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90" w:author="kylin" w:date="2025-10-17T16:22:12Z">
              <w:r>
                <w:rPr>
                  <w:rFonts w:hint="default" w:ascii="宋体" w:hAnsi="宋体"/>
                  <w:spacing w:val="-16"/>
                  <w:sz w:val="18"/>
                  <w:szCs w:val="18"/>
                  <w:lang w:val="en-US" w:eastAsia="zh-CN"/>
                </w:rPr>
                <w:delText>77</w:delText>
              </w:r>
            </w:del>
            <w:ins w:id="391" w:author="kylin" w:date="2025-10-17T16:22:12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11497749">
        <w:tblPrEx>
          <w:tblCellMar>
            <w:top w:w="0" w:type="dxa"/>
            <w:left w:w="0" w:type="dxa"/>
            <w:bottom w:w="0" w:type="dxa"/>
            <w:right w:w="0" w:type="dxa"/>
          </w:tblCellMar>
        </w:tblPrEx>
        <w:trPr>
          <w:jc w:val="center"/>
        </w:trPr>
        <w:tc>
          <w:tcPr>
            <w:tcW w:w="3355" w:type="dxa"/>
          </w:tcPr>
          <w:p w14:paraId="03B6229B">
            <w:pPr>
              <w:spacing w:line="260" w:lineRule="exact"/>
              <w:rPr>
                <w:sz w:val="18"/>
                <w:szCs w:val="18"/>
              </w:rPr>
            </w:pPr>
            <w:r>
              <w:rPr>
                <w:sz w:val="18"/>
              </w:rPr>
              <w:t>综合机关名称：</w:t>
            </w:r>
          </w:p>
        </w:tc>
        <w:tc>
          <w:tcPr>
            <w:tcW w:w="546" w:type="dxa"/>
          </w:tcPr>
          <w:p w14:paraId="5078D63F">
            <w:pPr>
              <w:spacing w:line="260" w:lineRule="exact"/>
              <w:rPr>
                <w:sz w:val="18"/>
                <w:szCs w:val="18"/>
              </w:rPr>
            </w:pPr>
          </w:p>
        </w:tc>
        <w:tc>
          <w:tcPr>
            <w:tcW w:w="2740" w:type="dxa"/>
          </w:tcPr>
          <w:p w14:paraId="70A3ADAB">
            <w:pPr>
              <w:spacing w:line="260" w:lineRule="exact"/>
              <w:rPr>
                <w:sz w:val="18"/>
                <w:szCs w:val="18"/>
              </w:rPr>
            </w:pPr>
            <w:r>
              <w:rPr>
                <w:sz w:val="18"/>
                <w:szCs w:val="18"/>
              </w:rPr>
              <w:t>２０　　年</w:t>
            </w:r>
            <w:r>
              <w:rPr>
                <w:rFonts w:hint="eastAsia"/>
                <w:sz w:val="18"/>
                <w:szCs w:val="18"/>
              </w:rPr>
              <w:t xml:space="preserve"> </w:t>
            </w:r>
            <w:r>
              <w:rPr>
                <w:sz w:val="18"/>
                <w:szCs w:val="18"/>
              </w:rPr>
              <w:t>１</w:t>
            </w:r>
            <w:r>
              <w:rPr>
                <w:kern w:val="0"/>
                <w:sz w:val="18"/>
                <w:szCs w:val="18"/>
              </w:rPr>
              <w:t>－</w:t>
            </w:r>
            <w:r>
              <w:rPr>
                <w:sz w:val="18"/>
                <w:szCs w:val="18"/>
              </w:rPr>
              <w:t xml:space="preserve">   月　　　　　　　　　</w:t>
            </w:r>
          </w:p>
        </w:tc>
        <w:tc>
          <w:tcPr>
            <w:tcW w:w="875" w:type="dxa"/>
            <w:tcMar>
              <w:left w:w="0" w:type="dxa"/>
              <w:right w:w="0" w:type="dxa"/>
            </w:tcMar>
            <w:vAlign w:val="center"/>
          </w:tcPr>
          <w:p w14:paraId="5079D95A">
            <w:pPr>
              <w:spacing w:line="260" w:lineRule="exact"/>
              <w:rPr>
                <w:sz w:val="18"/>
                <w:szCs w:val="18"/>
              </w:rPr>
            </w:pPr>
            <w:r>
              <w:rPr>
                <w:sz w:val="18"/>
                <w:szCs w:val="18"/>
              </w:rPr>
              <w:t>有效期至：</w:t>
            </w:r>
          </w:p>
        </w:tc>
        <w:tc>
          <w:tcPr>
            <w:tcW w:w="1886" w:type="dxa"/>
            <w:vAlign w:val="center"/>
          </w:tcPr>
          <w:p w14:paraId="35A4B31B">
            <w:pPr>
              <w:spacing w:line="260" w:lineRule="exact"/>
              <w:jc w:val="distribute"/>
              <w:rPr>
                <w:rFonts w:hint="default" w:eastAsia="宋体"/>
                <w:sz w:val="18"/>
                <w:szCs w:val="18"/>
                <w:lang w:val="en-US" w:eastAsia="zh-CN"/>
              </w:rPr>
            </w:pPr>
            <w:r>
              <w:rPr>
                <w:rFonts w:hint="default"/>
                <w:sz w:val="18"/>
                <w:szCs w:val="18"/>
                <w:lang w:val="en-US" w:eastAsia="zh-CN"/>
              </w:rPr>
              <w:t>２０２</w:t>
            </w:r>
            <w:del w:id="392" w:author="kylin" w:date="2025-10-17T16:22:13Z">
              <w:r>
                <w:rPr>
                  <w:rFonts w:hint="default"/>
                  <w:sz w:val="18"/>
                  <w:szCs w:val="18"/>
                  <w:lang w:val="en-US" w:eastAsia="zh-CN"/>
                </w:rPr>
                <w:delText>６</w:delText>
              </w:r>
            </w:del>
            <w:ins w:id="393" w:author="kylin" w:date="2025-10-17T16:22:13Z">
              <w:r>
                <w:rPr>
                  <w:rFonts w:hint="eastAsia"/>
                  <w:sz w:val="18"/>
                  <w:szCs w:val="18"/>
                  <w:lang w:val="en-US" w:eastAsia="zh-CN"/>
                </w:rPr>
                <w:t>7</w:t>
              </w:r>
            </w:ins>
            <w:r>
              <w:rPr>
                <w:rFonts w:hint="default"/>
                <w:sz w:val="18"/>
                <w:szCs w:val="18"/>
                <w:lang w:val="en-US" w:eastAsia="zh-CN"/>
              </w:rPr>
              <w:t>年１月</w:t>
            </w:r>
          </w:p>
        </w:tc>
      </w:tr>
    </w:tbl>
    <w:p w14:paraId="45F18012">
      <w:pPr>
        <w:spacing w:line="20" w:lineRule="exact"/>
        <w:ind w:right="-516"/>
        <w:jc w:val="center"/>
        <w:rPr>
          <w:sz w:val="32"/>
        </w:rPr>
      </w:pPr>
    </w:p>
    <w:tbl>
      <w:tblPr>
        <w:tblStyle w:val="2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55"/>
        <w:gridCol w:w="498"/>
        <w:gridCol w:w="499"/>
        <w:gridCol w:w="685"/>
        <w:gridCol w:w="685"/>
        <w:gridCol w:w="689"/>
        <w:gridCol w:w="685"/>
        <w:gridCol w:w="685"/>
        <w:gridCol w:w="685"/>
        <w:gridCol w:w="686"/>
        <w:gridCol w:w="685"/>
        <w:gridCol w:w="686"/>
        <w:gridCol w:w="689"/>
      </w:tblGrid>
      <w:tr w14:paraId="5AB1F8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555" w:type="dxa"/>
            <w:vMerge w:val="restart"/>
            <w:tcBorders>
              <w:top w:val="single" w:color="auto" w:sz="8" w:space="0"/>
              <w:bottom w:val="single" w:color="auto" w:sz="2" w:space="0"/>
              <w:right w:val="single" w:color="auto" w:sz="2" w:space="0"/>
            </w:tcBorders>
            <w:vAlign w:val="center"/>
          </w:tcPr>
          <w:p w14:paraId="5055F825">
            <w:pPr>
              <w:spacing w:line="240" w:lineRule="exact"/>
              <w:ind w:right="-8"/>
              <w:jc w:val="center"/>
              <w:rPr>
                <w:sz w:val="18"/>
              </w:rPr>
            </w:pPr>
            <w:r>
              <w:rPr>
                <w:sz w:val="18"/>
                <w:szCs w:val="18"/>
              </w:rPr>
              <w:t>能源名称</w:t>
            </w:r>
          </w:p>
        </w:tc>
        <w:tc>
          <w:tcPr>
            <w:tcW w:w="498" w:type="dxa"/>
            <w:vMerge w:val="restart"/>
            <w:tcBorders>
              <w:top w:val="single" w:color="auto" w:sz="8" w:space="0"/>
              <w:left w:val="single" w:color="auto" w:sz="2" w:space="0"/>
              <w:bottom w:val="single" w:color="auto" w:sz="2" w:space="0"/>
              <w:right w:val="single" w:color="auto" w:sz="2" w:space="0"/>
            </w:tcBorders>
            <w:vAlign w:val="center"/>
          </w:tcPr>
          <w:p w14:paraId="0BA7035B">
            <w:pPr>
              <w:spacing w:line="240" w:lineRule="exact"/>
              <w:ind w:right="-8"/>
              <w:jc w:val="center"/>
              <w:rPr>
                <w:sz w:val="18"/>
              </w:rPr>
            </w:pPr>
            <w:r>
              <w:rPr>
                <w:sz w:val="18"/>
              </w:rPr>
              <w:t>计量</w:t>
            </w:r>
          </w:p>
          <w:p w14:paraId="04601E98">
            <w:pPr>
              <w:spacing w:line="240" w:lineRule="exact"/>
              <w:ind w:right="-8"/>
              <w:jc w:val="center"/>
              <w:rPr>
                <w:sz w:val="18"/>
              </w:rPr>
            </w:pPr>
            <w:r>
              <w:rPr>
                <w:sz w:val="18"/>
              </w:rPr>
              <w:t>单位</w:t>
            </w:r>
          </w:p>
        </w:tc>
        <w:tc>
          <w:tcPr>
            <w:tcW w:w="499" w:type="dxa"/>
            <w:vMerge w:val="restart"/>
            <w:tcBorders>
              <w:top w:val="single" w:color="auto" w:sz="8" w:space="0"/>
              <w:left w:val="single" w:color="auto" w:sz="2" w:space="0"/>
              <w:bottom w:val="single" w:color="auto" w:sz="2" w:space="0"/>
              <w:right w:val="single" w:color="auto" w:sz="2" w:space="0"/>
            </w:tcBorders>
            <w:vAlign w:val="center"/>
          </w:tcPr>
          <w:p w14:paraId="665446F8">
            <w:pPr>
              <w:spacing w:line="240" w:lineRule="exact"/>
              <w:ind w:right="-8"/>
              <w:jc w:val="center"/>
              <w:rPr>
                <w:sz w:val="18"/>
              </w:rPr>
            </w:pPr>
            <w:r>
              <w:rPr>
                <w:sz w:val="18"/>
              </w:rPr>
              <w:t>代码</w:t>
            </w:r>
          </w:p>
        </w:tc>
        <w:tc>
          <w:tcPr>
            <w:tcW w:w="685" w:type="dxa"/>
            <w:vMerge w:val="restart"/>
            <w:tcBorders>
              <w:top w:val="single" w:color="auto" w:sz="8" w:space="0"/>
              <w:left w:val="single" w:color="auto" w:sz="2" w:space="0"/>
              <w:bottom w:val="single" w:color="auto" w:sz="2" w:space="0"/>
              <w:right w:val="single" w:color="auto" w:sz="2" w:space="0"/>
            </w:tcBorders>
            <w:vAlign w:val="center"/>
          </w:tcPr>
          <w:p w14:paraId="44BD000E">
            <w:pPr>
              <w:spacing w:line="240" w:lineRule="exact"/>
              <w:ind w:right="-8"/>
              <w:jc w:val="center"/>
              <w:rPr>
                <w:sz w:val="18"/>
              </w:rPr>
            </w:pPr>
            <w:r>
              <w:rPr>
                <w:sz w:val="18"/>
              </w:rPr>
              <w:t>年  初库存量</w:t>
            </w:r>
          </w:p>
        </w:tc>
        <w:tc>
          <w:tcPr>
            <w:tcW w:w="2059" w:type="dxa"/>
            <w:gridSpan w:val="3"/>
            <w:tcBorders>
              <w:top w:val="single" w:color="auto" w:sz="8" w:space="0"/>
              <w:left w:val="single" w:color="auto" w:sz="2" w:space="0"/>
              <w:bottom w:val="single" w:color="auto" w:sz="2" w:space="0"/>
              <w:right w:val="single" w:color="auto" w:sz="2" w:space="0"/>
            </w:tcBorders>
            <w:vAlign w:val="center"/>
          </w:tcPr>
          <w:p w14:paraId="544589E0">
            <w:pPr>
              <w:spacing w:line="240" w:lineRule="exact"/>
              <w:ind w:right="-8"/>
              <w:jc w:val="center"/>
              <w:rPr>
                <w:sz w:val="18"/>
              </w:rPr>
            </w:pPr>
            <w:r>
              <w:rPr>
                <w:sz w:val="18"/>
              </w:rPr>
              <w:t>购  进  量</w:t>
            </w:r>
          </w:p>
        </w:tc>
        <w:tc>
          <w:tcPr>
            <w:tcW w:w="3427" w:type="dxa"/>
            <w:gridSpan w:val="5"/>
            <w:tcBorders>
              <w:top w:val="single" w:color="auto" w:sz="8" w:space="0"/>
              <w:left w:val="single" w:color="auto" w:sz="2" w:space="0"/>
              <w:bottom w:val="single" w:color="auto" w:sz="2" w:space="0"/>
              <w:right w:val="single" w:color="auto" w:sz="2" w:space="0"/>
            </w:tcBorders>
            <w:vAlign w:val="center"/>
          </w:tcPr>
          <w:p w14:paraId="5E6E7961">
            <w:pPr>
              <w:spacing w:line="240" w:lineRule="exact"/>
              <w:ind w:right="-8"/>
              <w:jc w:val="center"/>
              <w:rPr>
                <w:sz w:val="18"/>
              </w:rPr>
            </w:pPr>
            <w:r>
              <w:rPr>
                <w:sz w:val="18"/>
              </w:rPr>
              <w:t>销  售  量</w:t>
            </w:r>
          </w:p>
        </w:tc>
        <w:tc>
          <w:tcPr>
            <w:tcW w:w="689" w:type="dxa"/>
            <w:vMerge w:val="restart"/>
            <w:tcBorders>
              <w:top w:val="single" w:color="auto" w:sz="8" w:space="0"/>
              <w:left w:val="single" w:color="auto" w:sz="2" w:space="0"/>
              <w:bottom w:val="single" w:color="auto" w:sz="2" w:space="0"/>
            </w:tcBorders>
            <w:vAlign w:val="center"/>
          </w:tcPr>
          <w:p w14:paraId="548974A7">
            <w:pPr>
              <w:spacing w:line="240" w:lineRule="exact"/>
              <w:ind w:right="-8"/>
              <w:jc w:val="center"/>
              <w:rPr>
                <w:sz w:val="18"/>
              </w:rPr>
            </w:pPr>
            <w:r>
              <w:rPr>
                <w:sz w:val="18"/>
              </w:rPr>
              <w:t>期  末库存量</w:t>
            </w:r>
          </w:p>
        </w:tc>
      </w:tr>
      <w:tr w14:paraId="4671CC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555" w:type="dxa"/>
            <w:vMerge w:val="continue"/>
            <w:tcBorders>
              <w:top w:val="single" w:color="auto" w:sz="2" w:space="0"/>
              <w:bottom w:val="single" w:color="auto" w:sz="2" w:space="0"/>
              <w:right w:val="single" w:color="auto" w:sz="2" w:space="0"/>
            </w:tcBorders>
            <w:vAlign w:val="center"/>
          </w:tcPr>
          <w:p w14:paraId="2B7991E7">
            <w:pPr>
              <w:spacing w:line="240" w:lineRule="exact"/>
              <w:ind w:right="-8"/>
              <w:jc w:val="center"/>
              <w:rPr>
                <w:sz w:val="18"/>
              </w:rPr>
            </w:pPr>
          </w:p>
        </w:tc>
        <w:tc>
          <w:tcPr>
            <w:tcW w:w="498" w:type="dxa"/>
            <w:vMerge w:val="continue"/>
            <w:tcBorders>
              <w:top w:val="single" w:color="auto" w:sz="2" w:space="0"/>
              <w:left w:val="single" w:color="auto" w:sz="2" w:space="0"/>
              <w:bottom w:val="single" w:color="auto" w:sz="2" w:space="0"/>
              <w:right w:val="single" w:color="auto" w:sz="2" w:space="0"/>
            </w:tcBorders>
            <w:vAlign w:val="center"/>
          </w:tcPr>
          <w:p w14:paraId="16649A87">
            <w:pPr>
              <w:spacing w:line="240" w:lineRule="exact"/>
              <w:ind w:right="-8"/>
              <w:jc w:val="center"/>
              <w:rPr>
                <w:sz w:val="18"/>
              </w:rPr>
            </w:pPr>
          </w:p>
        </w:tc>
        <w:tc>
          <w:tcPr>
            <w:tcW w:w="499" w:type="dxa"/>
            <w:vMerge w:val="continue"/>
            <w:tcBorders>
              <w:top w:val="single" w:color="auto" w:sz="2" w:space="0"/>
              <w:left w:val="single" w:color="auto" w:sz="2" w:space="0"/>
              <w:bottom w:val="single" w:color="auto" w:sz="2" w:space="0"/>
              <w:right w:val="single" w:color="auto" w:sz="2" w:space="0"/>
            </w:tcBorders>
            <w:vAlign w:val="center"/>
          </w:tcPr>
          <w:p w14:paraId="4972FBD4">
            <w:pPr>
              <w:spacing w:line="240" w:lineRule="exact"/>
              <w:ind w:right="-8"/>
              <w:jc w:val="center"/>
              <w:rPr>
                <w:sz w:val="18"/>
              </w:rPr>
            </w:pPr>
          </w:p>
        </w:tc>
        <w:tc>
          <w:tcPr>
            <w:tcW w:w="685" w:type="dxa"/>
            <w:vMerge w:val="continue"/>
            <w:tcBorders>
              <w:top w:val="single" w:color="auto" w:sz="2" w:space="0"/>
              <w:left w:val="single" w:color="auto" w:sz="2" w:space="0"/>
              <w:bottom w:val="single" w:color="auto" w:sz="2" w:space="0"/>
              <w:right w:val="single" w:color="auto" w:sz="2" w:space="0"/>
            </w:tcBorders>
            <w:vAlign w:val="center"/>
          </w:tcPr>
          <w:p w14:paraId="10FF6DEB">
            <w:pPr>
              <w:spacing w:line="240" w:lineRule="exact"/>
              <w:ind w:right="-8"/>
              <w:jc w:val="center"/>
              <w:rPr>
                <w:sz w:val="18"/>
              </w:rPr>
            </w:pPr>
          </w:p>
        </w:tc>
        <w:tc>
          <w:tcPr>
            <w:tcW w:w="685" w:type="dxa"/>
            <w:tcBorders>
              <w:top w:val="single" w:color="auto" w:sz="2" w:space="0"/>
              <w:left w:val="single" w:color="auto" w:sz="2" w:space="0"/>
              <w:bottom w:val="single" w:color="auto" w:sz="2" w:space="0"/>
              <w:right w:val="single" w:color="auto" w:sz="2" w:space="0"/>
            </w:tcBorders>
            <w:vAlign w:val="center"/>
          </w:tcPr>
          <w:p w14:paraId="7F9D1FE4">
            <w:pPr>
              <w:spacing w:line="240" w:lineRule="exact"/>
              <w:ind w:right="-8"/>
              <w:jc w:val="center"/>
              <w:rPr>
                <w:sz w:val="18"/>
              </w:rPr>
            </w:pPr>
            <w:r>
              <w:rPr>
                <w:sz w:val="18"/>
              </w:rPr>
              <w:t>合计</w:t>
            </w:r>
          </w:p>
        </w:tc>
        <w:tc>
          <w:tcPr>
            <w:tcW w:w="689" w:type="dxa"/>
            <w:tcBorders>
              <w:top w:val="single" w:color="auto" w:sz="2" w:space="0"/>
              <w:left w:val="single" w:color="auto" w:sz="2" w:space="0"/>
              <w:bottom w:val="single" w:color="auto" w:sz="2" w:space="0"/>
              <w:right w:val="single" w:color="auto" w:sz="2" w:space="0"/>
            </w:tcBorders>
            <w:vAlign w:val="center"/>
          </w:tcPr>
          <w:p w14:paraId="4AB6E4ED">
            <w:pPr>
              <w:spacing w:line="240" w:lineRule="exact"/>
              <w:ind w:right="-28"/>
              <w:jc w:val="center"/>
              <w:rPr>
                <w:sz w:val="18"/>
              </w:rPr>
            </w:pPr>
            <w:r>
              <w:rPr>
                <w:sz w:val="18"/>
              </w:rPr>
              <w:t>直接购自生产企  业</w:t>
            </w:r>
          </w:p>
        </w:tc>
        <w:tc>
          <w:tcPr>
            <w:tcW w:w="685" w:type="dxa"/>
            <w:tcBorders>
              <w:top w:val="single" w:color="auto" w:sz="2" w:space="0"/>
              <w:left w:val="single" w:color="auto" w:sz="2" w:space="0"/>
              <w:bottom w:val="single" w:color="auto" w:sz="2" w:space="0"/>
              <w:right w:val="single" w:color="auto" w:sz="2" w:space="0"/>
            </w:tcBorders>
            <w:vAlign w:val="center"/>
          </w:tcPr>
          <w:p w14:paraId="4194784C">
            <w:pPr>
              <w:spacing w:line="240" w:lineRule="exact"/>
              <w:ind w:right="-8"/>
              <w:jc w:val="center"/>
              <w:rPr>
                <w:sz w:val="18"/>
              </w:rPr>
            </w:pPr>
            <w:r>
              <w:rPr>
                <w:sz w:val="18"/>
              </w:rPr>
              <w:t>进口</w:t>
            </w:r>
          </w:p>
        </w:tc>
        <w:tc>
          <w:tcPr>
            <w:tcW w:w="685" w:type="dxa"/>
            <w:tcBorders>
              <w:top w:val="single" w:color="auto" w:sz="2" w:space="0"/>
              <w:left w:val="single" w:color="auto" w:sz="2" w:space="0"/>
              <w:bottom w:val="single" w:color="auto" w:sz="2" w:space="0"/>
              <w:right w:val="single" w:color="auto" w:sz="2" w:space="0"/>
            </w:tcBorders>
            <w:vAlign w:val="center"/>
          </w:tcPr>
          <w:p w14:paraId="62A01D93">
            <w:pPr>
              <w:spacing w:line="240" w:lineRule="exact"/>
              <w:ind w:right="-8"/>
              <w:jc w:val="center"/>
              <w:rPr>
                <w:sz w:val="18"/>
              </w:rPr>
            </w:pPr>
            <w:r>
              <w:rPr>
                <w:sz w:val="18"/>
              </w:rPr>
              <w:t>合计</w:t>
            </w:r>
          </w:p>
        </w:tc>
        <w:tc>
          <w:tcPr>
            <w:tcW w:w="685" w:type="dxa"/>
            <w:tcBorders>
              <w:top w:val="single" w:color="auto" w:sz="2" w:space="0"/>
              <w:left w:val="single" w:color="auto" w:sz="2" w:space="0"/>
              <w:bottom w:val="single" w:color="auto" w:sz="2" w:space="0"/>
              <w:right w:val="single" w:color="auto" w:sz="2" w:space="0"/>
            </w:tcBorders>
            <w:vAlign w:val="center"/>
          </w:tcPr>
          <w:p w14:paraId="38F1B3FA">
            <w:pPr>
              <w:spacing w:line="240" w:lineRule="exact"/>
              <w:ind w:right="-28"/>
              <w:jc w:val="center"/>
              <w:rPr>
                <w:sz w:val="18"/>
              </w:rPr>
            </w:pPr>
            <w:r>
              <w:rPr>
                <w:sz w:val="18"/>
              </w:rPr>
              <w:t>直接售予使用单  位</w:t>
            </w:r>
          </w:p>
        </w:tc>
        <w:tc>
          <w:tcPr>
            <w:tcW w:w="686" w:type="dxa"/>
            <w:tcBorders>
              <w:top w:val="single" w:color="auto" w:sz="2" w:space="0"/>
              <w:left w:val="single" w:color="auto" w:sz="2" w:space="0"/>
              <w:bottom w:val="single" w:color="auto" w:sz="2" w:space="0"/>
              <w:right w:val="single" w:color="auto" w:sz="2" w:space="0"/>
            </w:tcBorders>
            <w:vAlign w:val="center"/>
          </w:tcPr>
          <w:p w14:paraId="609716AE">
            <w:pPr>
              <w:spacing w:line="240" w:lineRule="exact"/>
              <w:ind w:right="-8"/>
              <w:jc w:val="center"/>
              <w:rPr>
                <w:sz w:val="18"/>
              </w:rPr>
            </w:pPr>
            <w:r>
              <w:rPr>
                <w:sz w:val="18"/>
              </w:rPr>
              <w:t>批发</w:t>
            </w:r>
          </w:p>
        </w:tc>
        <w:tc>
          <w:tcPr>
            <w:tcW w:w="685" w:type="dxa"/>
            <w:tcBorders>
              <w:top w:val="single" w:color="auto" w:sz="2" w:space="0"/>
              <w:left w:val="single" w:color="auto" w:sz="2" w:space="0"/>
              <w:bottom w:val="single" w:color="auto" w:sz="2" w:space="0"/>
              <w:right w:val="single" w:color="auto" w:sz="2" w:space="0"/>
            </w:tcBorders>
            <w:vAlign w:val="center"/>
          </w:tcPr>
          <w:p w14:paraId="5380AE59">
            <w:pPr>
              <w:spacing w:line="240" w:lineRule="exact"/>
              <w:ind w:right="-8"/>
              <w:jc w:val="center"/>
              <w:rPr>
                <w:sz w:val="18"/>
              </w:rPr>
            </w:pPr>
            <w:r>
              <w:rPr>
                <w:sz w:val="18"/>
              </w:rPr>
              <w:t>零售</w:t>
            </w:r>
          </w:p>
        </w:tc>
        <w:tc>
          <w:tcPr>
            <w:tcW w:w="686" w:type="dxa"/>
            <w:tcBorders>
              <w:top w:val="single" w:color="auto" w:sz="2" w:space="0"/>
              <w:left w:val="single" w:color="auto" w:sz="2" w:space="0"/>
              <w:bottom w:val="single" w:color="auto" w:sz="2" w:space="0"/>
              <w:right w:val="single" w:color="auto" w:sz="2" w:space="0"/>
            </w:tcBorders>
            <w:vAlign w:val="center"/>
          </w:tcPr>
          <w:p w14:paraId="1B8B57E4">
            <w:pPr>
              <w:spacing w:line="240" w:lineRule="exact"/>
              <w:ind w:right="-8"/>
              <w:jc w:val="center"/>
              <w:rPr>
                <w:sz w:val="18"/>
              </w:rPr>
            </w:pPr>
            <w:r>
              <w:rPr>
                <w:sz w:val="18"/>
              </w:rPr>
              <w:t>出口</w:t>
            </w:r>
          </w:p>
        </w:tc>
        <w:tc>
          <w:tcPr>
            <w:tcW w:w="689" w:type="dxa"/>
            <w:vMerge w:val="continue"/>
            <w:tcBorders>
              <w:top w:val="single" w:color="auto" w:sz="2" w:space="0"/>
              <w:left w:val="single" w:color="auto" w:sz="2" w:space="0"/>
              <w:bottom w:val="single" w:color="auto" w:sz="2" w:space="0"/>
            </w:tcBorders>
            <w:vAlign w:val="center"/>
          </w:tcPr>
          <w:p w14:paraId="26E81CFB">
            <w:pPr>
              <w:spacing w:line="240" w:lineRule="exact"/>
              <w:ind w:right="-8"/>
              <w:jc w:val="center"/>
              <w:rPr>
                <w:sz w:val="18"/>
              </w:rPr>
            </w:pPr>
          </w:p>
        </w:tc>
      </w:tr>
      <w:tr w14:paraId="4FDA4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exact"/>
          <w:jc w:val="center"/>
        </w:trPr>
        <w:tc>
          <w:tcPr>
            <w:tcW w:w="1555" w:type="dxa"/>
            <w:tcBorders>
              <w:top w:val="single" w:color="auto" w:sz="2" w:space="0"/>
              <w:bottom w:val="single" w:color="auto" w:sz="2" w:space="0"/>
              <w:right w:val="single" w:color="auto" w:sz="2" w:space="0"/>
            </w:tcBorders>
            <w:vAlign w:val="center"/>
          </w:tcPr>
          <w:p w14:paraId="7F2B1019">
            <w:pPr>
              <w:spacing w:line="240" w:lineRule="atLeast"/>
              <w:ind w:right="0"/>
              <w:jc w:val="center"/>
              <w:rPr>
                <w:sz w:val="18"/>
              </w:rPr>
            </w:pPr>
            <w:r>
              <w:rPr>
                <w:sz w:val="18"/>
              </w:rPr>
              <w:t>甲</w:t>
            </w:r>
          </w:p>
        </w:tc>
        <w:tc>
          <w:tcPr>
            <w:tcW w:w="498" w:type="dxa"/>
            <w:tcBorders>
              <w:top w:val="single" w:color="auto" w:sz="2" w:space="0"/>
              <w:left w:val="single" w:color="auto" w:sz="2" w:space="0"/>
              <w:bottom w:val="single" w:color="auto" w:sz="2" w:space="0"/>
              <w:right w:val="single" w:color="auto" w:sz="2" w:space="0"/>
            </w:tcBorders>
            <w:vAlign w:val="center"/>
          </w:tcPr>
          <w:p w14:paraId="0F72806E">
            <w:pPr>
              <w:spacing w:line="240" w:lineRule="atLeast"/>
              <w:ind w:right="0"/>
              <w:jc w:val="center"/>
              <w:rPr>
                <w:sz w:val="18"/>
              </w:rPr>
            </w:pPr>
            <w:r>
              <w:rPr>
                <w:sz w:val="18"/>
              </w:rPr>
              <w:t>乙</w:t>
            </w:r>
          </w:p>
        </w:tc>
        <w:tc>
          <w:tcPr>
            <w:tcW w:w="499" w:type="dxa"/>
            <w:tcBorders>
              <w:top w:val="single" w:color="auto" w:sz="2" w:space="0"/>
              <w:left w:val="single" w:color="auto" w:sz="2" w:space="0"/>
              <w:bottom w:val="single" w:color="auto" w:sz="2" w:space="0"/>
              <w:right w:val="single" w:color="auto" w:sz="2" w:space="0"/>
            </w:tcBorders>
            <w:vAlign w:val="center"/>
          </w:tcPr>
          <w:p w14:paraId="20E9B300">
            <w:pPr>
              <w:spacing w:line="240" w:lineRule="atLeast"/>
              <w:ind w:right="0"/>
              <w:jc w:val="center"/>
              <w:rPr>
                <w:sz w:val="18"/>
              </w:rPr>
            </w:pPr>
            <w:r>
              <w:rPr>
                <w:sz w:val="18"/>
              </w:rPr>
              <w:t>丙</w:t>
            </w:r>
          </w:p>
        </w:tc>
        <w:tc>
          <w:tcPr>
            <w:tcW w:w="685" w:type="dxa"/>
            <w:tcBorders>
              <w:top w:val="single" w:color="auto" w:sz="2" w:space="0"/>
              <w:left w:val="single" w:color="auto" w:sz="2" w:space="0"/>
              <w:bottom w:val="single" w:color="auto" w:sz="2" w:space="0"/>
              <w:right w:val="single" w:color="auto" w:sz="2" w:space="0"/>
            </w:tcBorders>
            <w:vAlign w:val="center"/>
          </w:tcPr>
          <w:p w14:paraId="2045371F">
            <w:pPr>
              <w:spacing w:line="240" w:lineRule="atLeast"/>
              <w:ind w:right="0"/>
              <w:jc w:val="center"/>
              <w:rPr>
                <w:sz w:val="18"/>
              </w:rPr>
            </w:pPr>
            <w:r>
              <w:rPr>
                <w:sz w:val="18"/>
              </w:rPr>
              <w:t>1</w:t>
            </w:r>
          </w:p>
        </w:tc>
        <w:tc>
          <w:tcPr>
            <w:tcW w:w="685" w:type="dxa"/>
            <w:tcBorders>
              <w:top w:val="single" w:color="auto" w:sz="2" w:space="0"/>
              <w:left w:val="single" w:color="auto" w:sz="2" w:space="0"/>
              <w:bottom w:val="single" w:color="auto" w:sz="2" w:space="0"/>
              <w:right w:val="single" w:color="auto" w:sz="2" w:space="0"/>
            </w:tcBorders>
            <w:vAlign w:val="center"/>
          </w:tcPr>
          <w:p w14:paraId="065C7F64">
            <w:pPr>
              <w:spacing w:line="240" w:lineRule="atLeast"/>
              <w:ind w:right="0"/>
              <w:jc w:val="center"/>
              <w:rPr>
                <w:sz w:val="18"/>
              </w:rPr>
            </w:pPr>
            <w:r>
              <w:rPr>
                <w:sz w:val="18"/>
              </w:rPr>
              <w:t>2</w:t>
            </w:r>
          </w:p>
        </w:tc>
        <w:tc>
          <w:tcPr>
            <w:tcW w:w="689" w:type="dxa"/>
            <w:tcBorders>
              <w:top w:val="single" w:color="auto" w:sz="2" w:space="0"/>
              <w:left w:val="single" w:color="auto" w:sz="2" w:space="0"/>
              <w:bottom w:val="single" w:color="auto" w:sz="2" w:space="0"/>
              <w:right w:val="single" w:color="auto" w:sz="2" w:space="0"/>
            </w:tcBorders>
            <w:vAlign w:val="center"/>
          </w:tcPr>
          <w:p w14:paraId="6C6BCD8B">
            <w:pPr>
              <w:spacing w:line="240" w:lineRule="atLeast"/>
              <w:ind w:right="0"/>
              <w:jc w:val="center"/>
              <w:rPr>
                <w:sz w:val="18"/>
              </w:rPr>
            </w:pPr>
            <w:r>
              <w:rPr>
                <w:sz w:val="18"/>
              </w:rPr>
              <w:t>3</w:t>
            </w:r>
          </w:p>
        </w:tc>
        <w:tc>
          <w:tcPr>
            <w:tcW w:w="685" w:type="dxa"/>
            <w:tcBorders>
              <w:top w:val="single" w:color="auto" w:sz="2" w:space="0"/>
              <w:left w:val="single" w:color="auto" w:sz="2" w:space="0"/>
              <w:bottom w:val="single" w:color="auto" w:sz="2" w:space="0"/>
              <w:right w:val="single" w:color="auto" w:sz="2" w:space="0"/>
            </w:tcBorders>
            <w:vAlign w:val="center"/>
          </w:tcPr>
          <w:p w14:paraId="560B95B0">
            <w:pPr>
              <w:spacing w:line="240" w:lineRule="atLeast"/>
              <w:ind w:right="0"/>
              <w:jc w:val="center"/>
              <w:rPr>
                <w:sz w:val="18"/>
              </w:rPr>
            </w:pPr>
            <w:r>
              <w:rPr>
                <w:sz w:val="18"/>
              </w:rPr>
              <w:t>4</w:t>
            </w:r>
          </w:p>
        </w:tc>
        <w:tc>
          <w:tcPr>
            <w:tcW w:w="685" w:type="dxa"/>
            <w:tcBorders>
              <w:top w:val="single" w:color="auto" w:sz="2" w:space="0"/>
              <w:left w:val="single" w:color="auto" w:sz="2" w:space="0"/>
              <w:bottom w:val="single" w:color="auto" w:sz="2" w:space="0"/>
              <w:right w:val="single" w:color="auto" w:sz="2" w:space="0"/>
            </w:tcBorders>
            <w:vAlign w:val="center"/>
          </w:tcPr>
          <w:p w14:paraId="2F25EDAF">
            <w:pPr>
              <w:spacing w:line="240" w:lineRule="atLeast"/>
              <w:ind w:right="0"/>
              <w:jc w:val="center"/>
              <w:rPr>
                <w:sz w:val="18"/>
              </w:rPr>
            </w:pPr>
            <w:r>
              <w:rPr>
                <w:sz w:val="18"/>
              </w:rPr>
              <w:t>5</w:t>
            </w:r>
          </w:p>
        </w:tc>
        <w:tc>
          <w:tcPr>
            <w:tcW w:w="685" w:type="dxa"/>
            <w:tcBorders>
              <w:top w:val="single" w:color="auto" w:sz="2" w:space="0"/>
              <w:left w:val="single" w:color="auto" w:sz="2" w:space="0"/>
              <w:bottom w:val="single" w:color="auto" w:sz="2" w:space="0"/>
              <w:right w:val="single" w:color="auto" w:sz="2" w:space="0"/>
            </w:tcBorders>
            <w:vAlign w:val="center"/>
          </w:tcPr>
          <w:p w14:paraId="010458B8">
            <w:pPr>
              <w:spacing w:line="240" w:lineRule="atLeast"/>
              <w:ind w:right="0"/>
              <w:jc w:val="center"/>
              <w:rPr>
                <w:sz w:val="18"/>
              </w:rPr>
            </w:pPr>
            <w:r>
              <w:rPr>
                <w:sz w:val="18"/>
              </w:rPr>
              <w:t>6</w:t>
            </w:r>
          </w:p>
        </w:tc>
        <w:tc>
          <w:tcPr>
            <w:tcW w:w="686" w:type="dxa"/>
            <w:tcBorders>
              <w:top w:val="single" w:color="auto" w:sz="2" w:space="0"/>
              <w:left w:val="single" w:color="auto" w:sz="2" w:space="0"/>
              <w:bottom w:val="single" w:color="auto" w:sz="2" w:space="0"/>
              <w:right w:val="single" w:color="auto" w:sz="2" w:space="0"/>
            </w:tcBorders>
            <w:vAlign w:val="center"/>
          </w:tcPr>
          <w:p w14:paraId="358CE324">
            <w:pPr>
              <w:spacing w:line="240" w:lineRule="atLeast"/>
              <w:ind w:right="0"/>
              <w:jc w:val="center"/>
              <w:rPr>
                <w:sz w:val="18"/>
              </w:rPr>
            </w:pPr>
            <w:r>
              <w:rPr>
                <w:sz w:val="18"/>
              </w:rPr>
              <w:t>7</w:t>
            </w:r>
          </w:p>
        </w:tc>
        <w:tc>
          <w:tcPr>
            <w:tcW w:w="685" w:type="dxa"/>
            <w:tcBorders>
              <w:top w:val="single" w:color="auto" w:sz="2" w:space="0"/>
              <w:left w:val="single" w:color="auto" w:sz="2" w:space="0"/>
              <w:bottom w:val="single" w:color="auto" w:sz="2" w:space="0"/>
              <w:right w:val="single" w:color="auto" w:sz="2" w:space="0"/>
            </w:tcBorders>
            <w:vAlign w:val="center"/>
          </w:tcPr>
          <w:p w14:paraId="6520F80F">
            <w:pPr>
              <w:spacing w:line="240" w:lineRule="atLeast"/>
              <w:ind w:right="0"/>
              <w:jc w:val="center"/>
              <w:rPr>
                <w:sz w:val="18"/>
              </w:rPr>
            </w:pPr>
            <w:r>
              <w:rPr>
                <w:sz w:val="18"/>
              </w:rPr>
              <w:t>8</w:t>
            </w:r>
          </w:p>
        </w:tc>
        <w:tc>
          <w:tcPr>
            <w:tcW w:w="686" w:type="dxa"/>
            <w:tcBorders>
              <w:top w:val="single" w:color="auto" w:sz="2" w:space="0"/>
              <w:left w:val="single" w:color="auto" w:sz="2" w:space="0"/>
              <w:bottom w:val="single" w:color="auto" w:sz="2" w:space="0"/>
              <w:right w:val="single" w:color="auto" w:sz="2" w:space="0"/>
            </w:tcBorders>
            <w:vAlign w:val="center"/>
          </w:tcPr>
          <w:p w14:paraId="0C854545">
            <w:pPr>
              <w:spacing w:line="240" w:lineRule="atLeast"/>
              <w:ind w:right="0"/>
              <w:jc w:val="center"/>
              <w:rPr>
                <w:sz w:val="18"/>
              </w:rPr>
            </w:pPr>
            <w:r>
              <w:rPr>
                <w:sz w:val="18"/>
              </w:rPr>
              <w:t>9</w:t>
            </w:r>
          </w:p>
        </w:tc>
        <w:tc>
          <w:tcPr>
            <w:tcW w:w="689" w:type="dxa"/>
            <w:tcBorders>
              <w:top w:val="single" w:color="auto" w:sz="2" w:space="0"/>
              <w:left w:val="single" w:color="auto" w:sz="2" w:space="0"/>
              <w:bottom w:val="single" w:color="auto" w:sz="2" w:space="0"/>
            </w:tcBorders>
            <w:vAlign w:val="center"/>
          </w:tcPr>
          <w:p w14:paraId="01AC1243">
            <w:pPr>
              <w:spacing w:line="240" w:lineRule="atLeast"/>
              <w:ind w:right="0"/>
              <w:jc w:val="center"/>
              <w:rPr>
                <w:sz w:val="18"/>
              </w:rPr>
            </w:pPr>
            <w:r>
              <w:rPr>
                <w:sz w:val="18"/>
              </w:rPr>
              <w:t>10</w:t>
            </w:r>
          </w:p>
        </w:tc>
      </w:tr>
      <w:tr w14:paraId="52E819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88" w:hRule="atLeast"/>
          <w:jc w:val="center"/>
        </w:trPr>
        <w:tc>
          <w:tcPr>
            <w:tcW w:w="1555" w:type="dxa"/>
            <w:tcBorders>
              <w:top w:val="single" w:color="auto" w:sz="2" w:space="0"/>
              <w:bottom w:val="single" w:color="auto" w:sz="8" w:space="0"/>
              <w:right w:val="single" w:color="auto" w:sz="2" w:space="0"/>
            </w:tcBorders>
            <w:vAlign w:val="center"/>
          </w:tcPr>
          <w:p w14:paraId="23260D3C">
            <w:pPr>
              <w:spacing w:line="240" w:lineRule="exact"/>
              <w:ind w:right="-41"/>
              <w:jc w:val="center"/>
              <w:rPr>
                <w:sz w:val="18"/>
              </w:rPr>
            </w:pPr>
            <w:r>
              <w:rPr>
                <w:sz w:val="18"/>
              </w:rPr>
              <w:t>原      油</w:t>
            </w:r>
          </w:p>
          <w:p w14:paraId="5061453B">
            <w:pPr>
              <w:spacing w:line="240" w:lineRule="exact"/>
              <w:ind w:right="-41"/>
              <w:jc w:val="center"/>
              <w:rPr>
                <w:sz w:val="18"/>
              </w:rPr>
            </w:pPr>
            <w:r>
              <w:rPr>
                <w:sz w:val="18"/>
              </w:rPr>
              <w:t>成品油合计</w:t>
            </w:r>
          </w:p>
          <w:p w14:paraId="42BEBAF7">
            <w:pPr>
              <w:spacing w:line="240" w:lineRule="exact"/>
              <w:ind w:right="-41"/>
              <w:jc w:val="center"/>
              <w:rPr>
                <w:sz w:val="18"/>
              </w:rPr>
            </w:pPr>
            <w:r>
              <w:rPr>
                <w:sz w:val="18"/>
              </w:rPr>
              <w:t>汽      油</w:t>
            </w:r>
          </w:p>
          <w:p w14:paraId="15C652A1">
            <w:pPr>
              <w:spacing w:line="240" w:lineRule="exact"/>
              <w:ind w:right="-41"/>
              <w:jc w:val="center"/>
              <w:rPr>
                <w:sz w:val="18"/>
              </w:rPr>
            </w:pPr>
            <w:r>
              <w:rPr>
                <w:sz w:val="18"/>
              </w:rPr>
              <w:t>煤      油</w:t>
            </w:r>
          </w:p>
          <w:p w14:paraId="0A6B75F9">
            <w:pPr>
              <w:spacing w:line="240" w:lineRule="exact"/>
              <w:ind w:right="-41"/>
              <w:jc w:val="center"/>
              <w:rPr>
                <w:sz w:val="18"/>
              </w:rPr>
            </w:pPr>
            <w:r>
              <w:rPr>
                <w:sz w:val="18"/>
              </w:rPr>
              <w:t>柴      油</w:t>
            </w:r>
          </w:p>
          <w:p w14:paraId="1E46434B">
            <w:pPr>
              <w:spacing w:line="240" w:lineRule="exact"/>
              <w:ind w:right="-41"/>
              <w:jc w:val="center"/>
              <w:rPr>
                <w:sz w:val="18"/>
              </w:rPr>
            </w:pPr>
            <w:r>
              <w:rPr>
                <w:sz w:val="18"/>
              </w:rPr>
              <w:t>燃  料  油</w:t>
            </w:r>
          </w:p>
          <w:p w14:paraId="1218D1A8">
            <w:pPr>
              <w:spacing w:line="240" w:lineRule="exact"/>
              <w:ind w:right="-8"/>
              <w:jc w:val="center"/>
              <w:rPr>
                <w:sz w:val="18"/>
              </w:rPr>
            </w:pPr>
            <w:r>
              <w:rPr>
                <w:sz w:val="18"/>
              </w:rPr>
              <w:t>润  滑  油</w:t>
            </w:r>
          </w:p>
        </w:tc>
        <w:tc>
          <w:tcPr>
            <w:tcW w:w="498" w:type="dxa"/>
            <w:tcBorders>
              <w:top w:val="single" w:color="auto" w:sz="2" w:space="0"/>
              <w:left w:val="single" w:color="auto" w:sz="2" w:space="0"/>
              <w:bottom w:val="single" w:color="auto" w:sz="8" w:space="0"/>
              <w:right w:val="single" w:color="auto" w:sz="2" w:space="0"/>
            </w:tcBorders>
            <w:vAlign w:val="center"/>
          </w:tcPr>
          <w:p w14:paraId="4D5AE7EE">
            <w:pPr>
              <w:spacing w:line="240" w:lineRule="exact"/>
              <w:ind w:right="-28"/>
              <w:jc w:val="center"/>
              <w:rPr>
                <w:sz w:val="18"/>
              </w:rPr>
            </w:pPr>
            <w:r>
              <w:rPr>
                <w:sz w:val="18"/>
              </w:rPr>
              <w:t>吨</w:t>
            </w:r>
          </w:p>
          <w:p w14:paraId="01D2AB9A">
            <w:pPr>
              <w:spacing w:line="240" w:lineRule="exact"/>
              <w:ind w:right="-28"/>
              <w:jc w:val="center"/>
              <w:rPr>
                <w:sz w:val="18"/>
              </w:rPr>
            </w:pPr>
            <w:r>
              <w:rPr>
                <w:sz w:val="18"/>
              </w:rPr>
              <w:t>吨</w:t>
            </w:r>
          </w:p>
          <w:p w14:paraId="15099ADC">
            <w:pPr>
              <w:spacing w:line="240" w:lineRule="exact"/>
              <w:ind w:right="-28"/>
              <w:jc w:val="center"/>
              <w:rPr>
                <w:sz w:val="18"/>
              </w:rPr>
            </w:pPr>
            <w:r>
              <w:rPr>
                <w:sz w:val="18"/>
              </w:rPr>
              <w:t>吨</w:t>
            </w:r>
          </w:p>
          <w:p w14:paraId="4FB84FC9">
            <w:pPr>
              <w:spacing w:line="240" w:lineRule="exact"/>
              <w:ind w:right="-28"/>
              <w:jc w:val="center"/>
              <w:rPr>
                <w:sz w:val="18"/>
              </w:rPr>
            </w:pPr>
            <w:r>
              <w:rPr>
                <w:sz w:val="18"/>
              </w:rPr>
              <w:t>吨</w:t>
            </w:r>
          </w:p>
          <w:p w14:paraId="6030FAA0">
            <w:pPr>
              <w:spacing w:line="240" w:lineRule="exact"/>
              <w:ind w:right="-28"/>
              <w:jc w:val="center"/>
              <w:rPr>
                <w:sz w:val="18"/>
              </w:rPr>
            </w:pPr>
            <w:r>
              <w:rPr>
                <w:sz w:val="18"/>
              </w:rPr>
              <w:t>吨</w:t>
            </w:r>
          </w:p>
          <w:p w14:paraId="35FF0CBB">
            <w:pPr>
              <w:spacing w:line="240" w:lineRule="exact"/>
              <w:ind w:right="-28"/>
              <w:jc w:val="center"/>
              <w:rPr>
                <w:sz w:val="18"/>
              </w:rPr>
            </w:pPr>
            <w:r>
              <w:rPr>
                <w:sz w:val="18"/>
              </w:rPr>
              <w:t>吨</w:t>
            </w:r>
          </w:p>
          <w:p w14:paraId="6F4454AE">
            <w:pPr>
              <w:spacing w:line="240" w:lineRule="exact"/>
              <w:ind w:right="-8"/>
              <w:jc w:val="center"/>
              <w:rPr>
                <w:sz w:val="18"/>
              </w:rPr>
            </w:pPr>
            <w:r>
              <w:rPr>
                <w:sz w:val="18"/>
              </w:rPr>
              <w:t>吨</w:t>
            </w:r>
          </w:p>
        </w:tc>
        <w:tc>
          <w:tcPr>
            <w:tcW w:w="499" w:type="dxa"/>
            <w:tcBorders>
              <w:top w:val="single" w:color="auto" w:sz="2" w:space="0"/>
              <w:left w:val="single" w:color="auto" w:sz="2" w:space="0"/>
              <w:bottom w:val="single" w:color="auto" w:sz="8" w:space="0"/>
              <w:right w:val="single" w:color="auto" w:sz="2" w:space="0"/>
            </w:tcBorders>
            <w:vAlign w:val="center"/>
          </w:tcPr>
          <w:p w14:paraId="6C54CD73">
            <w:pPr>
              <w:spacing w:line="240" w:lineRule="exact"/>
              <w:ind w:right="-28"/>
              <w:jc w:val="center"/>
              <w:rPr>
                <w:sz w:val="18"/>
              </w:rPr>
            </w:pPr>
            <w:r>
              <w:rPr>
                <w:sz w:val="18"/>
              </w:rPr>
              <w:t>01</w:t>
            </w:r>
          </w:p>
          <w:p w14:paraId="390CEB47">
            <w:pPr>
              <w:spacing w:line="240" w:lineRule="exact"/>
              <w:ind w:right="-28"/>
              <w:jc w:val="center"/>
              <w:rPr>
                <w:sz w:val="18"/>
              </w:rPr>
            </w:pPr>
            <w:r>
              <w:rPr>
                <w:sz w:val="18"/>
              </w:rPr>
              <w:t>02</w:t>
            </w:r>
          </w:p>
          <w:p w14:paraId="31AA4CB0">
            <w:pPr>
              <w:spacing w:line="240" w:lineRule="exact"/>
              <w:ind w:right="-28"/>
              <w:jc w:val="center"/>
              <w:rPr>
                <w:sz w:val="18"/>
              </w:rPr>
            </w:pPr>
            <w:r>
              <w:rPr>
                <w:sz w:val="18"/>
              </w:rPr>
              <w:t>03</w:t>
            </w:r>
          </w:p>
          <w:p w14:paraId="21669502">
            <w:pPr>
              <w:spacing w:line="240" w:lineRule="exact"/>
              <w:ind w:right="-28"/>
              <w:jc w:val="center"/>
              <w:rPr>
                <w:sz w:val="18"/>
              </w:rPr>
            </w:pPr>
            <w:r>
              <w:rPr>
                <w:sz w:val="18"/>
              </w:rPr>
              <w:t>04</w:t>
            </w:r>
          </w:p>
          <w:p w14:paraId="0A96CC57">
            <w:pPr>
              <w:spacing w:line="240" w:lineRule="exact"/>
              <w:ind w:right="-28"/>
              <w:jc w:val="center"/>
              <w:rPr>
                <w:sz w:val="18"/>
              </w:rPr>
            </w:pPr>
            <w:r>
              <w:rPr>
                <w:sz w:val="18"/>
              </w:rPr>
              <w:t>05</w:t>
            </w:r>
          </w:p>
          <w:p w14:paraId="3B2A9586">
            <w:pPr>
              <w:spacing w:line="240" w:lineRule="exact"/>
              <w:ind w:right="-28"/>
              <w:jc w:val="center"/>
              <w:rPr>
                <w:sz w:val="18"/>
              </w:rPr>
            </w:pPr>
            <w:r>
              <w:rPr>
                <w:sz w:val="18"/>
              </w:rPr>
              <w:t>06</w:t>
            </w:r>
          </w:p>
          <w:p w14:paraId="03E4755A">
            <w:pPr>
              <w:spacing w:line="240" w:lineRule="exact"/>
              <w:ind w:right="-28"/>
              <w:jc w:val="center"/>
              <w:rPr>
                <w:sz w:val="18"/>
              </w:rPr>
            </w:pPr>
            <w:r>
              <w:rPr>
                <w:sz w:val="18"/>
              </w:rPr>
              <w:t>07</w:t>
            </w:r>
          </w:p>
        </w:tc>
        <w:tc>
          <w:tcPr>
            <w:tcW w:w="6860" w:type="dxa"/>
            <w:gridSpan w:val="10"/>
            <w:tcBorders>
              <w:top w:val="single" w:color="auto" w:sz="2" w:space="0"/>
              <w:left w:val="single" w:color="auto" w:sz="2" w:space="0"/>
              <w:bottom w:val="single" w:color="auto" w:sz="8" w:space="0"/>
            </w:tcBorders>
            <w:vAlign w:val="center"/>
          </w:tcPr>
          <w:p w14:paraId="57B7C595">
            <w:pPr>
              <w:spacing w:line="240" w:lineRule="exact"/>
              <w:ind w:right="-8"/>
              <w:jc w:val="center"/>
              <w:rPr>
                <w:sz w:val="18"/>
              </w:rPr>
            </w:pPr>
          </w:p>
        </w:tc>
      </w:tr>
    </w:tbl>
    <w:p w14:paraId="33E4444A">
      <w:pPr>
        <w:spacing w:line="280" w:lineRule="exact"/>
        <w:ind w:right="-38"/>
        <w:rPr>
          <w:sz w:val="18"/>
        </w:rPr>
      </w:pPr>
      <w:r>
        <w:rPr>
          <w:sz w:val="18"/>
        </w:rPr>
        <w:t>单位负责人：             统计负责人：         填表人：          联系电话：       报出日期：２０</w:t>
      </w:r>
      <w:r>
        <w:rPr>
          <w:rFonts w:hint="eastAsia"/>
          <w:sz w:val="18"/>
        </w:rPr>
        <w:t xml:space="preserve"> </w:t>
      </w:r>
      <w:r>
        <w:rPr>
          <w:sz w:val="18"/>
        </w:rPr>
        <w:t>　年　月　日</w:t>
      </w:r>
    </w:p>
    <w:p w14:paraId="41C742B4">
      <w:pPr>
        <w:spacing w:line="200" w:lineRule="exact"/>
        <w:rPr>
          <w:b/>
          <w:sz w:val="18"/>
        </w:rPr>
      </w:pPr>
    </w:p>
    <w:p w14:paraId="6E0632CC">
      <w:pPr>
        <w:spacing w:line="280" w:lineRule="exact"/>
        <w:ind w:left="1561" w:right="-38" w:hanging="1560" w:hangingChars="867"/>
        <w:rPr>
          <w:sz w:val="18"/>
        </w:rPr>
      </w:pPr>
      <w:r>
        <w:rPr>
          <w:sz w:val="18"/>
          <w:szCs w:val="18"/>
        </w:rPr>
        <w:t>说明：1.</w:t>
      </w:r>
      <w:r>
        <w:rPr>
          <w:sz w:val="18"/>
        </w:rPr>
        <w:t>统计范围：</w:t>
      </w:r>
      <w:r>
        <w:rPr>
          <w:spacing w:val="-12"/>
          <w:sz w:val="18"/>
          <w:szCs w:val="18"/>
        </w:rPr>
        <w:t>中国石油天然气股份有限公司、中国石油化工股份有限公司、中国海洋石油总公司所属的石油销售企业。</w:t>
      </w:r>
    </w:p>
    <w:p w14:paraId="211F1C59">
      <w:pPr>
        <w:spacing w:line="280" w:lineRule="exact"/>
        <w:ind w:firstLine="540" w:firstLineChars="300"/>
        <w:rPr>
          <w:sz w:val="18"/>
          <w:szCs w:val="18"/>
        </w:rPr>
      </w:pPr>
      <w:r>
        <w:rPr>
          <w:sz w:val="18"/>
        </w:rPr>
        <w:t>2</w:t>
      </w:r>
      <w:r>
        <w:rPr>
          <w:sz w:val="18"/>
          <w:szCs w:val="18"/>
        </w:rPr>
        <w:t>.</w:t>
      </w:r>
      <w:r>
        <w:rPr>
          <w:sz w:val="18"/>
        </w:rPr>
        <w:t>报送时间为月后15日前</w:t>
      </w:r>
      <w:r>
        <w:rPr>
          <w:sz w:val="18"/>
          <w:szCs w:val="18"/>
        </w:rPr>
        <w:t>，报送方式为邮寄或电子邮件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rPr>
        <w:t>。</w:t>
      </w:r>
    </w:p>
    <w:p w14:paraId="72BF3D34">
      <w:pPr>
        <w:spacing w:line="280" w:lineRule="exact"/>
        <w:ind w:firstLine="540" w:firstLineChars="300"/>
        <w:rPr>
          <w:sz w:val="18"/>
          <w:szCs w:val="18"/>
        </w:rPr>
      </w:pPr>
      <w:r>
        <w:rPr>
          <w:sz w:val="18"/>
        </w:rPr>
        <w:t>3</w:t>
      </w:r>
      <w:r>
        <w:rPr>
          <w:sz w:val="18"/>
          <w:szCs w:val="18"/>
        </w:rPr>
        <w:t>.</w:t>
      </w:r>
      <w:r>
        <w:rPr>
          <w:sz w:val="18"/>
        </w:rPr>
        <w:t>本表由中国石油天然气股份有限公司、中国石油化工股份有限公司、中国海洋石油总公司报送。</w:t>
      </w:r>
    </w:p>
    <w:p w14:paraId="2C78BF90">
      <w:pPr>
        <w:spacing w:line="280" w:lineRule="exact"/>
        <w:ind w:right="-38" w:firstLine="540" w:firstLineChars="300"/>
        <w:rPr>
          <w:sz w:val="18"/>
        </w:rPr>
      </w:pPr>
      <w:r>
        <w:rPr>
          <w:sz w:val="18"/>
        </w:rPr>
        <w:t>4.本表数据从上述三公司现有石油商品购进、销售与库存业务报表取得，国家统计局不另行制发基层表。</w:t>
      </w:r>
    </w:p>
    <w:p w14:paraId="33188CEE">
      <w:pPr>
        <w:spacing w:line="280" w:lineRule="exact"/>
        <w:ind w:right="-38" w:firstLine="0" w:firstLineChars="0"/>
        <w:rPr>
          <w:sz w:val="32"/>
        </w:rPr>
      </w:pPr>
    </w:p>
    <w:p w14:paraId="6780036D">
      <w:pPr>
        <w:spacing w:before="240" w:beforeLines="100" w:after="287" w:afterLines="100"/>
        <w:jc w:val="center"/>
        <w:outlineLvl w:val="2"/>
        <w:rPr>
          <w:sz w:val="32"/>
        </w:rPr>
      </w:pPr>
      <w:r>
        <w:rPr>
          <w:rFonts w:hint="eastAsia"/>
          <w:sz w:val="32"/>
        </w:rPr>
        <w:t>全国发电量情况</w:t>
      </w:r>
    </w:p>
    <w:tbl>
      <w:tblPr>
        <w:tblStyle w:val="20"/>
        <w:tblW w:w="9448" w:type="dxa"/>
        <w:jc w:val="center"/>
        <w:tblLayout w:type="autofit"/>
        <w:tblCellMar>
          <w:top w:w="0" w:type="dxa"/>
          <w:left w:w="108" w:type="dxa"/>
          <w:bottom w:w="0" w:type="dxa"/>
          <w:right w:w="108" w:type="dxa"/>
        </w:tblCellMar>
      </w:tblPr>
      <w:tblGrid>
        <w:gridCol w:w="1109"/>
        <w:gridCol w:w="848"/>
        <w:gridCol w:w="1366"/>
        <w:gridCol w:w="330"/>
        <w:gridCol w:w="739"/>
        <w:gridCol w:w="2163"/>
        <w:gridCol w:w="904"/>
        <w:gridCol w:w="1989"/>
      </w:tblGrid>
      <w:tr w14:paraId="711D7140">
        <w:tblPrEx>
          <w:tblCellMar>
            <w:top w:w="0" w:type="dxa"/>
            <w:left w:w="108" w:type="dxa"/>
            <w:bottom w:w="0" w:type="dxa"/>
            <w:right w:w="108" w:type="dxa"/>
          </w:tblCellMar>
        </w:tblPrEx>
        <w:trPr>
          <w:jc w:val="center"/>
        </w:trPr>
        <w:tc>
          <w:tcPr>
            <w:tcW w:w="591" w:type="pct"/>
            <w:shd w:val="clear" w:color="auto" w:fill="auto"/>
            <w:noWrap/>
            <w:tcMar>
              <w:left w:w="28" w:type="dxa"/>
              <w:right w:w="28" w:type="dxa"/>
            </w:tcMar>
            <w:vAlign w:val="center"/>
          </w:tcPr>
          <w:p w14:paraId="5BCECA28">
            <w:pPr>
              <w:widowControl/>
              <w:adjustRightInd w:val="0"/>
              <w:snapToGrid w:val="0"/>
              <w:jc w:val="left"/>
              <w:rPr>
                <w:kern w:val="0"/>
                <w:sz w:val="18"/>
                <w:szCs w:val="18"/>
              </w:rPr>
            </w:pPr>
          </w:p>
        </w:tc>
        <w:tc>
          <w:tcPr>
            <w:tcW w:w="453" w:type="pct"/>
            <w:shd w:val="clear" w:color="auto" w:fill="auto"/>
            <w:noWrap/>
            <w:tcMar>
              <w:left w:w="28" w:type="dxa"/>
              <w:right w:w="28" w:type="dxa"/>
            </w:tcMar>
            <w:vAlign w:val="center"/>
          </w:tcPr>
          <w:p w14:paraId="7950E692">
            <w:pPr>
              <w:widowControl/>
              <w:adjustRightInd w:val="0"/>
              <w:snapToGrid w:val="0"/>
              <w:jc w:val="left"/>
              <w:rPr>
                <w:kern w:val="0"/>
                <w:sz w:val="18"/>
                <w:szCs w:val="18"/>
              </w:rPr>
            </w:pPr>
          </w:p>
        </w:tc>
        <w:tc>
          <w:tcPr>
            <w:tcW w:w="727" w:type="pct"/>
            <w:shd w:val="clear" w:color="auto" w:fill="auto"/>
            <w:tcMar>
              <w:left w:w="28" w:type="dxa"/>
              <w:right w:w="28" w:type="dxa"/>
            </w:tcMar>
            <w:vAlign w:val="center"/>
          </w:tcPr>
          <w:p w14:paraId="01BE526C">
            <w:pPr>
              <w:widowControl/>
              <w:adjustRightInd w:val="0"/>
              <w:snapToGrid w:val="0"/>
              <w:jc w:val="left"/>
              <w:rPr>
                <w:kern w:val="0"/>
                <w:sz w:val="18"/>
                <w:szCs w:val="18"/>
              </w:rPr>
            </w:pPr>
          </w:p>
        </w:tc>
        <w:tc>
          <w:tcPr>
            <w:tcW w:w="178" w:type="pct"/>
            <w:shd w:val="clear" w:color="auto" w:fill="auto"/>
            <w:tcMar>
              <w:left w:w="28" w:type="dxa"/>
              <w:right w:w="28" w:type="dxa"/>
            </w:tcMar>
            <w:vAlign w:val="center"/>
          </w:tcPr>
          <w:p w14:paraId="35715A6C">
            <w:pPr>
              <w:widowControl/>
              <w:adjustRightInd w:val="0"/>
              <w:snapToGrid w:val="0"/>
              <w:jc w:val="left"/>
              <w:rPr>
                <w:kern w:val="0"/>
                <w:sz w:val="18"/>
                <w:szCs w:val="18"/>
              </w:rPr>
            </w:pPr>
          </w:p>
        </w:tc>
        <w:tc>
          <w:tcPr>
            <w:tcW w:w="395" w:type="pct"/>
            <w:shd w:val="clear" w:color="auto" w:fill="auto"/>
            <w:tcMar>
              <w:left w:w="28" w:type="dxa"/>
              <w:right w:w="28" w:type="dxa"/>
            </w:tcMar>
            <w:vAlign w:val="center"/>
          </w:tcPr>
          <w:p w14:paraId="58FB7423">
            <w:pPr>
              <w:widowControl/>
              <w:adjustRightInd w:val="0"/>
              <w:snapToGrid w:val="0"/>
              <w:jc w:val="left"/>
              <w:rPr>
                <w:kern w:val="0"/>
                <w:sz w:val="18"/>
                <w:szCs w:val="18"/>
              </w:rPr>
            </w:pPr>
          </w:p>
        </w:tc>
        <w:tc>
          <w:tcPr>
            <w:tcW w:w="1148" w:type="pct"/>
            <w:shd w:val="clear" w:color="auto" w:fill="auto"/>
            <w:tcMar>
              <w:left w:w="28" w:type="dxa"/>
              <w:right w:w="28" w:type="dxa"/>
            </w:tcMar>
            <w:vAlign w:val="center"/>
          </w:tcPr>
          <w:p w14:paraId="6130A1E2">
            <w:pPr>
              <w:widowControl/>
              <w:adjustRightInd w:val="0"/>
              <w:snapToGrid w:val="0"/>
              <w:jc w:val="left"/>
              <w:rPr>
                <w:kern w:val="0"/>
                <w:sz w:val="18"/>
                <w:szCs w:val="18"/>
              </w:rPr>
            </w:pPr>
          </w:p>
        </w:tc>
        <w:tc>
          <w:tcPr>
            <w:tcW w:w="482" w:type="pct"/>
            <w:shd w:val="clear" w:color="auto" w:fill="auto"/>
            <w:tcMar>
              <w:left w:w="28" w:type="dxa"/>
              <w:right w:w="28" w:type="dxa"/>
            </w:tcMar>
            <w:vAlign w:val="center"/>
          </w:tcPr>
          <w:p w14:paraId="38A3E2B1">
            <w:pPr>
              <w:widowControl/>
              <w:adjustRightInd w:val="0"/>
              <w:snapToGrid w:val="0"/>
              <w:jc w:val="left"/>
              <w:rPr>
                <w:kern w:val="0"/>
                <w:sz w:val="18"/>
                <w:szCs w:val="18"/>
              </w:rPr>
            </w:pPr>
            <w:r>
              <w:rPr>
                <w:kern w:val="0"/>
                <w:sz w:val="18"/>
                <w:szCs w:val="18"/>
              </w:rPr>
              <w:t>表　　号：</w:t>
            </w:r>
          </w:p>
        </w:tc>
        <w:tc>
          <w:tcPr>
            <w:tcW w:w="1023" w:type="pct"/>
            <w:shd w:val="clear" w:color="auto" w:fill="auto"/>
            <w:tcMar>
              <w:left w:w="28" w:type="dxa"/>
              <w:right w:w="28" w:type="dxa"/>
            </w:tcMar>
            <w:vAlign w:val="center"/>
          </w:tcPr>
          <w:p w14:paraId="673FA9E5">
            <w:pPr>
              <w:jc w:val="distribute"/>
              <w:rPr>
                <w:rFonts w:ascii="宋体" w:hAnsi="宋体"/>
                <w:sz w:val="18"/>
                <w:szCs w:val="18"/>
              </w:rPr>
            </w:pPr>
            <w:r>
              <w:rPr>
                <w:rFonts w:hint="eastAsia" w:ascii="宋体" w:hAnsi="宋体"/>
                <w:sz w:val="18"/>
                <w:szCs w:val="18"/>
              </w:rPr>
              <w:t>ＤＷ４０１</w:t>
            </w:r>
            <w:r>
              <w:rPr>
                <w:rFonts w:ascii="宋体" w:hAnsi="宋体"/>
                <w:sz w:val="18"/>
                <w:szCs w:val="18"/>
              </w:rPr>
              <w:t>表</w:t>
            </w:r>
          </w:p>
        </w:tc>
      </w:tr>
      <w:tr w14:paraId="14984113">
        <w:tblPrEx>
          <w:tblCellMar>
            <w:top w:w="0" w:type="dxa"/>
            <w:left w:w="108" w:type="dxa"/>
            <w:bottom w:w="0" w:type="dxa"/>
            <w:right w:w="108" w:type="dxa"/>
          </w:tblCellMar>
        </w:tblPrEx>
        <w:trPr>
          <w:jc w:val="center"/>
        </w:trPr>
        <w:tc>
          <w:tcPr>
            <w:tcW w:w="591" w:type="pct"/>
            <w:shd w:val="clear" w:color="auto" w:fill="auto"/>
            <w:noWrap/>
            <w:tcMar>
              <w:left w:w="28" w:type="dxa"/>
              <w:right w:w="28" w:type="dxa"/>
            </w:tcMar>
            <w:vAlign w:val="center"/>
          </w:tcPr>
          <w:p w14:paraId="4A799FC3">
            <w:pPr>
              <w:widowControl/>
              <w:adjustRightInd w:val="0"/>
              <w:snapToGrid w:val="0"/>
              <w:jc w:val="left"/>
              <w:rPr>
                <w:kern w:val="0"/>
                <w:sz w:val="18"/>
                <w:szCs w:val="18"/>
              </w:rPr>
            </w:pPr>
          </w:p>
        </w:tc>
        <w:tc>
          <w:tcPr>
            <w:tcW w:w="453" w:type="pct"/>
            <w:shd w:val="clear" w:color="auto" w:fill="auto"/>
            <w:noWrap/>
            <w:tcMar>
              <w:left w:w="28" w:type="dxa"/>
              <w:right w:w="28" w:type="dxa"/>
            </w:tcMar>
            <w:vAlign w:val="center"/>
          </w:tcPr>
          <w:p w14:paraId="20DCC6C0">
            <w:pPr>
              <w:widowControl/>
              <w:adjustRightInd w:val="0"/>
              <w:snapToGrid w:val="0"/>
              <w:jc w:val="left"/>
              <w:rPr>
                <w:kern w:val="0"/>
                <w:sz w:val="18"/>
                <w:szCs w:val="18"/>
              </w:rPr>
            </w:pPr>
          </w:p>
        </w:tc>
        <w:tc>
          <w:tcPr>
            <w:tcW w:w="727" w:type="pct"/>
            <w:shd w:val="clear" w:color="auto" w:fill="auto"/>
            <w:noWrap/>
            <w:tcMar>
              <w:left w:w="28" w:type="dxa"/>
              <w:right w:w="28" w:type="dxa"/>
            </w:tcMar>
            <w:vAlign w:val="center"/>
          </w:tcPr>
          <w:p w14:paraId="39F1F786">
            <w:pPr>
              <w:widowControl/>
              <w:adjustRightInd w:val="0"/>
              <w:snapToGrid w:val="0"/>
              <w:jc w:val="left"/>
              <w:rPr>
                <w:kern w:val="0"/>
                <w:sz w:val="18"/>
                <w:szCs w:val="18"/>
              </w:rPr>
            </w:pPr>
          </w:p>
        </w:tc>
        <w:tc>
          <w:tcPr>
            <w:tcW w:w="178" w:type="pct"/>
            <w:shd w:val="clear" w:color="auto" w:fill="auto"/>
            <w:tcMar>
              <w:left w:w="28" w:type="dxa"/>
              <w:right w:w="28" w:type="dxa"/>
            </w:tcMar>
            <w:vAlign w:val="center"/>
          </w:tcPr>
          <w:p w14:paraId="18D8B762">
            <w:pPr>
              <w:widowControl/>
              <w:adjustRightInd w:val="0"/>
              <w:snapToGrid w:val="0"/>
              <w:jc w:val="left"/>
              <w:rPr>
                <w:kern w:val="0"/>
                <w:sz w:val="18"/>
                <w:szCs w:val="18"/>
              </w:rPr>
            </w:pPr>
          </w:p>
        </w:tc>
        <w:tc>
          <w:tcPr>
            <w:tcW w:w="395" w:type="pct"/>
            <w:shd w:val="clear" w:color="auto" w:fill="auto"/>
            <w:tcMar>
              <w:left w:w="28" w:type="dxa"/>
              <w:right w:w="28" w:type="dxa"/>
            </w:tcMar>
            <w:vAlign w:val="center"/>
          </w:tcPr>
          <w:p w14:paraId="49B063A9">
            <w:pPr>
              <w:widowControl/>
              <w:adjustRightInd w:val="0"/>
              <w:snapToGrid w:val="0"/>
              <w:jc w:val="left"/>
              <w:rPr>
                <w:kern w:val="0"/>
                <w:sz w:val="18"/>
                <w:szCs w:val="18"/>
              </w:rPr>
            </w:pPr>
          </w:p>
        </w:tc>
        <w:tc>
          <w:tcPr>
            <w:tcW w:w="1148" w:type="pct"/>
            <w:shd w:val="clear" w:color="auto" w:fill="auto"/>
            <w:tcMar>
              <w:left w:w="28" w:type="dxa"/>
              <w:right w:w="28" w:type="dxa"/>
            </w:tcMar>
            <w:vAlign w:val="center"/>
          </w:tcPr>
          <w:p w14:paraId="13B54CFC">
            <w:pPr>
              <w:widowControl/>
              <w:adjustRightInd w:val="0"/>
              <w:snapToGrid w:val="0"/>
              <w:jc w:val="left"/>
              <w:rPr>
                <w:kern w:val="0"/>
                <w:sz w:val="18"/>
                <w:szCs w:val="18"/>
              </w:rPr>
            </w:pPr>
          </w:p>
        </w:tc>
        <w:tc>
          <w:tcPr>
            <w:tcW w:w="482" w:type="pct"/>
            <w:shd w:val="clear" w:color="auto" w:fill="auto"/>
            <w:tcMar>
              <w:left w:w="28" w:type="dxa"/>
              <w:right w:w="28" w:type="dxa"/>
            </w:tcMar>
            <w:vAlign w:val="center"/>
          </w:tcPr>
          <w:p w14:paraId="4B48160B">
            <w:pPr>
              <w:widowControl/>
              <w:adjustRightInd w:val="0"/>
              <w:snapToGrid w:val="0"/>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023" w:type="pct"/>
            <w:shd w:val="clear" w:color="auto" w:fill="auto"/>
            <w:tcMar>
              <w:left w:w="28" w:type="dxa"/>
              <w:right w:w="28" w:type="dxa"/>
            </w:tcMar>
            <w:vAlign w:val="center"/>
          </w:tcPr>
          <w:p w14:paraId="0AAA25A5">
            <w:pPr>
              <w:jc w:val="distribute"/>
              <w:rPr>
                <w:rFonts w:ascii="宋体" w:hAnsi="宋体"/>
                <w:sz w:val="18"/>
                <w:szCs w:val="18"/>
              </w:rPr>
            </w:pPr>
            <w:r>
              <w:rPr>
                <w:rFonts w:ascii="宋体" w:hAnsi="宋体"/>
                <w:sz w:val="18"/>
                <w:szCs w:val="18"/>
              </w:rPr>
              <w:t>国家统计局</w:t>
            </w:r>
          </w:p>
        </w:tc>
      </w:tr>
      <w:tr w14:paraId="2EAA55F6">
        <w:tblPrEx>
          <w:tblCellMar>
            <w:top w:w="0" w:type="dxa"/>
            <w:left w:w="108" w:type="dxa"/>
            <w:bottom w:w="0" w:type="dxa"/>
            <w:right w:w="108" w:type="dxa"/>
          </w:tblCellMar>
        </w:tblPrEx>
        <w:trPr>
          <w:jc w:val="center"/>
        </w:trPr>
        <w:tc>
          <w:tcPr>
            <w:tcW w:w="2345" w:type="pct"/>
            <w:gridSpan w:val="5"/>
            <w:shd w:val="clear" w:color="auto" w:fill="auto"/>
            <w:tcMar>
              <w:left w:w="28" w:type="dxa"/>
              <w:right w:w="28" w:type="dxa"/>
            </w:tcMar>
            <w:vAlign w:val="center"/>
          </w:tcPr>
          <w:p w14:paraId="379AC828">
            <w:pPr>
              <w:widowControl/>
              <w:adjustRightInd w:val="0"/>
              <w:snapToGrid w:val="0"/>
              <w:jc w:val="left"/>
              <w:rPr>
                <w:kern w:val="0"/>
                <w:sz w:val="18"/>
                <w:szCs w:val="18"/>
              </w:rPr>
            </w:pPr>
          </w:p>
        </w:tc>
        <w:tc>
          <w:tcPr>
            <w:tcW w:w="1148" w:type="pct"/>
            <w:shd w:val="clear" w:color="auto" w:fill="auto"/>
            <w:tcMar>
              <w:left w:w="28" w:type="dxa"/>
              <w:right w:w="28" w:type="dxa"/>
            </w:tcMar>
            <w:vAlign w:val="center"/>
          </w:tcPr>
          <w:p w14:paraId="58B3B6C2">
            <w:pPr>
              <w:widowControl/>
              <w:adjustRightInd w:val="0"/>
              <w:snapToGrid w:val="0"/>
              <w:jc w:val="left"/>
              <w:rPr>
                <w:kern w:val="0"/>
                <w:sz w:val="18"/>
                <w:szCs w:val="18"/>
              </w:rPr>
            </w:pPr>
          </w:p>
        </w:tc>
        <w:tc>
          <w:tcPr>
            <w:tcW w:w="482" w:type="pct"/>
            <w:shd w:val="clear" w:color="auto" w:fill="auto"/>
            <w:tcMar>
              <w:left w:w="28" w:type="dxa"/>
              <w:right w:w="28" w:type="dxa"/>
            </w:tcMar>
            <w:vAlign w:val="center"/>
          </w:tcPr>
          <w:p w14:paraId="5727A81E">
            <w:pPr>
              <w:widowControl/>
              <w:adjustRightInd w:val="0"/>
              <w:snapToGrid w:val="0"/>
              <w:jc w:val="left"/>
              <w:rPr>
                <w:kern w:val="0"/>
                <w:sz w:val="18"/>
                <w:szCs w:val="18"/>
              </w:rPr>
            </w:pPr>
            <w:r>
              <w:rPr>
                <w:kern w:val="0"/>
                <w:sz w:val="18"/>
                <w:szCs w:val="18"/>
              </w:rPr>
              <w:t>文　　号：</w:t>
            </w:r>
          </w:p>
        </w:tc>
        <w:tc>
          <w:tcPr>
            <w:tcW w:w="1023" w:type="pct"/>
            <w:shd w:val="clear" w:color="auto" w:fill="auto"/>
            <w:tcMar>
              <w:left w:w="28" w:type="dxa"/>
              <w:right w:w="28" w:type="dxa"/>
            </w:tcMar>
            <w:vAlign w:val="center"/>
          </w:tcPr>
          <w:p w14:paraId="30E8E3E6">
            <w:pPr>
              <w:jc w:val="distribute"/>
              <w:rPr>
                <w:rFonts w:ascii="宋体" w:hAnsi="宋体"/>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394" w:author="kylin" w:date="2025-10-17T16:22:16Z">
              <w:r>
                <w:rPr>
                  <w:rFonts w:hint="default" w:ascii="宋体" w:hAnsi="宋体"/>
                  <w:spacing w:val="-16"/>
                  <w:sz w:val="18"/>
                  <w:szCs w:val="18"/>
                  <w:lang w:val="en-US" w:eastAsia="zh-CN"/>
                </w:rPr>
                <w:delText>４</w:delText>
              </w:r>
            </w:del>
            <w:ins w:id="395" w:author="kylin" w:date="2025-10-17T16:22:16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396" w:author="kylin" w:date="2025-10-17T16:22:18Z">
              <w:r>
                <w:rPr>
                  <w:rFonts w:hint="default" w:ascii="宋体" w:hAnsi="宋体"/>
                  <w:spacing w:val="-16"/>
                  <w:sz w:val="18"/>
                  <w:szCs w:val="18"/>
                  <w:lang w:val="en-US" w:eastAsia="zh-CN"/>
                </w:rPr>
                <w:delText>77</w:delText>
              </w:r>
            </w:del>
            <w:ins w:id="397" w:author="kylin" w:date="2025-10-17T16:22:18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7305F883">
        <w:tblPrEx>
          <w:tblCellMar>
            <w:top w:w="0" w:type="dxa"/>
            <w:left w:w="108" w:type="dxa"/>
            <w:bottom w:w="0" w:type="dxa"/>
            <w:right w:w="108" w:type="dxa"/>
          </w:tblCellMar>
        </w:tblPrEx>
        <w:trPr>
          <w:jc w:val="center"/>
        </w:trPr>
        <w:tc>
          <w:tcPr>
            <w:tcW w:w="1950" w:type="pct"/>
            <w:gridSpan w:val="4"/>
            <w:shd w:val="clear" w:color="auto" w:fill="auto"/>
            <w:tcMar>
              <w:left w:w="28" w:type="dxa"/>
              <w:right w:w="28" w:type="dxa"/>
            </w:tcMar>
            <w:vAlign w:val="center"/>
          </w:tcPr>
          <w:p w14:paraId="62BA4BF9">
            <w:pPr>
              <w:widowControl/>
              <w:adjustRightInd w:val="0"/>
              <w:snapToGrid w:val="0"/>
              <w:jc w:val="left"/>
              <w:rPr>
                <w:kern w:val="0"/>
                <w:sz w:val="18"/>
                <w:szCs w:val="18"/>
              </w:rPr>
            </w:pPr>
          </w:p>
        </w:tc>
        <w:tc>
          <w:tcPr>
            <w:tcW w:w="1543" w:type="pct"/>
            <w:gridSpan w:val="2"/>
            <w:shd w:val="clear" w:color="auto" w:fill="auto"/>
            <w:noWrap/>
            <w:tcMar>
              <w:left w:w="28" w:type="dxa"/>
              <w:right w:w="28" w:type="dxa"/>
            </w:tcMar>
            <w:vAlign w:val="center"/>
          </w:tcPr>
          <w:p w14:paraId="0B1CC0E4">
            <w:pPr>
              <w:widowControl/>
              <w:adjustRightInd w:val="0"/>
              <w:snapToGrid w:val="0"/>
              <w:jc w:val="left"/>
              <w:rPr>
                <w:kern w:val="0"/>
                <w:sz w:val="18"/>
                <w:szCs w:val="18"/>
              </w:rPr>
            </w:pPr>
          </w:p>
        </w:tc>
        <w:tc>
          <w:tcPr>
            <w:tcW w:w="482" w:type="pct"/>
            <w:shd w:val="clear" w:color="auto" w:fill="auto"/>
            <w:tcMar>
              <w:left w:w="28" w:type="dxa"/>
              <w:right w:w="28" w:type="dxa"/>
            </w:tcMar>
          </w:tcPr>
          <w:p w14:paraId="0AA1FF40">
            <w:pPr>
              <w:adjustRightInd w:val="0"/>
              <w:snapToGrid w:val="0"/>
              <w:rPr>
                <w:kern w:val="0"/>
                <w:sz w:val="18"/>
                <w:szCs w:val="18"/>
              </w:rPr>
            </w:pPr>
            <w:r>
              <w:rPr>
                <w:kern w:val="0"/>
                <w:sz w:val="18"/>
                <w:szCs w:val="18"/>
              </w:rPr>
              <w:t>有效期至：</w:t>
            </w:r>
          </w:p>
        </w:tc>
        <w:tc>
          <w:tcPr>
            <w:tcW w:w="1023" w:type="pct"/>
            <w:shd w:val="clear" w:color="auto" w:fill="auto"/>
            <w:tcMar>
              <w:left w:w="28" w:type="dxa"/>
              <w:right w:w="28" w:type="dxa"/>
            </w:tcMar>
            <w:vAlign w:val="center"/>
          </w:tcPr>
          <w:p w14:paraId="01B5F777">
            <w:pPr>
              <w:jc w:val="distribute"/>
              <w:rPr>
                <w:rFonts w:hint="default" w:ascii="宋体" w:hAnsi="宋体" w:eastAsia="宋体"/>
                <w:sz w:val="18"/>
                <w:szCs w:val="18"/>
                <w:lang w:val="en-US" w:eastAsia="zh-CN"/>
              </w:rPr>
            </w:pPr>
            <w:r>
              <w:rPr>
                <w:rFonts w:hint="default"/>
                <w:kern w:val="0"/>
                <w:sz w:val="18"/>
                <w:szCs w:val="18"/>
                <w:lang w:val="en-US" w:eastAsia="zh-CN"/>
              </w:rPr>
              <w:t>２０２</w:t>
            </w:r>
            <w:del w:id="398" w:author="kylin" w:date="2025-10-17T16:22:20Z">
              <w:r>
                <w:rPr>
                  <w:rFonts w:hint="default"/>
                  <w:kern w:val="0"/>
                  <w:sz w:val="18"/>
                  <w:szCs w:val="18"/>
                  <w:lang w:val="en-US" w:eastAsia="zh-CN"/>
                </w:rPr>
                <w:delText>６</w:delText>
              </w:r>
            </w:del>
            <w:ins w:id="399" w:author="kylin" w:date="2025-10-17T16:22:20Z">
              <w:r>
                <w:rPr>
                  <w:rFonts w:hint="eastAsia"/>
                  <w:kern w:val="0"/>
                  <w:sz w:val="18"/>
                  <w:szCs w:val="18"/>
                  <w:lang w:val="en-US" w:eastAsia="zh-CN"/>
                </w:rPr>
                <w:t>7</w:t>
              </w:r>
            </w:ins>
            <w:r>
              <w:rPr>
                <w:rFonts w:hint="default"/>
                <w:kern w:val="0"/>
                <w:sz w:val="18"/>
                <w:szCs w:val="18"/>
                <w:lang w:val="en-US" w:eastAsia="zh-CN"/>
              </w:rPr>
              <w:t>年１月</w:t>
            </w:r>
          </w:p>
        </w:tc>
      </w:tr>
      <w:tr w14:paraId="0FB35C2D">
        <w:tblPrEx>
          <w:tblCellMar>
            <w:top w:w="0" w:type="dxa"/>
            <w:left w:w="108" w:type="dxa"/>
            <w:bottom w:w="0" w:type="dxa"/>
            <w:right w:w="108" w:type="dxa"/>
          </w:tblCellMar>
        </w:tblPrEx>
        <w:trPr>
          <w:jc w:val="center"/>
        </w:trPr>
        <w:tc>
          <w:tcPr>
            <w:tcW w:w="1950" w:type="pct"/>
            <w:gridSpan w:val="4"/>
            <w:shd w:val="clear" w:color="auto" w:fill="auto"/>
            <w:tcMar>
              <w:left w:w="28" w:type="dxa"/>
              <w:right w:w="28" w:type="dxa"/>
            </w:tcMar>
            <w:vAlign w:val="center"/>
          </w:tcPr>
          <w:p w14:paraId="3E8CAE84">
            <w:pPr>
              <w:widowControl/>
              <w:adjustRightInd w:val="0"/>
              <w:snapToGrid w:val="0"/>
              <w:jc w:val="left"/>
              <w:rPr>
                <w:kern w:val="0"/>
                <w:sz w:val="18"/>
                <w:szCs w:val="18"/>
              </w:rPr>
            </w:pPr>
            <w:r>
              <w:rPr>
                <w:sz w:val="18"/>
              </w:rPr>
              <w:t>综合机关</w:t>
            </w:r>
            <w:r>
              <w:rPr>
                <w:kern w:val="0"/>
                <w:sz w:val="18"/>
                <w:szCs w:val="18"/>
              </w:rPr>
              <w:t>名称：</w:t>
            </w:r>
            <w:r>
              <w:rPr>
                <w:rFonts w:hint="eastAsia"/>
                <w:kern w:val="0"/>
                <w:sz w:val="18"/>
                <w:szCs w:val="18"/>
              </w:rPr>
              <w:t>国家</w:t>
            </w:r>
            <w:r>
              <w:rPr>
                <w:kern w:val="0"/>
                <w:sz w:val="18"/>
                <w:szCs w:val="18"/>
              </w:rPr>
              <w:t>电网公司</w:t>
            </w:r>
          </w:p>
        </w:tc>
        <w:tc>
          <w:tcPr>
            <w:tcW w:w="1543" w:type="pct"/>
            <w:gridSpan w:val="2"/>
            <w:shd w:val="clear" w:color="auto" w:fill="auto"/>
            <w:noWrap/>
            <w:tcMar>
              <w:left w:w="28" w:type="dxa"/>
              <w:right w:w="28" w:type="dxa"/>
            </w:tcMar>
          </w:tcPr>
          <w:p w14:paraId="3B851443">
            <w:pPr>
              <w:adjustRightInd w:val="0"/>
              <w:snapToGrid w:val="0"/>
              <w:rPr>
                <w:kern w:val="0"/>
                <w:sz w:val="18"/>
                <w:szCs w:val="18"/>
              </w:rPr>
            </w:pPr>
            <w:r>
              <w:rPr>
                <w:kern w:val="0"/>
                <w:sz w:val="18"/>
                <w:szCs w:val="18"/>
              </w:rPr>
              <w:t>２０　</w:t>
            </w:r>
            <w:r>
              <w:rPr>
                <w:rFonts w:hint="eastAsia"/>
                <w:kern w:val="0"/>
                <w:sz w:val="18"/>
                <w:szCs w:val="18"/>
              </w:rPr>
              <w:t xml:space="preserve"> </w:t>
            </w:r>
            <w:r>
              <w:rPr>
                <w:kern w:val="0"/>
                <w:sz w:val="18"/>
                <w:szCs w:val="18"/>
              </w:rPr>
              <w:t>年　月</w:t>
            </w:r>
            <w:r>
              <w:rPr>
                <w:rFonts w:hint="eastAsia"/>
                <w:kern w:val="0"/>
                <w:sz w:val="18"/>
                <w:szCs w:val="18"/>
              </w:rPr>
              <w:t xml:space="preserve">   日</w:t>
            </w:r>
          </w:p>
        </w:tc>
        <w:tc>
          <w:tcPr>
            <w:tcW w:w="482" w:type="pct"/>
            <w:shd w:val="clear" w:color="auto" w:fill="auto"/>
            <w:tcMar>
              <w:left w:w="28" w:type="dxa"/>
              <w:right w:w="28" w:type="dxa"/>
            </w:tcMar>
          </w:tcPr>
          <w:p w14:paraId="32BF5601">
            <w:pPr>
              <w:adjustRightInd w:val="0"/>
              <w:snapToGrid w:val="0"/>
              <w:rPr>
                <w:kern w:val="0"/>
                <w:sz w:val="18"/>
                <w:szCs w:val="18"/>
              </w:rPr>
            </w:pPr>
            <w:r>
              <w:rPr>
                <w:kern w:val="0"/>
                <w:sz w:val="18"/>
                <w:szCs w:val="18"/>
              </w:rPr>
              <w:t>计量单位：</w:t>
            </w:r>
          </w:p>
        </w:tc>
        <w:tc>
          <w:tcPr>
            <w:tcW w:w="1023" w:type="pct"/>
            <w:shd w:val="clear" w:color="auto" w:fill="auto"/>
            <w:tcMar>
              <w:left w:w="28" w:type="dxa"/>
              <w:right w:w="28" w:type="dxa"/>
            </w:tcMar>
            <w:vAlign w:val="center"/>
          </w:tcPr>
          <w:p w14:paraId="6BE6D5F8">
            <w:pPr>
              <w:jc w:val="distribute"/>
              <w:rPr>
                <w:rFonts w:ascii="宋体" w:hAnsi="宋体"/>
                <w:sz w:val="18"/>
                <w:szCs w:val="18"/>
              </w:rPr>
            </w:pPr>
            <w:r>
              <w:rPr>
                <w:rFonts w:hint="eastAsia" w:ascii="宋体" w:hAnsi="宋体"/>
                <w:spacing w:val="202"/>
                <w:kern w:val="0"/>
                <w:sz w:val="18"/>
                <w:szCs w:val="18"/>
                <w:fitText w:val="1932" w:id="1447327308"/>
              </w:rPr>
              <w:t>亿</w:t>
            </w:r>
            <w:r>
              <w:rPr>
                <w:rFonts w:ascii="宋体" w:hAnsi="宋体"/>
                <w:spacing w:val="202"/>
                <w:kern w:val="0"/>
                <w:sz w:val="18"/>
                <w:szCs w:val="18"/>
                <w:fitText w:val="1932" w:id="1447327308"/>
              </w:rPr>
              <w:t>千瓦</w:t>
            </w:r>
            <w:r>
              <w:rPr>
                <w:rFonts w:ascii="宋体" w:hAnsi="宋体"/>
                <w:spacing w:val="0"/>
                <w:kern w:val="0"/>
                <w:sz w:val="18"/>
                <w:szCs w:val="18"/>
                <w:fitText w:val="1932" w:id="1447327308"/>
              </w:rPr>
              <w:t>时</w:t>
            </w:r>
          </w:p>
        </w:tc>
      </w:tr>
    </w:tbl>
    <w:p w14:paraId="7D060179">
      <w:pPr>
        <w:spacing w:line="40" w:lineRule="exact"/>
      </w:pPr>
    </w:p>
    <w:tbl>
      <w:tblPr>
        <w:tblStyle w:val="20"/>
        <w:tblW w:w="946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59"/>
        <w:gridCol w:w="983"/>
        <w:gridCol w:w="1142"/>
        <w:gridCol w:w="1146"/>
        <w:gridCol w:w="1146"/>
        <w:gridCol w:w="1147"/>
        <w:gridCol w:w="1163"/>
        <w:gridCol w:w="1181"/>
      </w:tblGrid>
      <w:tr w14:paraId="21C25D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24" w:type="pct"/>
            <w:vMerge w:val="restart"/>
            <w:shd w:val="clear" w:color="auto" w:fill="auto"/>
            <w:tcMar>
              <w:top w:w="15" w:type="dxa"/>
              <w:left w:w="15" w:type="dxa"/>
              <w:bottom w:w="0" w:type="dxa"/>
              <w:right w:w="15" w:type="dxa"/>
            </w:tcMar>
            <w:vAlign w:val="center"/>
          </w:tcPr>
          <w:p w14:paraId="0C8082FB">
            <w:pPr>
              <w:widowControl/>
              <w:jc w:val="center"/>
              <w:rPr>
                <w:rFonts w:ascii="宋体" w:cs="宋体"/>
                <w:kern w:val="0"/>
                <w:sz w:val="18"/>
                <w:szCs w:val="18"/>
              </w:rPr>
            </w:pPr>
          </w:p>
        </w:tc>
        <w:tc>
          <w:tcPr>
            <w:tcW w:w="1727" w:type="pct"/>
            <w:gridSpan w:val="3"/>
            <w:shd w:val="clear" w:color="auto" w:fill="auto"/>
            <w:tcMar>
              <w:top w:w="15" w:type="dxa"/>
              <w:left w:w="15" w:type="dxa"/>
              <w:bottom w:w="0" w:type="dxa"/>
              <w:right w:w="15" w:type="dxa"/>
            </w:tcMar>
            <w:vAlign w:val="center"/>
          </w:tcPr>
          <w:p w14:paraId="1871874E">
            <w:pPr>
              <w:widowControl/>
              <w:jc w:val="center"/>
              <w:rPr>
                <w:rFonts w:ascii="宋体" w:hAnsi="宋体" w:cs="宋体"/>
                <w:kern w:val="0"/>
                <w:sz w:val="18"/>
                <w:szCs w:val="18"/>
              </w:rPr>
            </w:pPr>
            <w:r>
              <w:rPr>
                <w:rFonts w:hint="eastAsia" w:ascii="宋体" w:hAnsi="宋体" w:cs="宋体"/>
                <w:kern w:val="0"/>
                <w:sz w:val="18"/>
                <w:szCs w:val="18"/>
              </w:rPr>
              <w:t>5日</w:t>
            </w:r>
          </w:p>
        </w:tc>
        <w:tc>
          <w:tcPr>
            <w:tcW w:w="1211" w:type="pct"/>
            <w:gridSpan w:val="2"/>
            <w:shd w:val="clear" w:color="auto" w:fill="auto"/>
            <w:tcMar>
              <w:top w:w="15" w:type="dxa"/>
              <w:left w:w="15" w:type="dxa"/>
              <w:bottom w:w="0" w:type="dxa"/>
              <w:right w:w="15" w:type="dxa"/>
            </w:tcMar>
            <w:vAlign w:val="center"/>
          </w:tcPr>
          <w:p w14:paraId="56CA078A">
            <w:pPr>
              <w:widowControl/>
              <w:jc w:val="center"/>
              <w:rPr>
                <w:rFonts w:ascii="宋体" w:hAnsi="宋体" w:cs="宋体"/>
                <w:kern w:val="0"/>
                <w:sz w:val="18"/>
                <w:szCs w:val="18"/>
              </w:rPr>
            </w:pPr>
            <w:r>
              <w:rPr>
                <w:rFonts w:hint="eastAsia" w:ascii="宋体" w:hAnsi="宋体" w:cs="宋体"/>
                <w:kern w:val="0"/>
                <w:sz w:val="18"/>
                <w:szCs w:val="18"/>
              </w:rPr>
              <w:t>本月累计</w:t>
            </w:r>
          </w:p>
        </w:tc>
        <w:tc>
          <w:tcPr>
            <w:tcW w:w="1238" w:type="pct"/>
            <w:gridSpan w:val="2"/>
            <w:shd w:val="clear" w:color="auto" w:fill="auto"/>
            <w:vAlign w:val="center"/>
          </w:tcPr>
          <w:p w14:paraId="76580CBF">
            <w:pPr>
              <w:widowControl/>
              <w:jc w:val="center"/>
              <w:rPr>
                <w:rFonts w:ascii="宋体" w:hAnsi="宋体" w:cs="宋体"/>
                <w:kern w:val="0"/>
                <w:sz w:val="18"/>
                <w:szCs w:val="18"/>
              </w:rPr>
            </w:pPr>
            <w:r>
              <w:rPr>
                <w:rFonts w:hint="eastAsia" w:ascii="宋体" w:hAnsi="宋体" w:cs="宋体"/>
                <w:kern w:val="0"/>
                <w:sz w:val="18"/>
                <w:szCs w:val="18"/>
              </w:rPr>
              <w:t>本年累计</w:t>
            </w:r>
          </w:p>
        </w:tc>
      </w:tr>
      <w:tr w14:paraId="0B60FD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41" w:hRule="atLeast"/>
          <w:jc w:val="center"/>
        </w:trPr>
        <w:tc>
          <w:tcPr>
            <w:tcW w:w="824" w:type="pct"/>
            <w:vMerge w:val="continue"/>
            <w:tcBorders>
              <w:bottom w:val="single" w:color="auto" w:sz="2" w:space="0"/>
            </w:tcBorders>
            <w:shd w:val="clear" w:color="auto" w:fill="auto"/>
            <w:tcMar>
              <w:top w:w="15" w:type="dxa"/>
              <w:left w:w="15" w:type="dxa"/>
              <w:bottom w:w="0" w:type="dxa"/>
              <w:right w:w="15" w:type="dxa"/>
            </w:tcMar>
            <w:vAlign w:val="center"/>
          </w:tcPr>
          <w:p w14:paraId="2B4F6FBD">
            <w:pPr>
              <w:widowControl/>
              <w:jc w:val="center"/>
              <w:rPr>
                <w:rFonts w:ascii="宋体" w:cs="宋体"/>
                <w:kern w:val="0"/>
                <w:sz w:val="18"/>
                <w:szCs w:val="18"/>
              </w:rPr>
            </w:pPr>
          </w:p>
        </w:tc>
        <w:tc>
          <w:tcPr>
            <w:tcW w:w="519" w:type="pct"/>
            <w:shd w:val="clear" w:color="auto" w:fill="auto"/>
            <w:tcMar>
              <w:top w:w="15" w:type="dxa"/>
              <w:left w:w="15" w:type="dxa"/>
              <w:bottom w:w="0" w:type="dxa"/>
              <w:right w:w="15" w:type="dxa"/>
            </w:tcMar>
            <w:vAlign w:val="center"/>
          </w:tcPr>
          <w:p w14:paraId="5E41B9BF">
            <w:pPr>
              <w:widowControl/>
              <w:jc w:val="center"/>
              <w:rPr>
                <w:rFonts w:ascii="宋体" w:cs="宋体"/>
                <w:kern w:val="0"/>
                <w:sz w:val="18"/>
                <w:szCs w:val="18"/>
              </w:rPr>
            </w:pPr>
            <w:r>
              <w:rPr>
                <w:rFonts w:hint="eastAsia" w:ascii="宋体" w:cs="宋体"/>
                <w:kern w:val="0"/>
                <w:sz w:val="18"/>
                <w:szCs w:val="18"/>
              </w:rPr>
              <w:t>发电量</w:t>
            </w:r>
          </w:p>
        </w:tc>
        <w:tc>
          <w:tcPr>
            <w:tcW w:w="603" w:type="pct"/>
            <w:shd w:val="clear" w:color="auto" w:fill="auto"/>
            <w:tcMar>
              <w:top w:w="15" w:type="dxa"/>
              <w:left w:w="15" w:type="dxa"/>
              <w:bottom w:w="0" w:type="dxa"/>
              <w:right w:w="15" w:type="dxa"/>
            </w:tcMar>
            <w:vAlign w:val="center"/>
          </w:tcPr>
          <w:p w14:paraId="0973EBEA">
            <w:pPr>
              <w:widowControl/>
              <w:jc w:val="center"/>
              <w:rPr>
                <w:rFonts w:ascii="宋体" w:hAnsi="宋体" w:cs="宋体"/>
                <w:kern w:val="0"/>
                <w:sz w:val="18"/>
                <w:szCs w:val="18"/>
              </w:rPr>
            </w:pPr>
            <w:r>
              <w:rPr>
                <w:rFonts w:hint="eastAsia" w:ascii="宋体" w:hAnsi="宋体" w:cs="宋体"/>
                <w:kern w:val="0"/>
                <w:sz w:val="18"/>
                <w:szCs w:val="18"/>
              </w:rPr>
              <w:t>日均发</w:t>
            </w:r>
          </w:p>
          <w:p w14:paraId="722427C3">
            <w:pPr>
              <w:widowControl/>
              <w:jc w:val="center"/>
              <w:rPr>
                <w:rFonts w:ascii="宋体" w:cs="宋体"/>
                <w:kern w:val="0"/>
                <w:sz w:val="18"/>
                <w:szCs w:val="18"/>
              </w:rPr>
            </w:pPr>
            <w:r>
              <w:rPr>
                <w:rFonts w:hint="eastAsia" w:ascii="宋体" w:hAnsi="宋体" w:cs="宋体"/>
                <w:kern w:val="0"/>
                <w:sz w:val="18"/>
                <w:szCs w:val="18"/>
              </w:rPr>
              <w:t>电量</w:t>
            </w:r>
          </w:p>
        </w:tc>
        <w:tc>
          <w:tcPr>
            <w:tcW w:w="605" w:type="pct"/>
            <w:shd w:val="clear" w:color="auto" w:fill="auto"/>
            <w:tcMar>
              <w:top w:w="15" w:type="dxa"/>
              <w:left w:w="15" w:type="dxa"/>
              <w:bottom w:w="0" w:type="dxa"/>
              <w:right w:w="15" w:type="dxa"/>
            </w:tcMar>
            <w:vAlign w:val="center"/>
          </w:tcPr>
          <w:p w14:paraId="086F4F1D">
            <w:pPr>
              <w:widowControl/>
              <w:jc w:val="center"/>
              <w:rPr>
                <w:rFonts w:ascii="宋体" w:hAnsi="宋体" w:cs="宋体"/>
                <w:kern w:val="0"/>
                <w:sz w:val="18"/>
                <w:szCs w:val="18"/>
              </w:rPr>
            </w:pPr>
            <w:r>
              <w:rPr>
                <w:rFonts w:hint="eastAsia" w:ascii="宋体" w:hAnsi="宋体" w:cs="宋体"/>
                <w:kern w:val="0"/>
                <w:sz w:val="18"/>
                <w:szCs w:val="18"/>
              </w:rPr>
              <w:t>日均</w:t>
            </w:r>
            <w:r>
              <w:rPr>
                <w:rFonts w:ascii="宋体" w:hAnsi="宋体" w:cs="宋体"/>
                <w:kern w:val="0"/>
                <w:sz w:val="18"/>
                <w:szCs w:val="18"/>
              </w:rPr>
              <w:t>同比</w:t>
            </w:r>
          </w:p>
          <w:p w14:paraId="7C8D181E">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w:t>
            </w:r>
          </w:p>
        </w:tc>
        <w:tc>
          <w:tcPr>
            <w:tcW w:w="605" w:type="pct"/>
            <w:shd w:val="clear" w:color="auto" w:fill="auto"/>
            <w:tcMar>
              <w:top w:w="15" w:type="dxa"/>
              <w:left w:w="15" w:type="dxa"/>
              <w:bottom w:w="0" w:type="dxa"/>
              <w:right w:w="15" w:type="dxa"/>
            </w:tcMar>
            <w:vAlign w:val="center"/>
          </w:tcPr>
          <w:p w14:paraId="26CEEBC8">
            <w:pPr>
              <w:widowControl/>
              <w:jc w:val="center"/>
              <w:rPr>
                <w:rFonts w:ascii="宋体" w:cs="宋体"/>
                <w:kern w:val="0"/>
                <w:sz w:val="18"/>
                <w:szCs w:val="18"/>
              </w:rPr>
            </w:pPr>
            <w:r>
              <w:rPr>
                <w:rFonts w:hint="eastAsia" w:ascii="宋体" w:hAnsi="宋体" w:cs="宋体"/>
                <w:kern w:val="0"/>
                <w:sz w:val="18"/>
                <w:szCs w:val="18"/>
              </w:rPr>
              <w:t>发电量</w:t>
            </w:r>
          </w:p>
        </w:tc>
        <w:tc>
          <w:tcPr>
            <w:tcW w:w="606" w:type="pct"/>
            <w:shd w:val="clear" w:color="auto" w:fill="auto"/>
            <w:vAlign w:val="center"/>
          </w:tcPr>
          <w:p w14:paraId="64AE4786">
            <w:pPr>
              <w:widowControl/>
              <w:jc w:val="center"/>
              <w:rPr>
                <w:rFonts w:ascii="宋体" w:hAnsi="宋体" w:cs="宋体"/>
                <w:kern w:val="0"/>
                <w:sz w:val="18"/>
                <w:szCs w:val="18"/>
              </w:rPr>
            </w:pPr>
            <w:r>
              <w:rPr>
                <w:rFonts w:hint="eastAsia" w:ascii="宋体" w:hAnsi="宋体" w:cs="宋体"/>
                <w:kern w:val="0"/>
                <w:sz w:val="18"/>
                <w:szCs w:val="18"/>
              </w:rPr>
              <w:t>同比增长</w:t>
            </w:r>
          </w:p>
          <w:p w14:paraId="121AAE3B">
            <w:pPr>
              <w:widowControl/>
              <w:jc w:val="center"/>
              <w:rPr>
                <w:rFonts w:ascii="宋体" w:cs="宋体"/>
                <w:kern w:val="0"/>
                <w:sz w:val="18"/>
                <w:szCs w:val="18"/>
              </w:rPr>
            </w:pPr>
            <w:r>
              <w:rPr>
                <w:rFonts w:ascii="宋体" w:hAnsi="宋体" w:cs="宋体"/>
                <w:kern w:val="0"/>
                <w:sz w:val="18"/>
                <w:szCs w:val="18"/>
              </w:rPr>
              <w:t>（%）</w:t>
            </w:r>
          </w:p>
        </w:tc>
        <w:tc>
          <w:tcPr>
            <w:tcW w:w="614" w:type="pct"/>
            <w:shd w:val="clear" w:color="auto" w:fill="auto"/>
            <w:vAlign w:val="center"/>
          </w:tcPr>
          <w:p w14:paraId="693457EA">
            <w:pPr>
              <w:widowControl/>
              <w:jc w:val="center"/>
              <w:rPr>
                <w:rFonts w:ascii="宋体" w:cs="宋体"/>
                <w:kern w:val="0"/>
                <w:sz w:val="18"/>
                <w:szCs w:val="18"/>
              </w:rPr>
            </w:pPr>
            <w:r>
              <w:rPr>
                <w:rFonts w:hint="eastAsia" w:ascii="宋体" w:hAnsi="宋体" w:cs="宋体"/>
                <w:kern w:val="0"/>
                <w:sz w:val="18"/>
                <w:szCs w:val="18"/>
              </w:rPr>
              <w:t>发电量</w:t>
            </w:r>
          </w:p>
        </w:tc>
        <w:tc>
          <w:tcPr>
            <w:tcW w:w="624" w:type="pct"/>
            <w:shd w:val="clear" w:color="auto" w:fill="auto"/>
            <w:vAlign w:val="center"/>
          </w:tcPr>
          <w:p w14:paraId="7A5C5445">
            <w:pPr>
              <w:widowControl/>
              <w:jc w:val="center"/>
              <w:rPr>
                <w:rFonts w:ascii="宋体" w:cs="宋体"/>
                <w:kern w:val="0"/>
                <w:sz w:val="18"/>
                <w:szCs w:val="18"/>
              </w:rPr>
            </w:pPr>
            <w:r>
              <w:rPr>
                <w:rFonts w:ascii="宋体" w:hAnsi="宋体" w:cs="宋体"/>
                <w:kern w:val="0"/>
                <w:sz w:val="18"/>
                <w:szCs w:val="18"/>
              </w:rPr>
              <w:t>同比</w:t>
            </w:r>
            <w:r>
              <w:rPr>
                <w:rFonts w:hint="eastAsia" w:ascii="宋体" w:hAnsi="宋体" w:cs="宋体"/>
                <w:kern w:val="0"/>
                <w:sz w:val="18"/>
                <w:szCs w:val="18"/>
              </w:rPr>
              <w:t>增长</w:t>
            </w:r>
          </w:p>
          <w:p w14:paraId="1821B764">
            <w:pPr>
              <w:widowControl/>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w:t>
            </w:r>
            <w:r>
              <w:rPr>
                <w:rFonts w:hint="eastAsia" w:ascii="宋体" w:hAnsi="宋体" w:cs="宋体"/>
                <w:kern w:val="0"/>
                <w:sz w:val="18"/>
                <w:szCs w:val="18"/>
              </w:rPr>
              <w:t>）</w:t>
            </w:r>
          </w:p>
        </w:tc>
      </w:tr>
      <w:tr w14:paraId="7E91D4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24" w:type="pct"/>
            <w:tcBorders>
              <w:top w:val="single" w:color="auto" w:sz="2" w:space="0"/>
              <w:bottom w:val="nil"/>
            </w:tcBorders>
            <w:shd w:val="clear" w:color="auto" w:fill="auto"/>
            <w:tcMar>
              <w:top w:w="15" w:type="dxa"/>
              <w:left w:w="15" w:type="dxa"/>
              <w:bottom w:w="0" w:type="dxa"/>
              <w:right w:w="15" w:type="dxa"/>
            </w:tcMar>
            <w:vAlign w:val="center"/>
          </w:tcPr>
          <w:p w14:paraId="4B3B2DA1">
            <w:pPr>
              <w:widowControl/>
              <w:jc w:val="left"/>
              <w:rPr>
                <w:rFonts w:ascii="宋体" w:cs="宋体"/>
                <w:kern w:val="0"/>
                <w:sz w:val="18"/>
                <w:szCs w:val="18"/>
              </w:rPr>
            </w:pPr>
            <w:r>
              <w:rPr>
                <w:rFonts w:hint="eastAsia" w:ascii="宋体" w:hAnsi="宋体" w:cs="宋体"/>
                <w:kern w:val="0"/>
                <w:sz w:val="18"/>
                <w:szCs w:val="18"/>
              </w:rPr>
              <w:t>全国（全口径）</w:t>
            </w:r>
          </w:p>
        </w:tc>
        <w:tc>
          <w:tcPr>
            <w:tcW w:w="4176" w:type="pct"/>
            <w:gridSpan w:val="7"/>
            <w:vMerge w:val="restart"/>
            <w:shd w:val="clear" w:color="auto" w:fill="auto"/>
            <w:tcMar>
              <w:top w:w="15" w:type="dxa"/>
              <w:left w:w="15" w:type="dxa"/>
              <w:bottom w:w="0" w:type="dxa"/>
              <w:right w:w="15" w:type="dxa"/>
            </w:tcMar>
            <w:vAlign w:val="center"/>
          </w:tcPr>
          <w:p w14:paraId="735871B5">
            <w:pPr>
              <w:widowControl/>
              <w:jc w:val="left"/>
              <w:rPr>
                <w:rFonts w:ascii="宋体" w:cs="宋体"/>
                <w:kern w:val="0"/>
                <w:sz w:val="18"/>
                <w:szCs w:val="18"/>
              </w:rPr>
            </w:pPr>
          </w:p>
        </w:tc>
      </w:tr>
      <w:tr w14:paraId="2956BE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24" w:type="pct"/>
            <w:tcBorders>
              <w:top w:val="nil"/>
              <w:bottom w:val="single" w:color="auto" w:sz="8" w:space="0"/>
            </w:tcBorders>
            <w:shd w:val="clear" w:color="auto" w:fill="auto"/>
            <w:tcMar>
              <w:top w:w="15" w:type="dxa"/>
              <w:left w:w="15" w:type="dxa"/>
              <w:bottom w:w="0" w:type="dxa"/>
              <w:right w:w="15" w:type="dxa"/>
            </w:tcMar>
            <w:vAlign w:val="center"/>
          </w:tcPr>
          <w:p w14:paraId="522C4CA9">
            <w:pPr>
              <w:widowControl/>
              <w:jc w:val="left"/>
              <w:rPr>
                <w:rFonts w:ascii="宋体" w:cs="宋体"/>
                <w:kern w:val="0"/>
                <w:sz w:val="18"/>
                <w:szCs w:val="18"/>
              </w:rPr>
            </w:pPr>
            <w:r>
              <w:rPr>
                <w:rFonts w:hint="eastAsia" w:ascii="宋体" w:hAnsi="宋体" w:cs="宋体"/>
                <w:kern w:val="0"/>
                <w:sz w:val="18"/>
                <w:szCs w:val="18"/>
              </w:rPr>
              <w:t>全国（调度口径）</w:t>
            </w:r>
          </w:p>
        </w:tc>
        <w:tc>
          <w:tcPr>
            <w:tcW w:w="4176" w:type="pct"/>
            <w:gridSpan w:val="7"/>
            <w:vMerge w:val="continue"/>
            <w:shd w:val="clear" w:color="auto" w:fill="auto"/>
            <w:tcMar>
              <w:top w:w="15" w:type="dxa"/>
              <w:left w:w="15" w:type="dxa"/>
              <w:bottom w:w="0" w:type="dxa"/>
              <w:right w:w="15" w:type="dxa"/>
            </w:tcMar>
            <w:vAlign w:val="center"/>
          </w:tcPr>
          <w:p w14:paraId="0D99BE3B">
            <w:pPr>
              <w:widowControl/>
              <w:jc w:val="left"/>
              <w:rPr>
                <w:rFonts w:ascii="宋体" w:cs="宋体"/>
                <w:kern w:val="0"/>
                <w:sz w:val="18"/>
                <w:szCs w:val="18"/>
              </w:rPr>
            </w:pPr>
          </w:p>
        </w:tc>
      </w:tr>
    </w:tbl>
    <w:p w14:paraId="3D3B07B0">
      <w:pPr>
        <w:spacing w:line="280" w:lineRule="exact"/>
        <w:ind w:right="-38"/>
        <w:rPr>
          <w:sz w:val="18"/>
        </w:rPr>
      </w:pPr>
      <w:r>
        <w:rPr>
          <w:sz w:val="18"/>
        </w:rPr>
        <w:t>单位负责人：             统计负责人：         填表人：          联系电话：       报出日期：２０　年　月　日</w:t>
      </w:r>
    </w:p>
    <w:p w14:paraId="19AB91A3">
      <w:pPr>
        <w:spacing w:line="240" w:lineRule="exact"/>
        <w:ind w:left="-2" w:leftChars="-1"/>
        <w:rPr>
          <w:sz w:val="18"/>
          <w:szCs w:val="18"/>
        </w:rPr>
      </w:pPr>
    </w:p>
    <w:p w14:paraId="4CE70B71">
      <w:pPr>
        <w:spacing w:line="280" w:lineRule="exact"/>
        <w:rPr>
          <w:rFonts w:ascii="宋体" w:hAnsi="宋体"/>
          <w:sz w:val="18"/>
          <w:szCs w:val="18"/>
        </w:rPr>
      </w:pPr>
      <w:r>
        <w:rPr>
          <w:rFonts w:hint="eastAsia" w:ascii="宋体" w:hAnsi="宋体" w:cs="宋体"/>
          <w:kern w:val="0"/>
          <w:sz w:val="18"/>
          <w:szCs w:val="18"/>
        </w:rPr>
        <w:t>说明：</w:t>
      </w:r>
      <w:r>
        <w:rPr>
          <w:kern w:val="0"/>
          <w:sz w:val="18"/>
          <w:szCs w:val="18"/>
        </w:rPr>
        <w:t>1.</w:t>
      </w:r>
      <w:r>
        <w:rPr>
          <w:rFonts w:hint="eastAsia"/>
          <w:kern w:val="0"/>
          <w:sz w:val="18"/>
          <w:szCs w:val="18"/>
        </w:rPr>
        <w:t>统计范围：全国及六大电网区域。</w:t>
      </w:r>
    </w:p>
    <w:p w14:paraId="7A004F38">
      <w:pPr>
        <w:spacing w:line="280" w:lineRule="exact"/>
        <w:ind w:left="666" w:hanging="666" w:hangingChars="370"/>
        <w:rPr>
          <w:rFonts w:ascii="宋体" w:hAnsi="宋体"/>
          <w:sz w:val="18"/>
          <w:szCs w:val="18"/>
        </w:rPr>
      </w:pPr>
      <w:r>
        <w:rPr>
          <w:rFonts w:hint="eastAsia" w:ascii="宋体" w:hAnsi="宋体"/>
          <w:sz w:val="18"/>
          <w:szCs w:val="18"/>
        </w:rPr>
        <w:t xml:space="preserve">      </w:t>
      </w:r>
      <w:r>
        <w:rPr>
          <w:kern w:val="0"/>
          <w:sz w:val="18"/>
          <w:szCs w:val="18"/>
        </w:rPr>
        <w:t>2.</w:t>
      </w:r>
      <w:r>
        <w:rPr>
          <w:rFonts w:hint="eastAsia" w:ascii="宋体" w:hAnsi="宋体" w:cs="宋体"/>
          <w:kern w:val="0"/>
          <w:sz w:val="18"/>
          <w:szCs w:val="18"/>
        </w:rPr>
        <w:t>报送时间</w:t>
      </w:r>
      <w:r>
        <w:rPr>
          <w:rFonts w:ascii="宋体" w:hAnsi="宋体" w:cs="宋体"/>
          <w:kern w:val="0"/>
          <w:sz w:val="18"/>
          <w:szCs w:val="18"/>
        </w:rPr>
        <w:t>为</w:t>
      </w:r>
      <w:r>
        <w:rPr>
          <w:rFonts w:hint="eastAsia" w:ascii="宋体" w:hAnsi="宋体" w:cs="宋体"/>
          <w:kern w:val="0"/>
          <w:sz w:val="18"/>
          <w:szCs w:val="18"/>
        </w:rPr>
        <w:t>每月</w:t>
      </w:r>
      <w:r>
        <w:rPr>
          <w:rFonts w:ascii="宋体" w:hAnsi="宋体" w:cs="宋体"/>
          <w:kern w:val="0"/>
          <w:sz w:val="18"/>
          <w:szCs w:val="18"/>
        </w:rPr>
        <w:t>5</w:t>
      </w:r>
      <w:r>
        <w:rPr>
          <w:rFonts w:hint="eastAsia" w:ascii="宋体" w:hAnsi="宋体" w:cs="宋体"/>
          <w:kern w:val="0"/>
          <w:sz w:val="18"/>
          <w:szCs w:val="18"/>
        </w:rPr>
        <w:t>日</w:t>
      </w:r>
      <w:r>
        <w:rPr>
          <w:rFonts w:ascii="宋体" w:hAnsi="宋体" w:cs="宋体"/>
          <w:kern w:val="0"/>
          <w:sz w:val="18"/>
          <w:szCs w:val="18"/>
        </w:rPr>
        <w:t>、10</w:t>
      </w:r>
      <w:r>
        <w:rPr>
          <w:rFonts w:hint="eastAsia" w:ascii="宋体" w:hAnsi="宋体" w:cs="宋体"/>
          <w:kern w:val="0"/>
          <w:sz w:val="18"/>
          <w:szCs w:val="18"/>
        </w:rPr>
        <w:t>日</w:t>
      </w:r>
      <w:r>
        <w:rPr>
          <w:rFonts w:ascii="宋体" w:hAnsi="宋体" w:cs="宋体"/>
          <w:kern w:val="0"/>
          <w:sz w:val="18"/>
          <w:szCs w:val="18"/>
        </w:rPr>
        <w:t>、15</w:t>
      </w:r>
      <w:r>
        <w:rPr>
          <w:rFonts w:hint="eastAsia" w:ascii="宋体" w:hAnsi="宋体" w:cs="宋体"/>
          <w:kern w:val="0"/>
          <w:sz w:val="18"/>
          <w:szCs w:val="18"/>
        </w:rPr>
        <w:t>日</w:t>
      </w:r>
      <w:r>
        <w:rPr>
          <w:rFonts w:ascii="宋体" w:hAnsi="宋体" w:cs="宋体"/>
          <w:kern w:val="0"/>
          <w:sz w:val="18"/>
          <w:szCs w:val="18"/>
        </w:rPr>
        <w:t>、20</w:t>
      </w:r>
      <w:r>
        <w:rPr>
          <w:rFonts w:hint="eastAsia" w:ascii="宋体" w:hAnsi="宋体" w:cs="宋体"/>
          <w:kern w:val="0"/>
          <w:sz w:val="18"/>
          <w:szCs w:val="18"/>
        </w:rPr>
        <w:t>日</w:t>
      </w:r>
      <w:r>
        <w:rPr>
          <w:rFonts w:ascii="宋体" w:hAnsi="宋体" w:cs="宋体"/>
          <w:kern w:val="0"/>
          <w:sz w:val="18"/>
          <w:szCs w:val="18"/>
        </w:rPr>
        <w:t>、25</w:t>
      </w:r>
      <w:r>
        <w:rPr>
          <w:rFonts w:hint="eastAsia" w:ascii="宋体" w:hAnsi="宋体" w:cs="宋体"/>
          <w:kern w:val="0"/>
          <w:sz w:val="18"/>
          <w:szCs w:val="18"/>
        </w:rPr>
        <w:t>日后第一个工作日及月后第一个工作日13:00前</w:t>
      </w:r>
      <w:r>
        <w:rPr>
          <w:sz w:val="18"/>
          <w:szCs w:val="18"/>
        </w:rPr>
        <w:t>，报送方式为</w:t>
      </w:r>
      <w:r>
        <w:rPr>
          <w:rFonts w:hint="eastAsia"/>
          <w:sz w:val="18"/>
          <w:szCs w:val="18"/>
          <w:lang w:eastAsia="zh-CN"/>
        </w:rPr>
        <w:t>传真</w:t>
      </w:r>
      <w:r>
        <w:rPr>
          <w:sz w:val="18"/>
          <w:szCs w:val="18"/>
        </w:rPr>
        <w:t>。</w:t>
      </w:r>
    </w:p>
    <w:p w14:paraId="5B96CDF5">
      <w:pPr>
        <w:jc w:val="center"/>
        <w:rPr>
          <w:sz w:val="32"/>
          <w:szCs w:val="32"/>
        </w:rPr>
      </w:pPr>
    </w:p>
    <w:p w14:paraId="2274BE11">
      <w:pPr>
        <w:spacing w:before="480" w:beforeLines="200" w:after="240" w:afterLines="100"/>
        <w:jc w:val="center"/>
        <w:outlineLvl w:val="2"/>
        <w:rPr>
          <w:sz w:val="32"/>
          <w:szCs w:val="32"/>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0E8101B6">
      <w:pPr>
        <w:spacing w:before="287" w:beforeLines="100" w:after="240" w:afterLines="100"/>
        <w:jc w:val="center"/>
        <w:outlineLvl w:val="2"/>
        <w:rPr>
          <w:sz w:val="32"/>
          <w:szCs w:val="32"/>
        </w:rPr>
      </w:pPr>
      <w:r>
        <w:rPr>
          <w:rFonts w:hint="eastAsia"/>
          <w:sz w:val="32"/>
          <w:szCs w:val="32"/>
        </w:rPr>
        <w:t>分地区发受电量情况</w:t>
      </w:r>
    </w:p>
    <w:tbl>
      <w:tblPr>
        <w:tblStyle w:val="20"/>
        <w:tblW w:w="9526" w:type="dxa"/>
        <w:jc w:val="center"/>
        <w:tblLayout w:type="autofit"/>
        <w:tblCellMar>
          <w:top w:w="0" w:type="dxa"/>
          <w:left w:w="108" w:type="dxa"/>
          <w:bottom w:w="0" w:type="dxa"/>
          <w:right w:w="108" w:type="dxa"/>
        </w:tblCellMar>
      </w:tblPr>
      <w:tblGrid>
        <w:gridCol w:w="3826"/>
        <w:gridCol w:w="2764"/>
        <w:gridCol w:w="1062"/>
        <w:gridCol w:w="1874"/>
      </w:tblGrid>
      <w:tr w14:paraId="4FD96534">
        <w:trPr>
          <w:trHeight w:val="227" w:hRule="atLeast"/>
          <w:jc w:val="center"/>
        </w:trPr>
        <w:tc>
          <w:tcPr>
            <w:tcW w:w="2008" w:type="pct"/>
            <w:tcMar>
              <w:left w:w="0" w:type="dxa"/>
              <w:right w:w="0" w:type="dxa"/>
            </w:tcMar>
            <w:vAlign w:val="center"/>
          </w:tcPr>
          <w:p w14:paraId="31E00283">
            <w:pPr>
              <w:spacing w:line="240" w:lineRule="exact"/>
              <w:jc w:val="center"/>
              <w:rPr>
                <w:sz w:val="32"/>
                <w:szCs w:val="32"/>
              </w:rPr>
            </w:pPr>
          </w:p>
        </w:tc>
        <w:tc>
          <w:tcPr>
            <w:tcW w:w="1450" w:type="pct"/>
            <w:vAlign w:val="center"/>
          </w:tcPr>
          <w:p w14:paraId="7EAD5CC7">
            <w:pPr>
              <w:spacing w:line="240" w:lineRule="exact"/>
              <w:jc w:val="center"/>
              <w:rPr>
                <w:sz w:val="32"/>
                <w:szCs w:val="32"/>
              </w:rPr>
            </w:pPr>
          </w:p>
        </w:tc>
        <w:tc>
          <w:tcPr>
            <w:tcW w:w="557" w:type="pct"/>
            <w:vAlign w:val="center"/>
          </w:tcPr>
          <w:p w14:paraId="417C10A3">
            <w:pPr>
              <w:spacing w:line="240" w:lineRule="exact"/>
              <w:ind w:right="0" w:rightChars="0"/>
              <w:jc w:val="both"/>
              <w:rPr>
                <w:sz w:val="18"/>
                <w:szCs w:val="18"/>
              </w:rPr>
            </w:pPr>
            <w:r>
              <w:rPr>
                <w:sz w:val="18"/>
                <w:szCs w:val="18"/>
              </w:rPr>
              <w:t>表    号：</w:t>
            </w:r>
          </w:p>
        </w:tc>
        <w:tc>
          <w:tcPr>
            <w:tcW w:w="983" w:type="pct"/>
            <w:vAlign w:val="center"/>
          </w:tcPr>
          <w:p w14:paraId="20D2ED33">
            <w:pPr>
              <w:spacing w:line="240" w:lineRule="exact"/>
              <w:ind w:left="-105" w:leftChars="-50" w:right="-105" w:rightChars="-50"/>
              <w:jc w:val="distribute"/>
              <w:rPr>
                <w:sz w:val="18"/>
                <w:szCs w:val="18"/>
              </w:rPr>
            </w:pPr>
            <w:r>
              <w:rPr>
                <w:rFonts w:hint="eastAsia"/>
                <w:sz w:val="18"/>
                <w:szCs w:val="18"/>
              </w:rPr>
              <w:t>ＤＷ４０２</w:t>
            </w:r>
            <w:r>
              <w:rPr>
                <w:sz w:val="18"/>
                <w:szCs w:val="18"/>
              </w:rPr>
              <w:t>表</w:t>
            </w:r>
          </w:p>
        </w:tc>
      </w:tr>
      <w:tr w14:paraId="2038855B">
        <w:tblPrEx>
          <w:tblCellMar>
            <w:top w:w="0" w:type="dxa"/>
            <w:left w:w="108" w:type="dxa"/>
            <w:bottom w:w="0" w:type="dxa"/>
            <w:right w:w="108" w:type="dxa"/>
          </w:tblCellMar>
        </w:tblPrEx>
        <w:trPr>
          <w:trHeight w:val="227" w:hRule="atLeast"/>
          <w:jc w:val="center"/>
        </w:trPr>
        <w:tc>
          <w:tcPr>
            <w:tcW w:w="2008" w:type="pct"/>
            <w:tcMar>
              <w:left w:w="0" w:type="dxa"/>
              <w:right w:w="0" w:type="dxa"/>
            </w:tcMar>
            <w:vAlign w:val="center"/>
          </w:tcPr>
          <w:p w14:paraId="52C5DF57">
            <w:pPr>
              <w:spacing w:line="240" w:lineRule="exact"/>
              <w:rPr>
                <w:sz w:val="32"/>
                <w:szCs w:val="32"/>
              </w:rPr>
            </w:pPr>
          </w:p>
        </w:tc>
        <w:tc>
          <w:tcPr>
            <w:tcW w:w="1450" w:type="pct"/>
            <w:vAlign w:val="center"/>
          </w:tcPr>
          <w:p w14:paraId="1B9A0BF3">
            <w:pPr>
              <w:spacing w:line="240" w:lineRule="exact"/>
              <w:jc w:val="center"/>
              <w:rPr>
                <w:sz w:val="32"/>
                <w:szCs w:val="32"/>
              </w:rPr>
            </w:pPr>
          </w:p>
        </w:tc>
        <w:tc>
          <w:tcPr>
            <w:tcW w:w="557" w:type="pct"/>
            <w:vAlign w:val="center"/>
          </w:tcPr>
          <w:p w14:paraId="12DB91E3">
            <w:pPr>
              <w:spacing w:line="240" w:lineRule="exact"/>
              <w:ind w:right="0" w:rightChars="0"/>
              <w:jc w:val="both"/>
              <w:rPr>
                <w:sz w:val="18"/>
                <w:szCs w:val="18"/>
              </w:rPr>
            </w:pPr>
            <w:r>
              <w:rPr>
                <w:sz w:val="18"/>
                <w:szCs w:val="18"/>
              </w:rPr>
              <w:t>制定机关：</w:t>
            </w:r>
          </w:p>
        </w:tc>
        <w:tc>
          <w:tcPr>
            <w:tcW w:w="983" w:type="pct"/>
            <w:vAlign w:val="center"/>
          </w:tcPr>
          <w:p w14:paraId="05AC2BC3">
            <w:pPr>
              <w:spacing w:line="240" w:lineRule="exact"/>
              <w:ind w:left="-105" w:leftChars="-50" w:right="-105" w:rightChars="-50"/>
              <w:jc w:val="distribute"/>
              <w:rPr>
                <w:sz w:val="18"/>
                <w:szCs w:val="18"/>
              </w:rPr>
            </w:pPr>
            <w:r>
              <w:rPr>
                <w:sz w:val="18"/>
                <w:szCs w:val="18"/>
              </w:rPr>
              <w:t>国家统计局</w:t>
            </w:r>
          </w:p>
        </w:tc>
      </w:tr>
      <w:tr w14:paraId="036C2518">
        <w:tblPrEx>
          <w:tblCellMar>
            <w:top w:w="0" w:type="dxa"/>
            <w:left w:w="108" w:type="dxa"/>
            <w:bottom w:w="0" w:type="dxa"/>
            <w:right w:w="108" w:type="dxa"/>
          </w:tblCellMar>
        </w:tblPrEx>
        <w:trPr>
          <w:trHeight w:val="227" w:hRule="atLeast"/>
          <w:jc w:val="center"/>
        </w:trPr>
        <w:tc>
          <w:tcPr>
            <w:tcW w:w="2008" w:type="pct"/>
            <w:tcMar>
              <w:left w:w="0" w:type="dxa"/>
              <w:right w:w="0" w:type="dxa"/>
            </w:tcMar>
            <w:vAlign w:val="center"/>
          </w:tcPr>
          <w:p w14:paraId="11A15F6D">
            <w:pPr>
              <w:spacing w:line="240" w:lineRule="exact"/>
              <w:jc w:val="left"/>
              <w:rPr>
                <w:sz w:val="32"/>
                <w:szCs w:val="32"/>
              </w:rPr>
            </w:pPr>
          </w:p>
        </w:tc>
        <w:tc>
          <w:tcPr>
            <w:tcW w:w="1450" w:type="pct"/>
            <w:vAlign w:val="center"/>
          </w:tcPr>
          <w:p w14:paraId="38D0CE47">
            <w:pPr>
              <w:spacing w:line="240" w:lineRule="exact"/>
              <w:jc w:val="center"/>
              <w:rPr>
                <w:sz w:val="32"/>
                <w:szCs w:val="32"/>
              </w:rPr>
            </w:pPr>
          </w:p>
        </w:tc>
        <w:tc>
          <w:tcPr>
            <w:tcW w:w="557" w:type="pct"/>
            <w:vAlign w:val="center"/>
          </w:tcPr>
          <w:p w14:paraId="1DE8B321">
            <w:pPr>
              <w:spacing w:line="240" w:lineRule="exact"/>
              <w:ind w:right="0" w:rightChars="0"/>
              <w:jc w:val="both"/>
              <w:rPr>
                <w:sz w:val="18"/>
                <w:szCs w:val="18"/>
              </w:rPr>
            </w:pPr>
            <w:r>
              <w:rPr>
                <w:sz w:val="18"/>
                <w:szCs w:val="18"/>
              </w:rPr>
              <w:t>文    号：</w:t>
            </w:r>
          </w:p>
        </w:tc>
        <w:tc>
          <w:tcPr>
            <w:tcW w:w="983" w:type="pct"/>
            <w:vAlign w:val="center"/>
          </w:tcPr>
          <w:p w14:paraId="7D38F6E0">
            <w:pPr>
              <w:spacing w:line="240" w:lineRule="exact"/>
              <w:ind w:left="-105" w:leftChars="-50" w:right="-105" w:rightChars="-50"/>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400" w:author="kylin" w:date="2025-10-17T16:22:22Z">
              <w:r>
                <w:rPr>
                  <w:rFonts w:hint="default" w:ascii="宋体" w:hAnsi="宋体"/>
                  <w:spacing w:val="-16"/>
                  <w:sz w:val="18"/>
                  <w:szCs w:val="18"/>
                  <w:lang w:val="en-US" w:eastAsia="zh-CN"/>
                </w:rPr>
                <w:delText>４</w:delText>
              </w:r>
            </w:del>
            <w:ins w:id="401" w:author="kylin" w:date="2025-10-17T16:22:22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402" w:author="kylin" w:date="2025-10-17T16:22:24Z">
              <w:r>
                <w:rPr>
                  <w:rFonts w:hint="default" w:ascii="宋体" w:hAnsi="宋体"/>
                  <w:spacing w:val="-16"/>
                  <w:sz w:val="18"/>
                  <w:szCs w:val="18"/>
                  <w:lang w:val="en-US" w:eastAsia="zh-CN"/>
                </w:rPr>
                <w:delText>77</w:delText>
              </w:r>
            </w:del>
            <w:ins w:id="403" w:author="kylin" w:date="2025-10-17T16:22:24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590657EB">
        <w:trPr>
          <w:trHeight w:val="227" w:hRule="atLeast"/>
          <w:jc w:val="center"/>
        </w:trPr>
        <w:tc>
          <w:tcPr>
            <w:tcW w:w="2008" w:type="pct"/>
            <w:tcMar>
              <w:left w:w="0" w:type="dxa"/>
              <w:right w:w="0" w:type="dxa"/>
            </w:tcMar>
            <w:vAlign w:val="center"/>
          </w:tcPr>
          <w:p w14:paraId="0EBCE97B">
            <w:pPr>
              <w:spacing w:line="240" w:lineRule="exact"/>
              <w:ind w:left="120" w:leftChars="57"/>
              <w:rPr>
                <w:sz w:val="32"/>
                <w:szCs w:val="32"/>
              </w:rPr>
            </w:pPr>
            <w:r>
              <w:rPr>
                <w:kern w:val="0"/>
                <w:sz w:val="18"/>
                <w:szCs w:val="18"/>
              </w:rPr>
              <w:t>综合机关名称：</w:t>
            </w:r>
            <w:r>
              <w:rPr>
                <w:rFonts w:hint="eastAsia"/>
                <w:kern w:val="0"/>
                <w:sz w:val="18"/>
                <w:szCs w:val="18"/>
              </w:rPr>
              <w:t>国家电网公司</w:t>
            </w:r>
          </w:p>
        </w:tc>
        <w:tc>
          <w:tcPr>
            <w:tcW w:w="1450" w:type="pct"/>
            <w:vAlign w:val="center"/>
          </w:tcPr>
          <w:p w14:paraId="107853EC">
            <w:pPr>
              <w:spacing w:line="240" w:lineRule="exact"/>
              <w:rPr>
                <w:sz w:val="32"/>
                <w:szCs w:val="32"/>
              </w:rPr>
            </w:pPr>
            <w:r>
              <w:rPr>
                <w:sz w:val="18"/>
                <w:szCs w:val="18"/>
              </w:rPr>
              <w:t>２０　　年</w:t>
            </w:r>
            <w:r>
              <w:rPr>
                <w:rFonts w:hint="eastAsia"/>
                <w:sz w:val="18"/>
                <w:szCs w:val="18"/>
              </w:rPr>
              <w:t xml:space="preserve">  </w:t>
            </w:r>
            <w:r>
              <w:rPr>
                <w:sz w:val="18"/>
                <w:szCs w:val="18"/>
              </w:rPr>
              <w:t xml:space="preserve">  </w:t>
            </w:r>
            <w:r>
              <w:rPr>
                <w:rFonts w:hint="eastAsia"/>
                <w:sz w:val="18"/>
                <w:szCs w:val="18"/>
              </w:rPr>
              <w:t>月</w:t>
            </w:r>
          </w:p>
        </w:tc>
        <w:tc>
          <w:tcPr>
            <w:tcW w:w="557" w:type="pct"/>
            <w:vAlign w:val="center"/>
          </w:tcPr>
          <w:p w14:paraId="1CBAE02E">
            <w:pPr>
              <w:spacing w:line="240" w:lineRule="exact"/>
              <w:ind w:right="0" w:rightChars="0"/>
              <w:jc w:val="both"/>
              <w:rPr>
                <w:sz w:val="18"/>
                <w:szCs w:val="18"/>
              </w:rPr>
            </w:pPr>
            <w:r>
              <w:rPr>
                <w:sz w:val="18"/>
                <w:szCs w:val="18"/>
              </w:rPr>
              <w:t>有效期至：</w:t>
            </w:r>
          </w:p>
        </w:tc>
        <w:tc>
          <w:tcPr>
            <w:tcW w:w="983" w:type="pct"/>
            <w:vAlign w:val="center"/>
          </w:tcPr>
          <w:p w14:paraId="11734964">
            <w:pPr>
              <w:spacing w:line="240" w:lineRule="exact"/>
              <w:ind w:left="-105" w:leftChars="-50" w:right="-105" w:rightChars="-50"/>
              <w:jc w:val="distribute"/>
              <w:rPr>
                <w:rFonts w:hint="default" w:eastAsia="宋体"/>
                <w:sz w:val="18"/>
                <w:szCs w:val="18"/>
                <w:lang w:val="en-US" w:eastAsia="zh-CN"/>
              </w:rPr>
            </w:pPr>
            <w:r>
              <w:rPr>
                <w:rFonts w:hint="default"/>
                <w:sz w:val="18"/>
                <w:szCs w:val="18"/>
                <w:lang w:val="en-US" w:eastAsia="zh-CN"/>
              </w:rPr>
              <w:t>２０２</w:t>
            </w:r>
            <w:del w:id="404" w:author="kylin" w:date="2025-10-17T16:22:26Z">
              <w:r>
                <w:rPr>
                  <w:rFonts w:hint="default"/>
                  <w:sz w:val="18"/>
                  <w:szCs w:val="18"/>
                  <w:lang w:val="en-US" w:eastAsia="zh-CN"/>
                </w:rPr>
                <w:delText>６</w:delText>
              </w:r>
            </w:del>
            <w:ins w:id="405" w:author="kylin" w:date="2025-10-17T16:22:26Z">
              <w:r>
                <w:rPr>
                  <w:rFonts w:hint="eastAsia"/>
                  <w:sz w:val="18"/>
                  <w:szCs w:val="18"/>
                  <w:lang w:val="en-US" w:eastAsia="zh-CN"/>
                </w:rPr>
                <w:t>7</w:t>
              </w:r>
            </w:ins>
            <w:r>
              <w:rPr>
                <w:rFonts w:hint="default"/>
                <w:sz w:val="18"/>
                <w:szCs w:val="18"/>
                <w:lang w:val="en-US" w:eastAsia="zh-CN"/>
              </w:rPr>
              <w:t>年１月</w:t>
            </w:r>
          </w:p>
        </w:tc>
      </w:tr>
    </w:tbl>
    <w:p w14:paraId="0179EF14">
      <w:pPr>
        <w:spacing w:line="40" w:lineRule="exact"/>
      </w:pPr>
    </w:p>
    <w:tbl>
      <w:tblPr>
        <w:tblStyle w:val="20"/>
        <w:tblW w:w="952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901"/>
        <w:gridCol w:w="1905"/>
        <w:gridCol w:w="1907"/>
        <w:gridCol w:w="1906"/>
        <w:gridCol w:w="1907"/>
      </w:tblGrid>
      <w:tr w14:paraId="7C1CA3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901" w:type="dxa"/>
            <w:vMerge w:val="restart"/>
            <w:shd w:val="clear" w:color="auto" w:fill="auto"/>
            <w:vAlign w:val="center"/>
          </w:tcPr>
          <w:p w14:paraId="7775B34A">
            <w:pPr>
              <w:spacing w:line="240" w:lineRule="exact"/>
              <w:jc w:val="center"/>
              <w:rPr>
                <w:rFonts w:ascii="宋体" w:hAnsi="宋体"/>
                <w:sz w:val="18"/>
                <w:szCs w:val="18"/>
              </w:rPr>
            </w:pPr>
            <w:r>
              <w:rPr>
                <w:rFonts w:hint="eastAsia" w:ascii="宋体" w:hAnsi="宋体"/>
                <w:sz w:val="18"/>
                <w:szCs w:val="18"/>
              </w:rPr>
              <w:t>电网名称</w:t>
            </w:r>
          </w:p>
        </w:tc>
        <w:tc>
          <w:tcPr>
            <w:tcW w:w="3812" w:type="dxa"/>
            <w:gridSpan w:val="2"/>
            <w:shd w:val="clear" w:color="auto" w:fill="auto"/>
            <w:vAlign w:val="center"/>
          </w:tcPr>
          <w:p w14:paraId="7FCB9228">
            <w:pPr>
              <w:spacing w:line="240" w:lineRule="exact"/>
              <w:jc w:val="center"/>
              <w:rPr>
                <w:rFonts w:ascii="宋体" w:hAnsi="宋体"/>
                <w:sz w:val="18"/>
                <w:szCs w:val="18"/>
              </w:rPr>
            </w:pPr>
            <w:r>
              <w:rPr>
                <w:rFonts w:hint="eastAsia" w:ascii="宋体" w:hAnsi="宋体"/>
                <w:sz w:val="18"/>
                <w:szCs w:val="18"/>
              </w:rPr>
              <w:t>本月</w:t>
            </w:r>
          </w:p>
        </w:tc>
        <w:tc>
          <w:tcPr>
            <w:tcW w:w="3813" w:type="dxa"/>
            <w:gridSpan w:val="2"/>
            <w:shd w:val="clear" w:color="auto" w:fill="auto"/>
            <w:vAlign w:val="center"/>
          </w:tcPr>
          <w:p w14:paraId="07D76A13">
            <w:pPr>
              <w:spacing w:line="240" w:lineRule="exact"/>
              <w:jc w:val="center"/>
              <w:rPr>
                <w:rFonts w:ascii="宋体" w:hAnsi="宋体"/>
                <w:sz w:val="18"/>
                <w:szCs w:val="18"/>
              </w:rPr>
            </w:pPr>
            <w:r>
              <w:rPr>
                <w:rFonts w:hint="eastAsia" w:ascii="宋体" w:hAnsi="宋体"/>
                <w:sz w:val="18"/>
                <w:szCs w:val="18"/>
              </w:rPr>
              <w:t>1</w:t>
            </w:r>
            <w:r>
              <w:rPr>
                <w:kern w:val="0"/>
                <w:sz w:val="18"/>
                <w:szCs w:val="18"/>
              </w:rPr>
              <w:t>－</w:t>
            </w:r>
            <w:r>
              <w:rPr>
                <w:rFonts w:ascii="宋体" w:hAnsi="宋体"/>
                <w:sz w:val="18"/>
                <w:szCs w:val="18"/>
              </w:rPr>
              <w:t>本月</w:t>
            </w:r>
          </w:p>
        </w:tc>
      </w:tr>
      <w:tr w14:paraId="280864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901" w:type="dxa"/>
            <w:vMerge w:val="continue"/>
            <w:shd w:val="clear" w:color="auto" w:fill="auto"/>
            <w:vAlign w:val="center"/>
          </w:tcPr>
          <w:p w14:paraId="49582E8B">
            <w:pPr>
              <w:spacing w:line="240" w:lineRule="exact"/>
              <w:jc w:val="center"/>
              <w:rPr>
                <w:rFonts w:ascii="宋体" w:hAnsi="宋体"/>
                <w:sz w:val="18"/>
                <w:szCs w:val="18"/>
              </w:rPr>
            </w:pPr>
          </w:p>
        </w:tc>
        <w:tc>
          <w:tcPr>
            <w:tcW w:w="1905" w:type="dxa"/>
            <w:shd w:val="clear" w:color="auto" w:fill="auto"/>
            <w:vAlign w:val="center"/>
          </w:tcPr>
          <w:p w14:paraId="7477EDBF">
            <w:pPr>
              <w:spacing w:line="240" w:lineRule="exact"/>
              <w:jc w:val="center"/>
              <w:rPr>
                <w:rFonts w:ascii="宋体" w:hAnsi="宋体"/>
                <w:sz w:val="18"/>
                <w:szCs w:val="18"/>
              </w:rPr>
            </w:pPr>
            <w:r>
              <w:rPr>
                <w:rFonts w:hint="eastAsia" w:ascii="宋体" w:hAnsi="宋体" w:cs="宋体"/>
                <w:kern w:val="0"/>
                <w:sz w:val="18"/>
                <w:szCs w:val="18"/>
              </w:rPr>
              <w:t>发受电量（亿千瓦时）</w:t>
            </w:r>
          </w:p>
        </w:tc>
        <w:tc>
          <w:tcPr>
            <w:tcW w:w="1907" w:type="dxa"/>
            <w:shd w:val="clear" w:color="auto" w:fill="auto"/>
            <w:vAlign w:val="center"/>
          </w:tcPr>
          <w:p w14:paraId="2D53CC3F">
            <w:pPr>
              <w:spacing w:line="240" w:lineRule="exact"/>
              <w:jc w:val="center"/>
              <w:rPr>
                <w:rFonts w:ascii="宋体" w:hAnsi="宋体"/>
                <w:sz w:val="18"/>
                <w:szCs w:val="18"/>
              </w:rPr>
            </w:pPr>
            <w:r>
              <w:rPr>
                <w:rFonts w:hint="eastAsia" w:ascii="宋体" w:hAnsi="宋体" w:cs="宋体"/>
                <w:kern w:val="0"/>
                <w:sz w:val="18"/>
                <w:szCs w:val="18"/>
              </w:rPr>
              <w:t>同比增长（%）</w:t>
            </w:r>
          </w:p>
        </w:tc>
        <w:tc>
          <w:tcPr>
            <w:tcW w:w="1906" w:type="dxa"/>
            <w:shd w:val="clear" w:color="auto" w:fill="auto"/>
            <w:vAlign w:val="center"/>
          </w:tcPr>
          <w:p w14:paraId="006CFAB6">
            <w:pPr>
              <w:spacing w:line="240" w:lineRule="exact"/>
              <w:jc w:val="center"/>
              <w:rPr>
                <w:rFonts w:ascii="宋体" w:hAnsi="宋体"/>
                <w:sz w:val="18"/>
                <w:szCs w:val="18"/>
              </w:rPr>
            </w:pPr>
            <w:r>
              <w:rPr>
                <w:rFonts w:hint="eastAsia" w:ascii="宋体" w:hAnsi="宋体"/>
                <w:sz w:val="18"/>
                <w:szCs w:val="18"/>
              </w:rPr>
              <w:t>发受电量（亿千瓦时）</w:t>
            </w:r>
          </w:p>
        </w:tc>
        <w:tc>
          <w:tcPr>
            <w:tcW w:w="1907" w:type="dxa"/>
            <w:shd w:val="clear" w:color="auto" w:fill="auto"/>
            <w:vAlign w:val="center"/>
          </w:tcPr>
          <w:p w14:paraId="6F7D38D9">
            <w:pPr>
              <w:spacing w:line="240" w:lineRule="exact"/>
              <w:jc w:val="center"/>
              <w:rPr>
                <w:rFonts w:ascii="宋体" w:hAnsi="宋体"/>
                <w:sz w:val="18"/>
                <w:szCs w:val="18"/>
              </w:rPr>
            </w:pPr>
            <w:r>
              <w:rPr>
                <w:rFonts w:hint="eastAsia" w:ascii="宋体" w:hAnsi="宋体"/>
                <w:sz w:val="18"/>
                <w:szCs w:val="18"/>
              </w:rPr>
              <w:t>同比增长（%）</w:t>
            </w:r>
          </w:p>
        </w:tc>
      </w:tr>
      <w:tr w14:paraId="0BFF7A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901" w:type="dxa"/>
            <w:shd w:val="clear" w:color="auto" w:fill="auto"/>
            <w:vAlign w:val="center"/>
          </w:tcPr>
          <w:p w14:paraId="0A0BF971">
            <w:pPr>
              <w:spacing w:line="240" w:lineRule="atLeast"/>
              <w:jc w:val="center"/>
              <w:textAlignment w:val="center"/>
              <w:rPr>
                <w:rFonts w:ascii="宋体" w:hAnsi="宋体"/>
                <w:sz w:val="18"/>
                <w:szCs w:val="18"/>
              </w:rPr>
            </w:pPr>
            <w:r>
              <w:rPr>
                <w:rFonts w:hint="eastAsia" w:ascii="宋体" w:hAnsi="宋体"/>
                <w:sz w:val="18"/>
                <w:szCs w:val="18"/>
              </w:rPr>
              <w:t>甲</w:t>
            </w:r>
          </w:p>
        </w:tc>
        <w:tc>
          <w:tcPr>
            <w:tcW w:w="1905" w:type="dxa"/>
            <w:tcBorders>
              <w:bottom w:val="single" w:color="auto" w:sz="2" w:space="0"/>
            </w:tcBorders>
            <w:shd w:val="clear" w:color="auto" w:fill="auto"/>
            <w:vAlign w:val="center"/>
          </w:tcPr>
          <w:p w14:paraId="6EF02C05">
            <w:pPr>
              <w:spacing w:line="240" w:lineRule="atLeast"/>
              <w:jc w:val="center"/>
              <w:textAlignment w:val="center"/>
              <w:rPr>
                <w:sz w:val="18"/>
                <w:szCs w:val="18"/>
              </w:rPr>
            </w:pPr>
            <w:r>
              <w:rPr>
                <w:sz w:val="18"/>
                <w:szCs w:val="18"/>
              </w:rPr>
              <w:t>1</w:t>
            </w:r>
          </w:p>
        </w:tc>
        <w:tc>
          <w:tcPr>
            <w:tcW w:w="1907" w:type="dxa"/>
            <w:tcBorders>
              <w:bottom w:val="single" w:color="auto" w:sz="2" w:space="0"/>
            </w:tcBorders>
            <w:shd w:val="clear" w:color="auto" w:fill="auto"/>
            <w:vAlign w:val="center"/>
          </w:tcPr>
          <w:p w14:paraId="256B2FFD">
            <w:pPr>
              <w:spacing w:line="240" w:lineRule="atLeast"/>
              <w:jc w:val="center"/>
              <w:textAlignment w:val="center"/>
              <w:rPr>
                <w:sz w:val="18"/>
                <w:szCs w:val="18"/>
              </w:rPr>
            </w:pPr>
            <w:r>
              <w:rPr>
                <w:sz w:val="18"/>
                <w:szCs w:val="18"/>
              </w:rPr>
              <w:t>2</w:t>
            </w:r>
          </w:p>
        </w:tc>
        <w:tc>
          <w:tcPr>
            <w:tcW w:w="1906" w:type="dxa"/>
            <w:tcBorders>
              <w:bottom w:val="single" w:color="auto" w:sz="2" w:space="0"/>
            </w:tcBorders>
            <w:shd w:val="clear" w:color="auto" w:fill="auto"/>
            <w:vAlign w:val="center"/>
          </w:tcPr>
          <w:p w14:paraId="350886E3">
            <w:pPr>
              <w:spacing w:line="240" w:lineRule="atLeast"/>
              <w:jc w:val="center"/>
              <w:textAlignment w:val="center"/>
              <w:rPr>
                <w:sz w:val="18"/>
                <w:szCs w:val="18"/>
              </w:rPr>
            </w:pPr>
            <w:r>
              <w:rPr>
                <w:sz w:val="18"/>
                <w:szCs w:val="18"/>
              </w:rPr>
              <w:t>3</w:t>
            </w:r>
          </w:p>
        </w:tc>
        <w:tc>
          <w:tcPr>
            <w:tcW w:w="1907" w:type="dxa"/>
            <w:tcBorders>
              <w:bottom w:val="single" w:color="auto" w:sz="2" w:space="0"/>
            </w:tcBorders>
            <w:shd w:val="clear" w:color="auto" w:fill="auto"/>
            <w:vAlign w:val="center"/>
          </w:tcPr>
          <w:p w14:paraId="0478CF37">
            <w:pPr>
              <w:spacing w:line="240" w:lineRule="atLeast"/>
              <w:jc w:val="center"/>
              <w:textAlignment w:val="center"/>
              <w:rPr>
                <w:sz w:val="18"/>
                <w:szCs w:val="18"/>
              </w:rPr>
            </w:pPr>
            <w:r>
              <w:rPr>
                <w:sz w:val="18"/>
                <w:szCs w:val="18"/>
              </w:rPr>
              <w:t>4</w:t>
            </w:r>
          </w:p>
        </w:tc>
      </w:tr>
      <w:tr w14:paraId="3BB8A0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181D11DD">
            <w:pPr>
              <w:spacing w:line="240" w:lineRule="exact"/>
              <w:jc w:val="center"/>
              <w:rPr>
                <w:rFonts w:ascii="宋体" w:hAnsi="宋体"/>
                <w:sz w:val="18"/>
                <w:szCs w:val="18"/>
              </w:rPr>
            </w:pPr>
            <w:r>
              <w:rPr>
                <w:rFonts w:hint="eastAsia" w:ascii="宋体" w:hAnsi="宋体"/>
                <w:sz w:val="18"/>
                <w:szCs w:val="18"/>
              </w:rPr>
              <w:t>华    北</w:t>
            </w:r>
          </w:p>
          <w:p w14:paraId="5DB42B20">
            <w:pPr>
              <w:spacing w:line="240" w:lineRule="exact"/>
              <w:jc w:val="center"/>
              <w:rPr>
                <w:rFonts w:ascii="宋体" w:hAnsi="宋体"/>
                <w:sz w:val="18"/>
                <w:szCs w:val="18"/>
              </w:rPr>
            </w:pPr>
            <w:r>
              <w:rPr>
                <w:rFonts w:hint="eastAsia" w:ascii="宋体" w:hAnsi="宋体"/>
                <w:sz w:val="18"/>
                <w:szCs w:val="18"/>
              </w:rPr>
              <w:t>北    京</w:t>
            </w:r>
          </w:p>
          <w:p w14:paraId="25F82150">
            <w:pPr>
              <w:spacing w:line="240" w:lineRule="exact"/>
              <w:jc w:val="center"/>
              <w:rPr>
                <w:rFonts w:ascii="宋体" w:hAnsi="宋体"/>
                <w:sz w:val="18"/>
                <w:szCs w:val="18"/>
              </w:rPr>
            </w:pPr>
            <w:r>
              <w:rPr>
                <w:rFonts w:hint="eastAsia" w:ascii="宋体" w:hAnsi="宋体"/>
                <w:sz w:val="18"/>
                <w:szCs w:val="18"/>
              </w:rPr>
              <w:t>天    津</w:t>
            </w:r>
          </w:p>
          <w:p w14:paraId="62644C1D">
            <w:pPr>
              <w:spacing w:line="240" w:lineRule="exact"/>
              <w:jc w:val="center"/>
              <w:rPr>
                <w:rFonts w:ascii="宋体" w:hAnsi="宋体"/>
                <w:sz w:val="18"/>
                <w:szCs w:val="18"/>
              </w:rPr>
            </w:pPr>
            <w:r>
              <w:rPr>
                <w:rFonts w:hint="eastAsia" w:ascii="宋体" w:hAnsi="宋体"/>
                <w:sz w:val="18"/>
                <w:szCs w:val="18"/>
              </w:rPr>
              <w:t>冀    北</w:t>
            </w:r>
          </w:p>
          <w:p w14:paraId="536199A0">
            <w:pPr>
              <w:spacing w:line="240" w:lineRule="exact"/>
              <w:jc w:val="center"/>
              <w:rPr>
                <w:rFonts w:ascii="宋体" w:hAnsi="宋体"/>
                <w:sz w:val="18"/>
                <w:szCs w:val="18"/>
              </w:rPr>
            </w:pPr>
            <w:r>
              <w:rPr>
                <w:rFonts w:hint="eastAsia" w:ascii="宋体" w:hAnsi="宋体"/>
                <w:sz w:val="18"/>
                <w:szCs w:val="18"/>
              </w:rPr>
              <w:t>冀    南</w:t>
            </w:r>
          </w:p>
          <w:p w14:paraId="6A973B8F">
            <w:pPr>
              <w:spacing w:line="240" w:lineRule="exact"/>
              <w:jc w:val="center"/>
              <w:rPr>
                <w:rFonts w:ascii="宋体" w:hAnsi="宋体"/>
                <w:sz w:val="18"/>
                <w:szCs w:val="18"/>
              </w:rPr>
            </w:pPr>
            <w:r>
              <w:rPr>
                <w:rFonts w:hint="eastAsia" w:ascii="宋体" w:hAnsi="宋体"/>
                <w:sz w:val="18"/>
                <w:szCs w:val="18"/>
              </w:rPr>
              <w:t>山    西</w:t>
            </w:r>
          </w:p>
          <w:p w14:paraId="123407E4">
            <w:pPr>
              <w:spacing w:line="240" w:lineRule="exact"/>
              <w:jc w:val="center"/>
              <w:rPr>
                <w:rFonts w:ascii="宋体" w:hAnsi="宋体"/>
                <w:sz w:val="18"/>
                <w:szCs w:val="18"/>
              </w:rPr>
            </w:pPr>
            <w:r>
              <w:rPr>
                <w:rFonts w:hint="eastAsia" w:ascii="宋体" w:hAnsi="宋体"/>
                <w:sz w:val="18"/>
                <w:szCs w:val="18"/>
              </w:rPr>
              <w:t>蒙    西</w:t>
            </w:r>
          </w:p>
          <w:p w14:paraId="30BDB218">
            <w:pPr>
              <w:spacing w:line="240" w:lineRule="exact"/>
              <w:jc w:val="center"/>
              <w:rPr>
                <w:rFonts w:ascii="宋体" w:hAnsi="宋体"/>
                <w:sz w:val="18"/>
                <w:szCs w:val="18"/>
              </w:rPr>
            </w:pPr>
            <w:r>
              <w:rPr>
                <w:rFonts w:hint="eastAsia" w:ascii="宋体" w:hAnsi="宋体"/>
                <w:sz w:val="18"/>
                <w:szCs w:val="18"/>
              </w:rPr>
              <w:t>山    东</w:t>
            </w:r>
          </w:p>
        </w:tc>
        <w:tc>
          <w:tcPr>
            <w:tcW w:w="1905" w:type="dxa"/>
            <w:tcBorders>
              <w:top w:val="single" w:color="auto" w:sz="2" w:space="0"/>
              <w:bottom w:val="single" w:color="auto" w:sz="2" w:space="0"/>
              <w:right w:val="nil"/>
            </w:tcBorders>
            <w:shd w:val="clear" w:color="auto" w:fill="auto"/>
            <w:vAlign w:val="center"/>
          </w:tcPr>
          <w:p w14:paraId="01F5B43F">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395D017B">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795F773E">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5C24BCE4">
            <w:pPr>
              <w:spacing w:line="240" w:lineRule="exact"/>
              <w:jc w:val="center"/>
              <w:rPr>
                <w:rFonts w:ascii="宋体" w:hAnsi="宋体"/>
                <w:sz w:val="18"/>
                <w:szCs w:val="18"/>
              </w:rPr>
            </w:pPr>
          </w:p>
        </w:tc>
      </w:tr>
      <w:tr w14:paraId="7DF51F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78307B95">
            <w:pPr>
              <w:spacing w:line="240" w:lineRule="exact"/>
              <w:jc w:val="center"/>
              <w:rPr>
                <w:rFonts w:ascii="宋体" w:hAnsi="宋体"/>
                <w:sz w:val="18"/>
                <w:szCs w:val="18"/>
              </w:rPr>
            </w:pPr>
            <w:r>
              <w:rPr>
                <w:rFonts w:hint="eastAsia" w:ascii="宋体" w:hAnsi="宋体"/>
                <w:sz w:val="18"/>
                <w:szCs w:val="18"/>
              </w:rPr>
              <w:t>华    东</w:t>
            </w:r>
          </w:p>
          <w:p w14:paraId="01AA06A6">
            <w:pPr>
              <w:spacing w:line="240" w:lineRule="exact"/>
              <w:jc w:val="center"/>
              <w:rPr>
                <w:rFonts w:ascii="宋体" w:hAnsi="宋体"/>
                <w:sz w:val="18"/>
                <w:szCs w:val="18"/>
              </w:rPr>
            </w:pPr>
            <w:r>
              <w:rPr>
                <w:rFonts w:hint="eastAsia" w:ascii="宋体" w:hAnsi="宋体"/>
                <w:sz w:val="18"/>
                <w:szCs w:val="18"/>
              </w:rPr>
              <w:t>上    海</w:t>
            </w:r>
          </w:p>
          <w:p w14:paraId="50E8FD04">
            <w:pPr>
              <w:spacing w:line="240" w:lineRule="exact"/>
              <w:jc w:val="center"/>
              <w:rPr>
                <w:rFonts w:ascii="宋体" w:hAnsi="宋体"/>
                <w:sz w:val="18"/>
                <w:szCs w:val="18"/>
              </w:rPr>
            </w:pPr>
            <w:r>
              <w:rPr>
                <w:rFonts w:hint="eastAsia" w:ascii="宋体" w:hAnsi="宋体"/>
                <w:sz w:val="18"/>
                <w:szCs w:val="18"/>
              </w:rPr>
              <w:t>江    苏</w:t>
            </w:r>
          </w:p>
          <w:p w14:paraId="5AC0BF4D">
            <w:pPr>
              <w:spacing w:line="240" w:lineRule="exact"/>
              <w:jc w:val="center"/>
              <w:rPr>
                <w:rFonts w:ascii="宋体" w:hAnsi="宋体"/>
                <w:sz w:val="18"/>
                <w:szCs w:val="18"/>
              </w:rPr>
            </w:pPr>
            <w:r>
              <w:rPr>
                <w:rFonts w:hint="eastAsia" w:ascii="宋体" w:hAnsi="宋体"/>
                <w:sz w:val="18"/>
                <w:szCs w:val="18"/>
              </w:rPr>
              <w:t>浙    江</w:t>
            </w:r>
          </w:p>
          <w:p w14:paraId="2C7D8DA4">
            <w:pPr>
              <w:spacing w:line="240" w:lineRule="exact"/>
              <w:jc w:val="center"/>
              <w:rPr>
                <w:rFonts w:ascii="宋体" w:hAnsi="宋体"/>
                <w:sz w:val="18"/>
                <w:szCs w:val="18"/>
              </w:rPr>
            </w:pPr>
            <w:r>
              <w:rPr>
                <w:rFonts w:hint="eastAsia" w:ascii="宋体" w:hAnsi="宋体"/>
                <w:sz w:val="18"/>
                <w:szCs w:val="18"/>
              </w:rPr>
              <w:t>安    徽</w:t>
            </w:r>
          </w:p>
          <w:p w14:paraId="7D8996CA">
            <w:pPr>
              <w:spacing w:line="240" w:lineRule="exact"/>
              <w:jc w:val="center"/>
              <w:rPr>
                <w:rFonts w:ascii="宋体" w:hAnsi="宋体"/>
                <w:sz w:val="18"/>
                <w:szCs w:val="18"/>
              </w:rPr>
            </w:pPr>
            <w:r>
              <w:rPr>
                <w:rFonts w:hint="eastAsia" w:ascii="宋体" w:hAnsi="宋体"/>
                <w:sz w:val="18"/>
                <w:szCs w:val="18"/>
              </w:rPr>
              <w:t>福    建</w:t>
            </w:r>
          </w:p>
        </w:tc>
        <w:tc>
          <w:tcPr>
            <w:tcW w:w="1905" w:type="dxa"/>
            <w:tcBorders>
              <w:top w:val="single" w:color="auto" w:sz="2" w:space="0"/>
              <w:bottom w:val="single" w:color="auto" w:sz="2" w:space="0"/>
              <w:right w:val="nil"/>
            </w:tcBorders>
            <w:shd w:val="clear" w:color="auto" w:fill="auto"/>
            <w:vAlign w:val="center"/>
          </w:tcPr>
          <w:p w14:paraId="5835050C">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1B773A8A">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1DFCFCD1">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432A7BB0">
            <w:pPr>
              <w:spacing w:line="240" w:lineRule="exact"/>
              <w:jc w:val="center"/>
              <w:rPr>
                <w:rFonts w:ascii="宋体" w:hAnsi="宋体"/>
                <w:sz w:val="18"/>
                <w:szCs w:val="18"/>
              </w:rPr>
            </w:pPr>
          </w:p>
        </w:tc>
      </w:tr>
      <w:tr w14:paraId="2DFC62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7AF00604">
            <w:pPr>
              <w:spacing w:line="240" w:lineRule="exact"/>
              <w:jc w:val="center"/>
              <w:rPr>
                <w:rFonts w:ascii="宋体" w:hAnsi="宋体"/>
                <w:sz w:val="18"/>
                <w:szCs w:val="18"/>
              </w:rPr>
            </w:pPr>
            <w:r>
              <w:rPr>
                <w:rFonts w:hint="eastAsia" w:ascii="宋体" w:hAnsi="宋体"/>
                <w:sz w:val="18"/>
                <w:szCs w:val="18"/>
              </w:rPr>
              <w:t>华    中</w:t>
            </w:r>
          </w:p>
          <w:p w14:paraId="19A3E1BF">
            <w:pPr>
              <w:spacing w:line="240" w:lineRule="exact"/>
              <w:jc w:val="center"/>
              <w:rPr>
                <w:rFonts w:ascii="宋体" w:hAnsi="宋体"/>
                <w:sz w:val="18"/>
                <w:szCs w:val="18"/>
              </w:rPr>
            </w:pPr>
            <w:r>
              <w:rPr>
                <w:rFonts w:hint="eastAsia" w:ascii="宋体" w:hAnsi="宋体"/>
                <w:sz w:val="18"/>
                <w:szCs w:val="18"/>
              </w:rPr>
              <w:t>河    南</w:t>
            </w:r>
          </w:p>
          <w:p w14:paraId="77AE15F0">
            <w:pPr>
              <w:spacing w:line="240" w:lineRule="exact"/>
              <w:jc w:val="center"/>
              <w:rPr>
                <w:rFonts w:ascii="宋体" w:hAnsi="宋体"/>
                <w:sz w:val="18"/>
                <w:szCs w:val="18"/>
              </w:rPr>
            </w:pPr>
            <w:r>
              <w:rPr>
                <w:rFonts w:hint="eastAsia" w:ascii="宋体" w:hAnsi="宋体"/>
                <w:sz w:val="18"/>
                <w:szCs w:val="18"/>
              </w:rPr>
              <w:t>湖    北</w:t>
            </w:r>
          </w:p>
          <w:p w14:paraId="75B879C2">
            <w:pPr>
              <w:spacing w:line="240" w:lineRule="exact"/>
              <w:jc w:val="center"/>
              <w:rPr>
                <w:rFonts w:ascii="宋体" w:hAnsi="宋体"/>
                <w:sz w:val="18"/>
                <w:szCs w:val="18"/>
              </w:rPr>
            </w:pPr>
            <w:r>
              <w:rPr>
                <w:rFonts w:hint="eastAsia" w:ascii="宋体" w:hAnsi="宋体"/>
                <w:sz w:val="18"/>
                <w:szCs w:val="18"/>
              </w:rPr>
              <w:t>湖    南</w:t>
            </w:r>
          </w:p>
          <w:p w14:paraId="30D3ABA8">
            <w:pPr>
              <w:spacing w:line="240" w:lineRule="exact"/>
              <w:jc w:val="center"/>
              <w:rPr>
                <w:rFonts w:ascii="宋体" w:hAnsi="宋体"/>
                <w:sz w:val="18"/>
                <w:szCs w:val="18"/>
              </w:rPr>
            </w:pPr>
            <w:r>
              <w:rPr>
                <w:rFonts w:hint="eastAsia" w:ascii="宋体" w:hAnsi="宋体"/>
                <w:sz w:val="18"/>
                <w:szCs w:val="18"/>
              </w:rPr>
              <w:t>江    西</w:t>
            </w:r>
          </w:p>
          <w:p w14:paraId="0DED6E1B">
            <w:pPr>
              <w:spacing w:line="240" w:lineRule="exact"/>
              <w:jc w:val="center"/>
              <w:rPr>
                <w:rFonts w:ascii="宋体" w:hAnsi="宋体"/>
                <w:sz w:val="18"/>
                <w:szCs w:val="18"/>
              </w:rPr>
            </w:pPr>
            <w:r>
              <w:rPr>
                <w:rFonts w:hint="eastAsia" w:ascii="宋体" w:hAnsi="宋体"/>
                <w:sz w:val="18"/>
                <w:szCs w:val="18"/>
              </w:rPr>
              <w:t>四    川</w:t>
            </w:r>
          </w:p>
          <w:p w14:paraId="6F0ED677">
            <w:pPr>
              <w:spacing w:line="240" w:lineRule="exact"/>
              <w:jc w:val="center"/>
              <w:rPr>
                <w:rFonts w:ascii="宋体" w:hAnsi="宋体"/>
                <w:sz w:val="18"/>
                <w:szCs w:val="18"/>
              </w:rPr>
            </w:pPr>
            <w:r>
              <w:rPr>
                <w:rFonts w:hint="eastAsia" w:ascii="宋体" w:hAnsi="宋体"/>
                <w:sz w:val="18"/>
                <w:szCs w:val="18"/>
              </w:rPr>
              <w:t>重    庆</w:t>
            </w:r>
          </w:p>
        </w:tc>
        <w:tc>
          <w:tcPr>
            <w:tcW w:w="1905" w:type="dxa"/>
            <w:tcBorders>
              <w:top w:val="single" w:color="auto" w:sz="2" w:space="0"/>
              <w:bottom w:val="single" w:color="auto" w:sz="2" w:space="0"/>
              <w:right w:val="nil"/>
            </w:tcBorders>
            <w:shd w:val="clear" w:color="auto" w:fill="auto"/>
            <w:vAlign w:val="center"/>
          </w:tcPr>
          <w:p w14:paraId="725D7194">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78AA9F7E">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484DD7F2">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5A19B311">
            <w:pPr>
              <w:spacing w:line="240" w:lineRule="exact"/>
              <w:jc w:val="center"/>
              <w:rPr>
                <w:rFonts w:ascii="宋体" w:hAnsi="宋体"/>
                <w:sz w:val="18"/>
                <w:szCs w:val="18"/>
              </w:rPr>
            </w:pPr>
          </w:p>
        </w:tc>
      </w:tr>
      <w:tr w14:paraId="44D40B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7B48F538">
            <w:pPr>
              <w:spacing w:line="240" w:lineRule="exact"/>
              <w:jc w:val="center"/>
              <w:rPr>
                <w:rFonts w:ascii="宋体" w:hAnsi="宋体"/>
                <w:sz w:val="18"/>
                <w:szCs w:val="18"/>
              </w:rPr>
            </w:pPr>
            <w:r>
              <w:rPr>
                <w:rFonts w:hint="eastAsia" w:ascii="宋体" w:hAnsi="宋体"/>
                <w:sz w:val="18"/>
                <w:szCs w:val="18"/>
              </w:rPr>
              <w:t>东    北</w:t>
            </w:r>
          </w:p>
          <w:p w14:paraId="6A976385">
            <w:pPr>
              <w:spacing w:line="240" w:lineRule="exact"/>
              <w:jc w:val="center"/>
              <w:rPr>
                <w:rFonts w:ascii="宋体" w:hAnsi="宋体"/>
                <w:sz w:val="18"/>
                <w:szCs w:val="18"/>
              </w:rPr>
            </w:pPr>
            <w:r>
              <w:rPr>
                <w:rFonts w:hint="eastAsia" w:ascii="宋体" w:hAnsi="宋体"/>
                <w:sz w:val="18"/>
                <w:szCs w:val="18"/>
              </w:rPr>
              <w:t>辽    宁</w:t>
            </w:r>
          </w:p>
          <w:p w14:paraId="48CB600F">
            <w:pPr>
              <w:spacing w:line="240" w:lineRule="exact"/>
              <w:jc w:val="center"/>
              <w:rPr>
                <w:rFonts w:ascii="宋体" w:hAnsi="宋体"/>
                <w:sz w:val="18"/>
                <w:szCs w:val="18"/>
              </w:rPr>
            </w:pPr>
            <w:r>
              <w:rPr>
                <w:rFonts w:hint="eastAsia" w:ascii="宋体" w:hAnsi="宋体"/>
                <w:sz w:val="18"/>
                <w:szCs w:val="18"/>
              </w:rPr>
              <w:t>吉    林</w:t>
            </w:r>
          </w:p>
          <w:p w14:paraId="7668D59E">
            <w:pPr>
              <w:spacing w:line="240" w:lineRule="exact"/>
              <w:jc w:val="center"/>
              <w:rPr>
                <w:rFonts w:ascii="宋体" w:hAnsi="宋体"/>
                <w:sz w:val="18"/>
                <w:szCs w:val="18"/>
              </w:rPr>
            </w:pPr>
            <w:r>
              <w:rPr>
                <w:rFonts w:hint="eastAsia" w:ascii="宋体" w:hAnsi="宋体"/>
                <w:sz w:val="18"/>
                <w:szCs w:val="18"/>
              </w:rPr>
              <w:t>黑 龙 江</w:t>
            </w:r>
          </w:p>
          <w:p w14:paraId="5CE6AC00">
            <w:pPr>
              <w:spacing w:line="240" w:lineRule="exact"/>
              <w:jc w:val="center"/>
              <w:rPr>
                <w:rFonts w:ascii="宋体" w:hAnsi="宋体"/>
                <w:sz w:val="18"/>
                <w:szCs w:val="18"/>
              </w:rPr>
            </w:pPr>
            <w:r>
              <w:rPr>
                <w:rFonts w:hint="eastAsia" w:ascii="宋体" w:hAnsi="宋体"/>
                <w:sz w:val="18"/>
                <w:szCs w:val="18"/>
              </w:rPr>
              <w:t>蒙    东</w:t>
            </w:r>
          </w:p>
        </w:tc>
        <w:tc>
          <w:tcPr>
            <w:tcW w:w="1905" w:type="dxa"/>
            <w:tcBorders>
              <w:top w:val="single" w:color="auto" w:sz="2" w:space="0"/>
              <w:bottom w:val="single" w:color="auto" w:sz="2" w:space="0"/>
              <w:right w:val="nil"/>
            </w:tcBorders>
            <w:shd w:val="clear" w:color="auto" w:fill="auto"/>
            <w:vAlign w:val="center"/>
          </w:tcPr>
          <w:p w14:paraId="23C1822D">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1FDC0CD9">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2EFF7936">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405B8B2C">
            <w:pPr>
              <w:spacing w:line="240" w:lineRule="exact"/>
              <w:jc w:val="center"/>
              <w:rPr>
                <w:rFonts w:ascii="宋体" w:hAnsi="宋体"/>
                <w:sz w:val="18"/>
                <w:szCs w:val="18"/>
              </w:rPr>
            </w:pPr>
          </w:p>
        </w:tc>
      </w:tr>
      <w:tr w14:paraId="13E27A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47E5B7F3">
            <w:pPr>
              <w:spacing w:line="240" w:lineRule="exact"/>
              <w:jc w:val="center"/>
              <w:rPr>
                <w:rFonts w:ascii="宋体" w:hAnsi="宋体"/>
                <w:sz w:val="18"/>
                <w:szCs w:val="18"/>
              </w:rPr>
            </w:pPr>
            <w:r>
              <w:rPr>
                <w:rFonts w:hint="eastAsia" w:ascii="宋体" w:hAnsi="宋体"/>
                <w:sz w:val="18"/>
                <w:szCs w:val="18"/>
              </w:rPr>
              <w:t>西    北</w:t>
            </w:r>
          </w:p>
          <w:p w14:paraId="21D10BD1">
            <w:pPr>
              <w:spacing w:line="240" w:lineRule="exact"/>
              <w:jc w:val="center"/>
              <w:rPr>
                <w:rFonts w:ascii="宋体" w:hAnsi="宋体"/>
                <w:sz w:val="18"/>
                <w:szCs w:val="18"/>
              </w:rPr>
            </w:pPr>
            <w:r>
              <w:rPr>
                <w:rFonts w:hint="eastAsia" w:ascii="宋体" w:hAnsi="宋体"/>
                <w:sz w:val="18"/>
                <w:szCs w:val="18"/>
              </w:rPr>
              <w:t>陕    西</w:t>
            </w:r>
          </w:p>
          <w:p w14:paraId="052EC284">
            <w:pPr>
              <w:spacing w:line="240" w:lineRule="exact"/>
              <w:jc w:val="center"/>
              <w:rPr>
                <w:rFonts w:ascii="宋体" w:hAnsi="宋体"/>
                <w:sz w:val="18"/>
                <w:szCs w:val="18"/>
              </w:rPr>
            </w:pPr>
            <w:r>
              <w:rPr>
                <w:rFonts w:hint="eastAsia" w:ascii="宋体" w:hAnsi="宋体"/>
                <w:sz w:val="18"/>
                <w:szCs w:val="18"/>
              </w:rPr>
              <w:t>甘    肃</w:t>
            </w:r>
          </w:p>
          <w:p w14:paraId="1AC39DDF">
            <w:pPr>
              <w:spacing w:line="240" w:lineRule="exact"/>
              <w:jc w:val="center"/>
              <w:rPr>
                <w:rFonts w:ascii="宋体" w:hAnsi="宋体"/>
                <w:sz w:val="18"/>
                <w:szCs w:val="18"/>
              </w:rPr>
            </w:pPr>
            <w:r>
              <w:rPr>
                <w:rFonts w:hint="eastAsia" w:ascii="宋体" w:hAnsi="宋体"/>
                <w:sz w:val="18"/>
                <w:szCs w:val="18"/>
              </w:rPr>
              <w:t>青    海</w:t>
            </w:r>
          </w:p>
          <w:p w14:paraId="2A7AB6AA">
            <w:pPr>
              <w:spacing w:line="240" w:lineRule="exact"/>
              <w:jc w:val="center"/>
              <w:rPr>
                <w:rFonts w:ascii="宋体" w:hAnsi="宋体"/>
                <w:sz w:val="18"/>
                <w:szCs w:val="18"/>
              </w:rPr>
            </w:pPr>
            <w:r>
              <w:rPr>
                <w:rFonts w:hint="eastAsia" w:ascii="宋体" w:hAnsi="宋体"/>
                <w:sz w:val="18"/>
                <w:szCs w:val="18"/>
              </w:rPr>
              <w:t>宁    夏</w:t>
            </w:r>
          </w:p>
          <w:p w14:paraId="706B9C87">
            <w:pPr>
              <w:spacing w:line="240" w:lineRule="exact"/>
              <w:jc w:val="center"/>
              <w:rPr>
                <w:rFonts w:ascii="宋体" w:hAnsi="宋体"/>
                <w:sz w:val="18"/>
                <w:szCs w:val="18"/>
              </w:rPr>
            </w:pPr>
            <w:r>
              <w:rPr>
                <w:rFonts w:hint="eastAsia" w:ascii="宋体" w:hAnsi="宋体"/>
                <w:sz w:val="18"/>
                <w:szCs w:val="18"/>
              </w:rPr>
              <w:t>新    疆</w:t>
            </w:r>
          </w:p>
          <w:p w14:paraId="4484899C">
            <w:pPr>
              <w:spacing w:line="240" w:lineRule="exact"/>
              <w:jc w:val="center"/>
              <w:rPr>
                <w:rFonts w:ascii="宋体" w:hAnsi="宋体"/>
                <w:sz w:val="18"/>
                <w:szCs w:val="18"/>
              </w:rPr>
            </w:pPr>
            <w:r>
              <w:rPr>
                <w:rFonts w:hint="eastAsia" w:ascii="宋体" w:hAnsi="宋体"/>
                <w:sz w:val="18"/>
                <w:szCs w:val="18"/>
              </w:rPr>
              <w:t>西    藏</w:t>
            </w:r>
          </w:p>
        </w:tc>
        <w:tc>
          <w:tcPr>
            <w:tcW w:w="1905" w:type="dxa"/>
            <w:tcBorders>
              <w:top w:val="single" w:color="auto" w:sz="2" w:space="0"/>
              <w:bottom w:val="single" w:color="auto" w:sz="2" w:space="0"/>
              <w:right w:val="nil"/>
            </w:tcBorders>
            <w:shd w:val="clear" w:color="auto" w:fill="auto"/>
            <w:vAlign w:val="center"/>
          </w:tcPr>
          <w:p w14:paraId="634AC2CF">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44883384">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3B976541">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47926C80">
            <w:pPr>
              <w:spacing w:line="240" w:lineRule="exact"/>
              <w:jc w:val="center"/>
              <w:rPr>
                <w:rFonts w:ascii="宋体" w:hAnsi="宋体"/>
                <w:sz w:val="18"/>
                <w:szCs w:val="18"/>
              </w:rPr>
            </w:pPr>
          </w:p>
        </w:tc>
      </w:tr>
      <w:tr w14:paraId="3646FC3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01" w:type="dxa"/>
            <w:shd w:val="clear" w:color="auto" w:fill="auto"/>
            <w:vAlign w:val="center"/>
          </w:tcPr>
          <w:p w14:paraId="5CD1F601">
            <w:pPr>
              <w:spacing w:line="240" w:lineRule="exact"/>
              <w:jc w:val="center"/>
              <w:rPr>
                <w:rFonts w:ascii="宋体" w:hAnsi="宋体"/>
                <w:sz w:val="18"/>
                <w:szCs w:val="18"/>
              </w:rPr>
            </w:pPr>
            <w:r>
              <w:rPr>
                <w:rFonts w:hint="eastAsia" w:ascii="宋体" w:hAnsi="宋体"/>
                <w:sz w:val="18"/>
                <w:szCs w:val="18"/>
              </w:rPr>
              <w:t>南    网</w:t>
            </w:r>
          </w:p>
          <w:p w14:paraId="2372A517">
            <w:pPr>
              <w:spacing w:line="240" w:lineRule="exact"/>
              <w:jc w:val="center"/>
              <w:rPr>
                <w:rFonts w:ascii="宋体" w:hAnsi="宋体"/>
                <w:sz w:val="18"/>
                <w:szCs w:val="18"/>
              </w:rPr>
            </w:pPr>
            <w:r>
              <w:rPr>
                <w:rFonts w:hint="eastAsia" w:ascii="宋体" w:hAnsi="宋体"/>
                <w:sz w:val="18"/>
                <w:szCs w:val="18"/>
              </w:rPr>
              <w:t>广    东</w:t>
            </w:r>
          </w:p>
          <w:p w14:paraId="24CD4D75">
            <w:pPr>
              <w:spacing w:line="240" w:lineRule="exact"/>
              <w:jc w:val="center"/>
              <w:rPr>
                <w:rFonts w:ascii="宋体" w:hAnsi="宋体"/>
                <w:sz w:val="18"/>
                <w:szCs w:val="18"/>
              </w:rPr>
            </w:pPr>
            <w:r>
              <w:rPr>
                <w:rFonts w:hint="eastAsia" w:ascii="宋体" w:hAnsi="宋体"/>
                <w:sz w:val="18"/>
                <w:szCs w:val="18"/>
              </w:rPr>
              <w:t>广    西</w:t>
            </w:r>
          </w:p>
          <w:p w14:paraId="17C85F96">
            <w:pPr>
              <w:spacing w:line="240" w:lineRule="exact"/>
              <w:jc w:val="center"/>
              <w:rPr>
                <w:rFonts w:ascii="宋体" w:hAnsi="宋体"/>
                <w:sz w:val="18"/>
                <w:szCs w:val="18"/>
              </w:rPr>
            </w:pPr>
            <w:r>
              <w:rPr>
                <w:rFonts w:hint="eastAsia" w:ascii="宋体" w:hAnsi="宋体"/>
                <w:sz w:val="18"/>
                <w:szCs w:val="18"/>
              </w:rPr>
              <w:t>贵    州</w:t>
            </w:r>
          </w:p>
          <w:p w14:paraId="2EB0E4F6">
            <w:pPr>
              <w:spacing w:line="240" w:lineRule="exact"/>
              <w:jc w:val="center"/>
              <w:rPr>
                <w:rFonts w:ascii="宋体" w:hAnsi="宋体"/>
                <w:sz w:val="18"/>
                <w:szCs w:val="18"/>
              </w:rPr>
            </w:pPr>
            <w:r>
              <w:rPr>
                <w:rFonts w:hint="eastAsia" w:ascii="宋体" w:hAnsi="宋体"/>
                <w:sz w:val="18"/>
                <w:szCs w:val="18"/>
              </w:rPr>
              <w:t>云    南</w:t>
            </w:r>
          </w:p>
          <w:p w14:paraId="45AFC1F1">
            <w:pPr>
              <w:spacing w:line="240" w:lineRule="exact"/>
              <w:jc w:val="center"/>
              <w:rPr>
                <w:rFonts w:ascii="宋体" w:hAnsi="宋体"/>
                <w:sz w:val="18"/>
                <w:szCs w:val="18"/>
              </w:rPr>
            </w:pPr>
            <w:r>
              <w:rPr>
                <w:rFonts w:hint="eastAsia" w:ascii="宋体" w:hAnsi="宋体"/>
                <w:sz w:val="18"/>
                <w:szCs w:val="18"/>
              </w:rPr>
              <w:t>海    南</w:t>
            </w:r>
          </w:p>
        </w:tc>
        <w:tc>
          <w:tcPr>
            <w:tcW w:w="1905" w:type="dxa"/>
            <w:tcBorders>
              <w:top w:val="single" w:color="auto" w:sz="2" w:space="0"/>
              <w:bottom w:val="single" w:color="auto" w:sz="2" w:space="0"/>
              <w:right w:val="nil"/>
            </w:tcBorders>
            <w:shd w:val="clear" w:color="auto" w:fill="auto"/>
            <w:vAlign w:val="center"/>
          </w:tcPr>
          <w:p w14:paraId="5F346046">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77BCF6CF">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2CB447CC">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58D579CF">
            <w:pPr>
              <w:spacing w:line="240" w:lineRule="exact"/>
              <w:jc w:val="center"/>
              <w:rPr>
                <w:rFonts w:ascii="宋体" w:hAnsi="宋体"/>
                <w:sz w:val="18"/>
                <w:szCs w:val="18"/>
              </w:rPr>
            </w:pPr>
          </w:p>
        </w:tc>
      </w:tr>
      <w:tr w14:paraId="20E0CE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901" w:type="dxa"/>
            <w:shd w:val="clear" w:color="auto" w:fill="auto"/>
            <w:vAlign w:val="center"/>
          </w:tcPr>
          <w:p w14:paraId="1BFFE965">
            <w:pPr>
              <w:spacing w:line="240" w:lineRule="exact"/>
              <w:jc w:val="center"/>
              <w:rPr>
                <w:rFonts w:ascii="宋体" w:hAnsi="宋体"/>
                <w:sz w:val="18"/>
                <w:szCs w:val="18"/>
              </w:rPr>
            </w:pPr>
            <w:r>
              <w:rPr>
                <w:rFonts w:hint="eastAsia" w:ascii="宋体" w:hAnsi="宋体"/>
                <w:sz w:val="18"/>
                <w:szCs w:val="18"/>
              </w:rPr>
              <w:t>国网合计</w:t>
            </w:r>
          </w:p>
        </w:tc>
        <w:tc>
          <w:tcPr>
            <w:tcW w:w="1905" w:type="dxa"/>
            <w:tcBorders>
              <w:top w:val="single" w:color="auto" w:sz="2" w:space="0"/>
              <w:bottom w:val="single" w:color="auto" w:sz="2" w:space="0"/>
              <w:right w:val="nil"/>
            </w:tcBorders>
            <w:shd w:val="clear" w:color="auto" w:fill="auto"/>
            <w:vAlign w:val="center"/>
          </w:tcPr>
          <w:p w14:paraId="2F77C8A8">
            <w:pPr>
              <w:spacing w:line="240" w:lineRule="exact"/>
              <w:jc w:val="center"/>
              <w:rPr>
                <w:rFonts w:ascii="宋体" w:hAnsi="宋体"/>
                <w:sz w:val="18"/>
                <w:szCs w:val="18"/>
              </w:rPr>
            </w:pPr>
          </w:p>
        </w:tc>
        <w:tc>
          <w:tcPr>
            <w:tcW w:w="1907" w:type="dxa"/>
            <w:tcBorders>
              <w:top w:val="single" w:color="auto" w:sz="2" w:space="0"/>
              <w:left w:val="nil"/>
              <w:bottom w:val="single" w:color="auto" w:sz="2" w:space="0"/>
              <w:right w:val="nil"/>
            </w:tcBorders>
            <w:shd w:val="clear" w:color="auto" w:fill="auto"/>
            <w:vAlign w:val="center"/>
          </w:tcPr>
          <w:p w14:paraId="7B4028A9">
            <w:pPr>
              <w:spacing w:line="240" w:lineRule="exact"/>
              <w:jc w:val="center"/>
              <w:rPr>
                <w:rFonts w:ascii="宋体" w:hAnsi="宋体"/>
                <w:sz w:val="18"/>
                <w:szCs w:val="18"/>
              </w:rPr>
            </w:pPr>
          </w:p>
        </w:tc>
        <w:tc>
          <w:tcPr>
            <w:tcW w:w="1906" w:type="dxa"/>
            <w:tcBorders>
              <w:top w:val="single" w:color="auto" w:sz="2" w:space="0"/>
              <w:left w:val="nil"/>
              <w:bottom w:val="single" w:color="auto" w:sz="2" w:space="0"/>
              <w:right w:val="nil"/>
            </w:tcBorders>
            <w:shd w:val="clear" w:color="auto" w:fill="auto"/>
            <w:vAlign w:val="center"/>
          </w:tcPr>
          <w:p w14:paraId="3E6B213E">
            <w:pPr>
              <w:spacing w:line="240" w:lineRule="exact"/>
              <w:jc w:val="center"/>
              <w:rPr>
                <w:rFonts w:ascii="宋体" w:hAnsi="宋体"/>
                <w:sz w:val="18"/>
                <w:szCs w:val="18"/>
              </w:rPr>
            </w:pPr>
          </w:p>
        </w:tc>
        <w:tc>
          <w:tcPr>
            <w:tcW w:w="1907" w:type="dxa"/>
            <w:tcBorders>
              <w:top w:val="single" w:color="auto" w:sz="2" w:space="0"/>
              <w:left w:val="nil"/>
              <w:bottom w:val="single" w:color="auto" w:sz="2" w:space="0"/>
            </w:tcBorders>
            <w:shd w:val="clear" w:color="auto" w:fill="auto"/>
            <w:vAlign w:val="center"/>
          </w:tcPr>
          <w:p w14:paraId="58BBD85B">
            <w:pPr>
              <w:spacing w:line="240" w:lineRule="exact"/>
              <w:jc w:val="center"/>
              <w:rPr>
                <w:rFonts w:ascii="宋体" w:hAnsi="宋体"/>
                <w:sz w:val="18"/>
                <w:szCs w:val="18"/>
              </w:rPr>
            </w:pPr>
          </w:p>
        </w:tc>
      </w:tr>
      <w:tr w14:paraId="37E457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901" w:type="dxa"/>
            <w:shd w:val="clear" w:color="auto" w:fill="auto"/>
            <w:vAlign w:val="center"/>
          </w:tcPr>
          <w:p w14:paraId="677CA638">
            <w:pPr>
              <w:spacing w:line="240" w:lineRule="exact"/>
              <w:jc w:val="center"/>
              <w:rPr>
                <w:rFonts w:ascii="宋体" w:hAnsi="宋体"/>
                <w:sz w:val="18"/>
                <w:szCs w:val="18"/>
              </w:rPr>
            </w:pPr>
            <w:r>
              <w:rPr>
                <w:rFonts w:hint="eastAsia" w:ascii="宋体" w:hAnsi="宋体"/>
                <w:sz w:val="18"/>
                <w:szCs w:val="18"/>
              </w:rPr>
              <w:t>全网合计</w:t>
            </w:r>
          </w:p>
        </w:tc>
        <w:tc>
          <w:tcPr>
            <w:tcW w:w="1905" w:type="dxa"/>
            <w:tcBorders>
              <w:top w:val="single" w:color="auto" w:sz="2" w:space="0"/>
              <w:bottom w:val="single" w:color="auto" w:sz="8" w:space="0"/>
              <w:right w:val="nil"/>
            </w:tcBorders>
            <w:shd w:val="clear" w:color="auto" w:fill="auto"/>
            <w:vAlign w:val="center"/>
          </w:tcPr>
          <w:p w14:paraId="2FC97B4D">
            <w:pPr>
              <w:spacing w:line="240" w:lineRule="exact"/>
              <w:jc w:val="center"/>
              <w:rPr>
                <w:rFonts w:ascii="宋体" w:hAnsi="宋体"/>
                <w:sz w:val="18"/>
                <w:szCs w:val="18"/>
              </w:rPr>
            </w:pPr>
          </w:p>
        </w:tc>
        <w:tc>
          <w:tcPr>
            <w:tcW w:w="1907" w:type="dxa"/>
            <w:tcBorders>
              <w:top w:val="single" w:color="auto" w:sz="2" w:space="0"/>
              <w:left w:val="nil"/>
              <w:bottom w:val="single" w:color="auto" w:sz="8" w:space="0"/>
              <w:right w:val="nil"/>
            </w:tcBorders>
            <w:shd w:val="clear" w:color="auto" w:fill="auto"/>
            <w:vAlign w:val="center"/>
          </w:tcPr>
          <w:p w14:paraId="71261505">
            <w:pPr>
              <w:spacing w:line="240" w:lineRule="exact"/>
              <w:jc w:val="center"/>
              <w:rPr>
                <w:rFonts w:ascii="宋体" w:hAnsi="宋体"/>
                <w:sz w:val="18"/>
                <w:szCs w:val="18"/>
              </w:rPr>
            </w:pPr>
          </w:p>
        </w:tc>
        <w:tc>
          <w:tcPr>
            <w:tcW w:w="1906" w:type="dxa"/>
            <w:tcBorders>
              <w:top w:val="single" w:color="auto" w:sz="2" w:space="0"/>
              <w:left w:val="nil"/>
              <w:bottom w:val="single" w:color="auto" w:sz="8" w:space="0"/>
              <w:right w:val="nil"/>
            </w:tcBorders>
            <w:shd w:val="clear" w:color="auto" w:fill="auto"/>
            <w:vAlign w:val="center"/>
          </w:tcPr>
          <w:p w14:paraId="6B7B94C5">
            <w:pPr>
              <w:spacing w:line="240" w:lineRule="exact"/>
              <w:jc w:val="center"/>
              <w:rPr>
                <w:rFonts w:ascii="宋体" w:hAnsi="宋体"/>
                <w:sz w:val="18"/>
                <w:szCs w:val="18"/>
              </w:rPr>
            </w:pPr>
          </w:p>
        </w:tc>
        <w:tc>
          <w:tcPr>
            <w:tcW w:w="1907" w:type="dxa"/>
            <w:tcBorders>
              <w:top w:val="single" w:color="auto" w:sz="2" w:space="0"/>
              <w:left w:val="nil"/>
              <w:bottom w:val="single" w:color="auto" w:sz="8" w:space="0"/>
            </w:tcBorders>
            <w:shd w:val="clear" w:color="auto" w:fill="auto"/>
            <w:vAlign w:val="center"/>
          </w:tcPr>
          <w:p w14:paraId="63A7B319">
            <w:pPr>
              <w:spacing w:line="240" w:lineRule="exact"/>
              <w:jc w:val="center"/>
              <w:rPr>
                <w:rFonts w:ascii="宋体" w:hAnsi="宋体"/>
                <w:sz w:val="18"/>
                <w:szCs w:val="18"/>
              </w:rPr>
            </w:pPr>
          </w:p>
        </w:tc>
      </w:tr>
    </w:tbl>
    <w:p w14:paraId="06CB4D78">
      <w:pPr>
        <w:spacing w:line="280" w:lineRule="exact"/>
        <w:ind w:right="-38"/>
        <w:rPr>
          <w:sz w:val="18"/>
        </w:rPr>
      </w:pPr>
      <w:r>
        <w:rPr>
          <w:sz w:val="18"/>
        </w:rPr>
        <w:t>单位负责人：             统计负责人：         填表人：          联系电话：       报出日期：２０　年　月　日</w:t>
      </w:r>
    </w:p>
    <w:p w14:paraId="6308C02B">
      <w:pPr>
        <w:spacing w:line="240" w:lineRule="exact"/>
        <w:jc w:val="left"/>
        <w:rPr>
          <w:sz w:val="18"/>
        </w:rPr>
      </w:pPr>
    </w:p>
    <w:p w14:paraId="3DA4F8A1">
      <w:pPr>
        <w:spacing w:line="280" w:lineRule="exact"/>
        <w:jc w:val="left"/>
        <w:rPr>
          <w:sz w:val="18"/>
          <w:szCs w:val="18"/>
        </w:rPr>
      </w:pPr>
      <w:r>
        <w:rPr>
          <w:rFonts w:hint="eastAsia"/>
          <w:sz w:val="18"/>
        </w:rPr>
        <w:t xml:space="preserve"> </w:t>
      </w:r>
      <w:r>
        <w:rPr>
          <w:rFonts w:hint="eastAsia"/>
          <w:sz w:val="18"/>
          <w:szCs w:val="18"/>
        </w:rPr>
        <w:t>说明：</w:t>
      </w:r>
      <w:r>
        <w:rPr>
          <w:sz w:val="18"/>
          <w:szCs w:val="18"/>
        </w:rPr>
        <w:t>1</w:t>
      </w:r>
      <w:r>
        <w:rPr>
          <w:rFonts w:hint="eastAsia"/>
          <w:sz w:val="18"/>
          <w:szCs w:val="18"/>
        </w:rPr>
        <w:t>.统计范围：全国及六大电网区域。</w:t>
      </w:r>
    </w:p>
    <w:p w14:paraId="4B9B447A">
      <w:pPr>
        <w:spacing w:line="280" w:lineRule="exact"/>
        <w:ind w:right="52" w:firstLine="630" w:firstLineChars="350"/>
        <w:rPr>
          <w:sz w:val="18"/>
          <w:szCs w:val="18"/>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r>
        <w:rPr>
          <w:rFonts w:hint="eastAsia"/>
          <w:sz w:val="18"/>
          <w:szCs w:val="18"/>
        </w:rPr>
        <w:t>2.报送时间为月后第2个</w:t>
      </w:r>
      <w:r>
        <w:rPr>
          <w:sz w:val="18"/>
          <w:szCs w:val="18"/>
        </w:rPr>
        <w:t>工作</w:t>
      </w:r>
      <w:r>
        <w:rPr>
          <w:rFonts w:hint="eastAsia"/>
          <w:sz w:val="18"/>
          <w:szCs w:val="18"/>
        </w:rPr>
        <w:t>日</w:t>
      </w:r>
      <w:r>
        <w:rPr>
          <w:sz w:val="18"/>
          <w:szCs w:val="18"/>
        </w:rPr>
        <w:t>13</w:t>
      </w:r>
      <w:r>
        <w:rPr>
          <w:rFonts w:hint="eastAsia"/>
          <w:sz w:val="18"/>
          <w:szCs w:val="18"/>
        </w:rPr>
        <w:t>:00时前，</w:t>
      </w:r>
      <w:r>
        <w:rPr>
          <w:sz w:val="18"/>
          <w:szCs w:val="18"/>
        </w:rPr>
        <w:t>报送方式为电子邮件</w:t>
      </w:r>
      <w:r>
        <w:rPr>
          <w:rFonts w:hint="eastAsia"/>
          <w:sz w:val="18"/>
          <w:szCs w:val="18"/>
        </w:rPr>
        <w:t>（</w:t>
      </w:r>
      <w:r>
        <w:rPr>
          <w:sz w:val="18"/>
          <w:szCs w:val="18"/>
        </w:rPr>
        <w:t>nysscxsc@stats.gov.cn</w:t>
      </w:r>
      <w:r>
        <w:rPr>
          <w:rFonts w:hint="eastAsia"/>
          <w:sz w:val="18"/>
          <w:szCs w:val="18"/>
        </w:rPr>
        <w:t>）</w:t>
      </w:r>
    </w:p>
    <w:p w14:paraId="35B3D4F3"/>
    <w:p w14:paraId="3B0B32A0">
      <w:pPr>
        <w:snapToGrid w:val="0"/>
        <w:spacing w:before="240" w:beforeLines="100" w:after="240" w:afterLines="100"/>
        <w:jc w:val="center"/>
        <w:outlineLvl w:val="2"/>
        <w:rPr>
          <w:sz w:val="32"/>
          <w:szCs w:val="32"/>
        </w:rPr>
      </w:pPr>
      <w:r>
        <w:rPr>
          <w:sz w:val="32"/>
          <w:szCs w:val="32"/>
        </w:rPr>
        <w:t>天然气销售去向</w:t>
      </w:r>
    </w:p>
    <w:tbl>
      <w:tblPr>
        <w:tblStyle w:val="20"/>
        <w:tblW w:w="9356" w:type="dxa"/>
        <w:jc w:val="center"/>
        <w:tblLayout w:type="autofit"/>
        <w:tblCellMar>
          <w:top w:w="0" w:type="dxa"/>
          <w:left w:w="108" w:type="dxa"/>
          <w:bottom w:w="0" w:type="dxa"/>
          <w:right w:w="108" w:type="dxa"/>
        </w:tblCellMar>
      </w:tblPr>
      <w:tblGrid>
        <w:gridCol w:w="1084"/>
        <w:gridCol w:w="850"/>
        <w:gridCol w:w="1333"/>
        <w:gridCol w:w="348"/>
        <w:gridCol w:w="741"/>
        <w:gridCol w:w="2201"/>
        <w:gridCol w:w="899"/>
        <w:gridCol w:w="1900"/>
      </w:tblGrid>
      <w:tr w14:paraId="0B864A61">
        <w:tblPrEx>
          <w:tblCellMar>
            <w:top w:w="0" w:type="dxa"/>
            <w:left w:w="108" w:type="dxa"/>
            <w:bottom w:w="0" w:type="dxa"/>
            <w:right w:w="108" w:type="dxa"/>
          </w:tblCellMar>
        </w:tblPrEx>
        <w:trPr>
          <w:jc w:val="center"/>
        </w:trPr>
        <w:tc>
          <w:tcPr>
            <w:tcW w:w="579" w:type="pct"/>
            <w:shd w:val="clear" w:color="auto" w:fill="auto"/>
            <w:noWrap/>
            <w:tcMar>
              <w:left w:w="28" w:type="dxa"/>
              <w:right w:w="28" w:type="dxa"/>
            </w:tcMar>
            <w:vAlign w:val="center"/>
          </w:tcPr>
          <w:p w14:paraId="40FDFD89">
            <w:pPr>
              <w:widowControl/>
              <w:adjustRightInd w:val="0"/>
              <w:snapToGrid w:val="0"/>
              <w:jc w:val="left"/>
              <w:rPr>
                <w:kern w:val="0"/>
                <w:sz w:val="18"/>
                <w:szCs w:val="18"/>
              </w:rPr>
            </w:pPr>
          </w:p>
        </w:tc>
        <w:tc>
          <w:tcPr>
            <w:tcW w:w="454" w:type="pct"/>
            <w:shd w:val="clear" w:color="auto" w:fill="auto"/>
            <w:noWrap/>
            <w:tcMar>
              <w:left w:w="28" w:type="dxa"/>
              <w:right w:w="28" w:type="dxa"/>
            </w:tcMar>
            <w:vAlign w:val="center"/>
          </w:tcPr>
          <w:p w14:paraId="605546FE">
            <w:pPr>
              <w:widowControl/>
              <w:adjustRightInd w:val="0"/>
              <w:snapToGrid w:val="0"/>
              <w:jc w:val="left"/>
              <w:rPr>
                <w:kern w:val="0"/>
                <w:sz w:val="18"/>
                <w:szCs w:val="18"/>
              </w:rPr>
            </w:pPr>
          </w:p>
        </w:tc>
        <w:tc>
          <w:tcPr>
            <w:tcW w:w="712" w:type="pct"/>
            <w:shd w:val="clear" w:color="auto" w:fill="auto"/>
            <w:tcMar>
              <w:left w:w="28" w:type="dxa"/>
              <w:right w:w="28" w:type="dxa"/>
            </w:tcMar>
            <w:vAlign w:val="center"/>
          </w:tcPr>
          <w:p w14:paraId="378FEEC9">
            <w:pPr>
              <w:widowControl/>
              <w:adjustRightInd w:val="0"/>
              <w:snapToGrid w:val="0"/>
              <w:jc w:val="left"/>
              <w:rPr>
                <w:kern w:val="0"/>
                <w:sz w:val="18"/>
                <w:szCs w:val="18"/>
              </w:rPr>
            </w:pPr>
          </w:p>
        </w:tc>
        <w:tc>
          <w:tcPr>
            <w:tcW w:w="184" w:type="pct"/>
            <w:shd w:val="clear" w:color="auto" w:fill="auto"/>
            <w:tcMar>
              <w:left w:w="28" w:type="dxa"/>
              <w:right w:w="28" w:type="dxa"/>
            </w:tcMar>
            <w:vAlign w:val="center"/>
          </w:tcPr>
          <w:p w14:paraId="387F692C">
            <w:pPr>
              <w:widowControl/>
              <w:adjustRightInd w:val="0"/>
              <w:snapToGrid w:val="0"/>
              <w:jc w:val="left"/>
              <w:rPr>
                <w:kern w:val="0"/>
                <w:sz w:val="18"/>
                <w:szCs w:val="18"/>
              </w:rPr>
            </w:pPr>
          </w:p>
        </w:tc>
        <w:tc>
          <w:tcPr>
            <w:tcW w:w="396" w:type="pct"/>
            <w:shd w:val="clear" w:color="auto" w:fill="auto"/>
            <w:tcMar>
              <w:left w:w="28" w:type="dxa"/>
              <w:right w:w="28" w:type="dxa"/>
            </w:tcMar>
            <w:vAlign w:val="center"/>
          </w:tcPr>
          <w:p w14:paraId="50FA9A5F">
            <w:pPr>
              <w:widowControl/>
              <w:adjustRightInd w:val="0"/>
              <w:snapToGrid w:val="0"/>
              <w:jc w:val="left"/>
              <w:rPr>
                <w:kern w:val="0"/>
                <w:sz w:val="18"/>
                <w:szCs w:val="18"/>
              </w:rPr>
            </w:pPr>
          </w:p>
        </w:tc>
        <w:tc>
          <w:tcPr>
            <w:tcW w:w="1176" w:type="pct"/>
            <w:shd w:val="clear" w:color="auto" w:fill="auto"/>
            <w:tcMar>
              <w:left w:w="28" w:type="dxa"/>
              <w:right w:w="28" w:type="dxa"/>
            </w:tcMar>
            <w:vAlign w:val="center"/>
          </w:tcPr>
          <w:p w14:paraId="51FBB432">
            <w:pPr>
              <w:widowControl/>
              <w:adjustRightInd w:val="0"/>
              <w:snapToGrid w:val="0"/>
              <w:jc w:val="left"/>
              <w:rPr>
                <w:kern w:val="0"/>
                <w:sz w:val="18"/>
                <w:szCs w:val="18"/>
              </w:rPr>
            </w:pPr>
          </w:p>
        </w:tc>
        <w:tc>
          <w:tcPr>
            <w:tcW w:w="480" w:type="pct"/>
            <w:shd w:val="clear" w:color="auto" w:fill="auto"/>
            <w:tcMar>
              <w:left w:w="28" w:type="dxa"/>
              <w:right w:w="28" w:type="dxa"/>
            </w:tcMar>
            <w:vAlign w:val="center"/>
          </w:tcPr>
          <w:p w14:paraId="67AAD573">
            <w:pPr>
              <w:widowControl/>
              <w:adjustRightInd w:val="0"/>
              <w:snapToGrid w:val="0"/>
              <w:spacing w:line="240" w:lineRule="exact"/>
              <w:jc w:val="left"/>
              <w:rPr>
                <w:kern w:val="0"/>
                <w:sz w:val="18"/>
                <w:szCs w:val="18"/>
              </w:rPr>
            </w:pPr>
            <w:r>
              <w:rPr>
                <w:kern w:val="0"/>
                <w:sz w:val="18"/>
                <w:szCs w:val="18"/>
              </w:rPr>
              <w:t>表　　号：</w:t>
            </w:r>
          </w:p>
        </w:tc>
        <w:tc>
          <w:tcPr>
            <w:tcW w:w="1015" w:type="pct"/>
            <w:shd w:val="clear" w:color="auto" w:fill="auto"/>
            <w:tcMar>
              <w:left w:w="28" w:type="dxa"/>
              <w:right w:w="28" w:type="dxa"/>
            </w:tcMar>
            <w:vAlign w:val="center"/>
          </w:tcPr>
          <w:p w14:paraId="39B2265C">
            <w:pPr>
              <w:widowControl/>
              <w:adjustRightInd w:val="0"/>
              <w:snapToGrid w:val="0"/>
              <w:jc w:val="distribute"/>
              <w:rPr>
                <w:kern w:val="0"/>
                <w:sz w:val="18"/>
                <w:szCs w:val="18"/>
              </w:rPr>
            </w:pPr>
            <w:r>
              <w:rPr>
                <w:sz w:val="18"/>
                <w:szCs w:val="18"/>
              </w:rPr>
              <w:t>ＺＹ４０３表</w:t>
            </w:r>
          </w:p>
        </w:tc>
      </w:tr>
      <w:tr w14:paraId="4A69A2BA">
        <w:tblPrEx>
          <w:tblCellMar>
            <w:top w:w="0" w:type="dxa"/>
            <w:left w:w="108" w:type="dxa"/>
            <w:bottom w:w="0" w:type="dxa"/>
            <w:right w:w="108" w:type="dxa"/>
          </w:tblCellMar>
        </w:tblPrEx>
        <w:trPr>
          <w:jc w:val="center"/>
        </w:trPr>
        <w:tc>
          <w:tcPr>
            <w:tcW w:w="579" w:type="pct"/>
            <w:shd w:val="clear" w:color="auto" w:fill="auto"/>
            <w:noWrap/>
            <w:tcMar>
              <w:left w:w="28" w:type="dxa"/>
              <w:right w:w="28" w:type="dxa"/>
            </w:tcMar>
            <w:vAlign w:val="center"/>
          </w:tcPr>
          <w:p w14:paraId="6066BD76">
            <w:pPr>
              <w:widowControl/>
              <w:adjustRightInd w:val="0"/>
              <w:snapToGrid w:val="0"/>
              <w:jc w:val="left"/>
              <w:rPr>
                <w:kern w:val="0"/>
                <w:sz w:val="18"/>
                <w:szCs w:val="18"/>
              </w:rPr>
            </w:pPr>
          </w:p>
        </w:tc>
        <w:tc>
          <w:tcPr>
            <w:tcW w:w="454" w:type="pct"/>
            <w:shd w:val="clear" w:color="auto" w:fill="auto"/>
            <w:noWrap/>
            <w:tcMar>
              <w:left w:w="28" w:type="dxa"/>
              <w:right w:w="28" w:type="dxa"/>
            </w:tcMar>
            <w:vAlign w:val="center"/>
          </w:tcPr>
          <w:p w14:paraId="5CC986AA">
            <w:pPr>
              <w:widowControl/>
              <w:adjustRightInd w:val="0"/>
              <w:snapToGrid w:val="0"/>
              <w:jc w:val="left"/>
              <w:rPr>
                <w:kern w:val="0"/>
                <w:sz w:val="18"/>
                <w:szCs w:val="18"/>
              </w:rPr>
            </w:pPr>
          </w:p>
        </w:tc>
        <w:tc>
          <w:tcPr>
            <w:tcW w:w="712" w:type="pct"/>
            <w:shd w:val="clear" w:color="auto" w:fill="auto"/>
            <w:tcMar>
              <w:left w:w="28" w:type="dxa"/>
              <w:right w:w="28" w:type="dxa"/>
            </w:tcMar>
            <w:vAlign w:val="center"/>
          </w:tcPr>
          <w:p w14:paraId="1467BE94">
            <w:pPr>
              <w:widowControl/>
              <w:adjustRightInd w:val="0"/>
              <w:snapToGrid w:val="0"/>
              <w:jc w:val="left"/>
              <w:rPr>
                <w:kern w:val="0"/>
                <w:sz w:val="18"/>
                <w:szCs w:val="18"/>
              </w:rPr>
            </w:pPr>
          </w:p>
        </w:tc>
        <w:tc>
          <w:tcPr>
            <w:tcW w:w="184" w:type="pct"/>
            <w:shd w:val="clear" w:color="auto" w:fill="auto"/>
            <w:tcMar>
              <w:left w:w="28" w:type="dxa"/>
              <w:right w:w="28" w:type="dxa"/>
            </w:tcMar>
            <w:vAlign w:val="center"/>
          </w:tcPr>
          <w:p w14:paraId="277FC52B">
            <w:pPr>
              <w:widowControl/>
              <w:adjustRightInd w:val="0"/>
              <w:snapToGrid w:val="0"/>
              <w:jc w:val="left"/>
              <w:rPr>
                <w:kern w:val="0"/>
                <w:sz w:val="18"/>
                <w:szCs w:val="18"/>
              </w:rPr>
            </w:pPr>
          </w:p>
        </w:tc>
        <w:tc>
          <w:tcPr>
            <w:tcW w:w="396" w:type="pct"/>
            <w:shd w:val="clear" w:color="auto" w:fill="auto"/>
            <w:tcMar>
              <w:left w:w="28" w:type="dxa"/>
              <w:right w:w="28" w:type="dxa"/>
            </w:tcMar>
            <w:vAlign w:val="center"/>
          </w:tcPr>
          <w:p w14:paraId="69170B69">
            <w:pPr>
              <w:widowControl/>
              <w:adjustRightInd w:val="0"/>
              <w:snapToGrid w:val="0"/>
              <w:jc w:val="left"/>
              <w:rPr>
                <w:kern w:val="0"/>
                <w:sz w:val="18"/>
                <w:szCs w:val="18"/>
              </w:rPr>
            </w:pPr>
          </w:p>
        </w:tc>
        <w:tc>
          <w:tcPr>
            <w:tcW w:w="1176" w:type="pct"/>
            <w:shd w:val="clear" w:color="auto" w:fill="auto"/>
            <w:tcMar>
              <w:left w:w="28" w:type="dxa"/>
              <w:right w:w="28" w:type="dxa"/>
            </w:tcMar>
            <w:vAlign w:val="center"/>
          </w:tcPr>
          <w:p w14:paraId="28C85E87">
            <w:pPr>
              <w:widowControl/>
              <w:adjustRightInd w:val="0"/>
              <w:snapToGrid w:val="0"/>
              <w:jc w:val="left"/>
              <w:rPr>
                <w:kern w:val="0"/>
                <w:sz w:val="18"/>
                <w:szCs w:val="18"/>
              </w:rPr>
            </w:pPr>
          </w:p>
        </w:tc>
        <w:tc>
          <w:tcPr>
            <w:tcW w:w="480" w:type="pct"/>
            <w:shd w:val="clear" w:color="auto" w:fill="auto"/>
            <w:tcMar>
              <w:left w:w="28" w:type="dxa"/>
              <w:right w:w="28" w:type="dxa"/>
            </w:tcMar>
            <w:vAlign w:val="center"/>
          </w:tcPr>
          <w:p w14:paraId="7F7A8862">
            <w:pPr>
              <w:widowControl/>
              <w:adjustRightInd w:val="0"/>
              <w:snapToGrid w:val="0"/>
              <w:spacing w:line="240" w:lineRule="exact"/>
              <w:jc w:val="left"/>
              <w:rPr>
                <w:kern w:val="0"/>
                <w:sz w:val="18"/>
                <w:szCs w:val="18"/>
              </w:rPr>
            </w:pPr>
          </w:p>
        </w:tc>
        <w:tc>
          <w:tcPr>
            <w:tcW w:w="1015" w:type="pct"/>
            <w:shd w:val="clear" w:color="auto" w:fill="auto"/>
            <w:tcMar>
              <w:left w:w="28" w:type="dxa"/>
              <w:right w:w="28" w:type="dxa"/>
            </w:tcMar>
            <w:vAlign w:val="center"/>
          </w:tcPr>
          <w:p w14:paraId="562B0532">
            <w:pPr>
              <w:widowControl/>
              <w:adjustRightInd w:val="0"/>
              <w:snapToGrid w:val="0"/>
              <w:jc w:val="distribute"/>
              <w:rPr>
                <w:sz w:val="18"/>
                <w:szCs w:val="18"/>
              </w:rPr>
            </w:pPr>
            <w:r>
              <w:rPr>
                <w:sz w:val="18"/>
                <w:szCs w:val="18"/>
              </w:rPr>
              <w:t>ＺＳ４０３表</w:t>
            </w:r>
          </w:p>
          <w:p w14:paraId="3AB8630A">
            <w:pPr>
              <w:widowControl/>
              <w:adjustRightInd w:val="0"/>
              <w:snapToGrid w:val="0"/>
              <w:jc w:val="distribute"/>
              <w:rPr>
                <w:sz w:val="18"/>
                <w:szCs w:val="18"/>
              </w:rPr>
            </w:pPr>
            <w:r>
              <w:rPr>
                <w:sz w:val="18"/>
                <w:szCs w:val="18"/>
              </w:rPr>
              <w:t>ＺＨ４０３表</w:t>
            </w:r>
          </w:p>
        </w:tc>
      </w:tr>
      <w:tr w14:paraId="17E53A79">
        <w:tblPrEx>
          <w:tblCellMar>
            <w:top w:w="0" w:type="dxa"/>
            <w:left w:w="108" w:type="dxa"/>
            <w:bottom w:w="0" w:type="dxa"/>
            <w:right w:w="108" w:type="dxa"/>
          </w:tblCellMar>
        </w:tblPrEx>
        <w:trPr>
          <w:jc w:val="center"/>
        </w:trPr>
        <w:tc>
          <w:tcPr>
            <w:tcW w:w="579" w:type="pct"/>
            <w:shd w:val="clear" w:color="auto" w:fill="auto"/>
            <w:noWrap/>
            <w:tcMar>
              <w:left w:w="28" w:type="dxa"/>
              <w:right w:w="28" w:type="dxa"/>
            </w:tcMar>
            <w:vAlign w:val="center"/>
          </w:tcPr>
          <w:p w14:paraId="279797EF">
            <w:pPr>
              <w:widowControl/>
              <w:adjustRightInd w:val="0"/>
              <w:snapToGrid w:val="0"/>
              <w:jc w:val="left"/>
              <w:rPr>
                <w:kern w:val="0"/>
                <w:sz w:val="18"/>
                <w:szCs w:val="18"/>
              </w:rPr>
            </w:pPr>
          </w:p>
        </w:tc>
        <w:tc>
          <w:tcPr>
            <w:tcW w:w="454" w:type="pct"/>
            <w:shd w:val="clear" w:color="auto" w:fill="auto"/>
            <w:noWrap/>
            <w:tcMar>
              <w:left w:w="28" w:type="dxa"/>
              <w:right w:w="28" w:type="dxa"/>
            </w:tcMar>
            <w:vAlign w:val="center"/>
          </w:tcPr>
          <w:p w14:paraId="7CB24633">
            <w:pPr>
              <w:widowControl/>
              <w:adjustRightInd w:val="0"/>
              <w:snapToGrid w:val="0"/>
              <w:jc w:val="left"/>
              <w:rPr>
                <w:kern w:val="0"/>
                <w:sz w:val="18"/>
                <w:szCs w:val="18"/>
              </w:rPr>
            </w:pPr>
          </w:p>
        </w:tc>
        <w:tc>
          <w:tcPr>
            <w:tcW w:w="712" w:type="pct"/>
            <w:shd w:val="clear" w:color="auto" w:fill="auto"/>
            <w:noWrap/>
            <w:tcMar>
              <w:left w:w="28" w:type="dxa"/>
              <w:right w:w="28" w:type="dxa"/>
            </w:tcMar>
            <w:vAlign w:val="center"/>
          </w:tcPr>
          <w:p w14:paraId="43B0BBA0">
            <w:pPr>
              <w:widowControl/>
              <w:adjustRightInd w:val="0"/>
              <w:snapToGrid w:val="0"/>
              <w:jc w:val="left"/>
              <w:rPr>
                <w:kern w:val="0"/>
                <w:sz w:val="18"/>
                <w:szCs w:val="18"/>
              </w:rPr>
            </w:pPr>
          </w:p>
        </w:tc>
        <w:tc>
          <w:tcPr>
            <w:tcW w:w="184" w:type="pct"/>
            <w:shd w:val="clear" w:color="auto" w:fill="auto"/>
            <w:tcMar>
              <w:left w:w="28" w:type="dxa"/>
              <w:right w:w="28" w:type="dxa"/>
            </w:tcMar>
            <w:vAlign w:val="center"/>
          </w:tcPr>
          <w:p w14:paraId="56E3D125">
            <w:pPr>
              <w:widowControl/>
              <w:adjustRightInd w:val="0"/>
              <w:snapToGrid w:val="0"/>
              <w:jc w:val="left"/>
              <w:rPr>
                <w:kern w:val="0"/>
                <w:sz w:val="18"/>
                <w:szCs w:val="18"/>
              </w:rPr>
            </w:pPr>
          </w:p>
        </w:tc>
        <w:tc>
          <w:tcPr>
            <w:tcW w:w="396" w:type="pct"/>
            <w:shd w:val="clear" w:color="auto" w:fill="auto"/>
            <w:tcMar>
              <w:left w:w="28" w:type="dxa"/>
              <w:right w:w="28" w:type="dxa"/>
            </w:tcMar>
            <w:vAlign w:val="center"/>
          </w:tcPr>
          <w:p w14:paraId="3037A77B">
            <w:pPr>
              <w:widowControl/>
              <w:adjustRightInd w:val="0"/>
              <w:snapToGrid w:val="0"/>
              <w:jc w:val="left"/>
              <w:rPr>
                <w:kern w:val="0"/>
                <w:sz w:val="18"/>
                <w:szCs w:val="18"/>
              </w:rPr>
            </w:pPr>
          </w:p>
        </w:tc>
        <w:tc>
          <w:tcPr>
            <w:tcW w:w="1176" w:type="pct"/>
            <w:shd w:val="clear" w:color="auto" w:fill="auto"/>
            <w:tcMar>
              <w:left w:w="28" w:type="dxa"/>
              <w:right w:w="28" w:type="dxa"/>
            </w:tcMar>
            <w:vAlign w:val="center"/>
          </w:tcPr>
          <w:p w14:paraId="01667A2A">
            <w:pPr>
              <w:widowControl/>
              <w:adjustRightInd w:val="0"/>
              <w:snapToGrid w:val="0"/>
              <w:jc w:val="left"/>
              <w:rPr>
                <w:kern w:val="0"/>
                <w:sz w:val="18"/>
                <w:szCs w:val="18"/>
              </w:rPr>
            </w:pPr>
          </w:p>
        </w:tc>
        <w:tc>
          <w:tcPr>
            <w:tcW w:w="480" w:type="pct"/>
            <w:shd w:val="clear" w:color="auto" w:fill="auto"/>
            <w:tcMar>
              <w:left w:w="28" w:type="dxa"/>
              <w:right w:w="28" w:type="dxa"/>
            </w:tcMar>
            <w:vAlign w:val="center"/>
          </w:tcPr>
          <w:p w14:paraId="52D8B60D">
            <w:pPr>
              <w:widowControl/>
              <w:adjustRightInd w:val="0"/>
              <w:snapToGrid w:val="0"/>
              <w:spacing w:line="240" w:lineRule="exac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015" w:type="pct"/>
            <w:shd w:val="clear" w:color="auto" w:fill="auto"/>
            <w:tcMar>
              <w:left w:w="28" w:type="dxa"/>
              <w:right w:w="28" w:type="dxa"/>
            </w:tcMar>
            <w:vAlign w:val="center"/>
          </w:tcPr>
          <w:p w14:paraId="2AEA838D">
            <w:pPr>
              <w:widowControl/>
              <w:adjustRightInd w:val="0"/>
              <w:snapToGrid w:val="0"/>
              <w:jc w:val="distribute"/>
              <w:rPr>
                <w:kern w:val="0"/>
                <w:sz w:val="18"/>
                <w:szCs w:val="18"/>
              </w:rPr>
            </w:pPr>
            <w:r>
              <w:rPr>
                <w:kern w:val="0"/>
                <w:sz w:val="18"/>
                <w:szCs w:val="18"/>
              </w:rPr>
              <w:t>国家统计局</w:t>
            </w:r>
          </w:p>
        </w:tc>
      </w:tr>
      <w:tr w14:paraId="532E06E5">
        <w:tblPrEx>
          <w:tblCellMar>
            <w:top w:w="0" w:type="dxa"/>
            <w:left w:w="108" w:type="dxa"/>
            <w:bottom w:w="0" w:type="dxa"/>
            <w:right w:w="108" w:type="dxa"/>
          </w:tblCellMar>
        </w:tblPrEx>
        <w:trPr>
          <w:jc w:val="center"/>
        </w:trPr>
        <w:tc>
          <w:tcPr>
            <w:tcW w:w="2327" w:type="pct"/>
            <w:gridSpan w:val="5"/>
            <w:shd w:val="clear" w:color="auto" w:fill="auto"/>
            <w:tcMar>
              <w:left w:w="28" w:type="dxa"/>
              <w:right w:w="28" w:type="dxa"/>
            </w:tcMar>
            <w:vAlign w:val="center"/>
          </w:tcPr>
          <w:p w14:paraId="113BD694">
            <w:pPr>
              <w:widowControl/>
              <w:adjustRightInd w:val="0"/>
              <w:snapToGrid w:val="0"/>
              <w:jc w:val="left"/>
              <w:rPr>
                <w:kern w:val="0"/>
                <w:sz w:val="18"/>
                <w:szCs w:val="18"/>
              </w:rPr>
            </w:pPr>
          </w:p>
        </w:tc>
        <w:tc>
          <w:tcPr>
            <w:tcW w:w="1176" w:type="pct"/>
            <w:shd w:val="clear" w:color="auto" w:fill="auto"/>
            <w:tcMar>
              <w:left w:w="28" w:type="dxa"/>
              <w:right w:w="28" w:type="dxa"/>
            </w:tcMar>
            <w:vAlign w:val="center"/>
          </w:tcPr>
          <w:p w14:paraId="55059F17">
            <w:pPr>
              <w:widowControl/>
              <w:adjustRightInd w:val="0"/>
              <w:snapToGrid w:val="0"/>
              <w:jc w:val="left"/>
              <w:rPr>
                <w:kern w:val="0"/>
                <w:sz w:val="18"/>
                <w:szCs w:val="18"/>
              </w:rPr>
            </w:pPr>
          </w:p>
        </w:tc>
        <w:tc>
          <w:tcPr>
            <w:tcW w:w="480" w:type="pct"/>
            <w:shd w:val="clear" w:color="auto" w:fill="auto"/>
            <w:tcMar>
              <w:left w:w="28" w:type="dxa"/>
              <w:right w:w="28" w:type="dxa"/>
            </w:tcMar>
            <w:vAlign w:val="center"/>
          </w:tcPr>
          <w:p w14:paraId="1F3EFA4A">
            <w:pPr>
              <w:widowControl/>
              <w:adjustRightInd w:val="0"/>
              <w:snapToGrid w:val="0"/>
              <w:spacing w:line="240" w:lineRule="exact"/>
              <w:jc w:val="left"/>
              <w:rPr>
                <w:kern w:val="0"/>
                <w:sz w:val="18"/>
                <w:szCs w:val="18"/>
              </w:rPr>
            </w:pPr>
            <w:r>
              <w:rPr>
                <w:kern w:val="0"/>
                <w:sz w:val="18"/>
                <w:szCs w:val="18"/>
              </w:rPr>
              <w:t>文　　号：</w:t>
            </w:r>
          </w:p>
        </w:tc>
        <w:tc>
          <w:tcPr>
            <w:tcW w:w="1015" w:type="pct"/>
            <w:shd w:val="clear" w:color="auto" w:fill="auto"/>
            <w:tcMar>
              <w:left w:w="28" w:type="dxa"/>
              <w:right w:w="28" w:type="dxa"/>
            </w:tcMar>
            <w:vAlign w:val="center"/>
          </w:tcPr>
          <w:p w14:paraId="20C15521">
            <w:pPr>
              <w:widowControl/>
              <w:adjustRightInd w:val="0"/>
              <w:snapToGrid w:val="0"/>
              <w:jc w:val="distribute"/>
              <w:rPr>
                <w:rFonts w:ascii="宋体" w:hAnsi="宋体"/>
                <w:kern w:val="0"/>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406" w:author="kylin" w:date="2025-10-17T16:22:29Z">
              <w:r>
                <w:rPr>
                  <w:rFonts w:hint="default" w:ascii="宋体" w:hAnsi="宋体"/>
                  <w:spacing w:val="-16"/>
                  <w:sz w:val="18"/>
                  <w:szCs w:val="18"/>
                  <w:lang w:val="en-US" w:eastAsia="zh-CN"/>
                </w:rPr>
                <w:delText>４</w:delText>
              </w:r>
            </w:del>
            <w:ins w:id="407" w:author="kylin" w:date="2025-10-17T16:22:29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408" w:author="kylin" w:date="2025-10-17T16:22:32Z">
              <w:r>
                <w:rPr>
                  <w:rFonts w:hint="default" w:ascii="宋体" w:hAnsi="宋体"/>
                  <w:spacing w:val="-16"/>
                  <w:sz w:val="18"/>
                  <w:szCs w:val="18"/>
                  <w:lang w:val="en-US" w:eastAsia="zh-CN"/>
                </w:rPr>
                <w:delText>77</w:delText>
              </w:r>
            </w:del>
            <w:ins w:id="409" w:author="kylin" w:date="2025-10-17T16:22:32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683BFC0F">
        <w:tblPrEx>
          <w:tblCellMar>
            <w:top w:w="0" w:type="dxa"/>
            <w:left w:w="108" w:type="dxa"/>
            <w:bottom w:w="0" w:type="dxa"/>
            <w:right w:w="108" w:type="dxa"/>
          </w:tblCellMar>
        </w:tblPrEx>
        <w:trPr>
          <w:jc w:val="center"/>
        </w:trPr>
        <w:tc>
          <w:tcPr>
            <w:tcW w:w="3503" w:type="pct"/>
            <w:gridSpan w:val="6"/>
            <w:shd w:val="clear" w:color="auto" w:fill="auto"/>
            <w:tcMar>
              <w:left w:w="28" w:type="dxa"/>
              <w:right w:w="28" w:type="dxa"/>
            </w:tcMar>
            <w:vAlign w:val="center"/>
          </w:tcPr>
          <w:p w14:paraId="3CDA61B4">
            <w:pPr>
              <w:widowControl/>
              <w:adjustRightInd w:val="0"/>
              <w:snapToGrid w:val="0"/>
              <w:jc w:val="left"/>
              <w:rPr>
                <w:kern w:val="0"/>
                <w:sz w:val="18"/>
                <w:szCs w:val="18"/>
              </w:rPr>
            </w:pPr>
            <w:r>
              <w:rPr>
                <w:rFonts w:hint="eastAsia" w:ascii="宋体" w:hAnsi="宋体" w:cs="宋体"/>
                <w:color w:val="000000"/>
                <w:kern w:val="0"/>
                <w:sz w:val="18"/>
                <w:szCs w:val="18"/>
              </w:rPr>
              <w:t>统一社会信用代码□□□□□□□□□□□□□□□□□□</w:t>
            </w:r>
          </w:p>
        </w:tc>
        <w:tc>
          <w:tcPr>
            <w:tcW w:w="480" w:type="pct"/>
            <w:shd w:val="clear" w:color="auto" w:fill="auto"/>
            <w:tcMar>
              <w:left w:w="28" w:type="dxa"/>
              <w:right w:w="28" w:type="dxa"/>
            </w:tcMar>
          </w:tcPr>
          <w:p w14:paraId="61FE72D7">
            <w:pPr>
              <w:adjustRightInd w:val="0"/>
              <w:snapToGrid w:val="0"/>
              <w:spacing w:line="240" w:lineRule="exact"/>
              <w:rPr>
                <w:kern w:val="0"/>
                <w:sz w:val="18"/>
                <w:szCs w:val="18"/>
              </w:rPr>
            </w:pPr>
            <w:r>
              <w:rPr>
                <w:kern w:val="0"/>
                <w:sz w:val="18"/>
                <w:szCs w:val="18"/>
              </w:rPr>
              <w:t>有效期至：</w:t>
            </w:r>
          </w:p>
        </w:tc>
        <w:tc>
          <w:tcPr>
            <w:tcW w:w="1015" w:type="pct"/>
            <w:shd w:val="clear" w:color="auto" w:fill="auto"/>
            <w:tcMar>
              <w:left w:w="28" w:type="dxa"/>
              <w:right w:w="28" w:type="dxa"/>
            </w:tcMar>
            <w:vAlign w:val="center"/>
          </w:tcPr>
          <w:p w14:paraId="450E2285">
            <w:pPr>
              <w:widowControl/>
              <w:adjustRightInd w:val="0"/>
              <w:snapToGrid w:val="0"/>
              <w:jc w:val="distribute"/>
              <w:rPr>
                <w:rFonts w:hint="default" w:eastAsia="宋体"/>
                <w:kern w:val="0"/>
                <w:sz w:val="18"/>
                <w:szCs w:val="18"/>
                <w:lang w:val="en-US" w:eastAsia="zh-CN"/>
              </w:rPr>
            </w:pPr>
            <w:r>
              <w:rPr>
                <w:rFonts w:hint="default"/>
                <w:kern w:val="0"/>
                <w:sz w:val="18"/>
                <w:szCs w:val="18"/>
                <w:lang w:val="en-US" w:eastAsia="zh-CN"/>
              </w:rPr>
              <w:t>２０２</w:t>
            </w:r>
            <w:del w:id="410" w:author="kylin" w:date="2025-10-17T16:22:33Z">
              <w:r>
                <w:rPr>
                  <w:rFonts w:hint="default"/>
                  <w:kern w:val="0"/>
                  <w:sz w:val="18"/>
                  <w:szCs w:val="18"/>
                  <w:lang w:val="en-US" w:eastAsia="zh-CN"/>
                </w:rPr>
                <w:delText>６</w:delText>
              </w:r>
            </w:del>
            <w:ins w:id="411" w:author="kylin" w:date="2025-10-17T16:22:33Z">
              <w:r>
                <w:rPr>
                  <w:rFonts w:hint="eastAsia"/>
                  <w:kern w:val="0"/>
                  <w:sz w:val="18"/>
                  <w:szCs w:val="18"/>
                  <w:lang w:val="en-US" w:eastAsia="zh-CN"/>
                </w:rPr>
                <w:t>7</w:t>
              </w:r>
            </w:ins>
            <w:r>
              <w:rPr>
                <w:rFonts w:hint="default"/>
                <w:kern w:val="0"/>
                <w:sz w:val="18"/>
                <w:szCs w:val="18"/>
                <w:lang w:val="en-US" w:eastAsia="zh-CN"/>
              </w:rPr>
              <w:t>年１月</w:t>
            </w:r>
          </w:p>
        </w:tc>
      </w:tr>
      <w:tr w14:paraId="531EC7F1">
        <w:tblPrEx>
          <w:tblCellMar>
            <w:top w:w="0" w:type="dxa"/>
            <w:left w:w="108" w:type="dxa"/>
            <w:bottom w:w="0" w:type="dxa"/>
            <w:right w:w="108" w:type="dxa"/>
          </w:tblCellMar>
        </w:tblPrEx>
        <w:trPr>
          <w:jc w:val="center"/>
        </w:trPr>
        <w:tc>
          <w:tcPr>
            <w:tcW w:w="1931" w:type="pct"/>
            <w:gridSpan w:val="4"/>
            <w:shd w:val="clear" w:color="auto" w:fill="auto"/>
            <w:tcMar>
              <w:left w:w="28" w:type="dxa"/>
              <w:right w:w="28" w:type="dxa"/>
            </w:tcMar>
            <w:vAlign w:val="center"/>
          </w:tcPr>
          <w:p w14:paraId="21D7A45F">
            <w:pPr>
              <w:widowControl/>
              <w:adjustRightInd w:val="0"/>
              <w:snapToGrid w:val="0"/>
              <w:jc w:val="left"/>
              <w:rPr>
                <w:kern w:val="0"/>
                <w:sz w:val="18"/>
                <w:szCs w:val="18"/>
              </w:rPr>
            </w:pPr>
            <w:r>
              <w:rPr>
                <w:sz w:val="18"/>
              </w:rPr>
              <w:t>综合机关</w:t>
            </w:r>
            <w:r>
              <w:rPr>
                <w:kern w:val="0"/>
                <w:sz w:val="18"/>
                <w:szCs w:val="18"/>
              </w:rPr>
              <w:t>名称：　</w:t>
            </w:r>
          </w:p>
        </w:tc>
        <w:tc>
          <w:tcPr>
            <w:tcW w:w="1572" w:type="pct"/>
            <w:gridSpan w:val="2"/>
            <w:shd w:val="clear" w:color="auto" w:fill="auto"/>
            <w:noWrap/>
            <w:tcMar>
              <w:left w:w="28" w:type="dxa"/>
              <w:right w:w="28" w:type="dxa"/>
            </w:tcMar>
          </w:tcPr>
          <w:p w14:paraId="1000DEB1">
            <w:pPr>
              <w:adjustRightInd w:val="0"/>
              <w:snapToGrid w:val="0"/>
              <w:rPr>
                <w:kern w:val="0"/>
                <w:sz w:val="18"/>
                <w:szCs w:val="18"/>
              </w:rPr>
            </w:pPr>
            <w:r>
              <w:rPr>
                <w:kern w:val="0"/>
                <w:sz w:val="18"/>
                <w:szCs w:val="18"/>
              </w:rPr>
              <w:t>２０　　年　　　月</w:t>
            </w:r>
          </w:p>
        </w:tc>
        <w:tc>
          <w:tcPr>
            <w:tcW w:w="480" w:type="pct"/>
            <w:shd w:val="clear" w:color="auto" w:fill="auto"/>
            <w:tcMar>
              <w:left w:w="28" w:type="dxa"/>
              <w:right w:w="28" w:type="dxa"/>
            </w:tcMar>
          </w:tcPr>
          <w:p w14:paraId="36220595">
            <w:pPr>
              <w:adjustRightInd w:val="0"/>
              <w:snapToGrid w:val="0"/>
              <w:spacing w:line="240" w:lineRule="exact"/>
              <w:rPr>
                <w:kern w:val="0"/>
                <w:sz w:val="18"/>
                <w:szCs w:val="18"/>
              </w:rPr>
            </w:pPr>
            <w:r>
              <w:rPr>
                <w:kern w:val="0"/>
                <w:sz w:val="18"/>
                <w:szCs w:val="18"/>
              </w:rPr>
              <w:t>计量单位：</w:t>
            </w:r>
          </w:p>
        </w:tc>
        <w:tc>
          <w:tcPr>
            <w:tcW w:w="1015" w:type="pct"/>
            <w:shd w:val="clear" w:color="auto" w:fill="auto"/>
            <w:tcMar>
              <w:left w:w="28" w:type="dxa"/>
              <w:right w:w="28" w:type="dxa"/>
            </w:tcMar>
            <w:vAlign w:val="center"/>
          </w:tcPr>
          <w:p w14:paraId="351E8CC9">
            <w:pPr>
              <w:widowControl/>
              <w:adjustRightInd w:val="0"/>
              <w:snapToGrid w:val="0"/>
              <w:jc w:val="distribute"/>
              <w:rPr>
                <w:kern w:val="0"/>
                <w:sz w:val="18"/>
                <w:szCs w:val="18"/>
              </w:rPr>
            </w:pPr>
            <w:r>
              <w:rPr>
                <w:kern w:val="0"/>
                <w:sz w:val="18"/>
                <w:szCs w:val="18"/>
              </w:rPr>
              <w:t>万立方米</w:t>
            </w:r>
          </w:p>
        </w:tc>
      </w:tr>
    </w:tbl>
    <w:p w14:paraId="06CFF105">
      <w:pPr>
        <w:spacing w:line="40" w:lineRule="exact"/>
      </w:pPr>
    </w:p>
    <w:tbl>
      <w:tblPr>
        <w:tblStyle w:val="20"/>
        <w:tblW w:w="9325" w:type="dxa"/>
        <w:jc w:val="center"/>
        <w:tblLayout w:type="autofit"/>
        <w:tblCellMar>
          <w:top w:w="0" w:type="dxa"/>
          <w:left w:w="108" w:type="dxa"/>
          <w:bottom w:w="0" w:type="dxa"/>
          <w:right w:w="108" w:type="dxa"/>
        </w:tblCellMar>
      </w:tblPr>
      <w:tblGrid>
        <w:gridCol w:w="2582"/>
        <w:gridCol w:w="1164"/>
        <w:gridCol w:w="2769"/>
        <w:gridCol w:w="2810"/>
      </w:tblGrid>
      <w:tr w14:paraId="28BFC71B">
        <w:tblPrEx>
          <w:tblCellMar>
            <w:top w:w="0" w:type="dxa"/>
            <w:left w:w="108" w:type="dxa"/>
            <w:bottom w:w="0" w:type="dxa"/>
            <w:right w:w="108" w:type="dxa"/>
          </w:tblCellMar>
        </w:tblPrEx>
        <w:trPr>
          <w:trHeight w:val="340" w:hRule="atLeast"/>
          <w:jc w:val="center"/>
        </w:trPr>
        <w:tc>
          <w:tcPr>
            <w:tcW w:w="1384" w:type="pct"/>
            <w:vMerge w:val="restart"/>
            <w:tcBorders>
              <w:top w:val="single" w:color="auto" w:sz="8" w:space="0"/>
              <w:left w:val="nil"/>
              <w:right w:val="single" w:color="auto" w:sz="2" w:space="0"/>
            </w:tcBorders>
            <w:shd w:val="clear" w:color="auto" w:fill="auto"/>
            <w:noWrap/>
            <w:vAlign w:val="center"/>
          </w:tcPr>
          <w:p w14:paraId="0D5DDDEF">
            <w:pPr>
              <w:jc w:val="center"/>
              <w:rPr>
                <w:sz w:val="18"/>
                <w:szCs w:val="18"/>
              </w:rPr>
            </w:pPr>
            <w:r>
              <w:rPr>
                <w:sz w:val="18"/>
                <w:szCs w:val="18"/>
              </w:rPr>
              <w:t>指标名称</w:t>
            </w:r>
          </w:p>
        </w:tc>
        <w:tc>
          <w:tcPr>
            <w:tcW w:w="624"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625FD871">
            <w:pPr>
              <w:adjustRightInd w:val="0"/>
              <w:snapToGrid w:val="0"/>
              <w:spacing w:line="260" w:lineRule="atLeast"/>
              <w:jc w:val="center"/>
              <w:rPr>
                <w:kern w:val="0"/>
                <w:sz w:val="18"/>
                <w:szCs w:val="18"/>
              </w:rPr>
            </w:pPr>
            <w:r>
              <w:rPr>
                <w:kern w:val="0"/>
                <w:sz w:val="18"/>
                <w:szCs w:val="18"/>
              </w:rPr>
              <w:t>代码</w:t>
            </w:r>
          </w:p>
        </w:tc>
        <w:tc>
          <w:tcPr>
            <w:tcW w:w="2990" w:type="pct"/>
            <w:gridSpan w:val="2"/>
            <w:tcBorders>
              <w:top w:val="single" w:color="auto" w:sz="8" w:space="0"/>
              <w:left w:val="single" w:color="auto" w:sz="2" w:space="0"/>
              <w:bottom w:val="single" w:color="auto" w:sz="2" w:space="0"/>
            </w:tcBorders>
            <w:shd w:val="clear" w:color="auto" w:fill="auto"/>
            <w:vAlign w:val="center"/>
          </w:tcPr>
          <w:p w14:paraId="1DE848FC">
            <w:pPr>
              <w:widowControl/>
              <w:jc w:val="center"/>
              <w:rPr>
                <w:kern w:val="0"/>
                <w:sz w:val="24"/>
              </w:rPr>
            </w:pPr>
            <w:r>
              <w:rPr>
                <w:kern w:val="0"/>
                <w:sz w:val="18"/>
                <w:szCs w:val="18"/>
              </w:rPr>
              <w:t>销售量</w:t>
            </w:r>
          </w:p>
        </w:tc>
      </w:tr>
      <w:tr w14:paraId="29B74344">
        <w:tblPrEx>
          <w:tblCellMar>
            <w:top w:w="0" w:type="dxa"/>
            <w:left w:w="108" w:type="dxa"/>
            <w:bottom w:w="0" w:type="dxa"/>
            <w:right w:w="108" w:type="dxa"/>
          </w:tblCellMar>
        </w:tblPrEx>
        <w:trPr>
          <w:trHeight w:val="340" w:hRule="atLeast"/>
          <w:jc w:val="center"/>
        </w:trPr>
        <w:tc>
          <w:tcPr>
            <w:tcW w:w="1384" w:type="pct"/>
            <w:vMerge w:val="continue"/>
            <w:tcBorders>
              <w:left w:val="nil"/>
              <w:bottom w:val="single" w:color="auto" w:sz="2" w:space="0"/>
              <w:right w:val="single" w:color="auto" w:sz="2" w:space="0"/>
            </w:tcBorders>
            <w:shd w:val="clear" w:color="auto" w:fill="auto"/>
            <w:noWrap/>
            <w:vAlign w:val="center"/>
          </w:tcPr>
          <w:p w14:paraId="6A01BA8F"/>
        </w:tc>
        <w:tc>
          <w:tcPr>
            <w:tcW w:w="624"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9832FE0">
            <w:pPr>
              <w:adjustRightInd w:val="0"/>
              <w:snapToGrid w:val="0"/>
              <w:spacing w:line="260" w:lineRule="atLeast"/>
              <w:jc w:val="center"/>
              <w:rPr>
                <w:sz w:val="18"/>
                <w:szCs w:val="18"/>
              </w:rPr>
            </w:pPr>
          </w:p>
        </w:tc>
        <w:tc>
          <w:tcPr>
            <w:tcW w:w="1484" w:type="pct"/>
            <w:tcBorders>
              <w:top w:val="single" w:color="auto" w:sz="2" w:space="0"/>
              <w:left w:val="single" w:color="auto" w:sz="2" w:space="0"/>
              <w:bottom w:val="single" w:color="auto" w:sz="2" w:space="0"/>
              <w:right w:val="single" w:color="auto" w:sz="2" w:space="0"/>
            </w:tcBorders>
            <w:shd w:val="clear" w:color="auto" w:fill="auto"/>
            <w:vAlign w:val="center"/>
          </w:tcPr>
          <w:p w14:paraId="314FA838">
            <w:pPr>
              <w:adjustRightInd w:val="0"/>
              <w:snapToGrid w:val="0"/>
              <w:spacing w:line="260" w:lineRule="atLeast"/>
              <w:jc w:val="center"/>
              <w:rPr>
                <w:rFonts w:ascii="宋体" w:hAnsi="宋体"/>
                <w:sz w:val="18"/>
                <w:szCs w:val="18"/>
              </w:rPr>
            </w:pPr>
            <w:r>
              <w:rPr>
                <w:rFonts w:ascii="宋体" w:hAnsi="宋体"/>
                <w:kern w:val="0"/>
                <w:sz w:val="18"/>
                <w:szCs w:val="18"/>
              </w:rPr>
              <w:t>1</w:t>
            </w:r>
            <w:r>
              <w:rPr>
                <w:kern w:val="0"/>
                <w:sz w:val="18"/>
                <w:szCs w:val="18"/>
              </w:rPr>
              <w:t>－</w:t>
            </w:r>
            <w:r>
              <w:rPr>
                <w:rFonts w:ascii="宋体" w:hAnsi="宋体"/>
                <w:kern w:val="0"/>
                <w:sz w:val="18"/>
                <w:szCs w:val="18"/>
              </w:rPr>
              <w:t>本月</w:t>
            </w:r>
          </w:p>
        </w:tc>
        <w:tc>
          <w:tcPr>
            <w:tcW w:w="1506" w:type="pct"/>
            <w:tcBorders>
              <w:top w:val="single" w:color="auto" w:sz="2" w:space="0"/>
              <w:left w:val="single" w:color="auto" w:sz="2" w:space="0"/>
              <w:bottom w:val="single" w:color="auto" w:sz="2" w:space="0"/>
            </w:tcBorders>
            <w:shd w:val="clear" w:color="auto" w:fill="auto"/>
            <w:noWrap/>
            <w:vAlign w:val="center"/>
          </w:tcPr>
          <w:p w14:paraId="0F01CA8B">
            <w:pPr>
              <w:adjustRightInd w:val="0"/>
              <w:snapToGrid w:val="0"/>
              <w:spacing w:line="260" w:lineRule="atLeast"/>
              <w:jc w:val="center"/>
              <w:rPr>
                <w:sz w:val="18"/>
                <w:szCs w:val="18"/>
              </w:rPr>
            </w:pPr>
            <w:r>
              <w:rPr>
                <w:kern w:val="0"/>
                <w:sz w:val="18"/>
                <w:szCs w:val="18"/>
              </w:rPr>
              <w:t>上年同期</w:t>
            </w:r>
          </w:p>
        </w:tc>
      </w:tr>
      <w:tr w14:paraId="4BF8CA5C">
        <w:tblPrEx>
          <w:tblCellMar>
            <w:top w:w="0" w:type="dxa"/>
            <w:left w:w="108" w:type="dxa"/>
            <w:bottom w:w="0" w:type="dxa"/>
            <w:right w:w="108" w:type="dxa"/>
          </w:tblCellMar>
        </w:tblPrEx>
        <w:trPr>
          <w:trHeight w:val="283" w:hRule="atLeast"/>
          <w:jc w:val="center"/>
        </w:trPr>
        <w:tc>
          <w:tcPr>
            <w:tcW w:w="1384" w:type="pct"/>
            <w:tcBorders>
              <w:top w:val="single" w:color="auto" w:sz="2" w:space="0"/>
              <w:left w:val="nil"/>
              <w:bottom w:val="single" w:color="auto" w:sz="2" w:space="0"/>
              <w:right w:val="single" w:color="auto" w:sz="2" w:space="0"/>
            </w:tcBorders>
            <w:shd w:val="clear" w:color="auto" w:fill="auto"/>
            <w:noWrap/>
            <w:vAlign w:val="center"/>
          </w:tcPr>
          <w:p w14:paraId="66F698E7">
            <w:pPr>
              <w:adjustRightInd w:val="0"/>
              <w:snapToGrid w:val="0"/>
              <w:spacing w:line="240" w:lineRule="atLeast"/>
              <w:jc w:val="center"/>
              <w:rPr>
                <w:sz w:val="18"/>
                <w:szCs w:val="18"/>
              </w:rPr>
            </w:pPr>
            <w:r>
              <w:rPr>
                <w:sz w:val="18"/>
                <w:szCs w:val="18"/>
              </w:rPr>
              <w:t>甲</w:t>
            </w:r>
          </w:p>
        </w:tc>
        <w:tc>
          <w:tcPr>
            <w:tcW w:w="624" w:type="pct"/>
            <w:tcBorders>
              <w:top w:val="single" w:color="auto" w:sz="2" w:space="0"/>
              <w:left w:val="single" w:color="auto" w:sz="2" w:space="0"/>
              <w:bottom w:val="single" w:color="auto" w:sz="2" w:space="0"/>
              <w:right w:val="single" w:color="auto" w:sz="2" w:space="0"/>
            </w:tcBorders>
            <w:shd w:val="clear" w:color="auto" w:fill="auto"/>
            <w:vAlign w:val="center"/>
          </w:tcPr>
          <w:p w14:paraId="1865931B">
            <w:pPr>
              <w:adjustRightInd w:val="0"/>
              <w:snapToGrid w:val="0"/>
              <w:spacing w:line="240" w:lineRule="atLeast"/>
              <w:jc w:val="center"/>
              <w:rPr>
                <w:sz w:val="18"/>
                <w:szCs w:val="18"/>
              </w:rPr>
            </w:pPr>
            <w:r>
              <w:rPr>
                <w:sz w:val="18"/>
                <w:szCs w:val="18"/>
              </w:rPr>
              <w:t>乙</w:t>
            </w:r>
          </w:p>
        </w:tc>
        <w:tc>
          <w:tcPr>
            <w:tcW w:w="1484" w:type="pct"/>
            <w:tcBorders>
              <w:top w:val="single" w:color="auto" w:sz="2" w:space="0"/>
              <w:left w:val="single" w:color="auto" w:sz="2" w:space="0"/>
              <w:bottom w:val="single" w:color="auto" w:sz="2" w:space="0"/>
              <w:right w:val="single" w:color="auto" w:sz="2" w:space="0"/>
            </w:tcBorders>
            <w:shd w:val="clear" w:color="auto" w:fill="auto"/>
            <w:vAlign w:val="center"/>
          </w:tcPr>
          <w:p w14:paraId="45E614F4">
            <w:pPr>
              <w:adjustRightInd w:val="0"/>
              <w:snapToGrid w:val="0"/>
              <w:spacing w:line="240" w:lineRule="atLeast"/>
              <w:jc w:val="center"/>
              <w:rPr>
                <w:sz w:val="18"/>
                <w:szCs w:val="18"/>
              </w:rPr>
            </w:pPr>
            <w:r>
              <w:rPr>
                <w:sz w:val="18"/>
                <w:szCs w:val="18"/>
              </w:rPr>
              <w:t>1</w:t>
            </w:r>
          </w:p>
        </w:tc>
        <w:tc>
          <w:tcPr>
            <w:tcW w:w="1506" w:type="pct"/>
            <w:tcBorders>
              <w:top w:val="single" w:color="auto" w:sz="2" w:space="0"/>
              <w:left w:val="single" w:color="auto" w:sz="2" w:space="0"/>
              <w:bottom w:val="single" w:color="auto" w:sz="2" w:space="0"/>
            </w:tcBorders>
            <w:shd w:val="clear" w:color="auto" w:fill="auto"/>
            <w:noWrap/>
            <w:vAlign w:val="center"/>
          </w:tcPr>
          <w:p w14:paraId="038B3270">
            <w:pPr>
              <w:adjustRightInd w:val="0"/>
              <w:snapToGrid w:val="0"/>
              <w:spacing w:line="240" w:lineRule="atLeast"/>
              <w:jc w:val="center"/>
              <w:rPr>
                <w:sz w:val="18"/>
                <w:szCs w:val="18"/>
              </w:rPr>
            </w:pPr>
            <w:r>
              <w:rPr>
                <w:sz w:val="18"/>
                <w:szCs w:val="18"/>
              </w:rPr>
              <w:t>2</w:t>
            </w:r>
          </w:p>
        </w:tc>
      </w:tr>
      <w:tr w14:paraId="28C5B0B4">
        <w:tblPrEx>
          <w:tblCellMar>
            <w:top w:w="0" w:type="dxa"/>
            <w:left w:w="108" w:type="dxa"/>
            <w:bottom w:w="0" w:type="dxa"/>
            <w:right w:w="108" w:type="dxa"/>
          </w:tblCellMar>
        </w:tblPrEx>
        <w:trPr>
          <w:trHeight w:val="255" w:hRule="atLeast"/>
          <w:jc w:val="center"/>
        </w:trPr>
        <w:tc>
          <w:tcPr>
            <w:tcW w:w="1384" w:type="pct"/>
            <w:tcBorders>
              <w:top w:val="single" w:color="auto" w:sz="2" w:space="0"/>
              <w:left w:val="nil"/>
              <w:bottom w:val="nil"/>
              <w:right w:val="single" w:color="auto" w:sz="2" w:space="0"/>
            </w:tcBorders>
            <w:shd w:val="clear" w:color="auto" w:fill="auto"/>
            <w:noWrap/>
            <w:vAlign w:val="center"/>
          </w:tcPr>
          <w:p w14:paraId="1E91315F">
            <w:pPr>
              <w:adjustRightInd w:val="0"/>
              <w:snapToGrid w:val="0"/>
              <w:spacing w:line="260" w:lineRule="atLeast"/>
              <w:rPr>
                <w:sz w:val="18"/>
                <w:szCs w:val="18"/>
              </w:rPr>
            </w:pPr>
            <w:r>
              <w:rPr>
                <w:sz w:val="18"/>
                <w:szCs w:val="18"/>
              </w:rPr>
              <w:t>合计</w:t>
            </w:r>
          </w:p>
        </w:tc>
        <w:tc>
          <w:tcPr>
            <w:tcW w:w="624" w:type="pct"/>
            <w:tcBorders>
              <w:top w:val="single" w:color="auto" w:sz="2" w:space="0"/>
              <w:left w:val="single" w:color="auto" w:sz="2" w:space="0"/>
              <w:bottom w:val="nil"/>
              <w:right w:val="single" w:color="auto" w:sz="2" w:space="0"/>
            </w:tcBorders>
            <w:shd w:val="clear" w:color="auto" w:fill="auto"/>
            <w:vAlign w:val="center"/>
          </w:tcPr>
          <w:p w14:paraId="6AEFF9C5">
            <w:pPr>
              <w:adjustRightInd w:val="0"/>
              <w:snapToGrid w:val="0"/>
              <w:spacing w:line="240" w:lineRule="exact"/>
              <w:jc w:val="center"/>
              <w:rPr>
                <w:sz w:val="18"/>
                <w:szCs w:val="18"/>
              </w:rPr>
            </w:pPr>
            <w:r>
              <w:rPr>
                <w:sz w:val="18"/>
                <w:szCs w:val="18"/>
              </w:rPr>
              <w:t>01</w:t>
            </w:r>
          </w:p>
        </w:tc>
        <w:tc>
          <w:tcPr>
            <w:tcW w:w="2990" w:type="pct"/>
            <w:gridSpan w:val="2"/>
            <w:vMerge w:val="restart"/>
            <w:tcBorders>
              <w:top w:val="single" w:color="auto" w:sz="2" w:space="0"/>
              <w:left w:val="single" w:color="auto" w:sz="2" w:space="0"/>
              <w:right w:val="nil"/>
            </w:tcBorders>
            <w:shd w:val="clear" w:color="auto" w:fill="auto"/>
            <w:vAlign w:val="center"/>
          </w:tcPr>
          <w:p w14:paraId="4BFC8A7B">
            <w:pPr>
              <w:adjustRightInd w:val="0"/>
              <w:snapToGrid w:val="0"/>
              <w:spacing w:line="260" w:lineRule="atLeast"/>
              <w:jc w:val="center"/>
              <w:rPr>
                <w:sz w:val="18"/>
                <w:szCs w:val="18"/>
              </w:rPr>
            </w:pPr>
          </w:p>
        </w:tc>
      </w:tr>
      <w:tr w14:paraId="5C66EB93">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14117861">
            <w:pPr>
              <w:adjustRightInd w:val="0"/>
              <w:snapToGrid w:val="0"/>
              <w:spacing w:line="260" w:lineRule="atLeast"/>
              <w:rPr>
                <w:sz w:val="18"/>
                <w:szCs w:val="18"/>
              </w:rPr>
            </w:pPr>
            <w:r>
              <w:rPr>
                <w:sz w:val="18"/>
                <w:szCs w:val="18"/>
              </w:rPr>
              <w:t>　其中销往：北  京</w:t>
            </w:r>
          </w:p>
        </w:tc>
        <w:tc>
          <w:tcPr>
            <w:tcW w:w="624" w:type="pct"/>
            <w:tcBorders>
              <w:top w:val="nil"/>
              <w:left w:val="single" w:color="auto" w:sz="2" w:space="0"/>
              <w:bottom w:val="nil"/>
              <w:right w:val="single" w:color="auto" w:sz="2" w:space="0"/>
            </w:tcBorders>
            <w:shd w:val="clear" w:color="auto" w:fill="auto"/>
            <w:vAlign w:val="center"/>
          </w:tcPr>
          <w:p w14:paraId="7182C73B">
            <w:pPr>
              <w:adjustRightInd w:val="0"/>
              <w:snapToGrid w:val="0"/>
              <w:spacing w:line="240" w:lineRule="exact"/>
              <w:jc w:val="center"/>
              <w:rPr>
                <w:sz w:val="18"/>
                <w:szCs w:val="18"/>
              </w:rPr>
            </w:pPr>
            <w:r>
              <w:rPr>
                <w:sz w:val="18"/>
                <w:szCs w:val="18"/>
              </w:rPr>
              <w:t>02</w:t>
            </w:r>
          </w:p>
        </w:tc>
        <w:tc>
          <w:tcPr>
            <w:tcW w:w="2990" w:type="pct"/>
            <w:gridSpan w:val="2"/>
            <w:vMerge w:val="continue"/>
            <w:tcBorders>
              <w:left w:val="single" w:color="auto" w:sz="2" w:space="0"/>
              <w:right w:val="nil"/>
            </w:tcBorders>
            <w:shd w:val="clear" w:color="auto" w:fill="auto"/>
            <w:vAlign w:val="center"/>
          </w:tcPr>
          <w:p w14:paraId="5DA461AC">
            <w:pPr>
              <w:adjustRightInd w:val="0"/>
              <w:snapToGrid w:val="0"/>
              <w:spacing w:line="260" w:lineRule="atLeast"/>
              <w:jc w:val="center"/>
              <w:rPr>
                <w:sz w:val="18"/>
                <w:szCs w:val="18"/>
              </w:rPr>
            </w:pPr>
          </w:p>
        </w:tc>
      </w:tr>
      <w:tr w14:paraId="036831E8">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7060A8E4">
            <w:pPr>
              <w:adjustRightInd w:val="0"/>
              <w:snapToGrid w:val="0"/>
              <w:spacing w:line="260" w:lineRule="atLeast"/>
              <w:rPr>
                <w:sz w:val="18"/>
                <w:szCs w:val="18"/>
              </w:rPr>
            </w:pPr>
            <w:r>
              <w:rPr>
                <w:sz w:val="18"/>
                <w:szCs w:val="18"/>
              </w:rPr>
              <w:t>　　　　　　天  津</w:t>
            </w:r>
          </w:p>
        </w:tc>
        <w:tc>
          <w:tcPr>
            <w:tcW w:w="624" w:type="pct"/>
            <w:tcBorders>
              <w:top w:val="nil"/>
              <w:left w:val="single" w:color="auto" w:sz="2" w:space="0"/>
              <w:bottom w:val="nil"/>
              <w:right w:val="single" w:color="auto" w:sz="2" w:space="0"/>
            </w:tcBorders>
            <w:shd w:val="clear" w:color="auto" w:fill="auto"/>
            <w:vAlign w:val="center"/>
          </w:tcPr>
          <w:p w14:paraId="12249739">
            <w:pPr>
              <w:adjustRightInd w:val="0"/>
              <w:snapToGrid w:val="0"/>
              <w:spacing w:line="240" w:lineRule="exact"/>
              <w:jc w:val="center"/>
              <w:rPr>
                <w:sz w:val="18"/>
                <w:szCs w:val="18"/>
              </w:rPr>
            </w:pPr>
            <w:r>
              <w:rPr>
                <w:sz w:val="18"/>
                <w:szCs w:val="18"/>
              </w:rPr>
              <w:t>03</w:t>
            </w:r>
          </w:p>
        </w:tc>
        <w:tc>
          <w:tcPr>
            <w:tcW w:w="2990" w:type="pct"/>
            <w:gridSpan w:val="2"/>
            <w:vMerge w:val="continue"/>
            <w:tcBorders>
              <w:left w:val="single" w:color="auto" w:sz="2" w:space="0"/>
              <w:right w:val="nil"/>
            </w:tcBorders>
            <w:shd w:val="clear" w:color="auto" w:fill="auto"/>
            <w:vAlign w:val="center"/>
          </w:tcPr>
          <w:p w14:paraId="59EC6E51">
            <w:pPr>
              <w:adjustRightInd w:val="0"/>
              <w:snapToGrid w:val="0"/>
              <w:spacing w:line="260" w:lineRule="atLeast"/>
              <w:jc w:val="center"/>
              <w:rPr>
                <w:sz w:val="18"/>
                <w:szCs w:val="18"/>
              </w:rPr>
            </w:pPr>
          </w:p>
        </w:tc>
      </w:tr>
      <w:tr w14:paraId="2E5A37EE">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4E20C8E0">
            <w:pPr>
              <w:adjustRightInd w:val="0"/>
              <w:snapToGrid w:val="0"/>
              <w:spacing w:line="260" w:lineRule="atLeast"/>
              <w:rPr>
                <w:sz w:val="18"/>
                <w:szCs w:val="18"/>
              </w:rPr>
            </w:pPr>
            <w:r>
              <w:rPr>
                <w:sz w:val="18"/>
                <w:szCs w:val="18"/>
              </w:rPr>
              <w:t>　　　　　　河  北</w:t>
            </w:r>
          </w:p>
        </w:tc>
        <w:tc>
          <w:tcPr>
            <w:tcW w:w="624" w:type="pct"/>
            <w:tcBorders>
              <w:top w:val="nil"/>
              <w:left w:val="single" w:color="auto" w:sz="2" w:space="0"/>
              <w:bottom w:val="nil"/>
              <w:right w:val="single" w:color="auto" w:sz="2" w:space="0"/>
            </w:tcBorders>
            <w:shd w:val="clear" w:color="auto" w:fill="auto"/>
            <w:vAlign w:val="center"/>
          </w:tcPr>
          <w:p w14:paraId="5E661C7C">
            <w:pPr>
              <w:adjustRightInd w:val="0"/>
              <w:snapToGrid w:val="0"/>
              <w:spacing w:line="240" w:lineRule="exact"/>
              <w:jc w:val="center"/>
              <w:rPr>
                <w:sz w:val="18"/>
                <w:szCs w:val="18"/>
              </w:rPr>
            </w:pPr>
            <w:r>
              <w:rPr>
                <w:sz w:val="18"/>
                <w:szCs w:val="18"/>
              </w:rPr>
              <w:t>04</w:t>
            </w:r>
          </w:p>
        </w:tc>
        <w:tc>
          <w:tcPr>
            <w:tcW w:w="2990" w:type="pct"/>
            <w:gridSpan w:val="2"/>
            <w:vMerge w:val="continue"/>
            <w:tcBorders>
              <w:left w:val="single" w:color="auto" w:sz="2" w:space="0"/>
              <w:right w:val="nil"/>
            </w:tcBorders>
            <w:shd w:val="clear" w:color="auto" w:fill="auto"/>
            <w:vAlign w:val="center"/>
          </w:tcPr>
          <w:p w14:paraId="6215FA4D">
            <w:pPr>
              <w:adjustRightInd w:val="0"/>
              <w:snapToGrid w:val="0"/>
              <w:spacing w:line="260" w:lineRule="atLeast"/>
              <w:jc w:val="center"/>
              <w:rPr>
                <w:sz w:val="18"/>
                <w:szCs w:val="18"/>
              </w:rPr>
            </w:pPr>
          </w:p>
        </w:tc>
      </w:tr>
      <w:tr w14:paraId="5F191A5A">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1E0538DF">
            <w:pPr>
              <w:adjustRightInd w:val="0"/>
              <w:snapToGrid w:val="0"/>
              <w:spacing w:line="260" w:lineRule="atLeast"/>
              <w:rPr>
                <w:sz w:val="18"/>
                <w:szCs w:val="18"/>
              </w:rPr>
            </w:pPr>
            <w:r>
              <w:rPr>
                <w:sz w:val="18"/>
                <w:szCs w:val="18"/>
              </w:rPr>
              <w:t>　　　　　　山  西</w:t>
            </w:r>
          </w:p>
        </w:tc>
        <w:tc>
          <w:tcPr>
            <w:tcW w:w="624" w:type="pct"/>
            <w:tcBorders>
              <w:top w:val="nil"/>
              <w:left w:val="single" w:color="auto" w:sz="2" w:space="0"/>
              <w:bottom w:val="nil"/>
              <w:right w:val="single" w:color="auto" w:sz="2" w:space="0"/>
            </w:tcBorders>
            <w:shd w:val="clear" w:color="auto" w:fill="auto"/>
            <w:vAlign w:val="center"/>
          </w:tcPr>
          <w:p w14:paraId="77C3264B">
            <w:pPr>
              <w:adjustRightInd w:val="0"/>
              <w:snapToGrid w:val="0"/>
              <w:spacing w:line="240" w:lineRule="exact"/>
              <w:jc w:val="center"/>
              <w:rPr>
                <w:sz w:val="18"/>
                <w:szCs w:val="18"/>
              </w:rPr>
            </w:pPr>
            <w:r>
              <w:rPr>
                <w:sz w:val="18"/>
                <w:szCs w:val="18"/>
              </w:rPr>
              <w:t>05</w:t>
            </w:r>
          </w:p>
        </w:tc>
        <w:tc>
          <w:tcPr>
            <w:tcW w:w="2990" w:type="pct"/>
            <w:gridSpan w:val="2"/>
            <w:vMerge w:val="continue"/>
            <w:tcBorders>
              <w:left w:val="single" w:color="auto" w:sz="2" w:space="0"/>
              <w:right w:val="nil"/>
            </w:tcBorders>
            <w:shd w:val="clear" w:color="auto" w:fill="auto"/>
            <w:vAlign w:val="center"/>
          </w:tcPr>
          <w:p w14:paraId="2B4CCCEA">
            <w:pPr>
              <w:adjustRightInd w:val="0"/>
              <w:snapToGrid w:val="0"/>
              <w:spacing w:line="260" w:lineRule="atLeast"/>
              <w:jc w:val="center"/>
              <w:rPr>
                <w:sz w:val="18"/>
                <w:szCs w:val="18"/>
              </w:rPr>
            </w:pPr>
          </w:p>
        </w:tc>
      </w:tr>
      <w:tr w14:paraId="273F48FE">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0ADF0480">
            <w:pPr>
              <w:adjustRightInd w:val="0"/>
              <w:snapToGrid w:val="0"/>
              <w:spacing w:line="260" w:lineRule="atLeast"/>
              <w:rPr>
                <w:sz w:val="18"/>
                <w:szCs w:val="18"/>
              </w:rPr>
            </w:pPr>
            <w:r>
              <w:rPr>
                <w:sz w:val="18"/>
                <w:szCs w:val="18"/>
              </w:rPr>
              <w:t>　　　　　　内蒙古</w:t>
            </w:r>
          </w:p>
        </w:tc>
        <w:tc>
          <w:tcPr>
            <w:tcW w:w="624" w:type="pct"/>
            <w:tcBorders>
              <w:top w:val="nil"/>
              <w:left w:val="single" w:color="auto" w:sz="2" w:space="0"/>
              <w:bottom w:val="nil"/>
              <w:right w:val="single" w:color="auto" w:sz="2" w:space="0"/>
            </w:tcBorders>
            <w:shd w:val="clear" w:color="auto" w:fill="auto"/>
            <w:vAlign w:val="center"/>
          </w:tcPr>
          <w:p w14:paraId="66EA064F">
            <w:pPr>
              <w:adjustRightInd w:val="0"/>
              <w:snapToGrid w:val="0"/>
              <w:spacing w:line="240" w:lineRule="exact"/>
              <w:jc w:val="center"/>
              <w:rPr>
                <w:sz w:val="18"/>
                <w:szCs w:val="18"/>
              </w:rPr>
            </w:pPr>
            <w:r>
              <w:rPr>
                <w:sz w:val="18"/>
                <w:szCs w:val="18"/>
              </w:rPr>
              <w:t>06</w:t>
            </w:r>
          </w:p>
        </w:tc>
        <w:tc>
          <w:tcPr>
            <w:tcW w:w="2990" w:type="pct"/>
            <w:gridSpan w:val="2"/>
            <w:vMerge w:val="continue"/>
            <w:tcBorders>
              <w:left w:val="single" w:color="auto" w:sz="2" w:space="0"/>
              <w:right w:val="nil"/>
            </w:tcBorders>
            <w:shd w:val="clear" w:color="auto" w:fill="auto"/>
            <w:vAlign w:val="center"/>
          </w:tcPr>
          <w:p w14:paraId="1BDC4BDC">
            <w:pPr>
              <w:adjustRightInd w:val="0"/>
              <w:snapToGrid w:val="0"/>
              <w:spacing w:line="260" w:lineRule="atLeast"/>
              <w:jc w:val="center"/>
              <w:rPr>
                <w:sz w:val="18"/>
                <w:szCs w:val="18"/>
              </w:rPr>
            </w:pPr>
          </w:p>
        </w:tc>
      </w:tr>
      <w:tr w14:paraId="768754E4">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299256BD">
            <w:pPr>
              <w:adjustRightInd w:val="0"/>
              <w:snapToGrid w:val="0"/>
              <w:spacing w:line="260" w:lineRule="atLeast"/>
              <w:rPr>
                <w:sz w:val="18"/>
                <w:szCs w:val="18"/>
              </w:rPr>
            </w:pPr>
            <w:r>
              <w:rPr>
                <w:sz w:val="18"/>
                <w:szCs w:val="18"/>
              </w:rPr>
              <w:t>　　　　　　辽  宁</w:t>
            </w:r>
          </w:p>
        </w:tc>
        <w:tc>
          <w:tcPr>
            <w:tcW w:w="624" w:type="pct"/>
            <w:tcBorders>
              <w:top w:val="nil"/>
              <w:left w:val="single" w:color="auto" w:sz="2" w:space="0"/>
              <w:bottom w:val="nil"/>
              <w:right w:val="single" w:color="auto" w:sz="2" w:space="0"/>
            </w:tcBorders>
            <w:shd w:val="clear" w:color="auto" w:fill="auto"/>
            <w:vAlign w:val="center"/>
          </w:tcPr>
          <w:p w14:paraId="14B824D4">
            <w:pPr>
              <w:adjustRightInd w:val="0"/>
              <w:snapToGrid w:val="0"/>
              <w:spacing w:line="240" w:lineRule="exact"/>
              <w:jc w:val="center"/>
              <w:rPr>
                <w:sz w:val="18"/>
                <w:szCs w:val="18"/>
              </w:rPr>
            </w:pPr>
            <w:r>
              <w:rPr>
                <w:sz w:val="18"/>
                <w:szCs w:val="18"/>
              </w:rPr>
              <w:t>07</w:t>
            </w:r>
          </w:p>
        </w:tc>
        <w:tc>
          <w:tcPr>
            <w:tcW w:w="2990" w:type="pct"/>
            <w:gridSpan w:val="2"/>
            <w:vMerge w:val="continue"/>
            <w:tcBorders>
              <w:left w:val="single" w:color="auto" w:sz="2" w:space="0"/>
              <w:right w:val="nil"/>
            </w:tcBorders>
            <w:shd w:val="clear" w:color="auto" w:fill="auto"/>
            <w:vAlign w:val="center"/>
          </w:tcPr>
          <w:p w14:paraId="17DA4749">
            <w:pPr>
              <w:adjustRightInd w:val="0"/>
              <w:snapToGrid w:val="0"/>
              <w:spacing w:line="260" w:lineRule="atLeast"/>
              <w:jc w:val="center"/>
              <w:rPr>
                <w:sz w:val="18"/>
                <w:szCs w:val="18"/>
              </w:rPr>
            </w:pPr>
          </w:p>
        </w:tc>
      </w:tr>
      <w:tr w14:paraId="0E7F6B3E">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7DF50A72">
            <w:pPr>
              <w:adjustRightInd w:val="0"/>
              <w:snapToGrid w:val="0"/>
              <w:spacing w:line="260" w:lineRule="atLeast"/>
              <w:rPr>
                <w:sz w:val="18"/>
                <w:szCs w:val="18"/>
              </w:rPr>
            </w:pPr>
            <w:r>
              <w:rPr>
                <w:sz w:val="18"/>
                <w:szCs w:val="18"/>
              </w:rPr>
              <w:t>　　　　　　吉  林</w:t>
            </w:r>
          </w:p>
        </w:tc>
        <w:tc>
          <w:tcPr>
            <w:tcW w:w="624" w:type="pct"/>
            <w:tcBorders>
              <w:top w:val="nil"/>
              <w:left w:val="single" w:color="auto" w:sz="2" w:space="0"/>
              <w:bottom w:val="nil"/>
              <w:right w:val="single" w:color="auto" w:sz="2" w:space="0"/>
            </w:tcBorders>
            <w:shd w:val="clear" w:color="auto" w:fill="auto"/>
            <w:vAlign w:val="center"/>
          </w:tcPr>
          <w:p w14:paraId="4FC00E41">
            <w:pPr>
              <w:adjustRightInd w:val="0"/>
              <w:snapToGrid w:val="0"/>
              <w:spacing w:line="240" w:lineRule="exact"/>
              <w:jc w:val="center"/>
              <w:rPr>
                <w:sz w:val="18"/>
                <w:szCs w:val="18"/>
              </w:rPr>
            </w:pPr>
            <w:r>
              <w:rPr>
                <w:sz w:val="18"/>
                <w:szCs w:val="18"/>
              </w:rPr>
              <w:t>08</w:t>
            </w:r>
          </w:p>
        </w:tc>
        <w:tc>
          <w:tcPr>
            <w:tcW w:w="2990" w:type="pct"/>
            <w:gridSpan w:val="2"/>
            <w:vMerge w:val="continue"/>
            <w:tcBorders>
              <w:left w:val="single" w:color="auto" w:sz="2" w:space="0"/>
              <w:right w:val="nil"/>
            </w:tcBorders>
            <w:shd w:val="clear" w:color="auto" w:fill="auto"/>
            <w:vAlign w:val="center"/>
          </w:tcPr>
          <w:p w14:paraId="4B1519E2">
            <w:pPr>
              <w:adjustRightInd w:val="0"/>
              <w:snapToGrid w:val="0"/>
              <w:spacing w:line="260" w:lineRule="atLeast"/>
              <w:jc w:val="center"/>
              <w:rPr>
                <w:sz w:val="18"/>
                <w:szCs w:val="18"/>
              </w:rPr>
            </w:pPr>
          </w:p>
        </w:tc>
      </w:tr>
      <w:tr w14:paraId="370F0FBC">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5C376C23">
            <w:pPr>
              <w:adjustRightInd w:val="0"/>
              <w:snapToGrid w:val="0"/>
              <w:spacing w:line="260" w:lineRule="atLeast"/>
              <w:rPr>
                <w:sz w:val="18"/>
                <w:szCs w:val="18"/>
              </w:rPr>
            </w:pPr>
            <w:r>
              <w:rPr>
                <w:sz w:val="18"/>
                <w:szCs w:val="18"/>
              </w:rPr>
              <w:t>　　　　　　黑龙江</w:t>
            </w:r>
          </w:p>
        </w:tc>
        <w:tc>
          <w:tcPr>
            <w:tcW w:w="624" w:type="pct"/>
            <w:tcBorders>
              <w:top w:val="nil"/>
              <w:left w:val="single" w:color="auto" w:sz="2" w:space="0"/>
              <w:bottom w:val="nil"/>
              <w:right w:val="single" w:color="auto" w:sz="2" w:space="0"/>
            </w:tcBorders>
            <w:shd w:val="clear" w:color="auto" w:fill="auto"/>
            <w:vAlign w:val="center"/>
          </w:tcPr>
          <w:p w14:paraId="6E20D7B8">
            <w:pPr>
              <w:adjustRightInd w:val="0"/>
              <w:snapToGrid w:val="0"/>
              <w:spacing w:line="240" w:lineRule="exact"/>
              <w:jc w:val="center"/>
              <w:rPr>
                <w:sz w:val="18"/>
                <w:szCs w:val="18"/>
              </w:rPr>
            </w:pPr>
            <w:r>
              <w:rPr>
                <w:sz w:val="18"/>
                <w:szCs w:val="18"/>
              </w:rPr>
              <w:t>09</w:t>
            </w:r>
          </w:p>
        </w:tc>
        <w:tc>
          <w:tcPr>
            <w:tcW w:w="2990" w:type="pct"/>
            <w:gridSpan w:val="2"/>
            <w:vMerge w:val="continue"/>
            <w:tcBorders>
              <w:left w:val="single" w:color="auto" w:sz="2" w:space="0"/>
              <w:right w:val="nil"/>
            </w:tcBorders>
            <w:shd w:val="clear" w:color="auto" w:fill="auto"/>
            <w:vAlign w:val="center"/>
          </w:tcPr>
          <w:p w14:paraId="37499356">
            <w:pPr>
              <w:adjustRightInd w:val="0"/>
              <w:snapToGrid w:val="0"/>
              <w:spacing w:line="260" w:lineRule="atLeast"/>
              <w:jc w:val="center"/>
              <w:rPr>
                <w:sz w:val="18"/>
                <w:szCs w:val="18"/>
              </w:rPr>
            </w:pPr>
          </w:p>
        </w:tc>
      </w:tr>
      <w:tr w14:paraId="60499DB6">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7F551650">
            <w:pPr>
              <w:adjustRightInd w:val="0"/>
              <w:snapToGrid w:val="0"/>
              <w:spacing w:line="260" w:lineRule="atLeast"/>
              <w:rPr>
                <w:sz w:val="18"/>
                <w:szCs w:val="18"/>
              </w:rPr>
            </w:pPr>
            <w:r>
              <w:rPr>
                <w:sz w:val="18"/>
                <w:szCs w:val="18"/>
              </w:rPr>
              <w:t>　　　　　　上  海</w:t>
            </w:r>
          </w:p>
        </w:tc>
        <w:tc>
          <w:tcPr>
            <w:tcW w:w="624" w:type="pct"/>
            <w:tcBorders>
              <w:top w:val="nil"/>
              <w:left w:val="single" w:color="auto" w:sz="2" w:space="0"/>
              <w:bottom w:val="nil"/>
              <w:right w:val="single" w:color="auto" w:sz="2" w:space="0"/>
            </w:tcBorders>
            <w:shd w:val="clear" w:color="auto" w:fill="auto"/>
            <w:vAlign w:val="center"/>
          </w:tcPr>
          <w:p w14:paraId="0AA7D1E2">
            <w:pPr>
              <w:adjustRightInd w:val="0"/>
              <w:snapToGrid w:val="0"/>
              <w:spacing w:line="240" w:lineRule="exact"/>
              <w:jc w:val="center"/>
              <w:rPr>
                <w:sz w:val="18"/>
                <w:szCs w:val="18"/>
              </w:rPr>
            </w:pPr>
            <w:r>
              <w:rPr>
                <w:sz w:val="18"/>
                <w:szCs w:val="18"/>
              </w:rPr>
              <w:t>10</w:t>
            </w:r>
          </w:p>
        </w:tc>
        <w:tc>
          <w:tcPr>
            <w:tcW w:w="2990" w:type="pct"/>
            <w:gridSpan w:val="2"/>
            <w:vMerge w:val="continue"/>
            <w:tcBorders>
              <w:left w:val="single" w:color="auto" w:sz="2" w:space="0"/>
              <w:right w:val="nil"/>
            </w:tcBorders>
            <w:shd w:val="clear" w:color="auto" w:fill="auto"/>
            <w:vAlign w:val="center"/>
          </w:tcPr>
          <w:p w14:paraId="54299931">
            <w:pPr>
              <w:adjustRightInd w:val="0"/>
              <w:snapToGrid w:val="0"/>
              <w:spacing w:line="260" w:lineRule="atLeast"/>
              <w:jc w:val="center"/>
              <w:rPr>
                <w:sz w:val="18"/>
                <w:szCs w:val="18"/>
              </w:rPr>
            </w:pPr>
          </w:p>
        </w:tc>
      </w:tr>
      <w:tr w14:paraId="07E8AFD1">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09D22BA0">
            <w:pPr>
              <w:adjustRightInd w:val="0"/>
              <w:snapToGrid w:val="0"/>
              <w:spacing w:line="260" w:lineRule="atLeast"/>
              <w:rPr>
                <w:sz w:val="18"/>
                <w:szCs w:val="18"/>
              </w:rPr>
            </w:pPr>
            <w:r>
              <w:rPr>
                <w:sz w:val="18"/>
                <w:szCs w:val="18"/>
              </w:rPr>
              <w:t>　　　　　　江  苏</w:t>
            </w:r>
          </w:p>
        </w:tc>
        <w:tc>
          <w:tcPr>
            <w:tcW w:w="624" w:type="pct"/>
            <w:tcBorders>
              <w:top w:val="nil"/>
              <w:left w:val="single" w:color="auto" w:sz="2" w:space="0"/>
              <w:bottom w:val="nil"/>
              <w:right w:val="single" w:color="auto" w:sz="2" w:space="0"/>
            </w:tcBorders>
            <w:shd w:val="clear" w:color="auto" w:fill="auto"/>
            <w:vAlign w:val="center"/>
          </w:tcPr>
          <w:p w14:paraId="7D4E4FC9">
            <w:pPr>
              <w:adjustRightInd w:val="0"/>
              <w:snapToGrid w:val="0"/>
              <w:spacing w:line="240" w:lineRule="exact"/>
              <w:jc w:val="center"/>
              <w:rPr>
                <w:sz w:val="18"/>
                <w:szCs w:val="18"/>
              </w:rPr>
            </w:pPr>
            <w:r>
              <w:rPr>
                <w:sz w:val="18"/>
                <w:szCs w:val="18"/>
              </w:rPr>
              <w:t>11</w:t>
            </w:r>
          </w:p>
        </w:tc>
        <w:tc>
          <w:tcPr>
            <w:tcW w:w="2990" w:type="pct"/>
            <w:gridSpan w:val="2"/>
            <w:vMerge w:val="continue"/>
            <w:tcBorders>
              <w:left w:val="single" w:color="auto" w:sz="2" w:space="0"/>
              <w:right w:val="nil"/>
            </w:tcBorders>
            <w:shd w:val="clear" w:color="auto" w:fill="auto"/>
            <w:vAlign w:val="center"/>
          </w:tcPr>
          <w:p w14:paraId="630F4EC0">
            <w:pPr>
              <w:adjustRightInd w:val="0"/>
              <w:snapToGrid w:val="0"/>
              <w:spacing w:line="260" w:lineRule="atLeast"/>
              <w:jc w:val="center"/>
              <w:rPr>
                <w:sz w:val="18"/>
                <w:szCs w:val="18"/>
              </w:rPr>
            </w:pPr>
          </w:p>
        </w:tc>
      </w:tr>
      <w:tr w14:paraId="4762098C">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17BD34F6">
            <w:pPr>
              <w:adjustRightInd w:val="0"/>
              <w:snapToGrid w:val="0"/>
              <w:spacing w:line="260" w:lineRule="atLeast"/>
              <w:rPr>
                <w:sz w:val="18"/>
                <w:szCs w:val="18"/>
              </w:rPr>
            </w:pPr>
            <w:r>
              <w:rPr>
                <w:sz w:val="18"/>
                <w:szCs w:val="18"/>
              </w:rPr>
              <w:t>　　　　　　浙  江</w:t>
            </w:r>
          </w:p>
        </w:tc>
        <w:tc>
          <w:tcPr>
            <w:tcW w:w="624" w:type="pct"/>
            <w:tcBorders>
              <w:top w:val="nil"/>
              <w:left w:val="single" w:color="auto" w:sz="2" w:space="0"/>
              <w:bottom w:val="nil"/>
              <w:right w:val="single" w:color="auto" w:sz="2" w:space="0"/>
            </w:tcBorders>
            <w:shd w:val="clear" w:color="auto" w:fill="auto"/>
            <w:vAlign w:val="center"/>
          </w:tcPr>
          <w:p w14:paraId="103EBB32">
            <w:pPr>
              <w:adjustRightInd w:val="0"/>
              <w:snapToGrid w:val="0"/>
              <w:spacing w:line="240" w:lineRule="exact"/>
              <w:jc w:val="center"/>
              <w:rPr>
                <w:sz w:val="18"/>
                <w:szCs w:val="18"/>
              </w:rPr>
            </w:pPr>
            <w:r>
              <w:rPr>
                <w:sz w:val="18"/>
                <w:szCs w:val="18"/>
              </w:rPr>
              <w:t>12</w:t>
            </w:r>
          </w:p>
        </w:tc>
        <w:tc>
          <w:tcPr>
            <w:tcW w:w="2990" w:type="pct"/>
            <w:gridSpan w:val="2"/>
            <w:vMerge w:val="continue"/>
            <w:tcBorders>
              <w:left w:val="single" w:color="auto" w:sz="2" w:space="0"/>
              <w:right w:val="nil"/>
            </w:tcBorders>
            <w:shd w:val="clear" w:color="auto" w:fill="auto"/>
            <w:vAlign w:val="center"/>
          </w:tcPr>
          <w:p w14:paraId="21A7283F">
            <w:pPr>
              <w:adjustRightInd w:val="0"/>
              <w:snapToGrid w:val="0"/>
              <w:spacing w:line="260" w:lineRule="atLeast"/>
              <w:jc w:val="center"/>
              <w:rPr>
                <w:sz w:val="18"/>
                <w:szCs w:val="18"/>
              </w:rPr>
            </w:pPr>
          </w:p>
        </w:tc>
      </w:tr>
      <w:tr w14:paraId="4FE43C26">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5A8C9E51">
            <w:pPr>
              <w:adjustRightInd w:val="0"/>
              <w:snapToGrid w:val="0"/>
              <w:spacing w:line="260" w:lineRule="atLeast"/>
              <w:rPr>
                <w:sz w:val="18"/>
                <w:szCs w:val="18"/>
              </w:rPr>
            </w:pPr>
            <w:r>
              <w:rPr>
                <w:sz w:val="18"/>
                <w:szCs w:val="18"/>
              </w:rPr>
              <w:t>　　　　　　安  徽</w:t>
            </w:r>
          </w:p>
        </w:tc>
        <w:tc>
          <w:tcPr>
            <w:tcW w:w="624" w:type="pct"/>
            <w:tcBorders>
              <w:top w:val="nil"/>
              <w:left w:val="single" w:color="auto" w:sz="2" w:space="0"/>
              <w:bottom w:val="nil"/>
              <w:right w:val="single" w:color="auto" w:sz="2" w:space="0"/>
            </w:tcBorders>
            <w:shd w:val="clear" w:color="auto" w:fill="auto"/>
            <w:vAlign w:val="center"/>
          </w:tcPr>
          <w:p w14:paraId="51CD34AF">
            <w:pPr>
              <w:adjustRightInd w:val="0"/>
              <w:snapToGrid w:val="0"/>
              <w:spacing w:line="240" w:lineRule="exact"/>
              <w:jc w:val="center"/>
              <w:rPr>
                <w:sz w:val="18"/>
                <w:szCs w:val="18"/>
              </w:rPr>
            </w:pPr>
            <w:r>
              <w:rPr>
                <w:sz w:val="18"/>
                <w:szCs w:val="18"/>
              </w:rPr>
              <w:t>13</w:t>
            </w:r>
          </w:p>
        </w:tc>
        <w:tc>
          <w:tcPr>
            <w:tcW w:w="2990" w:type="pct"/>
            <w:gridSpan w:val="2"/>
            <w:vMerge w:val="continue"/>
            <w:tcBorders>
              <w:left w:val="single" w:color="auto" w:sz="2" w:space="0"/>
              <w:right w:val="nil"/>
            </w:tcBorders>
            <w:shd w:val="clear" w:color="auto" w:fill="auto"/>
            <w:vAlign w:val="center"/>
          </w:tcPr>
          <w:p w14:paraId="586AF0DC">
            <w:pPr>
              <w:adjustRightInd w:val="0"/>
              <w:snapToGrid w:val="0"/>
              <w:spacing w:line="260" w:lineRule="atLeast"/>
              <w:jc w:val="center"/>
              <w:rPr>
                <w:sz w:val="18"/>
                <w:szCs w:val="18"/>
              </w:rPr>
            </w:pPr>
          </w:p>
        </w:tc>
      </w:tr>
      <w:tr w14:paraId="121C91FA">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339B55DD">
            <w:pPr>
              <w:adjustRightInd w:val="0"/>
              <w:snapToGrid w:val="0"/>
              <w:spacing w:line="260" w:lineRule="atLeast"/>
              <w:rPr>
                <w:sz w:val="18"/>
                <w:szCs w:val="18"/>
              </w:rPr>
            </w:pPr>
            <w:r>
              <w:rPr>
                <w:sz w:val="18"/>
                <w:szCs w:val="18"/>
              </w:rPr>
              <w:t>　　　　　　福  建</w:t>
            </w:r>
          </w:p>
        </w:tc>
        <w:tc>
          <w:tcPr>
            <w:tcW w:w="624" w:type="pct"/>
            <w:tcBorders>
              <w:top w:val="nil"/>
              <w:left w:val="single" w:color="auto" w:sz="2" w:space="0"/>
              <w:bottom w:val="nil"/>
              <w:right w:val="single" w:color="auto" w:sz="2" w:space="0"/>
            </w:tcBorders>
            <w:shd w:val="clear" w:color="auto" w:fill="auto"/>
            <w:vAlign w:val="center"/>
          </w:tcPr>
          <w:p w14:paraId="2B5B1E02">
            <w:pPr>
              <w:adjustRightInd w:val="0"/>
              <w:snapToGrid w:val="0"/>
              <w:spacing w:line="240" w:lineRule="exact"/>
              <w:jc w:val="center"/>
              <w:rPr>
                <w:sz w:val="18"/>
                <w:szCs w:val="18"/>
              </w:rPr>
            </w:pPr>
            <w:r>
              <w:rPr>
                <w:sz w:val="18"/>
                <w:szCs w:val="18"/>
              </w:rPr>
              <w:t>14</w:t>
            </w:r>
          </w:p>
        </w:tc>
        <w:tc>
          <w:tcPr>
            <w:tcW w:w="2990" w:type="pct"/>
            <w:gridSpan w:val="2"/>
            <w:vMerge w:val="continue"/>
            <w:tcBorders>
              <w:left w:val="single" w:color="auto" w:sz="2" w:space="0"/>
              <w:right w:val="nil"/>
            </w:tcBorders>
            <w:shd w:val="clear" w:color="auto" w:fill="auto"/>
            <w:vAlign w:val="center"/>
          </w:tcPr>
          <w:p w14:paraId="73F2D963">
            <w:pPr>
              <w:adjustRightInd w:val="0"/>
              <w:snapToGrid w:val="0"/>
              <w:spacing w:line="260" w:lineRule="atLeast"/>
              <w:jc w:val="center"/>
              <w:rPr>
                <w:sz w:val="18"/>
                <w:szCs w:val="18"/>
              </w:rPr>
            </w:pPr>
          </w:p>
        </w:tc>
      </w:tr>
      <w:tr w14:paraId="58B8922D">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2D06D281">
            <w:pPr>
              <w:adjustRightInd w:val="0"/>
              <w:snapToGrid w:val="0"/>
              <w:spacing w:line="260" w:lineRule="atLeast"/>
              <w:rPr>
                <w:sz w:val="18"/>
                <w:szCs w:val="18"/>
              </w:rPr>
            </w:pPr>
            <w:r>
              <w:rPr>
                <w:sz w:val="18"/>
                <w:szCs w:val="18"/>
              </w:rPr>
              <w:t>　　　　　　江  西</w:t>
            </w:r>
          </w:p>
        </w:tc>
        <w:tc>
          <w:tcPr>
            <w:tcW w:w="624" w:type="pct"/>
            <w:tcBorders>
              <w:top w:val="nil"/>
              <w:left w:val="single" w:color="auto" w:sz="2" w:space="0"/>
              <w:bottom w:val="nil"/>
              <w:right w:val="single" w:color="auto" w:sz="2" w:space="0"/>
            </w:tcBorders>
            <w:shd w:val="clear" w:color="auto" w:fill="auto"/>
            <w:vAlign w:val="center"/>
          </w:tcPr>
          <w:p w14:paraId="45B12DFC">
            <w:pPr>
              <w:adjustRightInd w:val="0"/>
              <w:snapToGrid w:val="0"/>
              <w:spacing w:line="240" w:lineRule="exact"/>
              <w:jc w:val="center"/>
              <w:rPr>
                <w:sz w:val="18"/>
                <w:szCs w:val="18"/>
              </w:rPr>
            </w:pPr>
            <w:r>
              <w:rPr>
                <w:sz w:val="18"/>
                <w:szCs w:val="18"/>
              </w:rPr>
              <w:t>15</w:t>
            </w:r>
          </w:p>
        </w:tc>
        <w:tc>
          <w:tcPr>
            <w:tcW w:w="2990" w:type="pct"/>
            <w:gridSpan w:val="2"/>
            <w:vMerge w:val="continue"/>
            <w:tcBorders>
              <w:left w:val="single" w:color="auto" w:sz="2" w:space="0"/>
              <w:right w:val="nil"/>
            </w:tcBorders>
            <w:shd w:val="clear" w:color="auto" w:fill="auto"/>
            <w:vAlign w:val="center"/>
          </w:tcPr>
          <w:p w14:paraId="7CDCAEF1">
            <w:pPr>
              <w:adjustRightInd w:val="0"/>
              <w:snapToGrid w:val="0"/>
              <w:spacing w:line="260" w:lineRule="atLeast"/>
              <w:jc w:val="center"/>
              <w:rPr>
                <w:sz w:val="18"/>
                <w:szCs w:val="18"/>
              </w:rPr>
            </w:pPr>
          </w:p>
        </w:tc>
      </w:tr>
      <w:tr w14:paraId="2D5CB693">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23DC1AE3">
            <w:pPr>
              <w:adjustRightInd w:val="0"/>
              <w:snapToGrid w:val="0"/>
              <w:spacing w:line="260" w:lineRule="atLeast"/>
              <w:rPr>
                <w:sz w:val="18"/>
                <w:szCs w:val="18"/>
              </w:rPr>
            </w:pPr>
            <w:r>
              <w:rPr>
                <w:sz w:val="18"/>
                <w:szCs w:val="18"/>
              </w:rPr>
              <w:t>　　　　　　山  东</w:t>
            </w:r>
          </w:p>
        </w:tc>
        <w:tc>
          <w:tcPr>
            <w:tcW w:w="624" w:type="pct"/>
            <w:tcBorders>
              <w:top w:val="nil"/>
              <w:left w:val="single" w:color="auto" w:sz="2" w:space="0"/>
              <w:bottom w:val="nil"/>
              <w:right w:val="single" w:color="auto" w:sz="2" w:space="0"/>
            </w:tcBorders>
            <w:shd w:val="clear" w:color="auto" w:fill="auto"/>
            <w:vAlign w:val="center"/>
          </w:tcPr>
          <w:p w14:paraId="795409A5">
            <w:pPr>
              <w:adjustRightInd w:val="0"/>
              <w:snapToGrid w:val="0"/>
              <w:spacing w:line="240" w:lineRule="exact"/>
              <w:jc w:val="center"/>
              <w:rPr>
                <w:sz w:val="18"/>
                <w:szCs w:val="18"/>
              </w:rPr>
            </w:pPr>
            <w:r>
              <w:rPr>
                <w:sz w:val="18"/>
                <w:szCs w:val="18"/>
              </w:rPr>
              <w:t>16</w:t>
            </w:r>
          </w:p>
        </w:tc>
        <w:tc>
          <w:tcPr>
            <w:tcW w:w="2990" w:type="pct"/>
            <w:gridSpan w:val="2"/>
            <w:vMerge w:val="continue"/>
            <w:tcBorders>
              <w:left w:val="single" w:color="auto" w:sz="2" w:space="0"/>
              <w:right w:val="nil"/>
            </w:tcBorders>
            <w:shd w:val="clear" w:color="auto" w:fill="auto"/>
            <w:vAlign w:val="center"/>
          </w:tcPr>
          <w:p w14:paraId="44B2EB2C">
            <w:pPr>
              <w:adjustRightInd w:val="0"/>
              <w:snapToGrid w:val="0"/>
              <w:spacing w:line="260" w:lineRule="atLeast"/>
              <w:jc w:val="center"/>
              <w:rPr>
                <w:sz w:val="18"/>
                <w:szCs w:val="18"/>
              </w:rPr>
            </w:pPr>
          </w:p>
        </w:tc>
      </w:tr>
      <w:tr w14:paraId="16E45E61">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47F2C476">
            <w:pPr>
              <w:adjustRightInd w:val="0"/>
              <w:snapToGrid w:val="0"/>
              <w:spacing w:line="260" w:lineRule="atLeast"/>
              <w:rPr>
                <w:sz w:val="18"/>
                <w:szCs w:val="18"/>
              </w:rPr>
            </w:pPr>
            <w:r>
              <w:rPr>
                <w:sz w:val="18"/>
                <w:szCs w:val="18"/>
              </w:rPr>
              <w:t>　　　　　　河  南</w:t>
            </w:r>
          </w:p>
        </w:tc>
        <w:tc>
          <w:tcPr>
            <w:tcW w:w="624" w:type="pct"/>
            <w:tcBorders>
              <w:top w:val="nil"/>
              <w:left w:val="single" w:color="auto" w:sz="2" w:space="0"/>
              <w:bottom w:val="nil"/>
              <w:right w:val="single" w:color="auto" w:sz="2" w:space="0"/>
            </w:tcBorders>
            <w:shd w:val="clear" w:color="auto" w:fill="auto"/>
            <w:vAlign w:val="center"/>
          </w:tcPr>
          <w:p w14:paraId="52420A7C">
            <w:pPr>
              <w:adjustRightInd w:val="0"/>
              <w:snapToGrid w:val="0"/>
              <w:spacing w:line="240" w:lineRule="exact"/>
              <w:jc w:val="center"/>
              <w:rPr>
                <w:sz w:val="18"/>
                <w:szCs w:val="18"/>
              </w:rPr>
            </w:pPr>
            <w:r>
              <w:rPr>
                <w:sz w:val="18"/>
                <w:szCs w:val="18"/>
              </w:rPr>
              <w:t>17</w:t>
            </w:r>
          </w:p>
        </w:tc>
        <w:tc>
          <w:tcPr>
            <w:tcW w:w="2990" w:type="pct"/>
            <w:gridSpan w:val="2"/>
            <w:vMerge w:val="continue"/>
            <w:tcBorders>
              <w:left w:val="single" w:color="auto" w:sz="2" w:space="0"/>
              <w:right w:val="nil"/>
            </w:tcBorders>
            <w:shd w:val="clear" w:color="auto" w:fill="auto"/>
            <w:vAlign w:val="center"/>
          </w:tcPr>
          <w:p w14:paraId="70EC4279">
            <w:pPr>
              <w:adjustRightInd w:val="0"/>
              <w:snapToGrid w:val="0"/>
              <w:spacing w:line="260" w:lineRule="atLeast"/>
              <w:jc w:val="center"/>
              <w:rPr>
                <w:sz w:val="18"/>
                <w:szCs w:val="18"/>
              </w:rPr>
            </w:pPr>
          </w:p>
        </w:tc>
      </w:tr>
      <w:tr w14:paraId="6C27D372">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5C48496E">
            <w:pPr>
              <w:adjustRightInd w:val="0"/>
              <w:snapToGrid w:val="0"/>
              <w:spacing w:line="260" w:lineRule="atLeast"/>
              <w:rPr>
                <w:sz w:val="18"/>
                <w:szCs w:val="18"/>
              </w:rPr>
            </w:pPr>
            <w:r>
              <w:rPr>
                <w:sz w:val="18"/>
                <w:szCs w:val="18"/>
              </w:rPr>
              <w:t>　　　　　　湖  北</w:t>
            </w:r>
          </w:p>
        </w:tc>
        <w:tc>
          <w:tcPr>
            <w:tcW w:w="624" w:type="pct"/>
            <w:tcBorders>
              <w:top w:val="nil"/>
              <w:left w:val="single" w:color="auto" w:sz="2" w:space="0"/>
              <w:bottom w:val="nil"/>
              <w:right w:val="single" w:color="auto" w:sz="2" w:space="0"/>
            </w:tcBorders>
            <w:shd w:val="clear" w:color="auto" w:fill="auto"/>
            <w:vAlign w:val="center"/>
          </w:tcPr>
          <w:p w14:paraId="65BE2CE5">
            <w:pPr>
              <w:adjustRightInd w:val="0"/>
              <w:snapToGrid w:val="0"/>
              <w:spacing w:line="240" w:lineRule="exact"/>
              <w:jc w:val="center"/>
              <w:rPr>
                <w:sz w:val="18"/>
                <w:szCs w:val="18"/>
              </w:rPr>
            </w:pPr>
            <w:r>
              <w:rPr>
                <w:sz w:val="18"/>
                <w:szCs w:val="18"/>
              </w:rPr>
              <w:t>18</w:t>
            </w:r>
          </w:p>
        </w:tc>
        <w:tc>
          <w:tcPr>
            <w:tcW w:w="2990" w:type="pct"/>
            <w:gridSpan w:val="2"/>
            <w:vMerge w:val="continue"/>
            <w:tcBorders>
              <w:left w:val="single" w:color="auto" w:sz="2" w:space="0"/>
              <w:right w:val="nil"/>
            </w:tcBorders>
            <w:shd w:val="clear" w:color="auto" w:fill="auto"/>
            <w:vAlign w:val="center"/>
          </w:tcPr>
          <w:p w14:paraId="57E7AA5D">
            <w:pPr>
              <w:adjustRightInd w:val="0"/>
              <w:snapToGrid w:val="0"/>
              <w:spacing w:line="260" w:lineRule="atLeast"/>
              <w:jc w:val="center"/>
              <w:rPr>
                <w:sz w:val="18"/>
                <w:szCs w:val="18"/>
              </w:rPr>
            </w:pPr>
          </w:p>
        </w:tc>
      </w:tr>
      <w:tr w14:paraId="6ACC31BF">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36BF1D54">
            <w:pPr>
              <w:adjustRightInd w:val="0"/>
              <w:snapToGrid w:val="0"/>
              <w:spacing w:line="260" w:lineRule="atLeast"/>
              <w:rPr>
                <w:sz w:val="18"/>
                <w:szCs w:val="18"/>
              </w:rPr>
            </w:pPr>
            <w:r>
              <w:rPr>
                <w:sz w:val="18"/>
                <w:szCs w:val="18"/>
              </w:rPr>
              <w:t>　　　　　　湖  南</w:t>
            </w:r>
          </w:p>
        </w:tc>
        <w:tc>
          <w:tcPr>
            <w:tcW w:w="624" w:type="pct"/>
            <w:tcBorders>
              <w:top w:val="nil"/>
              <w:left w:val="single" w:color="auto" w:sz="2" w:space="0"/>
              <w:bottom w:val="nil"/>
              <w:right w:val="single" w:color="auto" w:sz="2" w:space="0"/>
            </w:tcBorders>
            <w:shd w:val="clear" w:color="auto" w:fill="auto"/>
            <w:vAlign w:val="center"/>
          </w:tcPr>
          <w:p w14:paraId="1ADC23F1">
            <w:pPr>
              <w:adjustRightInd w:val="0"/>
              <w:snapToGrid w:val="0"/>
              <w:spacing w:line="240" w:lineRule="exact"/>
              <w:jc w:val="center"/>
              <w:rPr>
                <w:sz w:val="18"/>
                <w:szCs w:val="18"/>
              </w:rPr>
            </w:pPr>
            <w:r>
              <w:rPr>
                <w:sz w:val="18"/>
                <w:szCs w:val="18"/>
              </w:rPr>
              <w:t>19</w:t>
            </w:r>
          </w:p>
        </w:tc>
        <w:tc>
          <w:tcPr>
            <w:tcW w:w="2990" w:type="pct"/>
            <w:gridSpan w:val="2"/>
            <w:vMerge w:val="continue"/>
            <w:tcBorders>
              <w:left w:val="single" w:color="auto" w:sz="2" w:space="0"/>
              <w:right w:val="nil"/>
            </w:tcBorders>
            <w:shd w:val="clear" w:color="auto" w:fill="auto"/>
            <w:vAlign w:val="center"/>
          </w:tcPr>
          <w:p w14:paraId="2CEFA5D3">
            <w:pPr>
              <w:adjustRightInd w:val="0"/>
              <w:snapToGrid w:val="0"/>
              <w:spacing w:line="260" w:lineRule="atLeast"/>
              <w:jc w:val="center"/>
              <w:rPr>
                <w:sz w:val="18"/>
                <w:szCs w:val="18"/>
              </w:rPr>
            </w:pPr>
          </w:p>
        </w:tc>
      </w:tr>
      <w:tr w14:paraId="42017EF7">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2B1ED911">
            <w:pPr>
              <w:adjustRightInd w:val="0"/>
              <w:snapToGrid w:val="0"/>
              <w:spacing w:line="260" w:lineRule="atLeast"/>
              <w:rPr>
                <w:sz w:val="18"/>
                <w:szCs w:val="18"/>
              </w:rPr>
            </w:pPr>
            <w:r>
              <w:rPr>
                <w:sz w:val="18"/>
                <w:szCs w:val="18"/>
              </w:rPr>
              <w:t>　　　　　　广  东</w:t>
            </w:r>
          </w:p>
        </w:tc>
        <w:tc>
          <w:tcPr>
            <w:tcW w:w="624" w:type="pct"/>
            <w:tcBorders>
              <w:top w:val="nil"/>
              <w:left w:val="single" w:color="auto" w:sz="2" w:space="0"/>
              <w:bottom w:val="nil"/>
              <w:right w:val="single" w:color="auto" w:sz="2" w:space="0"/>
            </w:tcBorders>
            <w:shd w:val="clear" w:color="auto" w:fill="auto"/>
            <w:vAlign w:val="center"/>
          </w:tcPr>
          <w:p w14:paraId="5D4D0B74">
            <w:pPr>
              <w:adjustRightInd w:val="0"/>
              <w:snapToGrid w:val="0"/>
              <w:spacing w:line="240" w:lineRule="exact"/>
              <w:jc w:val="center"/>
              <w:rPr>
                <w:sz w:val="18"/>
                <w:szCs w:val="18"/>
              </w:rPr>
            </w:pPr>
            <w:r>
              <w:rPr>
                <w:sz w:val="18"/>
                <w:szCs w:val="18"/>
              </w:rPr>
              <w:t>20</w:t>
            </w:r>
          </w:p>
        </w:tc>
        <w:tc>
          <w:tcPr>
            <w:tcW w:w="2990" w:type="pct"/>
            <w:gridSpan w:val="2"/>
            <w:vMerge w:val="continue"/>
            <w:tcBorders>
              <w:left w:val="single" w:color="auto" w:sz="2" w:space="0"/>
              <w:right w:val="nil"/>
            </w:tcBorders>
            <w:shd w:val="clear" w:color="auto" w:fill="auto"/>
            <w:vAlign w:val="center"/>
          </w:tcPr>
          <w:p w14:paraId="33714588">
            <w:pPr>
              <w:adjustRightInd w:val="0"/>
              <w:snapToGrid w:val="0"/>
              <w:spacing w:line="260" w:lineRule="atLeast"/>
              <w:jc w:val="center"/>
              <w:rPr>
                <w:sz w:val="18"/>
                <w:szCs w:val="18"/>
              </w:rPr>
            </w:pPr>
          </w:p>
        </w:tc>
      </w:tr>
      <w:tr w14:paraId="3A61893F">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184BD91D">
            <w:pPr>
              <w:adjustRightInd w:val="0"/>
              <w:snapToGrid w:val="0"/>
              <w:spacing w:line="260" w:lineRule="atLeast"/>
              <w:rPr>
                <w:sz w:val="18"/>
                <w:szCs w:val="18"/>
              </w:rPr>
            </w:pPr>
            <w:r>
              <w:rPr>
                <w:sz w:val="18"/>
                <w:szCs w:val="18"/>
              </w:rPr>
              <w:t>　　　　　　广  西</w:t>
            </w:r>
          </w:p>
        </w:tc>
        <w:tc>
          <w:tcPr>
            <w:tcW w:w="624" w:type="pct"/>
            <w:tcBorders>
              <w:top w:val="nil"/>
              <w:left w:val="single" w:color="auto" w:sz="2" w:space="0"/>
              <w:bottom w:val="nil"/>
              <w:right w:val="single" w:color="auto" w:sz="2" w:space="0"/>
            </w:tcBorders>
            <w:shd w:val="clear" w:color="auto" w:fill="auto"/>
            <w:vAlign w:val="center"/>
          </w:tcPr>
          <w:p w14:paraId="28B14B1C">
            <w:pPr>
              <w:adjustRightInd w:val="0"/>
              <w:snapToGrid w:val="0"/>
              <w:spacing w:line="240" w:lineRule="exact"/>
              <w:jc w:val="center"/>
              <w:rPr>
                <w:sz w:val="18"/>
                <w:szCs w:val="18"/>
              </w:rPr>
            </w:pPr>
            <w:r>
              <w:rPr>
                <w:sz w:val="18"/>
                <w:szCs w:val="18"/>
              </w:rPr>
              <w:t>21</w:t>
            </w:r>
          </w:p>
        </w:tc>
        <w:tc>
          <w:tcPr>
            <w:tcW w:w="2990" w:type="pct"/>
            <w:gridSpan w:val="2"/>
            <w:vMerge w:val="continue"/>
            <w:tcBorders>
              <w:left w:val="single" w:color="auto" w:sz="2" w:space="0"/>
              <w:right w:val="nil"/>
            </w:tcBorders>
            <w:shd w:val="clear" w:color="auto" w:fill="auto"/>
            <w:vAlign w:val="center"/>
          </w:tcPr>
          <w:p w14:paraId="0937C35A">
            <w:pPr>
              <w:adjustRightInd w:val="0"/>
              <w:snapToGrid w:val="0"/>
              <w:spacing w:line="260" w:lineRule="atLeast"/>
              <w:jc w:val="center"/>
              <w:rPr>
                <w:sz w:val="18"/>
                <w:szCs w:val="18"/>
              </w:rPr>
            </w:pPr>
          </w:p>
        </w:tc>
      </w:tr>
      <w:tr w14:paraId="388F3269">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475A468B">
            <w:pPr>
              <w:adjustRightInd w:val="0"/>
              <w:snapToGrid w:val="0"/>
              <w:spacing w:line="260" w:lineRule="atLeast"/>
              <w:rPr>
                <w:sz w:val="18"/>
                <w:szCs w:val="18"/>
              </w:rPr>
            </w:pPr>
            <w:r>
              <w:rPr>
                <w:sz w:val="18"/>
                <w:szCs w:val="18"/>
              </w:rPr>
              <w:t>　　　　　　海  南</w:t>
            </w:r>
          </w:p>
        </w:tc>
        <w:tc>
          <w:tcPr>
            <w:tcW w:w="624" w:type="pct"/>
            <w:tcBorders>
              <w:top w:val="nil"/>
              <w:left w:val="single" w:color="auto" w:sz="2" w:space="0"/>
              <w:bottom w:val="nil"/>
              <w:right w:val="single" w:color="auto" w:sz="2" w:space="0"/>
            </w:tcBorders>
            <w:shd w:val="clear" w:color="auto" w:fill="auto"/>
            <w:vAlign w:val="center"/>
          </w:tcPr>
          <w:p w14:paraId="1BA3A143">
            <w:pPr>
              <w:adjustRightInd w:val="0"/>
              <w:snapToGrid w:val="0"/>
              <w:spacing w:line="240" w:lineRule="exact"/>
              <w:jc w:val="center"/>
              <w:rPr>
                <w:sz w:val="18"/>
                <w:szCs w:val="18"/>
              </w:rPr>
            </w:pPr>
            <w:r>
              <w:rPr>
                <w:sz w:val="18"/>
                <w:szCs w:val="18"/>
              </w:rPr>
              <w:t>22</w:t>
            </w:r>
          </w:p>
        </w:tc>
        <w:tc>
          <w:tcPr>
            <w:tcW w:w="2990" w:type="pct"/>
            <w:gridSpan w:val="2"/>
            <w:vMerge w:val="continue"/>
            <w:tcBorders>
              <w:left w:val="single" w:color="auto" w:sz="2" w:space="0"/>
              <w:right w:val="nil"/>
            </w:tcBorders>
            <w:shd w:val="clear" w:color="auto" w:fill="auto"/>
            <w:vAlign w:val="center"/>
          </w:tcPr>
          <w:p w14:paraId="5F952564">
            <w:pPr>
              <w:adjustRightInd w:val="0"/>
              <w:snapToGrid w:val="0"/>
              <w:spacing w:line="260" w:lineRule="atLeast"/>
              <w:jc w:val="center"/>
              <w:rPr>
                <w:sz w:val="18"/>
                <w:szCs w:val="18"/>
              </w:rPr>
            </w:pPr>
          </w:p>
        </w:tc>
      </w:tr>
      <w:tr w14:paraId="3F320C40">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3950657A">
            <w:pPr>
              <w:adjustRightInd w:val="0"/>
              <w:snapToGrid w:val="0"/>
              <w:spacing w:line="260" w:lineRule="atLeast"/>
              <w:rPr>
                <w:sz w:val="18"/>
                <w:szCs w:val="18"/>
              </w:rPr>
            </w:pPr>
            <w:r>
              <w:rPr>
                <w:sz w:val="18"/>
                <w:szCs w:val="18"/>
              </w:rPr>
              <w:t>　　　　　　重  庆</w:t>
            </w:r>
          </w:p>
        </w:tc>
        <w:tc>
          <w:tcPr>
            <w:tcW w:w="624" w:type="pct"/>
            <w:tcBorders>
              <w:top w:val="nil"/>
              <w:left w:val="single" w:color="auto" w:sz="2" w:space="0"/>
              <w:bottom w:val="nil"/>
              <w:right w:val="single" w:color="auto" w:sz="2" w:space="0"/>
            </w:tcBorders>
            <w:shd w:val="clear" w:color="auto" w:fill="auto"/>
            <w:vAlign w:val="center"/>
          </w:tcPr>
          <w:p w14:paraId="7EBF640C">
            <w:pPr>
              <w:adjustRightInd w:val="0"/>
              <w:snapToGrid w:val="0"/>
              <w:spacing w:line="240" w:lineRule="exact"/>
              <w:jc w:val="center"/>
              <w:rPr>
                <w:sz w:val="18"/>
                <w:szCs w:val="18"/>
              </w:rPr>
            </w:pPr>
            <w:r>
              <w:rPr>
                <w:sz w:val="18"/>
                <w:szCs w:val="18"/>
              </w:rPr>
              <w:t>23</w:t>
            </w:r>
          </w:p>
        </w:tc>
        <w:tc>
          <w:tcPr>
            <w:tcW w:w="2990" w:type="pct"/>
            <w:gridSpan w:val="2"/>
            <w:vMerge w:val="continue"/>
            <w:tcBorders>
              <w:left w:val="single" w:color="auto" w:sz="2" w:space="0"/>
              <w:right w:val="nil"/>
            </w:tcBorders>
            <w:shd w:val="clear" w:color="auto" w:fill="auto"/>
            <w:vAlign w:val="center"/>
          </w:tcPr>
          <w:p w14:paraId="718B081A">
            <w:pPr>
              <w:adjustRightInd w:val="0"/>
              <w:snapToGrid w:val="0"/>
              <w:spacing w:line="260" w:lineRule="atLeast"/>
              <w:jc w:val="center"/>
              <w:rPr>
                <w:sz w:val="18"/>
                <w:szCs w:val="18"/>
              </w:rPr>
            </w:pPr>
          </w:p>
        </w:tc>
      </w:tr>
      <w:tr w14:paraId="5C0954F6">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7888FB07">
            <w:pPr>
              <w:adjustRightInd w:val="0"/>
              <w:snapToGrid w:val="0"/>
              <w:spacing w:line="260" w:lineRule="atLeast"/>
              <w:rPr>
                <w:sz w:val="18"/>
                <w:szCs w:val="18"/>
              </w:rPr>
            </w:pPr>
            <w:r>
              <w:rPr>
                <w:sz w:val="18"/>
                <w:szCs w:val="18"/>
              </w:rPr>
              <w:t>　　　　　　四  川</w:t>
            </w:r>
          </w:p>
        </w:tc>
        <w:tc>
          <w:tcPr>
            <w:tcW w:w="624" w:type="pct"/>
            <w:tcBorders>
              <w:top w:val="nil"/>
              <w:left w:val="single" w:color="auto" w:sz="2" w:space="0"/>
              <w:bottom w:val="nil"/>
              <w:right w:val="single" w:color="auto" w:sz="2" w:space="0"/>
            </w:tcBorders>
            <w:shd w:val="clear" w:color="auto" w:fill="auto"/>
            <w:vAlign w:val="center"/>
          </w:tcPr>
          <w:p w14:paraId="513954E4">
            <w:pPr>
              <w:adjustRightInd w:val="0"/>
              <w:snapToGrid w:val="0"/>
              <w:spacing w:line="240" w:lineRule="exact"/>
              <w:jc w:val="center"/>
              <w:rPr>
                <w:sz w:val="18"/>
                <w:szCs w:val="18"/>
              </w:rPr>
            </w:pPr>
            <w:r>
              <w:rPr>
                <w:sz w:val="18"/>
                <w:szCs w:val="18"/>
              </w:rPr>
              <w:t>24</w:t>
            </w:r>
          </w:p>
        </w:tc>
        <w:tc>
          <w:tcPr>
            <w:tcW w:w="2990" w:type="pct"/>
            <w:gridSpan w:val="2"/>
            <w:vMerge w:val="continue"/>
            <w:tcBorders>
              <w:left w:val="single" w:color="auto" w:sz="2" w:space="0"/>
              <w:right w:val="nil"/>
            </w:tcBorders>
            <w:shd w:val="clear" w:color="auto" w:fill="auto"/>
            <w:vAlign w:val="center"/>
          </w:tcPr>
          <w:p w14:paraId="0311465D">
            <w:pPr>
              <w:adjustRightInd w:val="0"/>
              <w:snapToGrid w:val="0"/>
              <w:spacing w:line="260" w:lineRule="atLeast"/>
              <w:jc w:val="center"/>
              <w:rPr>
                <w:sz w:val="18"/>
                <w:szCs w:val="18"/>
              </w:rPr>
            </w:pPr>
          </w:p>
        </w:tc>
      </w:tr>
      <w:tr w14:paraId="4BA34269">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3C48A274">
            <w:pPr>
              <w:adjustRightInd w:val="0"/>
              <w:snapToGrid w:val="0"/>
              <w:spacing w:line="260" w:lineRule="atLeast"/>
              <w:rPr>
                <w:sz w:val="18"/>
                <w:szCs w:val="18"/>
              </w:rPr>
            </w:pPr>
            <w:r>
              <w:rPr>
                <w:sz w:val="18"/>
                <w:szCs w:val="18"/>
              </w:rPr>
              <w:t>　　　　　　贵  州</w:t>
            </w:r>
          </w:p>
        </w:tc>
        <w:tc>
          <w:tcPr>
            <w:tcW w:w="624" w:type="pct"/>
            <w:tcBorders>
              <w:top w:val="nil"/>
              <w:left w:val="single" w:color="auto" w:sz="2" w:space="0"/>
              <w:bottom w:val="nil"/>
              <w:right w:val="single" w:color="auto" w:sz="2" w:space="0"/>
            </w:tcBorders>
            <w:shd w:val="clear" w:color="auto" w:fill="auto"/>
            <w:vAlign w:val="center"/>
          </w:tcPr>
          <w:p w14:paraId="282C636B">
            <w:pPr>
              <w:adjustRightInd w:val="0"/>
              <w:snapToGrid w:val="0"/>
              <w:spacing w:line="240" w:lineRule="exact"/>
              <w:jc w:val="center"/>
              <w:rPr>
                <w:sz w:val="18"/>
                <w:szCs w:val="18"/>
              </w:rPr>
            </w:pPr>
            <w:r>
              <w:rPr>
                <w:sz w:val="18"/>
                <w:szCs w:val="18"/>
              </w:rPr>
              <w:t>25</w:t>
            </w:r>
          </w:p>
        </w:tc>
        <w:tc>
          <w:tcPr>
            <w:tcW w:w="2990" w:type="pct"/>
            <w:gridSpan w:val="2"/>
            <w:vMerge w:val="continue"/>
            <w:tcBorders>
              <w:left w:val="single" w:color="auto" w:sz="2" w:space="0"/>
              <w:right w:val="nil"/>
            </w:tcBorders>
            <w:shd w:val="clear" w:color="auto" w:fill="auto"/>
            <w:vAlign w:val="center"/>
          </w:tcPr>
          <w:p w14:paraId="5BD20D7A">
            <w:pPr>
              <w:adjustRightInd w:val="0"/>
              <w:snapToGrid w:val="0"/>
              <w:spacing w:line="260" w:lineRule="atLeast"/>
              <w:jc w:val="center"/>
              <w:rPr>
                <w:sz w:val="18"/>
                <w:szCs w:val="18"/>
              </w:rPr>
            </w:pPr>
          </w:p>
        </w:tc>
      </w:tr>
      <w:tr w14:paraId="5869A391">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7EC58170">
            <w:pPr>
              <w:adjustRightInd w:val="0"/>
              <w:snapToGrid w:val="0"/>
              <w:spacing w:line="260" w:lineRule="atLeast"/>
              <w:rPr>
                <w:sz w:val="18"/>
                <w:szCs w:val="18"/>
              </w:rPr>
            </w:pPr>
            <w:r>
              <w:rPr>
                <w:sz w:val="18"/>
                <w:szCs w:val="18"/>
              </w:rPr>
              <w:t>　　　　　　云  南</w:t>
            </w:r>
          </w:p>
        </w:tc>
        <w:tc>
          <w:tcPr>
            <w:tcW w:w="624" w:type="pct"/>
            <w:tcBorders>
              <w:top w:val="nil"/>
              <w:left w:val="single" w:color="auto" w:sz="2" w:space="0"/>
              <w:bottom w:val="nil"/>
              <w:right w:val="single" w:color="auto" w:sz="2" w:space="0"/>
            </w:tcBorders>
            <w:shd w:val="clear" w:color="auto" w:fill="auto"/>
            <w:vAlign w:val="center"/>
          </w:tcPr>
          <w:p w14:paraId="5C7CDBE3">
            <w:pPr>
              <w:adjustRightInd w:val="0"/>
              <w:snapToGrid w:val="0"/>
              <w:spacing w:line="240" w:lineRule="exact"/>
              <w:jc w:val="center"/>
              <w:rPr>
                <w:sz w:val="18"/>
                <w:szCs w:val="18"/>
              </w:rPr>
            </w:pPr>
            <w:r>
              <w:rPr>
                <w:sz w:val="18"/>
                <w:szCs w:val="18"/>
              </w:rPr>
              <w:t>26</w:t>
            </w:r>
          </w:p>
        </w:tc>
        <w:tc>
          <w:tcPr>
            <w:tcW w:w="2990" w:type="pct"/>
            <w:gridSpan w:val="2"/>
            <w:vMerge w:val="continue"/>
            <w:tcBorders>
              <w:left w:val="single" w:color="auto" w:sz="2" w:space="0"/>
              <w:right w:val="nil"/>
            </w:tcBorders>
            <w:shd w:val="clear" w:color="auto" w:fill="auto"/>
            <w:vAlign w:val="center"/>
          </w:tcPr>
          <w:p w14:paraId="294B19D6">
            <w:pPr>
              <w:adjustRightInd w:val="0"/>
              <w:snapToGrid w:val="0"/>
              <w:spacing w:line="260" w:lineRule="atLeast"/>
              <w:jc w:val="center"/>
              <w:rPr>
                <w:sz w:val="18"/>
                <w:szCs w:val="18"/>
              </w:rPr>
            </w:pPr>
          </w:p>
        </w:tc>
      </w:tr>
      <w:tr w14:paraId="34260ABE">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1C241104">
            <w:pPr>
              <w:adjustRightInd w:val="0"/>
              <w:snapToGrid w:val="0"/>
              <w:spacing w:line="260" w:lineRule="atLeast"/>
              <w:rPr>
                <w:sz w:val="18"/>
                <w:szCs w:val="18"/>
              </w:rPr>
            </w:pPr>
            <w:r>
              <w:rPr>
                <w:sz w:val="18"/>
                <w:szCs w:val="18"/>
              </w:rPr>
              <w:t>　　　　　　西  藏</w:t>
            </w:r>
          </w:p>
        </w:tc>
        <w:tc>
          <w:tcPr>
            <w:tcW w:w="624" w:type="pct"/>
            <w:tcBorders>
              <w:top w:val="nil"/>
              <w:left w:val="single" w:color="auto" w:sz="2" w:space="0"/>
              <w:bottom w:val="nil"/>
              <w:right w:val="single" w:color="auto" w:sz="2" w:space="0"/>
            </w:tcBorders>
            <w:shd w:val="clear" w:color="auto" w:fill="auto"/>
            <w:vAlign w:val="center"/>
          </w:tcPr>
          <w:p w14:paraId="36757B8C">
            <w:pPr>
              <w:adjustRightInd w:val="0"/>
              <w:snapToGrid w:val="0"/>
              <w:spacing w:line="240" w:lineRule="exact"/>
              <w:jc w:val="center"/>
              <w:rPr>
                <w:sz w:val="18"/>
                <w:szCs w:val="18"/>
              </w:rPr>
            </w:pPr>
            <w:r>
              <w:rPr>
                <w:sz w:val="18"/>
                <w:szCs w:val="18"/>
              </w:rPr>
              <w:t>27</w:t>
            </w:r>
          </w:p>
        </w:tc>
        <w:tc>
          <w:tcPr>
            <w:tcW w:w="2990" w:type="pct"/>
            <w:gridSpan w:val="2"/>
            <w:vMerge w:val="continue"/>
            <w:tcBorders>
              <w:left w:val="single" w:color="auto" w:sz="2" w:space="0"/>
              <w:right w:val="nil"/>
            </w:tcBorders>
            <w:shd w:val="clear" w:color="auto" w:fill="auto"/>
            <w:vAlign w:val="center"/>
          </w:tcPr>
          <w:p w14:paraId="113BAB9F">
            <w:pPr>
              <w:adjustRightInd w:val="0"/>
              <w:snapToGrid w:val="0"/>
              <w:spacing w:line="260" w:lineRule="atLeast"/>
              <w:jc w:val="center"/>
              <w:rPr>
                <w:sz w:val="18"/>
                <w:szCs w:val="18"/>
              </w:rPr>
            </w:pPr>
          </w:p>
        </w:tc>
      </w:tr>
      <w:tr w14:paraId="164FD0E3">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63E313C8">
            <w:pPr>
              <w:adjustRightInd w:val="0"/>
              <w:snapToGrid w:val="0"/>
              <w:spacing w:line="260" w:lineRule="atLeast"/>
              <w:rPr>
                <w:sz w:val="18"/>
                <w:szCs w:val="18"/>
              </w:rPr>
            </w:pPr>
            <w:r>
              <w:rPr>
                <w:sz w:val="18"/>
                <w:szCs w:val="18"/>
              </w:rPr>
              <w:t>　　　　　　陕  西</w:t>
            </w:r>
          </w:p>
        </w:tc>
        <w:tc>
          <w:tcPr>
            <w:tcW w:w="624" w:type="pct"/>
            <w:tcBorders>
              <w:top w:val="nil"/>
              <w:left w:val="single" w:color="auto" w:sz="2" w:space="0"/>
              <w:bottom w:val="nil"/>
              <w:right w:val="single" w:color="auto" w:sz="2" w:space="0"/>
            </w:tcBorders>
            <w:shd w:val="clear" w:color="auto" w:fill="auto"/>
            <w:vAlign w:val="center"/>
          </w:tcPr>
          <w:p w14:paraId="74AE1565">
            <w:pPr>
              <w:adjustRightInd w:val="0"/>
              <w:snapToGrid w:val="0"/>
              <w:spacing w:line="240" w:lineRule="exact"/>
              <w:jc w:val="center"/>
              <w:rPr>
                <w:sz w:val="18"/>
                <w:szCs w:val="18"/>
              </w:rPr>
            </w:pPr>
            <w:r>
              <w:rPr>
                <w:sz w:val="18"/>
                <w:szCs w:val="18"/>
              </w:rPr>
              <w:t>28</w:t>
            </w:r>
          </w:p>
        </w:tc>
        <w:tc>
          <w:tcPr>
            <w:tcW w:w="2990" w:type="pct"/>
            <w:gridSpan w:val="2"/>
            <w:vMerge w:val="continue"/>
            <w:tcBorders>
              <w:left w:val="single" w:color="auto" w:sz="2" w:space="0"/>
              <w:right w:val="nil"/>
            </w:tcBorders>
            <w:shd w:val="clear" w:color="auto" w:fill="auto"/>
            <w:vAlign w:val="center"/>
          </w:tcPr>
          <w:p w14:paraId="3E84CA09">
            <w:pPr>
              <w:adjustRightInd w:val="0"/>
              <w:snapToGrid w:val="0"/>
              <w:spacing w:line="260" w:lineRule="atLeast"/>
              <w:jc w:val="center"/>
              <w:rPr>
                <w:sz w:val="18"/>
                <w:szCs w:val="18"/>
              </w:rPr>
            </w:pPr>
          </w:p>
        </w:tc>
      </w:tr>
      <w:tr w14:paraId="7D2BD4DE">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62A30286">
            <w:pPr>
              <w:adjustRightInd w:val="0"/>
              <w:snapToGrid w:val="0"/>
              <w:spacing w:line="260" w:lineRule="atLeast"/>
              <w:rPr>
                <w:sz w:val="18"/>
                <w:szCs w:val="18"/>
              </w:rPr>
            </w:pPr>
            <w:r>
              <w:rPr>
                <w:sz w:val="18"/>
                <w:szCs w:val="18"/>
              </w:rPr>
              <w:t>　　　　　　甘  肃</w:t>
            </w:r>
          </w:p>
        </w:tc>
        <w:tc>
          <w:tcPr>
            <w:tcW w:w="624" w:type="pct"/>
            <w:tcBorders>
              <w:top w:val="nil"/>
              <w:left w:val="single" w:color="auto" w:sz="2" w:space="0"/>
              <w:bottom w:val="nil"/>
              <w:right w:val="single" w:color="auto" w:sz="2" w:space="0"/>
            </w:tcBorders>
            <w:shd w:val="clear" w:color="auto" w:fill="auto"/>
            <w:vAlign w:val="center"/>
          </w:tcPr>
          <w:p w14:paraId="0E738D1D">
            <w:pPr>
              <w:adjustRightInd w:val="0"/>
              <w:snapToGrid w:val="0"/>
              <w:spacing w:line="240" w:lineRule="exact"/>
              <w:jc w:val="center"/>
              <w:rPr>
                <w:sz w:val="18"/>
                <w:szCs w:val="18"/>
              </w:rPr>
            </w:pPr>
            <w:r>
              <w:rPr>
                <w:sz w:val="18"/>
                <w:szCs w:val="18"/>
              </w:rPr>
              <w:t>29</w:t>
            </w:r>
          </w:p>
        </w:tc>
        <w:tc>
          <w:tcPr>
            <w:tcW w:w="2990" w:type="pct"/>
            <w:gridSpan w:val="2"/>
            <w:vMerge w:val="continue"/>
            <w:tcBorders>
              <w:left w:val="single" w:color="auto" w:sz="2" w:space="0"/>
              <w:right w:val="nil"/>
            </w:tcBorders>
            <w:shd w:val="clear" w:color="auto" w:fill="auto"/>
            <w:vAlign w:val="center"/>
          </w:tcPr>
          <w:p w14:paraId="2F92C28E">
            <w:pPr>
              <w:adjustRightInd w:val="0"/>
              <w:snapToGrid w:val="0"/>
              <w:spacing w:line="260" w:lineRule="atLeast"/>
              <w:jc w:val="center"/>
              <w:rPr>
                <w:sz w:val="18"/>
                <w:szCs w:val="18"/>
              </w:rPr>
            </w:pPr>
          </w:p>
        </w:tc>
      </w:tr>
      <w:tr w14:paraId="7C1FCDCD">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47556611">
            <w:pPr>
              <w:adjustRightInd w:val="0"/>
              <w:snapToGrid w:val="0"/>
              <w:spacing w:line="260" w:lineRule="atLeast"/>
              <w:rPr>
                <w:sz w:val="18"/>
                <w:szCs w:val="18"/>
              </w:rPr>
            </w:pPr>
            <w:r>
              <w:rPr>
                <w:sz w:val="18"/>
                <w:szCs w:val="18"/>
              </w:rPr>
              <w:t>　　　　　　青  海</w:t>
            </w:r>
          </w:p>
        </w:tc>
        <w:tc>
          <w:tcPr>
            <w:tcW w:w="624" w:type="pct"/>
            <w:tcBorders>
              <w:top w:val="nil"/>
              <w:left w:val="single" w:color="auto" w:sz="2" w:space="0"/>
              <w:bottom w:val="nil"/>
              <w:right w:val="single" w:color="auto" w:sz="2" w:space="0"/>
            </w:tcBorders>
            <w:shd w:val="clear" w:color="auto" w:fill="auto"/>
            <w:vAlign w:val="center"/>
          </w:tcPr>
          <w:p w14:paraId="327323C3">
            <w:pPr>
              <w:adjustRightInd w:val="0"/>
              <w:snapToGrid w:val="0"/>
              <w:spacing w:line="240" w:lineRule="exact"/>
              <w:jc w:val="center"/>
              <w:rPr>
                <w:sz w:val="18"/>
                <w:szCs w:val="18"/>
              </w:rPr>
            </w:pPr>
            <w:r>
              <w:rPr>
                <w:sz w:val="18"/>
                <w:szCs w:val="18"/>
              </w:rPr>
              <w:t>30</w:t>
            </w:r>
          </w:p>
        </w:tc>
        <w:tc>
          <w:tcPr>
            <w:tcW w:w="2990" w:type="pct"/>
            <w:gridSpan w:val="2"/>
            <w:vMerge w:val="continue"/>
            <w:tcBorders>
              <w:left w:val="single" w:color="auto" w:sz="2" w:space="0"/>
              <w:right w:val="nil"/>
            </w:tcBorders>
            <w:shd w:val="clear" w:color="auto" w:fill="auto"/>
            <w:vAlign w:val="center"/>
          </w:tcPr>
          <w:p w14:paraId="69B84077">
            <w:pPr>
              <w:adjustRightInd w:val="0"/>
              <w:snapToGrid w:val="0"/>
              <w:spacing w:line="260" w:lineRule="atLeast"/>
              <w:jc w:val="center"/>
              <w:rPr>
                <w:sz w:val="18"/>
                <w:szCs w:val="18"/>
              </w:rPr>
            </w:pPr>
          </w:p>
        </w:tc>
      </w:tr>
      <w:tr w14:paraId="4CF37998">
        <w:tblPrEx>
          <w:tblCellMar>
            <w:top w:w="0" w:type="dxa"/>
            <w:left w:w="108" w:type="dxa"/>
            <w:bottom w:w="0" w:type="dxa"/>
            <w:right w:w="108" w:type="dxa"/>
          </w:tblCellMar>
        </w:tblPrEx>
        <w:trPr>
          <w:trHeight w:val="170" w:hRule="atLeast"/>
          <w:jc w:val="center"/>
        </w:trPr>
        <w:tc>
          <w:tcPr>
            <w:tcW w:w="1384" w:type="pct"/>
            <w:tcBorders>
              <w:top w:val="nil"/>
              <w:left w:val="nil"/>
              <w:bottom w:val="nil"/>
              <w:right w:val="single" w:color="auto" w:sz="2" w:space="0"/>
            </w:tcBorders>
            <w:shd w:val="clear" w:color="auto" w:fill="auto"/>
            <w:noWrap/>
            <w:vAlign w:val="center"/>
          </w:tcPr>
          <w:p w14:paraId="09C35AFA">
            <w:pPr>
              <w:adjustRightInd w:val="0"/>
              <w:snapToGrid w:val="0"/>
              <w:spacing w:line="260" w:lineRule="atLeast"/>
              <w:rPr>
                <w:sz w:val="18"/>
                <w:szCs w:val="18"/>
              </w:rPr>
            </w:pPr>
            <w:r>
              <w:rPr>
                <w:sz w:val="18"/>
                <w:szCs w:val="18"/>
              </w:rPr>
              <w:t>　　　　　　宁  夏</w:t>
            </w:r>
          </w:p>
        </w:tc>
        <w:tc>
          <w:tcPr>
            <w:tcW w:w="624" w:type="pct"/>
            <w:tcBorders>
              <w:top w:val="nil"/>
              <w:left w:val="single" w:color="auto" w:sz="2" w:space="0"/>
              <w:bottom w:val="nil"/>
              <w:right w:val="single" w:color="auto" w:sz="2" w:space="0"/>
            </w:tcBorders>
            <w:shd w:val="clear" w:color="auto" w:fill="auto"/>
            <w:vAlign w:val="center"/>
          </w:tcPr>
          <w:p w14:paraId="0771C49A">
            <w:pPr>
              <w:adjustRightInd w:val="0"/>
              <w:snapToGrid w:val="0"/>
              <w:spacing w:line="240" w:lineRule="exact"/>
              <w:jc w:val="center"/>
              <w:rPr>
                <w:sz w:val="18"/>
                <w:szCs w:val="18"/>
              </w:rPr>
            </w:pPr>
            <w:r>
              <w:rPr>
                <w:sz w:val="18"/>
                <w:szCs w:val="18"/>
              </w:rPr>
              <w:t>31</w:t>
            </w:r>
          </w:p>
        </w:tc>
        <w:tc>
          <w:tcPr>
            <w:tcW w:w="2990" w:type="pct"/>
            <w:gridSpan w:val="2"/>
            <w:vMerge w:val="continue"/>
            <w:tcBorders>
              <w:left w:val="single" w:color="auto" w:sz="2" w:space="0"/>
              <w:right w:val="nil"/>
            </w:tcBorders>
            <w:shd w:val="clear" w:color="auto" w:fill="auto"/>
            <w:vAlign w:val="center"/>
          </w:tcPr>
          <w:p w14:paraId="5F93F5E8">
            <w:pPr>
              <w:adjustRightInd w:val="0"/>
              <w:snapToGrid w:val="0"/>
              <w:spacing w:line="260" w:lineRule="atLeast"/>
              <w:jc w:val="center"/>
              <w:rPr>
                <w:sz w:val="18"/>
                <w:szCs w:val="18"/>
              </w:rPr>
            </w:pPr>
          </w:p>
        </w:tc>
      </w:tr>
      <w:tr w14:paraId="3C894F0E">
        <w:tblPrEx>
          <w:tblCellMar>
            <w:top w:w="0" w:type="dxa"/>
            <w:left w:w="108" w:type="dxa"/>
            <w:bottom w:w="0" w:type="dxa"/>
            <w:right w:w="108" w:type="dxa"/>
          </w:tblCellMar>
        </w:tblPrEx>
        <w:trPr>
          <w:trHeight w:val="170" w:hRule="atLeast"/>
          <w:jc w:val="center"/>
        </w:trPr>
        <w:tc>
          <w:tcPr>
            <w:tcW w:w="1384" w:type="pct"/>
            <w:tcBorders>
              <w:top w:val="nil"/>
              <w:left w:val="nil"/>
              <w:right w:val="single" w:color="auto" w:sz="2" w:space="0"/>
            </w:tcBorders>
            <w:shd w:val="clear" w:color="auto" w:fill="auto"/>
            <w:noWrap/>
            <w:vAlign w:val="center"/>
          </w:tcPr>
          <w:p w14:paraId="0112927A">
            <w:pPr>
              <w:adjustRightInd w:val="0"/>
              <w:snapToGrid w:val="0"/>
              <w:spacing w:line="260" w:lineRule="atLeast"/>
              <w:rPr>
                <w:sz w:val="18"/>
                <w:szCs w:val="18"/>
              </w:rPr>
            </w:pPr>
            <w:r>
              <w:rPr>
                <w:sz w:val="18"/>
                <w:szCs w:val="18"/>
              </w:rPr>
              <w:t>　　　　　　新  疆</w:t>
            </w:r>
          </w:p>
        </w:tc>
        <w:tc>
          <w:tcPr>
            <w:tcW w:w="624" w:type="pct"/>
            <w:tcBorders>
              <w:top w:val="nil"/>
              <w:left w:val="single" w:color="auto" w:sz="2" w:space="0"/>
              <w:right w:val="single" w:color="auto" w:sz="2" w:space="0"/>
            </w:tcBorders>
            <w:shd w:val="clear" w:color="auto" w:fill="auto"/>
            <w:vAlign w:val="center"/>
          </w:tcPr>
          <w:p w14:paraId="668DDAEB">
            <w:pPr>
              <w:adjustRightInd w:val="0"/>
              <w:snapToGrid w:val="0"/>
              <w:spacing w:line="240" w:lineRule="exact"/>
              <w:jc w:val="center"/>
              <w:rPr>
                <w:sz w:val="18"/>
                <w:szCs w:val="18"/>
              </w:rPr>
            </w:pPr>
            <w:r>
              <w:rPr>
                <w:sz w:val="18"/>
                <w:szCs w:val="18"/>
              </w:rPr>
              <w:t>32</w:t>
            </w:r>
          </w:p>
        </w:tc>
        <w:tc>
          <w:tcPr>
            <w:tcW w:w="2990" w:type="pct"/>
            <w:gridSpan w:val="2"/>
            <w:vMerge w:val="continue"/>
            <w:tcBorders>
              <w:left w:val="single" w:color="auto" w:sz="2" w:space="0"/>
              <w:right w:val="nil"/>
            </w:tcBorders>
            <w:shd w:val="clear" w:color="auto" w:fill="auto"/>
            <w:vAlign w:val="center"/>
          </w:tcPr>
          <w:p w14:paraId="1A27545E">
            <w:pPr>
              <w:adjustRightInd w:val="0"/>
              <w:snapToGrid w:val="0"/>
              <w:spacing w:line="260" w:lineRule="atLeast"/>
              <w:jc w:val="center"/>
              <w:rPr>
                <w:sz w:val="18"/>
                <w:szCs w:val="18"/>
              </w:rPr>
            </w:pPr>
          </w:p>
        </w:tc>
      </w:tr>
      <w:tr w14:paraId="76D99462">
        <w:tblPrEx>
          <w:tblCellMar>
            <w:top w:w="0" w:type="dxa"/>
            <w:left w:w="108" w:type="dxa"/>
            <w:bottom w:w="0" w:type="dxa"/>
            <w:right w:w="108" w:type="dxa"/>
          </w:tblCellMar>
        </w:tblPrEx>
        <w:trPr>
          <w:trHeight w:val="170" w:hRule="atLeast"/>
          <w:jc w:val="center"/>
        </w:trPr>
        <w:tc>
          <w:tcPr>
            <w:tcW w:w="1384" w:type="pct"/>
            <w:tcBorders>
              <w:top w:val="nil"/>
              <w:left w:val="nil"/>
              <w:bottom w:val="single" w:color="auto" w:sz="8" w:space="0"/>
              <w:right w:val="single" w:color="auto" w:sz="2" w:space="0"/>
            </w:tcBorders>
            <w:shd w:val="clear" w:color="auto" w:fill="auto"/>
            <w:noWrap/>
            <w:vAlign w:val="center"/>
          </w:tcPr>
          <w:p w14:paraId="18F03265">
            <w:pPr>
              <w:adjustRightInd w:val="0"/>
              <w:snapToGrid w:val="0"/>
              <w:spacing w:line="260" w:lineRule="atLeast"/>
              <w:rPr>
                <w:sz w:val="18"/>
                <w:szCs w:val="18"/>
              </w:rPr>
            </w:pPr>
            <w:r>
              <w:rPr>
                <w:sz w:val="18"/>
                <w:szCs w:val="18"/>
              </w:rPr>
              <w:t>　    出口</w:t>
            </w:r>
          </w:p>
        </w:tc>
        <w:tc>
          <w:tcPr>
            <w:tcW w:w="624" w:type="pct"/>
            <w:tcBorders>
              <w:top w:val="nil"/>
              <w:left w:val="single" w:color="auto" w:sz="2" w:space="0"/>
              <w:bottom w:val="single" w:color="auto" w:sz="8" w:space="0"/>
              <w:right w:val="single" w:color="auto" w:sz="2" w:space="0"/>
            </w:tcBorders>
            <w:shd w:val="clear" w:color="auto" w:fill="auto"/>
            <w:vAlign w:val="center"/>
          </w:tcPr>
          <w:p w14:paraId="7052A876">
            <w:pPr>
              <w:adjustRightInd w:val="0"/>
              <w:snapToGrid w:val="0"/>
              <w:spacing w:line="240" w:lineRule="exact"/>
              <w:jc w:val="center"/>
              <w:rPr>
                <w:sz w:val="18"/>
                <w:szCs w:val="18"/>
              </w:rPr>
            </w:pPr>
            <w:r>
              <w:rPr>
                <w:sz w:val="18"/>
                <w:szCs w:val="18"/>
              </w:rPr>
              <w:t>33</w:t>
            </w:r>
          </w:p>
        </w:tc>
        <w:tc>
          <w:tcPr>
            <w:tcW w:w="2990" w:type="pct"/>
            <w:gridSpan w:val="2"/>
            <w:vMerge w:val="continue"/>
            <w:tcBorders>
              <w:left w:val="single" w:color="auto" w:sz="2" w:space="0"/>
              <w:bottom w:val="single" w:color="auto" w:sz="8" w:space="0"/>
              <w:right w:val="nil"/>
            </w:tcBorders>
            <w:shd w:val="clear" w:color="auto" w:fill="auto"/>
            <w:vAlign w:val="center"/>
          </w:tcPr>
          <w:p w14:paraId="457F6916">
            <w:pPr>
              <w:adjustRightInd w:val="0"/>
              <w:snapToGrid w:val="0"/>
              <w:spacing w:line="260" w:lineRule="atLeast"/>
              <w:jc w:val="center"/>
              <w:rPr>
                <w:sz w:val="18"/>
                <w:szCs w:val="18"/>
              </w:rPr>
            </w:pPr>
          </w:p>
        </w:tc>
      </w:tr>
    </w:tbl>
    <w:p w14:paraId="517627C9">
      <w:pPr>
        <w:spacing w:line="280" w:lineRule="exact"/>
        <w:ind w:right="-38"/>
        <w:rPr>
          <w:sz w:val="18"/>
        </w:rPr>
      </w:pPr>
      <w:r>
        <w:rPr>
          <w:sz w:val="18"/>
        </w:rPr>
        <w:t>单位负责人：             统计负责人：         填表人：          联系电话：       报出日期：２０　年　月　日</w:t>
      </w:r>
    </w:p>
    <w:p w14:paraId="148C6DAC">
      <w:pPr>
        <w:spacing w:line="240" w:lineRule="exact"/>
        <w:ind w:left="719" w:leftChars="-1" w:right="52" w:hanging="721" w:hangingChars="401"/>
        <w:rPr>
          <w:sz w:val="18"/>
          <w:szCs w:val="18"/>
        </w:rPr>
      </w:pPr>
    </w:p>
    <w:p w14:paraId="6ABD129F">
      <w:pPr>
        <w:snapToGrid w:val="0"/>
        <w:spacing w:line="240" w:lineRule="exact"/>
        <w:ind w:left="1530" w:hanging="1530" w:hangingChars="850"/>
        <w:rPr>
          <w:sz w:val="18"/>
        </w:rPr>
      </w:pPr>
      <w:r>
        <w:rPr>
          <w:sz w:val="18"/>
          <w:szCs w:val="18"/>
        </w:rPr>
        <w:t>说明：1.</w:t>
      </w:r>
      <w:r>
        <w:rPr>
          <w:sz w:val="18"/>
        </w:rPr>
        <w:t>统计范围</w:t>
      </w:r>
      <w:r>
        <w:rPr>
          <w:rFonts w:hint="eastAsia"/>
          <w:sz w:val="18"/>
        </w:rPr>
        <w:t>：</w:t>
      </w:r>
      <w:r>
        <w:rPr>
          <w:spacing w:val="-12"/>
          <w:sz w:val="18"/>
          <w:szCs w:val="18"/>
        </w:rPr>
        <w:t>中国石油天然气股份有限公司、中国石油化工股份有限公司、中国海洋石油总公司所属的天然气销售企业。</w:t>
      </w:r>
    </w:p>
    <w:p w14:paraId="443BC0D6">
      <w:pPr>
        <w:spacing w:line="240" w:lineRule="exact"/>
        <w:ind w:left="642" w:leftChars="256" w:right="52" w:hanging="104" w:hangingChars="58"/>
        <w:rPr>
          <w:sz w:val="18"/>
          <w:szCs w:val="18"/>
        </w:rPr>
      </w:pPr>
      <w:r>
        <w:rPr>
          <w:sz w:val="18"/>
        </w:rPr>
        <w:t>2</w:t>
      </w:r>
      <w:r>
        <w:rPr>
          <w:sz w:val="18"/>
          <w:szCs w:val="18"/>
        </w:rPr>
        <w:t>.</w:t>
      </w:r>
      <w:r>
        <w:rPr>
          <w:sz w:val="18"/>
        </w:rPr>
        <w:t>报送时间为月后15日前</w:t>
      </w:r>
      <w:r>
        <w:rPr>
          <w:sz w:val="18"/>
          <w:szCs w:val="18"/>
        </w:rPr>
        <w:t>，报送方式为电子邮件</w:t>
      </w:r>
      <w:r>
        <w:rPr>
          <w:rFonts w:hint="eastAsia"/>
          <w:sz w:val="18"/>
          <w:szCs w:val="18"/>
        </w:rPr>
        <w:t>（</w:t>
      </w:r>
      <w:r>
        <w:rPr>
          <w:sz w:val="18"/>
          <w:szCs w:val="18"/>
        </w:rPr>
        <w:t>nysscxsc@stats.gov.cn</w:t>
      </w:r>
      <w:r>
        <w:rPr>
          <w:rFonts w:hint="eastAsia"/>
          <w:sz w:val="18"/>
          <w:szCs w:val="18"/>
        </w:rPr>
        <w:t>）</w:t>
      </w:r>
      <w:r>
        <w:rPr>
          <w:sz w:val="18"/>
        </w:rPr>
        <w:t>。</w:t>
      </w:r>
    </w:p>
    <w:p w14:paraId="6CB446F2">
      <w:pPr>
        <w:spacing w:line="240" w:lineRule="exact"/>
        <w:ind w:left="642" w:leftChars="256" w:right="52" w:hanging="104" w:hangingChars="58"/>
        <w:rPr>
          <w:sz w:val="18"/>
          <w:szCs w:val="18"/>
        </w:rPr>
      </w:pPr>
      <w:r>
        <w:rPr>
          <w:sz w:val="18"/>
        </w:rPr>
        <w:t>3</w:t>
      </w:r>
      <w:r>
        <w:rPr>
          <w:sz w:val="18"/>
          <w:szCs w:val="18"/>
        </w:rPr>
        <w:t>.</w:t>
      </w:r>
      <w:r>
        <w:rPr>
          <w:sz w:val="18"/>
        </w:rPr>
        <w:t>本表由中国石油天然气股份有限公司、中国石油化工股份有限公司、中国海洋石油总公司报送。</w:t>
      </w:r>
    </w:p>
    <w:p w14:paraId="02CFCD3E">
      <w:pPr>
        <w:spacing w:line="240" w:lineRule="exact"/>
        <w:ind w:left="718" w:leftChars="256" w:right="51" w:hanging="180" w:hangingChars="100"/>
        <w:rPr>
          <w:sz w:val="18"/>
          <w:szCs w:val="18"/>
        </w:rPr>
      </w:pPr>
      <w:r>
        <w:rPr>
          <w:sz w:val="18"/>
          <w:szCs w:val="18"/>
        </w:rPr>
        <w:t>4.本表数据由上述公司根据天然气商品购进、销售与库存业务报表加工计算取得，国家统计局不另行制发基层表。</w:t>
      </w:r>
    </w:p>
    <w:p w14:paraId="30979655">
      <w:pPr>
        <w:spacing w:before="287" w:beforeLines="100" w:after="240" w:afterLines="100"/>
        <w:jc w:val="center"/>
        <w:outlineLvl w:val="2"/>
        <w:rPr>
          <w:sz w:val="32"/>
          <w:szCs w:val="32"/>
        </w:rPr>
      </w:pPr>
      <w:r>
        <w:rPr>
          <w:sz w:val="18"/>
          <w:szCs w:val="18"/>
        </w:rPr>
        <w:br w:type="page"/>
      </w:r>
      <w:r>
        <w:rPr>
          <w:sz w:val="32"/>
          <w:szCs w:val="32"/>
        </w:rPr>
        <w:t>电力省际间输入、输出情况</w:t>
      </w:r>
    </w:p>
    <w:tbl>
      <w:tblPr>
        <w:tblStyle w:val="20"/>
        <w:tblW w:w="9404" w:type="dxa"/>
        <w:jc w:val="center"/>
        <w:tblLayout w:type="autofit"/>
        <w:tblCellMar>
          <w:top w:w="0" w:type="dxa"/>
          <w:left w:w="108" w:type="dxa"/>
          <w:bottom w:w="0" w:type="dxa"/>
          <w:right w:w="108" w:type="dxa"/>
        </w:tblCellMar>
      </w:tblPr>
      <w:tblGrid>
        <w:gridCol w:w="828"/>
        <w:gridCol w:w="717"/>
        <w:gridCol w:w="154"/>
        <w:gridCol w:w="594"/>
        <w:gridCol w:w="801"/>
        <w:gridCol w:w="363"/>
        <w:gridCol w:w="564"/>
        <w:gridCol w:w="199"/>
        <w:gridCol w:w="1541"/>
        <w:gridCol w:w="863"/>
        <w:gridCol w:w="916"/>
        <w:gridCol w:w="119"/>
        <w:gridCol w:w="1745"/>
      </w:tblGrid>
      <w:tr w14:paraId="47AB6127">
        <w:tblPrEx>
          <w:tblCellMar>
            <w:top w:w="0" w:type="dxa"/>
            <w:left w:w="108" w:type="dxa"/>
            <w:bottom w:w="0" w:type="dxa"/>
            <w:right w:w="108" w:type="dxa"/>
          </w:tblCellMar>
        </w:tblPrEx>
        <w:trPr>
          <w:jc w:val="center"/>
        </w:trPr>
        <w:tc>
          <w:tcPr>
            <w:tcW w:w="440" w:type="pct"/>
            <w:tcBorders>
              <w:top w:val="nil"/>
              <w:left w:val="nil"/>
              <w:bottom w:val="nil"/>
              <w:right w:val="nil"/>
            </w:tcBorders>
            <w:shd w:val="clear" w:color="auto" w:fill="auto"/>
            <w:noWrap/>
            <w:tcMar>
              <w:left w:w="28" w:type="dxa"/>
              <w:right w:w="28" w:type="dxa"/>
            </w:tcMar>
            <w:vAlign w:val="center"/>
          </w:tcPr>
          <w:p w14:paraId="020D1295">
            <w:pPr>
              <w:widowControl/>
              <w:adjustRightInd w:val="0"/>
              <w:snapToGrid w:val="0"/>
              <w:spacing w:line="240" w:lineRule="atLeast"/>
              <w:jc w:val="left"/>
              <w:rPr>
                <w:kern w:val="0"/>
                <w:sz w:val="18"/>
                <w:szCs w:val="18"/>
              </w:rPr>
            </w:pPr>
          </w:p>
        </w:tc>
        <w:tc>
          <w:tcPr>
            <w:tcW w:w="463" w:type="pct"/>
            <w:gridSpan w:val="2"/>
            <w:tcBorders>
              <w:top w:val="nil"/>
              <w:left w:val="nil"/>
              <w:bottom w:val="nil"/>
              <w:right w:val="nil"/>
            </w:tcBorders>
            <w:shd w:val="clear" w:color="auto" w:fill="auto"/>
            <w:noWrap/>
            <w:tcMar>
              <w:left w:w="28" w:type="dxa"/>
              <w:right w:w="28" w:type="dxa"/>
            </w:tcMar>
            <w:vAlign w:val="center"/>
          </w:tcPr>
          <w:p w14:paraId="75F8CF26">
            <w:pPr>
              <w:widowControl/>
              <w:adjustRightInd w:val="0"/>
              <w:snapToGrid w:val="0"/>
              <w:spacing w:line="240" w:lineRule="atLeast"/>
              <w:jc w:val="left"/>
              <w:rPr>
                <w:kern w:val="0"/>
                <w:sz w:val="18"/>
                <w:szCs w:val="18"/>
              </w:rPr>
            </w:pPr>
          </w:p>
        </w:tc>
        <w:tc>
          <w:tcPr>
            <w:tcW w:w="742" w:type="pct"/>
            <w:gridSpan w:val="2"/>
            <w:tcBorders>
              <w:top w:val="nil"/>
              <w:left w:val="nil"/>
              <w:bottom w:val="nil"/>
              <w:right w:val="nil"/>
            </w:tcBorders>
            <w:shd w:val="clear" w:color="auto" w:fill="auto"/>
            <w:tcMar>
              <w:left w:w="28" w:type="dxa"/>
              <w:right w:w="28" w:type="dxa"/>
            </w:tcMar>
            <w:vAlign w:val="center"/>
          </w:tcPr>
          <w:p w14:paraId="32D7BF50">
            <w:pPr>
              <w:widowControl/>
              <w:adjustRightInd w:val="0"/>
              <w:snapToGrid w:val="0"/>
              <w:spacing w:line="240" w:lineRule="atLeast"/>
              <w:jc w:val="left"/>
              <w:rPr>
                <w:kern w:val="0"/>
                <w:sz w:val="18"/>
                <w:szCs w:val="18"/>
              </w:rPr>
            </w:pPr>
          </w:p>
        </w:tc>
        <w:tc>
          <w:tcPr>
            <w:tcW w:w="191" w:type="pct"/>
            <w:tcBorders>
              <w:top w:val="nil"/>
              <w:left w:val="nil"/>
              <w:bottom w:val="nil"/>
              <w:right w:val="nil"/>
            </w:tcBorders>
            <w:shd w:val="clear" w:color="auto" w:fill="auto"/>
            <w:tcMar>
              <w:left w:w="28" w:type="dxa"/>
              <w:right w:w="28" w:type="dxa"/>
            </w:tcMar>
            <w:vAlign w:val="center"/>
          </w:tcPr>
          <w:p w14:paraId="609273E2">
            <w:pPr>
              <w:widowControl/>
              <w:adjustRightInd w:val="0"/>
              <w:snapToGrid w:val="0"/>
              <w:spacing w:line="240" w:lineRule="atLeast"/>
              <w:jc w:val="left"/>
              <w:rPr>
                <w:kern w:val="0"/>
                <w:sz w:val="18"/>
                <w:szCs w:val="18"/>
              </w:rPr>
            </w:pPr>
          </w:p>
        </w:tc>
        <w:tc>
          <w:tcPr>
            <w:tcW w:w="405" w:type="pct"/>
            <w:gridSpan w:val="2"/>
            <w:tcBorders>
              <w:top w:val="nil"/>
              <w:left w:val="nil"/>
              <w:bottom w:val="nil"/>
              <w:right w:val="nil"/>
            </w:tcBorders>
            <w:shd w:val="clear" w:color="auto" w:fill="auto"/>
            <w:tcMar>
              <w:left w:w="28" w:type="dxa"/>
              <w:right w:w="28" w:type="dxa"/>
            </w:tcMar>
            <w:vAlign w:val="center"/>
          </w:tcPr>
          <w:p w14:paraId="373EF202">
            <w:pPr>
              <w:widowControl/>
              <w:adjustRightInd w:val="0"/>
              <w:snapToGrid w:val="0"/>
              <w:spacing w:line="240" w:lineRule="atLeast"/>
              <w:jc w:val="left"/>
              <w:rPr>
                <w:kern w:val="0"/>
                <w:sz w:val="18"/>
                <w:szCs w:val="18"/>
              </w:rPr>
            </w:pPr>
          </w:p>
        </w:tc>
        <w:tc>
          <w:tcPr>
            <w:tcW w:w="1278" w:type="pct"/>
            <w:gridSpan w:val="2"/>
            <w:tcBorders>
              <w:top w:val="nil"/>
              <w:left w:val="nil"/>
              <w:bottom w:val="nil"/>
              <w:right w:val="nil"/>
            </w:tcBorders>
            <w:shd w:val="clear" w:color="auto" w:fill="auto"/>
            <w:tcMar>
              <w:left w:w="28" w:type="dxa"/>
              <w:right w:w="28" w:type="dxa"/>
            </w:tcMar>
            <w:vAlign w:val="center"/>
          </w:tcPr>
          <w:p w14:paraId="0B074D05">
            <w:pPr>
              <w:widowControl/>
              <w:adjustRightInd w:val="0"/>
              <w:snapToGrid w:val="0"/>
              <w:spacing w:line="240" w:lineRule="atLeast"/>
              <w:jc w:val="left"/>
              <w:rPr>
                <w:kern w:val="0"/>
                <w:sz w:val="18"/>
                <w:szCs w:val="18"/>
              </w:rPr>
            </w:pPr>
          </w:p>
        </w:tc>
        <w:tc>
          <w:tcPr>
            <w:tcW w:w="487" w:type="pct"/>
            <w:tcBorders>
              <w:top w:val="nil"/>
              <w:left w:val="nil"/>
              <w:bottom w:val="nil"/>
              <w:right w:val="nil"/>
            </w:tcBorders>
            <w:shd w:val="clear" w:color="auto" w:fill="auto"/>
            <w:tcMar>
              <w:left w:w="28" w:type="dxa"/>
              <w:right w:w="28" w:type="dxa"/>
            </w:tcMar>
            <w:vAlign w:val="center"/>
          </w:tcPr>
          <w:p w14:paraId="7A9A34C7">
            <w:pPr>
              <w:widowControl/>
              <w:adjustRightInd w:val="0"/>
              <w:snapToGrid w:val="0"/>
              <w:spacing w:line="240" w:lineRule="atLeast"/>
              <w:jc w:val="left"/>
              <w:rPr>
                <w:kern w:val="0"/>
                <w:sz w:val="18"/>
                <w:szCs w:val="18"/>
              </w:rPr>
            </w:pPr>
            <w:r>
              <w:rPr>
                <w:kern w:val="0"/>
                <w:sz w:val="18"/>
                <w:szCs w:val="18"/>
              </w:rPr>
              <w:t>表　　号：</w:t>
            </w:r>
          </w:p>
        </w:tc>
        <w:tc>
          <w:tcPr>
            <w:tcW w:w="990" w:type="pct"/>
            <w:gridSpan w:val="2"/>
            <w:tcBorders>
              <w:top w:val="nil"/>
              <w:left w:val="nil"/>
              <w:bottom w:val="nil"/>
              <w:right w:val="nil"/>
            </w:tcBorders>
            <w:shd w:val="clear" w:color="auto" w:fill="auto"/>
            <w:tcMar>
              <w:left w:w="28" w:type="dxa"/>
              <w:right w:w="28" w:type="dxa"/>
            </w:tcMar>
            <w:vAlign w:val="center"/>
          </w:tcPr>
          <w:p w14:paraId="7115CEFB">
            <w:pPr>
              <w:widowControl/>
              <w:adjustRightInd w:val="0"/>
              <w:snapToGrid w:val="0"/>
              <w:spacing w:line="240" w:lineRule="atLeast"/>
              <w:jc w:val="distribute"/>
              <w:rPr>
                <w:kern w:val="0"/>
                <w:sz w:val="18"/>
                <w:szCs w:val="18"/>
              </w:rPr>
            </w:pPr>
            <w:r>
              <w:rPr>
                <w:sz w:val="18"/>
                <w:szCs w:val="18"/>
              </w:rPr>
              <w:t>ＤＬ４０１表</w:t>
            </w:r>
          </w:p>
        </w:tc>
      </w:tr>
      <w:tr w14:paraId="008B8D37">
        <w:tblPrEx>
          <w:tblCellMar>
            <w:top w:w="0" w:type="dxa"/>
            <w:left w:w="108" w:type="dxa"/>
            <w:bottom w:w="0" w:type="dxa"/>
            <w:right w:w="108" w:type="dxa"/>
          </w:tblCellMar>
        </w:tblPrEx>
        <w:trPr>
          <w:jc w:val="center"/>
        </w:trPr>
        <w:tc>
          <w:tcPr>
            <w:tcW w:w="440" w:type="pct"/>
            <w:tcBorders>
              <w:top w:val="nil"/>
              <w:left w:val="nil"/>
              <w:bottom w:val="nil"/>
              <w:right w:val="nil"/>
            </w:tcBorders>
            <w:shd w:val="clear" w:color="auto" w:fill="auto"/>
            <w:noWrap/>
            <w:tcMar>
              <w:left w:w="28" w:type="dxa"/>
              <w:right w:w="28" w:type="dxa"/>
            </w:tcMar>
            <w:vAlign w:val="center"/>
          </w:tcPr>
          <w:p w14:paraId="797BD73C">
            <w:pPr>
              <w:widowControl/>
              <w:adjustRightInd w:val="0"/>
              <w:snapToGrid w:val="0"/>
              <w:spacing w:line="240" w:lineRule="atLeast"/>
              <w:jc w:val="left"/>
              <w:rPr>
                <w:kern w:val="0"/>
                <w:sz w:val="18"/>
                <w:szCs w:val="18"/>
              </w:rPr>
            </w:pPr>
          </w:p>
        </w:tc>
        <w:tc>
          <w:tcPr>
            <w:tcW w:w="463" w:type="pct"/>
            <w:gridSpan w:val="2"/>
            <w:tcBorders>
              <w:top w:val="nil"/>
              <w:left w:val="nil"/>
              <w:bottom w:val="nil"/>
              <w:right w:val="nil"/>
            </w:tcBorders>
            <w:shd w:val="clear" w:color="auto" w:fill="auto"/>
            <w:noWrap/>
            <w:tcMar>
              <w:left w:w="28" w:type="dxa"/>
              <w:right w:w="28" w:type="dxa"/>
            </w:tcMar>
            <w:vAlign w:val="center"/>
          </w:tcPr>
          <w:p w14:paraId="5352E38D">
            <w:pPr>
              <w:widowControl/>
              <w:adjustRightInd w:val="0"/>
              <w:snapToGrid w:val="0"/>
              <w:spacing w:line="240" w:lineRule="atLeast"/>
              <w:jc w:val="left"/>
              <w:rPr>
                <w:kern w:val="0"/>
                <w:sz w:val="18"/>
                <w:szCs w:val="18"/>
              </w:rPr>
            </w:pPr>
          </w:p>
        </w:tc>
        <w:tc>
          <w:tcPr>
            <w:tcW w:w="742" w:type="pct"/>
            <w:gridSpan w:val="2"/>
            <w:tcBorders>
              <w:top w:val="nil"/>
              <w:left w:val="nil"/>
              <w:bottom w:val="nil"/>
              <w:right w:val="nil"/>
            </w:tcBorders>
            <w:shd w:val="clear" w:color="auto" w:fill="auto"/>
            <w:noWrap/>
            <w:tcMar>
              <w:left w:w="28" w:type="dxa"/>
              <w:right w:w="28" w:type="dxa"/>
            </w:tcMar>
            <w:vAlign w:val="center"/>
          </w:tcPr>
          <w:p w14:paraId="03A142E9">
            <w:pPr>
              <w:widowControl/>
              <w:adjustRightInd w:val="0"/>
              <w:snapToGrid w:val="0"/>
              <w:spacing w:line="240" w:lineRule="atLeast"/>
              <w:jc w:val="left"/>
              <w:rPr>
                <w:kern w:val="0"/>
                <w:sz w:val="18"/>
                <w:szCs w:val="18"/>
              </w:rPr>
            </w:pPr>
          </w:p>
        </w:tc>
        <w:tc>
          <w:tcPr>
            <w:tcW w:w="191" w:type="pct"/>
            <w:tcBorders>
              <w:top w:val="nil"/>
              <w:left w:val="nil"/>
              <w:bottom w:val="nil"/>
              <w:right w:val="nil"/>
            </w:tcBorders>
            <w:shd w:val="clear" w:color="auto" w:fill="auto"/>
            <w:tcMar>
              <w:left w:w="28" w:type="dxa"/>
              <w:right w:w="28" w:type="dxa"/>
            </w:tcMar>
            <w:vAlign w:val="center"/>
          </w:tcPr>
          <w:p w14:paraId="65B8BC1F">
            <w:pPr>
              <w:widowControl/>
              <w:adjustRightInd w:val="0"/>
              <w:snapToGrid w:val="0"/>
              <w:spacing w:line="240" w:lineRule="atLeast"/>
              <w:jc w:val="left"/>
              <w:rPr>
                <w:kern w:val="0"/>
                <w:sz w:val="18"/>
                <w:szCs w:val="18"/>
              </w:rPr>
            </w:pPr>
          </w:p>
        </w:tc>
        <w:tc>
          <w:tcPr>
            <w:tcW w:w="405" w:type="pct"/>
            <w:gridSpan w:val="2"/>
            <w:tcBorders>
              <w:top w:val="nil"/>
              <w:left w:val="nil"/>
              <w:bottom w:val="nil"/>
              <w:right w:val="nil"/>
            </w:tcBorders>
            <w:shd w:val="clear" w:color="auto" w:fill="auto"/>
            <w:tcMar>
              <w:left w:w="28" w:type="dxa"/>
              <w:right w:w="28" w:type="dxa"/>
            </w:tcMar>
            <w:vAlign w:val="center"/>
          </w:tcPr>
          <w:p w14:paraId="4B9FA5F2">
            <w:pPr>
              <w:widowControl/>
              <w:adjustRightInd w:val="0"/>
              <w:snapToGrid w:val="0"/>
              <w:spacing w:line="240" w:lineRule="atLeast"/>
              <w:jc w:val="left"/>
              <w:rPr>
                <w:kern w:val="0"/>
                <w:sz w:val="18"/>
                <w:szCs w:val="18"/>
              </w:rPr>
            </w:pPr>
          </w:p>
        </w:tc>
        <w:tc>
          <w:tcPr>
            <w:tcW w:w="1278" w:type="pct"/>
            <w:gridSpan w:val="2"/>
            <w:tcBorders>
              <w:top w:val="nil"/>
              <w:left w:val="nil"/>
              <w:bottom w:val="nil"/>
              <w:right w:val="nil"/>
            </w:tcBorders>
            <w:shd w:val="clear" w:color="auto" w:fill="auto"/>
            <w:tcMar>
              <w:left w:w="28" w:type="dxa"/>
              <w:right w:w="28" w:type="dxa"/>
            </w:tcMar>
            <w:vAlign w:val="center"/>
          </w:tcPr>
          <w:p w14:paraId="3785E65F">
            <w:pPr>
              <w:widowControl/>
              <w:adjustRightInd w:val="0"/>
              <w:snapToGrid w:val="0"/>
              <w:spacing w:line="240" w:lineRule="atLeast"/>
              <w:jc w:val="left"/>
              <w:rPr>
                <w:kern w:val="0"/>
                <w:sz w:val="18"/>
                <w:szCs w:val="18"/>
              </w:rPr>
            </w:pPr>
          </w:p>
        </w:tc>
        <w:tc>
          <w:tcPr>
            <w:tcW w:w="487" w:type="pct"/>
            <w:tcBorders>
              <w:top w:val="nil"/>
              <w:left w:val="nil"/>
              <w:bottom w:val="nil"/>
              <w:right w:val="nil"/>
            </w:tcBorders>
            <w:shd w:val="clear" w:color="auto" w:fill="auto"/>
            <w:tcMar>
              <w:left w:w="28" w:type="dxa"/>
              <w:right w:w="28" w:type="dxa"/>
            </w:tcMar>
            <w:vAlign w:val="center"/>
          </w:tcPr>
          <w:p w14:paraId="7150959D">
            <w:pPr>
              <w:widowControl/>
              <w:adjustRightInd w:val="0"/>
              <w:snapToGrid w:val="0"/>
              <w:spacing w:line="24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990" w:type="pct"/>
            <w:gridSpan w:val="2"/>
            <w:tcBorders>
              <w:top w:val="nil"/>
              <w:left w:val="nil"/>
              <w:bottom w:val="nil"/>
              <w:right w:val="nil"/>
            </w:tcBorders>
            <w:shd w:val="clear" w:color="auto" w:fill="auto"/>
            <w:tcMar>
              <w:left w:w="28" w:type="dxa"/>
              <w:right w:w="28" w:type="dxa"/>
            </w:tcMar>
            <w:vAlign w:val="center"/>
          </w:tcPr>
          <w:p w14:paraId="666DD17E">
            <w:pPr>
              <w:widowControl/>
              <w:adjustRightInd w:val="0"/>
              <w:snapToGrid w:val="0"/>
              <w:spacing w:line="240" w:lineRule="atLeast"/>
              <w:jc w:val="distribute"/>
              <w:rPr>
                <w:kern w:val="0"/>
                <w:sz w:val="18"/>
                <w:szCs w:val="18"/>
              </w:rPr>
            </w:pPr>
            <w:r>
              <w:rPr>
                <w:kern w:val="0"/>
                <w:sz w:val="18"/>
                <w:szCs w:val="18"/>
              </w:rPr>
              <w:t>国家统计局</w:t>
            </w:r>
          </w:p>
        </w:tc>
      </w:tr>
      <w:tr w14:paraId="50CE59D9">
        <w:tblPrEx>
          <w:tblCellMar>
            <w:top w:w="0" w:type="dxa"/>
            <w:left w:w="108" w:type="dxa"/>
            <w:bottom w:w="0" w:type="dxa"/>
            <w:right w:w="108" w:type="dxa"/>
          </w:tblCellMar>
        </w:tblPrEx>
        <w:trPr>
          <w:jc w:val="center"/>
        </w:trPr>
        <w:tc>
          <w:tcPr>
            <w:tcW w:w="2244" w:type="pct"/>
            <w:gridSpan w:val="8"/>
            <w:tcBorders>
              <w:top w:val="nil"/>
              <w:left w:val="nil"/>
              <w:bottom w:val="nil"/>
              <w:right w:val="nil"/>
            </w:tcBorders>
            <w:shd w:val="clear" w:color="auto" w:fill="auto"/>
            <w:tcMar>
              <w:left w:w="28" w:type="dxa"/>
              <w:right w:w="28" w:type="dxa"/>
            </w:tcMar>
            <w:vAlign w:val="center"/>
          </w:tcPr>
          <w:p w14:paraId="5AE63E3B">
            <w:pPr>
              <w:widowControl/>
              <w:adjustRightInd w:val="0"/>
              <w:snapToGrid w:val="0"/>
              <w:spacing w:line="240" w:lineRule="atLeast"/>
              <w:jc w:val="left"/>
              <w:rPr>
                <w:kern w:val="0"/>
                <w:sz w:val="18"/>
                <w:szCs w:val="18"/>
              </w:rPr>
            </w:pPr>
          </w:p>
        </w:tc>
        <w:tc>
          <w:tcPr>
            <w:tcW w:w="1278" w:type="pct"/>
            <w:gridSpan w:val="2"/>
            <w:tcBorders>
              <w:top w:val="nil"/>
              <w:left w:val="nil"/>
              <w:bottom w:val="nil"/>
              <w:right w:val="nil"/>
            </w:tcBorders>
            <w:shd w:val="clear" w:color="auto" w:fill="auto"/>
            <w:tcMar>
              <w:left w:w="28" w:type="dxa"/>
              <w:right w:w="28" w:type="dxa"/>
            </w:tcMar>
            <w:vAlign w:val="center"/>
          </w:tcPr>
          <w:p w14:paraId="6F58966D">
            <w:pPr>
              <w:widowControl/>
              <w:adjustRightInd w:val="0"/>
              <w:snapToGrid w:val="0"/>
              <w:spacing w:line="240" w:lineRule="atLeast"/>
              <w:jc w:val="left"/>
              <w:rPr>
                <w:kern w:val="0"/>
                <w:sz w:val="18"/>
                <w:szCs w:val="18"/>
              </w:rPr>
            </w:pPr>
          </w:p>
        </w:tc>
        <w:tc>
          <w:tcPr>
            <w:tcW w:w="487" w:type="pct"/>
            <w:tcBorders>
              <w:top w:val="nil"/>
              <w:left w:val="nil"/>
              <w:bottom w:val="nil"/>
              <w:right w:val="nil"/>
            </w:tcBorders>
            <w:shd w:val="clear" w:color="auto" w:fill="auto"/>
            <w:tcMar>
              <w:left w:w="28" w:type="dxa"/>
              <w:right w:w="28" w:type="dxa"/>
            </w:tcMar>
            <w:vAlign w:val="center"/>
          </w:tcPr>
          <w:p w14:paraId="7BBAE4B0">
            <w:pPr>
              <w:widowControl/>
              <w:adjustRightInd w:val="0"/>
              <w:snapToGrid w:val="0"/>
              <w:spacing w:line="240" w:lineRule="atLeast"/>
              <w:jc w:val="left"/>
              <w:rPr>
                <w:kern w:val="0"/>
                <w:sz w:val="18"/>
                <w:szCs w:val="18"/>
              </w:rPr>
            </w:pPr>
            <w:r>
              <w:rPr>
                <w:kern w:val="0"/>
                <w:sz w:val="18"/>
                <w:szCs w:val="18"/>
              </w:rPr>
              <w:t>文　　号：</w:t>
            </w:r>
          </w:p>
        </w:tc>
        <w:tc>
          <w:tcPr>
            <w:tcW w:w="990" w:type="pct"/>
            <w:gridSpan w:val="2"/>
            <w:tcBorders>
              <w:top w:val="nil"/>
              <w:left w:val="nil"/>
              <w:bottom w:val="nil"/>
              <w:right w:val="nil"/>
            </w:tcBorders>
            <w:shd w:val="clear" w:color="auto" w:fill="auto"/>
            <w:tcMar>
              <w:left w:w="28" w:type="dxa"/>
              <w:right w:w="28" w:type="dxa"/>
            </w:tcMar>
            <w:vAlign w:val="center"/>
          </w:tcPr>
          <w:p w14:paraId="08E27837">
            <w:pPr>
              <w:widowControl/>
              <w:adjustRightInd w:val="0"/>
              <w:snapToGrid w:val="0"/>
              <w:spacing w:line="240" w:lineRule="atLeast"/>
              <w:jc w:val="distribute"/>
              <w:rPr>
                <w:rFonts w:ascii="宋体" w:hAnsi="宋体"/>
                <w:kern w:val="0"/>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412" w:author="kylin" w:date="2025-10-17T16:22:36Z">
              <w:r>
                <w:rPr>
                  <w:rFonts w:hint="default" w:ascii="宋体" w:hAnsi="宋体"/>
                  <w:spacing w:val="-16"/>
                  <w:sz w:val="18"/>
                  <w:szCs w:val="18"/>
                  <w:lang w:val="en-US" w:eastAsia="zh-CN"/>
                </w:rPr>
                <w:delText>４</w:delText>
              </w:r>
            </w:del>
            <w:ins w:id="413" w:author="kylin" w:date="2025-10-17T16:22:36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414" w:author="kylin" w:date="2025-10-17T16:22:38Z">
              <w:r>
                <w:rPr>
                  <w:rFonts w:hint="default" w:ascii="宋体" w:hAnsi="宋体"/>
                  <w:spacing w:val="-16"/>
                  <w:sz w:val="18"/>
                  <w:szCs w:val="18"/>
                  <w:lang w:val="en-US" w:eastAsia="zh-CN"/>
                </w:rPr>
                <w:delText>77</w:delText>
              </w:r>
            </w:del>
            <w:ins w:id="415" w:author="kylin" w:date="2025-10-17T16:22:38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4E872C99">
        <w:tblPrEx>
          <w:tblCellMar>
            <w:top w:w="0" w:type="dxa"/>
            <w:left w:w="108" w:type="dxa"/>
            <w:bottom w:w="0" w:type="dxa"/>
            <w:right w:w="108" w:type="dxa"/>
          </w:tblCellMar>
        </w:tblPrEx>
        <w:trPr>
          <w:jc w:val="center"/>
        </w:trPr>
        <w:tc>
          <w:tcPr>
            <w:tcW w:w="1838" w:type="pct"/>
            <w:gridSpan w:val="6"/>
            <w:tcBorders>
              <w:top w:val="nil"/>
              <w:left w:val="nil"/>
              <w:bottom w:val="nil"/>
              <w:right w:val="nil"/>
            </w:tcBorders>
            <w:shd w:val="clear" w:color="auto" w:fill="auto"/>
            <w:tcMar>
              <w:left w:w="28" w:type="dxa"/>
              <w:right w:w="28" w:type="dxa"/>
            </w:tcMar>
            <w:vAlign w:val="center"/>
          </w:tcPr>
          <w:p w14:paraId="7EA8F8AA">
            <w:pPr>
              <w:widowControl/>
              <w:adjustRightInd w:val="0"/>
              <w:snapToGrid w:val="0"/>
              <w:spacing w:line="240" w:lineRule="atLeast"/>
              <w:jc w:val="left"/>
              <w:rPr>
                <w:kern w:val="0"/>
                <w:sz w:val="18"/>
                <w:szCs w:val="18"/>
              </w:rPr>
            </w:pPr>
          </w:p>
        </w:tc>
        <w:tc>
          <w:tcPr>
            <w:tcW w:w="1684" w:type="pct"/>
            <w:gridSpan w:val="4"/>
            <w:tcBorders>
              <w:top w:val="nil"/>
              <w:left w:val="nil"/>
              <w:bottom w:val="nil"/>
            </w:tcBorders>
            <w:shd w:val="clear" w:color="auto" w:fill="auto"/>
            <w:noWrap/>
            <w:tcMar>
              <w:left w:w="28" w:type="dxa"/>
              <w:right w:w="28" w:type="dxa"/>
            </w:tcMar>
            <w:vAlign w:val="center"/>
          </w:tcPr>
          <w:p w14:paraId="48AFBB29">
            <w:pPr>
              <w:widowControl/>
              <w:adjustRightInd w:val="0"/>
              <w:snapToGrid w:val="0"/>
              <w:spacing w:line="240" w:lineRule="atLeast"/>
              <w:jc w:val="left"/>
              <w:rPr>
                <w:kern w:val="0"/>
                <w:sz w:val="18"/>
                <w:szCs w:val="18"/>
              </w:rPr>
            </w:pPr>
          </w:p>
        </w:tc>
        <w:tc>
          <w:tcPr>
            <w:tcW w:w="487" w:type="pct"/>
            <w:tcBorders>
              <w:top w:val="nil"/>
              <w:left w:val="nil"/>
              <w:bottom w:val="nil"/>
            </w:tcBorders>
            <w:shd w:val="clear" w:color="auto" w:fill="auto"/>
            <w:tcMar>
              <w:left w:w="28" w:type="dxa"/>
              <w:right w:w="28" w:type="dxa"/>
            </w:tcMar>
          </w:tcPr>
          <w:p w14:paraId="55EE69CA">
            <w:pPr>
              <w:adjustRightInd w:val="0"/>
              <w:snapToGrid w:val="0"/>
              <w:spacing w:line="240" w:lineRule="atLeast"/>
              <w:rPr>
                <w:kern w:val="0"/>
                <w:sz w:val="18"/>
                <w:szCs w:val="18"/>
              </w:rPr>
            </w:pPr>
            <w:r>
              <w:rPr>
                <w:kern w:val="0"/>
                <w:sz w:val="18"/>
                <w:szCs w:val="18"/>
              </w:rPr>
              <w:t>有效期至：</w:t>
            </w:r>
          </w:p>
        </w:tc>
        <w:tc>
          <w:tcPr>
            <w:tcW w:w="990" w:type="pct"/>
            <w:gridSpan w:val="2"/>
            <w:tcBorders>
              <w:top w:val="nil"/>
              <w:left w:val="nil"/>
              <w:bottom w:val="nil"/>
            </w:tcBorders>
            <w:shd w:val="clear" w:color="auto" w:fill="auto"/>
            <w:tcMar>
              <w:left w:w="28" w:type="dxa"/>
              <w:right w:w="28" w:type="dxa"/>
            </w:tcMar>
            <w:vAlign w:val="center"/>
          </w:tcPr>
          <w:p w14:paraId="76F4BC9F">
            <w:pPr>
              <w:widowControl/>
              <w:adjustRightInd w:val="0"/>
              <w:snapToGrid w:val="0"/>
              <w:spacing w:line="240" w:lineRule="atLeast"/>
              <w:jc w:val="distribute"/>
              <w:rPr>
                <w:rFonts w:hint="default" w:eastAsia="宋体"/>
                <w:kern w:val="0"/>
                <w:sz w:val="18"/>
                <w:szCs w:val="18"/>
                <w:lang w:val="en-US" w:eastAsia="zh-CN"/>
              </w:rPr>
            </w:pPr>
            <w:r>
              <w:rPr>
                <w:rFonts w:hint="default"/>
                <w:kern w:val="0"/>
                <w:sz w:val="18"/>
                <w:szCs w:val="18"/>
                <w:lang w:val="en-US" w:eastAsia="zh-CN"/>
              </w:rPr>
              <w:t>２０２</w:t>
            </w:r>
            <w:del w:id="416" w:author="kylin" w:date="2025-10-17T16:22:40Z">
              <w:r>
                <w:rPr>
                  <w:rFonts w:hint="default"/>
                  <w:kern w:val="0"/>
                  <w:sz w:val="18"/>
                  <w:szCs w:val="18"/>
                  <w:lang w:val="en-US" w:eastAsia="zh-CN"/>
                </w:rPr>
                <w:delText>６</w:delText>
              </w:r>
            </w:del>
            <w:ins w:id="417" w:author="kylin" w:date="2025-10-17T16:22:40Z">
              <w:r>
                <w:rPr>
                  <w:rFonts w:hint="eastAsia"/>
                  <w:kern w:val="0"/>
                  <w:sz w:val="18"/>
                  <w:szCs w:val="18"/>
                  <w:lang w:val="en-US" w:eastAsia="zh-CN"/>
                </w:rPr>
                <w:t>7</w:t>
              </w:r>
            </w:ins>
            <w:r>
              <w:rPr>
                <w:rFonts w:hint="default"/>
                <w:kern w:val="0"/>
                <w:sz w:val="18"/>
                <w:szCs w:val="18"/>
                <w:lang w:val="en-US" w:eastAsia="zh-CN"/>
              </w:rPr>
              <w:t>年１月</w:t>
            </w:r>
          </w:p>
        </w:tc>
      </w:tr>
      <w:tr w14:paraId="0A006456">
        <w:tblPrEx>
          <w:tblCellMar>
            <w:top w:w="0" w:type="dxa"/>
            <w:left w:w="108" w:type="dxa"/>
            <w:bottom w:w="0" w:type="dxa"/>
            <w:right w:w="108" w:type="dxa"/>
          </w:tblCellMar>
        </w:tblPrEx>
        <w:trPr>
          <w:jc w:val="center"/>
        </w:trPr>
        <w:tc>
          <w:tcPr>
            <w:tcW w:w="1838" w:type="pct"/>
            <w:gridSpan w:val="6"/>
            <w:tcBorders>
              <w:top w:val="nil"/>
              <w:left w:val="nil"/>
              <w:bottom w:val="single" w:color="auto" w:sz="4" w:space="0"/>
              <w:right w:val="nil"/>
            </w:tcBorders>
            <w:shd w:val="clear" w:color="auto" w:fill="auto"/>
            <w:tcMar>
              <w:left w:w="28" w:type="dxa"/>
              <w:right w:w="28" w:type="dxa"/>
            </w:tcMar>
            <w:vAlign w:val="center"/>
          </w:tcPr>
          <w:p w14:paraId="06032E0B">
            <w:pPr>
              <w:widowControl/>
              <w:adjustRightInd w:val="0"/>
              <w:snapToGrid w:val="0"/>
              <w:spacing w:line="240" w:lineRule="atLeast"/>
              <w:jc w:val="left"/>
              <w:rPr>
                <w:kern w:val="0"/>
                <w:sz w:val="18"/>
                <w:szCs w:val="18"/>
              </w:rPr>
            </w:pPr>
            <w:r>
              <w:rPr>
                <w:sz w:val="18"/>
              </w:rPr>
              <w:t>综合机关</w:t>
            </w:r>
            <w:r>
              <w:rPr>
                <w:kern w:val="0"/>
                <w:sz w:val="18"/>
                <w:szCs w:val="18"/>
              </w:rPr>
              <w:t>名称：</w:t>
            </w:r>
            <w:r>
              <w:rPr>
                <w:rFonts w:hint="eastAsia" w:ascii="宋体"/>
                <w:sz w:val="18"/>
              </w:rPr>
              <w:t>中国电力企业联合会</w:t>
            </w:r>
          </w:p>
        </w:tc>
        <w:tc>
          <w:tcPr>
            <w:tcW w:w="1684" w:type="pct"/>
            <w:gridSpan w:val="4"/>
            <w:tcBorders>
              <w:top w:val="nil"/>
              <w:left w:val="nil"/>
              <w:bottom w:val="single" w:color="auto" w:sz="4" w:space="0"/>
            </w:tcBorders>
            <w:shd w:val="clear" w:color="auto" w:fill="auto"/>
            <w:noWrap/>
            <w:tcMar>
              <w:left w:w="28" w:type="dxa"/>
              <w:right w:w="28" w:type="dxa"/>
            </w:tcMar>
          </w:tcPr>
          <w:p w14:paraId="7C41DBFC">
            <w:pPr>
              <w:adjustRightInd w:val="0"/>
              <w:snapToGrid w:val="0"/>
              <w:spacing w:line="240" w:lineRule="atLeast"/>
              <w:rPr>
                <w:kern w:val="0"/>
                <w:sz w:val="18"/>
                <w:szCs w:val="18"/>
              </w:rPr>
            </w:pPr>
            <w:r>
              <w:rPr>
                <w:kern w:val="0"/>
                <w:sz w:val="18"/>
                <w:szCs w:val="18"/>
              </w:rPr>
              <w:t>２０　　年　　　月</w:t>
            </w:r>
          </w:p>
        </w:tc>
        <w:tc>
          <w:tcPr>
            <w:tcW w:w="487" w:type="pct"/>
            <w:tcBorders>
              <w:top w:val="nil"/>
              <w:left w:val="nil"/>
              <w:bottom w:val="single" w:color="auto" w:sz="4" w:space="0"/>
            </w:tcBorders>
            <w:shd w:val="clear" w:color="auto" w:fill="auto"/>
            <w:tcMar>
              <w:left w:w="28" w:type="dxa"/>
              <w:right w:w="28" w:type="dxa"/>
            </w:tcMar>
          </w:tcPr>
          <w:p w14:paraId="7DDCB34E">
            <w:pPr>
              <w:adjustRightInd w:val="0"/>
              <w:snapToGrid w:val="0"/>
              <w:spacing w:line="240" w:lineRule="atLeast"/>
              <w:rPr>
                <w:kern w:val="0"/>
                <w:sz w:val="18"/>
                <w:szCs w:val="18"/>
              </w:rPr>
            </w:pPr>
            <w:r>
              <w:rPr>
                <w:kern w:val="0"/>
                <w:sz w:val="18"/>
                <w:szCs w:val="18"/>
              </w:rPr>
              <w:t>计量单位：</w:t>
            </w:r>
          </w:p>
        </w:tc>
        <w:tc>
          <w:tcPr>
            <w:tcW w:w="990" w:type="pct"/>
            <w:gridSpan w:val="2"/>
            <w:tcBorders>
              <w:top w:val="nil"/>
              <w:left w:val="nil"/>
              <w:bottom w:val="single" w:color="auto" w:sz="4" w:space="0"/>
            </w:tcBorders>
            <w:shd w:val="clear" w:color="auto" w:fill="auto"/>
            <w:tcMar>
              <w:left w:w="28" w:type="dxa"/>
              <w:right w:w="28" w:type="dxa"/>
            </w:tcMar>
            <w:vAlign w:val="center"/>
          </w:tcPr>
          <w:p w14:paraId="0472D55C">
            <w:pPr>
              <w:widowControl/>
              <w:adjustRightInd w:val="0"/>
              <w:snapToGrid w:val="0"/>
              <w:spacing w:line="240" w:lineRule="atLeast"/>
              <w:jc w:val="distribute"/>
              <w:rPr>
                <w:kern w:val="0"/>
                <w:sz w:val="18"/>
                <w:szCs w:val="18"/>
              </w:rPr>
            </w:pPr>
            <w:r>
              <w:rPr>
                <w:kern w:val="0"/>
                <w:sz w:val="18"/>
                <w:szCs w:val="18"/>
              </w:rPr>
              <w:t>万千瓦时</w:t>
            </w:r>
          </w:p>
        </w:tc>
      </w:tr>
      <w:tr w14:paraId="37069F3D">
        <w:tblPrEx>
          <w:tblCellMar>
            <w:top w:w="0" w:type="dxa"/>
            <w:left w:w="108" w:type="dxa"/>
            <w:bottom w:w="0" w:type="dxa"/>
            <w:right w:w="108" w:type="dxa"/>
          </w:tblCellMar>
        </w:tblPrEx>
        <w:trPr>
          <w:trHeight w:val="340" w:hRule="atLeast"/>
          <w:jc w:val="center"/>
        </w:trPr>
        <w:tc>
          <w:tcPr>
            <w:tcW w:w="821" w:type="pct"/>
            <w:gridSpan w:val="2"/>
            <w:vMerge w:val="restart"/>
            <w:tcBorders>
              <w:top w:val="single" w:color="auto" w:sz="8" w:space="0"/>
              <w:left w:val="nil"/>
              <w:bottom w:val="single" w:color="auto" w:sz="2" w:space="0"/>
              <w:right w:val="single" w:color="auto" w:sz="2" w:space="0"/>
            </w:tcBorders>
            <w:shd w:val="clear" w:color="auto" w:fill="auto"/>
            <w:vAlign w:val="center"/>
          </w:tcPr>
          <w:p w14:paraId="619F8213">
            <w:pPr>
              <w:jc w:val="center"/>
              <w:rPr>
                <w:kern w:val="0"/>
                <w:sz w:val="18"/>
                <w:szCs w:val="18"/>
              </w:rPr>
            </w:pPr>
            <w:r>
              <w:rPr>
                <w:kern w:val="0"/>
                <w:sz w:val="18"/>
                <w:szCs w:val="18"/>
              </w:rPr>
              <w:t>指标名称</w:t>
            </w:r>
          </w:p>
        </w:tc>
        <w:tc>
          <w:tcPr>
            <w:tcW w:w="398" w:type="pct"/>
            <w:gridSpan w:val="2"/>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5A5A5B61">
            <w:pPr>
              <w:jc w:val="center"/>
              <w:rPr>
                <w:kern w:val="0"/>
                <w:sz w:val="18"/>
                <w:szCs w:val="18"/>
              </w:rPr>
            </w:pPr>
            <w:r>
              <w:rPr>
                <w:kern w:val="0"/>
                <w:sz w:val="18"/>
                <w:szCs w:val="18"/>
              </w:rPr>
              <w:t>代码</w:t>
            </w:r>
          </w:p>
        </w:tc>
        <w:tc>
          <w:tcPr>
            <w:tcW w:w="1842" w:type="pct"/>
            <w:gridSpan w:val="5"/>
            <w:tcBorders>
              <w:top w:val="single" w:color="auto" w:sz="8" w:space="0"/>
              <w:left w:val="single" w:color="auto" w:sz="2" w:space="0"/>
              <w:bottom w:val="single" w:color="auto" w:sz="2" w:space="0"/>
              <w:right w:val="single" w:color="auto" w:sz="2" w:space="0"/>
            </w:tcBorders>
            <w:shd w:val="clear" w:color="auto" w:fill="auto"/>
            <w:vAlign w:val="center"/>
          </w:tcPr>
          <w:p w14:paraId="323799A4">
            <w:pPr>
              <w:widowControl/>
              <w:jc w:val="center"/>
              <w:rPr>
                <w:kern w:val="0"/>
                <w:sz w:val="18"/>
                <w:szCs w:val="18"/>
              </w:rPr>
            </w:pPr>
            <w:r>
              <w:rPr>
                <w:kern w:val="0"/>
                <w:sz w:val="18"/>
                <w:szCs w:val="18"/>
              </w:rPr>
              <w:t>输入电量</w:t>
            </w:r>
          </w:p>
        </w:tc>
        <w:tc>
          <w:tcPr>
            <w:tcW w:w="1936" w:type="pct"/>
            <w:gridSpan w:val="4"/>
            <w:tcBorders>
              <w:top w:val="single" w:color="auto" w:sz="8" w:space="0"/>
              <w:left w:val="single" w:color="auto" w:sz="2" w:space="0"/>
              <w:bottom w:val="single" w:color="auto" w:sz="2" w:space="0"/>
              <w:right w:val="nil"/>
            </w:tcBorders>
            <w:shd w:val="clear" w:color="auto" w:fill="auto"/>
            <w:vAlign w:val="center"/>
          </w:tcPr>
          <w:p w14:paraId="362977B4">
            <w:pPr>
              <w:widowControl/>
              <w:jc w:val="center"/>
              <w:rPr>
                <w:kern w:val="0"/>
                <w:sz w:val="18"/>
                <w:szCs w:val="18"/>
              </w:rPr>
            </w:pPr>
            <w:r>
              <w:rPr>
                <w:kern w:val="0"/>
                <w:sz w:val="18"/>
                <w:szCs w:val="18"/>
              </w:rPr>
              <w:t>输出电量</w:t>
            </w:r>
          </w:p>
        </w:tc>
      </w:tr>
      <w:tr w14:paraId="157CBCF1">
        <w:tblPrEx>
          <w:tblCellMar>
            <w:top w:w="0" w:type="dxa"/>
            <w:left w:w="108" w:type="dxa"/>
            <w:bottom w:w="0" w:type="dxa"/>
            <w:right w:w="108" w:type="dxa"/>
          </w:tblCellMar>
        </w:tblPrEx>
        <w:trPr>
          <w:trHeight w:val="454" w:hRule="atLeast"/>
          <w:jc w:val="center"/>
        </w:trPr>
        <w:tc>
          <w:tcPr>
            <w:tcW w:w="821" w:type="pct"/>
            <w:gridSpan w:val="2"/>
            <w:vMerge w:val="continue"/>
            <w:tcBorders>
              <w:top w:val="single" w:color="auto" w:sz="2" w:space="0"/>
              <w:left w:val="nil"/>
              <w:bottom w:val="single" w:color="auto" w:sz="2" w:space="0"/>
              <w:right w:val="single" w:color="auto" w:sz="2" w:space="0"/>
            </w:tcBorders>
            <w:shd w:val="clear" w:color="auto" w:fill="auto"/>
            <w:vAlign w:val="center"/>
          </w:tcPr>
          <w:p w14:paraId="3EEA2434">
            <w:pPr>
              <w:widowControl/>
              <w:jc w:val="center"/>
              <w:rPr>
                <w:kern w:val="0"/>
                <w:sz w:val="18"/>
                <w:szCs w:val="18"/>
              </w:rPr>
            </w:pPr>
          </w:p>
        </w:tc>
        <w:tc>
          <w:tcPr>
            <w:tcW w:w="398" w:type="pct"/>
            <w:gridSpan w:val="2"/>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D02840D">
            <w:pPr>
              <w:widowControl/>
              <w:jc w:val="center"/>
              <w:rPr>
                <w:kern w:val="0"/>
                <w:sz w:val="18"/>
                <w:szCs w:val="18"/>
              </w:rPr>
            </w:pPr>
          </w:p>
        </w:tc>
        <w:tc>
          <w:tcPr>
            <w:tcW w:w="917"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29CD0B49">
            <w:pPr>
              <w:widowControl/>
              <w:jc w:val="center"/>
              <w:rPr>
                <w:rFonts w:ascii="宋体" w:hAnsi="宋体"/>
                <w:kern w:val="0"/>
                <w:sz w:val="18"/>
                <w:szCs w:val="18"/>
              </w:rPr>
            </w:pPr>
            <w:r>
              <w:rPr>
                <w:rFonts w:ascii="宋体" w:hAnsi="宋体"/>
                <w:kern w:val="0"/>
                <w:sz w:val="18"/>
                <w:szCs w:val="18"/>
              </w:rPr>
              <w:t>1</w:t>
            </w:r>
            <w:r>
              <w:rPr>
                <w:kern w:val="0"/>
                <w:sz w:val="18"/>
                <w:szCs w:val="18"/>
              </w:rPr>
              <w:t>－</w:t>
            </w:r>
            <w:r>
              <w:rPr>
                <w:rFonts w:ascii="宋体" w:hAnsi="宋体"/>
                <w:kern w:val="0"/>
                <w:sz w:val="18"/>
                <w:szCs w:val="18"/>
              </w:rPr>
              <w:t>本月</w:t>
            </w:r>
          </w:p>
        </w:tc>
        <w:tc>
          <w:tcPr>
            <w:tcW w:w="92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7EBC2F40">
            <w:pPr>
              <w:widowControl/>
              <w:jc w:val="center"/>
              <w:rPr>
                <w:rFonts w:ascii="宋体" w:hAnsi="宋体"/>
                <w:kern w:val="0"/>
                <w:sz w:val="18"/>
                <w:szCs w:val="18"/>
              </w:rPr>
            </w:pPr>
            <w:r>
              <w:rPr>
                <w:rFonts w:ascii="宋体" w:hAnsi="宋体"/>
                <w:kern w:val="0"/>
                <w:sz w:val="18"/>
                <w:szCs w:val="18"/>
              </w:rPr>
              <w:t>上年同期</w:t>
            </w:r>
          </w:p>
        </w:tc>
        <w:tc>
          <w:tcPr>
            <w:tcW w:w="1009"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5DE80757">
            <w:pPr>
              <w:widowControl/>
              <w:jc w:val="center"/>
              <w:rPr>
                <w:rFonts w:ascii="宋体" w:hAnsi="宋体"/>
                <w:kern w:val="0"/>
                <w:sz w:val="18"/>
                <w:szCs w:val="18"/>
              </w:rPr>
            </w:pPr>
            <w:r>
              <w:rPr>
                <w:rFonts w:ascii="宋体" w:hAnsi="宋体"/>
                <w:kern w:val="0"/>
                <w:sz w:val="18"/>
                <w:szCs w:val="18"/>
              </w:rPr>
              <w:t>1</w:t>
            </w:r>
            <w:r>
              <w:rPr>
                <w:kern w:val="0"/>
                <w:sz w:val="18"/>
                <w:szCs w:val="18"/>
              </w:rPr>
              <w:t>－</w:t>
            </w:r>
            <w:r>
              <w:rPr>
                <w:rFonts w:ascii="宋体" w:hAnsi="宋体"/>
                <w:kern w:val="0"/>
                <w:sz w:val="18"/>
                <w:szCs w:val="18"/>
              </w:rPr>
              <w:t>本月</w:t>
            </w:r>
          </w:p>
        </w:tc>
        <w:tc>
          <w:tcPr>
            <w:tcW w:w="927" w:type="pct"/>
            <w:tcBorders>
              <w:top w:val="single" w:color="auto" w:sz="2" w:space="0"/>
              <w:left w:val="single" w:color="auto" w:sz="2" w:space="0"/>
              <w:bottom w:val="single" w:color="auto" w:sz="2" w:space="0"/>
              <w:right w:val="nil"/>
            </w:tcBorders>
            <w:shd w:val="clear" w:color="auto" w:fill="auto"/>
            <w:vAlign w:val="center"/>
          </w:tcPr>
          <w:p w14:paraId="0FAB4075">
            <w:pPr>
              <w:widowControl/>
              <w:jc w:val="center"/>
              <w:rPr>
                <w:kern w:val="0"/>
                <w:sz w:val="18"/>
                <w:szCs w:val="18"/>
              </w:rPr>
            </w:pPr>
            <w:r>
              <w:rPr>
                <w:kern w:val="0"/>
                <w:sz w:val="18"/>
                <w:szCs w:val="18"/>
              </w:rPr>
              <w:t>上年同期</w:t>
            </w:r>
          </w:p>
        </w:tc>
      </w:tr>
      <w:tr w14:paraId="309D54A9">
        <w:tblPrEx>
          <w:tblCellMar>
            <w:top w:w="0" w:type="dxa"/>
            <w:left w:w="108" w:type="dxa"/>
            <w:bottom w:w="0" w:type="dxa"/>
            <w:right w:w="108" w:type="dxa"/>
          </w:tblCellMar>
        </w:tblPrEx>
        <w:trPr>
          <w:trHeight w:val="300" w:hRule="atLeast"/>
          <w:jc w:val="center"/>
        </w:trPr>
        <w:tc>
          <w:tcPr>
            <w:tcW w:w="821" w:type="pct"/>
            <w:gridSpan w:val="2"/>
            <w:tcBorders>
              <w:top w:val="single" w:color="auto" w:sz="2" w:space="0"/>
              <w:left w:val="nil"/>
              <w:bottom w:val="single" w:color="auto" w:sz="2" w:space="0"/>
              <w:right w:val="single" w:color="auto" w:sz="2" w:space="0"/>
            </w:tcBorders>
            <w:shd w:val="clear" w:color="auto" w:fill="auto"/>
            <w:vAlign w:val="center"/>
          </w:tcPr>
          <w:p w14:paraId="46D8B653">
            <w:pPr>
              <w:widowControl/>
              <w:spacing w:line="240" w:lineRule="atLeast"/>
              <w:jc w:val="center"/>
              <w:textAlignment w:val="center"/>
              <w:rPr>
                <w:kern w:val="0"/>
                <w:sz w:val="18"/>
                <w:szCs w:val="18"/>
              </w:rPr>
            </w:pPr>
            <w:r>
              <w:rPr>
                <w:kern w:val="0"/>
                <w:sz w:val="18"/>
                <w:szCs w:val="18"/>
              </w:rPr>
              <w:t>甲</w:t>
            </w:r>
          </w:p>
        </w:tc>
        <w:tc>
          <w:tcPr>
            <w:tcW w:w="398"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4AECE5BA">
            <w:pPr>
              <w:widowControl/>
              <w:spacing w:line="240" w:lineRule="atLeast"/>
              <w:jc w:val="center"/>
              <w:textAlignment w:val="center"/>
              <w:rPr>
                <w:kern w:val="0"/>
                <w:sz w:val="18"/>
                <w:szCs w:val="18"/>
              </w:rPr>
            </w:pPr>
            <w:r>
              <w:rPr>
                <w:kern w:val="0"/>
                <w:sz w:val="18"/>
                <w:szCs w:val="18"/>
              </w:rPr>
              <w:t>乙</w:t>
            </w:r>
          </w:p>
        </w:tc>
        <w:tc>
          <w:tcPr>
            <w:tcW w:w="917"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002D6DF3">
            <w:pPr>
              <w:widowControl/>
              <w:spacing w:line="240" w:lineRule="atLeast"/>
              <w:jc w:val="center"/>
              <w:textAlignment w:val="center"/>
              <w:rPr>
                <w:kern w:val="0"/>
                <w:sz w:val="18"/>
                <w:szCs w:val="18"/>
              </w:rPr>
            </w:pPr>
            <w:r>
              <w:rPr>
                <w:kern w:val="0"/>
                <w:sz w:val="18"/>
                <w:szCs w:val="18"/>
              </w:rPr>
              <w:t>1</w:t>
            </w:r>
          </w:p>
        </w:tc>
        <w:tc>
          <w:tcPr>
            <w:tcW w:w="92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5EB41E4C">
            <w:pPr>
              <w:widowControl/>
              <w:spacing w:line="240" w:lineRule="atLeast"/>
              <w:jc w:val="center"/>
              <w:textAlignment w:val="center"/>
              <w:rPr>
                <w:kern w:val="0"/>
                <w:sz w:val="18"/>
                <w:szCs w:val="18"/>
              </w:rPr>
            </w:pPr>
            <w:r>
              <w:rPr>
                <w:kern w:val="0"/>
                <w:sz w:val="18"/>
                <w:szCs w:val="18"/>
              </w:rPr>
              <w:t>2</w:t>
            </w:r>
          </w:p>
        </w:tc>
        <w:tc>
          <w:tcPr>
            <w:tcW w:w="1009"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4A5E6C4F">
            <w:pPr>
              <w:widowControl/>
              <w:spacing w:line="240" w:lineRule="atLeast"/>
              <w:jc w:val="center"/>
              <w:textAlignment w:val="center"/>
              <w:rPr>
                <w:kern w:val="0"/>
                <w:sz w:val="18"/>
                <w:szCs w:val="18"/>
              </w:rPr>
            </w:pPr>
            <w:r>
              <w:rPr>
                <w:kern w:val="0"/>
                <w:sz w:val="18"/>
                <w:szCs w:val="18"/>
              </w:rPr>
              <w:t>3</w:t>
            </w:r>
          </w:p>
        </w:tc>
        <w:tc>
          <w:tcPr>
            <w:tcW w:w="927" w:type="pct"/>
            <w:tcBorders>
              <w:top w:val="single" w:color="auto" w:sz="2" w:space="0"/>
              <w:left w:val="single" w:color="auto" w:sz="2" w:space="0"/>
              <w:bottom w:val="single" w:color="auto" w:sz="2" w:space="0"/>
              <w:right w:val="nil"/>
            </w:tcBorders>
            <w:shd w:val="clear" w:color="auto" w:fill="auto"/>
            <w:vAlign w:val="center"/>
          </w:tcPr>
          <w:p w14:paraId="5D84DB8B">
            <w:pPr>
              <w:widowControl/>
              <w:spacing w:line="240" w:lineRule="atLeast"/>
              <w:jc w:val="center"/>
              <w:textAlignment w:val="center"/>
              <w:rPr>
                <w:kern w:val="0"/>
                <w:sz w:val="18"/>
                <w:szCs w:val="18"/>
              </w:rPr>
            </w:pPr>
            <w:r>
              <w:rPr>
                <w:kern w:val="0"/>
                <w:sz w:val="18"/>
                <w:szCs w:val="18"/>
              </w:rPr>
              <w:t>4</w:t>
            </w:r>
          </w:p>
        </w:tc>
      </w:tr>
      <w:tr w14:paraId="2274E3C9">
        <w:tblPrEx>
          <w:tblCellMar>
            <w:top w:w="0" w:type="dxa"/>
            <w:left w:w="108" w:type="dxa"/>
            <w:bottom w:w="0" w:type="dxa"/>
            <w:right w:w="108" w:type="dxa"/>
          </w:tblCellMar>
        </w:tblPrEx>
        <w:trPr>
          <w:trHeight w:val="285" w:hRule="atLeast"/>
          <w:jc w:val="center"/>
        </w:trPr>
        <w:tc>
          <w:tcPr>
            <w:tcW w:w="821" w:type="pct"/>
            <w:gridSpan w:val="2"/>
            <w:tcBorders>
              <w:top w:val="single" w:color="auto" w:sz="2" w:space="0"/>
              <w:left w:val="nil"/>
              <w:right w:val="single" w:color="auto" w:sz="2" w:space="0"/>
            </w:tcBorders>
            <w:shd w:val="clear" w:color="auto" w:fill="auto"/>
            <w:vAlign w:val="center"/>
          </w:tcPr>
          <w:p w14:paraId="14F3E3B7">
            <w:pPr>
              <w:widowControl/>
              <w:jc w:val="center"/>
              <w:rPr>
                <w:kern w:val="0"/>
                <w:sz w:val="18"/>
                <w:szCs w:val="18"/>
              </w:rPr>
            </w:pPr>
            <w:r>
              <w:rPr>
                <w:kern w:val="0"/>
                <w:sz w:val="18"/>
                <w:szCs w:val="18"/>
              </w:rPr>
              <w:t>合  计</w:t>
            </w:r>
          </w:p>
        </w:tc>
        <w:tc>
          <w:tcPr>
            <w:tcW w:w="398" w:type="pct"/>
            <w:gridSpan w:val="2"/>
            <w:tcBorders>
              <w:top w:val="single" w:color="auto" w:sz="2" w:space="0"/>
              <w:left w:val="single" w:color="auto" w:sz="2" w:space="0"/>
              <w:right w:val="single" w:color="auto" w:sz="2" w:space="0"/>
            </w:tcBorders>
            <w:shd w:val="clear" w:color="auto" w:fill="auto"/>
            <w:vAlign w:val="center"/>
          </w:tcPr>
          <w:p w14:paraId="5FA996BD">
            <w:pPr>
              <w:widowControl/>
              <w:spacing w:line="240" w:lineRule="exact"/>
              <w:jc w:val="center"/>
              <w:rPr>
                <w:kern w:val="0"/>
                <w:sz w:val="18"/>
                <w:szCs w:val="18"/>
              </w:rPr>
            </w:pPr>
            <w:r>
              <w:rPr>
                <w:kern w:val="0"/>
                <w:sz w:val="18"/>
                <w:szCs w:val="18"/>
              </w:rPr>
              <w:t>01</w:t>
            </w:r>
          </w:p>
        </w:tc>
        <w:tc>
          <w:tcPr>
            <w:tcW w:w="3779" w:type="pct"/>
            <w:gridSpan w:val="9"/>
            <w:vMerge w:val="restart"/>
            <w:tcBorders>
              <w:top w:val="single" w:color="auto" w:sz="2" w:space="0"/>
              <w:left w:val="single" w:color="auto" w:sz="2" w:space="0"/>
            </w:tcBorders>
            <w:shd w:val="clear" w:color="auto" w:fill="auto"/>
            <w:noWrap/>
            <w:vAlign w:val="center"/>
          </w:tcPr>
          <w:p w14:paraId="22F8E3D0">
            <w:pPr>
              <w:jc w:val="left"/>
              <w:rPr>
                <w:kern w:val="0"/>
                <w:sz w:val="20"/>
                <w:szCs w:val="20"/>
              </w:rPr>
            </w:pPr>
          </w:p>
        </w:tc>
      </w:tr>
      <w:tr w14:paraId="04B94898">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27F66A4D">
            <w:pPr>
              <w:widowControl/>
              <w:jc w:val="center"/>
              <w:rPr>
                <w:kern w:val="0"/>
                <w:sz w:val="18"/>
                <w:szCs w:val="18"/>
              </w:rPr>
            </w:pPr>
            <w:r>
              <w:rPr>
                <w:kern w:val="0"/>
                <w:sz w:val="18"/>
                <w:szCs w:val="18"/>
              </w:rPr>
              <w:t>北  京</w:t>
            </w:r>
          </w:p>
        </w:tc>
        <w:tc>
          <w:tcPr>
            <w:tcW w:w="398" w:type="pct"/>
            <w:gridSpan w:val="2"/>
            <w:tcBorders>
              <w:left w:val="single" w:color="auto" w:sz="2" w:space="0"/>
              <w:right w:val="single" w:color="auto" w:sz="2" w:space="0"/>
            </w:tcBorders>
            <w:shd w:val="clear" w:color="auto" w:fill="auto"/>
            <w:vAlign w:val="center"/>
          </w:tcPr>
          <w:p w14:paraId="54B7EF49">
            <w:pPr>
              <w:widowControl/>
              <w:spacing w:line="240" w:lineRule="exact"/>
              <w:jc w:val="center"/>
              <w:rPr>
                <w:kern w:val="0"/>
                <w:sz w:val="18"/>
                <w:szCs w:val="18"/>
              </w:rPr>
            </w:pPr>
            <w:r>
              <w:rPr>
                <w:kern w:val="0"/>
                <w:sz w:val="18"/>
                <w:szCs w:val="18"/>
              </w:rPr>
              <w:t>02</w:t>
            </w:r>
          </w:p>
        </w:tc>
        <w:tc>
          <w:tcPr>
            <w:tcW w:w="3779" w:type="pct"/>
            <w:gridSpan w:val="9"/>
            <w:vMerge w:val="continue"/>
            <w:tcBorders>
              <w:left w:val="single" w:color="auto" w:sz="2" w:space="0"/>
            </w:tcBorders>
            <w:shd w:val="clear" w:color="auto" w:fill="auto"/>
            <w:noWrap/>
            <w:vAlign w:val="center"/>
          </w:tcPr>
          <w:p w14:paraId="10BDDC83">
            <w:pPr>
              <w:jc w:val="left"/>
              <w:rPr>
                <w:kern w:val="0"/>
                <w:sz w:val="20"/>
                <w:szCs w:val="20"/>
              </w:rPr>
            </w:pPr>
          </w:p>
        </w:tc>
      </w:tr>
      <w:tr w14:paraId="0FC2DD8F">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FD52728">
            <w:pPr>
              <w:widowControl/>
              <w:jc w:val="center"/>
              <w:rPr>
                <w:kern w:val="0"/>
                <w:sz w:val="18"/>
                <w:szCs w:val="18"/>
              </w:rPr>
            </w:pPr>
            <w:r>
              <w:rPr>
                <w:kern w:val="0"/>
                <w:sz w:val="18"/>
                <w:szCs w:val="18"/>
              </w:rPr>
              <w:t>天  津</w:t>
            </w:r>
          </w:p>
        </w:tc>
        <w:tc>
          <w:tcPr>
            <w:tcW w:w="398" w:type="pct"/>
            <w:gridSpan w:val="2"/>
            <w:tcBorders>
              <w:left w:val="single" w:color="auto" w:sz="2" w:space="0"/>
              <w:right w:val="single" w:color="auto" w:sz="2" w:space="0"/>
            </w:tcBorders>
            <w:shd w:val="clear" w:color="auto" w:fill="auto"/>
            <w:vAlign w:val="center"/>
          </w:tcPr>
          <w:p w14:paraId="1F238B4E">
            <w:pPr>
              <w:widowControl/>
              <w:spacing w:line="240" w:lineRule="exact"/>
              <w:jc w:val="center"/>
              <w:rPr>
                <w:kern w:val="0"/>
                <w:sz w:val="18"/>
                <w:szCs w:val="18"/>
              </w:rPr>
            </w:pPr>
            <w:r>
              <w:rPr>
                <w:kern w:val="0"/>
                <w:sz w:val="18"/>
                <w:szCs w:val="18"/>
              </w:rPr>
              <w:t>03</w:t>
            </w:r>
          </w:p>
        </w:tc>
        <w:tc>
          <w:tcPr>
            <w:tcW w:w="3779" w:type="pct"/>
            <w:gridSpan w:val="9"/>
            <w:vMerge w:val="continue"/>
            <w:tcBorders>
              <w:left w:val="single" w:color="auto" w:sz="2" w:space="0"/>
            </w:tcBorders>
            <w:shd w:val="clear" w:color="auto" w:fill="auto"/>
            <w:noWrap/>
            <w:vAlign w:val="center"/>
          </w:tcPr>
          <w:p w14:paraId="776EA84A">
            <w:pPr>
              <w:jc w:val="left"/>
              <w:rPr>
                <w:kern w:val="0"/>
                <w:sz w:val="20"/>
                <w:szCs w:val="20"/>
              </w:rPr>
            </w:pPr>
          </w:p>
        </w:tc>
      </w:tr>
      <w:tr w14:paraId="1994D5D2">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6703DA9">
            <w:pPr>
              <w:widowControl/>
              <w:jc w:val="center"/>
              <w:rPr>
                <w:kern w:val="0"/>
                <w:sz w:val="18"/>
                <w:szCs w:val="18"/>
              </w:rPr>
            </w:pPr>
            <w:r>
              <w:rPr>
                <w:kern w:val="0"/>
                <w:sz w:val="18"/>
                <w:szCs w:val="18"/>
              </w:rPr>
              <w:t>河  北</w:t>
            </w:r>
          </w:p>
        </w:tc>
        <w:tc>
          <w:tcPr>
            <w:tcW w:w="398" w:type="pct"/>
            <w:gridSpan w:val="2"/>
            <w:tcBorders>
              <w:left w:val="single" w:color="auto" w:sz="2" w:space="0"/>
              <w:right w:val="single" w:color="auto" w:sz="2" w:space="0"/>
            </w:tcBorders>
            <w:shd w:val="clear" w:color="auto" w:fill="auto"/>
            <w:vAlign w:val="center"/>
          </w:tcPr>
          <w:p w14:paraId="19DC51FE">
            <w:pPr>
              <w:widowControl/>
              <w:spacing w:line="240" w:lineRule="exact"/>
              <w:jc w:val="center"/>
              <w:rPr>
                <w:kern w:val="0"/>
                <w:sz w:val="18"/>
                <w:szCs w:val="18"/>
              </w:rPr>
            </w:pPr>
            <w:r>
              <w:rPr>
                <w:kern w:val="0"/>
                <w:sz w:val="18"/>
                <w:szCs w:val="18"/>
              </w:rPr>
              <w:t>04</w:t>
            </w:r>
          </w:p>
        </w:tc>
        <w:tc>
          <w:tcPr>
            <w:tcW w:w="3779" w:type="pct"/>
            <w:gridSpan w:val="9"/>
            <w:vMerge w:val="continue"/>
            <w:tcBorders>
              <w:left w:val="single" w:color="auto" w:sz="2" w:space="0"/>
            </w:tcBorders>
            <w:shd w:val="clear" w:color="auto" w:fill="auto"/>
            <w:noWrap/>
            <w:vAlign w:val="center"/>
          </w:tcPr>
          <w:p w14:paraId="7FC5CB6C">
            <w:pPr>
              <w:jc w:val="left"/>
              <w:rPr>
                <w:kern w:val="0"/>
                <w:sz w:val="20"/>
                <w:szCs w:val="20"/>
              </w:rPr>
            </w:pPr>
          </w:p>
        </w:tc>
      </w:tr>
      <w:tr w14:paraId="4C96EB09">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4BF7BD3F">
            <w:pPr>
              <w:widowControl/>
              <w:jc w:val="center"/>
              <w:rPr>
                <w:kern w:val="0"/>
                <w:sz w:val="18"/>
                <w:szCs w:val="18"/>
              </w:rPr>
            </w:pPr>
            <w:r>
              <w:rPr>
                <w:kern w:val="0"/>
                <w:sz w:val="18"/>
                <w:szCs w:val="18"/>
              </w:rPr>
              <w:t>山  西</w:t>
            </w:r>
          </w:p>
        </w:tc>
        <w:tc>
          <w:tcPr>
            <w:tcW w:w="398" w:type="pct"/>
            <w:gridSpan w:val="2"/>
            <w:tcBorders>
              <w:left w:val="single" w:color="auto" w:sz="2" w:space="0"/>
              <w:right w:val="single" w:color="auto" w:sz="2" w:space="0"/>
            </w:tcBorders>
            <w:shd w:val="clear" w:color="auto" w:fill="auto"/>
            <w:vAlign w:val="center"/>
          </w:tcPr>
          <w:p w14:paraId="57E72C7A">
            <w:pPr>
              <w:widowControl/>
              <w:spacing w:line="240" w:lineRule="exact"/>
              <w:jc w:val="center"/>
              <w:rPr>
                <w:kern w:val="0"/>
                <w:sz w:val="18"/>
                <w:szCs w:val="18"/>
              </w:rPr>
            </w:pPr>
            <w:r>
              <w:rPr>
                <w:kern w:val="0"/>
                <w:sz w:val="18"/>
                <w:szCs w:val="18"/>
              </w:rPr>
              <w:t>05</w:t>
            </w:r>
          </w:p>
        </w:tc>
        <w:tc>
          <w:tcPr>
            <w:tcW w:w="3779" w:type="pct"/>
            <w:gridSpan w:val="9"/>
            <w:vMerge w:val="continue"/>
            <w:tcBorders>
              <w:left w:val="single" w:color="auto" w:sz="2" w:space="0"/>
            </w:tcBorders>
            <w:shd w:val="clear" w:color="auto" w:fill="auto"/>
            <w:noWrap/>
            <w:vAlign w:val="center"/>
          </w:tcPr>
          <w:p w14:paraId="127C6194">
            <w:pPr>
              <w:jc w:val="left"/>
              <w:rPr>
                <w:kern w:val="0"/>
                <w:sz w:val="20"/>
                <w:szCs w:val="20"/>
              </w:rPr>
            </w:pPr>
          </w:p>
        </w:tc>
      </w:tr>
      <w:tr w14:paraId="7CB83F3C">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70F9B14">
            <w:pPr>
              <w:widowControl/>
              <w:jc w:val="center"/>
              <w:rPr>
                <w:kern w:val="0"/>
                <w:sz w:val="18"/>
                <w:szCs w:val="18"/>
              </w:rPr>
            </w:pPr>
            <w:r>
              <w:rPr>
                <w:kern w:val="0"/>
                <w:sz w:val="18"/>
                <w:szCs w:val="18"/>
              </w:rPr>
              <w:t>内蒙古</w:t>
            </w:r>
          </w:p>
        </w:tc>
        <w:tc>
          <w:tcPr>
            <w:tcW w:w="398" w:type="pct"/>
            <w:gridSpan w:val="2"/>
            <w:tcBorders>
              <w:left w:val="single" w:color="auto" w:sz="2" w:space="0"/>
              <w:right w:val="single" w:color="auto" w:sz="2" w:space="0"/>
            </w:tcBorders>
            <w:shd w:val="clear" w:color="auto" w:fill="auto"/>
            <w:vAlign w:val="center"/>
          </w:tcPr>
          <w:p w14:paraId="42C4D02D">
            <w:pPr>
              <w:widowControl/>
              <w:spacing w:line="240" w:lineRule="exact"/>
              <w:jc w:val="center"/>
              <w:rPr>
                <w:kern w:val="0"/>
                <w:sz w:val="18"/>
                <w:szCs w:val="18"/>
              </w:rPr>
            </w:pPr>
            <w:r>
              <w:rPr>
                <w:kern w:val="0"/>
                <w:sz w:val="18"/>
                <w:szCs w:val="18"/>
              </w:rPr>
              <w:t>06</w:t>
            </w:r>
          </w:p>
        </w:tc>
        <w:tc>
          <w:tcPr>
            <w:tcW w:w="3779" w:type="pct"/>
            <w:gridSpan w:val="9"/>
            <w:vMerge w:val="continue"/>
            <w:tcBorders>
              <w:left w:val="single" w:color="auto" w:sz="2" w:space="0"/>
            </w:tcBorders>
            <w:shd w:val="clear" w:color="auto" w:fill="auto"/>
            <w:noWrap/>
            <w:vAlign w:val="center"/>
          </w:tcPr>
          <w:p w14:paraId="36DBD789">
            <w:pPr>
              <w:jc w:val="left"/>
              <w:rPr>
                <w:kern w:val="0"/>
                <w:sz w:val="20"/>
                <w:szCs w:val="20"/>
              </w:rPr>
            </w:pPr>
          </w:p>
        </w:tc>
      </w:tr>
      <w:tr w14:paraId="25957F0A">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00E2F163">
            <w:pPr>
              <w:widowControl/>
              <w:jc w:val="center"/>
              <w:rPr>
                <w:kern w:val="0"/>
                <w:sz w:val="18"/>
                <w:szCs w:val="18"/>
              </w:rPr>
            </w:pPr>
            <w:r>
              <w:rPr>
                <w:kern w:val="0"/>
                <w:sz w:val="18"/>
                <w:szCs w:val="18"/>
              </w:rPr>
              <w:t>辽  宁</w:t>
            </w:r>
          </w:p>
        </w:tc>
        <w:tc>
          <w:tcPr>
            <w:tcW w:w="398" w:type="pct"/>
            <w:gridSpan w:val="2"/>
            <w:tcBorders>
              <w:left w:val="single" w:color="auto" w:sz="2" w:space="0"/>
              <w:right w:val="single" w:color="auto" w:sz="2" w:space="0"/>
            </w:tcBorders>
            <w:shd w:val="clear" w:color="auto" w:fill="auto"/>
            <w:vAlign w:val="center"/>
          </w:tcPr>
          <w:p w14:paraId="25C00EAA">
            <w:pPr>
              <w:widowControl/>
              <w:spacing w:line="240" w:lineRule="exact"/>
              <w:jc w:val="center"/>
              <w:rPr>
                <w:kern w:val="0"/>
                <w:sz w:val="18"/>
                <w:szCs w:val="18"/>
              </w:rPr>
            </w:pPr>
            <w:r>
              <w:rPr>
                <w:kern w:val="0"/>
                <w:sz w:val="18"/>
                <w:szCs w:val="18"/>
              </w:rPr>
              <w:t>07</w:t>
            </w:r>
          </w:p>
        </w:tc>
        <w:tc>
          <w:tcPr>
            <w:tcW w:w="3779" w:type="pct"/>
            <w:gridSpan w:val="9"/>
            <w:vMerge w:val="continue"/>
            <w:tcBorders>
              <w:left w:val="single" w:color="auto" w:sz="2" w:space="0"/>
            </w:tcBorders>
            <w:shd w:val="clear" w:color="auto" w:fill="auto"/>
            <w:noWrap/>
            <w:vAlign w:val="center"/>
          </w:tcPr>
          <w:p w14:paraId="2140E94B">
            <w:pPr>
              <w:jc w:val="left"/>
              <w:rPr>
                <w:kern w:val="0"/>
                <w:sz w:val="20"/>
                <w:szCs w:val="20"/>
              </w:rPr>
            </w:pPr>
          </w:p>
        </w:tc>
      </w:tr>
      <w:tr w14:paraId="320F689A">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4B1E01D3">
            <w:pPr>
              <w:widowControl/>
              <w:jc w:val="center"/>
              <w:rPr>
                <w:kern w:val="0"/>
                <w:sz w:val="18"/>
                <w:szCs w:val="18"/>
              </w:rPr>
            </w:pPr>
            <w:r>
              <w:rPr>
                <w:kern w:val="0"/>
                <w:sz w:val="18"/>
                <w:szCs w:val="18"/>
              </w:rPr>
              <w:t>吉  林</w:t>
            </w:r>
          </w:p>
        </w:tc>
        <w:tc>
          <w:tcPr>
            <w:tcW w:w="398" w:type="pct"/>
            <w:gridSpan w:val="2"/>
            <w:tcBorders>
              <w:left w:val="single" w:color="auto" w:sz="2" w:space="0"/>
              <w:right w:val="single" w:color="auto" w:sz="2" w:space="0"/>
            </w:tcBorders>
            <w:shd w:val="clear" w:color="auto" w:fill="auto"/>
            <w:vAlign w:val="center"/>
          </w:tcPr>
          <w:p w14:paraId="7E423E18">
            <w:pPr>
              <w:widowControl/>
              <w:spacing w:line="240" w:lineRule="exact"/>
              <w:jc w:val="center"/>
              <w:rPr>
                <w:kern w:val="0"/>
                <w:sz w:val="18"/>
                <w:szCs w:val="18"/>
              </w:rPr>
            </w:pPr>
            <w:r>
              <w:rPr>
                <w:kern w:val="0"/>
                <w:sz w:val="18"/>
                <w:szCs w:val="18"/>
              </w:rPr>
              <w:t>08</w:t>
            </w:r>
          </w:p>
        </w:tc>
        <w:tc>
          <w:tcPr>
            <w:tcW w:w="3779" w:type="pct"/>
            <w:gridSpan w:val="9"/>
            <w:vMerge w:val="continue"/>
            <w:tcBorders>
              <w:left w:val="single" w:color="auto" w:sz="2" w:space="0"/>
            </w:tcBorders>
            <w:shd w:val="clear" w:color="auto" w:fill="auto"/>
            <w:noWrap/>
            <w:vAlign w:val="center"/>
          </w:tcPr>
          <w:p w14:paraId="4C282A88">
            <w:pPr>
              <w:jc w:val="left"/>
              <w:rPr>
                <w:kern w:val="0"/>
                <w:sz w:val="20"/>
                <w:szCs w:val="20"/>
              </w:rPr>
            </w:pPr>
          </w:p>
        </w:tc>
      </w:tr>
      <w:tr w14:paraId="4C8250AF">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751BB902">
            <w:pPr>
              <w:widowControl/>
              <w:jc w:val="center"/>
              <w:rPr>
                <w:kern w:val="0"/>
                <w:sz w:val="18"/>
                <w:szCs w:val="18"/>
              </w:rPr>
            </w:pPr>
            <w:r>
              <w:rPr>
                <w:kern w:val="0"/>
                <w:sz w:val="18"/>
                <w:szCs w:val="18"/>
              </w:rPr>
              <w:t>黑龙江</w:t>
            </w:r>
          </w:p>
        </w:tc>
        <w:tc>
          <w:tcPr>
            <w:tcW w:w="398" w:type="pct"/>
            <w:gridSpan w:val="2"/>
            <w:tcBorders>
              <w:left w:val="single" w:color="auto" w:sz="2" w:space="0"/>
              <w:right w:val="single" w:color="auto" w:sz="2" w:space="0"/>
            </w:tcBorders>
            <w:shd w:val="clear" w:color="auto" w:fill="auto"/>
            <w:vAlign w:val="center"/>
          </w:tcPr>
          <w:p w14:paraId="469F309B">
            <w:pPr>
              <w:widowControl/>
              <w:spacing w:line="240" w:lineRule="exact"/>
              <w:jc w:val="center"/>
              <w:rPr>
                <w:kern w:val="0"/>
                <w:sz w:val="18"/>
                <w:szCs w:val="18"/>
              </w:rPr>
            </w:pPr>
            <w:r>
              <w:rPr>
                <w:kern w:val="0"/>
                <w:sz w:val="18"/>
                <w:szCs w:val="18"/>
              </w:rPr>
              <w:t>09</w:t>
            </w:r>
          </w:p>
        </w:tc>
        <w:tc>
          <w:tcPr>
            <w:tcW w:w="3779" w:type="pct"/>
            <w:gridSpan w:val="9"/>
            <w:vMerge w:val="continue"/>
            <w:tcBorders>
              <w:left w:val="single" w:color="auto" w:sz="2" w:space="0"/>
            </w:tcBorders>
            <w:shd w:val="clear" w:color="auto" w:fill="auto"/>
            <w:noWrap/>
            <w:vAlign w:val="center"/>
          </w:tcPr>
          <w:p w14:paraId="5576E908">
            <w:pPr>
              <w:jc w:val="left"/>
              <w:rPr>
                <w:kern w:val="0"/>
                <w:sz w:val="20"/>
                <w:szCs w:val="20"/>
              </w:rPr>
            </w:pPr>
          </w:p>
        </w:tc>
      </w:tr>
      <w:tr w14:paraId="330FDC96">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13682066">
            <w:pPr>
              <w:widowControl/>
              <w:jc w:val="center"/>
              <w:rPr>
                <w:kern w:val="0"/>
                <w:sz w:val="18"/>
                <w:szCs w:val="18"/>
              </w:rPr>
            </w:pPr>
            <w:r>
              <w:rPr>
                <w:kern w:val="0"/>
                <w:sz w:val="18"/>
                <w:szCs w:val="18"/>
              </w:rPr>
              <w:t>上  海</w:t>
            </w:r>
          </w:p>
        </w:tc>
        <w:tc>
          <w:tcPr>
            <w:tcW w:w="398" w:type="pct"/>
            <w:gridSpan w:val="2"/>
            <w:tcBorders>
              <w:left w:val="single" w:color="auto" w:sz="2" w:space="0"/>
              <w:right w:val="single" w:color="auto" w:sz="2" w:space="0"/>
            </w:tcBorders>
            <w:shd w:val="clear" w:color="auto" w:fill="auto"/>
            <w:vAlign w:val="center"/>
          </w:tcPr>
          <w:p w14:paraId="5F59F9EC">
            <w:pPr>
              <w:widowControl/>
              <w:spacing w:line="240" w:lineRule="exact"/>
              <w:jc w:val="center"/>
              <w:rPr>
                <w:kern w:val="0"/>
                <w:sz w:val="18"/>
                <w:szCs w:val="18"/>
              </w:rPr>
            </w:pPr>
            <w:r>
              <w:rPr>
                <w:kern w:val="0"/>
                <w:sz w:val="18"/>
                <w:szCs w:val="18"/>
              </w:rPr>
              <w:t>10</w:t>
            </w:r>
          </w:p>
        </w:tc>
        <w:tc>
          <w:tcPr>
            <w:tcW w:w="3779" w:type="pct"/>
            <w:gridSpan w:val="9"/>
            <w:vMerge w:val="continue"/>
            <w:tcBorders>
              <w:left w:val="single" w:color="auto" w:sz="2" w:space="0"/>
            </w:tcBorders>
            <w:shd w:val="clear" w:color="auto" w:fill="auto"/>
            <w:noWrap/>
            <w:vAlign w:val="center"/>
          </w:tcPr>
          <w:p w14:paraId="3876C146">
            <w:pPr>
              <w:jc w:val="left"/>
              <w:rPr>
                <w:kern w:val="0"/>
                <w:sz w:val="20"/>
                <w:szCs w:val="20"/>
              </w:rPr>
            </w:pPr>
          </w:p>
        </w:tc>
      </w:tr>
      <w:tr w14:paraId="4F8C046B">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0954FBED">
            <w:pPr>
              <w:widowControl/>
              <w:jc w:val="center"/>
              <w:rPr>
                <w:kern w:val="0"/>
                <w:sz w:val="18"/>
                <w:szCs w:val="18"/>
              </w:rPr>
            </w:pPr>
            <w:r>
              <w:rPr>
                <w:kern w:val="0"/>
                <w:sz w:val="18"/>
                <w:szCs w:val="18"/>
              </w:rPr>
              <w:t>江  苏</w:t>
            </w:r>
          </w:p>
        </w:tc>
        <w:tc>
          <w:tcPr>
            <w:tcW w:w="398" w:type="pct"/>
            <w:gridSpan w:val="2"/>
            <w:tcBorders>
              <w:left w:val="single" w:color="auto" w:sz="2" w:space="0"/>
              <w:right w:val="single" w:color="auto" w:sz="2" w:space="0"/>
            </w:tcBorders>
            <w:shd w:val="clear" w:color="auto" w:fill="auto"/>
            <w:vAlign w:val="center"/>
          </w:tcPr>
          <w:p w14:paraId="6F9BAAFC">
            <w:pPr>
              <w:widowControl/>
              <w:spacing w:line="240" w:lineRule="exact"/>
              <w:jc w:val="center"/>
              <w:rPr>
                <w:kern w:val="0"/>
                <w:sz w:val="18"/>
                <w:szCs w:val="18"/>
              </w:rPr>
            </w:pPr>
            <w:r>
              <w:rPr>
                <w:kern w:val="0"/>
                <w:sz w:val="18"/>
                <w:szCs w:val="18"/>
              </w:rPr>
              <w:t>11</w:t>
            </w:r>
          </w:p>
        </w:tc>
        <w:tc>
          <w:tcPr>
            <w:tcW w:w="3779" w:type="pct"/>
            <w:gridSpan w:val="9"/>
            <w:vMerge w:val="continue"/>
            <w:tcBorders>
              <w:left w:val="single" w:color="auto" w:sz="2" w:space="0"/>
            </w:tcBorders>
            <w:shd w:val="clear" w:color="auto" w:fill="auto"/>
            <w:noWrap/>
            <w:vAlign w:val="center"/>
          </w:tcPr>
          <w:p w14:paraId="3F997CE3">
            <w:pPr>
              <w:jc w:val="left"/>
              <w:rPr>
                <w:kern w:val="0"/>
                <w:sz w:val="20"/>
                <w:szCs w:val="20"/>
              </w:rPr>
            </w:pPr>
          </w:p>
        </w:tc>
      </w:tr>
      <w:tr w14:paraId="1D7CB8A9">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36F552C5">
            <w:pPr>
              <w:widowControl/>
              <w:jc w:val="center"/>
              <w:rPr>
                <w:kern w:val="0"/>
                <w:sz w:val="18"/>
                <w:szCs w:val="18"/>
              </w:rPr>
            </w:pPr>
            <w:r>
              <w:rPr>
                <w:kern w:val="0"/>
                <w:sz w:val="18"/>
                <w:szCs w:val="18"/>
              </w:rPr>
              <w:t>浙  江</w:t>
            </w:r>
          </w:p>
        </w:tc>
        <w:tc>
          <w:tcPr>
            <w:tcW w:w="398" w:type="pct"/>
            <w:gridSpan w:val="2"/>
            <w:tcBorders>
              <w:left w:val="single" w:color="auto" w:sz="2" w:space="0"/>
              <w:right w:val="single" w:color="auto" w:sz="2" w:space="0"/>
            </w:tcBorders>
            <w:shd w:val="clear" w:color="auto" w:fill="auto"/>
            <w:vAlign w:val="center"/>
          </w:tcPr>
          <w:p w14:paraId="6D6A94BA">
            <w:pPr>
              <w:widowControl/>
              <w:spacing w:line="240" w:lineRule="exact"/>
              <w:jc w:val="center"/>
              <w:rPr>
                <w:kern w:val="0"/>
                <w:sz w:val="18"/>
                <w:szCs w:val="18"/>
              </w:rPr>
            </w:pPr>
            <w:r>
              <w:rPr>
                <w:kern w:val="0"/>
                <w:sz w:val="18"/>
                <w:szCs w:val="18"/>
              </w:rPr>
              <w:t>12</w:t>
            </w:r>
          </w:p>
        </w:tc>
        <w:tc>
          <w:tcPr>
            <w:tcW w:w="3779" w:type="pct"/>
            <w:gridSpan w:val="9"/>
            <w:vMerge w:val="continue"/>
            <w:tcBorders>
              <w:left w:val="single" w:color="auto" w:sz="2" w:space="0"/>
            </w:tcBorders>
            <w:shd w:val="clear" w:color="auto" w:fill="auto"/>
            <w:noWrap/>
            <w:vAlign w:val="center"/>
          </w:tcPr>
          <w:p w14:paraId="5EA98EB7">
            <w:pPr>
              <w:jc w:val="left"/>
              <w:rPr>
                <w:kern w:val="0"/>
                <w:sz w:val="20"/>
                <w:szCs w:val="20"/>
              </w:rPr>
            </w:pPr>
          </w:p>
        </w:tc>
      </w:tr>
      <w:tr w14:paraId="62ABC17E">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4056307">
            <w:pPr>
              <w:widowControl/>
              <w:jc w:val="center"/>
              <w:rPr>
                <w:kern w:val="0"/>
                <w:sz w:val="18"/>
                <w:szCs w:val="18"/>
              </w:rPr>
            </w:pPr>
            <w:r>
              <w:rPr>
                <w:kern w:val="0"/>
                <w:sz w:val="18"/>
                <w:szCs w:val="18"/>
              </w:rPr>
              <w:t>安  徽</w:t>
            </w:r>
          </w:p>
        </w:tc>
        <w:tc>
          <w:tcPr>
            <w:tcW w:w="398" w:type="pct"/>
            <w:gridSpan w:val="2"/>
            <w:tcBorders>
              <w:left w:val="single" w:color="auto" w:sz="2" w:space="0"/>
              <w:right w:val="single" w:color="auto" w:sz="2" w:space="0"/>
            </w:tcBorders>
            <w:shd w:val="clear" w:color="auto" w:fill="auto"/>
            <w:vAlign w:val="center"/>
          </w:tcPr>
          <w:p w14:paraId="0BB06BB5">
            <w:pPr>
              <w:widowControl/>
              <w:spacing w:line="240" w:lineRule="exact"/>
              <w:jc w:val="center"/>
              <w:rPr>
                <w:kern w:val="0"/>
                <w:sz w:val="18"/>
                <w:szCs w:val="18"/>
              </w:rPr>
            </w:pPr>
            <w:r>
              <w:rPr>
                <w:kern w:val="0"/>
                <w:sz w:val="18"/>
                <w:szCs w:val="18"/>
              </w:rPr>
              <w:t>13</w:t>
            </w:r>
          </w:p>
        </w:tc>
        <w:tc>
          <w:tcPr>
            <w:tcW w:w="3779" w:type="pct"/>
            <w:gridSpan w:val="9"/>
            <w:vMerge w:val="continue"/>
            <w:tcBorders>
              <w:left w:val="single" w:color="auto" w:sz="2" w:space="0"/>
            </w:tcBorders>
            <w:shd w:val="clear" w:color="auto" w:fill="auto"/>
            <w:noWrap/>
            <w:vAlign w:val="center"/>
          </w:tcPr>
          <w:p w14:paraId="795B241D">
            <w:pPr>
              <w:jc w:val="left"/>
              <w:rPr>
                <w:kern w:val="0"/>
                <w:sz w:val="20"/>
                <w:szCs w:val="20"/>
              </w:rPr>
            </w:pPr>
          </w:p>
        </w:tc>
      </w:tr>
      <w:tr w14:paraId="2D57D9FA">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3E9FC060">
            <w:pPr>
              <w:widowControl/>
              <w:jc w:val="center"/>
              <w:rPr>
                <w:kern w:val="0"/>
                <w:sz w:val="18"/>
                <w:szCs w:val="18"/>
              </w:rPr>
            </w:pPr>
            <w:r>
              <w:rPr>
                <w:kern w:val="0"/>
                <w:sz w:val="18"/>
                <w:szCs w:val="18"/>
              </w:rPr>
              <w:t>福  建</w:t>
            </w:r>
          </w:p>
        </w:tc>
        <w:tc>
          <w:tcPr>
            <w:tcW w:w="398" w:type="pct"/>
            <w:gridSpan w:val="2"/>
            <w:tcBorders>
              <w:left w:val="single" w:color="auto" w:sz="2" w:space="0"/>
              <w:right w:val="single" w:color="auto" w:sz="2" w:space="0"/>
            </w:tcBorders>
            <w:shd w:val="clear" w:color="auto" w:fill="auto"/>
            <w:vAlign w:val="center"/>
          </w:tcPr>
          <w:p w14:paraId="47167905">
            <w:pPr>
              <w:widowControl/>
              <w:spacing w:line="240" w:lineRule="exact"/>
              <w:jc w:val="center"/>
              <w:rPr>
                <w:kern w:val="0"/>
                <w:sz w:val="18"/>
                <w:szCs w:val="18"/>
              </w:rPr>
            </w:pPr>
            <w:r>
              <w:rPr>
                <w:kern w:val="0"/>
                <w:sz w:val="18"/>
                <w:szCs w:val="18"/>
              </w:rPr>
              <w:t>14</w:t>
            </w:r>
          </w:p>
        </w:tc>
        <w:tc>
          <w:tcPr>
            <w:tcW w:w="3779" w:type="pct"/>
            <w:gridSpan w:val="9"/>
            <w:vMerge w:val="continue"/>
            <w:tcBorders>
              <w:left w:val="single" w:color="auto" w:sz="2" w:space="0"/>
            </w:tcBorders>
            <w:shd w:val="clear" w:color="auto" w:fill="auto"/>
            <w:noWrap/>
            <w:vAlign w:val="center"/>
          </w:tcPr>
          <w:p w14:paraId="37579B1F">
            <w:pPr>
              <w:jc w:val="left"/>
              <w:rPr>
                <w:kern w:val="0"/>
                <w:sz w:val="20"/>
                <w:szCs w:val="20"/>
              </w:rPr>
            </w:pPr>
          </w:p>
        </w:tc>
      </w:tr>
      <w:tr w14:paraId="4FEA2903">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157E4E3B">
            <w:pPr>
              <w:widowControl/>
              <w:jc w:val="center"/>
              <w:rPr>
                <w:kern w:val="0"/>
                <w:sz w:val="18"/>
                <w:szCs w:val="18"/>
              </w:rPr>
            </w:pPr>
            <w:r>
              <w:rPr>
                <w:kern w:val="0"/>
                <w:sz w:val="18"/>
                <w:szCs w:val="18"/>
              </w:rPr>
              <w:t>江  西</w:t>
            </w:r>
          </w:p>
        </w:tc>
        <w:tc>
          <w:tcPr>
            <w:tcW w:w="398" w:type="pct"/>
            <w:gridSpan w:val="2"/>
            <w:tcBorders>
              <w:left w:val="single" w:color="auto" w:sz="2" w:space="0"/>
              <w:right w:val="single" w:color="auto" w:sz="2" w:space="0"/>
            </w:tcBorders>
            <w:shd w:val="clear" w:color="auto" w:fill="auto"/>
            <w:vAlign w:val="center"/>
          </w:tcPr>
          <w:p w14:paraId="445FD18C">
            <w:pPr>
              <w:widowControl/>
              <w:spacing w:line="240" w:lineRule="exact"/>
              <w:jc w:val="center"/>
              <w:rPr>
                <w:kern w:val="0"/>
                <w:sz w:val="18"/>
                <w:szCs w:val="18"/>
              </w:rPr>
            </w:pPr>
            <w:r>
              <w:rPr>
                <w:kern w:val="0"/>
                <w:sz w:val="18"/>
                <w:szCs w:val="18"/>
              </w:rPr>
              <w:t>15</w:t>
            </w:r>
          </w:p>
        </w:tc>
        <w:tc>
          <w:tcPr>
            <w:tcW w:w="3779" w:type="pct"/>
            <w:gridSpan w:val="9"/>
            <w:vMerge w:val="continue"/>
            <w:tcBorders>
              <w:left w:val="single" w:color="auto" w:sz="2" w:space="0"/>
            </w:tcBorders>
            <w:shd w:val="clear" w:color="auto" w:fill="auto"/>
            <w:noWrap/>
            <w:vAlign w:val="center"/>
          </w:tcPr>
          <w:p w14:paraId="6C3F4D3C">
            <w:pPr>
              <w:jc w:val="left"/>
              <w:rPr>
                <w:kern w:val="0"/>
                <w:sz w:val="20"/>
                <w:szCs w:val="20"/>
              </w:rPr>
            </w:pPr>
          </w:p>
        </w:tc>
      </w:tr>
      <w:tr w14:paraId="66BE236F">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411AE7A">
            <w:pPr>
              <w:widowControl/>
              <w:jc w:val="center"/>
              <w:rPr>
                <w:kern w:val="0"/>
                <w:sz w:val="18"/>
                <w:szCs w:val="18"/>
              </w:rPr>
            </w:pPr>
            <w:r>
              <w:rPr>
                <w:kern w:val="0"/>
                <w:sz w:val="18"/>
                <w:szCs w:val="18"/>
              </w:rPr>
              <w:t>山  东</w:t>
            </w:r>
          </w:p>
        </w:tc>
        <w:tc>
          <w:tcPr>
            <w:tcW w:w="398" w:type="pct"/>
            <w:gridSpan w:val="2"/>
            <w:tcBorders>
              <w:left w:val="single" w:color="auto" w:sz="2" w:space="0"/>
              <w:right w:val="single" w:color="auto" w:sz="2" w:space="0"/>
            </w:tcBorders>
            <w:shd w:val="clear" w:color="auto" w:fill="auto"/>
            <w:vAlign w:val="center"/>
          </w:tcPr>
          <w:p w14:paraId="19FB9C29">
            <w:pPr>
              <w:widowControl/>
              <w:spacing w:line="240" w:lineRule="exact"/>
              <w:jc w:val="center"/>
              <w:rPr>
                <w:kern w:val="0"/>
                <w:sz w:val="18"/>
                <w:szCs w:val="18"/>
              </w:rPr>
            </w:pPr>
            <w:r>
              <w:rPr>
                <w:kern w:val="0"/>
                <w:sz w:val="18"/>
                <w:szCs w:val="18"/>
              </w:rPr>
              <w:t>16</w:t>
            </w:r>
          </w:p>
        </w:tc>
        <w:tc>
          <w:tcPr>
            <w:tcW w:w="3779" w:type="pct"/>
            <w:gridSpan w:val="9"/>
            <w:vMerge w:val="continue"/>
            <w:tcBorders>
              <w:left w:val="single" w:color="auto" w:sz="2" w:space="0"/>
            </w:tcBorders>
            <w:shd w:val="clear" w:color="auto" w:fill="auto"/>
            <w:noWrap/>
            <w:vAlign w:val="center"/>
          </w:tcPr>
          <w:p w14:paraId="7BED9E11">
            <w:pPr>
              <w:jc w:val="left"/>
              <w:rPr>
                <w:kern w:val="0"/>
                <w:sz w:val="20"/>
                <w:szCs w:val="20"/>
              </w:rPr>
            </w:pPr>
          </w:p>
        </w:tc>
      </w:tr>
      <w:tr w14:paraId="44DABCDB">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261B1FBA">
            <w:pPr>
              <w:widowControl/>
              <w:jc w:val="center"/>
              <w:rPr>
                <w:kern w:val="0"/>
                <w:sz w:val="18"/>
                <w:szCs w:val="18"/>
              </w:rPr>
            </w:pPr>
            <w:r>
              <w:rPr>
                <w:kern w:val="0"/>
                <w:sz w:val="18"/>
                <w:szCs w:val="18"/>
              </w:rPr>
              <w:t>河  南</w:t>
            </w:r>
          </w:p>
        </w:tc>
        <w:tc>
          <w:tcPr>
            <w:tcW w:w="398" w:type="pct"/>
            <w:gridSpan w:val="2"/>
            <w:tcBorders>
              <w:left w:val="single" w:color="auto" w:sz="2" w:space="0"/>
              <w:right w:val="single" w:color="auto" w:sz="2" w:space="0"/>
            </w:tcBorders>
            <w:shd w:val="clear" w:color="auto" w:fill="auto"/>
            <w:vAlign w:val="center"/>
          </w:tcPr>
          <w:p w14:paraId="2B61CDA1">
            <w:pPr>
              <w:widowControl/>
              <w:spacing w:line="240" w:lineRule="exact"/>
              <w:jc w:val="center"/>
              <w:rPr>
                <w:kern w:val="0"/>
                <w:sz w:val="18"/>
                <w:szCs w:val="18"/>
              </w:rPr>
            </w:pPr>
            <w:r>
              <w:rPr>
                <w:kern w:val="0"/>
                <w:sz w:val="18"/>
                <w:szCs w:val="18"/>
              </w:rPr>
              <w:t>17</w:t>
            </w:r>
          </w:p>
        </w:tc>
        <w:tc>
          <w:tcPr>
            <w:tcW w:w="3779" w:type="pct"/>
            <w:gridSpan w:val="9"/>
            <w:vMerge w:val="continue"/>
            <w:tcBorders>
              <w:left w:val="single" w:color="auto" w:sz="2" w:space="0"/>
            </w:tcBorders>
            <w:shd w:val="clear" w:color="auto" w:fill="auto"/>
            <w:noWrap/>
            <w:vAlign w:val="center"/>
          </w:tcPr>
          <w:p w14:paraId="39FF6523">
            <w:pPr>
              <w:jc w:val="left"/>
              <w:rPr>
                <w:kern w:val="0"/>
                <w:sz w:val="20"/>
                <w:szCs w:val="20"/>
              </w:rPr>
            </w:pPr>
          </w:p>
        </w:tc>
      </w:tr>
      <w:tr w14:paraId="0B599DBF">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CEFF1D6">
            <w:pPr>
              <w:widowControl/>
              <w:jc w:val="center"/>
              <w:rPr>
                <w:kern w:val="0"/>
                <w:sz w:val="18"/>
                <w:szCs w:val="18"/>
              </w:rPr>
            </w:pPr>
            <w:r>
              <w:rPr>
                <w:kern w:val="0"/>
                <w:sz w:val="18"/>
                <w:szCs w:val="18"/>
              </w:rPr>
              <w:t>湖  北</w:t>
            </w:r>
          </w:p>
        </w:tc>
        <w:tc>
          <w:tcPr>
            <w:tcW w:w="398" w:type="pct"/>
            <w:gridSpan w:val="2"/>
            <w:tcBorders>
              <w:left w:val="single" w:color="auto" w:sz="2" w:space="0"/>
              <w:right w:val="single" w:color="auto" w:sz="2" w:space="0"/>
            </w:tcBorders>
            <w:shd w:val="clear" w:color="auto" w:fill="auto"/>
            <w:vAlign w:val="center"/>
          </w:tcPr>
          <w:p w14:paraId="4588295E">
            <w:pPr>
              <w:widowControl/>
              <w:spacing w:line="240" w:lineRule="exact"/>
              <w:jc w:val="center"/>
              <w:rPr>
                <w:kern w:val="0"/>
                <w:sz w:val="18"/>
                <w:szCs w:val="18"/>
              </w:rPr>
            </w:pPr>
            <w:r>
              <w:rPr>
                <w:kern w:val="0"/>
                <w:sz w:val="18"/>
                <w:szCs w:val="18"/>
              </w:rPr>
              <w:t>18</w:t>
            </w:r>
          </w:p>
        </w:tc>
        <w:tc>
          <w:tcPr>
            <w:tcW w:w="3779" w:type="pct"/>
            <w:gridSpan w:val="9"/>
            <w:vMerge w:val="continue"/>
            <w:tcBorders>
              <w:left w:val="single" w:color="auto" w:sz="2" w:space="0"/>
            </w:tcBorders>
            <w:shd w:val="clear" w:color="auto" w:fill="auto"/>
            <w:noWrap/>
            <w:vAlign w:val="center"/>
          </w:tcPr>
          <w:p w14:paraId="0E9D03EA">
            <w:pPr>
              <w:jc w:val="left"/>
              <w:rPr>
                <w:kern w:val="0"/>
                <w:sz w:val="20"/>
                <w:szCs w:val="20"/>
              </w:rPr>
            </w:pPr>
          </w:p>
        </w:tc>
      </w:tr>
      <w:tr w14:paraId="59AEA68A">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75AA2362">
            <w:pPr>
              <w:widowControl/>
              <w:jc w:val="center"/>
              <w:rPr>
                <w:kern w:val="0"/>
                <w:sz w:val="18"/>
                <w:szCs w:val="18"/>
              </w:rPr>
            </w:pPr>
            <w:r>
              <w:rPr>
                <w:kern w:val="0"/>
                <w:sz w:val="18"/>
                <w:szCs w:val="18"/>
              </w:rPr>
              <w:t>湖  南</w:t>
            </w:r>
          </w:p>
        </w:tc>
        <w:tc>
          <w:tcPr>
            <w:tcW w:w="398" w:type="pct"/>
            <w:gridSpan w:val="2"/>
            <w:tcBorders>
              <w:left w:val="single" w:color="auto" w:sz="2" w:space="0"/>
              <w:right w:val="single" w:color="auto" w:sz="2" w:space="0"/>
            </w:tcBorders>
            <w:shd w:val="clear" w:color="auto" w:fill="auto"/>
            <w:vAlign w:val="center"/>
          </w:tcPr>
          <w:p w14:paraId="096A9BAF">
            <w:pPr>
              <w:widowControl/>
              <w:spacing w:line="240" w:lineRule="exact"/>
              <w:jc w:val="center"/>
              <w:rPr>
                <w:kern w:val="0"/>
                <w:sz w:val="18"/>
                <w:szCs w:val="18"/>
              </w:rPr>
            </w:pPr>
            <w:r>
              <w:rPr>
                <w:kern w:val="0"/>
                <w:sz w:val="18"/>
                <w:szCs w:val="18"/>
              </w:rPr>
              <w:t>19</w:t>
            </w:r>
          </w:p>
        </w:tc>
        <w:tc>
          <w:tcPr>
            <w:tcW w:w="3779" w:type="pct"/>
            <w:gridSpan w:val="9"/>
            <w:vMerge w:val="continue"/>
            <w:tcBorders>
              <w:left w:val="single" w:color="auto" w:sz="2" w:space="0"/>
            </w:tcBorders>
            <w:shd w:val="clear" w:color="auto" w:fill="auto"/>
            <w:noWrap/>
            <w:vAlign w:val="center"/>
          </w:tcPr>
          <w:p w14:paraId="22E8C943">
            <w:pPr>
              <w:jc w:val="left"/>
              <w:rPr>
                <w:kern w:val="0"/>
                <w:sz w:val="20"/>
                <w:szCs w:val="20"/>
              </w:rPr>
            </w:pPr>
          </w:p>
        </w:tc>
      </w:tr>
      <w:tr w14:paraId="63E3B6F5">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14B60495">
            <w:pPr>
              <w:widowControl/>
              <w:jc w:val="center"/>
              <w:rPr>
                <w:kern w:val="0"/>
                <w:sz w:val="18"/>
                <w:szCs w:val="18"/>
              </w:rPr>
            </w:pPr>
            <w:r>
              <w:rPr>
                <w:kern w:val="0"/>
                <w:sz w:val="18"/>
                <w:szCs w:val="18"/>
              </w:rPr>
              <w:t>广  东</w:t>
            </w:r>
          </w:p>
        </w:tc>
        <w:tc>
          <w:tcPr>
            <w:tcW w:w="398" w:type="pct"/>
            <w:gridSpan w:val="2"/>
            <w:tcBorders>
              <w:left w:val="single" w:color="auto" w:sz="2" w:space="0"/>
              <w:right w:val="single" w:color="auto" w:sz="2" w:space="0"/>
            </w:tcBorders>
            <w:shd w:val="clear" w:color="auto" w:fill="auto"/>
            <w:vAlign w:val="center"/>
          </w:tcPr>
          <w:p w14:paraId="581FC698">
            <w:pPr>
              <w:widowControl/>
              <w:spacing w:line="240" w:lineRule="exact"/>
              <w:jc w:val="center"/>
              <w:rPr>
                <w:kern w:val="0"/>
                <w:sz w:val="18"/>
                <w:szCs w:val="18"/>
              </w:rPr>
            </w:pPr>
            <w:r>
              <w:rPr>
                <w:kern w:val="0"/>
                <w:sz w:val="18"/>
                <w:szCs w:val="18"/>
              </w:rPr>
              <w:t>20</w:t>
            </w:r>
          </w:p>
        </w:tc>
        <w:tc>
          <w:tcPr>
            <w:tcW w:w="3779" w:type="pct"/>
            <w:gridSpan w:val="9"/>
            <w:vMerge w:val="continue"/>
            <w:tcBorders>
              <w:left w:val="single" w:color="auto" w:sz="2" w:space="0"/>
            </w:tcBorders>
            <w:shd w:val="clear" w:color="auto" w:fill="auto"/>
            <w:noWrap/>
            <w:vAlign w:val="center"/>
          </w:tcPr>
          <w:p w14:paraId="70C2A350">
            <w:pPr>
              <w:jc w:val="left"/>
              <w:rPr>
                <w:kern w:val="0"/>
                <w:sz w:val="20"/>
                <w:szCs w:val="20"/>
              </w:rPr>
            </w:pPr>
          </w:p>
        </w:tc>
      </w:tr>
      <w:tr w14:paraId="4BA9DB43">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A9E14C7">
            <w:pPr>
              <w:widowControl/>
              <w:jc w:val="center"/>
              <w:rPr>
                <w:kern w:val="0"/>
                <w:sz w:val="18"/>
                <w:szCs w:val="18"/>
              </w:rPr>
            </w:pPr>
            <w:r>
              <w:rPr>
                <w:kern w:val="0"/>
                <w:sz w:val="18"/>
                <w:szCs w:val="18"/>
              </w:rPr>
              <w:t>广  西</w:t>
            </w:r>
          </w:p>
        </w:tc>
        <w:tc>
          <w:tcPr>
            <w:tcW w:w="398" w:type="pct"/>
            <w:gridSpan w:val="2"/>
            <w:tcBorders>
              <w:left w:val="single" w:color="auto" w:sz="2" w:space="0"/>
              <w:right w:val="single" w:color="auto" w:sz="2" w:space="0"/>
            </w:tcBorders>
            <w:shd w:val="clear" w:color="auto" w:fill="auto"/>
            <w:vAlign w:val="center"/>
          </w:tcPr>
          <w:p w14:paraId="1B4F8B55">
            <w:pPr>
              <w:widowControl/>
              <w:spacing w:line="240" w:lineRule="exact"/>
              <w:jc w:val="center"/>
              <w:rPr>
                <w:kern w:val="0"/>
                <w:sz w:val="18"/>
                <w:szCs w:val="18"/>
              </w:rPr>
            </w:pPr>
            <w:r>
              <w:rPr>
                <w:kern w:val="0"/>
                <w:sz w:val="18"/>
                <w:szCs w:val="18"/>
              </w:rPr>
              <w:t>21</w:t>
            </w:r>
          </w:p>
        </w:tc>
        <w:tc>
          <w:tcPr>
            <w:tcW w:w="3779" w:type="pct"/>
            <w:gridSpan w:val="9"/>
            <w:vMerge w:val="continue"/>
            <w:tcBorders>
              <w:left w:val="single" w:color="auto" w:sz="2" w:space="0"/>
            </w:tcBorders>
            <w:shd w:val="clear" w:color="auto" w:fill="auto"/>
            <w:noWrap/>
            <w:vAlign w:val="center"/>
          </w:tcPr>
          <w:p w14:paraId="6C3E9781">
            <w:pPr>
              <w:jc w:val="left"/>
              <w:rPr>
                <w:kern w:val="0"/>
                <w:sz w:val="20"/>
                <w:szCs w:val="20"/>
              </w:rPr>
            </w:pPr>
          </w:p>
        </w:tc>
      </w:tr>
      <w:tr w14:paraId="5DC6DBE8">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6499BC0E">
            <w:pPr>
              <w:widowControl/>
              <w:jc w:val="center"/>
              <w:rPr>
                <w:kern w:val="0"/>
                <w:sz w:val="18"/>
                <w:szCs w:val="18"/>
              </w:rPr>
            </w:pPr>
            <w:r>
              <w:rPr>
                <w:kern w:val="0"/>
                <w:sz w:val="18"/>
                <w:szCs w:val="18"/>
              </w:rPr>
              <w:t>海  南</w:t>
            </w:r>
          </w:p>
        </w:tc>
        <w:tc>
          <w:tcPr>
            <w:tcW w:w="398" w:type="pct"/>
            <w:gridSpan w:val="2"/>
            <w:tcBorders>
              <w:left w:val="single" w:color="auto" w:sz="2" w:space="0"/>
              <w:right w:val="single" w:color="auto" w:sz="2" w:space="0"/>
            </w:tcBorders>
            <w:shd w:val="clear" w:color="auto" w:fill="auto"/>
            <w:vAlign w:val="center"/>
          </w:tcPr>
          <w:p w14:paraId="0A4FF5DB">
            <w:pPr>
              <w:widowControl/>
              <w:spacing w:line="240" w:lineRule="exact"/>
              <w:jc w:val="center"/>
              <w:rPr>
                <w:kern w:val="0"/>
                <w:sz w:val="18"/>
                <w:szCs w:val="18"/>
              </w:rPr>
            </w:pPr>
            <w:r>
              <w:rPr>
                <w:kern w:val="0"/>
                <w:sz w:val="18"/>
                <w:szCs w:val="18"/>
              </w:rPr>
              <w:t>22</w:t>
            </w:r>
          </w:p>
        </w:tc>
        <w:tc>
          <w:tcPr>
            <w:tcW w:w="3779" w:type="pct"/>
            <w:gridSpan w:val="9"/>
            <w:vMerge w:val="continue"/>
            <w:tcBorders>
              <w:left w:val="single" w:color="auto" w:sz="2" w:space="0"/>
            </w:tcBorders>
            <w:shd w:val="clear" w:color="auto" w:fill="auto"/>
            <w:noWrap/>
            <w:vAlign w:val="center"/>
          </w:tcPr>
          <w:p w14:paraId="72BFE300">
            <w:pPr>
              <w:jc w:val="left"/>
              <w:rPr>
                <w:kern w:val="0"/>
                <w:sz w:val="20"/>
                <w:szCs w:val="20"/>
              </w:rPr>
            </w:pPr>
          </w:p>
        </w:tc>
      </w:tr>
      <w:tr w14:paraId="341CC6B2">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F2D00A5">
            <w:pPr>
              <w:widowControl/>
              <w:jc w:val="center"/>
              <w:rPr>
                <w:kern w:val="0"/>
                <w:sz w:val="18"/>
                <w:szCs w:val="18"/>
              </w:rPr>
            </w:pPr>
            <w:r>
              <w:rPr>
                <w:kern w:val="0"/>
                <w:sz w:val="18"/>
                <w:szCs w:val="18"/>
              </w:rPr>
              <w:t>重  庆</w:t>
            </w:r>
          </w:p>
        </w:tc>
        <w:tc>
          <w:tcPr>
            <w:tcW w:w="398" w:type="pct"/>
            <w:gridSpan w:val="2"/>
            <w:tcBorders>
              <w:left w:val="single" w:color="auto" w:sz="2" w:space="0"/>
              <w:right w:val="single" w:color="auto" w:sz="2" w:space="0"/>
            </w:tcBorders>
            <w:shd w:val="clear" w:color="auto" w:fill="auto"/>
            <w:vAlign w:val="center"/>
          </w:tcPr>
          <w:p w14:paraId="685132E5">
            <w:pPr>
              <w:widowControl/>
              <w:spacing w:line="240" w:lineRule="exact"/>
              <w:jc w:val="center"/>
              <w:rPr>
                <w:kern w:val="0"/>
                <w:sz w:val="18"/>
                <w:szCs w:val="18"/>
              </w:rPr>
            </w:pPr>
            <w:r>
              <w:rPr>
                <w:kern w:val="0"/>
                <w:sz w:val="18"/>
                <w:szCs w:val="18"/>
              </w:rPr>
              <w:t>23</w:t>
            </w:r>
          </w:p>
        </w:tc>
        <w:tc>
          <w:tcPr>
            <w:tcW w:w="3779" w:type="pct"/>
            <w:gridSpan w:val="9"/>
            <w:vMerge w:val="continue"/>
            <w:tcBorders>
              <w:left w:val="single" w:color="auto" w:sz="2" w:space="0"/>
            </w:tcBorders>
            <w:shd w:val="clear" w:color="auto" w:fill="auto"/>
            <w:noWrap/>
            <w:vAlign w:val="center"/>
          </w:tcPr>
          <w:p w14:paraId="7F59AC96">
            <w:pPr>
              <w:jc w:val="left"/>
              <w:rPr>
                <w:kern w:val="0"/>
                <w:sz w:val="20"/>
                <w:szCs w:val="20"/>
              </w:rPr>
            </w:pPr>
          </w:p>
        </w:tc>
      </w:tr>
      <w:tr w14:paraId="36C3F8D2">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1D1C08E6">
            <w:pPr>
              <w:widowControl/>
              <w:jc w:val="center"/>
              <w:rPr>
                <w:kern w:val="0"/>
                <w:sz w:val="18"/>
                <w:szCs w:val="18"/>
              </w:rPr>
            </w:pPr>
            <w:r>
              <w:rPr>
                <w:kern w:val="0"/>
                <w:sz w:val="18"/>
                <w:szCs w:val="18"/>
              </w:rPr>
              <w:t>四  川</w:t>
            </w:r>
          </w:p>
        </w:tc>
        <w:tc>
          <w:tcPr>
            <w:tcW w:w="398" w:type="pct"/>
            <w:gridSpan w:val="2"/>
            <w:tcBorders>
              <w:left w:val="single" w:color="auto" w:sz="2" w:space="0"/>
              <w:right w:val="single" w:color="auto" w:sz="2" w:space="0"/>
            </w:tcBorders>
            <w:shd w:val="clear" w:color="auto" w:fill="auto"/>
            <w:vAlign w:val="center"/>
          </w:tcPr>
          <w:p w14:paraId="52926F73">
            <w:pPr>
              <w:widowControl/>
              <w:spacing w:line="240" w:lineRule="exact"/>
              <w:jc w:val="center"/>
              <w:rPr>
                <w:kern w:val="0"/>
                <w:sz w:val="18"/>
                <w:szCs w:val="18"/>
              </w:rPr>
            </w:pPr>
            <w:r>
              <w:rPr>
                <w:kern w:val="0"/>
                <w:sz w:val="18"/>
                <w:szCs w:val="18"/>
              </w:rPr>
              <w:t>24</w:t>
            </w:r>
          </w:p>
        </w:tc>
        <w:tc>
          <w:tcPr>
            <w:tcW w:w="3779" w:type="pct"/>
            <w:gridSpan w:val="9"/>
            <w:vMerge w:val="continue"/>
            <w:tcBorders>
              <w:left w:val="single" w:color="auto" w:sz="2" w:space="0"/>
            </w:tcBorders>
            <w:shd w:val="clear" w:color="auto" w:fill="auto"/>
            <w:noWrap/>
            <w:vAlign w:val="center"/>
          </w:tcPr>
          <w:p w14:paraId="660BDD19">
            <w:pPr>
              <w:jc w:val="left"/>
              <w:rPr>
                <w:kern w:val="0"/>
                <w:sz w:val="20"/>
                <w:szCs w:val="20"/>
              </w:rPr>
            </w:pPr>
          </w:p>
        </w:tc>
      </w:tr>
      <w:tr w14:paraId="56D897B7">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166563EA">
            <w:pPr>
              <w:widowControl/>
              <w:jc w:val="center"/>
              <w:rPr>
                <w:kern w:val="0"/>
                <w:sz w:val="18"/>
                <w:szCs w:val="18"/>
              </w:rPr>
            </w:pPr>
            <w:r>
              <w:rPr>
                <w:kern w:val="0"/>
                <w:sz w:val="18"/>
                <w:szCs w:val="18"/>
              </w:rPr>
              <w:t>贵  州</w:t>
            </w:r>
          </w:p>
        </w:tc>
        <w:tc>
          <w:tcPr>
            <w:tcW w:w="398" w:type="pct"/>
            <w:gridSpan w:val="2"/>
            <w:tcBorders>
              <w:left w:val="single" w:color="auto" w:sz="2" w:space="0"/>
              <w:right w:val="single" w:color="auto" w:sz="2" w:space="0"/>
            </w:tcBorders>
            <w:shd w:val="clear" w:color="auto" w:fill="auto"/>
            <w:vAlign w:val="center"/>
          </w:tcPr>
          <w:p w14:paraId="6A55A3C3">
            <w:pPr>
              <w:widowControl/>
              <w:spacing w:line="240" w:lineRule="exact"/>
              <w:jc w:val="center"/>
              <w:rPr>
                <w:kern w:val="0"/>
                <w:sz w:val="18"/>
                <w:szCs w:val="18"/>
              </w:rPr>
            </w:pPr>
            <w:r>
              <w:rPr>
                <w:kern w:val="0"/>
                <w:sz w:val="18"/>
                <w:szCs w:val="18"/>
              </w:rPr>
              <w:t>25</w:t>
            </w:r>
          </w:p>
        </w:tc>
        <w:tc>
          <w:tcPr>
            <w:tcW w:w="3779" w:type="pct"/>
            <w:gridSpan w:val="9"/>
            <w:vMerge w:val="continue"/>
            <w:tcBorders>
              <w:left w:val="single" w:color="auto" w:sz="2" w:space="0"/>
            </w:tcBorders>
            <w:shd w:val="clear" w:color="auto" w:fill="auto"/>
            <w:noWrap/>
            <w:vAlign w:val="center"/>
          </w:tcPr>
          <w:p w14:paraId="2534E3BA">
            <w:pPr>
              <w:jc w:val="left"/>
              <w:rPr>
                <w:kern w:val="0"/>
                <w:sz w:val="20"/>
                <w:szCs w:val="20"/>
              </w:rPr>
            </w:pPr>
          </w:p>
        </w:tc>
      </w:tr>
      <w:tr w14:paraId="7588132C">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59E71897">
            <w:pPr>
              <w:widowControl/>
              <w:jc w:val="center"/>
              <w:rPr>
                <w:kern w:val="0"/>
                <w:sz w:val="18"/>
                <w:szCs w:val="18"/>
              </w:rPr>
            </w:pPr>
            <w:r>
              <w:rPr>
                <w:kern w:val="0"/>
                <w:sz w:val="18"/>
                <w:szCs w:val="18"/>
              </w:rPr>
              <w:t>云  南</w:t>
            </w:r>
          </w:p>
        </w:tc>
        <w:tc>
          <w:tcPr>
            <w:tcW w:w="398" w:type="pct"/>
            <w:gridSpan w:val="2"/>
            <w:tcBorders>
              <w:left w:val="single" w:color="auto" w:sz="2" w:space="0"/>
              <w:right w:val="single" w:color="auto" w:sz="2" w:space="0"/>
            </w:tcBorders>
            <w:shd w:val="clear" w:color="auto" w:fill="auto"/>
            <w:vAlign w:val="center"/>
          </w:tcPr>
          <w:p w14:paraId="2AA54C64">
            <w:pPr>
              <w:widowControl/>
              <w:spacing w:line="240" w:lineRule="exact"/>
              <w:jc w:val="center"/>
              <w:rPr>
                <w:kern w:val="0"/>
                <w:sz w:val="18"/>
                <w:szCs w:val="18"/>
              </w:rPr>
            </w:pPr>
            <w:r>
              <w:rPr>
                <w:kern w:val="0"/>
                <w:sz w:val="18"/>
                <w:szCs w:val="18"/>
              </w:rPr>
              <w:t>26</w:t>
            </w:r>
          </w:p>
        </w:tc>
        <w:tc>
          <w:tcPr>
            <w:tcW w:w="3779" w:type="pct"/>
            <w:gridSpan w:val="9"/>
            <w:vMerge w:val="continue"/>
            <w:tcBorders>
              <w:left w:val="single" w:color="auto" w:sz="2" w:space="0"/>
            </w:tcBorders>
            <w:shd w:val="clear" w:color="auto" w:fill="auto"/>
            <w:noWrap/>
            <w:vAlign w:val="center"/>
          </w:tcPr>
          <w:p w14:paraId="5B408B90">
            <w:pPr>
              <w:jc w:val="left"/>
              <w:rPr>
                <w:kern w:val="0"/>
                <w:sz w:val="20"/>
                <w:szCs w:val="20"/>
              </w:rPr>
            </w:pPr>
          </w:p>
        </w:tc>
      </w:tr>
      <w:tr w14:paraId="03326213">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35105028">
            <w:pPr>
              <w:widowControl/>
              <w:jc w:val="center"/>
              <w:rPr>
                <w:kern w:val="0"/>
                <w:sz w:val="18"/>
                <w:szCs w:val="18"/>
              </w:rPr>
            </w:pPr>
            <w:r>
              <w:rPr>
                <w:kern w:val="0"/>
                <w:sz w:val="18"/>
                <w:szCs w:val="18"/>
              </w:rPr>
              <w:t>西  藏</w:t>
            </w:r>
          </w:p>
        </w:tc>
        <w:tc>
          <w:tcPr>
            <w:tcW w:w="398" w:type="pct"/>
            <w:gridSpan w:val="2"/>
            <w:tcBorders>
              <w:left w:val="single" w:color="auto" w:sz="2" w:space="0"/>
              <w:right w:val="single" w:color="auto" w:sz="2" w:space="0"/>
            </w:tcBorders>
            <w:shd w:val="clear" w:color="auto" w:fill="auto"/>
            <w:vAlign w:val="center"/>
          </w:tcPr>
          <w:p w14:paraId="52D1EB9E">
            <w:pPr>
              <w:widowControl/>
              <w:spacing w:line="240" w:lineRule="exact"/>
              <w:jc w:val="center"/>
              <w:rPr>
                <w:kern w:val="0"/>
                <w:sz w:val="18"/>
                <w:szCs w:val="18"/>
              </w:rPr>
            </w:pPr>
            <w:r>
              <w:rPr>
                <w:kern w:val="0"/>
                <w:sz w:val="18"/>
                <w:szCs w:val="18"/>
              </w:rPr>
              <w:t>27</w:t>
            </w:r>
          </w:p>
        </w:tc>
        <w:tc>
          <w:tcPr>
            <w:tcW w:w="3779" w:type="pct"/>
            <w:gridSpan w:val="9"/>
            <w:vMerge w:val="continue"/>
            <w:tcBorders>
              <w:left w:val="single" w:color="auto" w:sz="2" w:space="0"/>
            </w:tcBorders>
            <w:shd w:val="clear" w:color="auto" w:fill="auto"/>
            <w:noWrap/>
            <w:vAlign w:val="center"/>
          </w:tcPr>
          <w:p w14:paraId="3DCEBB7B">
            <w:pPr>
              <w:jc w:val="left"/>
              <w:rPr>
                <w:kern w:val="0"/>
                <w:sz w:val="20"/>
                <w:szCs w:val="20"/>
              </w:rPr>
            </w:pPr>
          </w:p>
        </w:tc>
      </w:tr>
      <w:tr w14:paraId="3E6E1011">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70ACB16E">
            <w:pPr>
              <w:widowControl/>
              <w:jc w:val="center"/>
              <w:rPr>
                <w:kern w:val="0"/>
                <w:sz w:val="18"/>
                <w:szCs w:val="18"/>
              </w:rPr>
            </w:pPr>
            <w:r>
              <w:rPr>
                <w:kern w:val="0"/>
                <w:sz w:val="18"/>
                <w:szCs w:val="18"/>
              </w:rPr>
              <w:t>陕  西</w:t>
            </w:r>
          </w:p>
        </w:tc>
        <w:tc>
          <w:tcPr>
            <w:tcW w:w="398" w:type="pct"/>
            <w:gridSpan w:val="2"/>
            <w:tcBorders>
              <w:left w:val="single" w:color="auto" w:sz="2" w:space="0"/>
              <w:right w:val="single" w:color="auto" w:sz="2" w:space="0"/>
            </w:tcBorders>
            <w:shd w:val="clear" w:color="auto" w:fill="auto"/>
            <w:vAlign w:val="center"/>
          </w:tcPr>
          <w:p w14:paraId="3D9C88E6">
            <w:pPr>
              <w:widowControl/>
              <w:spacing w:line="240" w:lineRule="exact"/>
              <w:jc w:val="center"/>
              <w:rPr>
                <w:kern w:val="0"/>
                <w:sz w:val="18"/>
                <w:szCs w:val="18"/>
              </w:rPr>
            </w:pPr>
            <w:r>
              <w:rPr>
                <w:kern w:val="0"/>
                <w:sz w:val="18"/>
                <w:szCs w:val="18"/>
              </w:rPr>
              <w:t>28</w:t>
            </w:r>
          </w:p>
        </w:tc>
        <w:tc>
          <w:tcPr>
            <w:tcW w:w="3779" w:type="pct"/>
            <w:gridSpan w:val="9"/>
            <w:vMerge w:val="continue"/>
            <w:tcBorders>
              <w:left w:val="single" w:color="auto" w:sz="2" w:space="0"/>
            </w:tcBorders>
            <w:shd w:val="clear" w:color="auto" w:fill="auto"/>
            <w:noWrap/>
            <w:vAlign w:val="center"/>
          </w:tcPr>
          <w:p w14:paraId="089CCF0E">
            <w:pPr>
              <w:jc w:val="left"/>
              <w:rPr>
                <w:kern w:val="0"/>
                <w:sz w:val="20"/>
                <w:szCs w:val="20"/>
              </w:rPr>
            </w:pPr>
          </w:p>
        </w:tc>
      </w:tr>
      <w:tr w14:paraId="325D1B9B">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2BD085C6">
            <w:pPr>
              <w:widowControl/>
              <w:jc w:val="center"/>
              <w:rPr>
                <w:kern w:val="0"/>
                <w:sz w:val="18"/>
                <w:szCs w:val="18"/>
              </w:rPr>
            </w:pPr>
            <w:r>
              <w:rPr>
                <w:kern w:val="0"/>
                <w:sz w:val="18"/>
                <w:szCs w:val="18"/>
              </w:rPr>
              <w:t>甘  肃</w:t>
            </w:r>
          </w:p>
        </w:tc>
        <w:tc>
          <w:tcPr>
            <w:tcW w:w="398" w:type="pct"/>
            <w:gridSpan w:val="2"/>
            <w:tcBorders>
              <w:left w:val="single" w:color="auto" w:sz="2" w:space="0"/>
              <w:right w:val="single" w:color="auto" w:sz="2" w:space="0"/>
            </w:tcBorders>
            <w:shd w:val="clear" w:color="auto" w:fill="auto"/>
            <w:vAlign w:val="center"/>
          </w:tcPr>
          <w:p w14:paraId="72CC769F">
            <w:pPr>
              <w:widowControl/>
              <w:spacing w:line="240" w:lineRule="exact"/>
              <w:jc w:val="center"/>
              <w:rPr>
                <w:kern w:val="0"/>
                <w:sz w:val="18"/>
                <w:szCs w:val="18"/>
              </w:rPr>
            </w:pPr>
            <w:r>
              <w:rPr>
                <w:kern w:val="0"/>
                <w:sz w:val="18"/>
                <w:szCs w:val="18"/>
              </w:rPr>
              <w:t>29</w:t>
            </w:r>
          </w:p>
        </w:tc>
        <w:tc>
          <w:tcPr>
            <w:tcW w:w="3779" w:type="pct"/>
            <w:gridSpan w:val="9"/>
            <w:vMerge w:val="continue"/>
            <w:tcBorders>
              <w:left w:val="single" w:color="auto" w:sz="2" w:space="0"/>
            </w:tcBorders>
            <w:shd w:val="clear" w:color="auto" w:fill="auto"/>
            <w:noWrap/>
            <w:vAlign w:val="center"/>
          </w:tcPr>
          <w:p w14:paraId="66312FF7">
            <w:pPr>
              <w:jc w:val="left"/>
              <w:rPr>
                <w:kern w:val="0"/>
                <w:sz w:val="20"/>
                <w:szCs w:val="20"/>
              </w:rPr>
            </w:pPr>
          </w:p>
        </w:tc>
      </w:tr>
      <w:tr w14:paraId="1D1DF5F5">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35CD90DE">
            <w:pPr>
              <w:widowControl/>
              <w:jc w:val="center"/>
              <w:rPr>
                <w:kern w:val="0"/>
                <w:sz w:val="18"/>
                <w:szCs w:val="18"/>
              </w:rPr>
            </w:pPr>
            <w:r>
              <w:rPr>
                <w:kern w:val="0"/>
                <w:sz w:val="18"/>
                <w:szCs w:val="18"/>
              </w:rPr>
              <w:t>青  海</w:t>
            </w:r>
          </w:p>
        </w:tc>
        <w:tc>
          <w:tcPr>
            <w:tcW w:w="398" w:type="pct"/>
            <w:gridSpan w:val="2"/>
            <w:tcBorders>
              <w:left w:val="single" w:color="auto" w:sz="2" w:space="0"/>
              <w:right w:val="single" w:color="auto" w:sz="2" w:space="0"/>
            </w:tcBorders>
            <w:shd w:val="clear" w:color="auto" w:fill="auto"/>
            <w:vAlign w:val="center"/>
          </w:tcPr>
          <w:p w14:paraId="7EAF7BD7">
            <w:pPr>
              <w:widowControl/>
              <w:spacing w:line="240" w:lineRule="exact"/>
              <w:jc w:val="center"/>
              <w:rPr>
                <w:kern w:val="0"/>
                <w:sz w:val="18"/>
                <w:szCs w:val="18"/>
              </w:rPr>
            </w:pPr>
            <w:r>
              <w:rPr>
                <w:kern w:val="0"/>
                <w:sz w:val="18"/>
                <w:szCs w:val="18"/>
              </w:rPr>
              <w:t>30</w:t>
            </w:r>
          </w:p>
        </w:tc>
        <w:tc>
          <w:tcPr>
            <w:tcW w:w="3779" w:type="pct"/>
            <w:gridSpan w:val="9"/>
            <w:vMerge w:val="continue"/>
            <w:tcBorders>
              <w:left w:val="single" w:color="auto" w:sz="2" w:space="0"/>
            </w:tcBorders>
            <w:shd w:val="clear" w:color="auto" w:fill="auto"/>
            <w:noWrap/>
            <w:vAlign w:val="center"/>
          </w:tcPr>
          <w:p w14:paraId="7B243F82">
            <w:pPr>
              <w:jc w:val="left"/>
              <w:rPr>
                <w:kern w:val="0"/>
                <w:sz w:val="20"/>
                <w:szCs w:val="20"/>
              </w:rPr>
            </w:pPr>
          </w:p>
        </w:tc>
      </w:tr>
      <w:tr w14:paraId="7D6A85FA">
        <w:tblPrEx>
          <w:tblCellMar>
            <w:top w:w="0" w:type="dxa"/>
            <w:left w:w="108" w:type="dxa"/>
            <w:bottom w:w="0" w:type="dxa"/>
            <w:right w:w="108" w:type="dxa"/>
          </w:tblCellMar>
        </w:tblPrEx>
        <w:trPr>
          <w:trHeight w:val="285" w:hRule="atLeast"/>
          <w:jc w:val="center"/>
        </w:trPr>
        <w:tc>
          <w:tcPr>
            <w:tcW w:w="821" w:type="pct"/>
            <w:gridSpan w:val="2"/>
            <w:tcBorders>
              <w:left w:val="nil"/>
              <w:right w:val="single" w:color="auto" w:sz="2" w:space="0"/>
            </w:tcBorders>
            <w:shd w:val="clear" w:color="auto" w:fill="auto"/>
            <w:vAlign w:val="center"/>
          </w:tcPr>
          <w:p w14:paraId="30FE80AE">
            <w:pPr>
              <w:widowControl/>
              <w:jc w:val="center"/>
              <w:rPr>
                <w:kern w:val="0"/>
                <w:sz w:val="18"/>
                <w:szCs w:val="18"/>
              </w:rPr>
            </w:pPr>
            <w:r>
              <w:rPr>
                <w:kern w:val="0"/>
                <w:sz w:val="18"/>
                <w:szCs w:val="18"/>
              </w:rPr>
              <w:t>宁  夏</w:t>
            </w:r>
          </w:p>
        </w:tc>
        <w:tc>
          <w:tcPr>
            <w:tcW w:w="398" w:type="pct"/>
            <w:gridSpan w:val="2"/>
            <w:tcBorders>
              <w:left w:val="single" w:color="auto" w:sz="2" w:space="0"/>
              <w:right w:val="single" w:color="auto" w:sz="2" w:space="0"/>
            </w:tcBorders>
            <w:shd w:val="clear" w:color="auto" w:fill="auto"/>
            <w:vAlign w:val="center"/>
          </w:tcPr>
          <w:p w14:paraId="031433E1">
            <w:pPr>
              <w:widowControl/>
              <w:spacing w:line="240" w:lineRule="exact"/>
              <w:jc w:val="center"/>
              <w:rPr>
                <w:kern w:val="0"/>
                <w:sz w:val="18"/>
                <w:szCs w:val="18"/>
              </w:rPr>
            </w:pPr>
            <w:r>
              <w:rPr>
                <w:kern w:val="0"/>
                <w:sz w:val="18"/>
                <w:szCs w:val="18"/>
              </w:rPr>
              <w:t>31</w:t>
            </w:r>
          </w:p>
        </w:tc>
        <w:tc>
          <w:tcPr>
            <w:tcW w:w="3779" w:type="pct"/>
            <w:gridSpan w:val="9"/>
            <w:vMerge w:val="continue"/>
            <w:tcBorders>
              <w:left w:val="single" w:color="auto" w:sz="2" w:space="0"/>
            </w:tcBorders>
            <w:shd w:val="clear" w:color="auto" w:fill="auto"/>
            <w:noWrap/>
            <w:vAlign w:val="center"/>
          </w:tcPr>
          <w:p w14:paraId="42A0C7DB">
            <w:pPr>
              <w:jc w:val="left"/>
              <w:rPr>
                <w:kern w:val="0"/>
                <w:sz w:val="20"/>
                <w:szCs w:val="20"/>
              </w:rPr>
            </w:pPr>
          </w:p>
        </w:tc>
      </w:tr>
      <w:tr w14:paraId="20DEBDAC">
        <w:tblPrEx>
          <w:tblCellMar>
            <w:top w:w="0" w:type="dxa"/>
            <w:left w:w="108" w:type="dxa"/>
            <w:bottom w:w="0" w:type="dxa"/>
            <w:right w:w="108" w:type="dxa"/>
          </w:tblCellMar>
        </w:tblPrEx>
        <w:trPr>
          <w:trHeight w:val="300" w:hRule="atLeast"/>
          <w:jc w:val="center"/>
        </w:trPr>
        <w:tc>
          <w:tcPr>
            <w:tcW w:w="821" w:type="pct"/>
            <w:gridSpan w:val="2"/>
            <w:tcBorders>
              <w:left w:val="nil"/>
              <w:bottom w:val="single" w:color="auto" w:sz="8" w:space="0"/>
              <w:right w:val="single" w:color="auto" w:sz="2" w:space="0"/>
            </w:tcBorders>
            <w:shd w:val="clear" w:color="auto" w:fill="auto"/>
            <w:vAlign w:val="center"/>
          </w:tcPr>
          <w:p w14:paraId="79410C2C">
            <w:pPr>
              <w:widowControl/>
              <w:jc w:val="center"/>
              <w:rPr>
                <w:kern w:val="0"/>
                <w:sz w:val="18"/>
                <w:szCs w:val="18"/>
              </w:rPr>
            </w:pPr>
            <w:r>
              <w:rPr>
                <w:kern w:val="0"/>
                <w:sz w:val="18"/>
                <w:szCs w:val="18"/>
              </w:rPr>
              <w:t>新  疆</w:t>
            </w:r>
          </w:p>
        </w:tc>
        <w:tc>
          <w:tcPr>
            <w:tcW w:w="398" w:type="pct"/>
            <w:gridSpan w:val="2"/>
            <w:tcBorders>
              <w:left w:val="single" w:color="auto" w:sz="2" w:space="0"/>
              <w:bottom w:val="single" w:color="auto" w:sz="8" w:space="0"/>
              <w:right w:val="single" w:color="auto" w:sz="2" w:space="0"/>
            </w:tcBorders>
            <w:shd w:val="clear" w:color="auto" w:fill="auto"/>
            <w:vAlign w:val="center"/>
          </w:tcPr>
          <w:p w14:paraId="473C1C09">
            <w:pPr>
              <w:widowControl/>
              <w:spacing w:line="240" w:lineRule="exact"/>
              <w:jc w:val="center"/>
              <w:rPr>
                <w:kern w:val="0"/>
                <w:sz w:val="18"/>
                <w:szCs w:val="18"/>
              </w:rPr>
            </w:pPr>
            <w:r>
              <w:rPr>
                <w:kern w:val="0"/>
                <w:sz w:val="18"/>
                <w:szCs w:val="18"/>
              </w:rPr>
              <w:t>3</w:t>
            </w:r>
            <w:r>
              <w:rPr>
                <w:rFonts w:hint="eastAsia"/>
                <w:kern w:val="0"/>
                <w:sz w:val="18"/>
                <w:szCs w:val="18"/>
              </w:rPr>
              <w:t>2</w:t>
            </w:r>
          </w:p>
        </w:tc>
        <w:tc>
          <w:tcPr>
            <w:tcW w:w="3779" w:type="pct"/>
            <w:gridSpan w:val="9"/>
            <w:vMerge w:val="continue"/>
            <w:tcBorders>
              <w:left w:val="single" w:color="auto" w:sz="2" w:space="0"/>
              <w:bottom w:val="single" w:color="auto" w:sz="8" w:space="0"/>
            </w:tcBorders>
            <w:shd w:val="clear" w:color="auto" w:fill="auto"/>
            <w:noWrap/>
            <w:vAlign w:val="center"/>
          </w:tcPr>
          <w:p w14:paraId="3347886F">
            <w:pPr>
              <w:widowControl/>
              <w:jc w:val="left"/>
              <w:rPr>
                <w:kern w:val="0"/>
                <w:sz w:val="22"/>
                <w:szCs w:val="22"/>
              </w:rPr>
            </w:pPr>
          </w:p>
        </w:tc>
      </w:tr>
    </w:tbl>
    <w:p w14:paraId="57BAA38E">
      <w:pPr>
        <w:widowControl/>
        <w:rPr>
          <w:kern w:val="0"/>
          <w:sz w:val="18"/>
          <w:szCs w:val="18"/>
        </w:rPr>
      </w:pPr>
      <w:r>
        <w:rPr>
          <w:sz w:val="18"/>
          <w:szCs w:val="18"/>
        </w:rPr>
        <w:t>单位负责人：                填表人：              联系电话：                   报出日期：２０ 　年  月  日</w:t>
      </w:r>
    </w:p>
    <w:p w14:paraId="384F8F2F">
      <w:pPr>
        <w:spacing w:line="240" w:lineRule="exact"/>
        <w:ind w:left="-2" w:leftChars="-1"/>
        <w:rPr>
          <w:sz w:val="18"/>
          <w:szCs w:val="18"/>
        </w:rPr>
      </w:pPr>
    </w:p>
    <w:p w14:paraId="069B6A75">
      <w:pPr>
        <w:snapToGrid w:val="0"/>
        <w:spacing w:line="280" w:lineRule="exact"/>
        <w:ind w:left="1548" w:hanging="1548" w:hangingChars="860"/>
        <w:rPr>
          <w:sz w:val="18"/>
          <w:szCs w:val="18"/>
        </w:rPr>
      </w:pPr>
      <w:r>
        <w:rPr>
          <w:sz w:val="18"/>
          <w:szCs w:val="18"/>
        </w:rPr>
        <w:t>说明：</w:t>
      </w:r>
      <w:r>
        <w:rPr>
          <w:kern w:val="0"/>
          <w:sz w:val="18"/>
          <w:szCs w:val="18"/>
        </w:rPr>
        <w:t>1.</w:t>
      </w:r>
      <w:r>
        <w:rPr>
          <w:rFonts w:hint="eastAsia"/>
          <w:kern w:val="0"/>
          <w:sz w:val="18"/>
          <w:szCs w:val="18"/>
        </w:rPr>
        <w:t>统计范围</w:t>
      </w:r>
      <w:r>
        <w:rPr>
          <w:rFonts w:hint="eastAsia"/>
          <w:sz w:val="18"/>
          <w:szCs w:val="18"/>
        </w:rPr>
        <w:t>：国家电网公司总（分）部、各省级电网公司；中国南方电网有限责任公司及其所属各省电网公司；内蒙古电力有限责任公司</w:t>
      </w:r>
      <w:r>
        <w:rPr>
          <w:sz w:val="18"/>
          <w:szCs w:val="18"/>
        </w:rPr>
        <w:t>。</w:t>
      </w:r>
    </w:p>
    <w:p w14:paraId="3453E844">
      <w:pPr>
        <w:snapToGrid w:val="0"/>
        <w:spacing w:line="280" w:lineRule="exact"/>
        <w:ind w:firstLine="540" w:firstLineChars="300"/>
        <w:rPr>
          <w:sz w:val="18"/>
          <w:szCs w:val="18"/>
        </w:rPr>
      </w:pPr>
      <w:r>
        <w:rPr>
          <w:sz w:val="18"/>
          <w:szCs w:val="18"/>
        </w:rPr>
        <w:t>2.报送时间为月后15日前，报送方式为电子邮件</w:t>
      </w:r>
      <w:r>
        <w:rPr>
          <w:rFonts w:hint="eastAsia"/>
          <w:sz w:val="18"/>
          <w:szCs w:val="18"/>
        </w:rPr>
        <w:t>（</w:t>
      </w:r>
      <w:r>
        <w:rPr>
          <w:sz w:val="18"/>
          <w:szCs w:val="18"/>
        </w:rPr>
        <w:t>nysscxsc@stats.gov.cn</w:t>
      </w:r>
      <w:r>
        <w:rPr>
          <w:rFonts w:hint="eastAsia"/>
          <w:sz w:val="18"/>
          <w:szCs w:val="18"/>
        </w:rPr>
        <w:t>）</w:t>
      </w:r>
      <w:r>
        <w:rPr>
          <w:sz w:val="18"/>
          <w:szCs w:val="18"/>
        </w:rPr>
        <w:t>。</w:t>
      </w:r>
    </w:p>
    <w:p w14:paraId="2CD13E42">
      <w:pPr>
        <w:spacing w:line="400" w:lineRule="exact"/>
        <w:jc w:val="both"/>
        <w:rPr>
          <w:sz w:val="32"/>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1CC4C448">
      <w:pPr>
        <w:spacing w:before="480" w:beforeLines="200" w:after="240" w:afterLines="100"/>
        <w:jc w:val="center"/>
        <w:outlineLvl w:val="2"/>
        <w:rPr>
          <w:sz w:val="32"/>
          <w:szCs w:val="32"/>
        </w:rPr>
      </w:pPr>
      <w:r>
        <w:rPr>
          <w:rFonts w:hint="eastAsia"/>
          <w:sz w:val="32"/>
          <w:szCs w:val="32"/>
          <w:lang w:eastAsia="zh-CN"/>
        </w:rPr>
        <w:t>电力行业监测</w:t>
      </w:r>
      <w:r>
        <w:rPr>
          <w:sz w:val="32"/>
          <w:szCs w:val="32"/>
        </w:rPr>
        <w:t>情况</w:t>
      </w:r>
    </w:p>
    <w:tbl>
      <w:tblPr>
        <w:tblStyle w:val="20"/>
        <w:tblW w:w="5209" w:type="pct"/>
        <w:jc w:val="center"/>
        <w:tblLayout w:type="fixed"/>
        <w:tblCellMar>
          <w:top w:w="0" w:type="dxa"/>
          <w:left w:w="108" w:type="dxa"/>
          <w:bottom w:w="0" w:type="dxa"/>
          <w:right w:w="108" w:type="dxa"/>
        </w:tblCellMar>
      </w:tblPr>
      <w:tblGrid>
        <w:gridCol w:w="830"/>
        <w:gridCol w:w="222"/>
        <w:gridCol w:w="652"/>
        <w:gridCol w:w="624"/>
        <w:gridCol w:w="99"/>
        <w:gridCol w:w="637"/>
        <w:gridCol w:w="1"/>
        <w:gridCol w:w="624"/>
        <w:gridCol w:w="535"/>
        <w:gridCol w:w="202"/>
        <w:gridCol w:w="676"/>
        <w:gridCol w:w="682"/>
        <w:gridCol w:w="626"/>
        <w:gridCol w:w="472"/>
        <w:gridCol w:w="262"/>
        <w:gridCol w:w="3"/>
        <w:gridCol w:w="624"/>
        <w:gridCol w:w="53"/>
        <w:gridCol w:w="684"/>
        <w:gridCol w:w="672"/>
        <w:gridCol w:w="684"/>
      </w:tblGrid>
      <w:tr w14:paraId="62269BFE">
        <w:tblPrEx>
          <w:tblCellMar>
            <w:top w:w="0" w:type="dxa"/>
            <w:left w:w="108" w:type="dxa"/>
            <w:bottom w:w="0" w:type="dxa"/>
            <w:right w:w="108" w:type="dxa"/>
          </w:tblCellMar>
        </w:tblPrEx>
        <w:trPr>
          <w:jc w:val="center"/>
        </w:trPr>
        <w:tc>
          <w:tcPr>
            <w:tcW w:w="420" w:type="pct"/>
            <w:tcBorders>
              <w:top w:val="nil"/>
              <w:left w:val="nil"/>
              <w:bottom w:val="nil"/>
              <w:right w:val="nil"/>
            </w:tcBorders>
            <w:shd w:val="clear" w:color="auto" w:fill="auto"/>
            <w:noWrap/>
            <w:tcMar>
              <w:left w:w="28" w:type="dxa"/>
              <w:right w:w="28" w:type="dxa"/>
            </w:tcMar>
            <w:vAlign w:val="center"/>
          </w:tcPr>
          <w:p w14:paraId="4F945DBB">
            <w:pPr>
              <w:widowControl/>
              <w:adjustRightInd w:val="0"/>
              <w:snapToGrid w:val="0"/>
              <w:spacing w:line="240" w:lineRule="atLeast"/>
              <w:jc w:val="left"/>
              <w:rPr>
                <w:kern w:val="0"/>
                <w:sz w:val="18"/>
                <w:szCs w:val="18"/>
              </w:rPr>
            </w:pPr>
          </w:p>
        </w:tc>
        <w:tc>
          <w:tcPr>
            <w:tcW w:w="443" w:type="pct"/>
            <w:gridSpan w:val="2"/>
            <w:tcBorders>
              <w:top w:val="nil"/>
              <w:left w:val="nil"/>
              <w:bottom w:val="nil"/>
              <w:right w:val="nil"/>
            </w:tcBorders>
            <w:shd w:val="clear" w:color="auto" w:fill="auto"/>
            <w:noWrap/>
            <w:tcMar>
              <w:left w:w="28" w:type="dxa"/>
              <w:right w:w="28" w:type="dxa"/>
            </w:tcMar>
            <w:vAlign w:val="center"/>
          </w:tcPr>
          <w:p w14:paraId="263DB04F">
            <w:pPr>
              <w:widowControl/>
              <w:adjustRightInd w:val="0"/>
              <w:snapToGrid w:val="0"/>
              <w:spacing w:line="240" w:lineRule="atLeast"/>
              <w:jc w:val="left"/>
              <w:rPr>
                <w:kern w:val="0"/>
                <w:sz w:val="18"/>
                <w:szCs w:val="18"/>
              </w:rPr>
            </w:pPr>
          </w:p>
        </w:tc>
        <w:tc>
          <w:tcPr>
            <w:tcW w:w="366" w:type="pct"/>
            <w:gridSpan w:val="2"/>
            <w:tcBorders>
              <w:top w:val="nil"/>
              <w:left w:val="nil"/>
              <w:bottom w:val="nil"/>
              <w:right w:val="nil"/>
            </w:tcBorders>
            <w:shd w:val="clear" w:color="auto" w:fill="auto"/>
            <w:tcMar>
              <w:left w:w="28" w:type="dxa"/>
              <w:right w:w="28" w:type="dxa"/>
            </w:tcMar>
            <w:vAlign w:val="center"/>
          </w:tcPr>
          <w:p w14:paraId="57A88597">
            <w:pPr>
              <w:widowControl/>
              <w:adjustRightInd w:val="0"/>
              <w:snapToGrid w:val="0"/>
              <w:spacing w:line="240" w:lineRule="atLeast"/>
              <w:jc w:val="left"/>
              <w:rPr>
                <w:kern w:val="0"/>
                <w:sz w:val="18"/>
                <w:szCs w:val="18"/>
              </w:rPr>
            </w:pPr>
          </w:p>
        </w:tc>
        <w:tc>
          <w:tcPr>
            <w:tcW w:w="322" w:type="pct"/>
            <w:tcBorders>
              <w:top w:val="nil"/>
              <w:left w:val="nil"/>
              <w:bottom w:val="nil"/>
              <w:right w:val="nil"/>
            </w:tcBorders>
            <w:shd w:val="clear" w:color="auto" w:fill="auto"/>
            <w:tcMar>
              <w:left w:w="28" w:type="dxa"/>
              <w:right w:w="28" w:type="dxa"/>
            </w:tcMar>
            <w:vAlign w:val="center"/>
          </w:tcPr>
          <w:p w14:paraId="2FB37ADB">
            <w:pPr>
              <w:widowControl/>
              <w:adjustRightInd w:val="0"/>
              <w:snapToGrid w:val="0"/>
              <w:spacing w:line="240" w:lineRule="atLeast"/>
              <w:jc w:val="left"/>
              <w:rPr>
                <w:kern w:val="0"/>
                <w:sz w:val="18"/>
                <w:szCs w:val="18"/>
              </w:rPr>
            </w:pPr>
          </w:p>
        </w:tc>
        <w:tc>
          <w:tcPr>
            <w:tcW w:w="587" w:type="pct"/>
            <w:gridSpan w:val="3"/>
            <w:tcBorders>
              <w:top w:val="nil"/>
              <w:left w:val="nil"/>
              <w:bottom w:val="nil"/>
              <w:right w:val="nil"/>
            </w:tcBorders>
            <w:shd w:val="clear" w:color="auto" w:fill="auto"/>
            <w:tcMar>
              <w:left w:w="28" w:type="dxa"/>
              <w:right w:w="28" w:type="dxa"/>
            </w:tcMar>
            <w:vAlign w:val="center"/>
          </w:tcPr>
          <w:p w14:paraId="062903CF">
            <w:pPr>
              <w:widowControl/>
              <w:adjustRightInd w:val="0"/>
              <w:snapToGrid w:val="0"/>
              <w:spacing w:line="240" w:lineRule="atLeast"/>
              <w:jc w:val="left"/>
              <w:rPr>
                <w:kern w:val="0"/>
                <w:sz w:val="18"/>
                <w:szCs w:val="18"/>
              </w:rPr>
            </w:pPr>
          </w:p>
        </w:tc>
        <w:tc>
          <w:tcPr>
            <w:tcW w:w="1347" w:type="pct"/>
            <w:gridSpan w:val="5"/>
            <w:tcBorders>
              <w:top w:val="nil"/>
              <w:left w:val="nil"/>
              <w:bottom w:val="nil"/>
              <w:right w:val="nil"/>
            </w:tcBorders>
            <w:shd w:val="clear" w:color="auto" w:fill="auto"/>
            <w:tcMar>
              <w:left w:w="28" w:type="dxa"/>
              <w:right w:w="28" w:type="dxa"/>
            </w:tcMar>
            <w:vAlign w:val="center"/>
          </w:tcPr>
          <w:p w14:paraId="1E270D3F">
            <w:pPr>
              <w:widowControl/>
              <w:adjustRightInd w:val="0"/>
              <w:snapToGrid w:val="0"/>
              <w:spacing w:line="240" w:lineRule="atLeast"/>
              <w:jc w:val="left"/>
              <w:rPr>
                <w:kern w:val="0"/>
                <w:sz w:val="18"/>
                <w:szCs w:val="18"/>
              </w:rPr>
            </w:pPr>
          </w:p>
        </w:tc>
        <w:tc>
          <w:tcPr>
            <w:tcW w:w="477" w:type="pct"/>
            <w:gridSpan w:val="4"/>
            <w:tcBorders>
              <w:top w:val="nil"/>
              <w:left w:val="nil"/>
              <w:bottom w:val="nil"/>
              <w:right w:val="nil"/>
            </w:tcBorders>
            <w:shd w:val="clear" w:color="auto" w:fill="auto"/>
            <w:tcMar>
              <w:left w:w="28" w:type="dxa"/>
              <w:right w:w="28" w:type="dxa"/>
            </w:tcMar>
            <w:vAlign w:val="center"/>
          </w:tcPr>
          <w:p w14:paraId="775BF9DF">
            <w:pPr>
              <w:widowControl/>
              <w:adjustRightInd w:val="0"/>
              <w:snapToGrid w:val="0"/>
              <w:spacing w:line="240" w:lineRule="atLeast"/>
              <w:jc w:val="left"/>
              <w:rPr>
                <w:kern w:val="0"/>
                <w:sz w:val="18"/>
                <w:szCs w:val="18"/>
              </w:rPr>
            </w:pPr>
            <w:r>
              <w:rPr>
                <w:kern w:val="0"/>
                <w:sz w:val="18"/>
                <w:szCs w:val="18"/>
              </w:rPr>
              <w:t>表　　号：</w:t>
            </w:r>
          </w:p>
        </w:tc>
        <w:tc>
          <w:tcPr>
            <w:tcW w:w="1034" w:type="pct"/>
            <w:gridSpan w:val="3"/>
            <w:tcBorders>
              <w:top w:val="nil"/>
              <w:left w:val="nil"/>
              <w:bottom w:val="nil"/>
              <w:right w:val="nil"/>
            </w:tcBorders>
            <w:shd w:val="clear" w:color="auto" w:fill="auto"/>
            <w:tcMar>
              <w:left w:w="28" w:type="dxa"/>
              <w:right w:w="28" w:type="dxa"/>
            </w:tcMar>
            <w:vAlign w:val="center"/>
          </w:tcPr>
          <w:p w14:paraId="027A4E1E">
            <w:pPr>
              <w:widowControl/>
              <w:adjustRightInd w:val="0"/>
              <w:snapToGrid w:val="0"/>
              <w:spacing w:line="240" w:lineRule="atLeast"/>
              <w:jc w:val="distribute"/>
              <w:rPr>
                <w:kern w:val="0"/>
                <w:sz w:val="18"/>
                <w:szCs w:val="18"/>
              </w:rPr>
            </w:pPr>
            <w:r>
              <w:rPr>
                <w:sz w:val="18"/>
                <w:szCs w:val="18"/>
              </w:rPr>
              <w:t>ＤＬ４０</w:t>
            </w:r>
            <w:r>
              <w:rPr>
                <w:rFonts w:hint="eastAsia"/>
                <w:sz w:val="18"/>
                <w:szCs w:val="18"/>
              </w:rPr>
              <w:t>３</w:t>
            </w:r>
            <w:r>
              <w:rPr>
                <w:sz w:val="18"/>
                <w:szCs w:val="18"/>
              </w:rPr>
              <w:t>表</w:t>
            </w:r>
          </w:p>
        </w:tc>
      </w:tr>
      <w:tr w14:paraId="3F61AC85">
        <w:tblPrEx>
          <w:tblCellMar>
            <w:top w:w="0" w:type="dxa"/>
            <w:left w:w="108" w:type="dxa"/>
            <w:bottom w:w="0" w:type="dxa"/>
            <w:right w:w="108" w:type="dxa"/>
          </w:tblCellMar>
        </w:tblPrEx>
        <w:trPr>
          <w:jc w:val="center"/>
        </w:trPr>
        <w:tc>
          <w:tcPr>
            <w:tcW w:w="420" w:type="pct"/>
            <w:tcBorders>
              <w:top w:val="nil"/>
              <w:left w:val="nil"/>
              <w:bottom w:val="nil"/>
              <w:right w:val="nil"/>
            </w:tcBorders>
            <w:shd w:val="clear" w:color="auto" w:fill="auto"/>
            <w:noWrap/>
            <w:tcMar>
              <w:left w:w="28" w:type="dxa"/>
              <w:right w:w="28" w:type="dxa"/>
            </w:tcMar>
            <w:vAlign w:val="center"/>
          </w:tcPr>
          <w:p w14:paraId="555FFD10">
            <w:pPr>
              <w:widowControl/>
              <w:adjustRightInd w:val="0"/>
              <w:snapToGrid w:val="0"/>
              <w:spacing w:line="240" w:lineRule="atLeast"/>
              <w:jc w:val="left"/>
              <w:rPr>
                <w:kern w:val="0"/>
                <w:sz w:val="18"/>
                <w:szCs w:val="18"/>
              </w:rPr>
            </w:pPr>
          </w:p>
        </w:tc>
        <w:tc>
          <w:tcPr>
            <w:tcW w:w="443" w:type="pct"/>
            <w:gridSpan w:val="2"/>
            <w:tcBorders>
              <w:top w:val="nil"/>
              <w:left w:val="nil"/>
              <w:bottom w:val="nil"/>
              <w:right w:val="nil"/>
            </w:tcBorders>
            <w:shd w:val="clear" w:color="auto" w:fill="auto"/>
            <w:noWrap/>
            <w:tcMar>
              <w:left w:w="28" w:type="dxa"/>
              <w:right w:w="28" w:type="dxa"/>
            </w:tcMar>
            <w:vAlign w:val="center"/>
          </w:tcPr>
          <w:p w14:paraId="5D3DEFEF">
            <w:pPr>
              <w:widowControl/>
              <w:adjustRightInd w:val="0"/>
              <w:snapToGrid w:val="0"/>
              <w:spacing w:line="240" w:lineRule="atLeast"/>
              <w:jc w:val="left"/>
              <w:rPr>
                <w:kern w:val="0"/>
                <w:sz w:val="18"/>
                <w:szCs w:val="18"/>
              </w:rPr>
            </w:pPr>
          </w:p>
        </w:tc>
        <w:tc>
          <w:tcPr>
            <w:tcW w:w="366" w:type="pct"/>
            <w:gridSpan w:val="2"/>
            <w:tcBorders>
              <w:top w:val="nil"/>
              <w:left w:val="nil"/>
              <w:bottom w:val="nil"/>
              <w:right w:val="nil"/>
            </w:tcBorders>
            <w:shd w:val="clear" w:color="auto" w:fill="auto"/>
            <w:noWrap/>
            <w:tcMar>
              <w:left w:w="28" w:type="dxa"/>
              <w:right w:w="28" w:type="dxa"/>
            </w:tcMar>
            <w:vAlign w:val="center"/>
          </w:tcPr>
          <w:p w14:paraId="0D86E9F0">
            <w:pPr>
              <w:widowControl/>
              <w:adjustRightInd w:val="0"/>
              <w:snapToGrid w:val="0"/>
              <w:spacing w:line="240" w:lineRule="atLeast"/>
              <w:jc w:val="left"/>
              <w:rPr>
                <w:kern w:val="0"/>
                <w:sz w:val="18"/>
                <w:szCs w:val="18"/>
              </w:rPr>
            </w:pPr>
          </w:p>
        </w:tc>
        <w:tc>
          <w:tcPr>
            <w:tcW w:w="322" w:type="pct"/>
            <w:tcBorders>
              <w:top w:val="nil"/>
              <w:left w:val="nil"/>
              <w:bottom w:val="nil"/>
              <w:right w:val="nil"/>
            </w:tcBorders>
            <w:shd w:val="clear" w:color="auto" w:fill="auto"/>
            <w:tcMar>
              <w:left w:w="28" w:type="dxa"/>
              <w:right w:w="28" w:type="dxa"/>
            </w:tcMar>
            <w:vAlign w:val="center"/>
          </w:tcPr>
          <w:p w14:paraId="59FFB610">
            <w:pPr>
              <w:widowControl/>
              <w:adjustRightInd w:val="0"/>
              <w:snapToGrid w:val="0"/>
              <w:spacing w:line="240" w:lineRule="atLeast"/>
              <w:jc w:val="left"/>
              <w:rPr>
                <w:kern w:val="0"/>
                <w:sz w:val="18"/>
                <w:szCs w:val="18"/>
              </w:rPr>
            </w:pPr>
          </w:p>
        </w:tc>
        <w:tc>
          <w:tcPr>
            <w:tcW w:w="587" w:type="pct"/>
            <w:gridSpan w:val="3"/>
            <w:tcBorders>
              <w:top w:val="nil"/>
              <w:left w:val="nil"/>
              <w:bottom w:val="nil"/>
              <w:right w:val="nil"/>
            </w:tcBorders>
            <w:shd w:val="clear" w:color="auto" w:fill="auto"/>
            <w:tcMar>
              <w:left w:w="28" w:type="dxa"/>
              <w:right w:w="28" w:type="dxa"/>
            </w:tcMar>
            <w:vAlign w:val="center"/>
          </w:tcPr>
          <w:p w14:paraId="2FFC0207">
            <w:pPr>
              <w:widowControl/>
              <w:adjustRightInd w:val="0"/>
              <w:snapToGrid w:val="0"/>
              <w:spacing w:line="240" w:lineRule="atLeast"/>
              <w:jc w:val="left"/>
              <w:rPr>
                <w:kern w:val="0"/>
                <w:sz w:val="18"/>
                <w:szCs w:val="18"/>
              </w:rPr>
            </w:pPr>
          </w:p>
        </w:tc>
        <w:tc>
          <w:tcPr>
            <w:tcW w:w="1347" w:type="pct"/>
            <w:gridSpan w:val="5"/>
            <w:tcBorders>
              <w:top w:val="nil"/>
              <w:left w:val="nil"/>
              <w:bottom w:val="nil"/>
              <w:right w:val="nil"/>
            </w:tcBorders>
            <w:shd w:val="clear" w:color="auto" w:fill="auto"/>
            <w:tcMar>
              <w:left w:w="28" w:type="dxa"/>
              <w:right w:w="28" w:type="dxa"/>
            </w:tcMar>
            <w:vAlign w:val="center"/>
          </w:tcPr>
          <w:p w14:paraId="4251B1CC">
            <w:pPr>
              <w:widowControl/>
              <w:adjustRightInd w:val="0"/>
              <w:snapToGrid w:val="0"/>
              <w:spacing w:line="240" w:lineRule="atLeast"/>
              <w:jc w:val="left"/>
              <w:rPr>
                <w:kern w:val="0"/>
                <w:sz w:val="18"/>
                <w:szCs w:val="18"/>
              </w:rPr>
            </w:pPr>
          </w:p>
        </w:tc>
        <w:tc>
          <w:tcPr>
            <w:tcW w:w="477" w:type="pct"/>
            <w:gridSpan w:val="4"/>
            <w:tcBorders>
              <w:top w:val="nil"/>
              <w:left w:val="nil"/>
              <w:bottom w:val="nil"/>
              <w:right w:val="nil"/>
            </w:tcBorders>
            <w:shd w:val="clear" w:color="auto" w:fill="auto"/>
            <w:tcMar>
              <w:left w:w="28" w:type="dxa"/>
              <w:right w:w="28" w:type="dxa"/>
            </w:tcMar>
            <w:vAlign w:val="center"/>
          </w:tcPr>
          <w:p w14:paraId="7FF2F7E7">
            <w:pPr>
              <w:widowControl/>
              <w:adjustRightInd w:val="0"/>
              <w:snapToGrid w:val="0"/>
              <w:spacing w:line="240" w:lineRule="atLeast"/>
              <w:jc w:val="left"/>
              <w:rPr>
                <w:kern w:val="0"/>
                <w:sz w:val="18"/>
                <w:szCs w:val="18"/>
              </w:rPr>
            </w:pPr>
            <w:r>
              <w:rPr>
                <w:kern w:val="0"/>
                <w:sz w:val="18"/>
                <w:szCs w:val="18"/>
              </w:rPr>
              <w:t>制</w:t>
            </w:r>
            <w:r>
              <w:rPr>
                <w:rFonts w:hint="eastAsia"/>
                <w:kern w:val="0"/>
                <w:sz w:val="18"/>
                <w:szCs w:val="18"/>
              </w:rPr>
              <w:t>定</w:t>
            </w:r>
            <w:r>
              <w:rPr>
                <w:kern w:val="0"/>
                <w:sz w:val="18"/>
                <w:szCs w:val="18"/>
              </w:rPr>
              <w:t>机关：</w:t>
            </w:r>
          </w:p>
        </w:tc>
        <w:tc>
          <w:tcPr>
            <w:tcW w:w="1034" w:type="pct"/>
            <w:gridSpan w:val="3"/>
            <w:tcBorders>
              <w:top w:val="nil"/>
              <w:left w:val="nil"/>
              <w:bottom w:val="nil"/>
              <w:right w:val="nil"/>
            </w:tcBorders>
            <w:shd w:val="clear" w:color="auto" w:fill="auto"/>
            <w:tcMar>
              <w:left w:w="28" w:type="dxa"/>
              <w:right w:w="28" w:type="dxa"/>
            </w:tcMar>
            <w:vAlign w:val="center"/>
          </w:tcPr>
          <w:p w14:paraId="6512ED3D">
            <w:pPr>
              <w:widowControl/>
              <w:adjustRightInd w:val="0"/>
              <w:snapToGrid w:val="0"/>
              <w:spacing w:line="240" w:lineRule="atLeast"/>
              <w:jc w:val="distribute"/>
              <w:rPr>
                <w:kern w:val="0"/>
                <w:sz w:val="18"/>
                <w:szCs w:val="18"/>
              </w:rPr>
            </w:pPr>
            <w:r>
              <w:rPr>
                <w:kern w:val="0"/>
                <w:sz w:val="18"/>
                <w:szCs w:val="18"/>
              </w:rPr>
              <w:t>国家统计局</w:t>
            </w:r>
          </w:p>
        </w:tc>
      </w:tr>
      <w:tr w14:paraId="78FEF594">
        <w:tblPrEx>
          <w:tblCellMar>
            <w:top w:w="0" w:type="dxa"/>
            <w:left w:w="108" w:type="dxa"/>
            <w:bottom w:w="0" w:type="dxa"/>
            <w:right w:w="108" w:type="dxa"/>
          </w:tblCellMar>
        </w:tblPrEx>
        <w:trPr>
          <w:jc w:val="center"/>
        </w:trPr>
        <w:tc>
          <w:tcPr>
            <w:tcW w:w="2141" w:type="pct"/>
            <w:gridSpan w:val="9"/>
            <w:tcBorders>
              <w:top w:val="nil"/>
              <w:left w:val="nil"/>
              <w:bottom w:val="nil"/>
              <w:right w:val="nil"/>
            </w:tcBorders>
            <w:shd w:val="clear" w:color="auto" w:fill="auto"/>
            <w:tcMar>
              <w:left w:w="28" w:type="dxa"/>
              <w:right w:w="28" w:type="dxa"/>
            </w:tcMar>
            <w:vAlign w:val="center"/>
          </w:tcPr>
          <w:p w14:paraId="3DFFDCF3">
            <w:pPr>
              <w:widowControl/>
              <w:adjustRightInd w:val="0"/>
              <w:snapToGrid w:val="0"/>
              <w:spacing w:line="240" w:lineRule="atLeast"/>
              <w:jc w:val="left"/>
              <w:rPr>
                <w:kern w:val="0"/>
                <w:sz w:val="18"/>
                <w:szCs w:val="18"/>
              </w:rPr>
            </w:pPr>
          </w:p>
        </w:tc>
        <w:tc>
          <w:tcPr>
            <w:tcW w:w="1347" w:type="pct"/>
            <w:gridSpan w:val="5"/>
            <w:tcBorders>
              <w:top w:val="nil"/>
              <w:left w:val="nil"/>
              <w:bottom w:val="nil"/>
              <w:right w:val="nil"/>
            </w:tcBorders>
            <w:shd w:val="clear" w:color="auto" w:fill="auto"/>
            <w:tcMar>
              <w:left w:w="28" w:type="dxa"/>
              <w:right w:w="28" w:type="dxa"/>
            </w:tcMar>
            <w:vAlign w:val="center"/>
          </w:tcPr>
          <w:p w14:paraId="3DFF9673">
            <w:pPr>
              <w:widowControl/>
              <w:adjustRightInd w:val="0"/>
              <w:snapToGrid w:val="0"/>
              <w:spacing w:line="240" w:lineRule="atLeast"/>
              <w:jc w:val="left"/>
              <w:rPr>
                <w:kern w:val="0"/>
                <w:sz w:val="18"/>
                <w:szCs w:val="18"/>
              </w:rPr>
            </w:pPr>
          </w:p>
        </w:tc>
        <w:tc>
          <w:tcPr>
            <w:tcW w:w="477" w:type="pct"/>
            <w:gridSpan w:val="4"/>
            <w:tcBorders>
              <w:top w:val="nil"/>
              <w:left w:val="nil"/>
              <w:bottom w:val="nil"/>
              <w:right w:val="nil"/>
            </w:tcBorders>
            <w:shd w:val="clear" w:color="auto" w:fill="auto"/>
            <w:tcMar>
              <w:left w:w="28" w:type="dxa"/>
              <w:right w:w="28" w:type="dxa"/>
            </w:tcMar>
            <w:vAlign w:val="center"/>
          </w:tcPr>
          <w:p w14:paraId="28E5340A">
            <w:pPr>
              <w:widowControl/>
              <w:adjustRightInd w:val="0"/>
              <w:snapToGrid w:val="0"/>
              <w:spacing w:line="240" w:lineRule="atLeast"/>
              <w:jc w:val="left"/>
              <w:rPr>
                <w:kern w:val="0"/>
                <w:sz w:val="18"/>
                <w:szCs w:val="18"/>
              </w:rPr>
            </w:pPr>
            <w:r>
              <w:rPr>
                <w:kern w:val="0"/>
                <w:sz w:val="18"/>
                <w:szCs w:val="18"/>
              </w:rPr>
              <w:t>文　　号：</w:t>
            </w:r>
          </w:p>
        </w:tc>
        <w:tc>
          <w:tcPr>
            <w:tcW w:w="1034" w:type="pct"/>
            <w:gridSpan w:val="3"/>
            <w:tcBorders>
              <w:top w:val="nil"/>
              <w:left w:val="nil"/>
              <w:bottom w:val="nil"/>
              <w:right w:val="nil"/>
            </w:tcBorders>
            <w:shd w:val="clear" w:color="auto" w:fill="auto"/>
            <w:tcMar>
              <w:left w:w="28" w:type="dxa"/>
              <w:right w:w="28" w:type="dxa"/>
            </w:tcMar>
            <w:vAlign w:val="center"/>
          </w:tcPr>
          <w:p w14:paraId="0CB76704">
            <w:pPr>
              <w:widowControl/>
              <w:adjustRightInd w:val="0"/>
              <w:snapToGrid w:val="0"/>
              <w:spacing w:line="240" w:lineRule="atLeast"/>
              <w:jc w:val="distribute"/>
              <w:rPr>
                <w:rFonts w:ascii="宋体" w:hAnsi="宋体"/>
                <w:kern w:val="0"/>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418" w:author="kylin" w:date="2025-10-17T16:22:43Z">
              <w:r>
                <w:rPr>
                  <w:rFonts w:hint="default" w:ascii="宋体" w:hAnsi="宋体"/>
                  <w:spacing w:val="-16"/>
                  <w:sz w:val="18"/>
                  <w:szCs w:val="18"/>
                  <w:lang w:val="en-US" w:eastAsia="zh-CN"/>
                </w:rPr>
                <w:delText>４</w:delText>
              </w:r>
            </w:del>
            <w:ins w:id="419" w:author="kylin" w:date="2025-10-17T16:22:43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420" w:author="kylin" w:date="2025-10-17T16:22:45Z">
              <w:r>
                <w:rPr>
                  <w:rFonts w:hint="default" w:ascii="宋体" w:hAnsi="宋体"/>
                  <w:spacing w:val="-16"/>
                  <w:sz w:val="18"/>
                  <w:szCs w:val="18"/>
                  <w:lang w:val="en-US" w:eastAsia="zh-CN"/>
                </w:rPr>
                <w:delText>77</w:delText>
              </w:r>
            </w:del>
            <w:ins w:id="421" w:author="kylin" w:date="2025-10-17T16:22:45Z">
              <w:r>
                <w:rPr>
                  <w:rFonts w:hint="eastAsia" w:ascii="宋体" w:hAnsi="宋体"/>
                  <w:spacing w:val="-16"/>
                  <w:sz w:val="18"/>
                  <w:szCs w:val="18"/>
                  <w:lang w:val="en-US" w:eastAsia="zh-CN"/>
                </w:rPr>
                <w:t>88</w:t>
              </w:r>
            </w:ins>
            <w:r>
              <w:rPr>
                <w:rFonts w:hint="eastAsia" w:ascii="宋体" w:hAnsi="宋体"/>
                <w:spacing w:val="-16"/>
                <w:sz w:val="18"/>
                <w:szCs w:val="18"/>
                <w:lang w:val="en" w:eastAsia="zh-CN"/>
              </w:rPr>
              <w:t>号</w:t>
            </w:r>
          </w:p>
        </w:tc>
      </w:tr>
      <w:tr w14:paraId="1C79BF72">
        <w:tblPrEx>
          <w:tblCellMar>
            <w:top w:w="0" w:type="dxa"/>
            <w:left w:w="108" w:type="dxa"/>
            <w:bottom w:w="0" w:type="dxa"/>
            <w:right w:w="108" w:type="dxa"/>
          </w:tblCellMar>
        </w:tblPrEx>
        <w:trPr>
          <w:jc w:val="center"/>
        </w:trPr>
        <w:tc>
          <w:tcPr>
            <w:tcW w:w="1553" w:type="pct"/>
            <w:gridSpan w:val="6"/>
            <w:tcBorders>
              <w:top w:val="nil"/>
              <w:left w:val="nil"/>
              <w:bottom w:val="nil"/>
              <w:right w:val="nil"/>
            </w:tcBorders>
            <w:shd w:val="clear" w:color="auto" w:fill="auto"/>
            <w:tcMar>
              <w:left w:w="28" w:type="dxa"/>
              <w:right w:w="28" w:type="dxa"/>
            </w:tcMar>
            <w:vAlign w:val="center"/>
          </w:tcPr>
          <w:p w14:paraId="08DBE8B4">
            <w:pPr>
              <w:widowControl/>
              <w:adjustRightInd w:val="0"/>
              <w:snapToGrid w:val="0"/>
              <w:spacing w:line="240" w:lineRule="atLeast"/>
              <w:jc w:val="left"/>
              <w:rPr>
                <w:rFonts w:ascii="Times New Roman" w:hAnsi="Times New Roman" w:eastAsia="宋体" w:cs="Times New Roman"/>
                <w:kern w:val="0"/>
                <w:sz w:val="18"/>
                <w:szCs w:val="18"/>
                <w:lang w:val="en-US" w:eastAsia="zh-CN" w:bidi="ar-SA"/>
              </w:rPr>
            </w:pPr>
            <w:r>
              <w:rPr>
                <w:sz w:val="18"/>
              </w:rPr>
              <w:t>综合机关</w:t>
            </w:r>
            <w:r>
              <w:rPr>
                <w:kern w:val="0"/>
                <w:sz w:val="18"/>
                <w:szCs w:val="18"/>
              </w:rPr>
              <w:t>名称：</w:t>
            </w:r>
            <w:r>
              <w:rPr>
                <w:rFonts w:hint="eastAsia" w:ascii="宋体"/>
                <w:sz w:val="18"/>
              </w:rPr>
              <w:t>中国电力企业联合会</w:t>
            </w:r>
          </w:p>
        </w:tc>
        <w:tc>
          <w:tcPr>
            <w:tcW w:w="1935" w:type="pct"/>
            <w:gridSpan w:val="8"/>
            <w:tcBorders>
              <w:top w:val="nil"/>
              <w:left w:val="nil"/>
              <w:bottom w:val="nil"/>
            </w:tcBorders>
            <w:shd w:val="clear" w:color="auto" w:fill="auto"/>
            <w:noWrap/>
            <w:tcMar>
              <w:left w:w="28" w:type="dxa"/>
              <w:right w:w="28" w:type="dxa"/>
            </w:tcMar>
            <w:vAlign w:val="center"/>
          </w:tcPr>
          <w:p w14:paraId="41BF540A">
            <w:pPr>
              <w:adjustRightInd w:val="0"/>
              <w:snapToGrid w:val="0"/>
              <w:spacing w:line="240" w:lineRule="atLeast"/>
              <w:jc w:val="center"/>
              <w:rPr>
                <w:rFonts w:ascii="Times New Roman" w:hAnsi="Times New Roman" w:eastAsia="宋体" w:cs="Times New Roman"/>
                <w:kern w:val="0"/>
                <w:sz w:val="18"/>
                <w:szCs w:val="18"/>
                <w:lang w:val="en-US" w:eastAsia="zh-CN" w:bidi="ar-SA"/>
              </w:rPr>
            </w:pPr>
            <w:r>
              <w:rPr>
                <w:kern w:val="0"/>
                <w:sz w:val="18"/>
                <w:szCs w:val="18"/>
              </w:rPr>
              <w:t>２０　　年　　　月</w:t>
            </w:r>
          </w:p>
        </w:tc>
        <w:tc>
          <w:tcPr>
            <w:tcW w:w="477" w:type="pct"/>
            <w:gridSpan w:val="4"/>
            <w:tcBorders>
              <w:top w:val="nil"/>
              <w:left w:val="nil"/>
              <w:bottom w:val="nil"/>
            </w:tcBorders>
            <w:shd w:val="clear" w:color="auto" w:fill="auto"/>
            <w:tcMar>
              <w:left w:w="28" w:type="dxa"/>
              <w:right w:w="28" w:type="dxa"/>
            </w:tcMar>
          </w:tcPr>
          <w:p w14:paraId="41D7AE97">
            <w:pPr>
              <w:adjustRightInd w:val="0"/>
              <w:snapToGrid w:val="0"/>
              <w:spacing w:line="240" w:lineRule="atLeast"/>
              <w:rPr>
                <w:kern w:val="0"/>
                <w:sz w:val="18"/>
                <w:szCs w:val="18"/>
              </w:rPr>
            </w:pPr>
            <w:r>
              <w:rPr>
                <w:kern w:val="0"/>
                <w:sz w:val="18"/>
                <w:szCs w:val="18"/>
              </w:rPr>
              <w:t>有效期至：</w:t>
            </w:r>
          </w:p>
        </w:tc>
        <w:tc>
          <w:tcPr>
            <w:tcW w:w="1034" w:type="pct"/>
            <w:gridSpan w:val="3"/>
            <w:tcBorders>
              <w:top w:val="nil"/>
              <w:left w:val="nil"/>
              <w:bottom w:val="nil"/>
            </w:tcBorders>
            <w:shd w:val="clear" w:color="auto" w:fill="auto"/>
            <w:tcMar>
              <w:left w:w="28" w:type="dxa"/>
              <w:right w:w="28" w:type="dxa"/>
            </w:tcMar>
            <w:vAlign w:val="center"/>
          </w:tcPr>
          <w:p w14:paraId="4AE8D718">
            <w:pPr>
              <w:widowControl/>
              <w:adjustRightInd w:val="0"/>
              <w:snapToGrid w:val="0"/>
              <w:spacing w:line="240" w:lineRule="atLeast"/>
              <w:jc w:val="distribute"/>
              <w:rPr>
                <w:rFonts w:hint="default" w:eastAsia="宋体"/>
                <w:kern w:val="0"/>
                <w:sz w:val="18"/>
                <w:szCs w:val="18"/>
                <w:lang w:val="en-US" w:eastAsia="zh-CN"/>
              </w:rPr>
            </w:pPr>
            <w:r>
              <w:rPr>
                <w:rFonts w:hint="default"/>
                <w:kern w:val="0"/>
                <w:sz w:val="18"/>
                <w:szCs w:val="18"/>
                <w:lang w:val="en-US" w:eastAsia="zh-CN"/>
              </w:rPr>
              <w:t>２０２</w:t>
            </w:r>
            <w:del w:id="422" w:author="kylin" w:date="2025-10-17T16:22:47Z">
              <w:r>
                <w:rPr>
                  <w:rFonts w:hint="default"/>
                  <w:kern w:val="0"/>
                  <w:sz w:val="18"/>
                  <w:szCs w:val="18"/>
                  <w:lang w:val="en-US" w:eastAsia="zh-CN"/>
                </w:rPr>
                <w:delText>６</w:delText>
              </w:r>
            </w:del>
            <w:ins w:id="423" w:author="kylin" w:date="2025-10-17T16:22:47Z">
              <w:r>
                <w:rPr>
                  <w:rFonts w:hint="eastAsia"/>
                  <w:kern w:val="0"/>
                  <w:sz w:val="18"/>
                  <w:szCs w:val="18"/>
                  <w:lang w:val="en-US" w:eastAsia="zh-CN"/>
                </w:rPr>
                <w:t>7</w:t>
              </w:r>
            </w:ins>
            <w:r>
              <w:rPr>
                <w:rFonts w:hint="default"/>
                <w:kern w:val="0"/>
                <w:sz w:val="18"/>
                <w:szCs w:val="18"/>
                <w:lang w:val="en-US" w:eastAsia="zh-CN"/>
              </w:rPr>
              <w:t>年１月</w:t>
            </w:r>
          </w:p>
        </w:tc>
      </w:tr>
      <w:tr w14:paraId="6C1C91A3">
        <w:tblPrEx>
          <w:tblCellMar>
            <w:top w:w="0" w:type="dxa"/>
            <w:left w:w="108" w:type="dxa"/>
            <w:bottom w:w="0" w:type="dxa"/>
            <w:right w:w="108" w:type="dxa"/>
          </w:tblCellMar>
        </w:tblPrEx>
        <w:trPr>
          <w:trHeight w:val="280" w:hRule="atLeast"/>
          <w:jc w:val="center"/>
        </w:trPr>
        <w:tc>
          <w:tcPr>
            <w:tcW w:w="533" w:type="pct"/>
            <w:gridSpan w:val="2"/>
            <w:vMerge w:val="restart"/>
            <w:tcBorders>
              <w:top w:val="single" w:color="auto" w:sz="8" w:space="0"/>
              <w:left w:val="nil"/>
              <w:bottom w:val="single" w:color="auto" w:sz="2" w:space="0"/>
              <w:right w:val="single" w:color="auto" w:sz="2" w:space="0"/>
            </w:tcBorders>
            <w:shd w:val="clear" w:color="auto" w:fill="auto"/>
            <w:vAlign w:val="center"/>
          </w:tcPr>
          <w:p w14:paraId="471D6F66">
            <w:pPr>
              <w:jc w:val="center"/>
              <w:rPr>
                <w:kern w:val="0"/>
                <w:sz w:val="18"/>
                <w:szCs w:val="18"/>
              </w:rPr>
            </w:pPr>
            <w:r>
              <w:rPr>
                <w:kern w:val="0"/>
                <w:sz w:val="18"/>
                <w:szCs w:val="18"/>
              </w:rPr>
              <w:t>指标名称</w:t>
            </w:r>
          </w:p>
        </w:tc>
        <w:tc>
          <w:tcPr>
            <w:tcW w:w="330" w:type="pct"/>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485DE1C2">
            <w:pPr>
              <w:jc w:val="center"/>
              <w:rPr>
                <w:kern w:val="0"/>
                <w:sz w:val="18"/>
                <w:szCs w:val="18"/>
              </w:rPr>
            </w:pPr>
            <w:r>
              <w:rPr>
                <w:kern w:val="0"/>
                <w:sz w:val="18"/>
                <w:szCs w:val="18"/>
              </w:rPr>
              <w:t>代码</w:t>
            </w:r>
          </w:p>
        </w:tc>
        <w:tc>
          <w:tcPr>
            <w:tcW w:w="2068" w:type="pct"/>
            <w:gridSpan w:val="9"/>
            <w:tcBorders>
              <w:top w:val="single" w:color="auto" w:sz="8" w:space="0"/>
              <w:left w:val="single" w:color="auto" w:sz="2" w:space="0"/>
              <w:bottom w:val="single" w:color="auto" w:sz="2" w:space="0"/>
              <w:right w:val="single" w:color="auto" w:sz="2" w:space="0"/>
            </w:tcBorders>
            <w:shd w:val="clear" w:color="auto" w:fill="auto"/>
            <w:vAlign w:val="center"/>
          </w:tcPr>
          <w:p w14:paraId="7A6D6A8D">
            <w:pPr>
              <w:widowControl/>
              <w:jc w:val="center"/>
              <w:rPr>
                <w:rFonts w:hint="eastAsia"/>
                <w:kern w:val="0"/>
                <w:sz w:val="18"/>
                <w:szCs w:val="18"/>
              </w:rPr>
            </w:pPr>
            <w:r>
              <w:rPr>
                <w:rFonts w:hint="eastAsia"/>
                <w:sz w:val="18"/>
                <w:szCs w:val="18"/>
              </w:rPr>
              <w:t>发电量（亿千瓦时）</w:t>
            </w:r>
          </w:p>
        </w:tc>
        <w:tc>
          <w:tcPr>
            <w:tcW w:w="2068" w:type="pct"/>
            <w:gridSpan w:val="9"/>
            <w:tcBorders>
              <w:top w:val="single" w:color="auto" w:sz="8" w:space="0"/>
              <w:left w:val="single" w:color="auto" w:sz="2" w:space="0"/>
              <w:bottom w:val="single" w:color="auto" w:sz="2" w:space="0"/>
              <w:right w:val="nil"/>
            </w:tcBorders>
            <w:shd w:val="clear" w:color="auto" w:fill="auto"/>
            <w:vAlign w:val="center"/>
          </w:tcPr>
          <w:p w14:paraId="7CEFD072">
            <w:pPr>
              <w:widowControl/>
              <w:jc w:val="center"/>
              <w:rPr>
                <w:rFonts w:hint="eastAsia"/>
                <w:kern w:val="0"/>
                <w:sz w:val="18"/>
                <w:szCs w:val="18"/>
              </w:rPr>
            </w:pPr>
            <w:r>
              <w:rPr>
                <w:rFonts w:hint="eastAsia"/>
                <w:sz w:val="18"/>
                <w:szCs w:val="18"/>
              </w:rPr>
              <w:t>火力发电量（亿千瓦时）</w:t>
            </w:r>
          </w:p>
        </w:tc>
      </w:tr>
      <w:tr w14:paraId="78097CFB">
        <w:tblPrEx>
          <w:tblCellMar>
            <w:top w:w="0" w:type="dxa"/>
            <w:left w:w="108" w:type="dxa"/>
            <w:bottom w:w="0" w:type="dxa"/>
            <w:right w:w="108" w:type="dxa"/>
          </w:tblCellMar>
        </w:tblPrEx>
        <w:trPr>
          <w:trHeight w:val="323" w:hRule="atLeast"/>
          <w:jc w:val="center"/>
        </w:trPr>
        <w:tc>
          <w:tcPr>
            <w:tcW w:w="533" w:type="pct"/>
            <w:gridSpan w:val="2"/>
            <w:vMerge w:val="continue"/>
            <w:tcBorders>
              <w:top w:val="single" w:color="auto" w:sz="2" w:space="0"/>
              <w:left w:val="nil"/>
              <w:bottom w:val="single" w:color="auto" w:sz="2" w:space="0"/>
              <w:right w:val="single" w:color="auto" w:sz="2" w:space="0"/>
            </w:tcBorders>
            <w:shd w:val="clear" w:color="auto" w:fill="auto"/>
            <w:vAlign w:val="center"/>
          </w:tcPr>
          <w:p w14:paraId="05BC4486">
            <w:pPr>
              <w:widowControl/>
              <w:jc w:val="center"/>
              <w:rPr>
                <w:kern w:val="0"/>
                <w:sz w:val="18"/>
                <w:szCs w:val="18"/>
              </w:rPr>
            </w:pPr>
          </w:p>
        </w:tc>
        <w:tc>
          <w:tcPr>
            <w:tcW w:w="33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D8B275B">
            <w:pPr>
              <w:widowControl/>
              <w:jc w:val="center"/>
              <w:rPr>
                <w:kern w:val="0"/>
                <w:sz w:val="18"/>
                <w:szCs w:val="18"/>
              </w:rPr>
            </w:pPr>
          </w:p>
        </w:tc>
        <w:tc>
          <w:tcPr>
            <w:tcW w:w="689"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0CBD48D7">
            <w:pPr>
              <w:spacing w:line="240" w:lineRule="auto"/>
              <w:jc w:val="center"/>
              <w:rPr>
                <w:rFonts w:ascii="宋体" w:hAnsi="宋体"/>
                <w:kern w:val="0"/>
                <w:sz w:val="18"/>
                <w:szCs w:val="18"/>
              </w:rPr>
            </w:pPr>
            <w:r>
              <w:rPr>
                <w:rFonts w:hint="eastAsia"/>
                <w:sz w:val="18"/>
                <w:szCs w:val="18"/>
              </w:rPr>
              <w:t>本 期</w:t>
            </w:r>
          </w:p>
        </w:tc>
        <w:tc>
          <w:tcPr>
            <w:tcW w:w="690" w:type="pct"/>
            <w:gridSpan w:val="4"/>
            <w:tcBorders>
              <w:top w:val="single" w:color="auto" w:sz="2" w:space="0"/>
              <w:left w:val="single" w:color="auto" w:sz="2" w:space="0"/>
              <w:bottom w:val="single" w:color="auto" w:sz="2" w:space="0"/>
              <w:right w:val="single" w:color="auto" w:sz="2" w:space="0"/>
            </w:tcBorders>
            <w:shd w:val="clear" w:color="auto" w:fill="auto"/>
            <w:vAlign w:val="center"/>
          </w:tcPr>
          <w:p w14:paraId="378EED22">
            <w:pPr>
              <w:spacing w:line="240" w:lineRule="auto"/>
              <w:jc w:val="center"/>
              <w:rPr>
                <w:rFonts w:ascii="宋体" w:hAnsi="宋体"/>
                <w:kern w:val="0"/>
                <w:sz w:val="18"/>
                <w:szCs w:val="18"/>
              </w:rPr>
            </w:pPr>
            <w:r>
              <w:rPr>
                <w:rFonts w:hint="eastAsia"/>
                <w:sz w:val="18"/>
                <w:szCs w:val="18"/>
              </w:rPr>
              <w:t>同 期</w:t>
            </w:r>
          </w:p>
        </w:tc>
        <w:tc>
          <w:tcPr>
            <w:tcW w:w="342"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FE0BC14">
            <w:pPr>
              <w:spacing w:line="240" w:lineRule="auto"/>
              <w:jc w:val="center"/>
              <w:rPr>
                <w:rFonts w:ascii="宋体" w:hAnsi="宋体"/>
                <w:kern w:val="0"/>
                <w:sz w:val="18"/>
                <w:szCs w:val="18"/>
              </w:rPr>
            </w:pPr>
            <w:r>
              <w:rPr>
                <w:rFonts w:hint="eastAsia"/>
                <w:sz w:val="18"/>
                <w:szCs w:val="18"/>
              </w:rPr>
              <w:t>当月</w:t>
            </w:r>
            <w:r>
              <w:rPr>
                <w:sz w:val="18"/>
                <w:szCs w:val="18"/>
              </w:rPr>
              <w:t>增速</w:t>
            </w:r>
            <w:r>
              <w:rPr>
                <w:rFonts w:hint="eastAsia"/>
                <w:sz w:val="18"/>
                <w:szCs w:val="18"/>
              </w:rPr>
              <w:t>（%）</w:t>
            </w:r>
          </w:p>
        </w:tc>
        <w:tc>
          <w:tcPr>
            <w:tcW w:w="34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DCC137B">
            <w:pPr>
              <w:spacing w:line="240" w:lineRule="auto"/>
              <w:jc w:val="center"/>
              <w:rPr>
                <w:rFonts w:ascii="宋体" w:hAnsi="宋体"/>
                <w:kern w:val="0"/>
                <w:sz w:val="18"/>
                <w:szCs w:val="18"/>
              </w:rPr>
            </w:pPr>
            <w:r>
              <w:rPr>
                <w:rFonts w:hint="eastAsia"/>
                <w:sz w:val="18"/>
                <w:szCs w:val="18"/>
              </w:rPr>
              <w:t>累计增速（%）</w:t>
            </w:r>
          </w:p>
        </w:tc>
        <w:tc>
          <w:tcPr>
            <w:tcW w:w="689"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5709A35A">
            <w:pPr>
              <w:spacing w:line="240" w:lineRule="auto"/>
              <w:jc w:val="center"/>
              <w:rPr>
                <w:rFonts w:ascii="宋体" w:hAnsi="宋体"/>
                <w:kern w:val="0"/>
                <w:sz w:val="18"/>
                <w:szCs w:val="18"/>
              </w:rPr>
            </w:pPr>
            <w:r>
              <w:rPr>
                <w:rFonts w:hint="eastAsia"/>
                <w:sz w:val="18"/>
                <w:szCs w:val="18"/>
              </w:rPr>
              <w:t>本 期</w:t>
            </w:r>
          </w:p>
        </w:tc>
        <w:tc>
          <w:tcPr>
            <w:tcW w:w="691" w:type="pct"/>
            <w:gridSpan w:val="4"/>
            <w:tcBorders>
              <w:top w:val="single" w:color="auto" w:sz="2" w:space="0"/>
              <w:left w:val="single" w:color="auto" w:sz="2" w:space="0"/>
              <w:bottom w:val="single" w:color="auto" w:sz="2" w:space="0"/>
              <w:right w:val="single" w:color="auto" w:sz="2" w:space="0"/>
            </w:tcBorders>
            <w:shd w:val="clear" w:color="auto" w:fill="auto"/>
            <w:vAlign w:val="center"/>
          </w:tcPr>
          <w:p w14:paraId="33249B4D">
            <w:pPr>
              <w:spacing w:line="240" w:lineRule="auto"/>
              <w:jc w:val="center"/>
              <w:rPr>
                <w:rFonts w:ascii="宋体" w:hAnsi="宋体"/>
                <w:kern w:val="0"/>
                <w:sz w:val="18"/>
                <w:szCs w:val="18"/>
              </w:rPr>
            </w:pPr>
            <w:r>
              <w:rPr>
                <w:rFonts w:hint="eastAsia"/>
                <w:sz w:val="18"/>
                <w:szCs w:val="18"/>
              </w:rPr>
              <w:t>同 期</w:t>
            </w:r>
          </w:p>
        </w:tc>
        <w:tc>
          <w:tcPr>
            <w:tcW w:w="340" w:type="pct"/>
            <w:vMerge w:val="restart"/>
            <w:tcBorders>
              <w:top w:val="single" w:color="auto" w:sz="2" w:space="0"/>
              <w:left w:val="single" w:color="auto" w:sz="2" w:space="0"/>
              <w:right w:val="single" w:color="auto" w:sz="2" w:space="0"/>
            </w:tcBorders>
            <w:shd w:val="clear" w:color="auto" w:fill="auto"/>
            <w:vAlign w:val="center"/>
          </w:tcPr>
          <w:p w14:paraId="6138BB47">
            <w:pPr>
              <w:spacing w:line="240" w:lineRule="auto"/>
              <w:jc w:val="center"/>
              <w:rPr>
                <w:rFonts w:ascii="宋体" w:hAnsi="宋体"/>
                <w:kern w:val="0"/>
                <w:sz w:val="18"/>
                <w:szCs w:val="18"/>
              </w:rPr>
            </w:pPr>
            <w:r>
              <w:rPr>
                <w:rFonts w:hint="eastAsia"/>
                <w:sz w:val="18"/>
                <w:szCs w:val="18"/>
              </w:rPr>
              <w:t>当月</w:t>
            </w:r>
            <w:r>
              <w:rPr>
                <w:sz w:val="18"/>
                <w:szCs w:val="18"/>
              </w:rPr>
              <w:t>增速</w:t>
            </w:r>
            <w:r>
              <w:rPr>
                <w:rFonts w:hint="eastAsia"/>
                <w:sz w:val="18"/>
                <w:szCs w:val="18"/>
              </w:rPr>
              <w:t>（%）</w:t>
            </w:r>
          </w:p>
        </w:tc>
        <w:tc>
          <w:tcPr>
            <w:tcW w:w="346" w:type="pct"/>
            <w:vMerge w:val="restart"/>
            <w:tcBorders>
              <w:top w:val="single" w:color="auto" w:sz="2" w:space="0"/>
              <w:left w:val="single" w:color="auto" w:sz="2" w:space="0"/>
              <w:right w:val="nil"/>
            </w:tcBorders>
            <w:shd w:val="clear" w:color="auto" w:fill="auto"/>
            <w:vAlign w:val="center"/>
          </w:tcPr>
          <w:p w14:paraId="360E0897">
            <w:pPr>
              <w:spacing w:line="240" w:lineRule="auto"/>
              <w:jc w:val="center"/>
              <w:rPr>
                <w:rFonts w:ascii="宋体" w:hAnsi="宋体"/>
                <w:kern w:val="0"/>
                <w:sz w:val="18"/>
                <w:szCs w:val="18"/>
              </w:rPr>
            </w:pPr>
            <w:r>
              <w:rPr>
                <w:rFonts w:hint="eastAsia"/>
                <w:sz w:val="18"/>
                <w:szCs w:val="18"/>
              </w:rPr>
              <w:t>累计增速（%）</w:t>
            </w:r>
          </w:p>
        </w:tc>
      </w:tr>
      <w:tr w14:paraId="04832B19">
        <w:tblPrEx>
          <w:tblCellMar>
            <w:top w:w="0" w:type="dxa"/>
            <w:left w:w="108" w:type="dxa"/>
            <w:bottom w:w="0" w:type="dxa"/>
            <w:right w:w="108" w:type="dxa"/>
          </w:tblCellMar>
        </w:tblPrEx>
        <w:trPr>
          <w:trHeight w:val="455" w:hRule="atLeast"/>
          <w:jc w:val="center"/>
        </w:trPr>
        <w:tc>
          <w:tcPr>
            <w:tcW w:w="533" w:type="pct"/>
            <w:gridSpan w:val="2"/>
            <w:vMerge w:val="continue"/>
            <w:tcBorders>
              <w:top w:val="single" w:color="auto" w:sz="2" w:space="0"/>
              <w:left w:val="nil"/>
              <w:bottom w:val="single" w:color="auto" w:sz="2" w:space="0"/>
              <w:right w:val="single" w:color="auto" w:sz="2" w:space="0"/>
            </w:tcBorders>
            <w:shd w:val="clear" w:color="auto" w:fill="auto"/>
            <w:vAlign w:val="center"/>
          </w:tcPr>
          <w:p w14:paraId="281C9098">
            <w:pPr>
              <w:widowControl/>
              <w:jc w:val="center"/>
              <w:rPr>
                <w:kern w:val="0"/>
                <w:sz w:val="18"/>
                <w:szCs w:val="18"/>
              </w:rPr>
            </w:pPr>
          </w:p>
        </w:tc>
        <w:tc>
          <w:tcPr>
            <w:tcW w:w="330"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440A649">
            <w:pPr>
              <w:widowControl/>
              <w:jc w:val="center"/>
              <w:rPr>
                <w:kern w:val="0"/>
                <w:sz w:val="18"/>
                <w:szCs w:val="18"/>
              </w:rPr>
            </w:pP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326F5A6F">
            <w:pPr>
              <w:spacing w:line="240" w:lineRule="auto"/>
              <w:jc w:val="center"/>
              <w:rPr>
                <w:rFonts w:ascii="宋体" w:hAnsi="宋体"/>
                <w:kern w:val="0"/>
                <w:sz w:val="18"/>
                <w:szCs w:val="18"/>
              </w:rPr>
            </w:pPr>
            <w:r>
              <w:rPr>
                <w:rFonts w:hint="eastAsia"/>
                <w:sz w:val="18"/>
                <w:szCs w:val="18"/>
              </w:rPr>
              <w:t>本月</w:t>
            </w:r>
          </w:p>
        </w:tc>
        <w:tc>
          <w:tcPr>
            <w:tcW w:w="373"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1F1E63ED">
            <w:pPr>
              <w:spacing w:line="240" w:lineRule="auto"/>
              <w:jc w:val="center"/>
              <w:rPr>
                <w:rFonts w:ascii="宋体" w:hAnsi="宋体"/>
                <w:kern w:val="0"/>
                <w:sz w:val="18"/>
                <w:szCs w:val="18"/>
              </w:rPr>
            </w:pPr>
            <w:r>
              <w:rPr>
                <w:rFonts w:hint="eastAsia"/>
                <w:sz w:val="18"/>
                <w:szCs w:val="18"/>
              </w:rPr>
              <w:t>1</w:t>
            </w:r>
            <w:r>
              <w:rPr>
                <w:sz w:val="18"/>
                <w:szCs w:val="18"/>
              </w:rPr>
              <w:t>-本月</w:t>
            </w: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00E04F97">
            <w:pPr>
              <w:spacing w:line="240" w:lineRule="auto"/>
              <w:jc w:val="center"/>
              <w:rPr>
                <w:rFonts w:ascii="宋体" w:hAnsi="宋体"/>
                <w:kern w:val="0"/>
                <w:sz w:val="18"/>
                <w:szCs w:val="18"/>
              </w:rPr>
            </w:pPr>
            <w:r>
              <w:rPr>
                <w:rFonts w:hint="eastAsia"/>
                <w:sz w:val="18"/>
                <w:szCs w:val="18"/>
              </w:rPr>
              <w:t>本月</w:t>
            </w:r>
          </w:p>
        </w:tc>
        <w:tc>
          <w:tcPr>
            <w:tcW w:w="37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565BAE38">
            <w:pPr>
              <w:spacing w:line="240" w:lineRule="auto"/>
              <w:jc w:val="center"/>
              <w:rPr>
                <w:rFonts w:ascii="宋体" w:hAnsi="宋体"/>
                <w:kern w:val="0"/>
                <w:sz w:val="18"/>
                <w:szCs w:val="18"/>
              </w:rPr>
            </w:pPr>
            <w:r>
              <w:rPr>
                <w:rFonts w:hint="eastAsia"/>
                <w:sz w:val="18"/>
                <w:szCs w:val="18"/>
              </w:rPr>
              <w:t>1</w:t>
            </w:r>
            <w:r>
              <w:rPr>
                <w:sz w:val="18"/>
                <w:szCs w:val="18"/>
              </w:rPr>
              <w:t>-本月</w:t>
            </w:r>
          </w:p>
        </w:tc>
        <w:tc>
          <w:tcPr>
            <w:tcW w:w="342"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4D2241F">
            <w:pPr>
              <w:widowControl/>
              <w:jc w:val="center"/>
              <w:rPr>
                <w:rFonts w:ascii="宋体" w:hAnsi="宋体"/>
                <w:kern w:val="0"/>
                <w:sz w:val="18"/>
                <w:szCs w:val="18"/>
              </w:rPr>
            </w:pPr>
          </w:p>
        </w:tc>
        <w:tc>
          <w:tcPr>
            <w:tcW w:w="34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3208BBA">
            <w:pPr>
              <w:widowControl/>
              <w:jc w:val="center"/>
              <w:rPr>
                <w:rFonts w:ascii="宋体" w:hAnsi="宋体"/>
                <w:kern w:val="0"/>
                <w:sz w:val="18"/>
                <w:szCs w:val="18"/>
              </w:rPr>
            </w:pP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14:paraId="56719CDB">
            <w:pPr>
              <w:spacing w:line="240" w:lineRule="auto"/>
              <w:jc w:val="center"/>
              <w:rPr>
                <w:rFonts w:ascii="宋体" w:hAnsi="宋体"/>
                <w:kern w:val="0"/>
                <w:sz w:val="18"/>
                <w:szCs w:val="18"/>
              </w:rPr>
            </w:pPr>
            <w:r>
              <w:rPr>
                <w:rFonts w:hint="eastAsia"/>
                <w:sz w:val="18"/>
                <w:szCs w:val="18"/>
              </w:rPr>
              <w:t>本月</w:t>
            </w:r>
          </w:p>
        </w:tc>
        <w:tc>
          <w:tcPr>
            <w:tcW w:w="373"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4599816A">
            <w:pPr>
              <w:spacing w:line="240" w:lineRule="auto"/>
              <w:jc w:val="center"/>
              <w:rPr>
                <w:rFonts w:ascii="宋体" w:hAnsi="宋体"/>
                <w:kern w:val="0"/>
                <w:sz w:val="18"/>
                <w:szCs w:val="18"/>
              </w:rPr>
            </w:pPr>
            <w:r>
              <w:rPr>
                <w:rFonts w:hint="eastAsia"/>
                <w:sz w:val="18"/>
                <w:szCs w:val="18"/>
              </w:rPr>
              <w:t>1</w:t>
            </w:r>
            <w:r>
              <w:rPr>
                <w:sz w:val="18"/>
                <w:szCs w:val="18"/>
              </w:rPr>
              <w:t>-本月</w:t>
            </w: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33C3F998">
            <w:pPr>
              <w:spacing w:line="240" w:lineRule="auto"/>
              <w:jc w:val="center"/>
              <w:rPr>
                <w:kern w:val="0"/>
                <w:sz w:val="18"/>
                <w:szCs w:val="18"/>
              </w:rPr>
            </w:pPr>
            <w:r>
              <w:rPr>
                <w:rFonts w:hint="eastAsia"/>
                <w:sz w:val="18"/>
                <w:szCs w:val="18"/>
              </w:rPr>
              <w:t>本月</w:t>
            </w:r>
          </w:p>
        </w:tc>
        <w:tc>
          <w:tcPr>
            <w:tcW w:w="37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7DA8BA42">
            <w:pPr>
              <w:spacing w:line="240" w:lineRule="auto"/>
              <w:jc w:val="center"/>
              <w:rPr>
                <w:rFonts w:ascii="宋体" w:hAnsi="宋体"/>
                <w:kern w:val="0"/>
                <w:sz w:val="18"/>
                <w:szCs w:val="18"/>
              </w:rPr>
            </w:pPr>
            <w:r>
              <w:rPr>
                <w:rFonts w:hint="eastAsia"/>
                <w:sz w:val="18"/>
                <w:szCs w:val="18"/>
              </w:rPr>
              <w:t>1</w:t>
            </w:r>
            <w:r>
              <w:rPr>
                <w:sz w:val="18"/>
                <w:szCs w:val="18"/>
              </w:rPr>
              <w:t>-本月</w:t>
            </w:r>
          </w:p>
        </w:tc>
        <w:tc>
          <w:tcPr>
            <w:tcW w:w="340" w:type="pct"/>
            <w:vMerge w:val="continue"/>
            <w:tcBorders>
              <w:left w:val="single" w:color="auto" w:sz="2" w:space="0"/>
              <w:bottom w:val="single" w:color="auto" w:sz="2" w:space="0"/>
              <w:right w:val="single" w:color="auto" w:sz="2" w:space="0"/>
            </w:tcBorders>
            <w:shd w:val="clear" w:color="auto" w:fill="auto"/>
            <w:vAlign w:val="center"/>
          </w:tcPr>
          <w:p w14:paraId="1045F763">
            <w:pPr>
              <w:widowControl/>
              <w:jc w:val="center"/>
              <w:rPr>
                <w:rFonts w:ascii="宋体" w:hAnsi="宋体"/>
                <w:kern w:val="0"/>
                <w:sz w:val="18"/>
                <w:szCs w:val="18"/>
              </w:rPr>
            </w:pPr>
          </w:p>
        </w:tc>
        <w:tc>
          <w:tcPr>
            <w:tcW w:w="346" w:type="pct"/>
            <w:vMerge w:val="continue"/>
            <w:tcBorders>
              <w:left w:val="single" w:color="auto" w:sz="2" w:space="0"/>
              <w:bottom w:val="single" w:color="auto" w:sz="2" w:space="0"/>
              <w:right w:val="nil"/>
            </w:tcBorders>
            <w:shd w:val="clear" w:color="auto" w:fill="auto"/>
            <w:vAlign w:val="center"/>
          </w:tcPr>
          <w:p w14:paraId="05D5D93A">
            <w:pPr>
              <w:widowControl/>
              <w:jc w:val="center"/>
              <w:rPr>
                <w:rFonts w:ascii="宋体" w:hAnsi="宋体"/>
                <w:kern w:val="0"/>
                <w:sz w:val="18"/>
                <w:szCs w:val="18"/>
              </w:rPr>
            </w:pPr>
          </w:p>
        </w:tc>
      </w:tr>
      <w:tr w14:paraId="0C1A4967">
        <w:tblPrEx>
          <w:tblCellMar>
            <w:top w:w="0" w:type="dxa"/>
            <w:left w:w="108" w:type="dxa"/>
            <w:bottom w:w="0" w:type="dxa"/>
            <w:right w:w="108" w:type="dxa"/>
          </w:tblCellMar>
        </w:tblPrEx>
        <w:trPr>
          <w:trHeight w:val="317" w:hRule="atLeast"/>
          <w:jc w:val="center"/>
        </w:trPr>
        <w:tc>
          <w:tcPr>
            <w:tcW w:w="533" w:type="pct"/>
            <w:gridSpan w:val="2"/>
            <w:tcBorders>
              <w:top w:val="single" w:color="auto" w:sz="2" w:space="0"/>
              <w:left w:val="nil"/>
              <w:bottom w:val="single" w:color="auto" w:sz="2" w:space="0"/>
              <w:right w:val="single" w:color="auto" w:sz="2" w:space="0"/>
            </w:tcBorders>
            <w:shd w:val="clear" w:color="auto" w:fill="auto"/>
            <w:vAlign w:val="center"/>
          </w:tcPr>
          <w:p w14:paraId="14789D36">
            <w:pPr>
              <w:widowControl/>
              <w:spacing w:line="240" w:lineRule="auto"/>
              <w:jc w:val="center"/>
              <w:textAlignment w:val="center"/>
              <w:rPr>
                <w:kern w:val="0"/>
                <w:sz w:val="18"/>
                <w:szCs w:val="18"/>
              </w:rPr>
            </w:pPr>
            <w:r>
              <w:rPr>
                <w:kern w:val="0"/>
                <w:sz w:val="18"/>
                <w:szCs w:val="18"/>
              </w:rPr>
              <w:t>甲</w:t>
            </w:r>
          </w:p>
        </w:tc>
        <w:tc>
          <w:tcPr>
            <w:tcW w:w="330" w:type="pct"/>
            <w:tcBorders>
              <w:top w:val="single" w:color="auto" w:sz="2" w:space="0"/>
              <w:left w:val="single" w:color="auto" w:sz="2" w:space="0"/>
              <w:bottom w:val="single" w:color="auto" w:sz="2" w:space="0"/>
              <w:right w:val="single" w:color="auto" w:sz="2" w:space="0"/>
            </w:tcBorders>
            <w:shd w:val="clear" w:color="auto" w:fill="auto"/>
            <w:vAlign w:val="center"/>
          </w:tcPr>
          <w:p w14:paraId="7B0D6586">
            <w:pPr>
              <w:widowControl/>
              <w:spacing w:line="240" w:lineRule="auto"/>
              <w:jc w:val="center"/>
              <w:textAlignment w:val="center"/>
              <w:rPr>
                <w:kern w:val="0"/>
                <w:sz w:val="18"/>
                <w:szCs w:val="18"/>
              </w:rPr>
            </w:pPr>
            <w:r>
              <w:rPr>
                <w:kern w:val="0"/>
                <w:sz w:val="18"/>
                <w:szCs w:val="18"/>
              </w:rPr>
              <w:t>乙</w:t>
            </w: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02176294">
            <w:pPr>
              <w:spacing w:line="240" w:lineRule="auto"/>
              <w:jc w:val="center"/>
              <w:rPr>
                <w:kern w:val="0"/>
                <w:sz w:val="18"/>
                <w:szCs w:val="18"/>
              </w:rPr>
            </w:pPr>
            <w:r>
              <w:rPr>
                <w:sz w:val="18"/>
                <w:szCs w:val="18"/>
              </w:rPr>
              <w:t>1</w:t>
            </w:r>
          </w:p>
        </w:tc>
        <w:tc>
          <w:tcPr>
            <w:tcW w:w="373"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21F59CD8">
            <w:pPr>
              <w:spacing w:line="240" w:lineRule="auto"/>
              <w:jc w:val="center"/>
              <w:rPr>
                <w:kern w:val="0"/>
                <w:sz w:val="18"/>
                <w:szCs w:val="18"/>
              </w:rPr>
            </w:pPr>
            <w:r>
              <w:rPr>
                <w:sz w:val="18"/>
                <w:szCs w:val="18"/>
              </w:rPr>
              <w:t>2</w:t>
            </w: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0937D341">
            <w:pPr>
              <w:spacing w:line="240" w:lineRule="auto"/>
              <w:jc w:val="center"/>
              <w:rPr>
                <w:kern w:val="0"/>
                <w:sz w:val="18"/>
                <w:szCs w:val="18"/>
              </w:rPr>
            </w:pPr>
            <w:r>
              <w:rPr>
                <w:rFonts w:hint="eastAsia"/>
                <w:sz w:val="18"/>
                <w:szCs w:val="18"/>
              </w:rPr>
              <w:t>3</w:t>
            </w:r>
          </w:p>
        </w:tc>
        <w:tc>
          <w:tcPr>
            <w:tcW w:w="37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4360140E">
            <w:pPr>
              <w:spacing w:line="240" w:lineRule="auto"/>
              <w:jc w:val="center"/>
              <w:rPr>
                <w:kern w:val="0"/>
                <w:sz w:val="18"/>
                <w:szCs w:val="18"/>
              </w:rPr>
            </w:pPr>
            <w:r>
              <w:rPr>
                <w:rFonts w:hint="eastAsia"/>
                <w:sz w:val="18"/>
                <w:szCs w:val="18"/>
              </w:rPr>
              <w:t>4</w:t>
            </w:r>
          </w:p>
        </w:tc>
        <w:tc>
          <w:tcPr>
            <w:tcW w:w="342" w:type="pct"/>
            <w:tcBorders>
              <w:top w:val="single" w:color="auto" w:sz="2" w:space="0"/>
              <w:left w:val="single" w:color="auto" w:sz="2" w:space="0"/>
              <w:bottom w:val="single" w:color="auto" w:sz="2" w:space="0"/>
              <w:right w:val="single" w:color="auto" w:sz="2" w:space="0"/>
            </w:tcBorders>
            <w:shd w:val="clear" w:color="auto" w:fill="auto"/>
            <w:vAlign w:val="center"/>
          </w:tcPr>
          <w:p w14:paraId="68A8C86A">
            <w:pPr>
              <w:spacing w:line="240" w:lineRule="auto"/>
              <w:jc w:val="center"/>
              <w:rPr>
                <w:kern w:val="0"/>
                <w:sz w:val="18"/>
                <w:szCs w:val="18"/>
              </w:rPr>
            </w:pPr>
            <w:r>
              <w:rPr>
                <w:rFonts w:hint="eastAsia"/>
                <w:sz w:val="18"/>
                <w:szCs w:val="18"/>
              </w:rPr>
              <w:t>5</w:t>
            </w:r>
          </w:p>
        </w:tc>
        <w:tc>
          <w:tcPr>
            <w:tcW w:w="345" w:type="pct"/>
            <w:tcBorders>
              <w:top w:val="single" w:color="auto" w:sz="2" w:space="0"/>
              <w:left w:val="single" w:color="auto" w:sz="2" w:space="0"/>
              <w:bottom w:val="single" w:color="auto" w:sz="2" w:space="0"/>
              <w:right w:val="single" w:color="auto" w:sz="2" w:space="0"/>
            </w:tcBorders>
            <w:shd w:val="clear" w:color="auto" w:fill="auto"/>
            <w:vAlign w:val="center"/>
          </w:tcPr>
          <w:p w14:paraId="2538996A">
            <w:pPr>
              <w:spacing w:line="240" w:lineRule="auto"/>
              <w:jc w:val="center"/>
              <w:rPr>
                <w:kern w:val="0"/>
                <w:sz w:val="18"/>
                <w:szCs w:val="18"/>
              </w:rPr>
            </w:pPr>
            <w:r>
              <w:rPr>
                <w:sz w:val="18"/>
                <w:szCs w:val="18"/>
              </w:rPr>
              <w:t>6</w:t>
            </w:r>
          </w:p>
        </w:tc>
        <w:tc>
          <w:tcPr>
            <w:tcW w:w="317" w:type="pct"/>
            <w:tcBorders>
              <w:top w:val="single" w:color="auto" w:sz="2" w:space="0"/>
              <w:left w:val="single" w:color="auto" w:sz="2" w:space="0"/>
              <w:bottom w:val="single" w:color="auto" w:sz="2" w:space="0"/>
              <w:right w:val="single" w:color="auto" w:sz="2" w:space="0"/>
            </w:tcBorders>
            <w:shd w:val="clear" w:color="auto" w:fill="auto"/>
            <w:vAlign w:val="center"/>
          </w:tcPr>
          <w:p w14:paraId="5E6E8E19">
            <w:pPr>
              <w:spacing w:line="240" w:lineRule="auto"/>
              <w:jc w:val="center"/>
              <w:rPr>
                <w:kern w:val="0"/>
                <w:sz w:val="18"/>
                <w:szCs w:val="18"/>
              </w:rPr>
            </w:pPr>
            <w:r>
              <w:rPr>
                <w:rFonts w:hint="eastAsia"/>
                <w:sz w:val="18"/>
                <w:szCs w:val="18"/>
              </w:rPr>
              <w:t>7</w:t>
            </w:r>
          </w:p>
        </w:tc>
        <w:tc>
          <w:tcPr>
            <w:tcW w:w="373" w:type="pct"/>
            <w:gridSpan w:val="3"/>
            <w:tcBorders>
              <w:top w:val="single" w:color="auto" w:sz="2" w:space="0"/>
              <w:left w:val="single" w:color="auto" w:sz="2" w:space="0"/>
              <w:bottom w:val="single" w:color="auto" w:sz="2" w:space="0"/>
              <w:right w:val="single" w:color="auto" w:sz="2" w:space="0"/>
            </w:tcBorders>
            <w:shd w:val="clear" w:color="auto" w:fill="auto"/>
            <w:vAlign w:val="center"/>
          </w:tcPr>
          <w:p w14:paraId="30AB4F2A">
            <w:pPr>
              <w:spacing w:line="240" w:lineRule="auto"/>
              <w:jc w:val="center"/>
              <w:rPr>
                <w:kern w:val="0"/>
                <w:sz w:val="18"/>
                <w:szCs w:val="18"/>
              </w:rPr>
            </w:pPr>
            <w:r>
              <w:rPr>
                <w:rFonts w:hint="eastAsia"/>
                <w:sz w:val="18"/>
                <w:szCs w:val="18"/>
              </w:rPr>
              <w:t>8</w:t>
            </w:r>
          </w:p>
        </w:tc>
        <w:tc>
          <w:tcPr>
            <w:tcW w:w="316" w:type="pct"/>
            <w:tcBorders>
              <w:top w:val="single" w:color="auto" w:sz="2" w:space="0"/>
              <w:left w:val="single" w:color="auto" w:sz="2" w:space="0"/>
              <w:bottom w:val="single" w:color="auto" w:sz="2" w:space="0"/>
              <w:right w:val="single" w:color="auto" w:sz="2" w:space="0"/>
            </w:tcBorders>
            <w:shd w:val="clear" w:color="auto" w:fill="auto"/>
            <w:vAlign w:val="center"/>
          </w:tcPr>
          <w:p w14:paraId="3BFBE40C">
            <w:pPr>
              <w:spacing w:line="240" w:lineRule="auto"/>
              <w:jc w:val="center"/>
              <w:rPr>
                <w:kern w:val="0"/>
                <w:sz w:val="18"/>
                <w:szCs w:val="18"/>
              </w:rPr>
            </w:pPr>
            <w:r>
              <w:rPr>
                <w:rFonts w:hint="eastAsia"/>
                <w:sz w:val="18"/>
                <w:szCs w:val="18"/>
              </w:rPr>
              <w:t>9</w:t>
            </w:r>
          </w:p>
        </w:tc>
        <w:tc>
          <w:tcPr>
            <w:tcW w:w="373"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52789277">
            <w:pPr>
              <w:spacing w:line="240" w:lineRule="auto"/>
              <w:jc w:val="center"/>
              <w:rPr>
                <w:kern w:val="0"/>
                <w:sz w:val="18"/>
                <w:szCs w:val="18"/>
              </w:rPr>
            </w:pPr>
            <w:r>
              <w:rPr>
                <w:rFonts w:hint="eastAsia"/>
                <w:sz w:val="18"/>
                <w:szCs w:val="18"/>
              </w:rPr>
              <w:t>10</w:t>
            </w:r>
          </w:p>
        </w:tc>
        <w:tc>
          <w:tcPr>
            <w:tcW w:w="340" w:type="pct"/>
            <w:tcBorders>
              <w:top w:val="single" w:color="auto" w:sz="2" w:space="0"/>
              <w:left w:val="single" w:color="auto" w:sz="2" w:space="0"/>
              <w:bottom w:val="single" w:color="auto" w:sz="2" w:space="0"/>
              <w:right w:val="single" w:color="auto" w:sz="2" w:space="0"/>
            </w:tcBorders>
            <w:shd w:val="clear" w:color="auto" w:fill="auto"/>
            <w:vAlign w:val="center"/>
          </w:tcPr>
          <w:p w14:paraId="5F21F258">
            <w:pPr>
              <w:spacing w:line="240" w:lineRule="auto"/>
              <w:jc w:val="center"/>
              <w:rPr>
                <w:kern w:val="0"/>
                <w:sz w:val="18"/>
                <w:szCs w:val="18"/>
              </w:rPr>
            </w:pPr>
            <w:r>
              <w:rPr>
                <w:rFonts w:hint="eastAsia"/>
                <w:sz w:val="18"/>
                <w:szCs w:val="18"/>
              </w:rPr>
              <w:t>11</w:t>
            </w:r>
          </w:p>
        </w:tc>
        <w:tc>
          <w:tcPr>
            <w:tcW w:w="346" w:type="pct"/>
            <w:tcBorders>
              <w:top w:val="single" w:color="auto" w:sz="2" w:space="0"/>
              <w:left w:val="single" w:color="auto" w:sz="2" w:space="0"/>
              <w:bottom w:val="single" w:color="auto" w:sz="2" w:space="0"/>
              <w:right w:val="nil"/>
            </w:tcBorders>
            <w:shd w:val="clear" w:color="auto" w:fill="auto"/>
            <w:vAlign w:val="center"/>
          </w:tcPr>
          <w:p w14:paraId="576BA348">
            <w:pPr>
              <w:spacing w:line="240" w:lineRule="auto"/>
              <w:jc w:val="center"/>
              <w:rPr>
                <w:kern w:val="0"/>
                <w:sz w:val="18"/>
                <w:szCs w:val="18"/>
              </w:rPr>
            </w:pPr>
            <w:r>
              <w:rPr>
                <w:rFonts w:hint="eastAsia"/>
                <w:sz w:val="18"/>
                <w:szCs w:val="18"/>
              </w:rPr>
              <w:t>12</w:t>
            </w:r>
          </w:p>
        </w:tc>
      </w:tr>
      <w:tr w14:paraId="568EB91B">
        <w:tblPrEx>
          <w:tblCellMar>
            <w:top w:w="0" w:type="dxa"/>
            <w:left w:w="108" w:type="dxa"/>
            <w:bottom w:w="0" w:type="dxa"/>
            <w:right w:w="108" w:type="dxa"/>
          </w:tblCellMar>
        </w:tblPrEx>
        <w:trPr>
          <w:trHeight w:val="285" w:hRule="atLeast"/>
          <w:jc w:val="center"/>
        </w:trPr>
        <w:tc>
          <w:tcPr>
            <w:tcW w:w="533" w:type="pct"/>
            <w:gridSpan w:val="2"/>
            <w:tcBorders>
              <w:top w:val="single" w:color="auto" w:sz="2" w:space="0"/>
              <w:left w:val="nil"/>
              <w:right w:val="single" w:color="auto" w:sz="2" w:space="0"/>
            </w:tcBorders>
            <w:shd w:val="clear" w:color="auto" w:fill="auto"/>
            <w:vAlign w:val="center"/>
          </w:tcPr>
          <w:p w14:paraId="1A9042FB">
            <w:pPr>
              <w:widowControl/>
              <w:jc w:val="center"/>
              <w:rPr>
                <w:kern w:val="0"/>
                <w:sz w:val="18"/>
                <w:szCs w:val="18"/>
              </w:rPr>
            </w:pPr>
            <w:r>
              <w:rPr>
                <w:kern w:val="0"/>
                <w:sz w:val="18"/>
                <w:szCs w:val="18"/>
              </w:rPr>
              <w:t>合  计</w:t>
            </w:r>
          </w:p>
        </w:tc>
        <w:tc>
          <w:tcPr>
            <w:tcW w:w="330" w:type="pct"/>
            <w:tcBorders>
              <w:top w:val="single" w:color="auto" w:sz="2" w:space="0"/>
              <w:left w:val="single" w:color="auto" w:sz="2" w:space="0"/>
              <w:right w:val="single" w:color="auto" w:sz="2" w:space="0"/>
            </w:tcBorders>
            <w:shd w:val="clear" w:color="auto" w:fill="auto"/>
            <w:vAlign w:val="center"/>
          </w:tcPr>
          <w:p w14:paraId="657B4CF0">
            <w:pPr>
              <w:widowControl/>
              <w:spacing w:line="240" w:lineRule="exact"/>
              <w:jc w:val="center"/>
              <w:rPr>
                <w:kern w:val="0"/>
                <w:sz w:val="18"/>
                <w:szCs w:val="18"/>
              </w:rPr>
            </w:pPr>
            <w:r>
              <w:rPr>
                <w:kern w:val="0"/>
                <w:sz w:val="18"/>
                <w:szCs w:val="18"/>
              </w:rPr>
              <w:t>01</w:t>
            </w:r>
          </w:p>
        </w:tc>
        <w:tc>
          <w:tcPr>
            <w:tcW w:w="4136" w:type="pct"/>
            <w:gridSpan w:val="18"/>
            <w:vMerge w:val="restart"/>
            <w:tcBorders>
              <w:top w:val="single" w:color="auto" w:sz="2" w:space="0"/>
              <w:left w:val="single" w:color="auto" w:sz="2" w:space="0"/>
            </w:tcBorders>
            <w:shd w:val="clear" w:color="auto" w:fill="auto"/>
            <w:noWrap/>
            <w:vAlign w:val="center"/>
          </w:tcPr>
          <w:p w14:paraId="4678DBF4">
            <w:pPr>
              <w:jc w:val="left"/>
              <w:rPr>
                <w:kern w:val="0"/>
                <w:sz w:val="20"/>
                <w:szCs w:val="20"/>
              </w:rPr>
            </w:pPr>
          </w:p>
        </w:tc>
      </w:tr>
      <w:tr w14:paraId="545A0A38">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68D0DC5">
            <w:pPr>
              <w:widowControl/>
              <w:jc w:val="center"/>
              <w:rPr>
                <w:kern w:val="0"/>
                <w:sz w:val="18"/>
                <w:szCs w:val="18"/>
              </w:rPr>
            </w:pPr>
            <w:r>
              <w:rPr>
                <w:kern w:val="0"/>
                <w:sz w:val="18"/>
                <w:szCs w:val="18"/>
              </w:rPr>
              <w:t>北  京</w:t>
            </w:r>
          </w:p>
        </w:tc>
        <w:tc>
          <w:tcPr>
            <w:tcW w:w="330" w:type="pct"/>
            <w:tcBorders>
              <w:left w:val="single" w:color="auto" w:sz="2" w:space="0"/>
              <w:right w:val="single" w:color="auto" w:sz="2" w:space="0"/>
            </w:tcBorders>
            <w:shd w:val="clear" w:color="auto" w:fill="auto"/>
            <w:vAlign w:val="center"/>
          </w:tcPr>
          <w:p w14:paraId="20A66E12">
            <w:pPr>
              <w:widowControl/>
              <w:spacing w:line="240" w:lineRule="exact"/>
              <w:jc w:val="center"/>
              <w:rPr>
                <w:kern w:val="0"/>
                <w:sz w:val="18"/>
                <w:szCs w:val="18"/>
              </w:rPr>
            </w:pPr>
            <w:r>
              <w:rPr>
                <w:kern w:val="0"/>
                <w:sz w:val="18"/>
                <w:szCs w:val="18"/>
              </w:rPr>
              <w:t>02</w:t>
            </w:r>
          </w:p>
        </w:tc>
        <w:tc>
          <w:tcPr>
            <w:tcW w:w="4136" w:type="pct"/>
            <w:gridSpan w:val="18"/>
            <w:vMerge w:val="continue"/>
            <w:tcBorders>
              <w:left w:val="single" w:color="auto" w:sz="2" w:space="0"/>
            </w:tcBorders>
            <w:shd w:val="clear" w:color="auto" w:fill="auto"/>
            <w:noWrap/>
            <w:vAlign w:val="center"/>
          </w:tcPr>
          <w:p w14:paraId="54A45F8B">
            <w:pPr>
              <w:jc w:val="left"/>
              <w:rPr>
                <w:kern w:val="0"/>
                <w:sz w:val="20"/>
                <w:szCs w:val="20"/>
              </w:rPr>
            </w:pPr>
          </w:p>
        </w:tc>
      </w:tr>
      <w:tr w14:paraId="02E3B250">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13B3B134">
            <w:pPr>
              <w:widowControl/>
              <w:jc w:val="center"/>
              <w:rPr>
                <w:kern w:val="0"/>
                <w:sz w:val="18"/>
                <w:szCs w:val="18"/>
              </w:rPr>
            </w:pPr>
            <w:r>
              <w:rPr>
                <w:kern w:val="0"/>
                <w:sz w:val="18"/>
                <w:szCs w:val="18"/>
              </w:rPr>
              <w:t>天  津</w:t>
            </w:r>
          </w:p>
        </w:tc>
        <w:tc>
          <w:tcPr>
            <w:tcW w:w="330" w:type="pct"/>
            <w:tcBorders>
              <w:left w:val="single" w:color="auto" w:sz="2" w:space="0"/>
              <w:right w:val="single" w:color="auto" w:sz="2" w:space="0"/>
            </w:tcBorders>
            <w:shd w:val="clear" w:color="auto" w:fill="auto"/>
            <w:vAlign w:val="center"/>
          </w:tcPr>
          <w:p w14:paraId="699984DD">
            <w:pPr>
              <w:widowControl/>
              <w:spacing w:line="240" w:lineRule="exact"/>
              <w:jc w:val="center"/>
              <w:rPr>
                <w:kern w:val="0"/>
                <w:sz w:val="18"/>
                <w:szCs w:val="18"/>
              </w:rPr>
            </w:pPr>
            <w:r>
              <w:rPr>
                <w:kern w:val="0"/>
                <w:sz w:val="18"/>
                <w:szCs w:val="18"/>
              </w:rPr>
              <w:t>03</w:t>
            </w:r>
          </w:p>
        </w:tc>
        <w:tc>
          <w:tcPr>
            <w:tcW w:w="4136" w:type="pct"/>
            <w:gridSpan w:val="18"/>
            <w:vMerge w:val="continue"/>
            <w:tcBorders>
              <w:left w:val="single" w:color="auto" w:sz="2" w:space="0"/>
            </w:tcBorders>
            <w:shd w:val="clear" w:color="auto" w:fill="auto"/>
            <w:noWrap/>
            <w:vAlign w:val="center"/>
          </w:tcPr>
          <w:p w14:paraId="3189F9E4">
            <w:pPr>
              <w:jc w:val="left"/>
              <w:rPr>
                <w:kern w:val="0"/>
                <w:sz w:val="20"/>
                <w:szCs w:val="20"/>
              </w:rPr>
            </w:pPr>
          </w:p>
        </w:tc>
      </w:tr>
      <w:tr w14:paraId="439305CC">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31799613">
            <w:pPr>
              <w:widowControl/>
              <w:jc w:val="center"/>
              <w:rPr>
                <w:kern w:val="0"/>
                <w:sz w:val="18"/>
                <w:szCs w:val="18"/>
              </w:rPr>
            </w:pPr>
            <w:r>
              <w:rPr>
                <w:kern w:val="0"/>
                <w:sz w:val="18"/>
                <w:szCs w:val="18"/>
              </w:rPr>
              <w:t>河  北</w:t>
            </w:r>
          </w:p>
        </w:tc>
        <w:tc>
          <w:tcPr>
            <w:tcW w:w="330" w:type="pct"/>
            <w:tcBorders>
              <w:left w:val="single" w:color="auto" w:sz="2" w:space="0"/>
              <w:right w:val="single" w:color="auto" w:sz="2" w:space="0"/>
            </w:tcBorders>
            <w:shd w:val="clear" w:color="auto" w:fill="auto"/>
            <w:vAlign w:val="center"/>
          </w:tcPr>
          <w:p w14:paraId="0E990EB5">
            <w:pPr>
              <w:widowControl/>
              <w:spacing w:line="240" w:lineRule="exact"/>
              <w:jc w:val="center"/>
              <w:rPr>
                <w:kern w:val="0"/>
                <w:sz w:val="18"/>
                <w:szCs w:val="18"/>
              </w:rPr>
            </w:pPr>
            <w:r>
              <w:rPr>
                <w:kern w:val="0"/>
                <w:sz w:val="18"/>
                <w:szCs w:val="18"/>
              </w:rPr>
              <w:t>04</w:t>
            </w:r>
          </w:p>
        </w:tc>
        <w:tc>
          <w:tcPr>
            <w:tcW w:w="4136" w:type="pct"/>
            <w:gridSpan w:val="18"/>
            <w:vMerge w:val="continue"/>
            <w:tcBorders>
              <w:left w:val="single" w:color="auto" w:sz="2" w:space="0"/>
            </w:tcBorders>
            <w:shd w:val="clear" w:color="auto" w:fill="auto"/>
            <w:noWrap/>
            <w:vAlign w:val="center"/>
          </w:tcPr>
          <w:p w14:paraId="16423DE9">
            <w:pPr>
              <w:jc w:val="left"/>
              <w:rPr>
                <w:kern w:val="0"/>
                <w:sz w:val="20"/>
                <w:szCs w:val="20"/>
              </w:rPr>
            </w:pPr>
          </w:p>
        </w:tc>
      </w:tr>
      <w:tr w14:paraId="5E83A518">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6F12835E">
            <w:pPr>
              <w:widowControl/>
              <w:jc w:val="center"/>
              <w:rPr>
                <w:kern w:val="0"/>
                <w:sz w:val="18"/>
                <w:szCs w:val="18"/>
              </w:rPr>
            </w:pPr>
            <w:r>
              <w:rPr>
                <w:kern w:val="0"/>
                <w:sz w:val="18"/>
                <w:szCs w:val="18"/>
              </w:rPr>
              <w:t>山  西</w:t>
            </w:r>
          </w:p>
        </w:tc>
        <w:tc>
          <w:tcPr>
            <w:tcW w:w="330" w:type="pct"/>
            <w:tcBorders>
              <w:left w:val="single" w:color="auto" w:sz="2" w:space="0"/>
              <w:right w:val="single" w:color="auto" w:sz="2" w:space="0"/>
            </w:tcBorders>
            <w:shd w:val="clear" w:color="auto" w:fill="auto"/>
            <w:vAlign w:val="center"/>
          </w:tcPr>
          <w:p w14:paraId="608CDB80">
            <w:pPr>
              <w:widowControl/>
              <w:spacing w:line="240" w:lineRule="exact"/>
              <w:jc w:val="center"/>
              <w:rPr>
                <w:kern w:val="0"/>
                <w:sz w:val="18"/>
                <w:szCs w:val="18"/>
              </w:rPr>
            </w:pPr>
            <w:r>
              <w:rPr>
                <w:kern w:val="0"/>
                <w:sz w:val="18"/>
                <w:szCs w:val="18"/>
              </w:rPr>
              <w:t>05</w:t>
            </w:r>
          </w:p>
        </w:tc>
        <w:tc>
          <w:tcPr>
            <w:tcW w:w="4136" w:type="pct"/>
            <w:gridSpan w:val="18"/>
            <w:vMerge w:val="continue"/>
            <w:tcBorders>
              <w:left w:val="single" w:color="auto" w:sz="2" w:space="0"/>
            </w:tcBorders>
            <w:shd w:val="clear" w:color="auto" w:fill="auto"/>
            <w:noWrap/>
            <w:vAlign w:val="center"/>
          </w:tcPr>
          <w:p w14:paraId="565A80CB">
            <w:pPr>
              <w:jc w:val="left"/>
              <w:rPr>
                <w:kern w:val="0"/>
                <w:sz w:val="20"/>
                <w:szCs w:val="20"/>
              </w:rPr>
            </w:pPr>
          </w:p>
        </w:tc>
      </w:tr>
      <w:tr w14:paraId="6DE76B30">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1B56C131">
            <w:pPr>
              <w:widowControl/>
              <w:jc w:val="center"/>
              <w:rPr>
                <w:kern w:val="0"/>
                <w:sz w:val="18"/>
                <w:szCs w:val="18"/>
              </w:rPr>
            </w:pPr>
            <w:r>
              <w:rPr>
                <w:kern w:val="0"/>
                <w:sz w:val="18"/>
                <w:szCs w:val="18"/>
              </w:rPr>
              <w:t>内蒙古</w:t>
            </w:r>
          </w:p>
        </w:tc>
        <w:tc>
          <w:tcPr>
            <w:tcW w:w="330" w:type="pct"/>
            <w:tcBorders>
              <w:left w:val="single" w:color="auto" w:sz="2" w:space="0"/>
              <w:right w:val="single" w:color="auto" w:sz="2" w:space="0"/>
            </w:tcBorders>
            <w:shd w:val="clear" w:color="auto" w:fill="auto"/>
            <w:vAlign w:val="center"/>
          </w:tcPr>
          <w:p w14:paraId="101F945C">
            <w:pPr>
              <w:widowControl/>
              <w:spacing w:line="240" w:lineRule="exact"/>
              <w:jc w:val="center"/>
              <w:rPr>
                <w:kern w:val="0"/>
                <w:sz w:val="18"/>
                <w:szCs w:val="18"/>
              </w:rPr>
            </w:pPr>
            <w:r>
              <w:rPr>
                <w:kern w:val="0"/>
                <w:sz w:val="18"/>
                <w:szCs w:val="18"/>
              </w:rPr>
              <w:t>06</w:t>
            </w:r>
          </w:p>
        </w:tc>
        <w:tc>
          <w:tcPr>
            <w:tcW w:w="4136" w:type="pct"/>
            <w:gridSpan w:val="18"/>
            <w:vMerge w:val="continue"/>
            <w:tcBorders>
              <w:left w:val="single" w:color="auto" w:sz="2" w:space="0"/>
            </w:tcBorders>
            <w:shd w:val="clear" w:color="auto" w:fill="auto"/>
            <w:noWrap/>
            <w:vAlign w:val="center"/>
          </w:tcPr>
          <w:p w14:paraId="6C25B352">
            <w:pPr>
              <w:jc w:val="left"/>
              <w:rPr>
                <w:kern w:val="0"/>
                <w:sz w:val="20"/>
                <w:szCs w:val="20"/>
              </w:rPr>
            </w:pPr>
          </w:p>
        </w:tc>
      </w:tr>
      <w:tr w14:paraId="38C8A782">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51D738FB">
            <w:pPr>
              <w:widowControl/>
              <w:jc w:val="center"/>
              <w:rPr>
                <w:kern w:val="0"/>
                <w:sz w:val="18"/>
                <w:szCs w:val="18"/>
              </w:rPr>
            </w:pPr>
            <w:r>
              <w:rPr>
                <w:kern w:val="0"/>
                <w:sz w:val="18"/>
                <w:szCs w:val="18"/>
              </w:rPr>
              <w:t>辽  宁</w:t>
            </w:r>
          </w:p>
        </w:tc>
        <w:tc>
          <w:tcPr>
            <w:tcW w:w="330" w:type="pct"/>
            <w:tcBorders>
              <w:left w:val="single" w:color="auto" w:sz="2" w:space="0"/>
              <w:right w:val="single" w:color="auto" w:sz="2" w:space="0"/>
            </w:tcBorders>
            <w:shd w:val="clear" w:color="auto" w:fill="auto"/>
            <w:vAlign w:val="center"/>
          </w:tcPr>
          <w:p w14:paraId="2AA2EA3E">
            <w:pPr>
              <w:widowControl/>
              <w:spacing w:line="240" w:lineRule="exact"/>
              <w:jc w:val="center"/>
              <w:rPr>
                <w:kern w:val="0"/>
                <w:sz w:val="18"/>
                <w:szCs w:val="18"/>
              </w:rPr>
            </w:pPr>
            <w:r>
              <w:rPr>
                <w:kern w:val="0"/>
                <w:sz w:val="18"/>
                <w:szCs w:val="18"/>
              </w:rPr>
              <w:t>07</w:t>
            </w:r>
          </w:p>
        </w:tc>
        <w:tc>
          <w:tcPr>
            <w:tcW w:w="4136" w:type="pct"/>
            <w:gridSpan w:val="18"/>
            <w:vMerge w:val="continue"/>
            <w:tcBorders>
              <w:left w:val="single" w:color="auto" w:sz="2" w:space="0"/>
            </w:tcBorders>
            <w:shd w:val="clear" w:color="auto" w:fill="auto"/>
            <w:noWrap/>
            <w:vAlign w:val="center"/>
          </w:tcPr>
          <w:p w14:paraId="4BCA366E">
            <w:pPr>
              <w:jc w:val="left"/>
              <w:rPr>
                <w:kern w:val="0"/>
                <w:sz w:val="20"/>
                <w:szCs w:val="20"/>
              </w:rPr>
            </w:pPr>
          </w:p>
        </w:tc>
      </w:tr>
      <w:tr w14:paraId="0065CEFF">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B58C05A">
            <w:pPr>
              <w:widowControl/>
              <w:jc w:val="center"/>
              <w:rPr>
                <w:kern w:val="0"/>
                <w:sz w:val="18"/>
                <w:szCs w:val="18"/>
              </w:rPr>
            </w:pPr>
            <w:r>
              <w:rPr>
                <w:kern w:val="0"/>
                <w:sz w:val="18"/>
                <w:szCs w:val="18"/>
              </w:rPr>
              <w:t>吉  林</w:t>
            </w:r>
          </w:p>
        </w:tc>
        <w:tc>
          <w:tcPr>
            <w:tcW w:w="330" w:type="pct"/>
            <w:tcBorders>
              <w:left w:val="single" w:color="auto" w:sz="2" w:space="0"/>
              <w:right w:val="single" w:color="auto" w:sz="2" w:space="0"/>
            </w:tcBorders>
            <w:shd w:val="clear" w:color="auto" w:fill="auto"/>
            <w:vAlign w:val="center"/>
          </w:tcPr>
          <w:p w14:paraId="51EAB09A">
            <w:pPr>
              <w:widowControl/>
              <w:spacing w:line="240" w:lineRule="exact"/>
              <w:jc w:val="center"/>
              <w:rPr>
                <w:kern w:val="0"/>
                <w:sz w:val="18"/>
                <w:szCs w:val="18"/>
              </w:rPr>
            </w:pPr>
            <w:r>
              <w:rPr>
                <w:kern w:val="0"/>
                <w:sz w:val="18"/>
                <w:szCs w:val="18"/>
              </w:rPr>
              <w:t>08</w:t>
            </w:r>
          </w:p>
        </w:tc>
        <w:tc>
          <w:tcPr>
            <w:tcW w:w="4136" w:type="pct"/>
            <w:gridSpan w:val="18"/>
            <w:vMerge w:val="continue"/>
            <w:tcBorders>
              <w:left w:val="single" w:color="auto" w:sz="2" w:space="0"/>
            </w:tcBorders>
            <w:shd w:val="clear" w:color="auto" w:fill="auto"/>
            <w:noWrap/>
            <w:vAlign w:val="center"/>
          </w:tcPr>
          <w:p w14:paraId="1C43500C">
            <w:pPr>
              <w:jc w:val="left"/>
              <w:rPr>
                <w:kern w:val="0"/>
                <w:sz w:val="20"/>
                <w:szCs w:val="20"/>
              </w:rPr>
            </w:pPr>
          </w:p>
        </w:tc>
      </w:tr>
      <w:tr w14:paraId="1F023346">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77E1A9D">
            <w:pPr>
              <w:widowControl/>
              <w:jc w:val="center"/>
              <w:rPr>
                <w:kern w:val="0"/>
                <w:sz w:val="18"/>
                <w:szCs w:val="18"/>
              </w:rPr>
            </w:pPr>
            <w:r>
              <w:rPr>
                <w:kern w:val="0"/>
                <w:sz w:val="18"/>
                <w:szCs w:val="18"/>
              </w:rPr>
              <w:t>黑龙江</w:t>
            </w:r>
          </w:p>
        </w:tc>
        <w:tc>
          <w:tcPr>
            <w:tcW w:w="330" w:type="pct"/>
            <w:tcBorders>
              <w:left w:val="single" w:color="auto" w:sz="2" w:space="0"/>
              <w:right w:val="single" w:color="auto" w:sz="2" w:space="0"/>
            </w:tcBorders>
            <w:shd w:val="clear" w:color="auto" w:fill="auto"/>
            <w:vAlign w:val="center"/>
          </w:tcPr>
          <w:p w14:paraId="5AFD1793">
            <w:pPr>
              <w:widowControl/>
              <w:spacing w:line="240" w:lineRule="exact"/>
              <w:jc w:val="center"/>
              <w:rPr>
                <w:kern w:val="0"/>
                <w:sz w:val="18"/>
                <w:szCs w:val="18"/>
              </w:rPr>
            </w:pPr>
            <w:r>
              <w:rPr>
                <w:kern w:val="0"/>
                <w:sz w:val="18"/>
                <w:szCs w:val="18"/>
              </w:rPr>
              <w:t>09</w:t>
            </w:r>
          </w:p>
        </w:tc>
        <w:tc>
          <w:tcPr>
            <w:tcW w:w="4136" w:type="pct"/>
            <w:gridSpan w:val="18"/>
            <w:vMerge w:val="continue"/>
            <w:tcBorders>
              <w:left w:val="single" w:color="auto" w:sz="2" w:space="0"/>
            </w:tcBorders>
            <w:shd w:val="clear" w:color="auto" w:fill="auto"/>
            <w:noWrap/>
            <w:vAlign w:val="center"/>
          </w:tcPr>
          <w:p w14:paraId="6CFA6C3D">
            <w:pPr>
              <w:jc w:val="left"/>
              <w:rPr>
                <w:kern w:val="0"/>
                <w:sz w:val="20"/>
                <w:szCs w:val="20"/>
              </w:rPr>
            </w:pPr>
          </w:p>
        </w:tc>
      </w:tr>
      <w:tr w14:paraId="1315AC28">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1BF8D30E">
            <w:pPr>
              <w:widowControl/>
              <w:jc w:val="center"/>
              <w:rPr>
                <w:kern w:val="0"/>
                <w:sz w:val="18"/>
                <w:szCs w:val="18"/>
              </w:rPr>
            </w:pPr>
            <w:r>
              <w:rPr>
                <w:kern w:val="0"/>
                <w:sz w:val="18"/>
                <w:szCs w:val="18"/>
              </w:rPr>
              <w:t>上  海</w:t>
            </w:r>
          </w:p>
        </w:tc>
        <w:tc>
          <w:tcPr>
            <w:tcW w:w="330" w:type="pct"/>
            <w:tcBorders>
              <w:left w:val="single" w:color="auto" w:sz="2" w:space="0"/>
              <w:right w:val="single" w:color="auto" w:sz="2" w:space="0"/>
            </w:tcBorders>
            <w:shd w:val="clear" w:color="auto" w:fill="auto"/>
            <w:vAlign w:val="center"/>
          </w:tcPr>
          <w:p w14:paraId="6A469A34">
            <w:pPr>
              <w:widowControl/>
              <w:spacing w:line="240" w:lineRule="exact"/>
              <w:jc w:val="center"/>
              <w:rPr>
                <w:kern w:val="0"/>
                <w:sz w:val="18"/>
                <w:szCs w:val="18"/>
              </w:rPr>
            </w:pPr>
            <w:r>
              <w:rPr>
                <w:kern w:val="0"/>
                <w:sz w:val="18"/>
                <w:szCs w:val="18"/>
              </w:rPr>
              <w:t>10</w:t>
            </w:r>
          </w:p>
        </w:tc>
        <w:tc>
          <w:tcPr>
            <w:tcW w:w="4136" w:type="pct"/>
            <w:gridSpan w:val="18"/>
            <w:vMerge w:val="continue"/>
            <w:tcBorders>
              <w:left w:val="single" w:color="auto" w:sz="2" w:space="0"/>
            </w:tcBorders>
            <w:shd w:val="clear" w:color="auto" w:fill="auto"/>
            <w:noWrap/>
            <w:vAlign w:val="center"/>
          </w:tcPr>
          <w:p w14:paraId="070AC523">
            <w:pPr>
              <w:jc w:val="left"/>
              <w:rPr>
                <w:kern w:val="0"/>
                <w:sz w:val="20"/>
                <w:szCs w:val="20"/>
              </w:rPr>
            </w:pPr>
          </w:p>
        </w:tc>
      </w:tr>
      <w:tr w14:paraId="6A34F613">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1569CF2A">
            <w:pPr>
              <w:widowControl/>
              <w:jc w:val="center"/>
              <w:rPr>
                <w:kern w:val="0"/>
                <w:sz w:val="18"/>
                <w:szCs w:val="18"/>
              </w:rPr>
            </w:pPr>
            <w:r>
              <w:rPr>
                <w:kern w:val="0"/>
                <w:sz w:val="18"/>
                <w:szCs w:val="18"/>
              </w:rPr>
              <w:t>江  苏</w:t>
            </w:r>
          </w:p>
        </w:tc>
        <w:tc>
          <w:tcPr>
            <w:tcW w:w="330" w:type="pct"/>
            <w:tcBorders>
              <w:left w:val="single" w:color="auto" w:sz="2" w:space="0"/>
              <w:right w:val="single" w:color="auto" w:sz="2" w:space="0"/>
            </w:tcBorders>
            <w:shd w:val="clear" w:color="auto" w:fill="auto"/>
            <w:vAlign w:val="center"/>
          </w:tcPr>
          <w:p w14:paraId="341E439B">
            <w:pPr>
              <w:widowControl/>
              <w:spacing w:line="240" w:lineRule="exact"/>
              <w:jc w:val="center"/>
              <w:rPr>
                <w:kern w:val="0"/>
                <w:sz w:val="18"/>
                <w:szCs w:val="18"/>
              </w:rPr>
            </w:pPr>
            <w:r>
              <w:rPr>
                <w:kern w:val="0"/>
                <w:sz w:val="18"/>
                <w:szCs w:val="18"/>
              </w:rPr>
              <w:t>11</w:t>
            </w:r>
          </w:p>
        </w:tc>
        <w:tc>
          <w:tcPr>
            <w:tcW w:w="4136" w:type="pct"/>
            <w:gridSpan w:val="18"/>
            <w:vMerge w:val="continue"/>
            <w:tcBorders>
              <w:left w:val="single" w:color="auto" w:sz="2" w:space="0"/>
            </w:tcBorders>
            <w:shd w:val="clear" w:color="auto" w:fill="auto"/>
            <w:noWrap/>
            <w:vAlign w:val="center"/>
          </w:tcPr>
          <w:p w14:paraId="4B2F8C72">
            <w:pPr>
              <w:jc w:val="left"/>
              <w:rPr>
                <w:kern w:val="0"/>
                <w:sz w:val="20"/>
                <w:szCs w:val="20"/>
              </w:rPr>
            </w:pPr>
          </w:p>
        </w:tc>
      </w:tr>
      <w:tr w14:paraId="4AEA1079">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0ED8E359">
            <w:pPr>
              <w:widowControl/>
              <w:jc w:val="center"/>
              <w:rPr>
                <w:kern w:val="0"/>
                <w:sz w:val="18"/>
                <w:szCs w:val="18"/>
              </w:rPr>
            </w:pPr>
            <w:r>
              <w:rPr>
                <w:kern w:val="0"/>
                <w:sz w:val="18"/>
                <w:szCs w:val="18"/>
              </w:rPr>
              <w:t>浙  江</w:t>
            </w:r>
          </w:p>
        </w:tc>
        <w:tc>
          <w:tcPr>
            <w:tcW w:w="330" w:type="pct"/>
            <w:tcBorders>
              <w:left w:val="single" w:color="auto" w:sz="2" w:space="0"/>
              <w:right w:val="single" w:color="auto" w:sz="2" w:space="0"/>
            </w:tcBorders>
            <w:shd w:val="clear" w:color="auto" w:fill="auto"/>
            <w:vAlign w:val="center"/>
          </w:tcPr>
          <w:p w14:paraId="5FC759DE">
            <w:pPr>
              <w:widowControl/>
              <w:spacing w:line="240" w:lineRule="exact"/>
              <w:jc w:val="center"/>
              <w:rPr>
                <w:kern w:val="0"/>
                <w:sz w:val="18"/>
                <w:szCs w:val="18"/>
              </w:rPr>
            </w:pPr>
            <w:r>
              <w:rPr>
                <w:kern w:val="0"/>
                <w:sz w:val="18"/>
                <w:szCs w:val="18"/>
              </w:rPr>
              <w:t>12</w:t>
            </w:r>
          </w:p>
        </w:tc>
        <w:tc>
          <w:tcPr>
            <w:tcW w:w="4136" w:type="pct"/>
            <w:gridSpan w:val="18"/>
            <w:vMerge w:val="continue"/>
            <w:tcBorders>
              <w:left w:val="single" w:color="auto" w:sz="2" w:space="0"/>
            </w:tcBorders>
            <w:shd w:val="clear" w:color="auto" w:fill="auto"/>
            <w:noWrap/>
            <w:vAlign w:val="center"/>
          </w:tcPr>
          <w:p w14:paraId="28F290D4">
            <w:pPr>
              <w:jc w:val="left"/>
              <w:rPr>
                <w:kern w:val="0"/>
                <w:sz w:val="20"/>
                <w:szCs w:val="20"/>
              </w:rPr>
            </w:pPr>
          </w:p>
        </w:tc>
      </w:tr>
      <w:tr w14:paraId="3FC51739">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49C6B71">
            <w:pPr>
              <w:widowControl/>
              <w:jc w:val="center"/>
              <w:rPr>
                <w:kern w:val="0"/>
                <w:sz w:val="18"/>
                <w:szCs w:val="18"/>
              </w:rPr>
            </w:pPr>
            <w:r>
              <w:rPr>
                <w:kern w:val="0"/>
                <w:sz w:val="18"/>
                <w:szCs w:val="18"/>
              </w:rPr>
              <w:t>安  徽</w:t>
            </w:r>
          </w:p>
        </w:tc>
        <w:tc>
          <w:tcPr>
            <w:tcW w:w="330" w:type="pct"/>
            <w:tcBorders>
              <w:left w:val="single" w:color="auto" w:sz="2" w:space="0"/>
              <w:right w:val="single" w:color="auto" w:sz="2" w:space="0"/>
            </w:tcBorders>
            <w:shd w:val="clear" w:color="auto" w:fill="auto"/>
            <w:vAlign w:val="center"/>
          </w:tcPr>
          <w:p w14:paraId="6BC5618F">
            <w:pPr>
              <w:widowControl/>
              <w:spacing w:line="240" w:lineRule="exact"/>
              <w:jc w:val="center"/>
              <w:rPr>
                <w:kern w:val="0"/>
                <w:sz w:val="18"/>
                <w:szCs w:val="18"/>
              </w:rPr>
            </w:pPr>
            <w:r>
              <w:rPr>
                <w:kern w:val="0"/>
                <w:sz w:val="18"/>
                <w:szCs w:val="18"/>
              </w:rPr>
              <w:t>13</w:t>
            </w:r>
          </w:p>
        </w:tc>
        <w:tc>
          <w:tcPr>
            <w:tcW w:w="4136" w:type="pct"/>
            <w:gridSpan w:val="18"/>
            <w:vMerge w:val="continue"/>
            <w:tcBorders>
              <w:left w:val="single" w:color="auto" w:sz="2" w:space="0"/>
            </w:tcBorders>
            <w:shd w:val="clear" w:color="auto" w:fill="auto"/>
            <w:noWrap/>
            <w:vAlign w:val="center"/>
          </w:tcPr>
          <w:p w14:paraId="0AEEF65A">
            <w:pPr>
              <w:jc w:val="left"/>
              <w:rPr>
                <w:kern w:val="0"/>
                <w:sz w:val="20"/>
                <w:szCs w:val="20"/>
              </w:rPr>
            </w:pPr>
          </w:p>
        </w:tc>
      </w:tr>
      <w:tr w14:paraId="78EC3979">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73F6735">
            <w:pPr>
              <w:widowControl/>
              <w:jc w:val="center"/>
              <w:rPr>
                <w:kern w:val="0"/>
                <w:sz w:val="18"/>
                <w:szCs w:val="18"/>
              </w:rPr>
            </w:pPr>
            <w:r>
              <w:rPr>
                <w:kern w:val="0"/>
                <w:sz w:val="18"/>
                <w:szCs w:val="18"/>
              </w:rPr>
              <w:t>福  建</w:t>
            </w:r>
          </w:p>
        </w:tc>
        <w:tc>
          <w:tcPr>
            <w:tcW w:w="330" w:type="pct"/>
            <w:tcBorders>
              <w:left w:val="single" w:color="auto" w:sz="2" w:space="0"/>
              <w:right w:val="single" w:color="auto" w:sz="2" w:space="0"/>
            </w:tcBorders>
            <w:shd w:val="clear" w:color="auto" w:fill="auto"/>
            <w:vAlign w:val="center"/>
          </w:tcPr>
          <w:p w14:paraId="0F18739A">
            <w:pPr>
              <w:widowControl/>
              <w:spacing w:line="240" w:lineRule="exact"/>
              <w:jc w:val="center"/>
              <w:rPr>
                <w:kern w:val="0"/>
                <w:sz w:val="18"/>
                <w:szCs w:val="18"/>
              </w:rPr>
            </w:pPr>
            <w:r>
              <w:rPr>
                <w:kern w:val="0"/>
                <w:sz w:val="18"/>
                <w:szCs w:val="18"/>
              </w:rPr>
              <w:t>14</w:t>
            </w:r>
          </w:p>
        </w:tc>
        <w:tc>
          <w:tcPr>
            <w:tcW w:w="4136" w:type="pct"/>
            <w:gridSpan w:val="18"/>
            <w:vMerge w:val="continue"/>
            <w:tcBorders>
              <w:left w:val="single" w:color="auto" w:sz="2" w:space="0"/>
            </w:tcBorders>
            <w:shd w:val="clear" w:color="auto" w:fill="auto"/>
            <w:noWrap/>
            <w:vAlign w:val="center"/>
          </w:tcPr>
          <w:p w14:paraId="1401B6CD">
            <w:pPr>
              <w:jc w:val="left"/>
              <w:rPr>
                <w:kern w:val="0"/>
                <w:sz w:val="20"/>
                <w:szCs w:val="20"/>
              </w:rPr>
            </w:pPr>
          </w:p>
        </w:tc>
      </w:tr>
      <w:tr w14:paraId="29E27097">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87AC4E6">
            <w:pPr>
              <w:widowControl/>
              <w:jc w:val="center"/>
              <w:rPr>
                <w:kern w:val="0"/>
                <w:sz w:val="18"/>
                <w:szCs w:val="18"/>
              </w:rPr>
            </w:pPr>
            <w:r>
              <w:rPr>
                <w:kern w:val="0"/>
                <w:sz w:val="18"/>
                <w:szCs w:val="18"/>
              </w:rPr>
              <w:t>江  西</w:t>
            </w:r>
          </w:p>
        </w:tc>
        <w:tc>
          <w:tcPr>
            <w:tcW w:w="330" w:type="pct"/>
            <w:tcBorders>
              <w:left w:val="single" w:color="auto" w:sz="2" w:space="0"/>
              <w:right w:val="single" w:color="auto" w:sz="2" w:space="0"/>
            </w:tcBorders>
            <w:shd w:val="clear" w:color="auto" w:fill="auto"/>
            <w:vAlign w:val="center"/>
          </w:tcPr>
          <w:p w14:paraId="564561DD">
            <w:pPr>
              <w:widowControl/>
              <w:spacing w:line="240" w:lineRule="exact"/>
              <w:jc w:val="center"/>
              <w:rPr>
                <w:kern w:val="0"/>
                <w:sz w:val="18"/>
                <w:szCs w:val="18"/>
              </w:rPr>
            </w:pPr>
            <w:r>
              <w:rPr>
                <w:kern w:val="0"/>
                <w:sz w:val="18"/>
                <w:szCs w:val="18"/>
              </w:rPr>
              <w:t>15</w:t>
            </w:r>
          </w:p>
        </w:tc>
        <w:tc>
          <w:tcPr>
            <w:tcW w:w="4136" w:type="pct"/>
            <w:gridSpan w:val="18"/>
            <w:vMerge w:val="continue"/>
            <w:tcBorders>
              <w:left w:val="single" w:color="auto" w:sz="2" w:space="0"/>
            </w:tcBorders>
            <w:shd w:val="clear" w:color="auto" w:fill="auto"/>
            <w:noWrap/>
            <w:vAlign w:val="center"/>
          </w:tcPr>
          <w:p w14:paraId="1DC86883">
            <w:pPr>
              <w:jc w:val="left"/>
              <w:rPr>
                <w:kern w:val="0"/>
                <w:sz w:val="20"/>
                <w:szCs w:val="20"/>
              </w:rPr>
            </w:pPr>
          </w:p>
        </w:tc>
      </w:tr>
      <w:tr w14:paraId="34169AA3">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7DC1EEC">
            <w:pPr>
              <w:widowControl/>
              <w:jc w:val="center"/>
              <w:rPr>
                <w:kern w:val="0"/>
                <w:sz w:val="18"/>
                <w:szCs w:val="18"/>
              </w:rPr>
            </w:pPr>
            <w:r>
              <w:rPr>
                <w:kern w:val="0"/>
                <w:sz w:val="18"/>
                <w:szCs w:val="18"/>
              </w:rPr>
              <w:t>山  东</w:t>
            </w:r>
          </w:p>
        </w:tc>
        <w:tc>
          <w:tcPr>
            <w:tcW w:w="330" w:type="pct"/>
            <w:tcBorders>
              <w:left w:val="single" w:color="auto" w:sz="2" w:space="0"/>
              <w:right w:val="single" w:color="auto" w:sz="2" w:space="0"/>
            </w:tcBorders>
            <w:shd w:val="clear" w:color="auto" w:fill="auto"/>
            <w:vAlign w:val="center"/>
          </w:tcPr>
          <w:p w14:paraId="7C2CFB50">
            <w:pPr>
              <w:widowControl/>
              <w:spacing w:line="240" w:lineRule="exact"/>
              <w:jc w:val="center"/>
              <w:rPr>
                <w:kern w:val="0"/>
                <w:sz w:val="18"/>
                <w:szCs w:val="18"/>
              </w:rPr>
            </w:pPr>
            <w:r>
              <w:rPr>
                <w:kern w:val="0"/>
                <w:sz w:val="18"/>
                <w:szCs w:val="18"/>
              </w:rPr>
              <w:t>16</w:t>
            </w:r>
          </w:p>
        </w:tc>
        <w:tc>
          <w:tcPr>
            <w:tcW w:w="4136" w:type="pct"/>
            <w:gridSpan w:val="18"/>
            <w:vMerge w:val="continue"/>
            <w:tcBorders>
              <w:left w:val="single" w:color="auto" w:sz="2" w:space="0"/>
            </w:tcBorders>
            <w:shd w:val="clear" w:color="auto" w:fill="auto"/>
            <w:noWrap/>
            <w:vAlign w:val="center"/>
          </w:tcPr>
          <w:p w14:paraId="728FBE52">
            <w:pPr>
              <w:jc w:val="left"/>
              <w:rPr>
                <w:kern w:val="0"/>
                <w:sz w:val="20"/>
                <w:szCs w:val="20"/>
              </w:rPr>
            </w:pPr>
          </w:p>
        </w:tc>
      </w:tr>
      <w:tr w14:paraId="41D3C2BA">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E525B3F">
            <w:pPr>
              <w:widowControl/>
              <w:jc w:val="center"/>
              <w:rPr>
                <w:kern w:val="0"/>
                <w:sz w:val="18"/>
                <w:szCs w:val="18"/>
              </w:rPr>
            </w:pPr>
            <w:r>
              <w:rPr>
                <w:kern w:val="0"/>
                <w:sz w:val="18"/>
                <w:szCs w:val="18"/>
              </w:rPr>
              <w:t>河  南</w:t>
            </w:r>
          </w:p>
        </w:tc>
        <w:tc>
          <w:tcPr>
            <w:tcW w:w="330" w:type="pct"/>
            <w:tcBorders>
              <w:left w:val="single" w:color="auto" w:sz="2" w:space="0"/>
              <w:right w:val="single" w:color="auto" w:sz="2" w:space="0"/>
            </w:tcBorders>
            <w:shd w:val="clear" w:color="auto" w:fill="auto"/>
            <w:vAlign w:val="center"/>
          </w:tcPr>
          <w:p w14:paraId="08DCCCCD">
            <w:pPr>
              <w:widowControl/>
              <w:spacing w:line="240" w:lineRule="exact"/>
              <w:jc w:val="center"/>
              <w:rPr>
                <w:kern w:val="0"/>
                <w:sz w:val="18"/>
                <w:szCs w:val="18"/>
              </w:rPr>
            </w:pPr>
            <w:r>
              <w:rPr>
                <w:kern w:val="0"/>
                <w:sz w:val="18"/>
                <w:szCs w:val="18"/>
              </w:rPr>
              <w:t>17</w:t>
            </w:r>
          </w:p>
        </w:tc>
        <w:tc>
          <w:tcPr>
            <w:tcW w:w="4136" w:type="pct"/>
            <w:gridSpan w:val="18"/>
            <w:vMerge w:val="continue"/>
            <w:tcBorders>
              <w:left w:val="single" w:color="auto" w:sz="2" w:space="0"/>
            </w:tcBorders>
            <w:shd w:val="clear" w:color="auto" w:fill="auto"/>
            <w:noWrap/>
            <w:vAlign w:val="center"/>
          </w:tcPr>
          <w:p w14:paraId="1AD82A23">
            <w:pPr>
              <w:jc w:val="left"/>
              <w:rPr>
                <w:kern w:val="0"/>
                <w:sz w:val="20"/>
                <w:szCs w:val="20"/>
              </w:rPr>
            </w:pPr>
          </w:p>
        </w:tc>
      </w:tr>
      <w:tr w14:paraId="01F72001">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F68D306">
            <w:pPr>
              <w:widowControl/>
              <w:jc w:val="center"/>
              <w:rPr>
                <w:kern w:val="0"/>
                <w:sz w:val="18"/>
                <w:szCs w:val="18"/>
              </w:rPr>
            </w:pPr>
            <w:r>
              <w:rPr>
                <w:kern w:val="0"/>
                <w:sz w:val="18"/>
                <w:szCs w:val="18"/>
              </w:rPr>
              <w:t>湖  北</w:t>
            </w:r>
          </w:p>
        </w:tc>
        <w:tc>
          <w:tcPr>
            <w:tcW w:w="330" w:type="pct"/>
            <w:tcBorders>
              <w:left w:val="single" w:color="auto" w:sz="2" w:space="0"/>
              <w:right w:val="single" w:color="auto" w:sz="2" w:space="0"/>
            </w:tcBorders>
            <w:shd w:val="clear" w:color="auto" w:fill="auto"/>
            <w:vAlign w:val="center"/>
          </w:tcPr>
          <w:p w14:paraId="41B5E9AC">
            <w:pPr>
              <w:widowControl/>
              <w:spacing w:line="240" w:lineRule="exact"/>
              <w:jc w:val="center"/>
              <w:rPr>
                <w:kern w:val="0"/>
                <w:sz w:val="18"/>
                <w:szCs w:val="18"/>
              </w:rPr>
            </w:pPr>
            <w:r>
              <w:rPr>
                <w:kern w:val="0"/>
                <w:sz w:val="18"/>
                <w:szCs w:val="18"/>
              </w:rPr>
              <w:t>18</w:t>
            </w:r>
          </w:p>
        </w:tc>
        <w:tc>
          <w:tcPr>
            <w:tcW w:w="4136" w:type="pct"/>
            <w:gridSpan w:val="18"/>
            <w:vMerge w:val="continue"/>
            <w:tcBorders>
              <w:left w:val="single" w:color="auto" w:sz="2" w:space="0"/>
            </w:tcBorders>
            <w:shd w:val="clear" w:color="auto" w:fill="auto"/>
            <w:noWrap/>
            <w:vAlign w:val="center"/>
          </w:tcPr>
          <w:p w14:paraId="36E9C7CC">
            <w:pPr>
              <w:jc w:val="left"/>
              <w:rPr>
                <w:kern w:val="0"/>
                <w:sz w:val="20"/>
                <w:szCs w:val="20"/>
              </w:rPr>
            </w:pPr>
          </w:p>
        </w:tc>
      </w:tr>
      <w:tr w14:paraId="74644E92">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74C1A651">
            <w:pPr>
              <w:widowControl/>
              <w:jc w:val="center"/>
              <w:rPr>
                <w:kern w:val="0"/>
                <w:sz w:val="18"/>
                <w:szCs w:val="18"/>
              </w:rPr>
            </w:pPr>
            <w:r>
              <w:rPr>
                <w:kern w:val="0"/>
                <w:sz w:val="18"/>
                <w:szCs w:val="18"/>
              </w:rPr>
              <w:t>湖  南</w:t>
            </w:r>
          </w:p>
        </w:tc>
        <w:tc>
          <w:tcPr>
            <w:tcW w:w="330" w:type="pct"/>
            <w:tcBorders>
              <w:left w:val="single" w:color="auto" w:sz="2" w:space="0"/>
              <w:right w:val="single" w:color="auto" w:sz="2" w:space="0"/>
            </w:tcBorders>
            <w:shd w:val="clear" w:color="auto" w:fill="auto"/>
            <w:vAlign w:val="center"/>
          </w:tcPr>
          <w:p w14:paraId="2C0BF030">
            <w:pPr>
              <w:widowControl/>
              <w:spacing w:line="240" w:lineRule="exact"/>
              <w:jc w:val="center"/>
              <w:rPr>
                <w:kern w:val="0"/>
                <w:sz w:val="18"/>
                <w:szCs w:val="18"/>
              </w:rPr>
            </w:pPr>
            <w:r>
              <w:rPr>
                <w:kern w:val="0"/>
                <w:sz w:val="18"/>
                <w:szCs w:val="18"/>
              </w:rPr>
              <w:t>19</w:t>
            </w:r>
          </w:p>
        </w:tc>
        <w:tc>
          <w:tcPr>
            <w:tcW w:w="4136" w:type="pct"/>
            <w:gridSpan w:val="18"/>
            <w:vMerge w:val="continue"/>
            <w:tcBorders>
              <w:left w:val="single" w:color="auto" w:sz="2" w:space="0"/>
            </w:tcBorders>
            <w:shd w:val="clear" w:color="auto" w:fill="auto"/>
            <w:noWrap/>
            <w:vAlign w:val="center"/>
          </w:tcPr>
          <w:p w14:paraId="2CEDFAC8">
            <w:pPr>
              <w:jc w:val="left"/>
              <w:rPr>
                <w:kern w:val="0"/>
                <w:sz w:val="20"/>
                <w:szCs w:val="20"/>
              </w:rPr>
            </w:pPr>
          </w:p>
        </w:tc>
      </w:tr>
      <w:tr w14:paraId="0E701510">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3157396A">
            <w:pPr>
              <w:widowControl/>
              <w:jc w:val="center"/>
              <w:rPr>
                <w:kern w:val="0"/>
                <w:sz w:val="18"/>
                <w:szCs w:val="18"/>
              </w:rPr>
            </w:pPr>
            <w:r>
              <w:rPr>
                <w:kern w:val="0"/>
                <w:sz w:val="18"/>
                <w:szCs w:val="18"/>
              </w:rPr>
              <w:t>广  东</w:t>
            </w:r>
          </w:p>
        </w:tc>
        <w:tc>
          <w:tcPr>
            <w:tcW w:w="330" w:type="pct"/>
            <w:tcBorders>
              <w:left w:val="single" w:color="auto" w:sz="2" w:space="0"/>
              <w:right w:val="single" w:color="auto" w:sz="2" w:space="0"/>
            </w:tcBorders>
            <w:shd w:val="clear" w:color="auto" w:fill="auto"/>
            <w:vAlign w:val="center"/>
          </w:tcPr>
          <w:p w14:paraId="78B23AA8">
            <w:pPr>
              <w:widowControl/>
              <w:spacing w:line="240" w:lineRule="exact"/>
              <w:jc w:val="center"/>
              <w:rPr>
                <w:kern w:val="0"/>
                <w:sz w:val="18"/>
                <w:szCs w:val="18"/>
              </w:rPr>
            </w:pPr>
            <w:r>
              <w:rPr>
                <w:kern w:val="0"/>
                <w:sz w:val="18"/>
                <w:szCs w:val="18"/>
              </w:rPr>
              <w:t>20</w:t>
            </w:r>
          </w:p>
        </w:tc>
        <w:tc>
          <w:tcPr>
            <w:tcW w:w="4136" w:type="pct"/>
            <w:gridSpan w:val="18"/>
            <w:vMerge w:val="continue"/>
            <w:tcBorders>
              <w:left w:val="single" w:color="auto" w:sz="2" w:space="0"/>
            </w:tcBorders>
            <w:shd w:val="clear" w:color="auto" w:fill="auto"/>
            <w:noWrap/>
            <w:vAlign w:val="center"/>
          </w:tcPr>
          <w:p w14:paraId="78BABD00">
            <w:pPr>
              <w:jc w:val="left"/>
              <w:rPr>
                <w:kern w:val="0"/>
                <w:sz w:val="20"/>
                <w:szCs w:val="20"/>
              </w:rPr>
            </w:pPr>
          </w:p>
        </w:tc>
      </w:tr>
      <w:tr w14:paraId="725635F9">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5653AB07">
            <w:pPr>
              <w:widowControl/>
              <w:jc w:val="center"/>
              <w:rPr>
                <w:kern w:val="0"/>
                <w:sz w:val="18"/>
                <w:szCs w:val="18"/>
              </w:rPr>
            </w:pPr>
            <w:r>
              <w:rPr>
                <w:kern w:val="0"/>
                <w:sz w:val="18"/>
                <w:szCs w:val="18"/>
              </w:rPr>
              <w:t>广  西</w:t>
            </w:r>
          </w:p>
        </w:tc>
        <w:tc>
          <w:tcPr>
            <w:tcW w:w="330" w:type="pct"/>
            <w:tcBorders>
              <w:left w:val="single" w:color="auto" w:sz="2" w:space="0"/>
              <w:right w:val="single" w:color="auto" w:sz="2" w:space="0"/>
            </w:tcBorders>
            <w:shd w:val="clear" w:color="auto" w:fill="auto"/>
            <w:vAlign w:val="center"/>
          </w:tcPr>
          <w:p w14:paraId="7FB6E734">
            <w:pPr>
              <w:widowControl/>
              <w:spacing w:line="240" w:lineRule="exact"/>
              <w:jc w:val="center"/>
              <w:rPr>
                <w:kern w:val="0"/>
                <w:sz w:val="18"/>
                <w:szCs w:val="18"/>
              </w:rPr>
            </w:pPr>
            <w:r>
              <w:rPr>
                <w:kern w:val="0"/>
                <w:sz w:val="18"/>
                <w:szCs w:val="18"/>
              </w:rPr>
              <w:t>21</w:t>
            </w:r>
          </w:p>
        </w:tc>
        <w:tc>
          <w:tcPr>
            <w:tcW w:w="4136" w:type="pct"/>
            <w:gridSpan w:val="18"/>
            <w:vMerge w:val="continue"/>
            <w:tcBorders>
              <w:left w:val="single" w:color="auto" w:sz="2" w:space="0"/>
            </w:tcBorders>
            <w:shd w:val="clear" w:color="auto" w:fill="auto"/>
            <w:noWrap/>
            <w:vAlign w:val="center"/>
          </w:tcPr>
          <w:p w14:paraId="4D8A11EA">
            <w:pPr>
              <w:jc w:val="left"/>
              <w:rPr>
                <w:kern w:val="0"/>
                <w:sz w:val="20"/>
                <w:szCs w:val="20"/>
              </w:rPr>
            </w:pPr>
          </w:p>
        </w:tc>
      </w:tr>
      <w:tr w14:paraId="7BF8F87F">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2E84F6A">
            <w:pPr>
              <w:widowControl/>
              <w:jc w:val="center"/>
              <w:rPr>
                <w:kern w:val="0"/>
                <w:sz w:val="18"/>
                <w:szCs w:val="18"/>
              </w:rPr>
            </w:pPr>
            <w:r>
              <w:rPr>
                <w:kern w:val="0"/>
                <w:sz w:val="18"/>
                <w:szCs w:val="18"/>
              </w:rPr>
              <w:t>海  南</w:t>
            </w:r>
          </w:p>
        </w:tc>
        <w:tc>
          <w:tcPr>
            <w:tcW w:w="330" w:type="pct"/>
            <w:tcBorders>
              <w:left w:val="single" w:color="auto" w:sz="2" w:space="0"/>
              <w:right w:val="single" w:color="auto" w:sz="2" w:space="0"/>
            </w:tcBorders>
            <w:shd w:val="clear" w:color="auto" w:fill="auto"/>
            <w:vAlign w:val="center"/>
          </w:tcPr>
          <w:p w14:paraId="52374962">
            <w:pPr>
              <w:widowControl/>
              <w:spacing w:line="240" w:lineRule="exact"/>
              <w:jc w:val="center"/>
              <w:rPr>
                <w:kern w:val="0"/>
                <w:sz w:val="18"/>
                <w:szCs w:val="18"/>
              </w:rPr>
            </w:pPr>
            <w:r>
              <w:rPr>
                <w:kern w:val="0"/>
                <w:sz w:val="18"/>
                <w:szCs w:val="18"/>
              </w:rPr>
              <w:t>22</w:t>
            </w:r>
          </w:p>
        </w:tc>
        <w:tc>
          <w:tcPr>
            <w:tcW w:w="4136" w:type="pct"/>
            <w:gridSpan w:val="18"/>
            <w:vMerge w:val="continue"/>
            <w:tcBorders>
              <w:left w:val="single" w:color="auto" w:sz="2" w:space="0"/>
            </w:tcBorders>
            <w:shd w:val="clear" w:color="auto" w:fill="auto"/>
            <w:noWrap/>
            <w:vAlign w:val="center"/>
          </w:tcPr>
          <w:p w14:paraId="779479AF">
            <w:pPr>
              <w:jc w:val="left"/>
              <w:rPr>
                <w:kern w:val="0"/>
                <w:sz w:val="20"/>
                <w:szCs w:val="20"/>
              </w:rPr>
            </w:pPr>
          </w:p>
        </w:tc>
      </w:tr>
      <w:tr w14:paraId="45B28EFF">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1AB0FF61">
            <w:pPr>
              <w:widowControl/>
              <w:jc w:val="center"/>
              <w:rPr>
                <w:kern w:val="0"/>
                <w:sz w:val="18"/>
                <w:szCs w:val="18"/>
              </w:rPr>
            </w:pPr>
            <w:r>
              <w:rPr>
                <w:kern w:val="0"/>
                <w:sz w:val="18"/>
                <w:szCs w:val="18"/>
              </w:rPr>
              <w:t>重  庆</w:t>
            </w:r>
          </w:p>
        </w:tc>
        <w:tc>
          <w:tcPr>
            <w:tcW w:w="330" w:type="pct"/>
            <w:tcBorders>
              <w:left w:val="single" w:color="auto" w:sz="2" w:space="0"/>
              <w:right w:val="single" w:color="auto" w:sz="2" w:space="0"/>
            </w:tcBorders>
            <w:shd w:val="clear" w:color="auto" w:fill="auto"/>
            <w:vAlign w:val="center"/>
          </w:tcPr>
          <w:p w14:paraId="28F61BCD">
            <w:pPr>
              <w:widowControl/>
              <w:spacing w:line="240" w:lineRule="exact"/>
              <w:jc w:val="center"/>
              <w:rPr>
                <w:kern w:val="0"/>
                <w:sz w:val="18"/>
                <w:szCs w:val="18"/>
              </w:rPr>
            </w:pPr>
            <w:r>
              <w:rPr>
                <w:kern w:val="0"/>
                <w:sz w:val="18"/>
                <w:szCs w:val="18"/>
              </w:rPr>
              <w:t>23</w:t>
            </w:r>
          </w:p>
        </w:tc>
        <w:tc>
          <w:tcPr>
            <w:tcW w:w="4136" w:type="pct"/>
            <w:gridSpan w:val="18"/>
            <w:vMerge w:val="continue"/>
            <w:tcBorders>
              <w:left w:val="single" w:color="auto" w:sz="2" w:space="0"/>
            </w:tcBorders>
            <w:shd w:val="clear" w:color="auto" w:fill="auto"/>
            <w:noWrap/>
            <w:vAlign w:val="center"/>
          </w:tcPr>
          <w:p w14:paraId="3B5BD1FB">
            <w:pPr>
              <w:jc w:val="left"/>
              <w:rPr>
                <w:kern w:val="0"/>
                <w:sz w:val="20"/>
                <w:szCs w:val="20"/>
              </w:rPr>
            </w:pPr>
          </w:p>
        </w:tc>
      </w:tr>
      <w:tr w14:paraId="078576C1">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20CC9245">
            <w:pPr>
              <w:widowControl/>
              <w:jc w:val="center"/>
              <w:rPr>
                <w:kern w:val="0"/>
                <w:sz w:val="18"/>
                <w:szCs w:val="18"/>
              </w:rPr>
            </w:pPr>
            <w:r>
              <w:rPr>
                <w:kern w:val="0"/>
                <w:sz w:val="18"/>
                <w:szCs w:val="18"/>
              </w:rPr>
              <w:t>四  川</w:t>
            </w:r>
          </w:p>
        </w:tc>
        <w:tc>
          <w:tcPr>
            <w:tcW w:w="330" w:type="pct"/>
            <w:tcBorders>
              <w:left w:val="single" w:color="auto" w:sz="2" w:space="0"/>
              <w:right w:val="single" w:color="auto" w:sz="2" w:space="0"/>
            </w:tcBorders>
            <w:shd w:val="clear" w:color="auto" w:fill="auto"/>
            <w:vAlign w:val="center"/>
          </w:tcPr>
          <w:p w14:paraId="26BF7538">
            <w:pPr>
              <w:widowControl/>
              <w:spacing w:line="240" w:lineRule="exact"/>
              <w:jc w:val="center"/>
              <w:rPr>
                <w:kern w:val="0"/>
                <w:sz w:val="18"/>
                <w:szCs w:val="18"/>
              </w:rPr>
            </w:pPr>
            <w:r>
              <w:rPr>
                <w:kern w:val="0"/>
                <w:sz w:val="18"/>
                <w:szCs w:val="18"/>
              </w:rPr>
              <w:t>24</w:t>
            </w:r>
          </w:p>
        </w:tc>
        <w:tc>
          <w:tcPr>
            <w:tcW w:w="4136" w:type="pct"/>
            <w:gridSpan w:val="18"/>
            <w:vMerge w:val="continue"/>
            <w:tcBorders>
              <w:left w:val="single" w:color="auto" w:sz="2" w:space="0"/>
            </w:tcBorders>
            <w:shd w:val="clear" w:color="auto" w:fill="auto"/>
            <w:noWrap/>
            <w:vAlign w:val="center"/>
          </w:tcPr>
          <w:p w14:paraId="5CA65725">
            <w:pPr>
              <w:jc w:val="left"/>
              <w:rPr>
                <w:kern w:val="0"/>
                <w:sz w:val="20"/>
                <w:szCs w:val="20"/>
              </w:rPr>
            </w:pPr>
          </w:p>
        </w:tc>
      </w:tr>
      <w:tr w14:paraId="3CD70484">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6EBAFB09">
            <w:pPr>
              <w:widowControl/>
              <w:jc w:val="center"/>
              <w:rPr>
                <w:kern w:val="0"/>
                <w:sz w:val="18"/>
                <w:szCs w:val="18"/>
              </w:rPr>
            </w:pPr>
            <w:r>
              <w:rPr>
                <w:kern w:val="0"/>
                <w:sz w:val="18"/>
                <w:szCs w:val="18"/>
              </w:rPr>
              <w:t>贵  州</w:t>
            </w:r>
          </w:p>
        </w:tc>
        <w:tc>
          <w:tcPr>
            <w:tcW w:w="330" w:type="pct"/>
            <w:tcBorders>
              <w:left w:val="single" w:color="auto" w:sz="2" w:space="0"/>
              <w:right w:val="single" w:color="auto" w:sz="2" w:space="0"/>
            </w:tcBorders>
            <w:shd w:val="clear" w:color="auto" w:fill="auto"/>
            <w:vAlign w:val="center"/>
          </w:tcPr>
          <w:p w14:paraId="7499B529">
            <w:pPr>
              <w:widowControl/>
              <w:spacing w:line="240" w:lineRule="exact"/>
              <w:jc w:val="center"/>
              <w:rPr>
                <w:kern w:val="0"/>
                <w:sz w:val="18"/>
                <w:szCs w:val="18"/>
              </w:rPr>
            </w:pPr>
            <w:r>
              <w:rPr>
                <w:kern w:val="0"/>
                <w:sz w:val="18"/>
                <w:szCs w:val="18"/>
              </w:rPr>
              <w:t>25</w:t>
            </w:r>
          </w:p>
        </w:tc>
        <w:tc>
          <w:tcPr>
            <w:tcW w:w="4136" w:type="pct"/>
            <w:gridSpan w:val="18"/>
            <w:vMerge w:val="continue"/>
            <w:tcBorders>
              <w:left w:val="single" w:color="auto" w:sz="2" w:space="0"/>
            </w:tcBorders>
            <w:shd w:val="clear" w:color="auto" w:fill="auto"/>
            <w:noWrap/>
            <w:vAlign w:val="center"/>
          </w:tcPr>
          <w:p w14:paraId="2CAC5DED">
            <w:pPr>
              <w:jc w:val="left"/>
              <w:rPr>
                <w:kern w:val="0"/>
                <w:sz w:val="20"/>
                <w:szCs w:val="20"/>
              </w:rPr>
            </w:pPr>
          </w:p>
        </w:tc>
      </w:tr>
      <w:tr w14:paraId="5EB3DFE7">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61F21DB0">
            <w:pPr>
              <w:widowControl/>
              <w:jc w:val="center"/>
              <w:rPr>
                <w:kern w:val="0"/>
                <w:sz w:val="18"/>
                <w:szCs w:val="18"/>
              </w:rPr>
            </w:pPr>
            <w:r>
              <w:rPr>
                <w:kern w:val="0"/>
                <w:sz w:val="18"/>
                <w:szCs w:val="18"/>
              </w:rPr>
              <w:t>云  南</w:t>
            </w:r>
          </w:p>
        </w:tc>
        <w:tc>
          <w:tcPr>
            <w:tcW w:w="330" w:type="pct"/>
            <w:tcBorders>
              <w:left w:val="single" w:color="auto" w:sz="2" w:space="0"/>
              <w:right w:val="single" w:color="auto" w:sz="2" w:space="0"/>
            </w:tcBorders>
            <w:shd w:val="clear" w:color="auto" w:fill="auto"/>
            <w:vAlign w:val="center"/>
          </w:tcPr>
          <w:p w14:paraId="79322D46">
            <w:pPr>
              <w:widowControl/>
              <w:spacing w:line="240" w:lineRule="exact"/>
              <w:jc w:val="center"/>
              <w:rPr>
                <w:kern w:val="0"/>
                <w:sz w:val="18"/>
                <w:szCs w:val="18"/>
              </w:rPr>
            </w:pPr>
            <w:r>
              <w:rPr>
                <w:kern w:val="0"/>
                <w:sz w:val="18"/>
                <w:szCs w:val="18"/>
              </w:rPr>
              <w:t>26</w:t>
            </w:r>
          </w:p>
        </w:tc>
        <w:tc>
          <w:tcPr>
            <w:tcW w:w="4136" w:type="pct"/>
            <w:gridSpan w:val="18"/>
            <w:vMerge w:val="continue"/>
            <w:tcBorders>
              <w:left w:val="single" w:color="auto" w:sz="2" w:space="0"/>
            </w:tcBorders>
            <w:shd w:val="clear" w:color="auto" w:fill="auto"/>
            <w:noWrap/>
            <w:vAlign w:val="center"/>
          </w:tcPr>
          <w:p w14:paraId="5B9B228B">
            <w:pPr>
              <w:jc w:val="left"/>
              <w:rPr>
                <w:kern w:val="0"/>
                <w:sz w:val="20"/>
                <w:szCs w:val="20"/>
              </w:rPr>
            </w:pPr>
          </w:p>
        </w:tc>
      </w:tr>
      <w:tr w14:paraId="3D114D42">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5548B3AB">
            <w:pPr>
              <w:widowControl/>
              <w:jc w:val="center"/>
              <w:rPr>
                <w:kern w:val="0"/>
                <w:sz w:val="18"/>
                <w:szCs w:val="18"/>
              </w:rPr>
            </w:pPr>
            <w:r>
              <w:rPr>
                <w:kern w:val="0"/>
                <w:sz w:val="18"/>
                <w:szCs w:val="18"/>
              </w:rPr>
              <w:t>西  藏</w:t>
            </w:r>
          </w:p>
        </w:tc>
        <w:tc>
          <w:tcPr>
            <w:tcW w:w="330" w:type="pct"/>
            <w:tcBorders>
              <w:left w:val="single" w:color="auto" w:sz="2" w:space="0"/>
              <w:right w:val="single" w:color="auto" w:sz="2" w:space="0"/>
            </w:tcBorders>
            <w:shd w:val="clear" w:color="auto" w:fill="auto"/>
            <w:vAlign w:val="center"/>
          </w:tcPr>
          <w:p w14:paraId="27A9BA80">
            <w:pPr>
              <w:widowControl/>
              <w:spacing w:line="240" w:lineRule="exact"/>
              <w:jc w:val="center"/>
              <w:rPr>
                <w:kern w:val="0"/>
                <w:sz w:val="18"/>
                <w:szCs w:val="18"/>
              </w:rPr>
            </w:pPr>
            <w:r>
              <w:rPr>
                <w:kern w:val="0"/>
                <w:sz w:val="18"/>
                <w:szCs w:val="18"/>
              </w:rPr>
              <w:t>27</w:t>
            </w:r>
          </w:p>
        </w:tc>
        <w:tc>
          <w:tcPr>
            <w:tcW w:w="4136" w:type="pct"/>
            <w:gridSpan w:val="18"/>
            <w:vMerge w:val="continue"/>
            <w:tcBorders>
              <w:left w:val="single" w:color="auto" w:sz="2" w:space="0"/>
            </w:tcBorders>
            <w:shd w:val="clear" w:color="auto" w:fill="auto"/>
            <w:noWrap/>
            <w:vAlign w:val="center"/>
          </w:tcPr>
          <w:p w14:paraId="4B231B65">
            <w:pPr>
              <w:jc w:val="left"/>
              <w:rPr>
                <w:kern w:val="0"/>
                <w:sz w:val="20"/>
                <w:szCs w:val="20"/>
              </w:rPr>
            </w:pPr>
          </w:p>
        </w:tc>
      </w:tr>
      <w:tr w14:paraId="22215199">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0D7FCC40">
            <w:pPr>
              <w:widowControl/>
              <w:jc w:val="center"/>
              <w:rPr>
                <w:kern w:val="0"/>
                <w:sz w:val="18"/>
                <w:szCs w:val="18"/>
              </w:rPr>
            </w:pPr>
            <w:r>
              <w:rPr>
                <w:kern w:val="0"/>
                <w:sz w:val="18"/>
                <w:szCs w:val="18"/>
              </w:rPr>
              <w:t>陕  西</w:t>
            </w:r>
          </w:p>
        </w:tc>
        <w:tc>
          <w:tcPr>
            <w:tcW w:w="330" w:type="pct"/>
            <w:tcBorders>
              <w:left w:val="single" w:color="auto" w:sz="2" w:space="0"/>
              <w:right w:val="single" w:color="auto" w:sz="2" w:space="0"/>
            </w:tcBorders>
            <w:shd w:val="clear" w:color="auto" w:fill="auto"/>
            <w:vAlign w:val="center"/>
          </w:tcPr>
          <w:p w14:paraId="5949C740">
            <w:pPr>
              <w:widowControl/>
              <w:spacing w:line="240" w:lineRule="exact"/>
              <w:jc w:val="center"/>
              <w:rPr>
                <w:kern w:val="0"/>
                <w:sz w:val="18"/>
                <w:szCs w:val="18"/>
              </w:rPr>
            </w:pPr>
            <w:r>
              <w:rPr>
                <w:kern w:val="0"/>
                <w:sz w:val="18"/>
                <w:szCs w:val="18"/>
              </w:rPr>
              <w:t>28</w:t>
            </w:r>
          </w:p>
        </w:tc>
        <w:tc>
          <w:tcPr>
            <w:tcW w:w="4136" w:type="pct"/>
            <w:gridSpan w:val="18"/>
            <w:vMerge w:val="continue"/>
            <w:tcBorders>
              <w:left w:val="single" w:color="auto" w:sz="2" w:space="0"/>
            </w:tcBorders>
            <w:shd w:val="clear" w:color="auto" w:fill="auto"/>
            <w:noWrap/>
            <w:vAlign w:val="center"/>
          </w:tcPr>
          <w:p w14:paraId="52C2E37A">
            <w:pPr>
              <w:jc w:val="left"/>
              <w:rPr>
                <w:kern w:val="0"/>
                <w:sz w:val="20"/>
                <w:szCs w:val="20"/>
              </w:rPr>
            </w:pPr>
          </w:p>
        </w:tc>
      </w:tr>
      <w:tr w14:paraId="26A26167">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4A505F70">
            <w:pPr>
              <w:widowControl/>
              <w:jc w:val="center"/>
              <w:rPr>
                <w:kern w:val="0"/>
                <w:sz w:val="18"/>
                <w:szCs w:val="18"/>
              </w:rPr>
            </w:pPr>
            <w:r>
              <w:rPr>
                <w:kern w:val="0"/>
                <w:sz w:val="18"/>
                <w:szCs w:val="18"/>
              </w:rPr>
              <w:t>甘  肃</w:t>
            </w:r>
          </w:p>
        </w:tc>
        <w:tc>
          <w:tcPr>
            <w:tcW w:w="330" w:type="pct"/>
            <w:tcBorders>
              <w:left w:val="single" w:color="auto" w:sz="2" w:space="0"/>
              <w:right w:val="single" w:color="auto" w:sz="2" w:space="0"/>
            </w:tcBorders>
            <w:shd w:val="clear" w:color="auto" w:fill="auto"/>
            <w:vAlign w:val="center"/>
          </w:tcPr>
          <w:p w14:paraId="63828CD3">
            <w:pPr>
              <w:widowControl/>
              <w:spacing w:line="240" w:lineRule="exact"/>
              <w:jc w:val="center"/>
              <w:rPr>
                <w:kern w:val="0"/>
                <w:sz w:val="18"/>
                <w:szCs w:val="18"/>
              </w:rPr>
            </w:pPr>
            <w:r>
              <w:rPr>
                <w:kern w:val="0"/>
                <w:sz w:val="18"/>
                <w:szCs w:val="18"/>
              </w:rPr>
              <w:t>29</w:t>
            </w:r>
          </w:p>
        </w:tc>
        <w:tc>
          <w:tcPr>
            <w:tcW w:w="4136" w:type="pct"/>
            <w:gridSpan w:val="18"/>
            <w:vMerge w:val="continue"/>
            <w:tcBorders>
              <w:left w:val="single" w:color="auto" w:sz="2" w:space="0"/>
            </w:tcBorders>
            <w:shd w:val="clear" w:color="auto" w:fill="auto"/>
            <w:noWrap/>
            <w:vAlign w:val="center"/>
          </w:tcPr>
          <w:p w14:paraId="132DE2D9">
            <w:pPr>
              <w:jc w:val="left"/>
              <w:rPr>
                <w:kern w:val="0"/>
                <w:sz w:val="20"/>
                <w:szCs w:val="20"/>
              </w:rPr>
            </w:pPr>
          </w:p>
        </w:tc>
      </w:tr>
      <w:tr w14:paraId="5EF801A8">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24E37458">
            <w:pPr>
              <w:widowControl/>
              <w:jc w:val="center"/>
              <w:rPr>
                <w:kern w:val="0"/>
                <w:sz w:val="18"/>
                <w:szCs w:val="18"/>
              </w:rPr>
            </w:pPr>
            <w:r>
              <w:rPr>
                <w:kern w:val="0"/>
                <w:sz w:val="18"/>
                <w:szCs w:val="18"/>
              </w:rPr>
              <w:t>青  海</w:t>
            </w:r>
          </w:p>
        </w:tc>
        <w:tc>
          <w:tcPr>
            <w:tcW w:w="330" w:type="pct"/>
            <w:tcBorders>
              <w:left w:val="single" w:color="auto" w:sz="2" w:space="0"/>
              <w:right w:val="single" w:color="auto" w:sz="2" w:space="0"/>
            </w:tcBorders>
            <w:shd w:val="clear" w:color="auto" w:fill="auto"/>
            <w:vAlign w:val="center"/>
          </w:tcPr>
          <w:p w14:paraId="51429F52">
            <w:pPr>
              <w:widowControl/>
              <w:spacing w:line="240" w:lineRule="exact"/>
              <w:jc w:val="center"/>
              <w:rPr>
                <w:kern w:val="0"/>
                <w:sz w:val="18"/>
                <w:szCs w:val="18"/>
              </w:rPr>
            </w:pPr>
            <w:r>
              <w:rPr>
                <w:kern w:val="0"/>
                <w:sz w:val="18"/>
                <w:szCs w:val="18"/>
              </w:rPr>
              <w:t>30</w:t>
            </w:r>
          </w:p>
        </w:tc>
        <w:tc>
          <w:tcPr>
            <w:tcW w:w="4136" w:type="pct"/>
            <w:gridSpan w:val="18"/>
            <w:vMerge w:val="continue"/>
            <w:tcBorders>
              <w:left w:val="single" w:color="auto" w:sz="2" w:space="0"/>
            </w:tcBorders>
            <w:shd w:val="clear" w:color="auto" w:fill="auto"/>
            <w:noWrap/>
            <w:vAlign w:val="center"/>
          </w:tcPr>
          <w:p w14:paraId="57C2BE73">
            <w:pPr>
              <w:jc w:val="left"/>
              <w:rPr>
                <w:kern w:val="0"/>
                <w:sz w:val="20"/>
                <w:szCs w:val="20"/>
              </w:rPr>
            </w:pPr>
          </w:p>
        </w:tc>
      </w:tr>
      <w:tr w14:paraId="4FA687E0">
        <w:tblPrEx>
          <w:tblCellMar>
            <w:top w:w="0" w:type="dxa"/>
            <w:left w:w="108" w:type="dxa"/>
            <w:bottom w:w="0" w:type="dxa"/>
            <w:right w:w="108" w:type="dxa"/>
          </w:tblCellMar>
        </w:tblPrEx>
        <w:trPr>
          <w:trHeight w:val="285" w:hRule="atLeast"/>
          <w:jc w:val="center"/>
        </w:trPr>
        <w:tc>
          <w:tcPr>
            <w:tcW w:w="533" w:type="pct"/>
            <w:gridSpan w:val="2"/>
            <w:tcBorders>
              <w:left w:val="nil"/>
              <w:right w:val="single" w:color="auto" w:sz="2" w:space="0"/>
            </w:tcBorders>
            <w:shd w:val="clear" w:color="auto" w:fill="auto"/>
            <w:vAlign w:val="center"/>
          </w:tcPr>
          <w:p w14:paraId="3A5644AD">
            <w:pPr>
              <w:widowControl/>
              <w:jc w:val="center"/>
              <w:rPr>
                <w:kern w:val="0"/>
                <w:sz w:val="18"/>
                <w:szCs w:val="18"/>
              </w:rPr>
            </w:pPr>
            <w:r>
              <w:rPr>
                <w:kern w:val="0"/>
                <w:sz w:val="18"/>
                <w:szCs w:val="18"/>
              </w:rPr>
              <w:t>宁  夏</w:t>
            </w:r>
          </w:p>
        </w:tc>
        <w:tc>
          <w:tcPr>
            <w:tcW w:w="330" w:type="pct"/>
            <w:tcBorders>
              <w:left w:val="single" w:color="auto" w:sz="2" w:space="0"/>
              <w:right w:val="single" w:color="auto" w:sz="2" w:space="0"/>
            </w:tcBorders>
            <w:shd w:val="clear" w:color="auto" w:fill="auto"/>
            <w:vAlign w:val="center"/>
          </w:tcPr>
          <w:p w14:paraId="707506F1">
            <w:pPr>
              <w:widowControl/>
              <w:spacing w:line="240" w:lineRule="exact"/>
              <w:jc w:val="center"/>
              <w:rPr>
                <w:kern w:val="0"/>
                <w:sz w:val="18"/>
                <w:szCs w:val="18"/>
              </w:rPr>
            </w:pPr>
            <w:r>
              <w:rPr>
                <w:kern w:val="0"/>
                <w:sz w:val="18"/>
                <w:szCs w:val="18"/>
              </w:rPr>
              <w:t>31</w:t>
            </w:r>
          </w:p>
        </w:tc>
        <w:tc>
          <w:tcPr>
            <w:tcW w:w="4136" w:type="pct"/>
            <w:gridSpan w:val="18"/>
            <w:vMerge w:val="continue"/>
            <w:tcBorders>
              <w:left w:val="single" w:color="auto" w:sz="2" w:space="0"/>
            </w:tcBorders>
            <w:shd w:val="clear" w:color="auto" w:fill="auto"/>
            <w:noWrap/>
            <w:vAlign w:val="center"/>
          </w:tcPr>
          <w:p w14:paraId="198AC979">
            <w:pPr>
              <w:jc w:val="left"/>
              <w:rPr>
                <w:kern w:val="0"/>
                <w:sz w:val="20"/>
                <w:szCs w:val="20"/>
              </w:rPr>
            </w:pPr>
          </w:p>
        </w:tc>
      </w:tr>
      <w:tr w14:paraId="63B9F298">
        <w:tblPrEx>
          <w:tblCellMar>
            <w:top w:w="0" w:type="dxa"/>
            <w:left w:w="108" w:type="dxa"/>
            <w:bottom w:w="0" w:type="dxa"/>
            <w:right w:w="108" w:type="dxa"/>
          </w:tblCellMar>
        </w:tblPrEx>
        <w:trPr>
          <w:trHeight w:val="300" w:hRule="atLeast"/>
          <w:jc w:val="center"/>
        </w:trPr>
        <w:tc>
          <w:tcPr>
            <w:tcW w:w="533" w:type="pct"/>
            <w:gridSpan w:val="2"/>
            <w:tcBorders>
              <w:left w:val="nil"/>
              <w:bottom w:val="single" w:color="auto" w:sz="8" w:space="0"/>
              <w:right w:val="single" w:color="auto" w:sz="2" w:space="0"/>
            </w:tcBorders>
            <w:shd w:val="clear" w:color="auto" w:fill="auto"/>
            <w:vAlign w:val="center"/>
          </w:tcPr>
          <w:p w14:paraId="5F427CFD">
            <w:pPr>
              <w:widowControl/>
              <w:jc w:val="center"/>
              <w:rPr>
                <w:kern w:val="0"/>
                <w:sz w:val="18"/>
                <w:szCs w:val="18"/>
              </w:rPr>
            </w:pPr>
            <w:r>
              <w:rPr>
                <w:kern w:val="0"/>
                <w:sz w:val="18"/>
                <w:szCs w:val="18"/>
              </w:rPr>
              <w:t>新  疆</w:t>
            </w:r>
          </w:p>
        </w:tc>
        <w:tc>
          <w:tcPr>
            <w:tcW w:w="330" w:type="pct"/>
            <w:tcBorders>
              <w:left w:val="single" w:color="auto" w:sz="2" w:space="0"/>
              <w:bottom w:val="single" w:color="auto" w:sz="8" w:space="0"/>
              <w:right w:val="single" w:color="auto" w:sz="2" w:space="0"/>
            </w:tcBorders>
            <w:shd w:val="clear" w:color="auto" w:fill="auto"/>
            <w:vAlign w:val="center"/>
          </w:tcPr>
          <w:p w14:paraId="60897B40">
            <w:pPr>
              <w:widowControl/>
              <w:spacing w:line="240" w:lineRule="exact"/>
              <w:jc w:val="center"/>
              <w:rPr>
                <w:kern w:val="0"/>
                <w:sz w:val="18"/>
                <w:szCs w:val="18"/>
              </w:rPr>
            </w:pPr>
            <w:r>
              <w:rPr>
                <w:kern w:val="0"/>
                <w:sz w:val="18"/>
                <w:szCs w:val="18"/>
              </w:rPr>
              <w:t>3</w:t>
            </w:r>
            <w:r>
              <w:rPr>
                <w:rFonts w:hint="eastAsia"/>
                <w:kern w:val="0"/>
                <w:sz w:val="18"/>
                <w:szCs w:val="18"/>
              </w:rPr>
              <w:t>2</w:t>
            </w:r>
          </w:p>
        </w:tc>
        <w:tc>
          <w:tcPr>
            <w:tcW w:w="4136" w:type="pct"/>
            <w:gridSpan w:val="18"/>
            <w:vMerge w:val="continue"/>
            <w:tcBorders>
              <w:left w:val="single" w:color="auto" w:sz="2" w:space="0"/>
              <w:bottom w:val="single" w:color="auto" w:sz="8" w:space="0"/>
            </w:tcBorders>
            <w:shd w:val="clear" w:color="auto" w:fill="auto"/>
            <w:noWrap/>
            <w:vAlign w:val="center"/>
          </w:tcPr>
          <w:p w14:paraId="755B5D14">
            <w:pPr>
              <w:widowControl/>
              <w:jc w:val="left"/>
              <w:rPr>
                <w:kern w:val="0"/>
                <w:sz w:val="22"/>
                <w:szCs w:val="22"/>
              </w:rPr>
            </w:pPr>
          </w:p>
        </w:tc>
      </w:tr>
    </w:tbl>
    <w:p w14:paraId="4F8368E8">
      <w:pPr>
        <w:widowControl/>
        <w:rPr>
          <w:kern w:val="0"/>
          <w:sz w:val="18"/>
          <w:szCs w:val="18"/>
        </w:rPr>
      </w:pPr>
    </w:p>
    <w:p w14:paraId="62309571">
      <w:pPr>
        <w:spacing w:line="240" w:lineRule="auto"/>
        <w:ind w:left="0" w:leftChars="0"/>
        <w:rPr>
          <w:sz w:val="18"/>
          <w:szCs w:val="18"/>
        </w:rPr>
      </w:pPr>
      <w:r>
        <w:rPr>
          <w:sz w:val="18"/>
          <w:szCs w:val="18"/>
        </w:rPr>
        <w:br w:type="page"/>
      </w:r>
    </w:p>
    <w:p w14:paraId="3DFA7E56">
      <w:pPr>
        <w:pStyle w:val="2"/>
        <w:spacing w:line="280" w:lineRule="exact"/>
        <w:ind w:left="-315" w:leftChars="-150" w:right="0" w:firstLine="0"/>
        <w:rPr>
          <w:sz w:val="18"/>
        </w:rPr>
      </w:pPr>
      <w:r>
        <w:rPr>
          <w:rFonts w:hint="eastAsia"/>
          <w:sz w:val="18"/>
          <w:szCs w:val="24"/>
        </w:rPr>
        <w:t>续表</w:t>
      </w:r>
      <w:r>
        <w:rPr>
          <w:sz w:val="18"/>
          <w:szCs w:val="24"/>
        </w:rPr>
        <w:t>一</w:t>
      </w:r>
    </w:p>
    <w:tbl>
      <w:tblPr>
        <w:tblStyle w:val="20"/>
        <w:tblW w:w="1019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44"/>
        <w:gridCol w:w="848"/>
        <w:gridCol w:w="849"/>
        <w:gridCol w:w="851"/>
        <w:gridCol w:w="850"/>
        <w:gridCol w:w="850"/>
        <w:gridCol w:w="853"/>
        <w:gridCol w:w="851"/>
        <w:gridCol w:w="850"/>
        <w:gridCol w:w="851"/>
        <w:gridCol w:w="850"/>
        <w:gridCol w:w="850"/>
      </w:tblGrid>
      <w:tr w14:paraId="432628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5092" w:type="dxa"/>
            <w:gridSpan w:val="6"/>
            <w:tcBorders>
              <w:tl2br w:val="nil"/>
              <w:tr2bl w:val="nil"/>
            </w:tcBorders>
            <w:vAlign w:val="center"/>
          </w:tcPr>
          <w:p w14:paraId="183A561C">
            <w:pPr>
              <w:spacing w:line="240" w:lineRule="exact"/>
              <w:ind w:right="-41"/>
              <w:jc w:val="center"/>
              <w:rPr>
                <w:sz w:val="18"/>
                <w:szCs w:val="18"/>
              </w:rPr>
            </w:pPr>
            <w:r>
              <w:rPr>
                <w:rFonts w:hint="eastAsia"/>
                <w:sz w:val="18"/>
                <w:szCs w:val="18"/>
              </w:rPr>
              <w:t>水力</w:t>
            </w:r>
            <w:r>
              <w:rPr>
                <w:sz w:val="18"/>
                <w:szCs w:val="18"/>
              </w:rPr>
              <w:t>发</w:t>
            </w:r>
            <w:r>
              <w:rPr>
                <w:rFonts w:hint="eastAsia"/>
                <w:sz w:val="18"/>
                <w:szCs w:val="18"/>
              </w:rPr>
              <w:t>电量（亿千瓦时）</w:t>
            </w:r>
          </w:p>
        </w:tc>
        <w:tc>
          <w:tcPr>
            <w:tcW w:w="5105" w:type="dxa"/>
            <w:gridSpan w:val="6"/>
            <w:tcBorders>
              <w:tl2br w:val="nil"/>
              <w:tr2bl w:val="nil"/>
            </w:tcBorders>
            <w:vAlign w:val="center"/>
          </w:tcPr>
          <w:p w14:paraId="692CEA2F">
            <w:pPr>
              <w:spacing w:line="240" w:lineRule="exact"/>
              <w:ind w:right="-41"/>
              <w:jc w:val="center"/>
              <w:rPr>
                <w:sz w:val="18"/>
                <w:szCs w:val="18"/>
              </w:rPr>
            </w:pPr>
            <w:r>
              <w:rPr>
                <w:rFonts w:hint="eastAsia"/>
                <w:sz w:val="18"/>
                <w:szCs w:val="18"/>
              </w:rPr>
              <w:t>核能发电量（亿千瓦时）</w:t>
            </w:r>
          </w:p>
        </w:tc>
      </w:tr>
      <w:tr w14:paraId="066176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1692" w:type="dxa"/>
            <w:gridSpan w:val="2"/>
            <w:tcBorders>
              <w:tl2br w:val="nil"/>
              <w:tr2bl w:val="nil"/>
            </w:tcBorders>
            <w:vAlign w:val="center"/>
          </w:tcPr>
          <w:p w14:paraId="360751A6">
            <w:pPr>
              <w:spacing w:line="240" w:lineRule="atLeast"/>
              <w:jc w:val="center"/>
              <w:rPr>
                <w:sz w:val="18"/>
                <w:szCs w:val="18"/>
              </w:rPr>
            </w:pPr>
            <w:r>
              <w:rPr>
                <w:rFonts w:hint="eastAsia"/>
                <w:sz w:val="18"/>
                <w:szCs w:val="18"/>
              </w:rPr>
              <w:t>本 期</w:t>
            </w:r>
          </w:p>
        </w:tc>
        <w:tc>
          <w:tcPr>
            <w:tcW w:w="1700" w:type="dxa"/>
            <w:gridSpan w:val="2"/>
            <w:tcBorders>
              <w:tl2br w:val="nil"/>
              <w:tr2bl w:val="nil"/>
            </w:tcBorders>
            <w:vAlign w:val="center"/>
          </w:tcPr>
          <w:p w14:paraId="43DDFDD6">
            <w:pPr>
              <w:spacing w:line="240" w:lineRule="atLeast"/>
              <w:jc w:val="center"/>
              <w:rPr>
                <w:sz w:val="18"/>
                <w:szCs w:val="18"/>
              </w:rPr>
            </w:pPr>
            <w:r>
              <w:rPr>
                <w:rFonts w:hint="eastAsia"/>
                <w:sz w:val="18"/>
                <w:szCs w:val="18"/>
              </w:rPr>
              <w:t>同 期</w:t>
            </w:r>
          </w:p>
        </w:tc>
        <w:tc>
          <w:tcPr>
            <w:tcW w:w="850" w:type="dxa"/>
            <w:vMerge w:val="restart"/>
            <w:tcBorders>
              <w:tl2br w:val="nil"/>
              <w:tr2bl w:val="nil"/>
            </w:tcBorders>
            <w:vAlign w:val="center"/>
          </w:tcPr>
          <w:p w14:paraId="3A25E5C9">
            <w:pPr>
              <w:spacing w:line="240" w:lineRule="atLeast"/>
              <w:jc w:val="center"/>
              <w:rPr>
                <w:sz w:val="18"/>
                <w:szCs w:val="18"/>
              </w:rPr>
            </w:pPr>
            <w:r>
              <w:rPr>
                <w:rFonts w:hint="eastAsia"/>
                <w:sz w:val="18"/>
                <w:szCs w:val="18"/>
              </w:rPr>
              <w:t>当月</w:t>
            </w:r>
            <w:r>
              <w:rPr>
                <w:sz w:val="18"/>
                <w:szCs w:val="18"/>
              </w:rPr>
              <w:t>增速</w:t>
            </w:r>
            <w:r>
              <w:rPr>
                <w:rFonts w:hint="eastAsia"/>
                <w:sz w:val="18"/>
                <w:szCs w:val="18"/>
              </w:rPr>
              <w:t>（%）</w:t>
            </w:r>
          </w:p>
        </w:tc>
        <w:tc>
          <w:tcPr>
            <w:tcW w:w="850" w:type="dxa"/>
            <w:vMerge w:val="restart"/>
            <w:tcBorders>
              <w:tl2br w:val="nil"/>
              <w:tr2bl w:val="nil"/>
            </w:tcBorders>
            <w:vAlign w:val="center"/>
          </w:tcPr>
          <w:p w14:paraId="2DE6A1EF">
            <w:pPr>
              <w:spacing w:line="240" w:lineRule="atLeast"/>
              <w:jc w:val="center"/>
              <w:rPr>
                <w:sz w:val="18"/>
                <w:szCs w:val="18"/>
              </w:rPr>
            </w:pPr>
            <w:r>
              <w:rPr>
                <w:rFonts w:hint="eastAsia"/>
                <w:sz w:val="18"/>
                <w:szCs w:val="18"/>
              </w:rPr>
              <w:t>累计增速（%）</w:t>
            </w:r>
          </w:p>
        </w:tc>
        <w:tc>
          <w:tcPr>
            <w:tcW w:w="1704" w:type="dxa"/>
            <w:gridSpan w:val="2"/>
            <w:tcBorders>
              <w:tl2br w:val="nil"/>
              <w:tr2bl w:val="nil"/>
            </w:tcBorders>
            <w:vAlign w:val="center"/>
          </w:tcPr>
          <w:p w14:paraId="0351188D">
            <w:pPr>
              <w:spacing w:line="240" w:lineRule="atLeast"/>
              <w:jc w:val="center"/>
              <w:rPr>
                <w:sz w:val="18"/>
                <w:szCs w:val="18"/>
              </w:rPr>
            </w:pPr>
            <w:r>
              <w:rPr>
                <w:rFonts w:hint="eastAsia"/>
                <w:sz w:val="18"/>
                <w:szCs w:val="18"/>
              </w:rPr>
              <w:t>本 期</w:t>
            </w:r>
          </w:p>
        </w:tc>
        <w:tc>
          <w:tcPr>
            <w:tcW w:w="1701" w:type="dxa"/>
            <w:gridSpan w:val="2"/>
            <w:tcBorders>
              <w:tl2br w:val="nil"/>
              <w:tr2bl w:val="nil"/>
            </w:tcBorders>
            <w:vAlign w:val="center"/>
          </w:tcPr>
          <w:p w14:paraId="070CF7BC">
            <w:pPr>
              <w:spacing w:line="240" w:lineRule="atLeast"/>
              <w:jc w:val="center"/>
              <w:rPr>
                <w:sz w:val="18"/>
                <w:szCs w:val="18"/>
              </w:rPr>
            </w:pPr>
            <w:r>
              <w:rPr>
                <w:rFonts w:hint="eastAsia"/>
                <w:sz w:val="18"/>
                <w:szCs w:val="18"/>
              </w:rPr>
              <w:t>同 期</w:t>
            </w:r>
          </w:p>
        </w:tc>
        <w:tc>
          <w:tcPr>
            <w:tcW w:w="850" w:type="dxa"/>
            <w:vMerge w:val="restart"/>
            <w:tcBorders>
              <w:tl2br w:val="nil"/>
              <w:tr2bl w:val="nil"/>
            </w:tcBorders>
            <w:vAlign w:val="center"/>
          </w:tcPr>
          <w:p w14:paraId="571CBF10">
            <w:pPr>
              <w:spacing w:line="240" w:lineRule="atLeast"/>
              <w:jc w:val="center"/>
              <w:rPr>
                <w:sz w:val="18"/>
                <w:szCs w:val="18"/>
              </w:rPr>
            </w:pPr>
            <w:r>
              <w:rPr>
                <w:rFonts w:hint="eastAsia"/>
                <w:sz w:val="18"/>
                <w:szCs w:val="18"/>
              </w:rPr>
              <w:t>当月</w:t>
            </w:r>
            <w:r>
              <w:rPr>
                <w:sz w:val="18"/>
                <w:szCs w:val="18"/>
              </w:rPr>
              <w:t>增速</w:t>
            </w:r>
            <w:r>
              <w:rPr>
                <w:rFonts w:hint="eastAsia"/>
                <w:sz w:val="18"/>
                <w:szCs w:val="18"/>
              </w:rPr>
              <w:t>（%）</w:t>
            </w:r>
          </w:p>
        </w:tc>
        <w:tc>
          <w:tcPr>
            <w:tcW w:w="850" w:type="dxa"/>
            <w:vMerge w:val="restart"/>
            <w:tcBorders>
              <w:tl2br w:val="nil"/>
              <w:tr2bl w:val="nil"/>
            </w:tcBorders>
            <w:vAlign w:val="center"/>
          </w:tcPr>
          <w:p w14:paraId="3E83C6B2">
            <w:pPr>
              <w:spacing w:line="240" w:lineRule="atLeast"/>
              <w:jc w:val="center"/>
              <w:rPr>
                <w:sz w:val="18"/>
                <w:szCs w:val="18"/>
              </w:rPr>
            </w:pPr>
            <w:r>
              <w:rPr>
                <w:rFonts w:hint="eastAsia"/>
                <w:sz w:val="18"/>
                <w:szCs w:val="18"/>
              </w:rPr>
              <w:t>累计增速（%）</w:t>
            </w:r>
          </w:p>
        </w:tc>
      </w:tr>
      <w:tr w14:paraId="2467E7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844" w:type="dxa"/>
            <w:tcBorders>
              <w:tl2br w:val="nil"/>
              <w:tr2bl w:val="nil"/>
            </w:tcBorders>
            <w:vAlign w:val="center"/>
          </w:tcPr>
          <w:p w14:paraId="234189F2">
            <w:pPr>
              <w:spacing w:line="240" w:lineRule="atLeast"/>
              <w:jc w:val="center"/>
              <w:rPr>
                <w:sz w:val="18"/>
                <w:szCs w:val="18"/>
              </w:rPr>
            </w:pPr>
            <w:r>
              <w:rPr>
                <w:rFonts w:hint="eastAsia"/>
                <w:sz w:val="18"/>
                <w:szCs w:val="18"/>
              </w:rPr>
              <w:t>本月</w:t>
            </w:r>
          </w:p>
        </w:tc>
        <w:tc>
          <w:tcPr>
            <w:tcW w:w="848" w:type="dxa"/>
            <w:tcBorders>
              <w:tl2br w:val="nil"/>
              <w:tr2bl w:val="nil"/>
            </w:tcBorders>
            <w:vAlign w:val="center"/>
          </w:tcPr>
          <w:p w14:paraId="73C35B80">
            <w:pPr>
              <w:spacing w:line="240" w:lineRule="atLeast"/>
              <w:jc w:val="center"/>
              <w:rPr>
                <w:sz w:val="18"/>
                <w:szCs w:val="18"/>
              </w:rPr>
            </w:pPr>
            <w:r>
              <w:rPr>
                <w:rFonts w:hint="eastAsia"/>
                <w:sz w:val="18"/>
                <w:szCs w:val="18"/>
              </w:rPr>
              <w:t>1</w:t>
            </w:r>
            <w:r>
              <w:rPr>
                <w:sz w:val="18"/>
                <w:szCs w:val="18"/>
              </w:rPr>
              <w:t>-本月</w:t>
            </w:r>
          </w:p>
        </w:tc>
        <w:tc>
          <w:tcPr>
            <w:tcW w:w="849" w:type="dxa"/>
            <w:tcBorders>
              <w:tl2br w:val="nil"/>
              <w:tr2bl w:val="nil"/>
            </w:tcBorders>
            <w:vAlign w:val="center"/>
          </w:tcPr>
          <w:p w14:paraId="16C9F11C">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07BB1795">
            <w:pPr>
              <w:spacing w:line="240" w:lineRule="atLeast"/>
              <w:jc w:val="center"/>
              <w:rPr>
                <w:sz w:val="18"/>
                <w:szCs w:val="18"/>
              </w:rPr>
            </w:pPr>
            <w:r>
              <w:rPr>
                <w:rFonts w:hint="eastAsia"/>
                <w:sz w:val="18"/>
                <w:szCs w:val="18"/>
              </w:rPr>
              <w:t>1</w:t>
            </w:r>
            <w:r>
              <w:rPr>
                <w:sz w:val="18"/>
                <w:szCs w:val="18"/>
              </w:rPr>
              <w:t>-本月</w:t>
            </w:r>
          </w:p>
        </w:tc>
        <w:tc>
          <w:tcPr>
            <w:tcW w:w="850" w:type="dxa"/>
            <w:vMerge w:val="continue"/>
            <w:tcBorders>
              <w:tl2br w:val="nil"/>
              <w:tr2bl w:val="nil"/>
            </w:tcBorders>
          </w:tcPr>
          <w:p w14:paraId="06DE371A">
            <w:pPr>
              <w:spacing w:line="240" w:lineRule="atLeast"/>
              <w:jc w:val="center"/>
              <w:rPr>
                <w:sz w:val="18"/>
                <w:szCs w:val="18"/>
              </w:rPr>
            </w:pPr>
          </w:p>
        </w:tc>
        <w:tc>
          <w:tcPr>
            <w:tcW w:w="850" w:type="dxa"/>
            <w:vMerge w:val="continue"/>
            <w:tcBorders>
              <w:tl2br w:val="nil"/>
              <w:tr2bl w:val="nil"/>
            </w:tcBorders>
            <w:vAlign w:val="center"/>
          </w:tcPr>
          <w:p w14:paraId="4F94F666">
            <w:pPr>
              <w:spacing w:line="240" w:lineRule="atLeast"/>
              <w:jc w:val="center"/>
              <w:rPr>
                <w:sz w:val="18"/>
                <w:szCs w:val="18"/>
              </w:rPr>
            </w:pPr>
          </w:p>
        </w:tc>
        <w:tc>
          <w:tcPr>
            <w:tcW w:w="853" w:type="dxa"/>
            <w:tcBorders>
              <w:tl2br w:val="nil"/>
              <w:tr2bl w:val="nil"/>
            </w:tcBorders>
          </w:tcPr>
          <w:p w14:paraId="2C59EFFA">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52BEE577">
            <w:pPr>
              <w:spacing w:line="240" w:lineRule="atLeast"/>
              <w:jc w:val="center"/>
              <w:rPr>
                <w:sz w:val="18"/>
                <w:szCs w:val="18"/>
              </w:rPr>
            </w:pPr>
            <w:r>
              <w:rPr>
                <w:rFonts w:hint="eastAsia"/>
                <w:sz w:val="18"/>
                <w:szCs w:val="18"/>
              </w:rPr>
              <w:t>1</w:t>
            </w:r>
            <w:r>
              <w:rPr>
                <w:sz w:val="18"/>
                <w:szCs w:val="18"/>
              </w:rPr>
              <w:t>-本月</w:t>
            </w:r>
          </w:p>
        </w:tc>
        <w:tc>
          <w:tcPr>
            <w:tcW w:w="850" w:type="dxa"/>
            <w:tcBorders>
              <w:tl2br w:val="nil"/>
              <w:tr2bl w:val="nil"/>
            </w:tcBorders>
            <w:vAlign w:val="center"/>
          </w:tcPr>
          <w:p w14:paraId="208C6173">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4A56C61E">
            <w:pPr>
              <w:spacing w:line="240" w:lineRule="atLeast"/>
              <w:jc w:val="center"/>
              <w:rPr>
                <w:sz w:val="18"/>
                <w:szCs w:val="18"/>
              </w:rPr>
            </w:pPr>
            <w:r>
              <w:rPr>
                <w:rFonts w:hint="eastAsia"/>
                <w:sz w:val="18"/>
                <w:szCs w:val="18"/>
              </w:rPr>
              <w:t>1</w:t>
            </w:r>
            <w:r>
              <w:rPr>
                <w:sz w:val="18"/>
                <w:szCs w:val="18"/>
              </w:rPr>
              <w:t>-本月</w:t>
            </w:r>
          </w:p>
        </w:tc>
        <w:tc>
          <w:tcPr>
            <w:tcW w:w="850" w:type="dxa"/>
            <w:vMerge w:val="continue"/>
            <w:tcBorders>
              <w:tl2br w:val="nil"/>
              <w:tr2bl w:val="nil"/>
            </w:tcBorders>
          </w:tcPr>
          <w:p w14:paraId="0C2581C9">
            <w:pPr>
              <w:spacing w:line="240" w:lineRule="atLeast"/>
              <w:jc w:val="center"/>
              <w:rPr>
                <w:sz w:val="18"/>
                <w:szCs w:val="18"/>
              </w:rPr>
            </w:pPr>
          </w:p>
        </w:tc>
        <w:tc>
          <w:tcPr>
            <w:tcW w:w="850" w:type="dxa"/>
            <w:vMerge w:val="continue"/>
            <w:tcBorders>
              <w:tl2br w:val="nil"/>
              <w:tr2bl w:val="nil"/>
            </w:tcBorders>
          </w:tcPr>
          <w:p w14:paraId="073AB270">
            <w:pPr>
              <w:spacing w:line="240" w:lineRule="atLeast"/>
              <w:jc w:val="center"/>
              <w:rPr>
                <w:sz w:val="18"/>
                <w:szCs w:val="18"/>
              </w:rPr>
            </w:pPr>
          </w:p>
        </w:tc>
      </w:tr>
      <w:tr w14:paraId="5ED21B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844" w:type="dxa"/>
            <w:tcBorders>
              <w:tl2br w:val="nil"/>
              <w:tr2bl w:val="nil"/>
            </w:tcBorders>
            <w:vAlign w:val="center"/>
          </w:tcPr>
          <w:p w14:paraId="384B11D2">
            <w:pPr>
              <w:spacing w:line="240" w:lineRule="atLeast"/>
              <w:jc w:val="center"/>
              <w:rPr>
                <w:sz w:val="18"/>
                <w:szCs w:val="18"/>
              </w:rPr>
            </w:pPr>
            <w:r>
              <w:rPr>
                <w:sz w:val="18"/>
                <w:szCs w:val="18"/>
              </w:rPr>
              <w:t>13</w:t>
            </w:r>
          </w:p>
        </w:tc>
        <w:tc>
          <w:tcPr>
            <w:tcW w:w="848" w:type="dxa"/>
            <w:tcBorders>
              <w:tl2br w:val="nil"/>
              <w:tr2bl w:val="nil"/>
            </w:tcBorders>
            <w:vAlign w:val="center"/>
          </w:tcPr>
          <w:p w14:paraId="53A491AD">
            <w:pPr>
              <w:spacing w:line="240" w:lineRule="atLeast"/>
              <w:jc w:val="center"/>
              <w:rPr>
                <w:sz w:val="18"/>
                <w:szCs w:val="18"/>
              </w:rPr>
            </w:pPr>
            <w:r>
              <w:rPr>
                <w:sz w:val="18"/>
                <w:szCs w:val="18"/>
              </w:rPr>
              <w:t>14</w:t>
            </w:r>
          </w:p>
        </w:tc>
        <w:tc>
          <w:tcPr>
            <w:tcW w:w="849" w:type="dxa"/>
            <w:tcBorders>
              <w:tl2br w:val="nil"/>
              <w:tr2bl w:val="nil"/>
            </w:tcBorders>
            <w:vAlign w:val="center"/>
          </w:tcPr>
          <w:p w14:paraId="263EA6D8">
            <w:pPr>
              <w:spacing w:line="240" w:lineRule="atLeast"/>
              <w:jc w:val="center"/>
              <w:rPr>
                <w:sz w:val="18"/>
                <w:szCs w:val="18"/>
              </w:rPr>
            </w:pPr>
            <w:r>
              <w:rPr>
                <w:sz w:val="18"/>
                <w:szCs w:val="18"/>
              </w:rPr>
              <w:t>15</w:t>
            </w:r>
          </w:p>
        </w:tc>
        <w:tc>
          <w:tcPr>
            <w:tcW w:w="851" w:type="dxa"/>
            <w:tcBorders>
              <w:tl2br w:val="nil"/>
              <w:tr2bl w:val="nil"/>
            </w:tcBorders>
            <w:vAlign w:val="center"/>
          </w:tcPr>
          <w:p w14:paraId="3A463589">
            <w:pPr>
              <w:spacing w:line="240" w:lineRule="atLeast"/>
              <w:jc w:val="center"/>
              <w:rPr>
                <w:sz w:val="18"/>
                <w:szCs w:val="18"/>
              </w:rPr>
            </w:pPr>
            <w:r>
              <w:rPr>
                <w:sz w:val="18"/>
                <w:szCs w:val="18"/>
              </w:rPr>
              <w:t>16</w:t>
            </w:r>
          </w:p>
        </w:tc>
        <w:tc>
          <w:tcPr>
            <w:tcW w:w="850" w:type="dxa"/>
            <w:tcBorders>
              <w:tl2br w:val="nil"/>
              <w:tr2bl w:val="nil"/>
            </w:tcBorders>
            <w:vAlign w:val="center"/>
          </w:tcPr>
          <w:p w14:paraId="6B116B2D">
            <w:pPr>
              <w:spacing w:line="240" w:lineRule="atLeast"/>
              <w:jc w:val="center"/>
              <w:rPr>
                <w:sz w:val="18"/>
                <w:szCs w:val="18"/>
              </w:rPr>
            </w:pPr>
            <w:r>
              <w:rPr>
                <w:sz w:val="18"/>
                <w:szCs w:val="18"/>
              </w:rPr>
              <w:t>17</w:t>
            </w:r>
          </w:p>
        </w:tc>
        <w:tc>
          <w:tcPr>
            <w:tcW w:w="850" w:type="dxa"/>
            <w:tcBorders>
              <w:tl2br w:val="nil"/>
              <w:tr2bl w:val="nil"/>
            </w:tcBorders>
            <w:vAlign w:val="center"/>
          </w:tcPr>
          <w:p w14:paraId="086DEC0E">
            <w:pPr>
              <w:spacing w:line="240" w:lineRule="atLeast"/>
              <w:jc w:val="center"/>
              <w:rPr>
                <w:sz w:val="18"/>
                <w:szCs w:val="18"/>
              </w:rPr>
            </w:pPr>
            <w:r>
              <w:rPr>
                <w:sz w:val="18"/>
                <w:szCs w:val="18"/>
              </w:rPr>
              <w:t>18</w:t>
            </w:r>
          </w:p>
        </w:tc>
        <w:tc>
          <w:tcPr>
            <w:tcW w:w="853" w:type="dxa"/>
            <w:tcBorders>
              <w:tl2br w:val="nil"/>
              <w:tr2bl w:val="nil"/>
            </w:tcBorders>
          </w:tcPr>
          <w:p w14:paraId="203CB89D">
            <w:pPr>
              <w:spacing w:line="240" w:lineRule="atLeast"/>
              <w:jc w:val="center"/>
              <w:rPr>
                <w:sz w:val="18"/>
                <w:szCs w:val="18"/>
              </w:rPr>
            </w:pPr>
            <w:r>
              <w:rPr>
                <w:sz w:val="18"/>
                <w:szCs w:val="18"/>
              </w:rPr>
              <w:t>19</w:t>
            </w:r>
          </w:p>
        </w:tc>
        <w:tc>
          <w:tcPr>
            <w:tcW w:w="851" w:type="dxa"/>
            <w:tcBorders>
              <w:tl2br w:val="nil"/>
              <w:tr2bl w:val="nil"/>
            </w:tcBorders>
          </w:tcPr>
          <w:p w14:paraId="21240F67">
            <w:pPr>
              <w:spacing w:line="240" w:lineRule="atLeast"/>
              <w:jc w:val="center"/>
              <w:rPr>
                <w:sz w:val="18"/>
                <w:szCs w:val="18"/>
              </w:rPr>
            </w:pPr>
            <w:r>
              <w:rPr>
                <w:sz w:val="18"/>
                <w:szCs w:val="18"/>
              </w:rPr>
              <w:t>20</w:t>
            </w:r>
          </w:p>
        </w:tc>
        <w:tc>
          <w:tcPr>
            <w:tcW w:w="850" w:type="dxa"/>
            <w:tcBorders>
              <w:tl2br w:val="nil"/>
              <w:tr2bl w:val="nil"/>
            </w:tcBorders>
          </w:tcPr>
          <w:p w14:paraId="6B6518FB">
            <w:pPr>
              <w:spacing w:line="240" w:lineRule="atLeast"/>
              <w:jc w:val="center"/>
              <w:rPr>
                <w:sz w:val="18"/>
                <w:szCs w:val="18"/>
              </w:rPr>
            </w:pPr>
            <w:r>
              <w:rPr>
                <w:sz w:val="18"/>
                <w:szCs w:val="18"/>
              </w:rPr>
              <w:t>21</w:t>
            </w:r>
          </w:p>
        </w:tc>
        <w:tc>
          <w:tcPr>
            <w:tcW w:w="851" w:type="dxa"/>
            <w:tcBorders>
              <w:tl2br w:val="nil"/>
              <w:tr2bl w:val="nil"/>
            </w:tcBorders>
          </w:tcPr>
          <w:p w14:paraId="24293CE4">
            <w:pPr>
              <w:spacing w:line="240" w:lineRule="atLeast"/>
              <w:jc w:val="center"/>
              <w:rPr>
                <w:sz w:val="18"/>
                <w:szCs w:val="18"/>
              </w:rPr>
            </w:pPr>
            <w:r>
              <w:rPr>
                <w:sz w:val="18"/>
                <w:szCs w:val="18"/>
              </w:rPr>
              <w:t>22</w:t>
            </w:r>
          </w:p>
        </w:tc>
        <w:tc>
          <w:tcPr>
            <w:tcW w:w="850" w:type="dxa"/>
            <w:tcBorders>
              <w:tl2br w:val="nil"/>
              <w:tr2bl w:val="nil"/>
            </w:tcBorders>
          </w:tcPr>
          <w:p w14:paraId="64746098">
            <w:pPr>
              <w:spacing w:line="240" w:lineRule="atLeast"/>
              <w:jc w:val="center"/>
              <w:rPr>
                <w:sz w:val="18"/>
                <w:szCs w:val="18"/>
              </w:rPr>
            </w:pPr>
            <w:r>
              <w:rPr>
                <w:sz w:val="18"/>
                <w:szCs w:val="18"/>
              </w:rPr>
              <w:t>23</w:t>
            </w:r>
          </w:p>
        </w:tc>
        <w:tc>
          <w:tcPr>
            <w:tcW w:w="850" w:type="dxa"/>
            <w:tcBorders>
              <w:tl2br w:val="nil"/>
              <w:tr2bl w:val="nil"/>
            </w:tcBorders>
          </w:tcPr>
          <w:p w14:paraId="0CB6F2F6">
            <w:pPr>
              <w:spacing w:line="240" w:lineRule="atLeast"/>
              <w:jc w:val="center"/>
              <w:rPr>
                <w:sz w:val="18"/>
                <w:szCs w:val="18"/>
              </w:rPr>
            </w:pPr>
            <w:r>
              <w:rPr>
                <w:sz w:val="18"/>
                <w:szCs w:val="18"/>
              </w:rPr>
              <w:t>24</w:t>
            </w:r>
          </w:p>
        </w:tc>
      </w:tr>
      <w:tr w14:paraId="459383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10197" w:type="dxa"/>
            <w:gridSpan w:val="12"/>
            <w:vAlign w:val="center"/>
          </w:tcPr>
          <w:p w14:paraId="49A66323">
            <w:pPr>
              <w:spacing w:line="240" w:lineRule="atLeast"/>
              <w:jc w:val="center"/>
              <w:rPr>
                <w:sz w:val="18"/>
                <w:szCs w:val="18"/>
              </w:rPr>
            </w:pPr>
          </w:p>
        </w:tc>
      </w:tr>
    </w:tbl>
    <w:p w14:paraId="1BCB5EAA">
      <w:pPr>
        <w:pStyle w:val="2"/>
        <w:spacing w:line="280" w:lineRule="exact"/>
        <w:ind w:right="-38"/>
      </w:pPr>
    </w:p>
    <w:p w14:paraId="3D501099">
      <w:pPr>
        <w:pStyle w:val="2"/>
        <w:spacing w:line="280" w:lineRule="exact"/>
        <w:ind w:left="-315" w:leftChars="-150" w:right="0" w:firstLine="0"/>
        <w:rPr>
          <w:sz w:val="18"/>
          <w:szCs w:val="18"/>
        </w:rPr>
      </w:pPr>
      <w:r>
        <w:rPr>
          <w:rFonts w:hint="eastAsia"/>
          <w:sz w:val="18"/>
          <w:szCs w:val="18"/>
        </w:rPr>
        <w:t>续表二</w:t>
      </w:r>
    </w:p>
    <w:tbl>
      <w:tblPr>
        <w:tblStyle w:val="20"/>
        <w:tblW w:w="1019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44"/>
        <w:gridCol w:w="848"/>
        <w:gridCol w:w="849"/>
        <w:gridCol w:w="851"/>
        <w:gridCol w:w="850"/>
        <w:gridCol w:w="850"/>
        <w:gridCol w:w="853"/>
        <w:gridCol w:w="851"/>
        <w:gridCol w:w="850"/>
        <w:gridCol w:w="851"/>
        <w:gridCol w:w="850"/>
        <w:gridCol w:w="850"/>
      </w:tblGrid>
      <w:tr w14:paraId="654265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5092" w:type="dxa"/>
            <w:gridSpan w:val="6"/>
            <w:tcBorders>
              <w:tl2br w:val="nil"/>
              <w:tr2bl w:val="nil"/>
            </w:tcBorders>
            <w:vAlign w:val="center"/>
          </w:tcPr>
          <w:p w14:paraId="7C85FFF4">
            <w:pPr>
              <w:spacing w:line="240" w:lineRule="exact"/>
              <w:ind w:right="-41"/>
              <w:jc w:val="center"/>
              <w:rPr>
                <w:sz w:val="18"/>
                <w:szCs w:val="18"/>
              </w:rPr>
            </w:pPr>
            <w:r>
              <w:rPr>
                <w:rFonts w:hint="eastAsia"/>
                <w:sz w:val="18"/>
                <w:szCs w:val="18"/>
              </w:rPr>
              <w:t>风力</w:t>
            </w:r>
            <w:r>
              <w:rPr>
                <w:sz w:val="18"/>
                <w:szCs w:val="18"/>
              </w:rPr>
              <w:t>发</w:t>
            </w:r>
            <w:r>
              <w:rPr>
                <w:rFonts w:hint="eastAsia"/>
                <w:sz w:val="18"/>
                <w:szCs w:val="18"/>
              </w:rPr>
              <w:t>电量（亿千瓦时）</w:t>
            </w:r>
          </w:p>
        </w:tc>
        <w:tc>
          <w:tcPr>
            <w:tcW w:w="5105" w:type="dxa"/>
            <w:gridSpan w:val="6"/>
            <w:tcBorders>
              <w:tl2br w:val="nil"/>
              <w:tr2bl w:val="nil"/>
            </w:tcBorders>
            <w:vAlign w:val="center"/>
          </w:tcPr>
          <w:p w14:paraId="4A904D40">
            <w:pPr>
              <w:spacing w:line="240" w:lineRule="exact"/>
              <w:ind w:right="-41"/>
              <w:jc w:val="center"/>
              <w:rPr>
                <w:sz w:val="18"/>
                <w:szCs w:val="18"/>
              </w:rPr>
            </w:pPr>
            <w:r>
              <w:rPr>
                <w:rFonts w:hint="eastAsia"/>
                <w:sz w:val="18"/>
                <w:szCs w:val="18"/>
              </w:rPr>
              <w:t>太阳能发电量（亿千瓦时）</w:t>
            </w:r>
          </w:p>
        </w:tc>
      </w:tr>
      <w:tr w14:paraId="397B6F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1692" w:type="dxa"/>
            <w:gridSpan w:val="2"/>
            <w:tcBorders>
              <w:tl2br w:val="nil"/>
              <w:tr2bl w:val="nil"/>
            </w:tcBorders>
            <w:vAlign w:val="center"/>
          </w:tcPr>
          <w:p w14:paraId="2557D9F6">
            <w:pPr>
              <w:spacing w:line="240" w:lineRule="atLeast"/>
              <w:jc w:val="center"/>
              <w:rPr>
                <w:sz w:val="18"/>
                <w:szCs w:val="18"/>
              </w:rPr>
            </w:pPr>
            <w:r>
              <w:rPr>
                <w:rFonts w:hint="eastAsia"/>
                <w:sz w:val="18"/>
                <w:szCs w:val="18"/>
              </w:rPr>
              <w:t>本 期</w:t>
            </w:r>
          </w:p>
        </w:tc>
        <w:tc>
          <w:tcPr>
            <w:tcW w:w="1700" w:type="dxa"/>
            <w:gridSpan w:val="2"/>
            <w:tcBorders>
              <w:tl2br w:val="nil"/>
              <w:tr2bl w:val="nil"/>
            </w:tcBorders>
            <w:vAlign w:val="center"/>
          </w:tcPr>
          <w:p w14:paraId="544DDADB">
            <w:pPr>
              <w:spacing w:line="240" w:lineRule="atLeast"/>
              <w:jc w:val="center"/>
              <w:rPr>
                <w:sz w:val="18"/>
                <w:szCs w:val="18"/>
              </w:rPr>
            </w:pPr>
            <w:r>
              <w:rPr>
                <w:rFonts w:hint="eastAsia"/>
                <w:sz w:val="18"/>
                <w:szCs w:val="18"/>
              </w:rPr>
              <w:t>同 期</w:t>
            </w:r>
          </w:p>
        </w:tc>
        <w:tc>
          <w:tcPr>
            <w:tcW w:w="850" w:type="dxa"/>
            <w:vMerge w:val="restart"/>
            <w:tcBorders>
              <w:tl2br w:val="nil"/>
              <w:tr2bl w:val="nil"/>
            </w:tcBorders>
            <w:vAlign w:val="center"/>
          </w:tcPr>
          <w:p w14:paraId="773B01CD">
            <w:pPr>
              <w:spacing w:line="240" w:lineRule="atLeast"/>
              <w:jc w:val="center"/>
              <w:rPr>
                <w:sz w:val="18"/>
                <w:szCs w:val="18"/>
              </w:rPr>
            </w:pPr>
            <w:r>
              <w:rPr>
                <w:rFonts w:hint="eastAsia"/>
                <w:sz w:val="18"/>
                <w:szCs w:val="18"/>
              </w:rPr>
              <w:t>当月</w:t>
            </w:r>
            <w:r>
              <w:rPr>
                <w:sz w:val="18"/>
                <w:szCs w:val="18"/>
              </w:rPr>
              <w:t>增速</w:t>
            </w:r>
            <w:r>
              <w:rPr>
                <w:rFonts w:hint="eastAsia"/>
                <w:sz w:val="18"/>
                <w:szCs w:val="18"/>
              </w:rPr>
              <w:t>（%）</w:t>
            </w:r>
          </w:p>
        </w:tc>
        <w:tc>
          <w:tcPr>
            <w:tcW w:w="850" w:type="dxa"/>
            <w:vMerge w:val="restart"/>
            <w:tcBorders>
              <w:tl2br w:val="nil"/>
              <w:tr2bl w:val="nil"/>
            </w:tcBorders>
            <w:vAlign w:val="center"/>
          </w:tcPr>
          <w:p w14:paraId="243A516F">
            <w:pPr>
              <w:spacing w:line="240" w:lineRule="atLeast"/>
              <w:jc w:val="center"/>
              <w:rPr>
                <w:sz w:val="18"/>
                <w:szCs w:val="18"/>
              </w:rPr>
            </w:pPr>
            <w:r>
              <w:rPr>
                <w:rFonts w:hint="eastAsia"/>
                <w:sz w:val="18"/>
                <w:szCs w:val="18"/>
              </w:rPr>
              <w:t>累计增速（%）</w:t>
            </w:r>
          </w:p>
        </w:tc>
        <w:tc>
          <w:tcPr>
            <w:tcW w:w="1704" w:type="dxa"/>
            <w:gridSpan w:val="2"/>
            <w:tcBorders>
              <w:tl2br w:val="nil"/>
              <w:tr2bl w:val="nil"/>
            </w:tcBorders>
            <w:vAlign w:val="center"/>
          </w:tcPr>
          <w:p w14:paraId="5D868A40">
            <w:pPr>
              <w:spacing w:line="240" w:lineRule="atLeast"/>
              <w:jc w:val="center"/>
              <w:rPr>
                <w:sz w:val="18"/>
                <w:szCs w:val="18"/>
              </w:rPr>
            </w:pPr>
            <w:r>
              <w:rPr>
                <w:rFonts w:hint="eastAsia"/>
                <w:sz w:val="18"/>
                <w:szCs w:val="18"/>
              </w:rPr>
              <w:t>本 期</w:t>
            </w:r>
          </w:p>
        </w:tc>
        <w:tc>
          <w:tcPr>
            <w:tcW w:w="1701" w:type="dxa"/>
            <w:gridSpan w:val="2"/>
            <w:tcBorders>
              <w:tl2br w:val="nil"/>
              <w:tr2bl w:val="nil"/>
            </w:tcBorders>
            <w:vAlign w:val="center"/>
          </w:tcPr>
          <w:p w14:paraId="5B36CEF6">
            <w:pPr>
              <w:spacing w:line="240" w:lineRule="atLeast"/>
              <w:jc w:val="center"/>
              <w:rPr>
                <w:sz w:val="18"/>
                <w:szCs w:val="18"/>
              </w:rPr>
            </w:pPr>
            <w:r>
              <w:rPr>
                <w:rFonts w:hint="eastAsia"/>
                <w:sz w:val="18"/>
                <w:szCs w:val="18"/>
              </w:rPr>
              <w:t>同 期</w:t>
            </w:r>
          </w:p>
        </w:tc>
        <w:tc>
          <w:tcPr>
            <w:tcW w:w="850" w:type="dxa"/>
            <w:vMerge w:val="restart"/>
            <w:tcBorders>
              <w:tl2br w:val="nil"/>
              <w:tr2bl w:val="nil"/>
            </w:tcBorders>
            <w:vAlign w:val="center"/>
          </w:tcPr>
          <w:p w14:paraId="1F95F4BF">
            <w:pPr>
              <w:spacing w:line="240" w:lineRule="atLeast"/>
              <w:jc w:val="center"/>
              <w:rPr>
                <w:sz w:val="18"/>
                <w:szCs w:val="18"/>
              </w:rPr>
            </w:pPr>
            <w:r>
              <w:rPr>
                <w:rFonts w:hint="eastAsia"/>
                <w:sz w:val="18"/>
                <w:szCs w:val="18"/>
              </w:rPr>
              <w:t>当月</w:t>
            </w:r>
            <w:r>
              <w:rPr>
                <w:sz w:val="18"/>
                <w:szCs w:val="18"/>
              </w:rPr>
              <w:t>增速</w:t>
            </w:r>
            <w:r>
              <w:rPr>
                <w:rFonts w:hint="eastAsia"/>
                <w:sz w:val="18"/>
                <w:szCs w:val="18"/>
              </w:rPr>
              <w:t>（%）</w:t>
            </w:r>
          </w:p>
        </w:tc>
        <w:tc>
          <w:tcPr>
            <w:tcW w:w="850" w:type="dxa"/>
            <w:vMerge w:val="restart"/>
            <w:tcBorders>
              <w:tl2br w:val="nil"/>
              <w:tr2bl w:val="nil"/>
            </w:tcBorders>
            <w:vAlign w:val="center"/>
          </w:tcPr>
          <w:p w14:paraId="6E8775BC">
            <w:pPr>
              <w:spacing w:line="240" w:lineRule="atLeast"/>
              <w:jc w:val="center"/>
              <w:rPr>
                <w:sz w:val="18"/>
                <w:szCs w:val="18"/>
              </w:rPr>
            </w:pPr>
            <w:r>
              <w:rPr>
                <w:rFonts w:hint="eastAsia"/>
                <w:sz w:val="18"/>
                <w:szCs w:val="18"/>
              </w:rPr>
              <w:t>累计增速（%）</w:t>
            </w:r>
          </w:p>
        </w:tc>
      </w:tr>
      <w:tr w14:paraId="5A9562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844" w:type="dxa"/>
            <w:tcBorders>
              <w:tl2br w:val="nil"/>
              <w:tr2bl w:val="nil"/>
            </w:tcBorders>
            <w:vAlign w:val="center"/>
          </w:tcPr>
          <w:p w14:paraId="1DFBEB66">
            <w:pPr>
              <w:spacing w:line="240" w:lineRule="atLeast"/>
              <w:jc w:val="center"/>
              <w:rPr>
                <w:sz w:val="18"/>
                <w:szCs w:val="18"/>
              </w:rPr>
            </w:pPr>
            <w:r>
              <w:rPr>
                <w:rFonts w:hint="eastAsia"/>
                <w:sz w:val="18"/>
                <w:szCs w:val="18"/>
              </w:rPr>
              <w:t>本月</w:t>
            </w:r>
          </w:p>
        </w:tc>
        <w:tc>
          <w:tcPr>
            <w:tcW w:w="848" w:type="dxa"/>
            <w:tcBorders>
              <w:tl2br w:val="nil"/>
              <w:tr2bl w:val="nil"/>
            </w:tcBorders>
            <w:vAlign w:val="center"/>
          </w:tcPr>
          <w:p w14:paraId="758B210A">
            <w:pPr>
              <w:spacing w:line="240" w:lineRule="atLeast"/>
              <w:jc w:val="center"/>
              <w:rPr>
                <w:sz w:val="18"/>
                <w:szCs w:val="18"/>
              </w:rPr>
            </w:pPr>
            <w:r>
              <w:rPr>
                <w:rFonts w:hint="eastAsia"/>
                <w:sz w:val="18"/>
                <w:szCs w:val="18"/>
              </w:rPr>
              <w:t>1</w:t>
            </w:r>
            <w:r>
              <w:rPr>
                <w:sz w:val="18"/>
                <w:szCs w:val="18"/>
              </w:rPr>
              <w:t>-本月</w:t>
            </w:r>
          </w:p>
        </w:tc>
        <w:tc>
          <w:tcPr>
            <w:tcW w:w="849" w:type="dxa"/>
            <w:tcBorders>
              <w:tl2br w:val="nil"/>
              <w:tr2bl w:val="nil"/>
            </w:tcBorders>
            <w:vAlign w:val="center"/>
          </w:tcPr>
          <w:p w14:paraId="3FC1AF35">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21DC37A0">
            <w:pPr>
              <w:spacing w:line="240" w:lineRule="atLeast"/>
              <w:jc w:val="center"/>
              <w:rPr>
                <w:sz w:val="18"/>
                <w:szCs w:val="18"/>
              </w:rPr>
            </w:pPr>
            <w:r>
              <w:rPr>
                <w:rFonts w:hint="eastAsia"/>
                <w:sz w:val="18"/>
                <w:szCs w:val="18"/>
              </w:rPr>
              <w:t>1</w:t>
            </w:r>
            <w:r>
              <w:rPr>
                <w:sz w:val="18"/>
                <w:szCs w:val="18"/>
              </w:rPr>
              <w:t>-本月</w:t>
            </w:r>
          </w:p>
        </w:tc>
        <w:tc>
          <w:tcPr>
            <w:tcW w:w="850" w:type="dxa"/>
            <w:vMerge w:val="continue"/>
            <w:tcBorders>
              <w:tl2br w:val="nil"/>
              <w:tr2bl w:val="nil"/>
            </w:tcBorders>
          </w:tcPr>
          <w:p w14:paraId="08517747">
            <w:pPr>
              <w:spacing w:line="240" w:lineRule="atLeast"/>
              <w:jc w:val="center"/>
              <w:rPr>
                <w:sz w:val="18"/>
                <w:szCs w:val="18"/>
              </w:rPr>
            </w:pPr>
          </w:p>
        </w:tc>
        <w:tc>
          <w:tcPr>
            <w:tcW w:w="850" w:type="dxa"/>
            <w:vMerge w:val="continue"/>
            <w:tcBorders>
              <w:tl2br w:val="nil"/>
              <w:tr2bl w:val="nil"/>
            </w:tcBorders>
            <w:vAlign w:val="center"/>
          </w:tcPr>
          <w:p w14:paraId="6C7C5A13">
            <w:pPr>
              <w:spacing w:line="240" w:lineRule="atLeast"/>
              <w:jc w:val="center"/>
              <w:rPr>
                <w:sz w:val="18"/>
                <w:szCs w:val="18"/>
              </w:rPr>
            </w:pPr>
          </w:p>
        </w:tc>
        <w:tc>
          <w:tcPr>
            <w:tcW w:w="853" w:type="dxa"/>
            <w:tcBorders>
              <w:tl2br w:val="nil"/>
              <w:tr2bl w:val="nil"/>
            </w:tcBorders>
          </w:tcPr>
          <w:p w14:paraId="32FA5EBB">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4A931F1B">
            <w:pPr>
              <w:spacing w:line="240" w:lineRule="atLeast"/>
              <w:jc w:val="center"/>
              <w:rPr>
                <w:sz w:val="18"/>
                <w:szCs w:val="18"/>
              </w:rPr>
            </w:pPr>
            <w:r>
              <w:rPr>
                <w:rFonts w:hint="eastAsia"/>
                <w:sz w:val="18"/>
                <w:szCs w:val="18"/>
              </w:rPr>
              <w:t>1</w:t>
            </w:r>
            <w:r>
              <w:rPr>
                <w:sz w:val="18"/>
                <w:szCs w:val="18"/>
              </w:rPr>
              <w:t>-本月</w:t>
            </w:r>
          </w:p>
        </w:tc>
        <w:tc>
          <w:tcPr>
            <w:tcW w:w="850" w:type="dxa"/>
            <w:tcBorders>
              <w:tl2br w:val="nil"/>
              <w:tr2bl w:val="nil"/>
            </w:tcBorders>
            <w:vAlign w:val="center"/>
          </w:tcPr>
          <w:p w14:paraId="67667D3B">
            <w:pPr>
              <w:spacing w:line="240" w:lineRule="atLeast"/>
              <w:jc w:val="center"/>
              <w:rPr>
                <w:sz w:val="18"/>
                <w:szCs w:val="18"/>
              </w:rPr>
            </w:pPr>
            <w:r>
              <w:rPr>
                <w:rFonts w:hint="eastAsia"/>
                <w:sz w:val="18"/>
                <w:szCs w:val="18"/>
              </w:rPr>
              <w:t>本月</w:t>
            </w:r>
          </w:p>
        </w:tc>
        <w:tc>
          <w:tcPr>
            <w:tcW w:w="851" w:type="dxa"/>
            <w:tcBorders>
              <w:tl2br w:val="nil"/>
              <w:tr2bl w:val="nil"/>
            </w:tcBorders>
            <w:vAlign w:val="center"/>
          </w:tcPr>
          <w:p w14:paraId="27BB91EE">
            <w:pPr>
              <w:spacing w:line="240" w:lineRule="atLeast"/>
              <w:jc w:val="center"/>
              <w:rPr>
                <w:sz w:val="18"/>
                <w:szCs w:val="18"/>
              </w:rPr>
            </w:pPr>
            <w:r>
              <w:rPr>
                <w:rFonts w:hint="eastAsia"/>
                <w:sz w:val="18"/>
                <w:szCs w:val="18"/>
              </w:rPr>
              <w:t>1</w:t>
            </w:r>
            <w:r>
              <w:rPr>
                <w:sz w:val="18"/>
                <w:szCs w:val="18"/>
              </w:rPr>
              <w:t>-本月</w:t>
            </w:r>
          </w:p>
        </w:tc>
        <w:tc>
          <w:tcPr>
            <w:tcW w:w="850" w:type="dxa"/>
            <w:vMerge w:val="continue"/>
            <w:tcBorders>
              <w:tl2br w:val="nil"/>
              <w:tr2bl w:val="nil"/>
            </w:tcBorders>
          </w:tcPr>
          <w:p w14:paraId="47A01062">
            <w:pPr>
              <w:spacing w:line="240" w:lineRule="atLeast"/>
              <w:jc w:val="center"/>
              <w:rPr>
                <w:sz w:val="18"/>
                <w:szCs w:val="18"/>
              </w:rPr>
            </w:pPr>
          </w:p>
        </w:tc>
        <w:tc>
          <w:tcPr>
            <w:tcW w:w="850" w:type="dxa"/>
            <w:vMerge w:val="continue"/>
            <w:tcBorders>
              <w:tl2br w:val="nil"/>
              <w:tr2bl w:val="nil"/>
            </w:tcBorders>
          </w:tcPr>
          <w:p w14:paraId="550DA70B">
            <w:pPr>
              <w:spacing w:line="240" w:lineRule="atLeast"/>
              <w:jc w:val="center"/>
              <w:rPr>
                <w:sz w:val="18"/>
                <w:szCs w:val="18"/>
              </w:rPr>
            </w:pPr>
          </w:p>
        </w:tc>
      </w:tr>
      <w:tr w14:paraId="3350F2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844" w:type="dxa"/>
            <w:tcBorders>
              <w:tl2br w:val="nil"/>
              <w:tr2bl w:val="nil"/>
            </w:tcBorders>
            <w:vAlign w:val="center"/>
          </w:tcPr>
          <w:p w14:paraId="52CC31BF">
            <w:pPr>
              <w:spacing w:line="240" w:lineRule="atLeast"/>
              <w:jc w:val="center"/>
              <w:rPr>
                <w:sz w:val="18"/>
                <w:szCs w:val="18"/>
              </w:rPr>
            </w:pPr>
            <w:r>
              <w:rPr>
                <w:sz w:val="18"/>
                <w:szCs w:val="18"/>
              </w:rPr>
              <w:t>25</w:t>
            </w:r>
          </w:p>
        </w:tc>
        <w:tc>
          <w:tcPr>
            <w:tcW w:w="848" w:type="dxa"/>
            <w:tcBorders>
              <w:tl2br w:val="nil"/>
              <w:tr2bl w:val="nil"/>
            </w:tcBorders>
            <w:vAlign w:val="center"/>
          </w:tcPr>
          <w:p w14:paraId="4E19F308">
            <w:pPr>
              <w:spacing w:line="240" w:lineRule="atLeast"/>
              <w:jc w:val="center"/>
              <w:rPr>
                <w:sz w:val="18"/>
                <w:szCs w:val="18"/>
              </w:rPr>
            </w:pPr>
            <w:r>
              <w:rPr>
                <w:sz w:val="18"/>
                <w:szCs w:val="18"/>
              </w:rPr>
              <w:t>26</w:t>
            </w:r>
          </w:p>
        </w:tc>
        <w:tc>
          <w:tcPr>
            <w:tcW w:w="849" w:type="dxa"/>
            <w:tcBorders>
              <w:tl2br w:val="nil"/>
              <w:tr2bl w:val="nil"/>
            </w:tcBorders>
            <w:vAlign w:val="center"/>
          </w:tcPr>
          <w:p w14:paraId="27AA0756">
            <w:pPr>
              <w:spacing w:line="240" w:lineRule="atLeast"/>
              <w:jc w:val="center"/>
              <w:rPr>
                <w:sz w:val="18"/>
                <w:szCs w:val="18"/>
              </w:rPr>
            </w:pPr>
            <w:r>
              <w:rPr>
                <w:sz w:val="18"/>
                <w:szCs w:val="18"/>
              </w:rPr>
              <w:t>27</w:t>
            </w:r>
          </w:p>
        </w:tc>
        <w:tc>
          <w:tcPr>
            <w:tcW w:w="851" w:type="dxa"/>
            <w:tcBorders>
              <w:tl2br w:val="nil"/>
              <w:tr2bl w:val="nil"/>
            </w:tcBorders>
            <w:vAlign w:val="center"/>
          </w:tcPr>
          <w:p w14:paraId="1A98E567">
            <w:pPr>
              <w:spacing w:line="240" w:lineRule="atLeast"/>
              <w:jc w:val="center"/>
              <w:rPr>
                <w:sz w:val="18"/>
                <w:szCs w:val="18"/>
              </w:rPr>
            </w:pPr>
            <w:r>
              <w:rPr>
                <w:sz w:val="18"/>
                <w:szCs w:val="18"/>
              </w:rPr>
              <w:t>28</w:t>
            </w:r>
          </w:p>
        </w:tc>
        <w:tc>
          <w:tcPr>
            <w:tcW w:w="850" w:type="dxa"/>
            <w:tcBorders>
              <w:tl2br w:val="nil"/>
              <w:tr2bl w:val="nil"/>
            </w:tcBorders>
            <w:vAlign w:val="center"/>
          </w:tcPr>
          <w:p w14:paraId="63FB1BFE">
            <w:pPr>
              <w:spacing w:line="240" w:lineRule="atLeast"/>
              <w:jc w:val="center"/>
              <w:rPr>
                <w:sz w:val="18"/>
                <w:szCs w:val="18"/>
              </w:rPr>
            </w:pPr>
            <w:r>
              <w:rPr>
                <w:sz w:val="18"/>
                <w:szCs w:val="18"/>
              </w:rPr>
              <w:t>29</w:t>
            </w:r>
          </w:p>
        </w:tc>
        <w:tc>
          <w:tcPr>
            <w:tcW w:w="850" w:type="dxa"/>
            <w:tcBorders>
              <w:tl2br w:val="nil"/>
              <w:tr2bl w:val="nil"/>
            </w:tcBorders>
            <w:vAlign w:val="center"/>
          </w:tcPr>
          <w:p w14:paraId="3804AB2E">
            <w:pPr>
              <w:spacing w:line="240" w:lineRule="atLeast"/>
              <w:jc w:val="center"/>
              <w:rPr>
                <w:sz w:val="18"/>
                <w:szCs w:val="18"/>
              </w:rPr>
            </w:pPr>
            <w:r>
              <w:rPr>
                <w:sz w:val="18"/>
                <w:szCs w:val="18"/>
              </w:rPr>
              <w:t>30</w:t>
            </w:r>
          </w:p>
        </w:tc>
        <w:tc>
          <w:tcPr>
            <w:tcW w:w="853" w:type="dxa"/>
            <w:tcBorders>
              <w:tl2br w:val="nil"/>
              <w:tr2bl w:val="nil"/>
            </w:tcBorders>
          </w:tcPr>
          <w:p w14:paraId="02135C80">
            <w:pPr>
              <w:spacing w:line="240" w:lineRule="atLeast"/>
              <w:jc w:val="center"/>
              <w:rPr>
                <w:sz w:val="18"/>
                <w:szCs w:val="18"/>
              </w:rPr>
            </w:pPr>
            <w:r>
              <w:rPr>
                <w:sz w:val="18"/>
                <w:szCs w:val="18"/>
              </w:rPr>
              <w:t>31</w:t>
            </w:r>
          </w:p>
        </w:tc>
        <w:tc>
          <w:tcPr>
            <w:tcW w:w="851" w:type="dxa"/>
            <w:tcBorders>
              <w:tl2br w:val="nil"/>
              <w:tr2bl w:val="nil"/>
            </w:tcBorders>
          </w:tcPr>
          <w:p w14:paraId="1C1F283C">
            <w:pPr>
              <w:spacing w:line="240" w:lineRule="atLeast"/>
              <w:jc w:val="center"/>
              <w:rPr>
                <w:sz w:val="18"/>
                <w:szCs w:val="18"/>
              </w:rPr>
            </w:pPr>
            <w:r>
              <w:rPr>
                <w:sz w:val="18"/>
                <w:szCs w:val="18"/>
              </w:rPr>
              <w:t>32</w:t>
            </w:r>
          </w:p>
        </w:tc>
        <w:tc>
          <w:tcPr>
            <w:tcW w:w="850" w:type="dxa"/>
            <w:tcBorders>
              <w:tl2br w:val="nil"/>
              <w:tr2bl w:val="nil"/>
            </w:tcBorders>
          </w:tcPr>
          <w:p w14:paraId="594D7EA4">
            <w:pPr>
              <w:spacing w:line="240" w:lineRule="atLeast"/>
              <w:jc w:val="center"/>
              <w:rPr>
                <w:sz w:val="18"/>
                <w:szCs w:val="18"/>
              </w:rPr>
            </w:pPr>
            <w:r>
              <w:rPr>
                <w:sz w:val="18"/>
                <w:szCs w:val="18"/>
              </w:rPr>
              <w:t>33</w:t>
            </w:r>
          </w:p>
        </w:tc>
        <w:tc>
          <w:tcPr>
            <w:tcW w:w="851" w:type="dxa"/>
            <w:tcBorders>
              <w:tl2br w:val="nil"/>
              <w:tr2bl w:val="nil"/>
            </w:tcBorders>
          </w:tcPr>
          <w:p w14:paraId="4A2EEF8E">
            <w:pPr>
              <w:spacing w:line="240" w:lineRule="atLeast"/>
              <w:jc w:val="center"/>
              <w:rPr>
                <w:sz w:val="18"/>
                <w:szCs w:val="18"/>
              </w:rPr>
            </w:pPr>
            <w:r>
              <w:rPr>
                <w:sz w:val="18"/>
                <w:szCs w:val="18"/>
              </w:rPr>
              <w:t>34</w:t>
            </w:r>
          </w:p>
        </w:tc>
        <w:tc>
          <w:tcPr>
            <w:tcW w:w="850" w:type="dxa"/>
            <w:tcBorders>
              <w:tl2br w:val="nil"/>
              <w:tr2bl w:val="nil"/>
            </w:tcBorders>
          </w:tcPr>
          <w:p w14:paraId="5C227AA8">
            <w:pPr>
              <w:spacing w:line="240" w:lineRule="atLeast"/>
              <w:jc w:val="center"/>
              <w:rPr>
                <w:sz w:val="18"/>
                <w:szCs w:val="18"/>
              </w:rPr>
            </w:pPr>
            <w:r>
              <w:rPr>
                <w:rFonts w:hint="eastAsia"/>
                <w:sz w:val="18"/>
                <w:szCs w:val="18"/>
              </w:rPr>
              <w:t>35</w:t>
            </w:r>
          </w:p>
        </w:tc>
        <w:tc>
          <w:tcPr>
            <w:tcW w:w="850" w:type="dxa"/>
            <w:tcBorders>
              <w:tl2br w:val="nil"/>
              <w:tr2bl w:val="nil"/>
            </w:tcBorders>
          </w:tcPr>
          <w:p w14:paraId="7B62D9B8">
            <w:pPr>
              <w:spacing w:line="240" w:lineRule="atLeast"/>
              <w:jc w:val="center"/>
              <w:rPr>
                <w:sz w:val="18"/>
                <w:szCs w:val="18"/>
              </w:rPr>
            </w:pPr>
            <w:r>
              <w:rPr>
                <w:sz w:val="18"/>
                <w:szCs w:val="18"/>
              </w:rPr>
              <w:t>36</w:t>
            </w:r>
          </w:p>
        </w:tc>
      </w:tr>
      <w:tr w14:paraId="3E6F47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7" w:hRule="atLeast"/>
          <w:jc w:val="center"/>
        </w:trPr>
        <w:tc>
          <w:tcPr>
            <w:tcW w:w="10197" w:type="dxa"/>
            <w:gridSpan w:val="12"/>
            <w:tcBorders>
              <w:tl2br w:val="nil"/>
              <w:tr2bl w:val="nil"/>
            </w:tcBorders>
            <w:vAlign w:val="center"/>
          </w:tcPr>
          <w:p w14:paraId="16AB30A5">
            <w:pPr>
              <w:spacing w:line="240" w:lineRule="atLeast"/>
              <w:jc w:val="center"/>
              <w:rPr>
                <w:sz w:val="18"/>
                <w:szCs w:val="18"/>
              </w:rPr>
            </w:pPr>
          </w:p>
        </w:tc>
      </w:tr>
    </w:tbl>
    <w:p w14:paraId="26DDA969">
      <w:pPr>
        <w:pStyle w:val="2"/>
        <w:spacing w:line="280" w:lineRule="exact"/>
        <w:ind w:left="-315" w:leftChars="-150" w:right="0" w:firstLine="0"/>
        <w:rPr>
          <w:ins w:id="424" w:author="kylin" w:date="2025-10-17T16:52:47Z"/>
          <w:rFonts w:hint="eastAsia"/>
          <w:sz w:val="18"/>
          <w:szCs w:val="18"/>
        </w:rPr>
      </w:pPr>
    </w:p>
    <w:p w14:paraId="6E4BFFBC">
      <w:pPr>
        <w:pStyle w:val="2"/>
        <w:spacing w:line="280" w:lineRule="exact"/>
        <w:ind w:left="-315" w:leftChars="-150" w:right="0" w:firstLine="0"/>
        <w:rPr>
          <w:ins w:id="425" w:author="kylin" w:date="2025-10-17T16:52:13Z"/>
          <w:rFonts w:hint="eastAsia" w:eastAsia="宋体"/>
          <w:sz w:val="18"/>
          <w:szCs w:val="18"/>
          <w:lang w:eastAsia="zh-CN"/>
        </w:rPr>
      </w:pPr>
      <w:ins w:id="426" w:author="kylin" w:date="2025-10-17T16:52:13Z">
        <w:r>
          <w:rPr>
            <w:rFonts w:hint="eastAsia"/>
            <w:sz w:val="18"/>
            <w:szCs w:val="18"/>
          </w:rPr>
          <w:t>续表</w:t>
        </w:r>
      </w:ins>
      <w:ins w:id="427" w:author="kylin" w:date="2025-10-17T16:52:18Z">
        <w:r>
          <w:rPr>
            <w:rFonts w:hint="eastAsia"/>
            <w:sz w:val="18"/>
            <w:szCs w:val="18"/>
            <w:lang w:eastAsia="zh-CN"/>
          </w:rPr>
          <w:t>三</w:t>
        </w:r>
      </w:ins>
    </w:p>
    <w:tbl>
      <w:tblPr>
        <w:tblStyle w:val="20"/>
        <w:tblW w:w="5408" w:type="pct"/>
        <w:tblInd w:w="-41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Change w:id="428" w:author="kylin" w:date="2026-01-05T09:20:27Z">
          <w:tblPr>
            <w:tblStyle w:val="20"/>
            <w:tblW w:w="5092"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PrChange>
      </w:tblPr>
      <w:tblGrid>
        <w:gridCol w:w="1757"/>
        <w:gridCol w:w="1690"/>
        <w:gridCol w:w="1688"/>
        <w:gridCol w:w="1714"/>
        <w:gridCol w:w="1667"/>
        <w:gridCol w:w="1725"/>
        <w:tblGridChange w:id="429">
          <w:tblGrid>
            <w:gridCol w:w="844"/>
            <w:gridCol w:w="848"/>
            <w:gridCol w:w="849"/>
            <w:gridCol w:w="851"/>
            <w:gridCol w:w="850"/>
            <w:gridCol w:w="850"/>
          </w:tblGrid>
        </w:tblGridChange>
      </w:tblGrid>
      <w:tr w14:paraId="1DA687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Change w:id="431" w:author="kylin" w:date="2026-01-05T09:20:27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blPrExChange>
        </w:tblPrEx>
        <w:trPr>
          <w:trHeight w:val="227" w:hRule="atLeast"/>
          <w:ins w:id="430" w:author="kylin" w:date="2025-10-17T16:52:13Z"/>
          <w:trPrChange w:id="431" w:author="kylin" w:date="2026-01-05T09:20:27Z">
            <w:trPr>
              <w:jc w:val="center"/>
            </w:trPr>
          </w:trPrChange>
        </w:trPr>
        <w:tc>
          <w:tcPr>
            <w:tcW w:w="5000" w:type="pct"/>
            <w:gridSpan w:val="6"/>
            <w:tcBorders>
              <w:tl2br w:val="nil"/>
              <w:tr2bl w:val="nil"/>
            </w:tcBorders>
            <w:vAlign w:val="center"/>
            <w:tcPrChange w:id="432" w:author="kylin" w:date="2026-01-05T09:20:27Z">
              <w:tcPr>
                <w:tcW w:w="5092" w:type="dxa"/>
                <w:gridSpan w:val="6"/>
                <w:tcBorders>
                  <w:tl2br w:val="nil"/>
                  <w:tr2bl w:val="nil"/>
                </w:tcBorders>
                <w:vAlign w:val="center"/>
              </w:tcPr>
            </w:tcPrChange>
          </w:tcPr>
          <w:p w14:paraId="1DD52588">
            <w:pPr>
              <w:spacing w:line="240" w:lineRule="exact"/>
              <w:ind w:right="-41"/>
              <w:jc w:val="center"/>
              <w:rPr>
                <w:ins w:id="433" w:author="kylin" w:date="2025-10-17T16:52:13Z"/>
                <w:sz w:val="18"/>
                <w:szCs w:val="18"/>
              </w:rPr>
            </w:pPr>
            <w:ins w:id="434" w:author="kylin" w:date="2025-10-17T16:52:35Z">
              <w:r>
                <w:rPr>
                  <w:rFonts w:hint="eastAsia"/>
                  <w:sz w:val="18"/>
                  <w:szCs w:val="18"/>
                  <w:lang w:eastAsia="zh-CN"/>
                </w:rPr>
                <w:t>生物质</w:t>
              </w:r>
            </w:ins>
            <w:ins w:id="435" w:author="kylin" w:date="2025-10-27T16:28:16Z">
              <w:r>
                <w:rPr>
                  <w:rFonts w:hint="eastAsia"/>
                  <w:sz w:val="18"/>
                  <w:szCs w:val="18"/>
                  <w:lang w:eastAsia="zh-CN"/>
                </w:rPr>
                <w:t>能</w:t>
              </w:r>
            </w:ins>
            <w:ins w:id="436" w:author="kylin" w:date="2025-10-17T16:52:13Z">
              <w:r>
                <w:rPr>
                  <w:sz w:val="18"/>
                  <w:szCs w:val="18"/>
                </w:rPr>
                <w:t>发</w:t>
              </w:r>
            </w:ins>
            <w:ins w:id="437" w:author="kylin" w:date="2025-10-17T16:52:13Z">
              <w:r>
                <w:rPr>
                  <w:rFonts w:hint="eastAsia"/>
                  <w:sz w:val="18"/>
                  <w:szCs w:val="18"/>
                </w:rPr>
                <w:t>电量（亿千瓦时）</w:t>
              </w:r>
            </w:ins>
          </w:p>
        </w:tc>
      </w:tr>
      <w:tr w14:paraId="2C0E5E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Change w:id="439" w:author="kylin" w:date="2026-01-05T09:21:08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blPrExChange>
        </w:tblPrEx>
        <w:trPr>
          <w:trHeight w:val="227" w:hRule="atLeast"/>
          <w:ins w:id="438" w:author="kylin" w:date="2025-10-17T16:52:13Z"/>
          <w:trPrChange w:id="439" w:author="kylin" w:date="2026-01-05T09:21:08Z">
            <w:trPr>
              <w:jc w:val="center"/>
            </w:trPr>
          </w:trPrChange>
        </w:trPr>
        <w:tc>
          <w:tcPr>
            <w:tcW w:w="1683" w:type="pct"/>
            <w:gridSpan w:val="2"/>
            <w:tcBorders>
              <w:tl2br w:val="nil"/>
              <w:tr2bl w:val="nil"/>
            </w:tcBorders>
            <w:vAlign w:val="center"/>
            <w:tcPrChange w:id="440" w:author="kylin" w:date="2026-01-05T09:21:08Z">
              <w:tcPr>
                <w:tcW w:w="1692" w:type="dxa"/>
                <w:gridSpan w:val="2"/>
                <w:tcBorders>
                  <w:tl2br w:val="nil"/>
                  <w:tr2bl w:val="nil"/>
                </w:tcBorders>
                <w:vAlign w:val="center"/>
              </w:tcPr>
            </w:tcPrChange>
          </w:tcPr>
          <w:p w14:paraId="3C2C23FF">
            <w:pPr>
              <w:spacing w:line="240" w:lineRule="atLeast"/>
              <w:jc w:val="center"/>
              <w:rPr>
                <w:ins w:id="441" w:author="kylin" w:date="2025-10-17T16:52:13Z"/>
                <w:sz w:val="18"/>
                <w:szCs w:val="18"/>
              </w:rPr>
            </w:pPr>
            <w:ins w:id="442" w:author="kylin" w:date="2025-10-17T16:52:13Z">
              <w:r>
                <w:rPr>
                  <w:rFonts w:hint="eastAsia"/>
                  <w:sz w:val="18"/>
                  <w:szCs w:val="18"/>
                </w:rPr>
                <w:t>本 期</w:t>
              </w:r>
            </w:ins>
          </w:p>
        </w:tc>
        <w:tc>
          <w:tcPr>
            <w:tcW w:w="1661" w:type="pct"/>
            <w:gridSpan w:val="2"/>
            <w:tcBorders>
              <w:tl2br w:val="nil"/>
              <w:tr2bl w:val="nil"/>
            </w:tcBorders>
            <w:vAlign w:val="center"/>
            <w:tcPrChange w:id="443" w:author="kylin" w:date="2026-01-05T09:21:08Z">
              <w:tcPr>
                <w:tcW w:w="1700" w:type="dxa"/>
                <w:gridSpan w:val="2"/>
                <w:tcBorders>
                  <w:tl2br w:val="nil"/>
                  <w:tr2bl w:val="nil"/>
                </w:tcBorders>
                <w:vAlign w:val="center"/>
              </w:tcPr>
            </w:tcPrChange>
          </w:tcPr>
          <w:p w14:paraId="56198DCF">
            <w:pPr>
              <w:spacing w:line="240" w:lineRule="atLeast"/>
              <w:jc w:val="center"/>
              <w:rPr>
                <w:ins w:id="444" w:author="kylin" w:date="2025-10-17T16:52:13Z"/>
                <w:sz w:val="18"/>
                <w:szCs w:val="18"/>
              </w:rPr>
            </w:pPr>
            <w:ins w:id="445" w:author="kylin" w:date="2025-10-17T16:52:13Z">
              <w:r>
                <w:rPr>
                  <w:rFonts w:hint="eastAsia"/>
                  <w:sz w:val="18"/>
                  <w:szCs w:val="18"/>
                </w:rPr>
                <w:t>同 期</w:t>
              </w:r>
            </w:ins>
          </w:p>
        </w:tc>
        <w:tc>
          <w:tcPr>
            <w:tcW w:w="814" w:type="pct"/>
            <w:vMerge w:val="restart"/>
            <w:tcBorders>
              <w:tl2br w:val="nil"/>
              <w:tr2bl w:val="nil"/>
            </w:tcBorders>
            <w:vAlign w:val="center"/>
            <w:tcPrChange w:id="446" w:author="kylin" w:date="2026-01-05T09:21:08Z">
              <w:tcPr>
                <w:tcW w:w="850" w:type="dxa"/>
                <w:vMerge w:val="restart"/>
                <w:tcBorders>
                  <w:tl2br w:val="nil"/>
                  <w:tr2bl w:val="nil"/>
                </w:tcBorders>
                <w:vAlign w:val="center"/>
              </w:tcPr>
            </w:tcPrChange>
          </w:tcPr>
          <w:p w14:paraId="1A7F1DF8">
            <w:pPr>
              <w:spacing w:line="240" w:lineRule="atLeast"/>
              <w:jc w:val="center"/>
              <w:rPr>
                <w:ins w:id="447" w:author="kylin" w:date="2025-10-17T16:52:13Z"/>
                <w:sz w:val="18"/>
                <w:szCs w:val="18"/>
              </w:rPr>
            </w:pPr>
            <w:ins w:id="448" w:author="kylin" w:date="2025-10-17T16:52:13Z">
              <w:r>
                <w:rPr>
                  <w:rFonts w:hint="eastAsia"/>
                  <w:sz w:val="18"/>
                  <w:szCs w:val="18"/>
                </w:rPr>
                <w:t>当月</w:t>
              </w:r>
            </w:ins>
            <w:ins w:id="449" w:author="kylin" w:date="2025-10-17T16:52:13Z">
              <w:r>
                <w:rPr>
                  <w:sz w:val="18"/>
                  <w:szCs w:val="18"/>
                </w:rPr>
                <w:t>增速</w:t>
              </w:r>
            </w:ins>
            <w:ins w:id="450" w:author="kylin" w:date="2025-10-17T16:52:13Z">
              <w:r>
                <w:rPr>
                  <w:rFonts w:hint="eastAsia"/>
                  <w:sz w:val="18"/>
                  <w:szCs w:val="18"/>
                </w:rPr>
                <w:t>（%）</w:t>
              </w:r>
            </w:ins>
          </w:p>
        </w:tc>
        <w:tc>
          <w:tcPr>
            <w:tcW w:w="839" w:type="pct"/>
            <w:vMerge w:val="restart"/>
            <w:tcBorders>
              <w:tl2br w:val="nil"/>
              <w:tr2bl w:val="nil"/>
            </w:tcBorders>
            <w:vAlign w:val="center"/>
            <w:tcPrChange w:id="451" w:author="kylin" w:date="2026-01-05T09:21:08Z">
              <w:tcPr>
                <w:tcW w:w="850" w:type="dxa"/>
                <w:vMerge w:val="restart"/>
                <w:tcBorders>
                  <w:tl2br w:val="nil"/>
                  <w:tr2bl w:val="nil"/>
                </w:tcBorders>
                <w:vAlign w:val="center"/>
              </w:tcPr>
            </w:tcPrChange>
          </w:tcPr>
          <w:p w14:paraId="49C7C105">
            <w:pPr>
              <w:spacing w:line="240" w:lineRule="atLeast"/>
              <w:jc w:val="center"/>
              <w:rPr>
                <w:ins w:id="452" w:author="kylin" w:date="2025-10-17T16:52:13Z"/>
                <w:sz w:val="18"/>
                <w:szCs w:val="18"/>
              </w:rPr>
            </w:pPr>
            <w:ins w:id="453" w:author="kylin" w:date="2025-10-17T16:52:13Z">
              <w:r>
                <w:rPr>
                  <w:rFonts w:hint="eastAsia"/>
                  <w:sz w:val="18"/>
                  <w:szCs w:val="18"/>
                </w:rPr>
                <w:t>累计增速（%）</w:t>
              </w:r>
            </w:ins>
          </w:p>
        </w:tc>
      </w:tr>
      <w:tr w14:paraId="27CA44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Change w:id="455" w:author="kylin" w:date="2026-01-05T09:21:08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blPrExChange>
        </w:tblPrEx>
        <w:trPr>
          <w:trHeight w:val="227" w:hRule="atLeast"/>
          <w:ins w:id="454" w:author="kylin" w:date="2025-10-17T16:52:13Z"/>
          <w:trPrChange w:id="455" w:author="kylin" w:date="2026-01-05T09:21:08Z">
            <w:trPr>
              <w:jc w:val="center"/>
            </w:trPr>
          </w:trPrChange>
        </w:trPr>
        <w:tc>
          <w:tcPr>
            <w:tcW w:w="858" w:type="pct"/>
            <w:tcBorders>
              <w:tl2br w:val="nil"/>
              <w:tr2bl w:val="nil"/>
            </w:tcBorders>
            <w:vAlign w:val="center"/>
            <w:tcPrChange w:id="456" w:author="kylin" w:date="2026-01-05T09:21:08Z">
              <w:tcPr>
                <w:tcW w:w="844" w:type="dxa"/>
                <w:tcBorders>
                  <w:tl2br w:val="nil"/>
                  <w:tr2bl w:val="nil"/>
                </w:tcBorders>
                <w:vAlign w:val="center"/>
              </w:tcPr>
            </w:tcPrChange>
          </w:tcPr>
          <w:p w14:paraId="072086DE">
            <w:pPr>
              <w:spacing w:line="240" w:lineRule="atLeast"/>
              <w:jc w:val="center"/>
              <w:rPr>
                <w:ins w:id="457" w:author="kylin" w:date="2025-10-17T16:52:13Z"/>
                <w:sz w:val="18"/>
                <w:szCs w:val="18"/>
              </w:rPr>
            </w:pPr>
            <w:ins w:id="458" w:author="kylin" w:date="2025-10-17T16:52:13Z">
              <w:r>
                <w:rPr>
                  <w:rFonts w:hint="eastAsia"/>
                  <w:sz w:val="18"/>
                  <w:szCs w:val="18"/>
                </w:rPr>
                <w:t>本月</w:t>
              </w:r>
            </w:ins>
          </w:p>
        </w:tc>
        <w:tc>
          <w:tcPr>
            <w:tcW w:w="825" w:type="pct"/>
            <w:tcBorders>
              <w:tl2br w:val="nil"/>
              <w:tr2bl w:val="nil"/>
            </w:tcBorders>
            <w:vAlign w:val="center"/>
            <w:tcPrChange w:id="459" w:author="kylin" w:date="2026-01-05T09:21:08Z">
              <w:tcPr>
                <w:tcW w:w="848" w:type="dxa"/>
                <w:tcBorders>
                  <w:tl2br w:val="nil"/>
                  <w:tr2bl w:val="nil"/>
                </w:tcBorders>
                <w:vAlign w:val="center"/>
              </w:tcPr>
            </w:tcPrChange>
          </w:tcPr>
          <w:p w14:paraId="380BE66F">
            <w:pPr>
              <w:spacing w:line="240" w:lineRule="atLeast"/>
              <w:jc w:val="center"/>
              <w:rPr>
                <w:ins w:id="460" w:author="kylin" w:date="2025-10-17T16:52:13Z"/>
                <w:sz w:val="18"/>
                <w:szCs w:val="18"/>
              </w:rPr>
            </w:pPr>
            <w:ins w:id="461" w:author="kylin" w:date="2025-10-17T16:52:13Z">
              <w:r>
                <w:rPr>
                  <w:rFonts w:hint="eastAsia"/>
                  <w:sz w:val="18"/>
                  <w:szCs w:val="18"/>
                </w:rPr>
                <w:t>1</w:t>
              </w:r>
            </w:ins>
            <w:ins w:id="462" w:author="kylin" w:date="2025-10-17T16:52:13Z">
              <w:r>
                <w:rPr>
                  <w:sz w:val="18"/>
                  <w:szCs w:val="18"/>
                </w:rPr>
                <w:t>-本月</w:t>
              </w:r>
            </w:ins>
          </w:p>
        </w:tc>
        <w:tc>
          <w:tcPr>
            <w:tcW w:w="824" w:type="pct"/>
            <w:tcBorders>
              <w:tl2br w:val="nil"/>
              <w:tr2bl w:val="nil"/>
            </w:tcBorders>
            <w:vAlign w:val="center"/>
            <w:tcPrChange w:id="463" w:author="kylin" w:date="2026-01-05T09:21:08Z">
              <w:tcPr>
                <w:tcW w:w="849" w:type="dxa"/>
                <w:tcBorders>
                  <w:tl2br w:val="nil"/>
                  <w:tr2bl w:val="nil"/>
                </w:tcBorders>
                <w:vAlign w:val="center"/>
              </w:tcPr>
            </w:tcPrChange>
          </w:tcPr>
          <w:p w14:paraId="37E63229">
            <w:pPr>
              <w:spacing w:line="240" w:lineRule="atLeast"/>
              <w:jc w:val="center"/>
              <w:rPr>
                <w:ins w:id="464" w:author="kylin" w:date="2025-10-17T16:52:13Z"/>
                <w:sz w:val="18"/>
                <w:szCs w:val="18"/>
              </w:rPr>
            </w:pPr>
            <w:ins w:id="465" w:author="kylin" w:date="2025-10-17T16:52:13Z">
              <w:r>
                <w:rPr>
                  <w:rFonts w:hint="eastAsia"/>
                  <w:sz w:val="18"/>
                  <w:szCs w:val="18"/>
                </w:rPr>
                <w:t>本月</w:t>
              </w:r>
            </w:ins>
          </w:p>
        </w:tc>
        <w:tc>
          <w:tcPr>
            <w:tcW w:w="837" w:type="pct"/>
            <w:tcBorders>
              <w:tl2br w:val="nil"/>
              <w:tr2bl w:val="nil"/>
            </w:tcBorders>
            <w:vAlign w:val="center"/>
            <w:tcPrChange w:id="466" w:author="kylin" w:date="2026-01-05T09:21:08Z">
              <w:tcPr>
                <w:tcW w:w="851" w:type="dxa"/>
                <w:tcBorders>
                  <w:tl2br w:val="nil"/>
                  <w:tr2bl w:val="nil"/>
                </w:tcBorders>
                <w:vAlign w:val="center"/>
              </w:tcPr>
            </w:tcPrChange>
          </w:tcPr>
          <w:p w14:paraId="2BD9D391">
            <w:pPr>
              <w:spacing w:line="240" w:lineRule="atLeast"/>
              <w:jc w:val="center"/>
              <w:rPr>
                <w:ins w:id="467" w:author="kylin" w:date="2025-10-17T16:52:13Z"/>
                <w:sz w:val="18"/>
                <w:szCs w:val="18"/>
              </w:rPr>
            </w:pPr>
            <w:ins w:id="468" w:author="kylin" w:date="2025-10-17T16:52:13Z">
              <w:r>
                <w:rPr>
                  <w:rFonts w:hint="eastAsia"/>
                  <w:sz w:val="18"/>
                  <w:szCs w:val="18"/>
                </w:rPr>
                <w:t>1</w:t>
              </w:r>
            </w:ins>
            <w:ins w:id="469" w:author="kylin" w:date="2025-10-17T16:52:13Z">
              <w:r>
                <w:rPr>
                  <w:sz w:val="18"/>
                  <w:szCs w:val="18"/>
                </w:rPr>
                <w:t>-本月</w:t>
              </w:r>
            </w:ins>
          </w:p>
        </w:tc>
        <w:tc>
          <w:tcPr>
            <w:tcW w:w="814" w:type="pct"/>
            <w:vMerge w:val="continue"/>
            <w:tcBorders>
              <w:tl2br w:val="nil"/>
              <w:tr2bl w:val="nil"/>
            </w:tcBorders>
            <w:tcPrChange w:id="470" w:author="kylin" w:date="2026-01-05T09:21:08Z">
              <w:tcPr>
                <w:tcW w:w="850" w:type="dxa"/>
                <w:vMerge w:val="continue"/>
                <w:tcBorders>
                  <w:tl2br w:val="nil"/>
                  <w:tr2bl w:val="nil"/>
                </w:tcBorders>
              </w:tcPr>
            </w:tcPrChange>
          </w:tcPr>
          <w:p w14:paraId="598DFD77">
            <w:pPr>
              <w:spacing w:line="240" w:lineRule="atLeast"/>
              <w:jc w:val="center"/>
              <w:rPr>
                <w:ins w:id="471" w:author="kylin" w:date="2025-10-17T16:52:13Z"/>
                <w:sz w:val="18"/>
                <w:szCs w:val="18"/>
              </w:rPr>
            </w:pPr>
          </w:p>
        </w:tc>
        <w:tc>
          <w:tcPr>
            <w:tcW w:w="839" w:type="pct"/>
            <w:vMerge w:val="continue"/>
            <w:tcBorders>
              <w:tl2br w:val="nil"/>
              <w:tr2bl w:val="nil"/>
            </w:tcBorders>
            <w:vAlign w:val="center"/>
            <w:tcPrChange w:id="472" w:author="kylin" w:date="2026-01-05T09:21:08Z">
              <w:tcPr>
                <w:tcW w:w="850" w:type="dxa"/>
                <w:vMerge w:val="continue"/>
                <w:tcBorders>
                  <w:tl2br w:val="nil"/>
                  <w:tr2bl w:val="nil"/>
                </w:tcBorders>
                <w:vAlign w:val="center"/>
              </w:tcPr>
            </w:tcPrChange>
          </w:tcPr>
          <w:p w14:paraId="6B30539D">
            <w:pPr>
              <w:spacing w:line="240" w:lineRule="atLeast"/>
              <w:jc w:val="center"/>
              <w:rPr>
                <w:ins w:id="473" w:author="kylin" w:date="2025-10-17T16:52:13Z"/>
                <w:sz w:val="18"/>
                <w:szCs w:val="18"/>
              </w:rPr>
            </w:pPr>
          </w:p>
        </w:tc>
      </w:tr>
      <w:tr w14:paraId="310AFE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Change w:id="475" w:author="kylin" w:date="2026-01-05T09:21:08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blPrExChange>
        </w:tblPrEx>
        <w:trPr>
          <w:trHeight w:val="227" w:hRule="atLeast"/>
          <w:ins w:id="474" w:author="kylin" w:date="2025-10-17T16:52:13Z"/>
          <w:trPrChange w:id="475" w:author="kylin" w:date="2026-01-05T09:21:08Z">
            <w:trPr>
              <w:jc w:val="center"/>
            </w:trPr>
          </w:trPrChange>
        </w:trPr>
        <w:tc>
          <w:tcPr>
            <w:tcW w:w="858" w:type="pct"/>
            <w:tcBorders>
              <w:tl2br w:val="nil"/>
              <w:tr2bl w:val="nil"/>
            </w:tcBorders>
            <w:vAlign w:val="center"/>
            <w:tcPrChange w:id="476" w:author="kylin" w:date="2026-01-05T09:21:08Z">
              <w:tcPr>
                <w:tcW w:w="844" w:type="dxa"/>
                <w:tcBorders>
                  <w:tl2br w:val="nil"/>
                  <w:tr2bl w:val="nil"/>
                </w:tcBorders>
                <w:vAlign w:val="center"/>
              </w:tcPr>
            </w:tcPrChange>
          </w:tcPr>
          <w:p w14:paraId="7F046B2F">
            <w:pPr>
              <w:spacing w:line="240" w:lineRule="atLeast"/>
              <w:jc w:val="center"/>
              <w:rPr>
                <w:ins w:id="477" w:author="kylin" w:date="2025-10-17T16:52:13Z"/>
                <w:rFonts w:hint="default" w:eastAsia="宋体"/>
                <w:sz w:val="18"/>
                <w:szCs w:val="18"/>
                <w:lang w:val="en-US" w:eastAsia="zh-CN"/>
              </w:rPr>
            </w:pPr>
            <w:ins w:id="478" w:author="kylin" w:date="2025-10-17T16:53:17Z">
              <w:r>
                <w:rPr>
                  <w:rFonts w:hint="eastAsia"/>
                  <w:sz w:val="18"/>
                  <w:szCs w:val="18"/>
                  <w:lang w:val="en-US" w:eastAsia="zh-CN"/>
                </w:rPr>
                <w:t>37</w:t>
              </w:r>
            </w:ins>
          </w:p>
        </w:tc>
        <w:tc>
          <w:tcPr>
            <w:tcW w:w="825" w:type="pct"/>
            <w:tcBorders>
              <w:tl2br w:val="nil"/>
              <w:tr2bl w:val="nil"/>
            </w:tcBorders>
            <w:vAlign w:val="center"/>
            <w:tcPrChange w:id="479" w:author="kylin" w:date="2026-01-05T09:21:08Z">
              <w:tcPr>
                <w:tcW w:w="848" w:type="dxa"/>
                <w:tcBorders>
                  <w:tl2br w:val="nil"/>
                  <w:tr2bl w:val="nil"/>
                </w:tcBorders>
                <w:vAlign w:val="center"/>
              </w:tcPr>
            </w:tcPrChange>
          </w:tcPr>
          <w:p w14:paraId="60663E0F">
            <w:pPr>
              <w:spacing w:line="240" w:lineRule="atLeast"/>
              <w:jc w:val="center"/>
              <w:rPr>
                <w:ins w:id="480" w:author="kylin" w:date="2025-10-17T16:52:13Z"/>
                <w:rFonts w:hint="default" w:eastAsia="宋体"/>
                <w:sz w:val="18"/>
                <w:szCs w:val="18"/>
                <w:lang w:val="en-US" w:eastAsia="zh-CN"/>
              </w:rPr>
            </w:pPr>
            <w:ins w:id="481" w:author="kylin" w:date="2025-10-17T16:53:21Z">
              <w:r>
                <w:rPr>
                  <w:rFonts w:hint="eastAsia"/>
                  <w:sz w:val="18"/>
                  <w:szCs w:val="18"/>
                  <w:lang w:val="en-US" w:eastAsia="zh-CN"/>
                </w:rPr>
                <w:t>38</w:t>
              </w:r>
            </w:ins>
          </w:p>
        </w:tc>
        <w:tc>
          <w:tcPr>
            <w:tcW w:w="824" w:type="pct"/>
            <w:tcBorders>
              <w:tl2br w:val="nil"/>
              <w:tr2bl w:val="nil"/>
            </w:tcBorders>
            <w:vAlign w:val="center"/>
            <w:tcPrChange w:id="482" w:author="kylin" w:date="2026-01-05T09:21:08Z">
              <w:tcPr>
                <w:tcW w:w="849" w:type="dxa"/>
                <w:tcBorders>
                  <w:tl2br w:val="nil"/>
                  <w:tr2bl w:val="nil"/>
                </w:tcBorders>
                <w:vAlign w:val="center"/>
              </w:tcPr>
            </w:tcPrChange>
          </w:tcPr>
          <w:p w14:paraId="785249C8">
            <w:pPr>
              <w:spacing w:line="240" w:lineRule="atLeast"/>
              <w:jc w:val="center"/>
              <w:rPr>
                <w:ins w:id="483" w:author="kylin" w:date="2025-10-17T16:52:13Z"/>
                <w:rFonts w:hint="default" w:eastAsia="宋体"/>
                <w:sz w:val="18"/>
                <w:szCs w:val="18"/>
                <w:lang w:val="en-US" w:eastAsia="zh-CN"/>
              </w:rPr>
            </w:pPr>
            <w:ins w:id="484" w:author="kylin" w:date="2025-10-17T16:53:24Z">
              <w:r>
                <w:rPr>
                  <w:rFonts w:hint="eastAsia"/>
                  <w:sz w:val="18"/>
                  <w:szCs w:val="18"/>
                  <w:lang w:val="en-US" w:eastAsia="zh-CN"/>
                </w:rPr>
                <w:t>39</w:t>
              </w:r>
            </w:ins>
          </w:p>
        </w:tc>
        <w:tc>
          <w:tcPr>
            <w:tcW w:w="837" w:type="pct"/>
            <w:tcBorders>
              <w:tl2br w:val="nil"/>
              <w:tr2bl w:val="nil"/>
            </w:tcBorders>
            <w:vAlign w:val="center"/>
            <w:tcPrChange w:id="485" w:author="kylin" w:date="2026-01-05T09:21:08Z">
              <w:tcPr>
                <w:tcW w:w="851" w:type="dxa"/>
                <w:tcBorders>
                  <w:tl2br w:val="nil"/>
                  <w:tr2bl w:val="nil"/>
                </w:tcBorders>
                <w:vAlign w:val="center"/>
              </w:tcPr>
            </w:tcPrChange>
          </w:tcPr>
          <w:p w14:paraId="4B5D78F1">
            <w:pPr>
              <w:spacing w:line="240" w:lineRule="atLeast"/>
              <w:jc w:val="center"/>
              <w:rPr>
                <w:ins w:id="486" w:author="kylin" w:date="2025-10-17T16:52:13Z"/>
                <w:rFonts w:hint="default" w:eastAsia="宋体"/>
                <w:sz w:val="18"/>
                <w:szCs w:val="18"/>
                <w:lang w:val="en-US" w:eastAsia="zh-CN"/>
              </w:rPr>
            </w:pPr>
            <w:ins w:id="487" w:author="kylin" w:date="2025-10-17T16:53:26Z">
              <w:r>
                <w:rPr>
                  <w:rFonts w:hint="eastAsia"/>
                  <w:sz w:val="18"/>
                  <w:szCs w:val="18"/>
                  <w:lang w:val="en-US" w:eastAsia="zh-CN"/>
                </w:rPr>
                <w:t>4</w:t>
              </w:r>
            </w:ins>
            <w:ins w:id="488" w:author="kylin" w:date="2025-10-17T16:53:27Z">
              <w:r>
                <w:rPr>
                  <w:rFonts w:hint="eastAsia"/>
                  <w:sz w:val="18"/>
                  <w:szCs w:val="18"/>
                  <w:lang w:val="en-US" w:eastAsia="zh-CN"/>
                </w:rPr>
                <w:t>0</w:t>
              </w:r>
            </w:ins>
          </w:p>
        </w:tc>
        <w:tc>
          <w:tcPr>
            <w:tcW w:w="814" w:type="pct"/>
            <w:tcBorders>
              <w:tl2br w:val="nil"/>
              <w:tr2bl w:val="nil"/>
            </w:tcBorders>
            <w:vAlign w:val="center"/>
            <w:tcPrChange w:id="489" w:author="kylin" w:date="2026-01-05T09:21:08Z">
              <w:tcPr>
                <w:tcW w:w="850" w:type="dxa"/>
                <w:tcBorders>
                  <w:tl2br w:val="nil"/>
                  <w:tr2bl w:val="nil"/>
                </w:tcBorders>
                <w:vAlign w:val="center"/>
              </w:tcPr>
            </w:tcPrChange>
          </w:tcPr>
          <w:p w14:paraId="7C6989E1">
            <w:pPr>
              <w:spacing w:line="240" w:lineRule="atLeast"/>
              <w:jc w:val="center"/>
              <w:rPr>
                <w:ins w:id="490" w:author="kylin" w:date="2025-10-17T16:52:13Z"/>
                <w:rFonts w:hint="default" w:eastAsia="宋体"/>
                <w:sz w:val="18"/>
                <w:szCs w:val="18"/>
                <w:lang w:val="en-US" w:eastAsia="zh-CN"/>
              </w:rPr>
            </w:pPr>
            <w:ins w:id="491" w:author="kylin" w:date="2025-10-17T16:53:29Z">
              <w:r>
                <w:rPr>
                  <w:rFonts w:hint="eastAsia"/>
                  <w:sz w:val="18"/>
                  <w:szCs w:val="18"/>
                  <w:lang w:val="en-US" w:eastAsia="zh-CN"/>
                </w:rPr>
                <w:t>41</w:t>
              </w:r>
            </w:ins>
          </w:p>
        </w:tc>
        <w:tc>
          <w:tcPr>
            <w:tcW w:w="839" w:type="pct"/>
            <w:tcBorders>
              <w:tl2br w:val="nil"/>
              <w:tr2bl w:val="nil"/>
            </w:tcBorders>
            <w:vAlign w:val="center"/>
            <w:tcPrChange w:id="492" w:author="kylin" w:date="2026-01-05T09:21:08Z">
              <w:tcPr>
                <w:tcW w:w="850" w:type="dxa"/>
                <w:tcBorders>
                  <w:tl2br w:val="nil"/>
                  <w:tr2bl w:val="nil"/>
                </w:tcBorders>
                <w:vAlign w:val="center"/>
              </w:tcPr>
            </w:tcPrChange>
          </w:tcPr>
          <w:p w14:paraId="13587B16">
            <w:pPr>
              <w:spacing w:line="240" w:lineRule="atLeast"/>
              <w:jc w:val="center"/>
              <w:rPr>
                <w:ins w:id="493" w:author="kylin" w:date="2025-10-17T16:52:13Z"/>
                <w:rFonts w:hint="default" w:eastAsia="宋体"/>
                <w:sz w:val="18"/>
                <w:szCs w:val="18"/>
                <w:lang w:val="en-US" w:eastAsia="zh-CN"/>
              </w:rPr>
            </w:pPr>
            <w:ins w:id="494" w:author="kylin" w:date="2025-10-17T16:53:32Z">
              <w:r>
                <w:rPr>
                  <w:rFonts w:hint="eastAsia"/>
                  <w:sz w:val="18"/>
                  <w:szCs w:val="18"/>
                  <w:lang w:val="en-US" w:eastAsia="zh-CN"/>
                </w:rPr>
                <w:t>42</w:t>
              </w:r>
            </w:ins>
          </w:p>
        </w:tc>
      </w:tr>
      <w:tr w14:paraId="22EF5D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Change w:id="496" w:author="kylin" w:date="2026-01-05T09:20:27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blPrExChange>
        </w:tblPrEx>
        <w:trPr>
          <w:trHeight w:val="227" w:hRule="atLeast"/>
          <w:ins w:id="495" w:author="kylin" w:date="2025-10-20T11:02:56Z"/>
          <w:trPrChange w:id="496" w:author="kylin" w:date="2026-01-05T09:20:27Z">
            <w:trPr>
              <w:jc w:val="center"/>
            </w:trPr>
          </w:trPrChange>
        </w:trPr>
        <w:tc>
          <w:tcPr>
            <w:tcW w:w="5000" w:type="pct"/>
            <w:gridSpan w:val="6"/>
            <w:tcBorders>
              <w:tl2br w:val="nil"/>
              <w:tr2bl w:val="nil"/>
            </w:tcBorders>
            <w:vAlign w:val="center"/>
            <w:tcPrChange w:id="497" w:author="kylin" w:date="2026-01-05T09:20:27Z">
              <w:tcPr>
                <w:tcW w:w="5092" w:type="dxa"/>
                <w:gridSpan w:val="6"/>
                <w:tcBorders>
                  <w:tl2br w:val="nil"/>
                  <w:tr2bl w:val="nil"/>
                </w:tcBorders>
                <w:vAlign w:val="center"/>
              </w:tcPr>
            </w:tcPrChange>
          </w:tcPr>
          <w:p w14:paraId="42FA8E44">
            <w:pPr>
              <w:spacing w:line="240" w:lineRule="atLeast"/>
              <w:jc w:val="center"/>
              <w:rPr>
                <w:ins w:id="498" w:author="kylin" w:date="2025-10-20T11:02:56Z"/>
                <w:rFonts w:hint="eastAsia"/>
                <w:sz w:val="18"/>
                <w:szCs w:val="18"/>
                <w:lang w:val="en-US" w:eastAsia="zh-CN"/>
              </w:rPr>
            </w:pPr>
          </w:p>
        </w:tc>
      </w:tr>
    </w:tbl>
    <w:p w14:paraId="373F8B2D">
      <w:pPr>
        <w:pStyle w:val="2"/>
        <w:ind w:left="0" w:leftChars="0" w:firstLine="0"/>
        <w:rPr>
          <w:ins w:id="499" w:author="kylin" w:date="2025-10-17T16:52:06Z"/>
          <w:sz w:val="18"/>
          <w:szCs w:val="18"/>
        </w:rPr>
      </w:pPr>
    </w:p>
    <w:p w14:paraId="64954F45">
      <w:pPr>
        <w:pStyle w:val="2"/>
        <w:ind w:left="0" w:leftChars="0" w:firstLine="0"/>
      </w:pPr>
      <w:r>
        <w:rPr>
          <w:sz w:val="18"/>
          <w:szCs w:val="18"/>
        </w:rPr>
        <w:t>单位负责人：                填表人：              联系电话：                   报出日期：２０ 　年  月  日</w:t>
      </w:r>
    </w:p>
    <w:p w14:paraId="1BBF1F4B">
      <w:pPr>
        <w:snapToGrid w:val="0"/>
        <w:spacing w:line="280" w:lineRule="exact"/>
        <w:ind w:left="1530" w:hanging="1530" w:hangingChars="850"/>
        <w:rPr>
          <w:sz w:val="18"/>
          <w:szCs w:val="18"/>
        </w:rPr>
      </w:pPr>
    </w:p>
    <w:p w14:paraId="20AE3F2B">
      <w:pPr>
        <w:snapToGrid w:val="0"/>
        <w:spacing w:line="280" w:lineRule="exact"/>
        <w:ind w:left="1530" w:hanging="1530" w:hangingChars="850"/>
        <w:rPr>
          <w:sz w:val="18"/>
          <w:szCs w:val="18"/>
        </w:rPr>
      </w:pPr>
      <w:r>
        <w:rPr>
          <w:sz w:val="18"/>
          <w:szCs w:val="18"/>
        </w:rPr>
        <w:t>说明：</w:t>
      </w:r>
      <w:r>
        <w:rPr>
          <w:kern w:val="0"/>
          <w:sz w:val="18"/>
          <w:szCs w:val="18"/>
        </w:rPr>
        <w:t>1.</w:t>
      </w:r>
      <w:r>
        <w:rPr>
          <w:rFonts w:hint="eastAsia"/>
          <w:kern w:val="0"/>
          <w:sz w:val="18"/>
          <w:szCs w:val="18"/>
        </w:rPr>
        <w:t>统计范围</w:t>
      </w:r>
      <w:r>
        <w:rPr>
          <w:rFonts w:hint="eastAsia"/>
          <w:sz w:val="18"/>
          <w:szCs w:val="18"/>
        </w:rPr>
        <w:t>：全国各省、自治区、直辖市辖区内全部电力</w:t>
      </w:r>
      <w:r>
        <w:rPr>
          <w:sz w:val="18"/>
          <w:szCs w:val="18"/>
        </w:rPr>
        <w:t>生产</w:t>
      </w:r>
      <w:r>
        <w:rPr>
          <w:rFonts w:hint="eastAsia"/>
          <w:sz w:val="18"/>
          <w:szCs w:val="18"/>
        </w:rPr>
        <w:t>企业。</w:t>
      </w:r>
    </w:p>
    <w:p w14:paraId="2A29A4CD">
      <w:pPr>
        <w:snapToGrid w:val="0"/>
        <w:spacing w:line="280" w:lineRule="exact"/>
        <w:ind w:firstLine="540" w:firstLineChars="300"/>
        <w:rPr>
          <w:sz w:val="18"/>
          <w:szCs w:val="18"/>
        </w:rPr>
      </w:pPr>
      <w:r>
        <w:rPr>
          <w:sz w:val="18"/>
          <w:szCs w:val="18"/>
        </w:rPr>
        <w:t>2.报送时间为月后15日前，</w:t>
      </w:r>
      <w:r>
        <w:rPr>
          <w:rFonts w:hint="eastAsia"/>
          <w:sz w:val="18"/>
          <w:szCs w:val="18"/>
        </w:rPr>
        <w:t>1月免报；</w:t>
      </w:r>
      <w:r>
        <w:rPr>
          <w:sz w:val="18"/>
          <w:szCs w:val="18"/>
        </w:rPr>
        <w:t>报送方式为电子邮件</w:t>
      </w:r>
      <w:r>
        <w:rPr>
          <w:rFonts w:hint="eastAsia"/>
          <w:sz w:val="18"/>
          <w:szCs w:val="18"/>
        </w:rPr>
        <w:t>（</w:t>
      </w:r>
      <w:r>
        <w:rPr>
          <w:sz w:val="18"/>
          <w:szCs w:val="18"/>
        </w:rPr>
        <w:t>nysscxsc@stats.gov.cn</w:t>
      </w:r>
      <w:r>
        <w:rPr>
          <w:rFonts w:hint="eastAsia"/>
          <w:sz w:val="18"/>
          <w:szCs w:val="18"/>
        </w:rPr>
        <w:t>）</w:t>
      </w:r>
      <w:r>
        <w:rPr>
          <w:sz w:val="18"/>
          <w:szCs w:val="18"/>
        </w:rPr>
        <w:t>。</w:t>
      </w:r>
    </w:p>
    <w:p w14:paraId="0582C582">
      <w:pPr>
        <w:snapToGrid w:val="0"/>
        <w:ind w:left="-141" w:leftChars="-67"/>
        <w:rPr>
          <w:sz w:val="18"/>
          <w:szCs w:val="18"/>
        </w:rPr>
      </w:pPr>
    </w:p>
    <w:p w14:paraId="6A826E95">
      <w:pPr>
        <w:spacing w:line="400" w:lineRule="exact"/>
        <w:jc w:val="center"/>
        <w:rPr>
          <w:sz w:val="32"/>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0A5C5277">
      <w:pPr>
        <w:spacing w:before="144" w:beforeLines="50" w:after="0" w:afterLines="0"/>
        <w:jc w:val="center"/>
        <w:outlineLvl w:val="2"/>
        <w:rPr>
          <w:sz w:val="32"/>
          <w:szCs w:val="32"/>
        </w:rPr>
      </w:pPr>
      <w:r>
        <w:rPr>
          <w:sz w:val="32"/>
          <w:szCs w:val="32"/>
        </w:rPr>
        <w:t>地区能源消费与单位GDP能耗</w:t>
      </w:r>
    </w:p>
    <w:tbl>
      <w:tblPr>
        <w:tblStyle w:val="20"/>
        <w:tblW w:w="9402" w:type="dxa"/>
        <w:jc w:val="center"/>
        <w:tblLayout w:type="autofit"/>
        <w:tblCellMar>
          <w:top w:w="0" w:type="dxa"/>
          <w:left w:w="0" w:type="dxa"/>
          <w:bottom w:w="0" w:type="dxa"/>
          <w:right w:w="0" w:type="dxa"/>
        </w:tblCellMar>
      </w:tblPr>
      <w:tblGrid>
        <w:gridCol w:w="3565"/>
        <w:gridCol w:w="336"/>
        <w:gridCol w:w="2802"/>
        <w:gridCol w:w="925"/>
        <w:gridCol w:w="1774"/>
      </w:tblGrid>
      <w:tr w14:paraId="0A4408BE">
        <w:tblPrEx>
          <w:tblCellMar>
            <w:top w:w="0" w:type="dxa"/>
            <w:left w:w="0" w:type="dxa"/>
            <w:bottom w:w="0" w:type="dxa"/>
            <w:right w:w="0" w:type="dxa"/>
          </w:tblCellMar>
        </w:tblPrEx>
        <w:trPr>
          <w:jc w:val="center"/>
        </w:trPr>
        <w:tc>
          <w:tcPr>
            <w:tcW w:w="3565" w:type="dxa"/>
          </w:tcPr>
          <w:p w14:paraId="3651B511">
            <w:pPr>
              <w:spacing w:line="260" w:lineRule="exact"/>
              <w:rPr>
                <w:sz w:val="18"/>
                <w:szCs w:val="18"/>
              </w:rPr>
            </w:pPr>
          </w:p>
        </w:tc>
        <w:tc>
          <w:tcPr>
            <w:tcW w:w="336" w:type="dxa"/>
          </w:tcPr>
          <w:p w14:paraId="28BFEE77">
            <w:pPr>
              <w:spacing w:line="260" w:lineRule="exact"/>
              <w:rPr>
                <w:sz w:val="18"/>
                <w:szCs w:val="18"/>
              </w:rPr>
            </w:pPr>
          </w:p>
        </w:tc>
        <w:tc>
          <w:tcPr>
            <w:tcW w:w="2802" w:type="dxa"/>
          </w:tcPr>
          <w:p w14:paraId="26126DE8">
            <w:pPr>
              <w:spacing w:line="260" w:lineRule="exact"/>
              <w:rPr>
                <w:sz w:val="18"/>
                <w:szCs w:val="18"/>
              </w:rPr>
            </w:pPr>
            <w:r>
              <w:rPr>
                <w:sz w:val="18"/>
                <w:szCs w:val="18"/>
              </w:rPr>
              <w:t>　　　　　　　　　　　　　</w:t>
            </w:r>
          </w:p>
        </w:tc>
        <w:tc>
          <w:tcPr>
            <w:tcW w:w="925" w:type="dxa"/>
            <w:tcMar>
              <w:left w:w="0" w:type="dxa"/>
              <w:right w:w="0" w:type="dxa"/>
            </w:tcMar>
          </w:tcPr>
          <w:p w14:paraId="1F6FC903">
            <w:pPr>
              <w:spacing w:line="260" w:lineRule="exact"/>
              <w:rPr>
                <w:sz w:val="18"/>
                <w:szCs w:val="18"/>
              </w:rPr>
            </w:pPr>
            <w:r>
              <w:rPr>
                <w:sz w:val="18"/>
                <w:szCs w:val="18"/>
              </w:rPr>
              <w:t>表    号：</w:t>
            </w:r>
          </w:p>
        </w:tc>
        <w:tc>
          <w:tcPr>
            <w:tcW w:w="1774" w:type="dxa"/>
            <w:vAlign w:val="center"/>
          </w:tcPr>
          <w:p w14:paraId="3C911A1E">
            <w:pPr>
              <w:spacing w:line="260" w:lineRule="exact"/>
              <w:jc w:val="distribute"/>
              <w:rPr>
                <w:sz w:val="18"/>
                <w:szCs w:val="18"/>
              </w:rPr>
            </w:pPr>
            <w:r>
              <w:rPr>
                <w:sz w:val="18"/>
                <w:szCs w:val="18"/>
              </w:rPr>
              <w:t>Ｐ４０６表</w:t>
            </w:r>
          </w:p>
        </w:tc>
      </w:tr>
      <w:tr w14:paraId="6FEEBD28">
        <w:tblPrEx>
          <w:tblCellMar>
            <w:top w:w="0" w:type="dxa"/>
            <w:left w:w="0" w:type="dxa"/>
            <w:bottom w:w="0" w:type="dxa"/>
            <w:right w:w="0" w:type="dxa"/>
          </w:tblCellMar>
        </w:tblPrEx>
        <w:trPr>
          <w:jc w:val="center"/>
        </w:trPr>
        <w:tc>
          <w:tcPr>
            <w:tcW w:w="3565" w:type="dxa"/>
          </w:tcPr>
          <w:p w14:paraId="25A5C5E2">
            <w:pPr>
              <w:spacing w:line="260" w:lineRule="exact"/>
              <w:rPr>
                <w:sz w:val="18"/>
                <w:szCs w:val="18"/>
              </w:rPr>
            </w:pPr>
          </w:p>
        </w:tc>
        <w:tc>
          <w:tcPr>
            <w:tcW w:w="336" w:type="dxa"/>
          </w:tcPr>
          <w:p w14:paraId="28F52280">
            <w:pPr>
              <w:spacing w:line="260" w:lineRule="exact"/>
              <w:rPr>
                <w:sz w:val="18"/>
                <w:szCs w:val="18"/>
              </w:rPr>
            </w:pPr>
          </w:p>
        </w:tc>
        <w:tc>
          <w:tcPr>
            <w:tcW w:w="2802" w:type="dxa"/>
          </w:tcPr>
          <w:p w14:paraId="221AFA05">
            <w:pPr>
              <w:spacing w:line="260" w:lineRule="exact"/>
              <w:rPr>
                <w:sz w:val="18"/>
                <w:szCs w:val="18"/>
              </w:rPr>
            </w:pPr>
          </w:p>
        </w:tc>
        <w:tc>
          <w:tcPr>
            <w:tcW w:w="925" w:type="dxa"/>
            <w:tcMar>
              <w:left w:w="0" w:type="dxa"/>
              <w:right w:w="0" w:type="dxa"/>
            </w:tcMar>
            <w:vAlign w:val="center"/>
          </w:tcPr>
          <w:p w14:paraId="0A1AB17B">
            <w:pPr>
              <w:spacing w:line="260" w:lineRule="exact"/>
              <w:rPr>
                <w:sz w:val="18"/>
                <w:szCs w:val="18"/>
              </w:rPr>
            </w:pPr>
            <w:r>
              <w:rPr>
                <w:sz w:val="18"/>
                <w:szCs w:val="18"/>
              </w:rPr>
              <w:t>制定机关：</w:t>
            </w:r>
          </w:p>
        </w:tc>
        <w:tc>
          <w:tcPr>
            <w:tcW w:w="1774" w:type="dxa"/>
            <w:vAlign w:val="center"/>
          </w:tcPr>
          <w:p w14:paraId="287B8A52">
            <w:pPr>
              <w:spacing w:line="260" w:lineRule="exact"/>
              <w:jc w:val="distribute"/>
              <w:rPr>
                <w:sz w:val="18"/>
                <w:szCs w:val="18"/>
              </w:rPr>
            </w:pPr>
            <w:r>
              <w:rPr>
                <w:sz w:val="18"/>
                <w:szCs w:val="18"/>
              </w:rPr>
              <w:t>国 家 统 计 局</w:t>
            </w:r>
          </w:p>
        </w:tc>
      </w:tr>
      <w:tr w14:paraId="1492E18D">
        <w:tblPrEx>
          <w:tblCellMar>
            <w:top w:w="0" w:type="dxa"/>
            <w:left w:w="0" w:type="dxa"/>
            <w:bottom w:w="0" w:type="dxa"/>
            <w:right w:w="0" w:type="dxa"/>
          </w:tblCellMar>
        </w:tblPrEx>
        <w:trPr>
          <w:jc w:val="center"/>
        </w:trPr>
        <w:tc>
          <w:tcPr>
            <w:tcW w:w="3565" w:type="dxa"/>
          </w:tcPr>
          <w:p w14:paraId="022C5AC5">
            <w:pPr>
              <w:spacing w:line="260" w:lineRule="exact"/>
              <w:jc w:val="left"/>
              <w:rPr>
                <w:sz w:val="18"/>
                <w:szCs w:val="18"/>
              </w:rPr>
            </w:pPr>
          </w:p>
        </w:tc>
        <w:tc>
          <w:tcPr>
            <w:tcW w:w="336" w:type="dxa"/>
          </w:tcPr>
          <w:p w14:paraId="7280CD83">
            <w:pPr>
              <w:spacing w:line="260" w:lineRule="exact"/>
              <w:rPr>
                <w:sz w:val="18"/>
                <w:szCs w:val="18"/>
              </w:rPr>
            </w:pPr>
          </w:p>
        </w:tc>
        <w:tc>
          <w:tcPr>
            <w:tcW w:w="2802" w:type="dxa"/>
          </w:tcPr>
          <w:p w14:paraId="44E77F7A">
            <w:pPr>
              <w:spacing w:line="260" w:lineRule="exact"/>
              <w:rPr>
                <w:sz w:val="18"/>
                <w:szCs w:val="18"/>
              </w:rPr>
            </w:pPr>
          </w:p>
        </w:tc>
        <w:tc>
          <w:tcPr>
            <w:tcW w:w="925" w:type="dxa"/>
            <w:tcMar>
              <w:left w:w="0" w:type="dxa"/>
              <w:right w:w="0" w:type="dxa"/>
            </w:tcMar>
            <w:vAlign w:val="center"/>
          </w:tcPr>
          <w:p w14:paraId="7C8FA2CD">
            <w:pPr>
              <w:spacing w:line="260" w:lineRule="exact"/>
              <w:rPr>
                <w:sz w:val="18"/>
                <w:szCs w:val="18"/>
              </w:rPr>
            </w:pPr>
            <w:r>
              <w:rPr>
                <w:sz w:val="18"/>
                <w:szCs w:val="18"/>
              </w:rPr>
              <w:t>文    号：</w:t>
            </w:r>
          </w:p>
        </w:tc>
        <w:tc>
          <w:tcPr>
            <w:tcW w:w="1774" w:type="dxa"/>
            <w:vAlign w:val="center"/>
          </w:tcPr>
          <w:p w14:paraId="7925E1C5">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500" w:author="kylin" w:date="2025-10-17T16:22:52Z">
              <w:r>
                <w:rPr>
                  <w:rFonts w:hint="default" w:ascii="宋体" w:hAnsi="宋体"/>
                  <w:spacing w:val="-16"/>
                  <w:sz w:val="18"/>
                  <w:szCs w:val="18"/>
                  <w:lang w:val="en-US" w:eastAsia="zh-CN"/>
                </w:rPr>
                <w:delText>４</w:delText>
              </w:r>
            </w:del>
            <w:ins w:id="501" w:author="kylin" w:date="2025-10-17T16:22:52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502" w:author="kylin" w:date="2025-10-17T16:22:53Z">
              <w:r>
                <w:rPr>
                  <w:rFonts w:hint="default" w:ascii="宋体" w:hAnsi="宋体"/>
                  <w:spacing w:val="-16"/>
                  <w:sz w:val="18"/>
                  <w:szCs w:val="18"/>
                  <w:lang w:val="en-US" w:eastAsia="zh-CN"/>
                </w:rPr>
                <w:delText>77</w:delText>
              </w:r>
            </w:del>
            <w:ins w:id="503" w:author="kylin" w:date="2025-10-17T16:22:53Z">
              <w:r>
                <w:rPr>
                  <w:rFonts w:hint="eastAsia" w:ascii="宋体" w:hAnsi="宋体"/>
                  <w:spacing w:val="-16"/>
                  <w:sz w:val="18"/>
                  <w:szCs w:val="18"/>
                  <w:lang w:val="en-US" w:eastAsia="zh-CN"/>
                </w:rPr>
                <w:t>8</w:t>
              </w:r>
            </w:ins>
            <w:ins w:id="504" w:author="kylin" w:date="2025-10-17T16:22:54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7631CCE8">
        <w:tblPrEx>
          <w:tblCellMar>
            <w:top w:w="0" w:type="dxa"/>
            <w:left w:w="0" w:type="dxa"/>
            <w:bottom w:w="0" w:type="dxa"/>
            <w:right w:w="0" w:type="dxa"/>
          </w:tblCellMar>
        </w:tblPrEx>
        <w:trPr>
          <w:jc w:val="center"/>
        </w:trPr>
        <w:tc>
          <w:tcPr>
            <w:tcW w:w="3565" w:type="dxa"/>
          </w:tcPr>
          <w:p w14:paraId="7ED20946">
            <w:pPr>
              <w:spacing w:line="260" w:lineRule="exact"/>
              <w:rPr>
                <w:sz w:val="18"/>
                <w:szCs w:val="18"/>
              </w:rPr>
            </w:pPr>
            <w:r>
              <w:rPr>
                <w:sz w:val="18"/>
              </w:rPr>
              <w:t>综合机关名称：</w:t>
            </w:r>
          </w:p>
        </w:tc>
        <w:tc>
          <w:tcPr>
            <w:tcW w:w="336" w:type="dxa"/>
          </w:tcPr>
          <w:p w14:paraId="199CECF5">
            <w:pPr>
              <w:spacing w:line="260" w:lineRule="exact"/>
              <w:rPr>
                <w:sz w:val="18"/>
                <w:szCs w:val="18"/>
              </w:rPr>
            </w:pPr>
          </w:p>
        </w:tc>
        <w:tc>
          <w:tcPr>
            <w:tcW w:w="2802" w:type="dxa"/>
          </w:tcPr>
          <w:p w14:paraId="3708E9B2">
            <w:pPr>
              <w:spacing w:line="260" w:lineRule="exact"/>
              <w:rPr>
                <w:sz w:val="18"/>
                <w:szCs w:val="18"/>
              </w:rPr>
            </w:pPr>
            <w:r>
              <w:rPr>
                <w:sz w:val="18"/>
                <w:szCs w:val="18"/>
              </w:rPr>
              <w:t>２０　　年 １</w:t>
            </w:r>
            <w:r>
              <w:rPr>
                <w:kern w:val="0"/>
                <w:sz w:val="18"/>
                <w:szCs w:val="18"/>
              </w:rPr>
              <w:t>－</w:t>
            </w:r>
            <w:r>
              <w:rPr>
                <w:sz w:val="18"/>
                <w:szCs w:val="18"/>
              </w:rPr>
              <w:t xml:space="preserve">   季　　　　　　　　　</w:t>
            </w:r>
          </w:p>
        </w:tc>
        <w:tc>
          <w:tcPr>
            <w:tcW w:w="925" w:type="dxa"/>
            <w:tcMar>
              <w:left w:w="0" w:type="dxa"/>
              <w:right w:w="0" w:type="dxa"/>
            </w:tcMar>
            <w:vAlign w:val="center"/>
          </w:tcPr>
          <w:p w14:paraId="4CBDFE15">
            <w:pPr>
              <w:spacing w:line="260" w:lineRule="exact"/>
              <w:rPr>
                <w:sz w:val="18"/>
                <w:szCs w:val="18"/>
              </w:rPr>
            </w:pPr>
            <w:r>
              <w:rPr>
                <w:sz w:val="18"/>
                <w:szCs w:val="18"/>
              </w:rPr>
              <w:t>有效期至：</w:t>
            </w:r>
          </w:p>
        </w:tc>
        <w:tc>
          <w:tcPr>
            <w:tcW w:w="1774" w:type="dxa"/>
            <w:vAlign w:val="center"/>
          </w:tcPr>
          <w:p w14:paraId="6A2661D9">
            <w:pPr>
              <w:spacing w:line="260" w:lineRule="exact"/>
              <w:jc w:val="distribute"/>
              <w:rPr>
                <w:rFonts w:hint="default" w:eastAsia="宋体"/>
                <w:sz w:val="18"/>
                <w:szCs w:val="18"/>
                <w:lang w:val="en-US" w:eastAsia="zh-CN"/>
              </w:rPr>
            </w:pPr>
            <w:r>
              <w:rPr>
                <w:rFonts w:hint="default"/>
                <w:sz w:val="18"/>
                <w:szCs w:val="18"/>
                <w:lang w:val="en-US" w:eastAsia="zh-CN"/>
              </w:rPr>
              <w:t>２０２</w:t>
            </w:r>
            <w:del w:id="505" w:author="kylin" w:date="2025-10-17T16:22:57Z">
              <w:r>
                <w:rPr>
                  <w:rFonts w:hint="default"/>
                  <w:sz w:val="18"/>
                  <w:szCs w:val="18"/>
                  <w:lang w:val="en-US" w:eastAsia="zh-CN"/>
                </w:rPr>
                <w:delText>６</w:delText>
              </w:r>
            </w:del>
            <w:ins w:id="506" w:author="kylin" w:date="2025-10-17T16:22:57Z">
              <w:r>
                <w:rPr>
                  <w:rFonts w:hint="eastAsia"/>
                  <w:sz w:val="18"/>
                  <w:szCs w:val="18"/>
                  <w:lang w:val="en-US" w:eastAsia="zh-CN"/>
                </w:rPr>
                <w:t>7</w:t>
              </w:r>
            </w:ins>
            <w:r>
              <w:rPr>
                <w:rFonts w:hint="default"/>
                <w:sz w:val="18"/>
                <w:szCs w:val="18"/>
                <w:lang w:val="en-US" w:eastAsia="zh-CN"/>
              </w:rPr>
              <w:t>年１月</w:t>
            </w:r>
          </w:p>
        </w:tc>
      </w:tr>
    </w:tbl>
    <w:p w14:paraId="5CA9EDEC">
      <w:pPr>
        <w:spacing w:line="20" w:lineRule="exact"/>
        <w:jc w:val="center"/>
        <w:rPr>
          <w:sz w:val="32"/>
        </w:rPr>
      </w:pPr>
    </w:p>
    <w:tbl>
      <w:tblPr>
        <w:tblStyle w:val="20"/>
        <w:tblpPr w:leftFromText="180" w:rightFromText="180" w:vertAnchor="text" w:tblpXSpec="center" w:tblpY="1"/>
        <w:tblOverlap w:val="never"/>
        <w:tblW w:w="9408"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4109"/>
        <w:gridCol w:w="1306"/>
        <w:gridCol w:w="537"/>
        <w:gridCol w:w="702"/>
        <w:gridCol w:w="702"/>
        <w:gridCol w:w="702"/>
        <w:gridCol w:w="720"/>
        <w:gridCol w:w="630"/>
      </w:tblGrid>
      <w:tr w14:paraId="3E81F09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0" w:hRule="exact"/>
        </w:trPr>
        <w:tc>
          <w:tcPr>
            <w:tcW w:w="4109" w:type="dxa"/>
            <w:vMerge w:val="restart"/>
            <w:tcBorders>
              <w:top w:val="single" w:color="auto" w:sz="8" w:space="0"/>
              <w:left w:val="nil"/>
              <w:bottom w:val="single" w:color="auto" w:sz="2" w:space="0"/>
              <w:right w:val="single" w:color="auto" w:sz="2" w:space="0"/>
            </w:tcBorders>
            <w:vAlign w:val="center"/>
          </w:tcPr>
          <w:p w14:paraId="71C39568">
            <w:pPr>
              <w:ind w:firstLine="1"/>
              <w:jc w:val="center"/>
              <w:rPr>
                <w:sz w:val="18"/>
                <w:szCs w:val="18"/>
              </w:rPr>
            </w:pPr>
            <w:r>
              <w:rPr>
                <w:sz w:val="18"/>
                <w:szCs w:val="18"/>
              </w:rPr>
              <w:t>指标名称</w:t>
            </w:r>
          </w:p>
        </w:tc>
        <w:tc>
          <w:tcPr>
            <w:tcW w:w="1306" w:type="dxa"/>
            <w:vMerge w:val="restart"/>
            <w:tcBorders>
              <w:top w:val="single" w:color="auto" w:sz="8" w:space="0"/>
              <w:left w:val="single" w:color="auto" w:sz="2" w:space="0"/>
              <w:bottom w:val="single" w:color="auto" w:sz="2" w:space="0"/>
              <w:right w:val="single" w:color="auto" w:sz="2" w:space="0"/>
            </w:tcBorders>
            <w:vAlign w:val="center"/>
          </w:tcPr>
          <w:p w14:paraId="6230CE18">
            <w:pPr>
              <w:jc w:val="center"/>
              <w:rPr>
                <w:sz w:val="18"/>
                <w:szCs w:val="18"/>
              </w:rPr>
            </w:pPr>
            <w:r>
              <w:rPr>
                <w:sz w:val="18"/>
                <w:szCs w:val="18"/>
              </w:rPr>
              <w:t>计量单位</w:t>
            </w:r>
          </w:p>
        </w:tc>
        <w:tc>
          <w:tcPr>
            <w:tcW w:w="537" w:type="dxa"/>
            <w:vMerge w:val="restart"/>
            <w:tcBorders>
              <w:top w:val="single" w:color="auto" w:sz="8" w:space="0"/>
              <w:left w:val="single" w:color="auto" w:sz="2" w:space="0"/>
              <w:bottom w:val="single" w:color="auto" w:sz="2" w:space="0"/>
              <w:right w:val="single" w:color="auto" w:sz="2" w:space="0"/>
            </w:tcBorders>
            <w:vAlign w:val="center"/>
          </w:tcPr>
          <w:p w14:paraId="10CF66EC">
            <w:pPr>
              <w:jc w:val="center"/>
              <w:rPr>
                <w:sz w:val="18"/>
                <w:szCs w:val="18"/>
              </w:rPr>
            </w:pPr>
            <w:r>
              <w:rPr>
                <w:sz w:val="18"/>
                <w:szCs w:val="18"/>
              </w:rPr>
              <w:t>代码</w:t>
            </w:r>
          </w:p>
        </w:tc>
        <w:tc>
          <w:tcPr>
            <w:tcW w:w="702" w:type="dxa"/>
            <w:vMerge w:val="restart"/>
            <w:tcBorders>
              <w:top w:val="single" w:color="auto" w:sz="8" w:space="0"/>
              <w:left w:val="single" w:color="auto" w:sz="2" w:space="0"/>
              <w:bottom w:val="single" w:color="auto" w:sz="2" w:space="0"/>
              <w:right w:val="single" w:color="auto" w:sz="2" w:space="0"/>
            </w:tcBorders>
            <w:vAlign w:val="center"/>
          </w:tcPr>
          <w:p w14:paraId="4F51512B">
            <w:pPr>
              <w:jc w:val="center"/>
              <w:rPr>
                <w:sz w:val="18"/>
                <w:szCs w:val="18"/>
              </w:rPr>
            </w:pPr>
            <w:r>
              <w:rPr>
                <w:sz w:val="18"/>
                <w:szCs w:val="18"/>
              </w:rPr>
              <w:t>本  期</w:t>
            </w:r>
          </w:p>
        </w:tc>
        <w:tc>
          <w:tcPr>
            <w:tcW w:w="702" w:type="dxa"/>
            <w:vMerge w:val="restart"/>
            <w:tcBorders>
              <w:top w:val="single" w:color="auto" w:sz="8" w:space="0"/>
              <w:left w:val="single" w:color="auto" w:sz="2" w:space="0"/>
              <w:bottom w:val="single" w:color="auto" w:sz="2" w:space="0"/>
              <w:right w:val="single" w:color="auto" w:sz="2" w:space="0"/>
            </w:tcBorders>
            <w:vAlign w:val="center"/>
          </w:tcPr>
          <w:p w14:paraId="48643424">
            <w:pPr>
              <w:jc w:val="center"/>
              <w:rPr>
                <w:sz w:val="18"/>
                <w:szCs w:val="18"/>
              </w:rPr>
            </w:pPr>
            <w:r>
              <w:rPr>
                <w:sz w:val="18"/>
                <w:szCs w:val="18"/>
              </w:rPr>
              <w:t>上年</w:t>
            </w:r>
          </w:p>
          <w:p w14:paraId="623512DC">
            <w:pPr>
              <w:jc w:val="center"/>
              <w:rPr>
                <w:sz w:val="18"/>
                <w:szCs w:val="18"/>
              </w:rPr>
            </w:pPr>
            <w:r>
              <w:rPr>
                <w:sz w:val="18"/>
                <w:szCs w:val="18"/>
              </w:rPr>
              <w:t>同期</w:t>
            </w:r>
          </w:p>
        </w:tc>
        <w:tc>
          <w:tcPr>
            <w:tcW w:w="702" w:type="dxa"/>
            <w:vMerge w:val="restart"/>
            <w:tcBorders>
              <w:top w:val="single" w:color="auto" w:sz="8" w:space="0"/>
              <w:left w:val="single" w:color="auto" w:sz="2" w:space="0"/>
              <w:bottom w:val="single" w:color="auto" w:sz="2" w:space="0"/>
              <w:right w:val="single" w:color="auto" w:sz="2" w:space="0"/>
            </w:tcBorders>
            <w:vAlign w:val="center"/>
          </w:tcPr>
          <w:p w14:paraId="25841EB6">
            <w:pPr>
              <w:jc w:val="center"/>
              <w:rPr>
                <w:sz w:val="18"/>
                <w:szCs w:val="18"/>
              </w:rPr>
            </w:pPr>
            <w:r>
              <w:rPr>
                <w:sz w:val="18"/>
                <w:szCs w:val="18"/>
              </w:rPr>
              <w:t>比上年同期增长(%)</w:t>
            </w:r>
          </w:p>
        </w:tc>
        <w:tc>
          <w:tcPr>
            <w:tcW w:w="1350" w:type="dxa"/>
            <w:gridSpan w:val="2"/>
            <w:tcBorders>
              <w:top w:val="single" w:color="auto" w:sz="8" w:space="0"/>
              <w:left w:val="single" w:color="auto" w:sz="2" w:space="0"/>
              <w:bottom w:val="single" w:color="auto" w:sz="2" w:space="0"/>
              <w:right w:val="nil"/>
            </w:tcBorders>
            <w:vAlign w:val="center"/>
          </w:tcPr>
          <w:p w14:paraId="7959501D">
            <w:pPr>
              <w:jc w:val="center"/>
              <w:rPr>
                <w:sz w:val="18"/>
                <w:szCs w:val="18"/>
              </w:rPr>
            </w:pPr>
            <w:r>
              <w:rPr>
                <w:sz w:val="18"/>
                <w:szCs w:val="18"/>
              </w:rPr>
              <w:t>能耗比重(%)</w:t>
            </w:r>
          </w:p>
        </w:tc>
      </w:tr>
      <w:tr w14:paraId="4E22F4A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486" w:hRule="exact"/>
        </w:trPr>
        <w:tc>
          <w:tcPr>
            <w:tcW w:w="4109" w:type="dxa"/>
            <w:vMerge w:val="continue"/>
            <w:tcBorders>
              <w:top w:val="single" w:color="auto" w:sz="2" w:space="0"/>
              <w:left w:val="nil"/>
              <w:bottom w:val="single" w:color="auto" w:sz="2" w:space="0"/>
              <w:right w:val="single" w:color="auto" w:sz="2" w:space="0"/>
            </w:tcBorders>
            <w:vAlign w:val="center"/>
          </w:tcPr>
          <w:p w14:paraId="21EF9AE2">
            <w:pPr>
              <w:ind w:firstLine="1"/>
              <w:jc w:val="center"/>
              <w:rPr>
                <w:sz w:val="18"/>
                <w:szCs w:val="18"/>
              </w:rPr>
            </w:pPr>
          </w:p>
        </w:tc>
        <w:tc>
          <w:tcPr>
            <w:tcW w:w="1306" w:type="dxa"/>
            <w:vMerge w:val="continue"/>
            <w:tcBorders>
              <w:top w:val="single" w:color="auto" w:sz="2" w:space="0"/>
              <w:left w:val="single" w:color="auto" w:sz="2" w:space="0"/>
              <w:bottom w:val="single" w:color="auto" w:sz="2" w:space="0"/>
              <w:right w:val="single" w:color="auto" w:sz="2" w:space="0"/>
            </w:tcBorders>
            <w:vAlign w:val="center"/>
          </w:tcPr>
          <w:p w14:paraId="2805574D">
            <w:pPr>
              <w:jc w:val="center"/>
              <w:rPr>
                <w:sz w:val="18"/>
                <w:szCs w:val="18"/>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14:paraId="5B51D7D4">
            <w:pPr>
              <w:jc w:val="center"/>
              <w:rPr>
                <w:sz w:val="18"/>
                <w:szCs w:val="18"/>
              </w:rPr>
            </w:pPr>
          </w:p>
        </w:tc>
        <w:tc>
          <w:tcPr>
            <w:tcW w:w="702" w:type="dxa"/>
            <w:vMerge w:val="continue"/>
            <w:tcBorders>
              <w:top w:val="single" w:color="auto" w:sz="2" w:space="0"/>
              <w:left w:val="single" w:color="auto" w:sz="2" w:space="0"/>
              <w:bottom w:val="single" w:color="auto" w:sz="2" w:space="0"/>
              <w:right w:val="single" w:color="auto" w:sz="2" w:space="0"/>
            </w:tcBorders>
            <w:vAlign w:val="center"/>
          </w:tcPr>
          <w:p w14:paraId="589A3DEF">
            <w:pPr>
              <w:jc w:val="center"/>
              <w:rPr>
                <w:sz w:val="18"/>
                <w:szCs w:val="18"/>
              </w:rPr>
            </w:pPr>
          </w:p>
        </w:tc>
        <w:tc>
          <w:tcPr>
            <w:tcW w:w="702" w:type="dxa"/>
            <w:vMerge w:val="continue"/>
            <w:tcBorders>
              <w:top w:val="single" w:color="auto" w:sz="2" w:space="0"/>
              <w:left w:val="single" w:color="auto" w:sz="2" w:space="0"/>
              <w:bottom w:val="single" w:color="auto" w:sz="2" w:space="0"/>
              <w:right w:val="single" w:color="auto" w:sz="2" w:space="0"/>
            </w:tcBorders>
            <w:vAlign w:val="center"/>
          </w:tcPr>
          <w:p w14:paraId="12B87216">
            <w:pPr>
              <w:jc w:val="center"/>
              <w:rPr>
                <w:sz w:val="18"/>
                <w:szCs w:val="18"/>
              </w:rPr>
            </w:pPr>
          </w:p>
        </w:tc>
        <w:tc>
          <w:tcPr>
            <w:tcW w:w="702" w:type="dxa"/>
            <w:vMerge w:val="continue"/>
            <w:tcBorders>
              <w:top w:val="single" w:color="auto" w:sz="2" w:space="0"/>
              <w:left w:val="single" w:color="auto" w:sz="2" w:space="0"/>
              <w:bottom w:val="single" w:color="auto" w:sz="2" w:space="0"/>
              <w:right w:val="single" w:color="auto" w:sz="2" w:space="0"/>
            </w:tcBorders>
            <w:vAlign w:val="center"/>
          </w:tcPr>
          <w:p w14:paraId="040F9DCB">
            <w:pPr>
              <w:jc w:val="center"/>
              <w:rPr>
                <w:sz w:val="18"/>
                <w:szCs w:val="18"/>
              </w:rPr>
            </w:pPr>
          </w:p>
        </w:tc>
        <w:tc>
          <w:tcPr>
            <w:tcW w:w="720" w:type="dxa"/>
            <w:tcBorders>
              <w:top w:val="single" w:color="auto" w:sz="2" w:space="0"/>
              <w:left w:val="single" w:color="auto" w:sz="2" w:space="0"/>
              <w:bottom w:val="single" w:color="auto" w:sz="2" w:space="0"/>
              <w:right w:val="single" w:color="auto" w:sz="2" w:space="0"/>
            </w:tcBorders>
            <w:vAlign w:val="center"/>
          </w:tcPr>
          <w:p w14:paraId="2B2F88A1">
            <w:pPr>
              <w:jc w:val="center"/>
              <w:rPr>
                <w:sz w:val="18"/>
                <w:szCs w:val="18"/>
              </w:rPr>
            </w:pPr>
            <w:r>
              <w:rPr>
                <w:sz w:val="18"/>
                <w:szCs w:val="18"/>
              </w:rPr>
              <w:t>本期</w:t>
            </w:r>
          </w:p>
        </w:tc>
        <w:tc>
          <w:tcPr>
            <w:tcW w:w="630" w:type="dxa"/>
            <w:tcBorders>
              <w:top w:val="single" w:color="auto" w:sz="2" w:space="0"/>
              <w:left w:val="single" w:color="auto" w:sz="2" w:space="0"/>
              <w:bottom w:val="single" w:color="auto" w:sz="2" w:space="0"/>
              <w:right w:val="nil"/>
            </w:tcBorders>
            <w:vAlign w:val="center"/>
          </w:tcPr>
          <w:p w14:paraId="5AF19330">
            <w:pPr>
              <w:jc w:val="center"/>
              <w:rPr>
                <w:sz w:val="18"/>
                <w:szCs w:val="18"/>
              </w:rPr>
            </w:pPr>
            <w:r>
              <w:rPr>
                <w:sz w:val="18"/>
                <w:szCs w:val="18"/>
              </w:rPr>
              <w:t>上 年 同 期</w:t>
            </w:r>
          </w:p>
        </w:tc>
      </w:tr>
      <w:tr w14:paraId="64BDB44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88" w:hRule="exact"/>
        </w:trPr>
        <w:tc>
          <w:tcPr>
            <w:tcW w:w="4109" w:type="dxa"/>
            <w:tcBorders>
              <w:top w:val="single" w:color="auto" w:sz="2" w:space="0"/>
              <w:left w:val="nil"/>
              <w:bottom w:val="single" w:color="auto" w:sz="2" w:space="0"/>
              <w:right w:val="single" w:color="auto" w:sz="2" w:space="0"/>
            </w:tcBorders>
            <w:vAlign w:val="center"/>
          </w:tcPr>
          <w:p w14:paraId="775FEC04">
            <w:pPr>
              <w:spacing w:line="240" w:lineRule="atLeast"/>
              <w:ind w:firstLine="1"/>
              <w:jc w:val="center"/>
              <w:textAlignment w:val="center"/>
              <w:rPr>
                <w:sz w:val="18"/>
                <w:szCs w:val="18"/>
              </w:rPr>
            </w:pPr>
            <w:r>
              <w:rPr>
                <w:sz w:val="18"/>
                <w:szCs w:val="18"/>
              </w:rPr>
              <w:t>甲</w:t>
            </w:r>
          </w:p>
        </w:tc>
        <w:tc>
          <w:tcPr>
            <w:tcW w:w="1306" w:type="dxa"/>
            <w:tcBorders>
              <w:top w:val="single" w:color="auto" w:sz="2" w:space="0"/>
              <w:left w:val="single" w:color="auto" w:sz="2" w:space="0"/>
              <w:bottom w:val="single" w:color="auto" w:sz="2" w:space="0"/>
              <w:right w:val="single" w:color="auto" w:sz="2" w:space="0"/>
            </w:tcBorders>
            <w:vAlign w:val="center"/>
          </w:tcPr>
          <w:p w14:paraId="5AFC4CF3">
            <w:pPr>
              <w:spacing w:line="240" w:lineRule="atLeast"/>
              <w:jc w:val="center"/>
              <w:textAlignment w:val="center"/>
              <w:rPr>
                <w:sz w:val="18"/>
                <w:szCs w:val="18"/>
              </w:rPr>
            </w:pPr>
            <w:r>
              <w:rPr>
                <w:sz w:val="18"/>
                <w:szCs w:val="18"/>
              </w:rPr>
              <w:t>乙</w:t>
            </w:r>
          </w:p>
        </w:tc>
        <w:tc>
          <w:tcPr>
            <w:tcW w:w="537" w:type="dxa"/>
            <w:tcBorders>
              <w:top w:val="single" w:color="auto" w:sz="2" w:space="0"/>
              <w:left w:val="single" w:color="auto" w:sz="2" w:space="0"/>
              <w:bottom w:val="single" w:color="auto" w:sz="2" w:space="0"/>
              <w:right w:val="single" w:color="auto" w:sz="2" w:space="0"/>
            </w:tcBorders>
            <w:vAlign w:val="center"/>
          </w:tcPr>
          <w:p w14:paraId="034A72EB">
            <w:pPr>
              <w:spacing w:line="240" w:lineRule="atLeast"/>
              <w:jc w:val="center"/>
              <w:textAlignment w:val="center"/>
              <w:rPr>
                <w:sz w:val="18"/>
                <w:szCs w:val="18"/>
              </w:rPr>
            </w:pPr>
            <w:r>
              <w:rPr>
                <w:sz w:val="18"/>
                <w:szCs w:val="18"/>
              </w:rPr>
              <w:t>丙</w:t>
            </w:r>
          </w:p>
        </w:tc>
        <w:tc>
          <w:tcPr>
            <w:tcW w:w="702" w:type="dxa"/>
            <w:tcBorders>
              <w:top w:val="single" w:color="auto" w:sz="2" w:space="0"/>
              <w:left w:val="single" w:color="auto" w:sz="2" w:space="0"/>
              <w:bottom w:val="single" w:color="auto" w:sz="2" w:space="0"/>
              <w:right w:val="single" w:color="auto" w:sz="2" w:space="0"/>
            </w:tcBorders>
            <w:vAlign w:val="center"/>
          </w:tcPr>
          <w:p w14:paraId="17A2374A">
            <w:pPr>
              <w:spacing w:line="240" w:lineRule="atLeast"/>
              <w:jc w:val="center"/>
              <w:textAlignment w:val="center"/>
              <w:rPr>
                <w:sz w:val="18"/>
                <w:szCs w:val="18"/>
              </w:rPr>
            </w:pPr>
            <w:r>
              <w:rPr>
                <w:sz w:val="18"/>
                <w:szCs w:val="18"/>
              </w:rPr>
              <w:t>1</w:t>
            </w:r>
          </w:p>
        </w:tc>
        <w:tc>
          <w:tcPr>
            <w:tcW w:w="702" w:type="dxa"/>
            <w:tcBorders>
              <w:top w:val="single" w:color="auto" w:sz="2" w:space="0"/>
              <w:left w:val="single" w:color="auto" w:sz="2" w:space="0"/>
              <w:bottom w:val="single" w:color="auto" w:sz="2" w:space="0"/>
              <w:right w:val="single" w:color="auto" w:sz="2" w:space="0"/>
            </w:tcBorders>
            <w:vAlign w:val="center"/>
          </w:tcPr>
          <w:p w14:paraId="389641FD">
            <w:pPr>
              <w:spacing w:line="240" w:lineRule="atLeast"/>
              <w:jc w:val="center"/>
              <w:textAlignment w:val="center"/>
              <w:rPr>
                <w:sz w:val="18"/>
                <w:szCs w:val="18"/>
              </w:rPr>
            </w:pPr>
            <w:r>
              <w:rPr>
                <w:sz w:val="18"/>
                <w:szCs w:val="18"/>
              </w:rPr>
              <w:t>2</w:t>
            </w:r>
          </w:p>
        </w:tc>
        <w:tc>
          <w:tcPr>
            <w:tcW w:w="702" w:type="dxa"/>
            <w:tcBorders>
              <w:top w:val="single" w:color="auto" w:sz="2" w:space="0"/>
              <w:left w:val="single" w:color="auto" w:sz="2" w:space="0"/>
              <w:bottom w:val="single" w:color="auto" w:sz="2" w:space="0"/>
              <w:right w:val="single" w:color="auto" w:sz="2" w:space="0"/>
            </w:tcBorders>
            <w:vAlign w:val="center"/>
          </w:tcPr>
          <w:p w14:paraId="0D43CA8D">
            <w:pPr>
              <w:spacing w:line="240" w:lineRule="atLeast"/>
              <w:jc w:val="center"/>
              <w:textAlignment w:val="center"/>
              <w:rPr>
                <w:sz w:val="18"/>
                <w:szCs w:val="18"/>
              </w:rPr>
            </w:pPr>
            <w:r>
              <w:rPr>
                <w:sz w:val="18"/>
                <w:szCs w:val="18"/>
              </w:rPr>
              <w:t>3</w:t>
            </w:r>
          </w:p>
        </w:tc>
        <w:tc>
          <w:tcPr>
            <w:tcW w:w="720" w:type="dxa"/>
            <w:tcBorders>
              <w:top w:val="single" w:color="auto" w:sz="2" w:space="0"/>
              <w:left w:val="single" w:color="auto" w:sz="2" w:space="0"/>
              <w:bottom w:val="single" w:color="auto" w:sz="2" w:space="0"/>
              <w:right w:val="single" w:color="auto" w:sz="2" w:space="0"/>
            </w:tcBorders>
            <w:vAlign w:val="center"/>
          </w:tcPr>
          <w:p w14:paraId="291C4783">
            <w:pPr>
              <w:spacing w:line="240" w:lineRule="atLeast"/>
              <w:jc w:val="center"/>
              <w:textAlignment w:val="center"/>
              <w:rPr>
                <w:sz w:val="18"/>
                <w:szCs w:val="18"/>
              </w:rPr>
            </w:pPr>
            <w:r>
              <w:rPr>
                <w:sz w:val="18"/>
                <w:szCs w:val="18"/>
              </w:rPr>
              <w:t>4</w:t>
            </w:r>
          </w:p>
        </w:tc>
        <w:tc>
          <w:tcPr>
            <w:tcW w:w="630" w:type="dxa"/>
            <w:tcBorders>
              <w:top w:val="single" w:color="auto" w:sz="2" w:space="0"/>
              <w:left w:val="single" w:color="auto" w:sz="2" w:space="0"/>
              <w:bottom w:val="single" w:color="auto" w:sz="2" w:space="0"/>
              <w:right w:val="nil"/>
            </w:tcBorders>
            <w:vAlign w:val="center"/>
          </w:tcPr>
          <w:p w14:paraId="69E04397">
            <w:pPr>
              <w:spacing w:line="240" w:lineRule="atLeast"/>
              <w:jc w:val="center"/>
              <w:textAlignment w:val="center"/>
              <w:rPr>
                <w:sz w:val="18"/>
                <w:szCs w:val="18"/>
              </w:rPr>
            </w:pPr>
            <w:r>
              <w:rPr>
                <w:sz w:val="18"/>
                <w:szCs w:val="18"/>
              </w:rPr>
              <w:t>5</w:t>
            </w:r>
          </w:p>
        </w:tc>
      </w:tr>
      <w:tr w14:paraId="4A16F2A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single" w:color="auto" w:sz="2" w:space="0"/>
              <w:left w:val="nil"/>
              <w:bottom w:val="nil"/>
              <w:right w:val="single" w:color="auto" w:sz="2" w:space="0"/>
            </w:tcBorders>
            <w:vAlign w:val="center"/>
          </w:tcPr>
          <w:p w14:paraId="67D3D05A">
            <w:pPr>
              <w:spacing w:line="240" w:lineRule="exact"/>
              <w:ind w:firstLine="1"/>
              <w:textAlignment w:val="center"/>
              <w:rPr>
                <w:rFonts w:ascii="宋体" w:hAnsi="宋体"/>
                <w:sz w:val="18"/>
                <w:szCs w:val="18"/>
              </w:rPr>
            </w:pPr>
            <w:r>
              <w:rPr>
                <w:rFonts w:ascii="宋体" w:hAnsi="宋体"/>
                <w:sz w:val="18"/>
                <w:szCs w:val="18"/>
              </w:rPr>
              <w:t>一、能源消费总量</w:t>
            </w:r>
          </w:p>
        </w:tc>
        <w:tc>
          <w:tcPr>
            <w:tcW w:w="1306" w:type="dxa"/>
            <w:tcBorders>
              <w:top w:val="single" w:color="auto" w:sz="2" w:space="0"/>
              <w:left w:val="single" w:color="auto" w:sz="2" w:space="0"/>
              <w:bottom w:val="nil"/>
              <w:right w:val="single" w:color="auto" w:sz="2" w:space="0"/>
            </w:tcBorders>
            <w:vAlign w:val="center"/>
          </w:tcPr>
          <w:p w14:paraId="4199E3EC">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single" w:color="auto" w:sz="2" w:space="0"/>
              <w:left w:val="single" w:color="auto" w:sz="2" w:space="0"/>
              <w:bottom w:val="nil"/>
              <w:right w:val="single" w:color="auto" w:sz="2" w:space="0"/>
            </w:tcBorders>
            <w:vAlign w:val="center"/>
          </w:tcPr>
          <w:p w14:paraId="426121C5">
            <w:pPr>
              <w:spacing w:line="240" w:lineRule="exact"/>
              <w:jc w:val="center"/>
              <w:textAlignment w:val="center"/>
              <w:rPr>
                <w:rFonts w:ascii="宋体" w:hAnsi="宋体"/>
                <w:sz w:val="18"/>
                <w:szCs w:val="18"/>
              </w:rPr>
            </w:pPr>
            <w:r>
              <w:rPr>
                <w:rFonts w:ascii="宋体" w:hAnsi="宋体"/>
                <w:sz w:val="18"/>
                <w:szCs w:val="18"/>
              </w:rPr>
              <w:t>01</w:t>
            </w:r>
          </w:p>
        </w:tc>
        <w:tc>
          <w:tcPr>
            <w:tcW w:w="702" w:type="dxa"/>
            <w:tcBorders>
              <w:top w:val="single" w:color="auto" w:sz="2" w:space="0"/>
              <w:left w:val="single" w:color="auto" w:sz="2" w:space="0"/>
              <w:bottom w:val="nil"/>
              <w:right w:val="nil"/>
            </w:tcBorders>
            <w:vAlign w:val="center"/>
          </w:tcPr>
          <w:p w14:paraId="34AE3F50">
            <w:pPr>
              <w:spacing w:line="240" w:lineRule="exact"/>
              <w:jc w:val="center"/>
              <w:textAlignment w:val="center"/>
              <w:rPr>
                <w:rFonts w:ascii="宋体" w:hAnsi="宋体"/>
                <w:sz w:val="18"/>
                <w:szCs w:val="18"/>
              </w:rPr>
            </w:pPr>
          </w:p>
        </w:tc>
        <w:tc>
          <w:tcPr>
            <w:tcW w:w="702" w:type="dxa"/>
            <w:tcBorders>
              <w:top w:val="single" w:color="auto" w:sz="2" w:space="0"/>
              <w:left w:val="nil"/>
              <w:bottom w:val="nil"/>
              <w:right w:val="nil"/>
            </w:tcBorders>
            <w:vAlign w:val="center"/>
          </w:tcPr>
          <w:p w14:paraId="2F073868">
            <w:pPr>
              <w:spacing w:line="240" w:lineRule="exact"/>
              <w:jc w:val="center"/>
              <w:textAlignment w:val="center"/>
              <w:rPr>
                <w:rFonts w:ascii="宋体" w:hAnsi="宋体"/>
                <w:sz w:val="18"/>
                <w:szCs w:val="18"/>
              </w:rPr>
            </w:pPr>
          </w:p>
        </w:tc>
        <w:tc>
          <w:tcPr>
            <w:tcW w:w="702" w:type="dxa"/>
            <w:tcBorders>
              <w:top w:val="single" w:color="auto" w:sz="2" w:space="0"/>
              <w:left w:val="nil"/>
              <w:bottom w:val="nil"/>
              <w:right w:val="nil"/>
            </w:tcBorders>
            <w:vAlign w:val="center"/>
          </w:tcPr>
          <w:p w14:paraId="0AA3C6EE">
            <w:pPr>
              <w:spacing w:line="240" w:lineRule="exact"/>
              <w:jc w:val="center"/>
              <w:textAlignment w:val="center"/>
              <w:rPr>
                <w:rFonts w:ascii="宋体" w:hAnsi="宋体"/>
                <w:sz w:val="18"/>
                <w:szCs w:val="18"/>
              </w:rPr>
            </w:pPr>
          </w:p>
        </w:tc>
        <w:tc>
          <w:tcPr>
            <w:tcW w:w="720" w:type="dxa"/>
            <w:tcBorders>
              <w:top w:val="single" w:color="auto" w:sz="2" w:space="0"/>
              <w:left w:val="nil"/>
              <w:bottom w:val="nil"/>
              <w:right w:val="nil"/>
            </w:tcBorders>
            <w:vAlign w:val="center"/>
          </w:tcPr>
          <w:p w14:paraId="54816790">
            <w:pPr>
              <w:spacing w:line="240" w:lineRule="exact"/>
              <w:jc w:val="center"/>
              <w:textAlignment w:val="center"/>
              <w:rPr>
                <w:rFonts w:ascii="宋体" w:hAnsi="宋体"/>
                <w:sz w:val="18"/>
                <w:szCs w:val="18"/>
              </w:rPr>
            </w:pPr>
            <w:r>
              <w:rPr>
                <w:rFonts w:ascii="宋体" w:hAnsi="宋体"/>
                <w:sz w:val="18"/>
                <w:szCs w:val="18"/>
              </w:rPr>
              <w:t>100</w:t>
            </w:r>
          </w:p>
        </w:tc>
        <w:tc>
          <w:tcPr>
            <w:tcW w:w="630" w:type="dxa"/>
            <w:tcBorders>
              <w:top w:val="single" w:color="auto" w:sz="2" w:space="0"/>
              <w:left w:val="nil"/>
              <w:bottom w:val="nil"/>
              <w:right w:val="nil"/>
            </w:tcBorders>
            <w:vAlign w:val="center"/>
          </w:tcPr>
          <w:p w14:paraId="55E93687">
            <w:pPr>
              <w:spacing w:line="240" w:lineRule="exact"/>
              <w:jc w:val="center"/>
              <w:textAlignment w:val="center"/>
              <w:rPr>
                <w:rFonts w:ascii="宋体" w:hAnsi="宋体"/>
                <w:sz w:val="18"/>
                <w:szCs w:val="18"/>
              </w:rPr>
            </w:pPr>
            <w:r>
              <w:rPr>
                <w:rFonts w:ascii="宋体" w:hAnsi="宋体"/>
                <w:sz w:val="18"/>
                <w:szCs w:val="18"/>
              </w:rPr>
              <w:t>100</w:t>
            </w:r>
          </w:p>
        </w:tc>
      </w:tr>
      <w:tr w14:paraId="5C12C4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6C9DCC83">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一</w:t>
            </w:r>
            <w:r>
              <w:rPr>
                <w:rFonts w:hint="eastAsia" w:ascii="宋体" w:hAnsi="宋体"/>
                <w:sz w:val="18"/>
                <w:szCs w:val="18"/>
              </w:rPr>
              <w:t>）</w:t>
            </w:r>
            <w:r>
              <w:rPr>
                <w:rFonts w:ascii="宋体" w:hAnsi="宋体"/>
                <w:sz w:val="18"/>
                <w:szCs w:val="18"/>
              </w:rPr>
              <w:t>农、林、牧、渔业</w:t>
            </w:r>
          </w:p>
        </w:tc>
        <w:tc>
          <w:tcPr>
            <w:tcW w:w="1306" w:type="dxa"/>
            <w:tcBorders>
              <w:top w:val="nil"/>
              <w:left w:val="single" w:color="auto" w:sz="2" w:space="0"/>
              <w:bottom w:val="nil"/>
              <w:right w:val="single" w:color="auto" w:sz="2" w:space="0"/>
            </w:tcBorders>
            <w:vAlign w:val="center"/>
          </w:tcPr>
          <w:p w14:paraId="53D38B99">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74816392">
            <w:pPr>
              <w:spacing w:line="240" w:lineRule="exact"/>
              <w:jc w:val="center"/>
              <w:textAlignment w:val="center"/>
              <w:rPr>
                <w:rFonts w:ascii="宋体" w:hAnsi="宋体"/>
                <w:sz w:val="18"/>
                <w:szCs w:val="18"/>
              </w:rPr>
            </w:pPr>
            <w:r>
              <w:rPr>
                <w:rFonts w:ascii="宋体" w:hAnsi="宋体"/>
                <w:sz w:val="18"/>
                <w:szCs w:val="18"/>
              </w:rPr>
              <w:t>02</w:t>
            </w:r>
          </w:p>
        </w:tc>
        <w:tc>
          <w:tcPr>
            <w:tcW w:w="702" w:type="dxa"/>
            <w:tcBorders>
              <w:top w:val="nil"/>
              <w:left w:val="single" w:color="auto" w:sz="2" w:space="0"/>
              <w:bottom w:val="nil"/>
              <w:right w:val="nil"/>
            </w:tcBorders>
            <w:vAlign w:val="center"/>
          </w:tcPr>
          <w:p w14:paraId="7144FB2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0CBC7BE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E1E4B13">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5C0A4B14">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3AAF100E">
            <w:pPr>
              <w:spacing w:line="240" w:lineRule="exact"/>
              <w:jc w:val="center"/>
              <w:textAlignment w:val="center"/>
              <w:rPr>
                <w:rFonts w:ascii="宋体" w:hAnsi="宋体"/>
                <w:sz w:val="18"/>
                <w:szCs w:val="18"/>
              </w:rPr>
            </w:pPr>
          </w:p>
        </w:tc>
      </w:tr>
      <w:tr w14:paraId="58B9567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34224BE2">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二</w:t>
            </w:r>
            <w:r>
              <w:rPr>
                <w:rFonts w:hint="eastAsia" w:ascii="宋体" w:hAnsi="宋体"/>
                <w:sz w:val="18"/>
                <w:szCs w:val="18"/>
              </w:rPr>
              <w:t>）</w:t>
            </w:r>
            <w:r>
              <w:rPr>
                <w:rFonts w:ascii="宋体" w:hAnsi="宋体"/>
                <w:sz w:val="18"/>
                <w:szCs w:val="18"/>
              </w:rPr>
              <w:t>工业和建筑业</w:t>
            </w:r>
          </w:p>
        </w:tc>
        <w:tc>
          <w:tcPr>
            <w:tcW w:w="1306" w:type="dxa"/>
            <w:tcBorders>
              <w:top w:val="nil"/>
              <w:left w:val="single" w:color="auto" w:sz="2" w:space="0"/>
              <w:bottom w:val="nil"/>
              <w:right w:val="single" w:color="auto" w:sz="2" w:space="0"/>
            </w:tcBorders>
            <w:vAlign w:val="center"/>
          </w:tcPr>
          <w:p w14:paraId="017E814F">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177982DC">
            <w:pPr>
              <w:spacing w:line="240" w:lineRule="exact"/>
              <w:jc w:val="center"/>
              <w:textAlignment w:val="center"/>
              <w:rPr>
                <w:rFonts w:ascii="宋体" w:hAnsi="宋体"/>
                <w:sz w:val="18"/>
                <w:szCs w:val="18"/>
              </w:rPr>
            </w:pPr>
            <w:r>
              <w:rPr>
                <w:rFonts w:ascii="宋体" w:hAnsi="宋体"/>
                <w:sz w:val="18"/>
                <w:szCs w:val="18"/>
              </w:rPr>
              <w:t>03</w:t>
            </w:r>
          </w:p>
        </w:tc>
        <w:tc>
          <w:tcPr>
            <w:tcW w:w="702" w:type="dxa"/>
            <w:tcBorders>
              <w:top w:val="nil"/>
              <w:left w:val="single" w:color="auto" w:sz="2" w:space="0"/>
              <w:bottom w:val="nil"/>
              <w:right w:val="nil"/>
            </w:tcBorders>
            <w:vAlign w:val="center"/>
          </w:tcPr>
          <w:p w14:paraId="7CF9FD96">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934D1BB">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5A99700A">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078C130C">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625BB7E2">
            <w:pPr>
              <w:spacing w:line="240" w:lineRule="exact"/>
              <w:jc w:val="center"/>
              <w:textAlignment w:val="center"/>
              <w:rPr>
                <w:rFonts w:ascii="宋体" w:hAnsi="宋体"/>
                <w:sz w:val="18"/>
                <w:szCs w:val="18"/>
              </w:rPr>
            </w:pPr>
          </w:p>
        </w:tc>
      </w:tr>
      <w:tr w14:paraId="0E83D14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78A273D2">
            <w:pPr>
              <w:spacing w:line="240" w:lineRule="exact"/>
              <w:ind w:firstLine="360" w:firstLineChars="200"/>
              <w:textAlignment w:val="center"/>
              <w:rPr>
                <w:rFonts w:ascii="宋体" w:hAnsi="宋体"/>
                <w:sz w:val="18"/>
                <w:szCs w:val="18"/>
              </w:rPr>
            </w:pPr>
            <w:r>
              <w:rPr>
                <w:rFonts w:ascii="宋体" w:hAnsi="宋体"/>
                <w:sz w:val="18"/>
                <w:szCs w:val="18"/>
              </w:rPr>
              <w:t xml:space="preserve">  1.工业</w:t>
            </w:r>
          </w:p>
        </w:tc>
        <w:tc>
          <w:tcPr>
            <w:tcW w:w="1306" w:type="dxa"/>
            <w:tcBorders>
              <w:top w:val="nil"/>
              <w:left w:val="single" w:color="auto" w:sz="2" w:space="0"/>
              <w:bottom w:val="nil"/>
              <w:right w:val="single" w:color="auto" w:sz="2" w:space="0"/>
            </w:tcBorders>
            <w:vAlign w:val="center"/>
          </w:tcPr>
          <w:p w14:paraId="604BA576">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4351CB3C">
            <w:pPr>
              <w:spacing w:line="240" w:lineRule="exact"/>
              <w:jc w:val="center"/>
              <w:textAlignment w:val="center"/>
              <w:rPr>
                <w:rFonts w:ascii="宋体" w:hAnsi="宋体"/>
                <w:sz w:val="18"/>
                <w:szCs w:val="18"/>
              </w:rPr>
            </w:pPr>
            <w:r>
              <w:rPr>
                <w:rFonts w:ascii="宋体" w:hAnsi="宋体"/>
                <w:sz w:val="18"/>
                <w:szCs w:val="18"/>
              </w:rPr>
              <w:t>04</w:t>
            </w:r>
          </w:p>
        </w:tc>
        <w:tc>
          <w:tcPr>
            <w:tcW w:w="702" w:type="dxa"/>
            <w:tcBorders>
              <w:top w:val="nil"/>
              <w:left w:val="single" w:color="auto" w:sz="2" w:space="0"/>
              <w:bottom w:val="nil"/>
              <w:right w:val="nil"/>
            </w:tcBorders>
            <w:vAlign w:val="center"/>
          </w:tcPr>
          <w:p w14:paraId="4464768E">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0E1B1559">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58E22969">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3533363A">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02FC8DFD">
            <w:pPr>
              <w:spacing w:line="240" w:lineRule="exact"/>
              <w:jc w:val="center"/>
              <w:textAlignment w:val="center"/>
              <w:rPr>
                <w:rFonts w:ascii="宋体" w:hAnsi="宋体"/>
                <w:sz w:val="18"/>
                <w:szCs w:val="18"/>
              </w:rPr>
            </w:pPr>
          </w:p>
        </w:tc>
      </w:tr>
      <w:tr w14:paraId="767D4B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76FC5B8E">
            <w:pPr>
              <w:spacing w:line="240" w:lineRule="exact"/>
              <w:ind w:firstLine="540" w:firstLineChars="300"/>
              <w:textAlignment w:val="center"/>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规模以上工业</w:t>
            </w:r>
          </w:p>
        </w:tc>
        <w:tc>
          <w:tcPr>
            <w:tcW w:w="1306" w:type="dxa"/>
            <w:tcBorders>
              <w:top w:val="nil"/>
              <w:left w:val="single" w:color="auto" w:sz="2" w:space="0"/>
              <w:bottom w:val="nil"/>
              <w:right w:val="single" w:color="auto" w:sz="2" w:space="0"/>
            </w:tcBorders>
            <w:vAlign w:val="center"/>
          </w:tcPr>
          <w:p w14:paraId="11830B15">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00D629EC">
            <w:pPr>
              <w:spacing w:line="240" w:lineRule="exact"/>
              <w:jc w:val="center"/>
              <w:textAlignment w:val="center"/>
              <w:rPr>
                <w:rFonts w:ascii="宋体" w:hAnsi="宋体"/>
                <w:sz w:val="18"/>
                <w:szCs w:val="18"/>
              </w:rPr>
            </w:pPr>
            <w:r>
              <w:rPr>
                <w:rFonts w:ascii="宋体" w:hAnsi="宋体"/>
                <w:sz w:val="18"/>
                <w:szCs w:val="18"/>
              </w:rPr>
              <w:t>05</w:t>
            </w:r>
          </w:p>
        </w:tc>
        <w:tc>
          <w:tcPr>
            <w:tcW w:w="702" w:type="dxa"/>
            <w:tcBorders>
              <w:top w:val="nil"/>
              <w:left w:val="single" w:color="auto" w:sz="2" w:space="0"/>
              <w:bottom w:val="nil"/>
              <w:right w:val="nil"/>
            </w:tcBorders>
            <w:vAlign w:val="center"/>
          </w:tcPr>
          <w:p w14:paraId="421517A5">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6DDBFD5">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284CDE0E">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717632E3">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35953AA2">
            <w:pPr>
              <w:spacing w:line="240" w:lineRule="exact"/>
              <w:jc w:val="center"/>
              <w:textAlignment w:val="center"/>
              <w:rPr>
                <w:rFonts w:ascii="宋体" w:hAnsi="宋体"/>
                <w:sz w:val="18"/>
                <w:szCs w:val="18"/>
              </w:rPr>
            </w:pPr>
          </w:p>
        </w:tc>
      </w:tr>
      <w:tr w14:paraId="400783A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0BFDBE32">
            <w:pPr>
              <w:spacing w:line="240" w:lineRule="exact"/>
              <w:ind w:firstLine="540" w:firstLineChars="300"/>
              <w:textAlignment w:val="center"/>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w:t>
            </w:r>
            <w:r>
              <w:rPr>
                <w:rFonts w:ascii="宋体" w:hAnsi="宋体"/>
                <w:sz w:val="18"/>
                <w:szCs w:val="18"/>
              </w:rPr>
              <w:t>规模以下工业</w:t>
            </w:r>
          </w:p>
        </w:tc>
        <w:tc>
          <w:tcPr>
            <w:tcW w:w="1306" w:type="dxa"/>
            <w:tcBorders>
              <w:top w:val="nil"/>
              <w:left w:val="single" w:color="auto" w:sz="2" w:space="0"/>
              <w:bottom w:val="nil"/>
              <w:right w:val="single" w:color="auto" w:sz="2" w:space="0"/>
            </w:tcBorders>
            <w:vAlign w:val="center"/>
          </w:tcPr>
          <w:p w14:paraId="795A59BC">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63CD8EA2">
            <w:pPr>
              <w:spacing w:line="240" w:lineRule="exact"/>
              <w:jc w:val="center"/>
              <w:textAlignment w:val="center"/>
              <w:rPr>
                <w:rFonts w:ascii="宋体" w:hAnsi="宋体"/>
                <w:sz w:val="18"/>
                <w:szCs w:val="18"/>
              </w:rPr>
            </w:pPr>
            <w:r>
              <w:rPr>
                <w:rFonts w:ascii="宋体" w:hAnsi="宋体"/>
                <w:sz w:val="18"/>
                <w:szCs w:val="18"/>
              </w:rPr>
              <w:t>06</w:t>
            </w:r>
          </w:p>
        </w:tc>
        <w:tc>
          <w:tcPr>
            <w:tcW w:w="702" w:type="dxa"/>
            <w:tcBorders>
              <w:top w:val="nil"/>
              <w:left w:val="single" w:color="auto" w:sz="2" w:space="0"/>
              <w:bottom w:val="nil"/>
              <w:right w:val="nil"/>
            </w:tcBorders>
            <w:vAlign w:val="center"/>
          </w:tcPr>
          <w:p w14:paraId="235B3EEF">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FC1E559">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10038B4A">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24EC6802">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66F6FDD3">
            <w:pPr>
              <w:spacing w:line="240" w:lineRule="exact"/>
              <w:jc w:val="center"/>
              <w:textAlignment w:val="center"/>
              <w:rPr>
                <w:rFonts w:ascii="宋体" w:hAnsi="宋体"/>
                <w:sz w:val="18"/>
                <w:szCs w:val="18"/>
              </w:rPr>
            </w:pPr>
          </w:p>
        </w:tc>
      </w:tr>
      <w:tr w14:paraId="4843F16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71DC67D7">
            <w:pPr>
              <w:spacing w:line="240" w:lineRule="exact"/>
              <w:ind w:firstLine="1"/>
              <w:textAlignment w:val="center"/>
              <w:rPr>
                <w:rFonts w:ascii="宋体" w:hAnsi="宋体"/>
                <w:sz w:val="18"/>
                <w:szCs w:val="18"/>
              </w:rPr>
            </w:pPr>
            <w:r>
              <w:rPr>
                <w:rFonts w:ascii="宋体" w:hAnsi="宋体"/>
                <w:sz w:val="18"/>
                <w:szCs w:val="18"/>
              </w:rPr>
              <w:t xml:space="preserve">      2.建筑业</w:t>
            </w:r>
          </w:p>
        </w:tc>
        <w:tc>
          <w:tcPr>
            <w:tcW w:w="1306" w:type="dxa"/>
            <w:tcBorders>
              <w:top w:val="nil"/>
              <w:left w:val="single" w:color="auto" w:sz="2" w:space="0"/>
              <w:bottom w:val="nil"/>
              <w:right w:val="single" w:color="auto" w:sz="2" w:space="0"/>
            </w:tcBorders>
            <w:vAlign w:val="center"/>
          </w:tcPr>
          <w:p w14:paraId="30DCDF49">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2B017465">
            <w:pPr>
              <w:spacing w:line="240" w:lineRule="exact"/>
              <w:jc w:val="center"/>
              <w:textAlignment w:val="center"/>
              <w:rPr>
                <w:rFonts w:ascii="宋体" w:hAnsi="宋体"/>
                <w:sz w:val="18"/>
                <w:szCs w:val="18"/>
              </w:rPr>
            </w:pPr>
            <w:r>
              <w:rPr>
                <w:rFonts w:ascii="宋体" w:hAnsi="宋体"/>
                <w:sz w:val="18"/>
                <w:szCs w:val="18"/>
              </w:rPr>
              <w:t>07</w:t>
            </w:r>
          </w:p>
        </w:tc>
        <w:tc>
          <w:tcPr>
            <w:tcW w:w="702" w:type="dxa"/>
            <w:tcBorders>
              <w:top w:val="nil"/>
              <w:left w:val="single" w:color="auto" w:sz="2" w:space="0"/>
              <w:bottom w:val="nil"/>
              <w:right w:val="nil"/>
            </w:tcBorders>
            <w:vAlign w:val="center"/>
          </w:tcPr>
          <w:p w14:paraId="38341C3B">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2A60CEE2">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543B555">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5D8D78D0">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3A338D0D">
            <w:pPr>
              <w:spacing w:line="240" w:lineRule="exact"/>
              <w:jc w:val="center"/>
              <w:textAlignment w:val="center"/>
              <w:rPr>
                <w:rFonts w:ascii="宋体" w:hAnsi="宋体"/>
                <w:sz w:val="18"/>
                <w:szCs w:val="18"/>
              </w:rPr>
            </w:pPr>
          </w:p>
        </w:tc>
      </w:tr>
      <w:tr w14:paraId="1F0C77A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010F64D9">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三</w:t>
            </w:r>
            <w:r>
              <w:rPr>
                <w:rFonts w:hint="eastAsia" w:ascii="宋体" w:hAnsi="宋体"/>
                <w:sz w:val="18"/>
                <w:szCs w:val="18"/>
              </w:rPr>
              <w:t>）</w:t>
            </w:r>
            <w:r>
              <w:rPr>
                <w:rFonts w:ascii="宋体" w:hAnsi="宋体"/>
                <w:sz w:val="18"/>
                <w:szCs w:val="18"/>
              </w:rPr>
              <w:t>服务业</w:t>
            </w:r>
            <w:r>
              <w:rPr>
                <w:rFonts w:hint="eastAsia" w:ascii="宋体" w:hAnsi="宋体"/>
                <w:kern w:val="0"/>
                <w:sz w:val="18"/>
                <w:szCs w:val="18"/>
                <w:vertAlign w:val="superscript"/>
              </w:rPr>
              <w:t>*</w:t>
            </w:r>
          </w:p>
        </w:tc>
        <w:tc>
          <w:tcPr>
            <w:tcW w:w="1306" w:type="dxa"/>
            <w:tcBorders>
              <w:top w:val="nil"/>
              <w:left w:val="single" w:color="auto" w:sz="2" w:space="0"/>
              <w:bottom w:val="nil"/>
              <w:right w:val="single" w:color="auto" w:sz="2" w:space="0"/>
            </w:tcBorders>
            <w:vAlign w:val="center"/>
          </w:tcPr>
          <w:p w14:paraId="5084DDB8">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56347337">
            <w:pPr>
              <w:spacing w:line="240" w:lineRule="exact"/>
              <w:jc w:val="center"/>
              <w:textAlignment w:val="center"/>
              <w:rPr>
                <w:rFonts w:ascii="宋体" w:hAnsi="宋体"/>
                <w:sz w:val="18"/>
                <w:szCs w:val="18"/>
              </w:rPr>
            </w:pPr>
            <w:r>
              <w:rPr>
                <w:rFonts w:ascii="宋体" w:hAnsi="宋体"/>
                <w:sz w:val="18"/>
                <w:szCs w:val="18"/>
              </w:rPr>
              <w:t>08</w:t>
            </w:r>
          </w:p>
        </w:tc>
        <w:tc>
          <w:tcPr>
            <w:tcW w:w="702" w:type="dxa"/>
            <w:tcBorders>
              <w:top w:val="nil"/>
              <w:left w:val="single" w:color="auto" w:sz="2" w:space="0"/>
              <w:bottom w:val="nil"/>
              <w:right w:val="nil"/>
            </w:tcBorders>
            <w:vAlign w:val="center"/>
          </w:tcPr>
          <w:p w14:paraId="42B5840B">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2B7171FC">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7C93314E">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476821A4">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36222EC6">
            <w:pPr>
              <w:spacing w:line="240" w:lineRule="exact"/>
              <w:jc w:val="center"/>
              <w:textAlignment w:val="center"/>
              <w:rPr>
                <w:rFonts w:ascii="宋体" w:hAnsi="宋体"/>
                <w:sz w:val="18"/>
                <w:szCs w:val="18"/>
              </w:rPr>
            </w:pPr>
          </w:p>
        </w:tc>
      </w:tr>
      <w:tr w14:paraId="77B251C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5722C73A">
            <w:pPr>
              <w:spacing w:line="240" w:lineRule="exact"/>
              <w:ind w:firstLine="1"/>
              <w:textAlignment w:val="center"/>
              <w:rPr>
                <w:rFonts w:ascii="宋体" w:hAnsi="宋体"/>
                <w:sz w:val="18"/>
                <w:szCs w:val="18"/>
              </w:rPr>
            </w:pPr>
            <w:r>
              <w:rPr>
                <w:rFonts w:ascii="宋体" w:hAnsi="宋体"/>
                <w:sz w:val="18"/>
                <w:szCs w:val="18"/>
              </w:rPr>
              <w:t xml:space="preserve">      1.交通运输、仓储和邮政业</w:t>
            </w:r>
          </w:p>
        </w:tc>
        <w:tc>
          <w:tcPr>
            <w:tcW w:w="1306" w:type="dxa"/>
            <w:tcBorders>
              <w:top w:val="nil"/>
              <w:left w:val="single" w:color="auto" w:sz="2" w:space="0"/>
              <w:bottom w:val="nil"/>
              <w:right w:val="single" w:color="auto" w:sz="2" w:space="0"/>
            </w:tcBorders>
            <w:vAlign w:val="center"/>
          </w:tcPr>
          <w:p w14:paraId="32148AF4">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538E706B">
            <w:pPr>
              <w:spacing w:line="240" w:lineRule="exact"/>
              <w:jc w:val="center"/>
              <w:textAlignment w:val="center"/>
              <w:rPr>
                <w:rFonts w:ascii="宋体" w:hAnsi="宋体"/>
                <w:sz w:val="18"/>
                <w:szCs w:val="18"/>
              </w:rPr>
            </w:pPr>
            <w:r>
              <w:rPr>
                <w:rFonts w:ascii="宋体" w:hAnsi="宋体"/>
                <w:sz w:val="18"/>
                <w:szCs w:val="18"/>
              </w:rPr>
              <w:t>09</w:t>
            </w:r>
          </w:p>
        </w:tc>
        <w:tc>
          <w:tcPr>
            <w:tcW w:w="702" w:type="dxa"/>
            <w:tcBorders>
              <w:top w:val="nil"/>
              <w:left w:val="single" w:color="auto" w:sz="2" w:space="0"/>
              <w:bottom w:val="nil"/>
              <w:right w:val="nil"/>
            </w:tcBorders>
            <w:vAlign w:val="center"/>
          </w:tcPr>
          <w:p w14:paraId="586D0005">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01EFE701">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FAE9EEA">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3CE9832E">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44DACA30">
            <w:pPr>
              <w:spacing w:line="240" w:lineRule="exact"/>
              <w:jc w:val="center"/>
              <w:textAlignment w:val="center"/>
              <w:rPr>
                <w:rFonts w:ascii="宋体" w:hAnsi="宋体"/>
                <w:sz w:val="18"/>
                <w:szCs w:val="18"/>
              </w:rPr>
            </w:pPr>
          </w:p>
        </w:tc>
      </w:tr>
      <w:tr w14:paraId="0786F9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68043045">
            <w:pPr>
              <w:spacing w:line="240" w:lineRule="exact"/>
              <w:ind w:firstLine="540" w:firstLineChars="300"/>
              <w:textAlignment w:val="center"/>
              <w:rPr>
                <w:rFonts w:ascii="宋体" w:hAnsi="宋体"/>
                <w:sz w:val="18"/>
                <w:szCs w:val="18"/>
              </w:rPr>
            </w:pPr>
            <w:r>
              <w:rPr>
                <w:rFonts w:ascii="宋体" w:hAnsi="宋体"/>
                <w:sz w:val="18"/>
                <w:szCs w:val="18"/>
              </w:rPr>
              <w:t>2.服务业</w:t>
            </w:r>
            <w:r>
              <w:rPr>
                <w:rFonts w:ascii="宋体" w:hAnsi="宋体"/>
                <w:sz w:val="18"/>
                <w:szCs w:val="18"/>
                <w:vertAlign w:val="superscript"/>
              </w:rPr>
              <w:t>*</w:t>
            </w:r>
            <w:r>
              <w:rPr>
                <w:rFonts w:hint="eastAsia" w:ascii="宋体" w:hAnsi="宋体"/>
                <w:sz w:val="18"/>
                <w:szCs w:val="18"/>
              </w:rPr>
              <w:t>（</w:t>
            </w:r>
            <w:r>
              <w:rPr>
                <w:rFonts w:ascii="宋体" w:hAnsi="宋体"/>
                <w:sz w:val="18"/>
                <w:szCs w:val="18"/>
              </w:rPr>
              <w:t>不含交通运输、仓储和邮政业</w:t>
            </w:r>
            <w:r>
              <w:rPr>
                <w:rFonts w:hint="eastAsia" w:ascii="宋体" w:hAnsi="宋体"/>
                <w:sz w:val="18"/>
                <w:szCs w:val="18"/>
              </w:rPr>
              <w:t>）</w:t>
            </w:r>
          </w:p>
        </w:tc>
        <w:tc>
          <w:tcPr>
            <w:tcW w:w="1306" w:type="dxa"/>
            <w:tcBorders>
              <w:top w:val="nil"/>
              <w:left w:val="single" w:color="auto" w:sz="2" w:space="0"/>
              <w:bottom w:val="nil"/>
              <w:right w:val="single" w:color="auto" w:sz="2" w:space="0"/>
            </w:tcBorders>
            <w:vAlign w:val="center"/>
          </w:tcPr>
          <w:p w14:paraId="43328F35">
            <w:pPr>
              <w:spacing w:line="240" w:lineRule="exact"/>
              <w:jc w:val="center"/>
              <w:textAlignment w:val="center"/>
              <w:rPr>
                <w:rFonts w:ascii="宋体" w:hAnsi="宋体"/>
                <w:sz w:val="18"/>
                <w:szCs w:val="18"/>
              </w:rPr>
            </w:pPr>
            <w:r>
              <w:rPr>
                <w:rFonts w:hint="eastAsia"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65E70DD5">
            <w:pPr>
              <w:spacing w:line="240" w:lineRule="exact"/>
              <w:jc w:val="center"/>
              <w:textAlignment w:val="center"/>
              <w:rPr>
                <w:rFonts w:ascii="宋体" w:hAnsi="宋体"/>
                <w:sz w:val="18"/>
                <w:szCs w:val="18"/>
              </w:rPr>
            </w:pPr>
            <w:r>
              <w:rPr>
                <w:rFonts w:hint="eastAsia" w:ascii="宋体" w:hAnsi="宋体"/>
                <w:sz w:val="18"/>
                <w:szCs w:val="18"/>
              </w:rPr>
              <w:t>10</w:t>
            </w:r>
          </w:p>
        </w:tc>
        <w:tc>
          <w:tcPr>
            <w:tcW w:w="702" w:type="dxa"/>
            <w:tcBorders>
              <w:top w:val="nil"/>
              <w:left w:val="single" w:color="auto" w:sz="2" w:space="0"/>
              <w:bottom w:val="nil"/>
              <w:right w:val="nil"/>
            </w:tcBorders>
            <w:vAlign w:val="center"/>
          </w:tcPr>
          <w:p w14:paraId="2CDC8B05">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139F062D">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1A1FA856">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4503B180">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1B7E8443">
            <w:pPr>
              <w:spacing w:line="240" w:lineRule="exact"/>
              <w:jc w:val="center"/>
              <w:textAlignment w:val="center"/>
              <w:rPr>
                <w:rFonts w:ascii="宋体" w:hAnsi="宋体"/>
                <w:sz w:val="18"/>
                <w:szCs w:val="18"/>
              </w:rPr>
            </w:pPr>
          </w:p>
        </w:tc>
      </w:tr>
      <w:tr w14:paraId="74B59B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10AFD749">
            <w:pPr>
              <w:spacing w:line="240" w:lineRule="exact"/>
              <w:ind w:firstLine="180" w:firstLineChars="100"/>
              <w:textAlignment w:val="center"/>
              <w:rPr>
                <w:rFonts w:ascii="宋体" w:hAnsi="宋体"/>
                <w:sz w:val="18"/>
                <w:szCs w:val="18"/>
              </w:rPr>
            </w:pPr>
            <w:r>
              <w:rPr>
                <w:rFonts w:hint="eastAsia" w:ascii="宋体" w:hAnsi="宋体"/>
                <w:sz w:val="18"/>
                <w:szCs w:val="18"/>
              </w:rPr>
              <w:t>（</w:t>
            </w:r>
            <w:r>
              <w:rPr>
                <w:rFonts w:ascii="宋体" w:hAnsi="宋体"/>
                <w:sz w:val="18"/>
                <w:szCs w:val="18"/>
              </w:rPr>
              <w:t>四</w:t>
            </w:r>
            <w:r>
              <w:rPr>
                <w:rFonts w:hint="eastAsia" w:ascii="宋体" w:hAnsi="宋体"/>
                <w:sz w:val="18"/>
                <w:szCs w:val="18"/>
              </w:rPr>
              <w:t>）</w:t>
            </w:r>
            <w:r>
              <w:rPr>
                <w:rFonts w:ascii="宋体" w:hAnsi="宋体"/>
                <w:sz w:val="18"/>
                <w:szCs w:val="18"/>
              </w:rPr>
              <w:t>居民生活</w:t>
            </w:r>
          </w:p>
        </w:tc>
        <w:tc>
          <w:tcPr>
            <w:tcW w:w="1306" w:type="dxa"/>
            <w:tcBorders>
              <w:top w:val="nil"/>
              <w:left w:val="single" w:color="auto" w:sz="2" w:space="0"/>
              <w:bottom w:val="nil"/>
              <w:right w:val="single" w:color="auto" w:sz="2" w:space="0"/>
            </w:tcBorders>
            <w:vAlign w:val="center"/>
          </w:tcPr>
          <w:p w14:paraId="73F440FF">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5FB14CCB">
            <w:pPr>
              <w:spacing w:line="240" w:lineRule="exact"/>
              <w:jc w:val="center"/>
              <w:textAlignment w:val="center"/>
              <w:rPr>
                <w:rFonts w:ascii="宋体" w:hAnsi="宋体"/>
                <w:sz w:val="18"/>
                <w:szCs w:val="18"/>
              </w:rPr>
            </w:pPr>
            <w:r>
              <w:rPr>
                <w:rFonts w:ascii="宋体" w:hAnsi="宋体"/>
                <w:sz w:val="18"/>
                <w:szCs w:val="18"/>
              </w:rPr>
              <w:t>11</w:t>
            </w:r>
          </w:p>
        </w:tc>
        <w:tc>
          <w:tcPr>
            <w:tcW w:w="702" w:type="dxa"/>
            <w:tcBorders>
              <w:top w:val="nil"/>
              <w:left w:val="single" w:color="auto" w:sz="2" w:space="0"/>
              <w:bottom w:val="nil"/>
              <w:right w:val="nil"/>
            </w:tcBorders>
            <w:vAlign w:val="center"/>
          </w:tcPr>
          <w:p w14:paraId="163F1323">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4864952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A6FA680">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56A5E6B9">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5460B4BE">
            <w:pPr>
              <w:spacing w:line="240" w:lineRule="exact"/>
              <w:jc w:val="center"/>
              <w:textAlignment w:val="center"/>
              <w:rPr>
                <w:rFonts w:ascii="宋体" w:hAnsi="宋体"/>
                <w:sz w:val="18"/>
                <w:szCs w:val="18"/>
              </w:rPr>
            </w:pPr>
          </w:p>
        </w:tc>
      </w:tr>
      <w:tr w14:paraId="42EEACD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7F632AD0">
            <w:pPr>
              <w:spacing w:line="240" w:lineRule="exact"/>
              <w:ind w:firstLine="1"/>
              <w:textAlignment w:val="center"/>
              <w:rPr>
                <w:rFonts w:ascii="宋体" w:hAnsi="宋体"/>
                <w:sz w:val="18"/>
                <w:szCs w:val="18"/>
              </w:rPr>
            </w:pPr>
            <w:r>
              <w:rPr>
                <w:rFonts w:ascii="宋体" w:hAnsi="宋体"/>
                <w:sz w:val="18"/>
                <w:szCs w:val="18"/>
              </w:rPr>
              <w:t xml:space="preserve">      1.</w:t>
            </w:r>
            <w:r>
              <w:rPr>
                <w:rFonts w:hint="eastAsia" w:ascii="宋体" w:hAnsi="宋体"/>
                <w:sz w:val="18"/>
                <w:szCs w:val="18"/>
              </w:rPr>
              <w:t>城镇</w:t>
            </w:r>
          </w:p>
        </w:tc>
        <w:tc>
          <w:tcPr>
            <w:tcW w:w="1306" w:type="dxa"/>
            <w:tcBorders>
              <w:top w:val="nil"/>
              <w:left w:val="single" w:color="auto" w:sz="2" w:space="0"/>
              <w:bottom w:val="nil"/>
              <w:right w:val="single" w:color="auto" w:sz="2" w:space="0"/>
            </w:tcBorders>
            <w:vAlign w:val="center"/>
          </w:tcPr>
          <w:p w14:paraId="373FFBA7">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6FFC85BD">
            <w:pPr>
              <w:spacing w:line="240" w:lineRule="exact"/>
              <w:jc w:val="center"/>
              <w:textAlignment w:val="center"/>
              <w:rPr>
                <w:rFonts w:ascii="宋体" w:hAnsi="宋体"/>
                <w:sz w:val="18"/>
                <w:szCs w:val="18"/>
              </w:rPr>
            </w:pPr>
            <w:r>
              <w:rPr>
                <w:rFonts w:ascii="宋体" w:hAnsi="宋体"/>
                <w:sz w:val="18"/>
                <w:szCs w:val="18"/>
              </w:rPr>
              <w:t>12</w:t>
            </w:r>
          </w:p>
        </w:tc>
        <w:tc>
          <w:tcPr>
            <w:tcW w:w="702" w:type="dxa"/>
            <w:tcBorders>
              <w:top w:val="nil"/>
              <w:left w:val="single" w:color="auto" w:sz="2" w:space="0"/>
              <w:bottom w:val="nil"/>
              <w:right w:val="nil"/>
            </w:tcBorders>
            <w:vAlign w:val="center"/>
          </w:tcPr>
          <w:p w14:paraId="3A9F23E3">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7B1B994F">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4F12A738">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696DFB5B">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074B7A66">
            <w:pPr>
              <w:spacing w:line="240" w:lineRule="exact"/>
              <w:jc w:val="center"/>
              <w:textAlignment w:val="center"/>
              <w:rPr>
                <w:rFonts w:ascii="宋体" w:hAnsi="宋体"/>
                <w:sz w:val="18"/>
                <w:szCs w:val="18"/>
              </w:rPr>
            </w:pPr>
          </w:p>
        </w:tc>
      </w:tr>
      <w:tr w14:paraId="5906D21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2B3F085E">
            <w:pPr>
              <w:spacing w:line="240" w:lineRule="exact"/>
              <w:ind w:firstLine="1"/>
              <w:textAlignment w:val="center"/>
              <w:rPr>
                <w:rFonts w:ascii="宋体" w:hAnsi="宋体"/>
                <w:sz w:val="18"/>
                <w:szCs w:val="18"/>
              </w:rPr>
            </w:pPr>
            <w:r>
              <w:rPr>
                <w:rFonts w:ascii="宋体" w:hAnsi="宋体"/>
                <w:sz w:val="18"/>
                <w:szCs w:val="18"/>
              </w:rPr>
              <w:t xml:space="preserve">      2.</w:t>
            </w:r>
            <w:r>
              <w:rPr>
                <w:rFonts w:hint="eastAsia" w:ascii="宋体" w:hAnsi="宋体"/>
                <w:sz w:val="18"/>
                <w:szCs w:val="18"/>
              </w:rPr>
              <w:t>乡村</w:t>
            </w:r>
          </w:p>
        </w:tc>
        <w:tc>
          <w:tcPr>
            <w:tcW w:w="1306" w:type="dxa"/>
            <w:tcBorders>
              <w:top w:val="nil"/>
              <w:left w:val="single" w:color="auto" w:sz="2" w:space="0"/>
              <w:bottom w:val="nil"/>
              <w:right w:val="single" w:color="auto" w:sz="2" w:space="0"/>
            </w:tcBorders>
            <w:vAlign w:val="center"/>
          </w:tcPr>
          <w:p w14:paraId="5664356A">
            <w:pPr>
              <w:spacing w:line="240" w:lineRule="exact"/>
              <w:jc w:val="center"/>
              <w:textAlignment w:val="center"/>
              <w:rPr>
                <w:rFonts w:ascii="宋体" w:hAnsi="宋体"/>
                <w:sz w:val="18"/>
                <w:szCs w:val="18"/>
              </w:rPr>
            </w:pPr>
            <w:r>
              <w:rPr>
                <w:rFonts w:ascii="宋体" w:hAnsi="宋体"/>
                <w:sz w:val="18"/>
                <w:szCs w:val="18"/>
              </w:rPr>
              <w:t>万吨标准煤</w:t>
            </w:r>
          </w:p>
        </w:tc>
        <w:tc>
          <w:tcPr>
            <w:tcW w:w="537" w:type="dxa"/>
            <w:tcBorders>
              <w:top w:val="nil"/>
              <w:left w:val="single" w:color="auto" w:sz="2" w:space="0"/>
              <w:bottom w:val="nil"/>
              <w:right w:val="single" w:color="auto" w:sz="2" w:space="0"/>
            </w:tcBorders>
            <w:vAlign w:val="center"/>
          </w:tcPr>
          <w:p w14:paraId="0DAB7916">
            <w:pPr>
              <w:spacing w:line="240" w:lineRule="exact"/>
              <w:jc w:val="center"/>
              <w:textAlignment w:val="center"/>
              <w:rPr>
                <w:rFonts w:ascii="宋体" w:hAnsi="宋体"/>
                <w:sz w:val="18"/>
                <w:szCs w:val="18"/>
              </w:rPr>
            </w:pPr>
            <w:r>
              <w:rPr>
                <w:rFonts w:ascii="宋体" w:hAnsi="宋体"/>
                <w:sz w:val="18"/>
                <w:szCs w:val="18"/>
              </w:rPr>
              <w:t>13</w:t>
            </w:r>
          </w:p>
        </w:tc>
        <w:tc>
          <w:tcPr>
            <w:tcW w:w="702" w:type="dxa"/>
            <w:tcBorders>
              <w:top w:val="nil"/>
              <w:left w:val="single" w:color="auto" w:sz="2" w:space="0"/>
              <w:bottom w:val="nil"/>
              <w:right w:val="nil"/>
            </w:tcBorders>
            <w:vAlign w:val="center"/>
          </w:tcPr>
          <w:p w14:paraId="6D353436">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03BE5FCE">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2126CBFE">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1C3EF5DD">
            <w:pPr>
              <w:spacing w:line="240" w:lineRule="exact"/>
              <w:jc w:val="center"/>
              <w:textAlignment w:val="center"/>
              <w:rPr>
                <w:rFonts w:ascii="宋体" w:hAnsi="宋体"/>
                <w:sz w:val="18"/>
                <w:szCs w:val="18"/>
              </w:rPr>
            </w:pPr>
          </w:p>
        </w:tc>
        <w:tc>
          <w:tcPr>
            <w:tcW w:w="630" w:type="dxa"/>
            <w:tcBorders>
              <w:top w:val="nil"/>
              <w:left w:val="nil"/>
              <w:bottom w:val="nil"/>
              <w:right w:val="nil"/>
            </w:tcBorders>
            <w:vAlign w:val="center"/>
          </w:tcPr>
          <w:p w14:paraId="561C21FE">
            <w:pPr>
              <w:spacing w:line="240" w:lineRule="exact"/>
              <w:jc w:val="center"/>
              <w:textAlignment w:val="center"/>
              <w:rPr>
                <w:rFonts w:ascii="宋体" w:hAnsi="宋体"/>
                <w:sz w:val="18"/>
                <w:szCs w:val="18"/>
              </w:rPr>
            </w:pPr>
          </w:p>
        </w:tc>
      </w:tr>
      <w:tr w14:paraId="648728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66226A15">
            <w:pPr>
              <w:spacing w:line="240" w:lineRule="exact"/>
              <w:ind w:firstLine="1"/>
              <w:textAlignment w:val="center"/>
              <w:rPr>
                <w:rFonts w:ascii="宋体" w:hAnsi="宋体"/>
                <w:sz w:val="18"/>
                <w:szCs w:val="18"/>
              </w:rPr>
            </w:pPr>
            <w:r>
              <w:rPr>
                <w:rFonts w:ascii="宋体" w:hAnsi="宋体"/>
                <w:sz w:val="18"/>
                <w:szCs w:val="18"/>
              </w:rPr>
              <w:t>二、GDP</w:t>
            </w:r>
          </w:p>
        </w:tc>
        <w:tc>
          <w:tcPr>
            <w:tcW w:w="1306" w:type="dxa"/>
            <w:tcBorders>
              <w:top w:val="nil"/>
              <w:left w:val="single" w:color="auto" w:sz="2" w:space="0"/>
              <w:bottom w:val="nil"/>
              <w:right w:val="single" w:color="auto" w:sz="2" w:space="0"/>
            </w:tcBorders>
            <w:vAlign w:val="center"/>
          </w:tcPr>
          <w:p w14:paraId="4C5D1725">
            <w:pPr>
              <w:spacing w:line="240" w:lineRule="exact"/>
              <w:jc w:val="center"/>
              <w:textAlignment w:val="center"/>
              <w:rPr>
                <w:rFonts w:ascii="宋体" w:hAnsi="宋体"/>
                <w:sz w:val="18"/>
                <w:szCs w:val="18"/>
              </w:rPr>
            </w:pPr>
            <w:r>
              <w:rPr>
                <w:rFonts w:ascii="宋体" w:hAnsi="宋体"/>
                <w:sz w:val="18"/>
                <w:szCs w:val="18"/>
              </w:rPr>
              <w:t>亿元</w:t>
            </w:r>
          </w:p>
        </w:tc>
        <w:tc>
          <w:tcPr>
            <w:tcW w:w="537" w:type="dxa"/>
            <w:tcBorders>
              <w:top w:val="nil"/>
              <w:left w:val="single" w:color="auto" w:sz="2" w:space="0"/>
              <w:bottom w:val="nil"/>
              <w:right w:val="single" w:color="auto" w:sz="2" w:space="0"/>
            </w:tcBorders>
            <w:vAlign w:val="center"/>
          </w:tcPr>
          <w:p w14:paraId="047B2BAC">
            <w:pPr>
              <w:spacing w:line="240" w:lineRule="exact"/>
              <w:jc w:val="center"/>
              <w:textAlignment w:val="center"/>
              <w:rPr>
                <w:rFonts w:ascii="宋体" w:hAnsi="宋体"/>
                <w:sz w:val="18"/>
                <w:szCs w:val="18"/>
              </w:rPr>
            </w:pPr>
            <w:r>
              <w:rPr>
                <w:rFonts w:ascii="宋体" w:hAnsi="宋体"/>
                <w:sz w:val="18"/>
                <w:szCs w:val="18"/>
              </w:rPr>
              <w:t>14</w:t>
            </w:r>
          </w:p>
        </w:tc>
        <w:tc>
          <w:tcPr>
            <w:tcW w:w="702" w:type="dxa"/>
            <w:tcBorders>
              <w:top w:val="nil"/>
              <w:left w:val="single" w:color="auto" w:sz="2" w:space="0"/>
              <w:bottom w:val="nil"/>
              <w:right w:val="nil"/>
            </w:tcBorders>
            <w:vAlign w:val="center"/>
          </w:tcPr>
          <w:p w14:paraId="473D675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80BA63D">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0F5387E">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1CB381BB">
            <w:pPr>
              <w:spacing w:line="236" w:lineRule="exact"/>
              <w:jc w:val="center"/>
              <w:rPr>
                <w:rFonts w:ascii="宋体" w:hAnsi="宋体"/>
                <w:sz w:val="18"/>
                <w:szCs w:val="18"/>
              </w:rPr>
            </w:pPr>
            <w:r>
              <w:rPr>
                <w:rFonts w:ascii="宋体" w:hAnsi="宋体"/>
                <w:sz w:val="18"/>
                <w:szCs w:val="18"/>
              </w:rPr>
              <w:t>—</w:t>
            </w:r>
          </w:p>
        </w:tc>
        <w:tc>
          <w:tcPr>
            <w:tcW w:w="630" w:type="dxa"/>
            <w:tcBorders>
              <w:top w:val="nil"/>
              <w:left w:val="nil"/>
              <w:bottom w:val="nil"/>
              <w:right w:val="nil"/>
            </w:tcBorders>
            <w:vAlign w:val="center"/>
          </w:tcPr>
          <w:p w14:paraId="38A64F09">
            <w:pPr>
              <w:spacing w:line="236" w:lineRule="exact"/>
              <w:jc w:val="center"/>
              <w:rPr>
                <w:rFonts w:ascii="宋体" w:hAnsi="宋体"/>
                <w:sz w:val="18"/>
                <w:szCs w:val="18"/>
              </w:rPr>
            </w:pPr>
            <w:r>
              <w:rPr>
                <w:rFonts w:ascii="宋体" w:hAnsi="宋体"/>
                <w:sz w:val="18"/>
                <w:szCs w:val="18"/>
              </w:rPr>
              <w:t>—</w:t>
            </w:r>
          </w:p>
        </w:tc>
      </w:tr>
      <w:tr w14:paraId="68503F9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19470F18">
            <w:pPr>
              <w:spacing w:line="240" w:lineRule="exact"/>
              <w:ind w:firstLine="1"/>
              <w:textAlignment w:val="center"/>
              <w:rPr>
                <w:rFonts w:ascii="宋体" w:hAnsi="宋体"/>
                <w:sz w:val="18"/>
                <w:szCs w:val="18"/>
              </w:rPr>
            </w:pPr>
            <w:r>
              <w:rPr>
                <w:rFonts w:ascii="宋体" w:hAnsi="宋体"/>
                <w:sz w:val="18"/>
                <w:szCs w:val="18"/>
              </w:rPr>
              <w:t>三、单位GDP能耗</w:t>
            </w:r>
          </w:p>
        </w:tc>
        <w:tc>
          <w:tcPr>
            <w:tcW w:w="1306" w:type="dxa"/>
            <w:tcBorders>
              <w:top w:val="nil"/>
              <w:left w:val="single" w:color="auto" w:sz="2" w:space="0"/>
              <w:bottom w:val="nil"/>
              <w:right w:val="single" w:color="auto" w:sz="2" w:space="0"/>
            </w:tcBorders>
            <w:vAlign w:val="center"/>
          </w:tcPr>
          <w:p w14:paraId="24905826">
            <w:pPr>
              <w:spacing w:line="240" w:lineRule="exact"/>
              <w:jc w:val="center"/>
              <w:textAlignment w:val="center"/>
              <w:rPr>
                <w:rFonts w:ascii="宋体" w:hAnsi="宋体"/>
                <w:sz w:val="18"/>
                <w:szCs w:val="18"/>
              </w:rPr>
            </w:pPr>
            <w:r>
              <w:rPr>
                <w:rFonts w:ascii="宋体" w:hAnsi="宋体"/>
                <w:sz w:val="18"/>
                <w:szCs w:val="18"/>
              </w:rPr>
              <w:t>吨标准煤/万元</w:t>
            </w:r>
          </w:p>
        </w:tc>
        <w:tc>
          <w:tcPr>
            <w:tcW w:w="537" w:type="dxa"/>
            <w:tcBorders>
              <w:top w:val="nil"/>
              <w:left w:val="single" w:color="auto" w:sz="2" w:space="0"/>
              <w:bottom w:val="nil"/>
              <w:right w:val="single" w:color="auto" w:sz="2" w:space="0"/>
            </w:tcBorders>
            <w:vAlign w:val="center"/>
          </w:tcPr>
          <w:p w14:paraId="206F9099">
            <w:pPr>
              <w:spacing w:line="240" w:lineRule="exact"/>
              <w:jc w:val="center"/>
              <w:textAlignment w:val="center"/>
              <w:rPr>
                <w:rFonts w:ascii="宋体" w:hAnsi="宋体"/>
                <w:sz w:val="18"/>
                <w:szCs w:val="18"/>
              </w:rPr>
            </w:pPr>
            <w:r>
              <w:rPr>
                <w:rFonts w:ascii="宋体" w:hAnsi="宋体"/>
                <w:sz w:val="18"/>
                <w:szCs w:val="18"/>
              </w:rPr>
              <w:t>15</w:t>
            </w:r>
          </w:p>
        </w:tc>
        <w:tc>
          <w:tcPr>
            <w:tcW w:w="702" w:type="dxa"/>
            <w:tcBorders>
              <w:top w:val="nil"/>
              <w:left w:val="single" w:color="auto" w:sz="2" w:space="0"/>
              <w:bottom w:val="nil"/>
              <w:right w:val="nil"/>
            </w:tcBorders>
            <w:vAlign w:val="center"/>
          </w:tcPr>
          <w:p w14:paraId="43253F8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331BF2BA">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C88DB99">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70A3CFF2">
            <w:pPr>
              <w:spacing w:line="236" w:lineRule="exact"/>
              <w:jc w:val="center"/>
              <w:rPr>
                <w:rFonts w:ascii="宋体" w:hAnsi="宋体"/>
                <w:sz w:val="18"/>
                <w:szCs w:val="18"/>
              </w:rPr>
            </w:pPr>
            <w:r>
              <w:rPr>
                <w:rFonts w:ascii="宋体" w:hAnsi="宋体"/>
                <w:sz w:val="18"/>
                <w:szCs w:val="18"/>
              </w:rPr>
              <w:t>—</w:t>
            </w:r>
          </w:p>
        </w:tc>
        <w:tc>
          <w:tcPr>
            <w:tcW w:w="630" w:type="dxa"/>
            <w:tcBorders>
              <w:top w:val="nil"/>
              <w:left w:val="nil"/>
              <w:bottom w:val="nil"/>
              <w:right w:val="nil"/>
            </w:tcBorders>
            <w:vAlign w:val="center"/>
          </w:tcPr>
          <w:p w14:paraId="2461F326">
            <w:pPr>
              <w:spacing w:line="236" w:lineRule="exact"/>
              <w:jc w:val="center"/>
              <w:rPr>
                <w:rFonts w:ascii="宋体" w:hAnsi="宋体"/>
                <w:sz w:val="18"/>
                <w:szCs w:val="18"/>
              </w:rPr>
            </w:pPr>
            <w:r>
              <w:rPr>
                <w:rFonts w:ascii="宋体" w:hAnsi="宋体"/>
                <w:sz w:val="18"/>
                <w:szCs w:val="18"/>
              </w:rPr>
              <w:t>—</w:t>
            </w:r>
          </w:p>
        </w:tc>
      </w:tr>
      <w:tr w14:paraId="5C6B06E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nil"/>
              <w:right w:val="single" w:color="auto" w:sz="2" w:space="0"/>
            </w:tcBorders>
            <w:vAlign w:val="center"/>
          </w:tcPr>
          <w:p w14:paraId="11E06615">
            <w:pPr>
              <w:spacing w:line="280" w:lineRule="exact"/>
              <w:rPr>
                <w:rFonts w:ascii="宋体" w:hAnsi="宋体"/>
                <w:sz w:val="18"/>
                <w:szCs w:val="18"/>
              </w:rPr>
            </w:pPr>
            <w:r>
              <w:rPr>
                <w:rFonts w:ascii="宋体" w:hAnsi="宋体"/>
                <w:sz w:val="18"/>
                <w:szCs w:val="18"/>
              </w:rPr>
              <w:t>四、规模以上工业单位增加值能耗</w:t>
            </w:r>
          </w:p>
        </w:tc>
        <w:tc>
          <w:tcPr>
            <w:tcW w:w="1306" w:type="dxa"/>
            <w:tcBorders>
              <w:top w:val="nil"/>
              <w:left w:val="single" w:color="auto" w:sz="2" w:space="0"/>
              <w:bottom w:val="nil"/>
              <w:right w:val="single" w:color="auto" w:sz="2" w:space="0"/>
            </w:tcBorders>
            <w:vAlign w:val="center"/>
          </w:tcPr>
          <w:p w14:paraId="1B1B2E5E">
            <w:pPr>
              <w:spacing w:line="240" w:lineRule="exact"/>
              <w:jc w:val="center"/>
              <w:textAlignment w:val="center"/>
              <w:rPr>
                <w:rFonts w:ascii="宋体" w:hAnsi="宋体"/>
                <w:sz w:val="18"/>
                <w:szCs w:val="18"/>
              </w:rPr>
            </w:pPr>
            <w:r>
              <w:rPr>
                <w:rFonts w:ascii="宋体" w:hAnsi="宋体"/>
                <w:sz w:val="18"/>
                <w:szCs w:val="18"/>
              </w:rPr>
              <w:t>吨标准煤/万元</w:t>
            </w:r>
          </w:p>
        </w:tc>
        <w:tc>
          <w:tcPr>
            <w:tcW w:w="537" w:type="dxa"/>
            <w:tcBorders>
              <w:top w:val="nil"/>
              <w:left w:val="single" w:color="auto" w:sz="2" w:space="0"/>
              <w:bottom w:val="nil"/>
              <w:right w:val="single" w:color="auto" w:sz="2" w:space="0"/>
            </w:tcBorders>
            <w:vAlign w:val="center"/>
          </w:tcPr>
          <w:p w14:paraId="212B7A6F">
            <w:pPr>
              <w:spacing w:line="240" w:lineRule="exact"/>
              <w:jc w:val="center"/>
              <w:textAlignment w:val="center"/>
              <w:rPr>
                <w:rFonts w:ascii="宋体" w:hAnsi="宋体"/>
                <w:sz w:val="18"/>
                <w:szCs w:val="18"/>
              </w:rPr>
            </w:pPr>
            <w:r>
              <w:rPr>
                <w:rFonts w:ascii="宋体" w:hAnsi="宋体"/>
                <w:sz w:val="18"/>
                <w:szCs w:val="18"/>
              </w:rPr>
              <w:t>16</w:t>
            </w:r>
          </w:p>
        </w:tc>
        <w:tc>
          <w:tcPr>
            <w:tcW w:w="702" w:type="dxa"/>
            <w:tcBorders>
              <w:top w:val="nil"/>
              <w:left w:val="single" w:color="auto" w:sz="2" w:space="0"/>
              <w:bottom w:val="nil"/>
              <w:right w:val="nil"/>
            </w:tcBorders>
            <w:vAlign w:val="center"/>
          </w:tcPr>
          <w:p w14:paraId="061D157B">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6579B264">
            <w:pPr>
              <w:spacing w:line="240" w:lineRule="exact"/>
              <w:jc w:val="center"/>
              <w:textAlignment w:val="center"/>
              <w:rPr>
                <w:rFonts w:ascii="宋体" w:hAnsi="宋体"/>
                <w:sz w:val="18"/>
                <w:szCs w:val="18"/>
              </w:rPr>
            </w:pPr>
          </w:p>
        </w:tc>
        <w:tc>
          <w:tcPr>
            <w:tcW w:w="702" w:type="dxa"/>
            <w:tcBorders>
              <w:top w:val="nil"/>
              <w:left w:val="nil"/>
              <w:bottom w:val="nil"/>
              <w:right w:val="nil"/>
            </w:tcBorders>
            <w:vAlign w:val="center"/>
          </w:tcPr>
          <w:p w14:paraId="7FA5E500">
            <w:pPr>
              <w:spacing w:line="240" w:lineRule="exact"/>
              <w:jc w:val="center"/>
              <w:textAlignment w:val="center"/>
              <w:rPr>
                <w:rFonts w:ascii="宋体" w:hAnsi="宋体"/>
                <w:sz w:val="18"/>
                <w:szCs w:val="18"/>
              </w:rPr>
            </w:pPr>
          </w:p>
        </w:tc>
        <w:tc>
          <w:tcPr>
            <w:tcW w:w="720" w:type="dxa"/>
            <w:tcBorders>
              <w:top w:val="nil"/>
              <w:left w:val="nil"/>
              <w:bottom w:val="nil"/>
              <w:right w:val="nil"/>
            </w:tcBorders>
            <w:vAlign w:val="center"/>
          </w:tcPr>
          <w:p w14:paraId="49803A35">
            <w:pPr>
              <w:spacing w:line="236" w:lineRule="exact"/>
              <w:jc w:val="center"/>
              <w:rPr>
                <w:rFonts w:ascii="宋体" w:hAnsi="宋体"/>
                <w:sz w:val="18"/>
                <w:szCs w:val="18"/>
              </w:rPr>
            </w:pPr>
            <w:r>
              <w:rPr>
                <w:rFonts w:hint="eastAsia" w:ascii="宋体" w:hAnsi="宋体"/>
                <w:sz w:val="18"/>
                <w:szCs w:val="18"/>
              </w:rPr>
              <w:t>—</w:t>
            </w:r>
          </w:p>
        </w:tc>
        <w:tc>
          <w:tcPr>
            <w:tcW w:w="630" w:type="dxa"/>
            <w:tcBorders>
              <w:top w:val="nil"/>
              <w:left w:val="nil"/>
              <w:bottom w:val="nil"/>
              <w:right w:val="nil"/>
            </w:tcBorders>
            <w:vAlign w:val="center"/>
          </w:tcPr>
          <w:p w14:paraId="5848BC42">
            <w:pPr>
              <w:spacing w:line="236" w:lineRule="exact"/>
              <w:jc w:val="center"/>
              <w:rPr>
                <w:rFonts w:ascii="宋体" w:hAnsi="宋体"/>
                <w:sz w:val="18"/>
                <w:szCs w:val="18"/>
              </w:rPr>
            </w:pPr>
            <w:r>
              <w:rPr>
                <w:rFonts w:hint="eastAsia" w:ascii="宋体" w:hAnsi="宋体"/>
                <w:sz w:val="18"/>
                <w:szCs w:val="18"/>
              </w:rPr>
              <w:t>—</w:t>
            </w:r>
          </w:p>
        </w:tc>
      </w:tr>
      <w:tr w14:paraId="1E406E0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 w:hRule="atLeast"/>
        </w:trPr>
        <w:tc>
          <w:tcPr>
            <w:tcW w:w="4109" w:type="dxa"/>
            <w:tcBorders>
              <w:top w:val="nil"/>
              <w:left w:val="nil"/>
              <w:bottom w:val="single" w:color="auto" w:sz="8" w:space="0"/>
              <w:right w:val="single" w:color="auto" w:sz="2" w:space="0"/>
            </w:tcBorders>
            <w:vAlign w:val="center"/>
          </w:tcPr>
          <w:p w14:paraId="531493D9">
            <w:pPr>
              <w:spacing w:line="280" w:lineRule="exact"/>
              <w:rPr>
                <w:rFonts w:ascii="宋体" w:hAnsi="宋体"/>
                <w:sz w:val="18"/>
                <w:szCs w:val="18"/>
              </w:rPr>
            </w:pPr>
            <w:r>
              <w:rPr>
                <w:rFonts w:ascii="宋体" w:hAnsi="宋体"/>
                <w:sz w:val="18"/>
                <w:szCs w:val="18"/>
              </w:rPr>
              <w:t>五</w:t>
            </w:r>
            <w:r>
              <w:rPr>
                <w:rFonts w:hint="eastAsia" w:ascii="宋体" w:hAnsi="宋体"/>
                <w:sz w:val="18"/>
                <w:szCs w:val="18"/>
              </w:rPr>
              <w:t>、</w:t>
            </w:r>
            <w:r>
              <w:rPr>
                <w:rFonts w:ascii="宋体" w:hAnsi="宋体"/>
                <w:sz w:val="18"/>
                <w:szCs w:val="18"/>
              </w:rPr>
              <w:t>单位GDP电耗</w:t>
            </w:r>
          </w:p>
        </w:tc>
        <w:tc>
          <w:tcPr>
            <w:tcW w:w="1306" w:type="dxa"/>
            <w:tcBorders>
              <w:top w:val="nil"/>
              <w:left w:val="single" w:color="auto" w:sz="2" w:space="0"/>
              <w:bottom w:val="single" w:color="auto" w:sz="8" w:space="0"/>
              <w:right w:val="single" w:color="auto" w:sz="2" w:space="0"/>
            </w:tcBorders>
            <w:vAlign w:val="center"/>
          </w:tcPr>
          <w:p w14:paraId="05C202B7">
            <w:pPr>
              <w:spacing w:line="240" w:lineRule="exact"/>
              <w:jc w:val="center"/>
              <w:textAlignment w:val="center"/>
              <w:rPr>
                <w:rFonts w:ascii="宋体" w:hAnsi="宋体"/>
                <w:sz w:val="18"/>
                <w:szCs w:val="18"/>
              </w:rPr>
            </w:pPr>
            <w:r>
              <w:rPr>
                <w:rFonts w:ascii="宋体" w:hAnsi="宋体"/>
                <w:sz w:val="18"/>
                <w:szCs w:val="18"/>
              </w:rPr>
              <w:t>千瓦时/万元</w:t>
            </w:r>
          </w:p>
        </w:tc>
        <w:tc>
          <w:tcPr>
            <w:tcW w:w="537" w:type="dxa"/>
            <w:tcBorders>
              <w:top w:val="nil"/>
              <w:left w:val="single" w:color="auto" w:sz="2" w:space="0"/>
              <w:bottom w:val="single" w:color="auto" w:sz="8" w:space="0"/>
              <w:right w:val="single" w:color="auto" w:sz="2" w:space="0"/>
            </w:tcBorders>
            <w:vAlign w:val="center"/>
          </w:tcPr>
          <w:p w14:paraId="1A792773">
            <w:pPr>
              <w:spacing w:line="240" w:lineRule="exact"/>
              <w:jc w:val="center"/>
              <w:textAlignment w:val="center"/>
              <w:rPr>
                <w:rFonts w:ascii="宋体" w:hAnsi="宋体"/>
                <w:sz w:val="18"/>
                <w:szCs w:val="18"/>
              </w:rPr>
            </w:pPr>
            <w:r>
              <w:rPr>
                <w:rFonts w:hint="eastAsia" w:ascii="宋体" w:hAnsi="宋体"/>
                <w:sz w:val="18"/>
                <w:szCs w:val="18"/>
              </w:rPr>
              <w:t>1</w:t>
            </w:r>
            <w:r>
              <w:rPr>
                <w:rFonts w:ascii="宋体" w:hAnsi="宋体"/>
                <w:sz w:val="18"/>
                <w:szCs w:val="18"/>
              </w:rPr>
              <w:t>7</w:t>
            </w:r>
          </w:p>
        </w:tc>
        <w:tc>
          <w:tcPr>
            <w:tcW w:w="702" w:type="dxa"/>
            <w:tcBorders>
              <w:top w:val="nil"/>
              <w:left w:val="single" w:color="auto" w:sz="2" w:space="0"/>
              <w:bottom w:val="single" w:color="auto" w:sz="8" w:space="0"/>
              <w:right w:val="nil"/>
            </w:tcBorders>
            <w:vAlign w:val="center"/>
          </w:tcPr>
          <w:p w14:paraId="71CEDCC1">
            <w:pPr>
              <w:spacing w:line="240" w:lineRule="exact"/>
              <w:jc w:val="center"/>
              <w:textAlignment w:val="center"/>
              <w:rPr>
                <w:rFonts w:ascii="宋体" w:hAnsi="宋体"/>
                <w:sz w:val="18"/>
                <w:szCs w:val="18"/>
              </w:rPr>
            </w:pPr>
          </w:p>
        </w:tc>
        <w:tc>
          <w:tcPr>
            <w:tcW w:w="702" w:type="dxa"/>
            <w:tcBorders>
              <w:top w:val="nil"/>
              <w:left w:val="nil"/>
              <w:bottom w:val="single" w:color="auto" w:sz="8" w:space="0"/>
              <w:right w:val="nil"/>
            </w:tcBorders>
            <w:vAlign w:val="center"/>
          </w:tcPr>
          <w:p w14:paraId="5EAF64AE">
            <w:pPr>
              <w:spacing w:line="240" w:lineRule="exact"/>
              <w:jc w:val="center"/>
              <w:textAlignment w:val="center"/>
              <w:rPr>
                <w:rFonts w:ascii="宋体" w:hAnsi="宋体"/>
                <w:sz w:val="18"/>
                <w:szCs w:val="18"/>
              </w:rPr>
            </w:pPr>
          </w:p>
        </w:tc>
        <w:tc>
          <w:tcPr>
            <w:tcW w:w="702" w:type="dxa"/>
            <w:tcBorders>
              <w:top w:val="nil"/>
              <w:left w:val="nil"/>
              <w:bottom w:val="single" w:color="auto" w:sz="8" w:space="0"/>
              <w:right w:val="nil"/>
            </w:tcBorders>
            <w:vAlign w:val="center"/>
          </w:tcPr>
          <w:p w14:paraId="6793E32B">
            <w:pPr>
              <w:spacing w:line="240" w:lineRule="exact"/>
              <w:jc w:val="center"/>
              <w:textAlignment w:val="center"/>
              <w:rPr>
                <w:rFonts w:ascii="宋体" w:hAnsi="宋体"/>
                <w:sz w:val="18"/>
                <w:szCs w:val="18"/>
              </w:rPr>
            </w:pPr>
          </w:p>
        </w:tc>
        <w:tc>
          <w:tcPr>
            <w:tcW w:w="720" w:type="dxa"/>
            <w:tcBorders>
              <w:top w:val="nil"/>
              <w:left w:val="nil"/>
              <w:bottom w:val="single" w:color="auto" w:sz="8" w:space="0"/>
              <w:right w:val="nil"/>
            </w:tcBorders>
            <w:vAlign w:val="center"/>
          </w:tcPr>
          <w:p w14:paraId="5D87CBEF">
            <w:pPr>
              <w:spacing w:line="236" w:lineRule="exact"/>
              <w:jc w:val="center"/>
              <w:rPr>
                <w:rFonts w:ascii="宋体" w:hAnsi="宋体"/>
                <w:sz w:val="18"/>
                <w:szCs w:val="18"/>
              </w:rPr>
            </w:pPr>
            <w:r>
              <w:rPr>
                <w:rFonts w:hint="eastAsia" w:ascii="宋体" w:hAnsi="宋体"/>
                <w:sz w:val="18"/>
                <w:szCs w:val="18"/>
              </w:rPr>
              <w:t>—</w:t>
            </w:r>
          </w:p>
        </w:tc>
        <w:tc>
          <w:tcPr>
            <w:tcW w:w="630" w:type="dxa"/>
            <w:tcBorders>
              <w:top w:val="nil"/>
              <w:left w:val="nil"/>
              <w:bottom w:val="single" w:color="auto" w:sz="8" w:space="0"/>
              <w:right w:val="nil"/>
            </w:tcBorders>
            <w:vAlign w:val="center"/>
          </w:tcPr>
          <w:p w14:paraId="3CE11767">
            <w:pPr>
              <w:spacing w:line="236" w:lineRule="exact"/>
              <w:jc w:val="center"/>
              <w:rPr>
                <w:rFonts w:ascii="宋体" w:hAnsi="宋体"/>
                <w:sz w:val="18"/>
                <w:szCs w:val="18"/>
              </w:rPr>
            </w:pPr>
            <w:r>
              <w:rPr>
                <w:rFonts w:hint="eastAsia" w:ascii="宋体" w:hAnsi="宋体"/>
                <w:sz w:val="18"/>
                <w:szCs w:val="18"/>
              </w:rPr>
              <w:t>—</w:t>
            </w:r>
          </w:p>
        </w:tc>
      </w:tr>
    </w:tbl>
    <w:p w14:paraId="37477D26">
      <w:pPr>
        <w:spacing w:line="320" w:lineRule="exact"/>
        <w:jc w:val="distribute"/>
        <w:rPr>
          <w:sz w:val="18"/>
          <w:szCs w:val="18"/>
        </w:rPr>
      </w:pPr>
      <w:r>
        <w:rPr>
          <w:sz w:val="18"/>
          <w:szCs w:val="18"/>
        </w:rPr>
        <w:t>单位负责人：                   填表人：  　          联系电话：               报出日期：２０ 　年  月  日</w:t>
      </w:r>
    </w:p>
    <w:p w14:paraId="0FF48B80">
      <w:pPr>
        <w:snapToGrid w:val="0"/>
        <w:spacing w:line="240" w:lineRule="exact"/>
        <w:rPr>
          <w:sz w:val="18"/>
          <w:szCs w:val="18"/>
        </w:rPr>
      </w:pPr>
    </w:p>
    <w:p w14:paraId="0307DA4E">
      <w:pPr>
        <w:snapToGrid w:val="0"/>
        <w:spacing w:line="260" w:lineRule="exact"/>
        <w:rPr>
          <w:sz w:val="18"/>
          <w:szCs w:val="18"/>
        </w:rPr>
      </w:pPr>
      <w:r>
        <w:rPr>
          <w:sz w:val="18"/>
          <w:szCs w:val="18"/>
        </w:rPr>
        <w:t>说明：</w:t>
      </w:r>
      <w:r>
        <w:rPr>
          <w:sz w:val="18"/>
        </w:rPr>
        <w:t>1</w:t>
      </w:r>
      <w:r>
        <w:rPr>
          <w:sz w:val="18"/>
          <w:szCs w:val="18"/>
        </w:rPr>
        <w:t>.本表由各省、自治区、直辖市统计局负责报送。</w:t>
      </w:r>
    </w:p>
    <w:p w14:paraId="44F44A4E">
      <w:pPr>
        <w:snapToGrid w:val="0"/>
        <w:spacing w:line="260" w:lineRule="exact"/>
        <w:ind w:firstLine="540" w:firstLineChars="300"/>
        <w:rPr>
          <w:sz w:val="18"/>
          <w:szCs w:val="18"/>
        </w:rPr>
      </w:pPr>
      <w:r>
        <w:rPr>
          <w:sz w:val="18"/>
        </w:rPr>
        <w:t>2.报送时间为季后23日12:00前，</w:t>
      </w:r>
      <w:r>
        <w:rPr>
          <w:sz w:val="18"/>
          <w:szCs w:val="18"/>
        </w:rPr>
        <w:t>报送方式为电子邮件</w:t>
      </w:r>
      <w:r>
        <w:rPr>
          <w:rFonts w:hint="eastAsia"/>
          <w:sz w:val="18"/>
          <w:szCs w:val="18"/>
        </w:rPr>
        <w:t>（nys</w:t>
      </w:r>
      <w:r>
        <w:rPr>
          <w:sz w:val="18"/>
          <w:szCs w:val="18"/>
        </w:rPr>
        <w:t>ny</w:t>
      </w:r>
      <w:r>
        <w:rPr>
          <w:rFonts w:hint="eastAsia"/>
          <w:sz w:val="18"/>
          <w:szCs w:val="18"/>
        </w:rPr>
        <w:t>jcc@stats.gov</w:t>
      </w:r>
      <w:r>
        <w:rPr>
          <w:sz w:val="18"/>
          <w:szCs w:val="18"/>
        </w:rPr>
        <w:t>.cn</w:t>
      </w:r>
      <w:r>
        <w:rPr>
          <w:rFonts w:hint="eastAsia"/>
          <w:sz w:val="18"/>
          <w:szCs w:val="18"/>
        </w:rPr>
        <w:t>）</w:t>
      </w:r>
      <w:r>
        <w:rPr>
          <w:sz w:val="18"/>
        </w:rPr>
        <w:t>。</w:t>
      </w:r>
    </w:p>
    <w:p w14:paraId="7F3DAB6E">
      <w:pPr>
        <w:snapToGrid w:val="0"/>
        <w:spacing w:line="260" w:lineRule="exact"/>
        <w:ind w:left="668" w:leftChars="260" w:hanging="122" w:hangingChars="68"/>
        <w:rPr>
          <w:kern w:val="0"/>
          <w:sz w:val="18"/>
          <w:szCs w:val="18"/>
        </w:rPr>
      </w:pPr>
      <w:r>
        <w:rPr>
          <w:kern w:val="0"/>
          <w:sz w:val="18"/>
          <w:szCs w:val="18"/>
        </w:rPr>
        <w:t>3.本表的</w:t>
      </w:r>
      <w:r>
        <w:rPr>
          <w:rFonts w:hint="eastAsia"/>
          <w:kern w:val="0"/>
          <w:sz w:val="18"/>
          <w:szCs w:val="18"/>
        </w:rPr>
        <w:t>单位</w:t>
      </w:r>
      <w:r>
        <w:rPr>
          <w:kern w:val="0"/>
          <w:sz w:val="18"/>
          <w:szCs w:val="18"/>
        </w:rPr>
        <w:t>GDP</w:t>
      </w:r>
      <w:r>
        <w:rPr>
          <w:rFonts w:hint="eastAsia"/>
          <w:kern w:val="0"/>
          <w:sz w:val="18"/>
          <w:szCs w:val="18"/>
        </w:rPr>
        <w:t>能耗、规模以上工业单位增加值能耗、单位</w:t>
      </w:r>
      <w:r>
        <w:rPr>
          <w:kern w:val="0"/>
          <w:sz w:val="18"/>
          <w:szCs w:val="18"/>
        </w:rPr>
        <w:t>GDP</w:t>
      </w:r>
      <w:r>
        <w:rPr>
          <w:rFonts w:hint="eastAsia"/>
          <w:kern w:val="0"/>
          <w:sz w:val="18"/>
          <w:szCs w:val="18"/>
        </w:rPr>
        <w:t>电耗保留</w:t>
      </w:r>
      <w:r>
        <w:rPr>
          <w:kern w:val="0"/>
          <w:sz w:val="18"/>
          <w:szCs w:val="18"/>
        </w:rPr>
        <w:t>4</w:t>
      </w:r>
      <w:r>
        <w:rPr>
          <w:rFonts w:hint="eastAsia"/>
          <w:kern w:val="0"/>
          <w:sz w:val="18"/>
          <w:szCs w:val="18"/>
        </w:rPr>
        <w:t>位小数，所有增速、比重数据保留</w:t>
      </w:r>
      <w:r>
        <w:rPr>
          <w:kern w:val="0"/>
          <w:sz w:val="18"/>
          <w:szCs w:val="18"/>
        </w:rPr>
        <w:t>1</w:t>
      </w:r>
      <w:r>
        <w:rPr>
          <w:rFonts w:hint="eastAsia"/>
          <w:kern w:val="0"/>
          <w:sz w:val="18"/>
          <w:szCs w:val="18"/>
        </w:rPr>
        <w:t>位小数，其余数据保留</w:t>
      </w:r>
      <w:r>
        <w:rPr>
          <w:kern w:val="0"/>
          <w:sz w:val="18"/>
          <w:szCs w:val="18"/>
        </w:rPr>
        <w:t>2</w:t>
      </w:r>
      <w:r>
        <w:rPr>
          <w:rFonts w:hint="eastAsia"/>
          <w:kern w:val="0"/>
          <w:sz w:val="18"/>
          <w:szCs w:val="18"/>
        </w:rPr>
        <w:t>位小数。</w:t>
      </w:r>
    </w:p>
    <w:p w14:paraId="7BD7DBAC">
      <w:pPr>
        <w:snapToGrid w:val="0"/>
        <w:spacing w:line="260" w:lineRule="exact"/>
        <w:ind w:right="-42" w:rightChars="-20" w:firstLine="540" w:firstLineChars="300"/>
        <w:rPr>
          <w:sz w:val="18"/>
        </w:rPr>
      </w:pPr>
      <w:r>
        <w:rPr>
          <w:sz w:val="18"/>
        </w:rPr>
        <w:t>4.本表的能源消费量核算方法遵照《季度地区能源消费总量核算方案》。</w:t>
      </w:r>
    </w:p>
    <w:p w14:paraId="7AC35351">
      <w:pPr>
        <w:spacing w:before="287" w:beforeLines="100"/>
        <w:jc w:val="center"/>
        <w:outlineLvl w:val="2"/>
        <w:rPr>
          <w:sz w:val="32"/>
          <w:szCs w:val="32"/>
        </w:rPr>
      </w:pPr>
      <w:r>
        <w:rPr>
          <w:sz w:val="32"/>
          <w:szCs w:val="32"/>
        </w:rPr>
        <w:t>全社会用电量情况</w:t>
      </w:r>
    </w:p>
    <w:tbl>
      <w:tblPr>
        <w:tblStyle w:val="20"/>
        <w:tblW w:w="9402" w:type="dxa"/>
        <w:jc w:val="center"/>
        <w:tblLayout w:type="autofit"/>
        <w:tblCellMar>
          <w:top w:w="0" w:type="dxa"/>
          <w:left w:w="0" w:type="dxa"/>
          <w:bottom w:w="0" w:type="dxa"/>
          <w:right w:w="0" w:type="dxa"/>
        </w:tblCellMar>
      </w:tblPr>
      <w:tblGrid>
        <w:gridCol w:w="3565"/>
        <w:gridCol w:w="336"/>
        <w:gridCol w:w="2777"/>
        <w:gridCol w:w="900"/>
        <w:gridCol w:w="1824"/>
      </w:tblGrid>
      <w:tr w14:paraId="6F8617B1">
        <w:tblPrEx>
          <w:tblCellMar>
            <w:top w:w="0" w:type="dxa"/>
            <w:left w:w="0" w:type="dxa"/>
            <w:bottom w:w="0" w:type="dxa"/>
            <w:right w:w="0" w:type="dxa"/>
          </w:tblCellMar>
        </w:tblPrEx>
        <w:trPr>
          <w:jc w:val="center"/>
        </w:trPr>
        <w:tc>
          <w:tcPr>
            <w:tcW w:w="3565" w:type="dxa"/>
          </w:tcPr>
          <w:p w14:paraId="17B86F3D">
            <w:pPr>
              <w:spacing w:line="260" w:lineRule="exact"/>
              <w:rPr>
                <w:sz w:val="18"/>
                <w:szCs w:val="18"/>
              </w:rPr>
            </w:pPr>
          </w:p>
        </w:tc>
        <w:tc>
          <w:tcPr>
            <w:tcW w:w="336" w:type="dxa"/>
          </w:tcPr>
          <w:p w14:paraId="2053CD1C">
            <w:pPr>
              <w:spacing w:line="260" w:lineRule="exact"/>
              <w:rPr>
                <w:sz w:val="18"/>
                <w:szCs w:val="18"/>
              </w:rPr>
            </w:pPr>
          </w:p>
        </w:tc>
        <w:tc>
          <w:tcPr>
            <w:tcW w:w="2777" w:type="dxa"/>
          </w:tcPr>
          <w:p w14:paraId="13037D63">
            <w:pPr>
              <w:spacing w:line="260" w:lineRule="exact"/>
              <w:rPr>
                <w:sz w:val="18"/>
                <w:szCs w:val="18"/>
              </w:rPr>
            </w:pPr>
            <w:r>
              <w:rPr>
                <w:sz w:val="18"/>
                <w:szCs w:val="18"/>
              </w:rPr>
              <w:t>　　　　　　　　　　　　　</w:t>
            </w:r>
          </w:p>
        </w:tc>
        <w:tc>
          <w:tcPr>
            <w:tcW w:w="900" w:type="dxa"/>
            <w:tcMar>
              <w:left w:w="0" w:type="dxa"/>
              <w:right w:w="0" w:type="dxa"/>
            </w:tcMar>
          </w:tcPr>
          <w:p w14:paraId="76B474FE">
            <w:pPr>
              <w:spacing w:line="260" w:lineRule="exact"/>
              <w:rPr>
                <w:sz w:val="18"/>
                <w:szCs w:val="18"/>
              </w:rPr>
            </w:pPr>
            <w:r>
              <w:rPr>
                <w:sz w:val="18"/>
                <w:szCs w:val="18"/>
              </w:rPr>
              <w:t>表    号：</w:t>
            </w:r>
          </w:p>
        </w:tc>
        <w:tc>
          <w:tcPr>
            <w:tcW w:w="1824" w:type="dxa"/>
            <w:vAlign w:val="center"/>
          </w:tcPr>
          <w:p w14:paraId="7486CAFC">
            <w:pPr>
              <w:spacing w:line="260" w:lineRule="exact"/>
              <w:jc w:val="distribute"/>
              <w:rPr>
                <w:sz w:val="18"/>
                <w:szCs w:val="18"/>
              </w:rPr>
            </w:pPr>
            <w:r>
              <w:rPr>
                <w:sz w:val="18"/>
                <w:szCs w:val="18"/>
              </w:rPr>
              <w:t>Ｐ４０７表</w:t>
            </w:r>
          </w:p>
        </w:tc>
      </w:tr>
      <w:tr w14:paraId="5FF879D5">
        <w:tblPrEx>
          <w:tblCellMar>
            <w:top w:w="0" w:type="dxa"/>
            <w:left w:w="0" w:type="dxa"/>
            <w:bottom w:w="0" w:type="dxa"/>
            <w:right w:w="0" w:type="dxa"/>
          </w:tblCellMar>
        </w:tblPrEx>
        <w:trPr>
          <w:jc w:val="center"/>
        </w:trPr>
        <w:tc>
          <w:tcPr>
            <w:tcW w:w="3565" w:type="dxa"/>
          </w:tcPr>
          <w:p w14:paraId="529F09C8">
            <w:pPr>
              <w:spacing w:line="260" w:lineRule="exact"/>
              <w:rPr>
                <w:sz w:val="18"/>
                <w:szCs w:val="18"/>
              </w:rPr>
            </w:pPr>
          </w:p>
        </w:tc>
        <w:tc>
          <w:tcPr>
            <w:tcW w:w="336" w:type="dxa"/>
          </w:tcPr>
          <w:p w14:paraId="623799E7">
            <w:pPr>
              <w:spacing w:line="260" w:lineRule="exact"/>
              <w:rPr>
                <w:sz w:val="18"/>
                <w:szCs w:val="18"/>
              </w:rPr>
            </w:pPr>
          </w:p>
        </w:tc>
        <w:tc>
          <w:tcPr>
            <w:tcW w:w="2777" w:type="dxa"/>
          </w:tcPr>
          <w:p w14:paraId="550C478D">
            <w:pPr>
              <w:spacing w:line="260" w:lineRule="exact"/>
              <w:rPr>
                <w:sz w:val="18"/>
                <w:szCs w:val="18"/>
              </w:rPr>
            </w:pPr>
          </w:p>
        </w:tc>
        <w:tc>
          <w:tcPr>
            <w:tcW w:w="900" w:type="dxa"/>
            <w:tcMar>
              <w:left w:w="0" w:type="dxa"/>
              <w:right w:w="0" w:type="dxa"/>
            </w:tcMar>
            <w:vAlign w:val="center"/>
          </w:tcPr>
          <w:p w14:paraId="51AD30B8">
            <w:pPr>
              <w:spacing w:line="260" w:lineRule="exact"/>
              <w:rPr>
                <w:sz w:val="18"/>
                <w:szCs w:val="18"/>
              </w:rPr>
            </w:pPr>
            <w:r>
              <w:rPr>
                <w:sz w:val="18"/>
                <w:szCs w:val="18"/>
              </w:rPr>
              <w:t>制定机关：</w:t>
            </w:r>
          </w:p>
        </w:tc>
        <w:tc>
          <w:tcPr>
            <w:tcW w:w="1824" w:type="dxa"/>
            <w:vAlign w:val="center"/>
          </w:tcPr>
          <w:p w14:paraId="129D664B">
            <w:pPr>
              <w:spacing w:line="260" w:lineRule="exact"/>
              <w:jc w:val="distribute"/>
              <w:rPr>
                <w:sz w:val="18"/>
                <w:szCs w:val="18"/>
              </w:rPr>
            </w:pPr>
            <w:r>
              <w:rPr>
                <w:sz w:val="18"/>
                <w:szCs w:val="18"/>
              </w:rPr>
              <w:t>国 家 统 计 局</w:t>
            </w:r>
          </w:p>
        </w:tc>
      </w:tr>
      <w:tr w14:paraId="1F3D2326">
        <w:tblPrEx>
          <w:tblCellMar>
            <w:top w:w="0" w:type="dxa"/>
            <w:left w:w="0" w:type="dxa"/>
            <w:bottom w:w="0" w:type="dxa"/>
            <w:right w:w="0" w:type="dxa"/>
          </w:tblCellMar>
        </w:tblPrEx>
        <w:trPr>
          <w:jc w:val="center"/>
        </w:trPr>
        <w:tc>
          <w:tcPr>
            <w:tcW w:w="3565" w:type="dxa"/>
          </w:tcPr>
          <w:p w14:paraId="115DD9BA">
            <w:pPr>
              <w:spacing w:line="260" w:lineRule="exact"/>
              <w:jc w:val="left"/>
              <w:rPr>
                <w:sz w:val="18"/>
                <w:szCs w:val="18"/>
              </w:rPr>
            </w:pPr>
          </w:p>
        </w:tc>
        <w:tc>
          <w:tcPr>
            <w:tcW w:w="336" w:type="dxa"/>
          </w:tcPr>
          <w:p w14:paraId="5EDD92D8">
            <w:pPr>
              <w:spacing w:line="260" w:lineRule="exact"/>
              <w:rPr>
                <w:sz w:val="18"/>
                <w:szCs w:val="18"/>
              </w:rPr>
            </w:pPr>
          </w:p>
        </w:tc>
        <w:tc>
          <w:tcPr>
            <w:tcW w:w="2777" w:type="dxa"/>
          </w:tcPr>
          <w:p w14:paraId="6E902E23">
            <w:pPr>
              <w:spacing w:line="260" w:lineRule="exact"/>
              <w:rPr>
                <w:sz w:val="18"/>
                <w:szCs w:val="18"/>
              </w:rPr>
            </w:pPr>
          </w:p>
        </w:tc>
        <w:tc>
          <w:tcPr>
            <w:tcW w:w="900" w:type="dxa"/>
            <w:tcMar>
              <w:left w:w="0" w:type="dxa"/>
              <w:right w:w="0" w:type="dxa"/>
            </w:tcMar>
            <w:vAlign w:val="center"/>
          </w:tcPr>
          <w:p w14:paraId="241CA1DD">
            <w:pPr>
              <w:spacing w:line="260" w:lineRule="exact"/>
              <w:rPr>
                <w:sz w:val="18"/>
                <w:szCs w:val="18"/>
              </w:rPr>
            </w:pPr>
            <w:r>
              <w:rPr>
                <w:sz w:val="18"/>
                <w:szCs w:val="18"/>
              </w:rPr>
              <w:t>文    号：</w:t>
            </w:r>
          </w:p>
        </w:tc>
        <w:tc>
          <w:tcPr>
            <w:tcW w:w="1824" w:type="dxa"/>
            <w:vAlign w:val="center"/>
          </w:tcPr>
          <w:p w14:paraId="44E442BB">
            <w:pPr>
              <w:spacing w:line="260" w:lineRule="exact"/>
              <w:jc w:val="distribute"/>
              <w:rPr>
                <w:sz w:val="18"/>
                <w:szCs w:val="18"/>
              </w:rPr>
            </w:pPr>
            <w:r>
              <w:rPr>
                <w:rFonts w:hint="eastAsia" w:ascii="宋体" w:hAnsi="宋体"/>
                <w:sz w:val="18"/>
                <w:szCs w:val="18"/>
              </w:rPr>
              <w:t>国统</w:t>
            </w:r>
            <w:r>
              <w:rPr>
                <w:rFonts w:hint="eastAsia" w:ascii="宋体" w:hAnsi="宋体"/>
                <w:spacing w:val="-16"/>
                <w:sz w:val="18"/>
                <w:szCs w:val="18"/>
              </w:rPr>
              <w:t>字</w:t>
            </w:r>
            <w:r>
              <w:rPr>
                <w:rFonts w:hint="default" w:ascii="宋体" w:hAnsi="宋体"/>
                <w:spacing w:val="-16"/>
                <w:sz w:val="18"/>
                <w:szCs w:val="18"/>
                <w:lang w:val="en-US" w:eastAsia="zh-CN"/>
              </w:rPr>
              <w:t>〔２０２</w:t>
            </w:r>
            <w:del w:id="507" w:author="kylin" w:date="2025-10-17T16:22:59Z">
              <w:r>
                <w:rPr>
                  <w:rFonts w:hint="default" w:ascii="宋体" w:hAnsi="宋体"/>
                  <w:spacing w:val="-16"/>
                  <w:sz w:val="18"/>
                  <w:szCs w:val="18"/>
                  <w:lang w:val="en-US" w:eastAsia="zh-CN"/>
                </w:rPr>
                <w:delText>４</w:delText>
              </w:r>
            </w:del>
            <w:ins w:id="508" w:author="kylin" w:date="2025-10-17T16:22:59Z">
              <w:r>
                <w:rPr>
                  <w:rFonts w:hint="eastAsia" w:ascii="宋体" w:hAnsi="宋体"/>
                  <w:spacing w:val="-16"/>
                  <w:sz w:val="18"/>
                  <w:szCs w:val="18"/>
                  <w:lang w:val="en-US" w:eastAsia="zh-CN"/>
                </w:rPr>
                <w:t>5</w:t>
              </w:r>
            </w:ins>
            <w:r>
              <w:rPr>
                <w:rFonts w:hint="default" w:ascii="宋体" w:hAnsi="宋体"/>
                <w:spacing w:val="-16"/>
                <w:sz w:val="18"/>
                <w:szCs w:val="18"/>
                <w:lang w:val="en-US" w:eastAsia="zh-CN"/>
              </w:rPr>
              <w:t>〕</w:t>
            </w:r>
            <w:del w:id="509" w:author="kylin" w:date="2025-10-17T16:23:01Z">
              <w:r>
                <w:rPr>
                  <w:rFonts w:hint="default" w:ascii="宋体" w:hAnsi="宋体"/>
                  <w:spacing w:val="-16"/>
                  <w:sz w:val="18"/>
                  <w:szCs w:val="18"/>
                  <w:lang w:val="en-US" w:eastAsia="zh-CN"/>
                </w:rPr>
                <w:delText>77</w:delText>
              </w:r>
            </w:del>
            <w:ins w:id="510" w:author="kylin" w:date="2025-10-17T16:23:01Z">
              <w:r>
                <w:rPr>
                  <w:rFonts w:hint="eastAsia" w:ascii="宋体" w:hAnsi="宋体"/>
                  <w:spacing w:val="-16"/>
                  <w:sz w:val="18"/>
                  <w:szCs w:val="18"/>
                  <w:lang w:val="en-US" w:eastAsia="zh-CN"/>
                </w:rPr>
                <w:t>8</w:t>
              </w:r>
            </w:ins>
            <w:ins w:id="511" w:author="kylin" w:date="2025-10-17T16:23:02Z">
              <w:r>
                <w:rPr>
                  <w:rFonts w:hint="eastAsia" w:ascii="宋体" w:hAnsi="宋体"/>
                  <w:spacing w:val="-16"/>
                  <w:sz w:val="18"/>
                  <w:szCs w:val="18"/>
                  <w:lang w:val="en-US" w:eastAsia="zh-CN"/>
                </w:rPr>
                <w:t>8</w:t>
              </w:r>
            </w:ins>
            <w:r>
              <w:rPr>
                <w:rFonts w:hint="eastAsia" w:ascii="宋体" w:hAnsi="宋体"/>
                <w:spacing w:val="-16"/>
                <w:sz w:val="18"/>
                <w:szCs w:val="18"/>
                <w:lang w:val="en" w:eastAsia="zh-CN"/>
              </w:rPr>
              <w:t>号</w:t>
            </w:r>
          </w:p>
        </w:tc>
      </w:tr>
      <w:tr w14:paraId="69FE2FB7">
        <w:tblPrEx>
          <w:tblCellMar>
            <w:top w:w="0" w:type="dxa"/>
            <w:left w:w="0" w:type="dxa"/>
            <w:bottom w:w="0" w:type="dxa"/>
            <w:right w:w="0" w:type="dxa"/>
          </w:tblCellMar>
        </w:tblPrEx>
        <w:trPr>
          <w:jc w:val="center"/>
        </w:trPr>
        <w:tc>
          <w:tcPr>
            <w:tcW w:w="3565" w:type="dxa"/>
          </w:tcPr>
          <w:p w14:paraId="4977D55C">
            <w:pPr>
              <w:spacing w:line="260" w:lineRule="exact"/>
              <w:rPr>
                <w:sz w:val="18"/>
                <w:szCs w:val="18"/>
              </w:rPr>
            </w:pPr>
            <w:r>
              <w:rPr>
                <w:sz w:val="18"/>
              </w:rPr>
              <w:t>综合机关名称：</w:t>
            </w:r>
          </w:p>
        </w:tc>
        <w:tc>
          <w:tcPr>
            <w:tcW w:w="336" w:type="dxa"/>
          </w:tcPr>
          <w:p w14:paraId="47C822B7">
            <w:pPr>
              <w:spacing w:line="260" w:lineRule="exact"/>
              <w:rPr>
                <w:sz w:val="18"/>
                <w:szCs w:val="18"/>
              </w:rPr>
            </w:pPr>
          </w:p>
        </w:tc>
        <w:tc>
          <w:tcPr>
            <w:tcW w:w="2777" w:type="dxa"/>
          </w:tcPr>
          <w:p w14:paraId="3B5F49E1">
            <w:pPr>
              <w:spacing w:line="260" w:lineRule="exact"/>
              <w:rPr>
                <w:sz w:val="18"/>
                <w:szCs w:val="18"/>
              </w:rPr>
            </w:pPr>
            <w:r>
              <w:rPr>
                <w:sz w:val="18"/>
                <w:szCs w:val="18"/>
              </w:rPr>
              <w:t>２０　　年　　月　　　　　　　　　</w:t>
            </w:r>
          </w:p>
        </w:tc>
        <w:tc>
          <w:tcPr>
            <w:tcW w:w="900" w:type="dxa"/>
            <w:tcMar>
              <w:left w:w="0" w:type="dxa"/>
              <w:right w:w="0" w:type="dxa"/>
            </w:tcMar>
            <w:vAlign w:val="center"/>
          </w:tcPr>
          <w:p w14:paraId="5563E10E">
            <w:pPr>
              <w:spacing w:line="260" w:lineRule="exact"/>
              <w:rPr>
                <w:sz w:val="18"/>
                <w:szCs w:val="18"/>
              </w:rPr>
            </w:pPr>
            <w:r>
              <w:rPr>
                <w:sz w:val="18"/>
                <w:szCs w:val="18"/>
              </w:rPr>
              <w:t>有效期至：</w:t>
            </w:r>
          </w:p>
        </w:tc>
        <w:tc>
          <w:tcPr>
            <w:tcW w:w="1824" w:type="dxa"/>
            <w:vAlign w:val="center"/>
          </w:tcPr>
          <w:p w14:paraId="65EE5372">
            <w:pPr>
              <w:spacing w:line="260" w:lineRule="exact"/>
              <w:jc w:val="distribute"/>
              <w:rPr>
                <w:rFonts w:hint="default" w:eastAsia="宋体"/>
                <w:sz w:val="18"/>
                <w:szCs w:val="18"/>
                <w:lang w:val="en-US" w:eastAsia="zh-CN"/>
              </w:rPr>
            </w:pPr>
            <w:r>
              <w:rPr>
                <w:rFonts w:hint="default"/>
                <w:sz w:val="18"/>
                <w:szCs w:val="18"/>
                <w:lang w:val="en-US" w:eastAsia="zh-CN"/>
              </w:rPr>
              <w:t>２０２</w:t>
            </w:r>
            <w:del w:id="512" w:author="kylin" w:date="2025-10-17T16:23:03Z">
              <w:r>
                <w:rPr>
                  <w:rFonts w:hint="default"/>
                  <w:sz w:val="18"/>
                  <w:szCs w:val="18"/>
                  <w:lang w:val="en-US" w:eastAsia="zh-CN"/>
                </w:rPr>
                <w:delText>６</w:delText>
              </w:r>
            </w:del>
            <w:ins w:id="513" w:author="kylin" w:date="2025-10-17T16:23:03Z">
              <w:r>
                <w:rPr>
                  <w:rFonts w:hint="eastAsia"/>
                  <w:sz w:val="18"/>
                  <w:szCs w:val="18"/>
                  <w:lang w:val="en-US" w:eastAsia="zh-CN"/>
                </w:rPr>
                <w:t>7</w:t>
              </w:r>
            </w:ins>
            <w:r>
              <w:rPr>
                <w:rFonts w:hint="default"/>
                <w:sz w:val="18"/>
                <w:szCs w:val="18"/>
                <w:lang w:val="en-US" w:eastAsia="zh-CN"/>
              </w:rPr>
              <w:t>年１月</w:t>
            </w:r>
          </w:p>
        </w:tc>
      </w:tr>
    </w:tbl>
    <w:p w14:paraId="4EF6EE9D">
      <w:pPr>
        <w:spacing w:line="20" w:lineRule="exact"/>
        <w:jc w:val="center"/>
        <w:rPr>
          <w:rFonts w:eastAsia="仿宋_GB2312"/>
          <w:sz w:val="28"/>
          <w:szCs w:val="28"/>
        </w:rPr>
      </w:pPr>
    </w:p>
    <w:tbl>
      <w:tblPr>
        <w:tblStyle w:val="20"/>
        <w:tblW w:w="9430" w:type="dxa"/>
        <w:jc w:val="center"/>
        <w:tblLayout w:type="fixed"/>
        <w:tblCellMar>
          <w:top w:w="0" w:type="dxa"/>
          <w:left w:w="108" w:type="dxa"/>
          <w:bottom w:w="0" w:type="dxa"/>
          <w:right w:w="108" w:type="dxa"/>
        </w:tblCellMar>
      </w:tblPr>
      <w:tblGrid>
        <w:gridCol w:w="2963"/>
        <w:gridCol w:w="653"/>
        <w:gridCol w:w="761"/>
        <w:gridCol w:w="762"/>
        <w:gridCol w:w="761"/>
        <w:gridCol w:w="762"/>
        <w:gridCol w:w="922"/>
        <w:gridCol w:w="923"/>
        <w:gridCol w:w="923"/>
      </w:tblGrid>
      <w:tr w14:paraId="715C3B51">
        <w:tblPrEx>
          <w:tblCellMar>
            <w:top w:w="0" w:type="dxa"/>
            <w:left w:w="108" w:type="dxa"/>
            <w:bottom w:w="0" w:type="dxa"/>
            <w:right w:w="108" w:type="dxa"/>
          </w:tblCellMar>
        </w:tblPrEx>
        <w:trPr>
          <w:trHeight w:val="327" w:hRule="atLeast"/>
          <w:jc w:val="center"/>
        </w:trPr>
        <w:tc>
          <w:tcPr>
            <w:tcW w:w="2963" w:type="dxa"/>
            <w:vMerge w:val="restart"/>
            <w:tcBorders>
              <w:top w:val="single" w:color="auto" w:sz="8" w:space="0"/>
              <w:left w:val="nil"/>
              <w:bottom w:val="single" w:color="auto" w:sz="2" w:space="0"/>
              <w:right w:val="single" w:color="auto" w:sz="2" w:space="0"/>
            </w:tcBorders>
            <w:shd w:val="clear" w:color="auto" w:fill="auto"/>
            <w:vAlign w:val="center"/>
          </w:tcPr>
          <w:p w14:paraId="6EA14FE4">
            <w:pPr>
              <w:widowControl/>
              <w:spacing w:line="260" w:lineRule="exact"/>
              <w:jc w:val="center"/>
              <w:rPr>
                <w:kern w:val="0"/>
                <w:sz w:val="18"/>
                <w:szCs w:val="18"/>
              </w:rPr>
            </w:pPr>
            <w:r>
              <w:rPr>
                <w:kern w:val="0"/>
                <w:sz w:val="18"/>
                <w:szCs w:val="18"/>
              </w:rPr>
              <w:t>指标名称</w:t>
            </w:r>
          </w:p>
        </w:tc>
        <w:tc>
          <w:tcPr>
            <w:tcW w:w="653"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4E3BBC67">
            <w:pPr>
              <w:widowControl/>
              <w:spacing w:line="260" w:lineRule="exact"/>
              <w:jc w:val="center"/>
              <w:rPr>
                <w:kern w:val="0"/>
                <w:sz w:val="18"/>
                <w:szCs w:val="18"/>
              </w:rPr>
            </w:pPr>
            <w:r>
              <w:rPr>
                <w:kern w:val="0"/>
                <w:sz w:val="18"/>
                <w:szCs w:val="18"/>
              </w:rPr>
              <w:t>代码</w:t>
            </w:r>
          </w:p>
        </w:tc>
        <w:tc>
          <w:tcPr>
            <w:tcW w:w="3046" w:type="dxa"/>
            <w:gridSpan w:val="4"/>
            <w:tcBorders>
              <w:top w:val="single" w:color="auto" w:sz="8" w:space="0"/>
              <w:left w:val="single" w:color="auto" w:sz="2" w:space="0"/>
              <w:bottom w:val="single" w:color="auto" w:sz="2" w:space="0"/>
              <w:right w:val="single" w:color="auto" w:sz="2" w:space="0"/>
            </w:tcBorders>
            <w:shd w:val="clear" w:color="auto" w:fill="auto"/>
            <w:vAlign w:val="center"/>
          </w:tcPr>
          <w:p w14:paraId="18EDEB73">
            <w:pPr>
              <w:widowControl/>
              <w:spacing w:line="260" w:lineRule="exact"/>
              <w:jc w:val="center"/>
              <w:rPr>
                <w:kern w:val="0"/>
                <w:sz w:val="18"/>
                <w:szCs w:val="18"/>
              </w:rPr>
            </w:pPr>
            <w:r>
              <w:rPr>
                <w:kern w:val="0"/>
                <w:sz w:val="18"/>
                <w:szCs w:val="18"/>
              </w:rPr>
              <w:t>用电量(万千瓦时)</w:t>
            </w:r>
          </w:p>
        </w:tc>
        <w:tc>
          <w:tcPr>
            <w:tcW w:w="922" w:type="dxa"/>
            <w:vMerge w:val="restart"/>
            <w:tcBorders>
              <w:top w:val="single" w:color="auto" w:sz="8" w:space="0"/>
              <w:left w:val="single" w:color="auto" w:sz="2" w:space="0"/>
              <w:bottom w:val="single" w:color="auto" w:sz="2" w:space="0"/>
              <w:right w:val="single" w:color="auto" w:sz="2" w:space="0"/>
            </w:tcBorders>
            <w:shd w:val="clear" w:color="auto" w:fill="auto"/>
            <w:tcMar>
              <w:left w:w="57" w:type="dxa"/>
              <w:right w:w="57" w:type="dxa"/>
            </w:tcMar>
            <w:vAlign w:val="center"/>
          </w:tcPr>
          <w:p w14:paraId="3C2539B6">
            <w:pPr>
              <w:widowControl/>
              <w:spacing w:line="260" w:lineRule="exact"/>
              <w:jc w:val="center"/>
              <w:rPr>
                <w:kern w:val="0"/>
                <w:sz w:val="18"/>
                <w:szCs w:val="18"/>
              </w:rPr>
            </w:pPr>
            <w:r>
              <w:rPr>
                <w:kern w:val="0"/>
                <w:sz w:val="18"/>
                <w:szCs w:val="18"/>
              </w:rPr>
              <w:t>本 月 比</w:t>
            </w:r>
          </w:p>
          <w:p w14:paraId="2A0684FC">
            <w:pPr>
              <w:widowControl/>
              <w:spacing w:line="260" w:lineRule="exact"/>
              <w:jc w:val="center"/>
              <w:rPr>
                <w:kern w:val="0"/>
                <w:sz w:val="18"/>
                <w:szCs w:val="18"/>
              </w:rPr>
            </w:pPr>
            <w:r>
              <w:rPr>
                <w:kern w:val="0"/>
                <w:sz w:val="18"/>
                <w:szCs w:val="18"/>
              </w:rPr>
              <w:t>上年同期</w:t>
            </w:r>
            <w:r>
              <w:rPr>
                <w:sz w:val="18"/>
                <w:szCs w:val="18"/>
              </w:rPr>
              <w:t>(%)</w:t>
            </w:r>
          </w:p>
        </w:tc>
        <w:tc>
          <w:tcPr>
            <w:tcW w:w="923" w:type="dxa"/>
            <w:vMerge w:val="restart"/>
            <w:tcBorders>
              <w:top w:val="single" w:color="auto" w:sz="8" w:space="0"/>
              <w:left w:val="single" w:color="auto" w:sz="2" w:space="0"/>
              <w:bottom w:val="single" w:color="auto" w:sz="2" w:space="0"/>
              <w:right w:val="single" w:color="auto" w:sz="2" w:space="0"/>
            </w:tcBorders>
            <w:shd w:val="clear" w:color="auto" w:fill="auto"/>
            <w:tcMar>
              <w:left w:w="57" w:type="dxa"/>
              <w:right w:w="57" w:type="dxa"/>
            </w:tcMar>
            <w:vAlign w:val="center"/>
          </w:tcPr>
          <w:p w14:paraId="1311166D">
            <w:pPr>
              <w:widowControl/>
              <w:spacing w:line="260" w:lineRule="exact"/>
              <w:jc w:val="center"/>
              <w:rPr>
                <w:kern w:val="0"/>
                <w:sz w:val="18"/>
                <w:szCs w:val="18"/>
              </w:rPr>
            </w:pPr>
            <w:r>
              <w:rPr>
                <w:kern w:val="0"/>
                <w:sz w:val="18"/>
                <w:szCs w:val="18"/>
              </w:rPr>
              <w:t>1－本月比上年同期</w:t>
            </w:r>
            <w:r>
              <w:rPr>
                <w:sz w:val="18"/>
                <w:szCs w:val="18"/>
              </w:rPr>
              <w:t>(%)</w:t>
            </w:r>
          </w:p>
        </w:tc>
        <w:tc>
          <w:tcPr>
            <w:tcW w:w="923" w:type="dxa"/>
            <w:vMerge w:val="restart"/>
            <w:tcBorders>
              <w:top w:val="single" w:color="auto" w:sz="8" w:space="0"/>
              <w:left w:val="single" w:color="auto" w:sz="2" w:space="0"/>
              <w:bottom w:val="single" w:color="auto" w:sz="2" w:space="0"/>
              <w:right w:val="nil"/>
            </w:tcBorders>
            <w:shd w:val="clear" w:color="auto" w:fill="auto"/>
            <w:tcMar>
              <w:left w:w="57" w:type="dxa"/>
              <w:right w:w="57" w:type="dxa"/>
            </w:tcMar>
            <w:vAlign w:val="center"/>
          </w:tcPr>
          <w:p w14:paraId="6DF0271D">
            <w:pPr>
              <w:widowControl/>
              <w:spacing w:line="260" w:lineRule="exact"/>
              <w:jc w:val="center"/>
              <w:rPr>
                <w:kern w:val="0"/>
                <w:sz w:val="18"/>
                <w:szCs w:val="18"/>
              </w:rPr>
            </w:pPr>
            <w:r>
              <w:rPr>
                <w:kern w:val="0"/>
                <w:sz w:val="18"/>
                <w:szCs w:val="18"/>
              </w:rPr>
              <w:t>占全社会用电量的比重(%)</w:t>
            </w:r>
          </w:p>
        </w:tc>
      </w:tr>
      <w:tr w14:paraId="6C079B35">
        <w:tblPrEx>
          <w:tblCellMar>
            <w:top w:w="0" w:type="dxa"/>
            <w:left w:w="108" w:type="dxa"/>
            <w:bottom w:w="0" w:type="dxa"/>
            <w:right w:w="108" w:type="dxa"/>
          </w:tblCellMar>
        </w:tblPrEx>
        <w:trPr>
          <w:trHeight w:val="547" w:hRule="atLeast"/>
          <w:jc w:val="center"/>
        </w:trPr>
        <w:tc>
          <w:tcPr>
            <w:tcW w:w="2963" w:type="dxa"/>
            <w:vMerge w:val="continue"/>
            <w:tcBorders>
              <w:top w:val="single" w:color="auto" w:sz="2" w:space="0"/>
              <w:left w:val="nil"/>
              <w:bottom w:val="single" w:color="auto" w:sz="2" w:space="0"/>
              <w:right w:val="single" w:color="auto" w:sz="2" w:space="0"/>
            </w:tcBorders>
            <w:vAlign w:val="center"/>
          </w:tcPr>
          <w:p w14:paraId="71845F3B">
            <w:pPr>
              <w:widowControl/>
              <w:spacing w:line="260" w:lineRule="exact"/>
              <w:jc w:val="left"/>
              <w:rPr>
                <w:kern w:val="0"/>
                <w:sz w:val="18"/>
                <w:szCs w:val="18"/>
              </w:rPr>
            </w:pPr>
          </w:p>
        </w:tc>
        <w:tc>
          <w:tcPr>
            <w:tcW w:w="653" w:type="dxa"/>
            <w:vMerge w:val="continue"/>
            <w:tcBorders>
              <w:top w:val="single" w:color="auto" w:sz="2" w:space="0"/>
              <w:left w:val="single" w:color="auto" w:sz="2" w:space="0"/>
              <w:bottom w:val="single" w:color="auto" w:sz="2" w:space="0"/>
              <w:right w:val="single" w:color="auto" w:sz="2" w:space="0"/>
            </w:tcBorders>
            <w:vAlign w:val="center"/>
          </w:tcPr>
          <w:p w14:paraId="508CB8ED">
            <w:pPr>
              <w:widowControl/>
              <w:spacing w:line="260" w:lineRule="exact"/>
              <w:jc w:val="left"/>
              <w:rPr>
                <w:kern w:val="0"/>
                <w:sz w:val="18"/>
                <w:szCs w:val="18"/>
              </w:rPr>
            </w:pP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44D4F3B9">
            <w:pPr>
              <w:widowControl/>
              <w:spacing w:line="260" w:lineRule="exact"/>
              <w:jc w:val="center"/>
              <w:rPr>
                <w:kern w:val="0"/>
                <w:sz w:val="18"/>
                <w:szCs w:val="18"/>
              </w:rPr>
            </w:pPr>
            <w:r>
              <w:rPr>
                <w:kern w:val="0"/>
                <w:sz w:val="18"/>
                <w:szCs w:val="18"/>
              </w:rPr>
              <w:t>本月</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14:paraId="5A876BB7">
            <w:pPr>
              <w:widowControl/>
              <w:spacing w:line="260" w:lineRule="exact"/>
              <w:jc w:val="center"/>
              <w:rPr>
                <w:kern w:val="0"/>
                <w:sz w:val="18"/>
                <w:szCs w:val="18"/>
              </w:rPr>
            </w:pPr>
            <w:r>
              <w:rPr>
                <w:kern w:val="0"/>
                <w:sz w:val="18"/>
                <w:szCs w:val="18"/>
              </w:rPr>
              <w:t>上年</w:t>
            </w:r>
          </w:p>
          <w:p w14:paraId="6D3A3339">
            <w:pPr>
              <w:widowControl/>
              <w:spacing w:line="260" w:lineRule="exact"/>
              <w:jc w:val="center"/>
              <w:rPr>
                <w:kern w:val="0"/>
                <w:sz w:val="18"/>
                <w:szCs w:val="18"/>
              </w:rPr>
            </w:pPr>
            <w:r>
              <w:rPr>
                <w:kern w:val="0"/>
                <w:sz w:val="18"/>
                <w:szCs w:val="18"/>
              </w:rPr>
              <w:t>同期</w:t>
            </w:r>
          </w:p>
        </w:tc>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75EA7755">
            <w:pPr>
              <w:widowControl/>
              <w:spacing w:line="260" w:lineRule="exact"/>
              <w:jc w:val="center"/>
              <w:rPr>
                <w:kern w:val="0"/>
                <w:sz w:val="18"/>
                <w:szCs w:val="18"/>
              </w:rPr>
            </w:pPr>
            <w:r>
              <w:rPr>
                <w:kern w:val="0"/>
                <w:sz w:val="18"/>
                <w:szCs w:val="18"/>
              </w:rPr>
              <w:t>1－</w:t>
            </w:r>
          </w:p>
          <w:p w14:paraId="73EC48DD">
            <w:pPr>
              <w:widowControl/>
              <w:spacing w:line="260" w:lineRule="exact"/>
              <w:jc w:val="center"/>
              <w:rPr>
                <w:kern w:val="0"/>
                <w:sz w:val="18"/>
                <w:szCs w:val="18"/>
              </w:rPr>
            </w:pPr>
            <w:r>
              <w:rPr>
                <w:kern w:val="0"/>
                <w:sz w:val="18"/>
                <w:szCs w:val="18"/>
              </w:rPr>
              <w:t>本月</w:t>
            </w:r>
          </w:p>
        </w:tc>
        <w:tc>
          <w:tcPr>
            <w:tcW w:w="762" w:type="dxa"/>
            <w:tcBorders>
              <w:top w:val="single" w:color="auto" w:sz="2" w:space="0"/>
              <w:left w:val="single" w:color="auto" w:sz="2" w:space="0"/>
              <w:bottom w:val="single" w:color="auto" w:sz="2" w:space="0"/>
              <w:right w:val="single" w:color="auto" w:sz="2" w:space="0"/>
            </w:tcBorders>
            <w:shd w:val="clear" w:color="auto" w:fill="auto"/>
            <w:vAlign w:val="center"/>
          </w:tcPr>
          <w:p w14:paraId="5B193B27">
            <w:pPr>
              <w:widowControl/>
              <w:spacing w:line="260" w:lineRule="exact"/>
              <w:jc w:val="center"/>
              <w:rPr>
                <w:kern w:val="0"/>
                <w:sz w:val="18"/>
                <w:szCs w:val="18"/>
              </w:rPr>
            </w:pPr>
            <w:r>
              <w:rPr>
                <w:kern w:val="0"/>
                <w:sz w:val="18"/>
                <w:szCs w:val="18"/>
              </w:rPr>
              <w:t>上年</w:t>
            </w:r>
          </w:p>
          <w:p w14:paraId="39466D75">
            <w:pPr>
              <w:widowControl/>
              <w:spacing w:line="260" w:lineRule="exact"/>
              <w:jc w:val="center"/>
              <w:rPr>
                <w:kern w:val="0"/>
                <w:sz w:val="18"/>
                <w:szCs w:val="18"/>
              </w:rPr>
            </w:pPr>
            <w:r>
              <w:rPr>
                <w:kern w:val="0"/>
                <w:sz w:val="18"/>
                <w:szCs w:val="18"/>
              </w:rPr>
              <w:t>同期</w:t>
            </w:r>
          </w:p>
        </w:tc>
        <w:tc>
          <w:tcPr>
            <w:tcW w:w="922" w:type="dxa"/>
            <w:vMerge w:val="continue"/>
            <w:tcBorders>
              <w:top w:val="single" w:color="auto" w:sz="2" w:space="0"/>
              <w:left w:val="single" w:color="auto" w:sz="2" w:space="0"/>
              <w:bottom w:val="single" w:color="auto" w:sz="2" w:space="0"/>
              <w:right w:val="single" w:color="auto" w:sz="2" w:space="0"/>
            </w:tcBorders>
            <w:vAlign w:val="center"/>
          </w:tcPr>
          <w:p w14:paraId="4189FEC7">
            <w:pPr>
              <w:widowControl/>
              <w:spacing w:line="260" w:lineRule="exact"/>
              <w:jc w:val="left"/>
              <w:rPr>
                <w:kern w:val="0"/>
                <w:sz w:val="18"/>
                <w:szCs w:val="18"/>
              </w:rPr>
            </w:pPr>
          </w:p>
        </w:tc>
        <w:tc>
          <w:tcPr>
            <w:tcW w:w="923" w:type="dxa"/>
            <w:vMerge w:val="continue"/>
            <w:tcBorders>
              <w:top w:val="single" w:color="auto" w:sz="2" w:space="0"/>
              <w:left w:val="single" w:color="auto" w:sz="2" w:space="0"/>
              <w:bottom w:val="single" w:color="auto" w:sz="2" w:space="0"/>
              <w:right w:val="single" w:color="auto" w:sz="2" w:space="0"/>
            </w:tcBorders>
            <w:vAlign w:val="center"/>
          </w:tcPr>
          <w:p w14:paraId="6D5A50F5">
            <w:pPr>
              <w:widowControl/>
              <w:spacing w:line="260" w:lineRule="exact"/>
              <w:jc w:val="left"/>
              <w:rPr>
                <w:kern w:val="0"/>
                <w:sz w:val="18"/>
                <w:szCs w:val="18"/>
              </w:rPr>
            </w:pPr>
          </w:p>
        </w:tc>
        <w:tc>
          <w:tcPr>
            <w:tcW w:w="923" w:type="dxa"/>
            <w:vMerge w:val="continue"/>
            <w:tcBorders>
              <w:top w:val="single" w:color="auto" w:sz="2" w:space="0"/>
              <w:left w:val="single" w:color="auto" w:sz="2" w:space="0"/>
              <w:bottom w:val="single" w:color="auto" w:sz="2" w:space="0"/>
              <w:right w:val="nil"/>
            </w:tcBorders>
            <w:vAlign w:val="center"/>
          </w:tcPr>
          <w:p w14:paraId="27A69EB2">
            <w:pPr>
              <w:widowControl/>
              <w:spacing w:line="260" w:lineRule="exact"/>
              <w:jc w:val="left"/>
              <w:rPr>
                <w:kern w:val="0"/>
                <w:sz w:val="18"/>
                <w:szCs w:val="18"/>
              </w:rPr>
            </w:pPr>
          </w:p>
        </w:tc>
      </w:tr>
      <w:tr w14:paraId="3CB0A0B7">
        <w:tblPrEx>
          <w:tblCellMar>
            <w:top w:w="0" w:type="dxa"/>
            <w:left w:w="108" w:type="dxa"/>
            <w:bottom w:w="0" w:type="dxa"/>
            <w:right w:w="108" w:type="dxa"/>
          </w:tblCellMar>
        </w:tblPrEx>
        <w:trPr>
          <w:trHeight w:val="240" w:hRule="atLeast"/>
          <w:jc w:val="center"/>
        </w:trPr>
        <w:tc>
          <w:tcPr>
            <w:tcW w:w="2963" w:type="dxa"/>
            <w:tcBorders>
              <w:top w:val="single" w:color="auto" w:sz="2" w:space="0"/>
              <w:left w:val="nil"/>
              <w:bottom w:val="single" w:color="auto" w:sz="2" w:space="0"/>
              <w:right w:val="single" w:color="auto" w:sz="2" w:space="0"/>
            </w:tcBorders>
            <w:shd w:val="clear" w:color="auto" w:fill="auto"/>
            <w:noWrap/>
            <w:vAlign w:val="center"/>
          </w:tcPr>
          <w:p w14:paraId="34D287DD">
            <w:pPr>
              <w:widowControl/>
              <w:spacing w:line="240" w:lineRule="atLeast"/>
              <w:jc w:val="center"/>
              <w:textAlignment w:val="center"/>
              <w:rPr>
                <w:kern w:val="0"/>
                <w:sz w:val="18"/>
                <w:szCs w:val="18"/>
              </w:rPr>
            </w:pPr>
            <w:r>
              <w:rPr>
                <w:kern w:val="0"/>
                <w:sz w:val="18"/>
                <w:szCs w:val="18"/>
              </w:rPr>
              <w:t>甲</w:t>
            </w:r>
          </w:p>
        </w:tc>
        <w:tc>
          <w:tcPr>
            <w:tcW w:w="653" w:type="dxa"/>
            <w:tcBorders>
              <w:top w:val="single" w:color="auto" w:sz="2" w:space="0"/>
              <w:left w:val="single" w:color="auto" w:sz="2" w:space="0"/>
              <w:bottom w:val="single" w:color="auto" w:sz="2" w:space="0"/>
              <w:right w:val="single" w:color="auto" w:sz="2" w:space="0"/>
            </w:tcBorders>
            <w:shd w:val="clear" w:color="auto" w:fill="auto"/>
            <w:vAlign w:val="center"/>
          </w:tcPr>
          <w:p w14:paraId="2BAEED75">
            <w:pPr>
              <w:widowControl/>
              <w:spacing w:line="240" w:lineRule="atLeast"/>
              <w:jc w:val="center"/>
              <w:textAlignment w:val="center"/>
              <w:rPr>
                <w:kern w:val="0"/>
                <w:sz w:val="18"/>
                <w:szCs w:val="18"/>
              </w:rPr>
            </w:pPr>
            <w:r>
              <w:rPr>
                <w:kern w:val="0"/>
                <w:sz w:val="18"/>
                <w:szCs w:val="18"/>
              </w:rPr>
              <w:t>乙</w:t>
            </w:r>
          </w:p>
        </w:tc>
        <w:tc>
          <w:tcPr>
            <w:tcW w:w="761"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D643453">
            <w:pPr>
              <w:widowControl/>
              <w:spacing w:line="240" w:lineRule="atLeast"/>
              <w:jc w:val="center"/>
              <w:textAlignment w:val="center"/>
              <w:rPr>
                <w:kern w:val="0"/>
                <w:sz w:val="18"/>
                <w:szCs w:val="18"/>
              </w:rPr>
            </w:pPr>
            <w:r>
              <w:rPr>
                <w:kern w:val="0"/>
                <w:sz w:val="18"/>
                <w:szCs w:val="18"/>
              </w:rPr>
              <w:t>1</w:t>
            </w:r>
          </w:p>
        </w:tc>
        <w:tc>
          <w:tcPr>
            <w:tcW w:w="76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0B9A4CD">
            <w:pPr>
              <w:widowControl/>
              <w:spacing w:line="240" w:lineRule="atLeast"/>
              <w:jc w:val="center"/>
              <w:textAlignment w:val="center"/>
              <w:rPr>
                <w:kern w:val="0"/>
                <w:sz w:val="18"/>
                <w:szCs w:val="18"/>
              </w:rPr>
            </w:pPr>
            <w:r>
              <w:rPr>
                <w:kern w:val="0"/>
                <w:sz w:val="18"/>
                <w:szCs w:val="18"/>
              </w:rPr>
              <w:t>2</w:t>
            </w:r>
          </w:p>
        </w:tc>
        <w:tc>
          <w:tcPr>
            <w:tcW w:w="761" w:type="dxa"/>
            <w:tcBorders>
              <w:top w:val="single" w:color="auto" w:sz="2" w:space="0"/>
              <w:left w:val="single" w:color="auto" w:sz="2" w:space="0"/>
              <w:bottom w:val="single" w:color="auto" w:sz="2" w:space="0"/>
              <w:right w:val="single" w:color="auto" w:sz="2" w:space="0"/>
            </w:tcBorders>
            <w:shd w:val="clear" w:color="auto" w:fill="auto"/>
            <w:noWrap/>
            <w:vAlign w:val="center"/>
          </w:tcPr>
          <w:p w14:paraId="6EA74423">
            <w:pPr>
              <w:widowControl/>
              <w:spacing w:line="240" w:lineRule="atLeast"/>
              <w:jc w:val="center"/>
              <w:textAlignment w:val="center"/>
              <w:rPr>
                <w:kern w:val="0"/>
                <w:sz w:val="18"/>
                <w:szCs w:val="18"/>
              </w:rPr>
            </w:pPr>
            <w:r>
              <w:rPr>
                <w:kern w:val="0"/>
                <w:sz w:val="18"/>
                <w:szCs w:val="18"/>
              </w:rPr>
              <w:t>3</w:t>
            </w:r>
          </w:p>
        </w:tc>
        <w:tc>
          <w:tcPr>
            <w:tcW w:w="76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58C0551">
            <w:pPr>
              <w:widowControl/>
              <w:spacing w:line="240" w:lineRule="atLeast"/>
              <w:jc w:val="center"/>
              <w:textAlignment w:val="center"/>
              <w:rPr>
                <w:kern w:val="0"/>
                <w:sz w:val="18"/>
                <w:szCs w:val="18"/>
              </w:rPr>
            </w:pPr>
            <w:r>
              <w:rPr>
                <w:kern w:val="0"/>
                <w:sz w:val="18"/>
                <w:szCs w:val="18"/>
              </w:rPr>
              <w:t>4</w:t>
            </w:r>
          </w:p>
        </w:tc>
        <w:tc>
          <w:tcPr>
            <w:tcW w:w="92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7B42040">
            <w:pPr>
              <w:widowControl/>
              <w:spacing w:line="240" w:lineRule="atLeast"/>
              <w:jc w:val="center"/>
              <w:textAlignment w:val="center"/>
              <w:rPr>
                <w:kern w:val="0"/>
                <w:sz w:val="18"/>
                <w:szCs w:val="18"/>
              </w:rPr>
            </w:pPr>
            <w:r>
              <w:rPr>
                <w:kern w:val="0"/>
                <w:sz w:val="18"/>
                <w:szCs w:val="18"/>
              </w:rPr>
              <w:t>5</w:t>
            </w:r>
          </w:p>
        </w:tc>
        <w:tc>
          <w:tcPr>
            <w:tcW w:w="923" w:type="dxa"/>
            <w:tcBorders>
              <w:top w:val="single" w:color="auto" w:sz="2" w:space="0"/>
              <w:left w:val="single" w:color="auto" w:sz="2" w:space="0"/>
              <w:bottom w:val="single" w:color="auto" w:sz="2" w:space="0"/>
              <w:right w:val="single" w:color="auto" w:sz="2" w:space="0"/>
            </w:tcBorders>
            <w:shd w:val="clear" w:color="auto" w:fill="auto"/>
            <w:noWrap/>
            <w:vAlign w:val="center"/>
          </w:tcPr>
          <w:p w14:paraId="2E4A6819">
            <w:pPr>
              <w:widowControl/>
              <w:spacing w:line="240" w:lineRule="atLeast"/>
              <w:jc w:val="center"/>
              <w:textAlignment w:val="center"/>
              <w:rPr>
                <w:kern w:val="0"/>
                <w:sz w:val="18"/>
                <w:szCs w:val="18"/>
              </w:rPr>
            </w:pPr>
            <w:r>
              <w:rPr>
                <w:kern w:val="0"/>
                <w:sz w:val="18"/>
                <w:szCs w:val="18"/>
              </w:rPr>
              <w:t>6</w:t>
            </w:r>
          </w:p>
        </w:tc>
        <w:tc>
          <w:tcPr>
            <w:tcW w:w="923" w:type="dxa"/>
            <w:tcBorders>
              <w:top w:val="single" w:color="auto" w:sz="2" w:space="0"/>
              <w:left w:val="single" w:color="auto" w:sz="2" w:space="0"/>
              <w:bottom w:val="single" w:color="auto" w:sz="2" w:space="0"/>
              <w:right w:val="nil"/>
            </w:tcBorders>
            <w:shd w:val="clear" w:color="auto" w:fill="auto"/>
            <w:noWrap/>
            <w:vAlign w:val="center"/>
          </w:tcPr>
          <w:p w14:paraId="418A6081">
            <w:pPr>
              <w:widowControl/>
              <w:spacing w:line="240" w:lineRule="atLeast"/>
              <w:jc w:val="center"/>
              <w:textAlignment w:val="center"/>
              <w:rPr>
                <w:kern w:val="0"/>
                <w:sz w:val="18"/>
                <w:szCs w:val="18"/>
              </w:rPr>
            </w:pPr>
            <w:r>
              <w:rPr>
                <w:kern w:val="0"/>
                <w:sz w:val="18"/>
                <w:szCs w:val="18"/>
              </w:rPr>
              <w:t>7</w:t>
            </w:r>
          </w:p>
        </w:tc>
      </w:tr>
      <w:tr w14:paraId="11C31372">
        <w:tblPrEx>
          <w:tblCellMar>
            <w:top w:w="0" w:type="dxa"/>
            <w:left w:w="108" w:type="dxa"/>
            <w:bottom w:w="0" w:type="dxa"/>
            <w:right w:w="108" w:type="dxa"/>
          </w:tblCellMar>
        </w:tblPrEx>
        <w:trPr>
          <w:trHeight w:val="444" w:hRule="atLeast"/>
          <w:jc w:val="center"/>
        </w:trPr>
        <w:tc>
          <w:tcPr>
            <w:tcW w:w="2963" w:type="dxa"/>
            <w:tcBorders>
              <w:top w:val="single" w:color="auto" w:sz="2" w:space="0"/>
              <w:left w:val="nil"/>
              <w:bottom w:val="single" w:color="auto" w:sz="8" w:space="0"/>
              <w:right w:val="single" w:color="auto" w:sz="2" w:space="0"/>
            </w:tcBorders>
            <w:shd w:val="clear" w:color="auto" w:fill="auto"/>
            <w:noWrap/>
            <w:vAlign w:val="center"/>
          </w:tcPr>
          <w:p w14:paraId="3B9413B4">
            <w:pPr>
              <w:widowControl/>
              <w:spacing w:line="260" w:lineRule="exact"/>
              <w:rPr>
                <w:kern w:val="0"/>
                <w:sz w:val="18"/>
                <w:szCs w:val="18"/>
              </w:rPr>
            </w:pPr>
          </w:p>
        </w:tc>
        <w:tc>
          <w:tcPr>
            <w:tcW w:w="653" w:type="dxa"/>
            <w:tcBorders>
              <w:top w:val="single" w:color="auto" w:sz="2" w:space="0"/>
              <w:left w:val="single" w:color="auto" w:sz="2" w:space="0"/>
              <w:bottom w:val="single" w:color="auto" w:sz="8" w:space="0"/>
              <w:right w:val="single" w:color="auto" w:sz="2" w:space="0"/>
            </w:tcBorders>
            <w:shd w:val="clear" w:color="auto" w:fill="auto"/>
          </w:tcPr>
          <w:p w14:paraId="0376BD12">
            <w:pPr>
              <w:widowControl/>
              <w:spacing w:line="260" w:lineRule="exact"/>
              <w:rPr>
                <w:kern w:val="0"/>
                <w:sz w:val="18"/>
                <w:szCs w:val="18"/>
              </w:rPr>
            </w:pPr>
          </w:p>
        </w:tc>
        <w:tc>
          <w:tcPr>
            <w:tcW w:w="5814" w:type="dxa"/>
            <w:gridSpan w:val="7"/>
            <w:tcBorders>
              <w:top w:val="single" w:color="auto" w:sz="2" w:space="0"/>
              <w:left w:val="single" w:color="auto" w:sz="2" w:space="0"/>
              <w:bottom w:val="single" w:color="auto" w:sz="8" w:space="0"/>
              <w:right w:val="nil"/>
            </w:tcBorders>
            <w:shd w:val="clear" w:color="auto" w:fill="auto"/>
            <w:noWrap/>
          </w:tcPr>
          <w:p w14:paraId="0242D280">
            <w:pPr>
              <w:widowControl/>
              <w:spacing w:line="260" w:lineRule="exact"/>
              <w:rPr>
                <w:kern w:val="0"/>
                <w:sz w:val="18"/>
                <w:szCs w:val="18"/>
              </w:rPr>
            </w:pPr>
          </w:p>
        </w:tc>
      </w:tr>
    </w:tbl>
    <w:p w14:paraId="1751233E">
      <w:pPr>
        <w:spacing w:line="320" w:lineRule="exact"/>
        <w:jc w:val="distribute"/>
        <w:rPr>
          <w:sz w:val="18"/>
          <w:szCs w:val="18"/>
        </w:rPr>
      </w:pPr>
      <w:r>
        <w:rPr>
          <w:sz w:val="18"/>
          <w:szCs w:val="18"/>
        </w:rPr>
        <w:t>单位负责人：                   填表人：  　          联系电话：               报出日期：２０ 　年  月  日</w:t>
      </w:r>
    </w:p>
    <w:p w14:paraId="352EA84D">
      <w:pPr>
        <w:spacing w:line="240" w:lineRule="exact"/>
        <w:jc w:val="center"/>
        <w:rPr>
          <w:rFonts w:eastAsia="仿宋_GB2312"/>
          <w:sz w:val="28"/>
          <w:szCs w:val="28"/>
        </w:rPr>
      </w:pPr>
    </w:p>
    <w:p w14:paraId="29CB07EB">
      <w:pPr>
        <w:spacing w:line="260" w:lineRule="exact"/>
        <w:ind w:left="720" w:hanging="720" w:hangingChars="400"/>
        <w:rPr>
          <w:sz w:val="18"/>
          <w:szCs w:val="18"/>
        </w:rPr>
      </w:pPr>
      <w:r>
        <w:rPr>
          <w:sz w:val="18"/>
          <w:szCs w:val="18"/>
        </w:rPr>
        <w:t>说明：</w:t>
      </w:r>
      <w:r>
        <w:rPr>
          <w:kern w:val="0"/>
          <w:sz w:val="18"/>
          <w:szCs w:val="18"/>
        </w:rPr>
        <w:t>1.</w:t>
      </w:r>
      <w:r>
        <w:rPr>
          <w:spacing w:val="-4"/>
          <w:kern w:val="0"/>
          <w:sz w:val="18"/>
          <w:szCs w:val="18"/>
        </w:rPr>
        <w:t>本表由各</w:t>
      </w:r>
      <w:r>
        <w:rPr>
          <w:spacing w:val="-4"/>
          <w:sz w:val="18"/>
        </w:rPr>
        <w:t>省、自治区、直辖市统计局向本辖区内的电力部门（</w:t>
      </w:r>
      <w:r>
        <w:rPr>
          <w:rFonts w:hint="eastAsia"/>
          <w:spacing w:val="-4"/>
          <w:sz w:val="18"/>
        </w:rPr>
        <w:t>电力公司</w:t>
      </w:r>
      <w:r>
        <w:rPr>
          <w:spacing w:val="-4"/>
          <w:sz w:val="18"/>
        </w:rPr>
        <w:t>、电力</w:t>
      </w:r>
      <w:r>
        <w:rPr>
          <w:rFonts w:hint="eastAsia"/>
          <w:spacing w:val="-4"/>
          <w:sz w:val="18"/>
        </w:rPr>
        <w:t>行业</w:t>
      </w:r>
      <w:r>
        <w:rPr>
          <w:spacing w:val="-4"/>
          <w:sz w:val="18"/>
        </w:rPr>
        <w:t>协会、电网公司</w:t>
      </w:r>
      <w:r>
        <w:rPr>
          <w:rFonts w:hint="eastAsia"/>
          <w:spacing w:val="-4"/>
          <w:sz w:val="18"/>
        </w:rPr>
        <w:t>）</w:t>
      </w:r>
      <w:r>
        <w:rPr>
          <w:spacing w:val="-4"/>
          <w:sz w:val="18"/>
        </w:rPr>
        <w:t>收集相关数据。</w:t>
      </w:r>
    </w:p>
    <w:p w14:paraId="6B8BEE97">
      <w:pPr>
        <w:spacing w:line="260" w:lineRule="exact"/>
        <w:ind w:firstLine="540" w:firstLineChars="300"/>
        <w:rPr>
          <w:kern w:val="0"/>
          <w:sz w:val="18"/>
          <w:szCs w:val="18"/>
        </w:rPr>
      </w:pPr>
      <w:r>
        <w:rPr>
          <w:sz w:val="18"/>
        </w:rPr>
        <w:t>2.统计范围为辖区内所有电力消费单位和居民家庭。</w:t>
      </w:r>
    </w:p>
    <w:p w14:paraId="76DD5A92">
      <w:pPr>
        <w:spacing w:line="260" w:lineRule="exact"/>
        <w:ind w:left="2115" w:leftChars="257" w:hanging="1575" w:hangingChars="875"/>
        <w:rPr>
          <w:kern w:val="0"/>
          <w:sz w:val="18"/>
          <w:szCs w:val="18"/>
        </w:rPr>
      </w:pPr>
      <w:r>
        <w:rPr>
          <w:kern w:val="0"/>
          <w:sz w:val="18"/>
          <w:szCs w:val="18"/>
        </w:rPr>
        <w:t>3.报送日期及方</w:t>
      </w:r>
      <w:r>
        <w:rPr>
          <w:sz w:val="18"/>
        </w:rPr>
        <w:t>式：</w:t>
      </w:r>
      <w:r>
        <w:rPr>
          <w:rFonts w:hint="eastAsia"/>
          <w:sz w:val="18"/>
        </w:rPr>
        <w:t>6、8、10、11月月后9日，2、3、5、7月月后10日，4月月后11日，12月月后12日，9月月后13日1</w:t>
      </w:r>
      <w:del w:id="514" w:author="kylin" w:date="2025-10-20T15:05:24Z">
        <w:r>
          <w:rPr>
            <w:rFonts w:hint="default"/>
            <w:sz w:val="18"/>
            <w:lang w:val="en-US"/>
          </w:rPr>
          <w:delText>2</w:delText>
        </w:r>
      </w:del>
      <w:ins w:id="515" w:author="kylin" w:date="2025-11-03T14:37:40Z">
        <w:r>
          <w:rPr>
            <w:rFonts w:hint="default"/>
            <w:sz w:val="18"/>
            <w:lang w:val="en-US"/>
          </w:rPr>
          <w:t>2</w:t>
        </w:r>
      </w:ins>
      <w:r>
        <w:rPr>
          <w:rFonts w:hint="eastAsia"/>
          <w:sz w:val="18"/>
        </w:rPr>
        <w:t>：00前网上填报，1月免报。</w:t>
      </w:r>
    </w:p>
    <w:p w14:paraId="0D75DD2A">
      <w:pPr>
        <w:spacing w:line="260" w:lineRule="exact"/>
        <w:ind w:right="0" w:rightChars="0" w:firstLine="540" w:firstLineChars="300"/>
        <w:rPr>
          <w:sz w:val="18"/>
        </w:rPr>
      </w:pPr>
      <w:r>
        <w:rPr>
          <w:kern w:val="0"/>
          <w:sz w:val="18"/>
          <w:szCs w:val="18"/>
        </w:rPr>
        <w:t>4.本表甲栏下按《全社会用电量情况目录》填报。</w:t>
      </w:r>
      <w:r>
        <w:rPr>
          <w:rFonts w:hint="eastAsia"/>
          <w:kern w:val="0"/>
          <w:sz w:val="18"/>
          <w:szCs w:val="18"/>
        </w:rPr>
        <w:t xml:space="preserve"> </w:t>
      </w:r>
      <w:r>
        <w:rPr>
          <w:sz w:val="18"/>
        </w:rPr>
        <w:br w:type="page"/>
      </w:r>
    </w:p>
    <w:p w14:paraId="7BD88E2F">
      <w:pPr>
        <w:pStyle w:val="3"/>
        <w:pageBreakBefore w:val="0"/>
        <w:snapToGrid w:val="0"/>
        <w:spacing w:before="573" w:beforeLines="200" w:after="240" w:afterLines="100" w:line="240" w:lineRule="auto"/>
        <w:jc w:val="center"/>
        <w:rPr>
          <w:rFonts w:eastAsia="黑体"/>
          <w:b w:val="0"/>
          <w:sz w:val="32"/>
          <w:szCs w:val="32"/>
        </w:rPr>
      </w:pPr>
      <w:r>
        <w:rPr>
          <w:rFonts w:eastAsia="黑体"/>
          <w:b w:val="0"/>
          <w:sz w:val="32"/>
          <w:szCs w:val="32"/>
        </w:rPr>
        <w:t>四、填 报 目 录</w:t>
      </w:r>
    </w:p>
    <w:p w14:paraId="2D375786">
      <w:pPr>
        <w:spacing w:before="240" w:beforeLines="100" w:after="240" w:afterLines="100"/>
        <w:jc w:val="center"/>
        <w:outlineLvl w:val="1"/>
        <w:rPr>
          <w:rFonts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能源</w:t>
      </w:r>
      <w:r>
        <w:rPr>
          <w:rFonts w:ascii="黑体" w:hAnsi="黑体" w:eastAsia="黑体"/>
          <w:sz w:val="28"/>
          <w:szCs w:val="28"/>
        </w:rPr>
        <w:t>购进、消费与库存和</w:t>
      </w:r>
      <w:r>
        <w:rPr>
          <w:rFonts w:hint="eastAsia" w:ascii="黑体" w:hAnsi="黑体" w:eastAsia="黑体"/>
          <w:sz w:val="28"/>
          <w:szCs w:val="28"/>
        </w:rPr>
        <w:t>能源加工转换与回收利用</w:t>
      </w:r>
      <w:r>
        <w:rPr>
          <w:rFonts w:ascii="黑体" w:hAnsi="黑体" w:eastAsia="黑体"/>
          <w:sz w:val="28"/>
          <w:szCs w:val="28"/>
        </w:rPr>
        <w:t>目录</w:t>
      </w:r>
      <w:r>
        <w:rPr>
          <w:rFonts w:ascii="黑体" w:hAnsi="黑体" w:eastAsia="黑体"/>
          <w:sz w:val="28"/>
          <w:szCs w:val="28"/>
        </w:rPr>
        <w:br w:type="textWrapping"/>
      </w:r>
      <w:r>
        <w:rPr>
          <w:rFonts w:hAnsi="黑体" w:eastAsia="黑体"/>
          <w:sz w:val="28"/>
          <w:szCs w:val="28"/>
        </w:rPr>
        <w:t>（</w:t>
      </w:r>
      <w:r>
        <w:rPr>
          <w:rFonts w:eastAsia="黑体"/>
          <w:sz w:val="28"/>
          <w:szCs w:val="28"/>
        </w:rPr>
        <w:t>205-1</w:t>
      </w:r>
      <w:r>
        <w:rPr>
          <w:rFonts w:hAnsi="黑体" w:eastAsia="黑体"/>
          <w:sz w:val="28"/>
          <w:szCs w:val="28"/>
        </w:rPr>
        <w:t>表、</w:t>
      </w:r>
      <w:r>
        <w:rPr>
          <w:rFonts w:eastAsia="黑体"/>
          <w:sz w:val="28"/>
          <w:szCs w:val="28"/>
        </w:rPr>
        <w:t>205-2</w:t>
      </w:r>
      <w:r>
        <w:rPr>
          <w:rFonts w:hAnsi="黑体" w:eastAsia="黑体"/>
          <w:sz w:val="28"/>
          <w:szCs w:val="28"/>
        </w:rPr>
        <w:t>表）</w:t>
      </w:r>
    </w:p>
    <w:tbl>
      <w:tblPr>
        <w:tblStyle w:val="20"/>
        <w:tblW w:w="9495"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10"/>
        <w:gridCol w:w="992"/>
        <w:gridCol w:w="709"/>
        <w:gridCol w:w="2835"/>
        <w:gridCol w:w="2549"/>
      </w:tblGrid>
      <w:tr w14:paraId="6B97E0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410" w:type="dxa"/>
            <w:shd w:val="clear" w:color="auto" w:fill="auto"/>
            <w:vAlign w:val="center"/>
          </w:tcPr>
          <w:p w14:paraId="61DF12D6">
            <w:pPr>
              <w:spacing w:line="260" w:lineRule="exact"/>
              <w:jc w:val="center"/>
              <w:rPr>
                <w:kern w:val="0"/>
                <w:sz w:val="18"/>
                <w:szCs w:val="18"/>
              </w:rPr>
            </w:pPr>
            <w:r>
              <w:rPr>
                <w:kern w:val="0"/>
                <w:sz w:val="18"/>
                <w:szCs w:val="18"/>
              </w:rPr>
              <w:t>能源名称</w:t>
            </w:r>
          </w:p>
        </w:tc>
        <w:tc>
          <w:tcPr>
            <w:tcW w:w="992" w:type="dxa"/>
            <w:shd w:val="clear" w:color="auto" w:fill="auto"/>
            <w:vAlign w:val="center"/>
          </w:tcPr>
          <w:p w14:paraId="28671C12">
            <w:pPr>
              <w:spacing w:line="260" w:lineRule="exact"/>
              <w:jc w:val="center"/>
              <w:rPr>
                <w:kern w:val="0"/>
                <w:sz w:val="18"/>
                <w:szCs w:val="18"/>
              </w:rPr>
            </w:pPr>
            <w:r>
              <w:rPr>
                <w:kern w:val="0"/>
                <w:sz w:val="18"/>
                <w:szCs w:val="18"/>
              </w:rPr>
              <w:t>计量单位</w:t>
            </w:r>
          </w:p>
        </w:tc>
        <w:tc>
          <w:tcPr>
            <w:tcW w:w="709" w:type="dxa"/>
            <w:vAlign w:val="center"/>
          </w:tcPr>
          <w:p w14:paraId="443E56E0">
            <w:pPr>
              <w:spacing w:line="260" w:lineRule="exact"/>
              <w:jc w:val="center"/>
              <w:rPr>
                <w:kern w:val="0"/>
                <w:sz w:val="18"/>
                <w:szCs w:val="18"/>
              </w:rPr>
            </w:pPr>
            <w:r>
              <w:rPr>
                <w:kern w:val="0"/>
                <w:sz w:val="18"/>
                <w:szCs w:val="18"/>
              </w:rPr>
              <w:t>代码</w:t>
            </w:r>
          </w:p>
        </w:tc>
        <w:tc>
          <w:tcPr>
            <w:tcW w:w="2835" w:type="dxa"/>
            <w:vAlign w:val="center"/>
          </w:tcPr>
          <w:p w14:paraId="2CF2D1E6">
            <w:pPr>
              <w:spacing w:line="260" w:lineRule="exact"/>
              <w:jc w:val="center"/>
              <w:rPr>
                <w:kern w:val="0"/>
                <w:sz w:val="18"/>
                <w:szCs w:val="18"/>
              </w:rPr>
            </w:pPr>
            <w:r>
              <w:rPr>
                <w:kern w:val="0"/>
                <w:sz w:val="18"/>
                <w:szCs w:val="18"/>
              </w:rPr>
              <w:t>参考折标准煤系数</w:t>
            </w:r>
          </w:p>
        </w:tc>
        <w:tc>
          <w:tcPr>
            <w:tcW w:w="2549" w:type="dxa"/>
            <w:vAlign w:val="center"/>
          </w:tcPr>
          <w:p w14:paraId="69AA7831">
            <w:pPr>
              <w:spacing w:line="260" w:lineRule="exact"/>
              <w:jc w:val="center"/>
              <w:rPr>
                <w:kern w:val="0"/>
                <w:sz w:val="18"/>
                <w:szCs w:val="18"/>
              </w:rPr>
            </w:pPr>
            <w:r>
              <w:rPr>
                <w:kern w:val="0"/>
                <w:sz w:val="18"/>
                <w:szCs w:val="18"/>
              </w:rPr>
              <w:t>参考发热量</w:t>
            </w:r>
          </w:p>
        </w:tc>
      </w:tr>
      <w:tr w14:paraId="1B80E6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701" w:hRule="atLeast"/>
          <w:jc w:val="center"/>
        </w:trPr>
        <w:tc>
          <w:tcPr>
            <w:tcW w:w="2410" w:type="dxa"/>
            <w:shd w:val="clear" w:color="auto" w:fill="auto"/>
          </w:tcPr>
          <w:p w14:paraId="3A1E2359">
            <w:pPr>
              <w:widowControl/>
              <w:spacing w:line="260" w:lineRule="exact"/>
              <w:jc w:val="left"/>
              <w:textAlignment w:val="center"/>
              <w:rPr>
                <w:kern w:val="0"/>
                <w:sz w:val="18"/>
                <w:szCs w:val="18"/>
              </w:rPr>
            </w:pPr>
            <w:r>
              <w:rPr>
                <w:kern w:val="0"/>
                <w:sz w:val="18"/>
                <w:szCs w:val="18"/>
              </w:rPr>
              <w:t>原煤</w:t>
            </w:r>
          </w:p>
          <w:p w14:paraId="758859A0">
            <w:pPr>
              <w:widowControl/>
              <w:spacing w:line="260" w:lineRule="exact"/>
              <w:jc w:val="left"/>
              <w:textAlignment w:val="center"/>
              <w:rPr>
                <w:kern w:val="0"/>
                <w:sz w:val="18"/>
                <w:szCs w:val="18"/>
              </w:rPr>
            </w:pPr>
            <w:r>
              <w:rPr>
                <w:kern w:val="0"/>
                <w:sz w:val="18"/>
                <w:szCs w:val="18"/>
              </w:rPr>
              <w:t xml:space="preserve">  无烟煤</w:t>
            </w:r>
          </w:p>
          <w:p w14:paraId="3A42A6BD">
            <w:pPr>
              <w:widowControl/>
              <w:spacing w:line="260" w:lineRule="exact"/>
              <w:ind w:firstLine="180" w:firstLineChars="100"/>
              <w:jc w:val="left"/>
              <w:textAlignment w:val="center"/>
              <w:rPr>
                <w:kern w:val="0"/>
                <w:sz w:val="18"/>
                <w:szCs w:val="18"/>
              </w:rPr>
            </w:pPr>
            <w:r>
              <w:rPr>
                <w:kern w:val="0"/>
                <w:sz w:val="18"/>
                <w:szCs w:val="18"/>
              </w:rPr>
              <w:t>炼焦烟煤</w:t>
            </w:r>
          </w:p>
          <w:p w14:paraId="784970FC">
            <w:pPr>
              <w:widowControl/>
              <w:spacing w:line="260" w:lineRule="exact"/>
              <w:jc w:val="left"/>
              <w:textAlignment w:val="center"/>
              <w:rPr>
                <w:kern w:val="0"/>
                <w:sz w:val="18"/>
                <w:szCs w:val="18"/>
              </w:rPr>
            </w:pPr>
            <w:r>
              <w:rPr>
                <w:kern w:val="0"/>
                <w:sz w:val="18"/>
                <w:szCs w:val="18"/>
              </w:rPr>
              <w:t xml:space="preserve">  一般烟煤</w:t>
            </w:r>
          </w:p>
          <w:p w14:paraId="1E3993E1">
            <w:pPr>
              <w:spacing w:line="260" w:lineRule="exact"/>
              <w:jc w:val="left"/>
              <w:textAlignment w:val="center"/>
              <w:rPr>
                <w:kern w:val="0"/>
                <w:sz w:val="18"/>
                <w:szCs w:val="18"/>
              </w:rPr>
            </w:pPr>
            <w:r>
              <w:rPr>
                <w:kern w:val="0"/>
                <w:sz w:val="18"/>
                <w:szCs w:val="18"/>
              </w:rPr>
              <w:t xml:space="preserve">  褐煤</w:t>
            </w:r>
          </w:p>
          <w:p w14:paraId="1336D4E5">
            <w:pPr>
              <w:widowControl/>
              <w:spacing w:line="260" w:lineRule="exact"/>
              <w:jc w:val="left"/>
              <w:textAlignment w:val="center"/>
              <w:rPr>
                <w:kern w:val="0"/>
                <w:sz w:val="18"/>
                <w:szCs w:val="18"/>
              </w:rPr>
            </w:pPr>
            <w:r>
              <w:rPr>
                <w:kern w:val="0"/>
                <w:sz w:val="18"/>
                <w:szCs w:val="18"/>
              </w:rPr>
              <w:t>洗精煤（用于炼焦）</w:t>
            </w:r>
          </w:p>
          <w:p w14:paraId="18CE74BB">
            <w:pPr>
              <w:widowControl/>
              <w:spacing w:line="260" w:lineRule="exact"/>
              <w:jc w:val="left"/>
              <w:textAlignment w:val="center"/>
              <w:rPr>
                <w:kern w:val="0"/>
                <w:sz w:val="18"/>
                <w:szCs w:val="18"/>
              </w:rPr>
            </w:pPr>
            <w:r>
              <w:rPr>
                <w:kern w:val="0"/>
                <w:sz w:val="18"/>
                <w:szCs w:val="18"/>
              </w:rPr>
              <w:t>其他洗煤</w:t>
            </w:r>
          </w:p>
          <w:p w14:paraId="5A25515E">
            <w:pPr>
              <w:spacing w:line="260" w:lineRule="exact"/>
              <w:jc w:val="left"/>
              <w:textAlignment w:val="center"/>
              <w:rPr>
                <w:kern w:val="0"/>
                <w:sz w:val="18"/>
                <w:szCs w:val="18"/>
              </w:rPr>
            </w:pPr>
            <w:r>
              <w:rPr>
                <w:kern w:val="0"/>
                <w:sz w:val="18"/>
                <w:szCs w:val="18"/>
              </w:rPr>
              <w:t>煤制品</w:t>
            </w:r>
          </w:p>
          <w:p w14:paraId="0331E41F">
            <w:pPr>
              <w:widowControl/>
              <w:spacing w:line="260" w:lineRule="exact"/>
              <w:jc w:val="left"/>
              <w:textAlignment w:val="center"/>
              <w:rPr>
                <w:kern w:val="0"/>
                <w:sz w:val="18"/>
                <w:szCs w:val="18"/>
              </w:rPr>
            </w:pPr>
            <w:r>
              <w:rPr>
                <w:kern w:val="0"/>
                <w:sz w:val="18"/>
                <w:szCs w:val="18"/>
              </w:rPr>
              <w:t>焦炭</w:t>
            </w:r>
          </w:p>
          <w:p w14:paraId="2782E582">
            <w:pPr>
              <w:widowControl/>
              <w:spacing w:line="260" w:lineRule="exact"/>
              <w:jc w:val="left"/>
              <w:textAlignment w:val="center"/>
              <w:rPr>
                <w:kern w:val="0"/>
                <w:sz w:val="18"/>
                <w:szCs w:val="18"/>
              </w:rPr>
            </w:pPr>
            <w:r>
              <w:rPr>
                <w:kern w:val="0"/>
                <w:sz w:val="18"/>
                <w:szCs w:val="18"/>
              </w:rPr>
              <w:t>其他焦化产品</w:t>
            </w:r>
          </w:p>
          <w:p w14:paraId="352E3CAE">
            <w:pPr>
              <w:widowControl/>
              <w:spacing w:line="260" w:lineRule="exact"/>
              <w:jc w:val="left"/>
              <w:textAlignment w:val="center"/>
              <w:rPr>
                <w:kern w:val="0"/>
                <w:sz w:val="18"/>
                <w:szCs w:val="18"/>
              </w:rPr>
            </w:pPr>
            <w:r>
              <w:rPr>
                <w:kern w:val="0"/>
                <w:sz w:val="18"/>
                <w:szCs w:val="18"/>
              </w:rPr>
              <w:t>焦炉煤气</w:t>
            </w:r>
          </w:p>
          <w:p w14:paraId="372233EB">
            <w:pPr>
              <w:widowControl/>
              <w:spacing w:line="260" w:lineRule="exact"/>
              <w:jc w:val="left"/>
              <w:textAlignment w:val="center"/>
              <w:rPr>
                <w:kern w:val="0"/>
                <w:sz w:val="18"/>
                <w:szCs w:val="18"/>
              </w:rPr>
            </w:pPr>
            <w:r>
              <w:rPr>
                <w:kern w:val="0"/>
                <w:sz w:val="18"/>
                <w:szCs w:val="18"/>
              </w:rPr>
              <w:t>高炉煤气</w:t>
            </w:r>
          </w:p>
          <w:p w14:paraId="47BDA480">
            <w:pPr>
              <w:widowControl/>
              <w:spacing w:line="260" w:lineRule="exact"/>
              <w:jc w:val="left"/>
              <w:textAlignment w:val="center"/>
              <w:rPr>
                <w:kern w:val="0"/>
                <w:sz w:val="18"/>
                <w:szCs w:val="18"/>
              </w:rPr>
            </w:pPr>
            <w:r>
              <w:rPr>
                <w:kern w:val="0"/>
                <w:sz w:val="18"/>
                <w:szCs w:val="18"/>
              </w:rPr>
              <w:t>转炉煤气</w:t>
            </w:r>
          </w:p>
          <w:p w14:paraId="6EE200E9">
            <w:pPr>
              <w:widowControl/>
              <w:spacing w:line="260" w:lineRule="exact"/>
              <w:jc w:val="left"/>
              <w:textAlignment w:val="center"/>
              <w:rPr>
                <w:kern w:val="0"/>
                <w:sz w:val="18"/>
                <w:szCs w:val="18"/>
              </w:rPr>
            </w:pPr>
            <w:r>
              <w:rPr>
                <w:rFonts w:hint="eastAsia"/>
                <w:kern w:val="0"/>
                <w:sz w:val="18"/>
                <w:szCs w:val="18"/>
              </w:rPr>
              <w:t>其他</w:t>
            </w:r>
            <w:r>
              <w:rPr>
                <w:kern w:val="0"/>
                <w:sz w:val="18"/>
                <w:szCs w:val="18"/>
              </w:rPr>
              <w:t>煤气</w:t>
            </w:r>
          </w:p>
          <w:p w14:paraId="204A5197">
            <w:pPr>
              <w:widowControl/>
              <w:spacing w:line="260" w:lineRule="exact"/>
              <w:jc w:val="left"/>
              <w:textAlignment w:val="center"/>
              <w:rPr>
                <w:kern w:val="0"/>
                <w:sz w:val="18"/>
                <w:szCs w:val="18"/>
              </w:rPr>
            </w:pPr>
            <w:r>
              <w:rPr>
                <w:kern w:val="0"/>
                <w:sz w:val="18"/>
                <w:szCs w:val="18"/>
              </w:rPr>
              <w:t>天然气</w:t>
            </w:r>
          </w:p>
          <w:p w14:paraId="4D558551">
            <w:pPr>
              <w:widowControl/>
              <w:spacing w:line="260" w:lineRule="exact"/>
              <w:jc w:val="left"/>
              <w:textAlignment w:val="center"/>
              <w:rPr>
                <w:kern w:val="0"/>
                <w:sz w:val="18"/>
                <w:szCs w:val="18"/>
              </w:rPr>
            </w:pPr>
            <w:r>
              <w:rPr>
                <w:kern w:val="0"/>
                <w:sz w:val="18"/>
                <w:szCs w:val="18"/>
              </w:rPr>
              <w:t>液化天然气</w:t>
            </w:r>
          </w:p>
          <w:p w14:paraId="0FFD643B">
            <w:pPr>
              <w:widowControl/>
              <w:spacing w:line="260" w:lineRule="exact"/>
              <w:jc w:val="left"/>
              <w:textAlignment w:val="center"/>
              <w:rPr>
                <w:kern w:val="0"/>
                <w:sz w:val="18"/>
                <w:szCs w:val="18"/>
              </w:rPr>
            </w:pPr>
            <w:r>
              <w:rPr>
                <w:rFonts w:hint="eastAsia"/>
                <w:kern w:val="0"/>
                <w:sz w:val="18"/>
                <w:szCs w:val="18"/>
              </w:rPr>
              <w:t>氢气</w:t>
            </w:r>
          </w:p>
          <w:p w14:paraId="18F4B3C6">
            <w:pPr>
              <w:widowControl/>
              <w:spacing w:line="260" w:lineRule="exact"/>
              <w:jc w:val="left"/>
              <w:textAlignment w:val="center"/>
              <w:rPr>
                <w:kern w:val="0"/>
                <w:sz w:val="18"/>
                <w:szCs w:val="18"/>
              </w:rPr>
            </w:pPr>
            <w:r>
              <w:rPr>
                <w:kern w:val="0"/>
                <w:sz w:val="18"/>
                <w:szCs w:val="18"/>
              </w:rPr>
              <w:t>原油</w:t>
            </w:r>
          </w:p>
          <w:p w14:paraId="56CB087A">
            <w:pPr>
              <w:widowControl/>
              <w:spacing w:line="260" w:lineRule="exact"/>
              <w:jc w:val="left"/>
              <w:textAlignment w:val="center"/>
              <w:rPr>
                <w:kern w:val="0"/>
                <w:sz w:val="18"/>
                <w:szCs w:val="18"/>
              </w:rPr>
            </w:pPr>
            <w:r>
              <w:rPr>
                <w:kern w:val="0"/>
                <w:sz w:val="18"/>
                <w:szCs w:val="18"/>
              </w:rPr>
              <w:t>汽油</w:t>
            </w:r>
          </w:p>
          <w:p w14:paraId="07D26180">
            <w:pPr>
              <w:widowControl/>
              <w:spacing w:line="260" w:lineRule="exact"/>
              <w:jc w:val="left"/>
              <w:textAlignment w:val="center"/>
              <w:rPr>
                <w:kern w:val="0"/>
                <w:sz w:val="18"/>
                <w:szCs w:val="18"/>
              </w:rPr>
            </w:pPr>
            <w:r>
              <w:rPr>
                <w:kern w:val="0"/>
                <w:sz w:val="18"/>
                <w:szCs w:val="18"/>
              </w:rPr>
              <w:t>煤油</w:t>
            </w:r>
          </w:p>
          <w:p w14:paraId="75844CAF">
            <w:pPr>
              <w:widowControl/>
              <w:spacing w:line="260" w:lineRule="exact"/>
              <w:jc w:val="left"/>
              <w:textAlignment w:val="center"/>
              <w:rPr>
                <w:kern w:val="0"/>
                <w:sz w:val="18"/>
                <w:szCs w:val="18"/>
              </w:rPr>
            </w:pPr>
            <w:r>
              <w:rPr>
                <w:kern w:val="0"/>
                <w:sz w:val="18"/>
                <w:szCs w:val="18"/>
              </w:rPr>
              <w:t>柴油</w:t>
            </w:r>
          </w:p>
          <w:p w14:paraId="7F53D667">
            <w:pPr>
              <w:widowControl/>
              <w:spacing w:line="260" w:lineRule="exact"/>
              <w:jc w:val="left"/>
              <w:textAlignment w:val="center"/>
              <w:rPr>
                <w:kern w:val="0"/>
                <w:sz w:val="18"/>
                <w:szCs w:val="18"/>
              </w:rPr>
            </w:pPr>
            <w:r>
              <w:rPr>
                <w:kern w:val="0"/>
                <w:sz w:val="18"/>
                <w:szCs w:val="18"/>
              </w:rPr>
              <w:t>燃料油</w:t>
            </w:r>
          </w:p>
          <w:p w14:paraId="52763982">
            <w:pPr>
              <w:widowControl/>
              <w:spacing w:line="260" w:lineRule="exact"/>
              <w:jc w:val="left"/>
              <w:textAlignment w:val="center"/>
              <w:rPr>
                <w:kern w:val="0"/>
                <w:sz w:val="18"/>
                <w:szCs w:val="18"/>
              </w:rPr>
            </w:pPr>
            <w:r>
              <w:rPr>
                <w:kern w:val="0"/>
                <w:sz w:val="18"/>
                <w:szCs w:val="18"/>
              </w:rPr>
              <w:t>液化石油气</w:t>
            </w:r>
          </w:p>
          <w:p w14:paraId="6F092FD5">
            <w:pPr>
              <w:spacing w:line="260" w:lineRule="exact"/>
              <w:jc w:val="left"/>
              <w:textAlignment w:val="center"/>
              <w:rPr>
                <w:kern w:val="0"/>
                <w:sz w:val="18"/>
                <w:szCs w:val="18"/>
              </w:rPr>
            </w:pPr>
            <w:r>
              <w:rPr>
                <w:kern w:val="0"/>
                <w:sz w:val="18"/>
                <w:szCs w:val="18"/>
              </w:rPr>
              <w:t>炼厂干气</w:t>
            </w:r>
          </w:p>
          <w:p w14:paraId="0026BC75">
            <w:pPr>
              <w:spacing w:line="260" w:lineRule="exact"/>
              <w:textAlignment w:val="center"/>
              <w:rPr>
                <w:kern w:val="0"/>
                <w:sz w:val="18"/>
                <w:szCs w:val="18"/>
              </w:rPr>
            </w:pPr>
            <w:r>
              <w:rPr>
                <w:kern w:val="0"/>
                <w:sz w:val="18"/>
                <w:szCs w:val="18"/>
              </w:rPr>
              <w:t>石脑油</w:t>
            </w:r>
          </w:p>
          <w:p w14:paraId="05761FDC">
            <w:pPr>
              <w:spacing w:line="260" w:lineRule="exact"/>
              <w:textAlignment w:val="center"/>
              <w:rPr>
                <w:kern w:val="0"/>
                <w:sz w:val="18"/>
                <w:szCs w:val="18"/>
              </w:rPr>
            </w:pPr>
            <w:r>
              <w:rPr>
                <w:kern w:val="0"/>
                <w:sz w:val="18"/>
                <w:szCs w:val="18"/>
              </w:rPr>
              <w:t>润滑油</w:t>
            </w:r>
          </w:p>
          <w:p w14:paraId="1A4A4F27">
            <w:pPr>
              <w:spacing w:line="260" w:lineRule="exact"/>
              <w:textAlignment w:val="center"/>
              <w:rPr>
                <w:kern w:val="0"/>
                <w:sz w:val="18"/>
                <w:szCs w:val="18"/>
              </w:rPr>
            </w:pPr>
            <w:r>
              <w:rPr>
                <w:kern w:val="0"/>
                <w:sz w:val="18"/>
                <w:szCs w:val="18"/>
              </w:rPr>
              <w:t>石蜡</w:t>
            </w:r>
          </w:p>
          <w:p w14:paraId="7F89134A">
            <w:pPr>
              <w:spacing w:line="260" w:lineRule="exact"/>
              <w:textAlignment w:val="center"/>
              <w:rPr>
                <w:kern w:val="0"/>
                <w:sz w:val="18"/>
                <w:szCs w:val="18"/>
              </w:rPr>
            </w:pPr>
            <w:r>
              <w:rPr>
                <w:kern w:val="0"/>
                <w:sz w:val="18"/>
                <w:szCs w:val="18"/>
              </w:rPr>
              <w:t>溶剂油</w:t>
            </w:r>
          </w:p>
          <w:p w14:paraId="3EBEFD48">
            <w:pPr>
              <w:spacing w:line="260" w:lineRule="exact"/>
              <w:textAlignment w:val="center"/>
              <w:rPr>
                <w:kern w:val="0"/>
                <w:sz w:val="18"/>
                <w:szCs w:val="18"/>
              </w:rPr>
            </w:pPr>
            <w:r>
              <w:rPr>
                <w:kern w:val="0"/>
                <w:sz w:val="18"/>
                <w:szCs w:val="18"/>
              </w:rPr>
              <w:t>石油焦</w:t>
            </w:r>
          </w:p>
          <w:p w14:paraId="5BEEE4F3">
            <w:pPr>
              <w:spacing w:line="260" w:lineRule="exact"/>
              <w:jc w:val="left"/>
              <w:textAlignment w:val="center"/>
              <w:rPr>
                <w:kern w:val="0"/>
                <w:sz w:val="18"/>
                <w:szCs w:val="18"/>
              </w:rPr>
            </w:pPr>
            <w:r>
              <w:rPr>
                <w:kern w:val="0"/>
                <w:sz w:val="18"/>
                <w:szCs w:val="18"/>
              </w:rPr>
              <w:t>石油沥青</w:t>
            </w:r>
          </w:p>
          <w:p w14:paraId="36928629">
            <w:pPr>
              <w:spacing w:line="260" w:lineRule="exact"/>
              <w:textAlignment w:val="center"/>
              <w:rPr>
                <w:kern w:val="0"/>
                <w:sz w:val="18"/>
                <w:szCs w:val="18"/>
              </w:rPr>
            </w:pPr>
            <w:r>
              <w:rPr>
                <w:kern w:val="0"/>
                <w:sz w:val="18"/>
                <w:szCs w:val="18"/>
              </w:rPr>
              <w:t>其他石油制品</w:t>
            </w:r>
          </w:p>
          <w:p w14:paraId="081686A9">
            <w:pPr>
              <w:widowControl/>
              <w:spacing w:line="260" w:lineRule="exact"/>
              <w:textAlignment w:val="center"/>
              <w:rPr>
                <w:kern w:val="0"/>
                <w:sz w:val="18"/>
                <w:szCs w:val="18"/>
              </w:rPr>
            </w:pPr>
            <w:r>
              <w:rPr>
                <w:kern w:val="0"/>
                <w:sz w:val="18"/>
                <w:szCs w:val="18"/>
              </w:rPr>
              <w:t>热力</w:t>
            </w:r>
          </w:p>
          <w:p w14:paraId="1FA9AA88">
            <w:pPr>
              <w:widowControl/>
              <w:spacing w:line="260" w:lineRule="exact"/>
              <w:textAlignment w:val="center"/>
              <w:rPr>
                <w:kern w:val="0"/>
                <w:sz w:val="18"/>
                <w:szCs w:val="18"/>
              </w:rPr>
            </w:pPr>
            <w:r>
              <w:rPr>
                <w:kern w:val="0"/>
                <w:sz w:val="18"/>
                <w:szCs w:val="18"/>
              </w:rPr>
              <w:t>电力</w:t>
            </w:r>
          </w:p>
          <w:p w14:paraId="7734A752">
            <w:pPr>
              <w:widowControl/>
              <w:spacing w:line="260" w:lineRule="exact"/>
              <w:jc w:val="left"/>
              <w:textAlignment w:val="center"/>
              <w:rPr>
                <w:kern w:val="0"/>
                <w:sz w:val="18"/>
                <w:szCs w:val="18"/>
              </w:rPr>
            </w:pPr>
            <w:r>
              <w:rPr>
                <w:kern w:val="0"/>
                <w:sz w:val="18"/>
                <w:szCs w:val="18"/>
              </w:rPr>
              <w:t>煤矸石（用于燃料）</w:t>
            </w:r>
          </w:p>
          <w:p w14:paraId="41CDC944">
            <w:pPr>
              <w:spacing w:line="260" w:lineRule="exact"/>
              <w:ind w:left="1" w:hanging="1"/>
              <w:jc w:val="left"/>
              <w:textAlignment w:val="center"/>
              <w:rPr>
                <w:kern w:val="0"/>
                <w:sz w:val="18"/>
                <w:szCs w:val="18"/>
              </w:rPr>
            </w:pPr>
            <w:r>
              <w:rPr>
                <w:kern w:val="0"/>
                <w:sz w:val="18"/>
                <w:szCs w:val="18"/>
              </w:rPr>
              <w:t>城市生活垃圾（用于燃料）</w:t>
            </w:r>
          </w:p>
          <w:p w14:paraId="1C0493C2">
            <w:pPr>
              <w:spacing w:line="260" w:lineRule="exact"/>
              <w:jc w:val="left"/>
              <w:textAlignment w:val="center"/>
              <w:rPr>
                <w:rFonts w:hint="eastAsia"/>
                <w:sz w:val="18"/>
                <w:szCs w:val="18"/>
              </w:rPr>
            </w:pPr>
            <w:r>
              <w:rPr>
                <w:kern w:val="0"/>
                <w:sz w:val="18"/>
                <w:szCs w:val="18"/>
              </w:rPr>
              <w:t>生物</w:t>
            </w:r>
            <w:r>
              <w:rPr>
                <w:sz w:val="18"/>
                <w:szCs w:val="18"/>
              </w:rPr>
              <w:t>质能</w:t>
            </w:r>
            <w:r>
              <w:rPr>
                <w:rFonts w:hint="eastAsia"/>
                <w:sz w:val="18"/>
                <w:szCs w:val="18"/>
              </w:rPr>
              <w:t>（用于燃料）</w:t>
            </w:r>
          </w:p>
          <w:p w14:paraId="1D898A30">
            <w:pPr>
              <w:spacing w:line="260" w:lineRule="exact"/>
              <w:jc w:val="left"/>
              <w:textAlignment w:val="center"/>
              <w:rPr>
                <w:sz w:val="18"/>
                <w:szCs w:val="18"/>
              </w:rPr>
            </w:pPr>
            <w:r>
              <w:rPr>
                <w:kern w:val="0"/>
                <w:sz w:val="18"/>
                <w:szCs w:val="18"/>
              </w:rPr>
              <w:t>余热余压</w:t>
            </w:r>
          </w:p>
          <w:p w14:paraId="13E66D56">
            <w:pPr>
              <w:spacing w:line="260" w:lineRule="exact"/>
              <w:jc w:val="left"/>
              <w:textAlignment w:val="center"/>
              <w:rPr>
                <w:kern w:val="0"/>
                <w:sz w:val="18"/>
                <w:szCs w:val="18"/>
              </w:rPr>
            </w:pPr>
            <w:r>
              <w:rPr>
                <w:kern w:val="0"/>
                <w:sz w:val="18"/>
                <w:szCs w:val="18"/>
              </w:rPr>
              <w:t>工业废料（用于燃料）</w:t>
            </w:r>
          </w:p>
          <w:p w14:paraId="7F4763F7">
            <w:pPr>
              <w:spacing w:line="260" w:lineRule="exact"/>
              <w:jc w:val="left"/>
              <w:textAlignment w:val="center"/>
              <w:rPr>
                <w:kern w:val="0"/>
                <w:sz w:val="18"/>
                <w:szCs w:val="18"/>
              </w:rPr>
            </w:pPr>
            <w:r>
              <w:rPr>
                <w:kern w:val="0"/>
                <w:sz w:val="18"/>
                <w:szCs w:val="18"/>
              </w:rPr>
              <w:t>其他燃料</w:t>
            </w:r>
          </w:p>
          <w:p w14:paraId="2D4DDECF">
            <w:pPr>
              <w:widowControl/>
              <w:spacing w:line="260" w:lineRule="exact"/>
              <w:textAlignment w:val="center"/>
              <w:rPr>
                <w:kern w:val="0"/>
                <w:sz w:val="18"/>
                <w:szCs w:val="18"/>
              </w:rPr>
            </w:pPr>
            <w:r>
              <w:rPr>
                <w:sz w:val="18"/>
                <w:szCs w:val="18"/>
              </w:rPr>
              <w:t>能源合计</w:t>
            </w:r>
          </w:p>
        </w:tc>
        <w:tc>
          <w:tcPr>
            <w:tcW w:w="992" w:type="dxa"/>
            <w:shd w:val="clear" w:color="auto" w:fill="auto"/>
          </w:tcPr>
          <w:p w14:paraId="0A58C37E">
            <w:pPr>
              <w:widowControl/>
              <w:spacing w:line="260" w:lineRule="exact"/>
              <w:jc w:val="center"/>
              <w:textAlignment w:val="center"/>
              <w:rPr>
                <w:kern w:val="0"/>
                <w:sz w:val="18"/>
                <w:szCs w:val="18"/>
              </w:rPr>
            </w:pPr>
            <w:r>
              <w:rPr>
                <w:kern w:val="0"/>
                <w:sz w:val="18"/>
                <w:szCs w:val="18"/>
              </w:rPr>
              <w:t>吨</w:t>
            </w:r>
          </w:p>
          <w:p w14:paraId="42D68B07">
            <w:pPr>
              <w:widowControl/>
              <w:spacing w:line="260" w:lineRule="exact"/>
              <w:jc w:val="center"/>
              <w:textAlignment w:val="center"/>
              <w:rPr>
                <w:kern w:val="0"/>
                <w:sz w:val="18"/>
                <w:szCs w:val="18"/>
              </w:rPr>
            </w:pPr>
            <w:r>
              <w:rPr>
                <w:kern w:val="0"/>
                <w:sz w:val="18"/>
                <w:szCs w:val="18"/>
              </w:rPr>
              <w:t>吨</w:t>
            </w:r>
          </w:p>
          <w:p w14:paraId="23C13A28">
            <w:pPr>
              <w:widowControl/>
              <w:spacing w:line="260" w:lineRule="exact"/>
              <w:jc w:val="center"/>
              <w:textAlignment w:val="center"/>
              <w:rPr>
                <w:kern w:val="0"/>
                <w:sz w:val="18"/>
                <w:szCs w:val="18"/>
              </w:rPr>
            </w:pPr>
            <w:r>
              <w:rPr>
                <w:kern w:val="0"/>
                <w:sz w:val="18"/>
                <w:szCs w:val="18"/>
              </w:rPr>
              <w:t>吨</w:t>
            </w:r>
          </w:p>
          <w:p w14:paraId="575E277A">
            <w:pPr>
              <w:widowControl/>
              <w:spacing w:line="260" w:lineRule="exact"/>
              <w:jc w:val="center"/>
              <w:textAlignment w:val="center"/>
              <w:rPr>
                <w:kern w:val="0"/>
                <w:sz w:val="18"/>
                <w:szCs w:val="18"/>
              </w:rPr>
            </w:pPr>
            <w:r>
              <w:rPr>
                <w:kern w:val="0"/>
                <w:sz w:val="18"/>
                <w:szCs w:val="18"/>
              </w:rPr>
              <w:t>吨</w:t>
            </w:r>
          </w:p>
          <w:p w14:paraId="54E72091">
            <w:pPr>
              <w:spacing w:line="260" w:lineRule="exact"/>
              <w:jc w:val="center"/>
              <w:textAlignment w:val="center"/>
              <w:rPr>
                <w:kern w:val="0"/>
                <w:sz w:val="18"/>
                <w:szCs w:val="18"/>
              </w:rPr>
            </w:pPr>
            <w:r>
              <w:rPr>
                <w:kern w:val="0"/>
                <w:sz w:val="18"/>
                <w:szCs w:val="18"/>
              </w:rPr>
              <w:t>吨</w:t>
            </w:r>
          </w:p>
          <w:p w14:paraId="36160E9A">
            <w:pPr>
              <w:widowControl/>
              <w:spacing w:line="260" w:lineRule="exact"/>
              <w:jc w:val="center"/>
              <w:textAlignment w:val="center"/>
              <w:rPr>
                <w:kern w:val="0"/>
                <w:sz w:val="18"/>
                <w:szCs w:val="18"/>
              </w:rPr>
            </w:pPr>
            <w:r>
              <w:rPr>
                <w:kern w:val="0"/>
                <w:sz w:val="18"/>
                <w:szCs w:val="18"/>
              </w:rPr>
              <w:t>吨</w:t>
            </w:r>
          </w:p>
          <w:p w14:paraId="4F1F54B8">
            <w:pPr>
              <w:widowControl/>
              <w:spacing w:line="260" w:lineRule="exact"/>
              <w:jc w:val="center"/>
              <w:textAlignment w:val="center"/>
              <w:rPr>
                <w:kern w:val="0"/>
                <w:sz w:val="18"/>
                <w:szCs w:val="18"/>
              </w:rPr>
            </w:pPr>
            <w:r>
              <w:rPr>
                <w:kern w:val="0"/>
                <w:sz w:val="18"/>
                <w:szCs w:val="18"/>
              </w:rPr>
              <w:t>吨</w:t>
            </w:r>
          </w:p>
          <w:p w14:paraId="727DBCCB">
            <w:pPr>
              <w:spacing w:line="260" w:lineRule="exact"/>
              <w:jc w:val="center"/>
              <w:textAlignment w:val="center"/>
              <w:rPr>
                <w:kern w:val="0"/>
                <w:sz w:val="18"/>
                <w:szCs w:val="18"/>
              </w:rPr>
            </w:pPr>
            <w:r>
              <w:rPr>
                <w:kern w:val="0"/>
                <w:sz w:val="18"/>
                <w:szCs w:val="18"/>
              </w:rPr>
              <w:t>吨</w:t>
            </w:r>
          </w:p>
          <w:p w14:paraId="481EFAF2">
            <w:pPr>
              <w:widowControl/>
              <w:spacing w:line="260" w:lineRule="exact"/>
              <w:jc w:val="center"/>
              <w:textAlignment w:val="center"/>
              <w:rPr>
                <w:kern w:val="0"/>
                <w:sz w:val="18"/>
                <w:szCs w:val="18"/>
              </w:rPr>
            </w:pPr>
            <w:r>
              <w:rPr>
                <w:kern w:val="0"/>
                <w:sz w:val="18"/>
                <w:szCs w:val="18"/>
              </w:rPr>
              <w:t>吨</w:t>
            </w:r>
          </w:p>
          <w:p w14:paraId="6A945C26">
            <w:pPr>
              <w:widowControl/>
              <w:spacing w:line="260" w:lineRule="exact"/>
              <w:jc w:val="center"/>
              <w:textAlignment w:val="center"/>
              <w:rPr>
                <w:kern w:val="0"/>
                <w:sz w:val="18"/>
                <w:szCs w:val="18"/>
              </w:rPr>
            </w:pPr>
            <w:r>
              <w:rPr>
                <w:kern w:val="0"/>
                <w:sz w:val="18"/>
                <w:szCs w:val="18"/>
              </w:rPr>
              <w:t>吨</w:t>
            </w:r>
          </w:p>
          <w:p w14:paraId="3A8E3005">
            <w:pPr>
              <w:widowControl/>
              <w:spacing w:line="260" w:lineRule="exact"/>
              <w:jc w:val="center"/>
              <w:textAlignment w:val="center"/>
              <w:rPr>
                <w:kern w:val="0"/>
                <w:sz w:val="18"/>
                <w:szCs w:val="18"/>
              </w:rPr>
            </w:pPr>
            <w:r>
              <w:rPr>
                <w:kern w:val="0"/>
                <w:sz w:val="18"/>
                <w:szCs w:val="18"/>
              </w:rPr>
              <w:t>万立方米</w:t>
            </w:r>
          </w:p>
          <w:p w14:paraId="3B84A9D0">
            <w:pPr>
              <w:widowControl/>
              <w:spacing w:line="260" w:lineRule="exact"/>
              <w:jc w:val="center"/>
              <w:textAlignment w:val="center"/>
              <w:rPr>
                <w:kern w:val="0"/>
                <w:sz w:val="18"/>
                <w:szCs w:val="18"/>
              </w:rPr>
            </w:pPr>
            <w:r>
              <w:rPr>
                <w:kern w:val="0"/>
                <w:sz w:val="18"/>
                <w:szCs w:val="18"/>
              </w:rPr>
              <w:t>万立方米</w:t>
            </w:r>
          </w:p>
          <w:p w14:paraId="6672975E">
            <w:pPr>
              <w:widowControl/>
              <w:spacing w:line="260" w:lineRule="exact"/>
              <w:jc w:val="center"/>
              <w:textAlignment w:val="center"/>
              <w:rPr>
                <w:kern w:val="0"/>
                <w:sz w:val="18"/>
                <w:szCs w:val="18"/>
              </w:rPr>
            </w:pPr>
            <w:r>
              <w:rPr>
                <w:kern w:val="0"/>
                <w:sz w:val="18"/>
                <w:szCs w:val="18"/>
              </w:rPr>
              <w:t>万立方米</w:t>
            </w:r>
          </w:p>
          <w:p w14:paraId="39F4E310">
            <w:pPr>
              <w:widowControl/>
              <w:spacing w:line="260" w:lineRule="exact"/>
              <w:jc w:val="center"/>
              <w:textAlignment w:val="center"/>
              <w:rPr>
                <w:kern w:val="0"/>
                <w:sz w:val="18"/>
                <w:szCs w:val="18"/>
              </w:rPr>
            </w:pPr>
            <w:r>
              <w:rPr>
                <w:kern w:val="0"/>
                <w:sz w:val="18"/>
                <w:szCs w:val="18"/>
              </w:rPr>
              <w:t>万立方米</w:t>
            </w:r>
          </w:p>
          <w:p w14:paraId="413134D1">
            <w:pPr>
              <w:widowControl/>
              <w:spacing w:line="260" w:lineRule="exact"/>
              <w:jc w:val="center"/>
              <w:textAlignment w:val="center"/>
              <w:rPr>
                <w:kern w:val="0"/>
                <w:sz w:val="18"/>
                <w:szCs w:val="18"/>
              </w:rPr>
            </w:pPr>
            <w:r>
              <w:rPr>
                <w:kern w:val="0"/>
                <w:sz w:val="18"/>
                <w:szCs w:val="18"/>
              </w:rPr>
              <w:t>万立方米</w:t>
            </w:r>
          </w:p>
          <w:p w14:paraId="071A3FE8">
            <w:pPr>
              <w:widowControl/>
              <w:spacing w:line="260" w:lineRule="exact"/>
              <w:jc w:val="center"/>
              <w:textAlignment w:val="center"/>
              <w:rPr>
                <w:kern w:val="0"/>
                <w:sz w:val="18"/>
                <w:szCs w:val="18"/>
              </w:rPr>
            </w:pPr>
            <w:r>
              <w:rPr>
                <w:kern w:val="0"/>
                <w:sz w:val="18"/>
                <w:szCs w:val="18"/>
              </w:rPr>
              <w:t>吨</w:t>
            </w:r>
          </w:p>
          <w:p w14:paraId="595EC848">
            <w:pPr>
              <w:widowControl/>
              <w:spacing w:line="260" w:lineRule="exact"/>
              <w:jc w:val="center"/>
              <w:textAlignment w:val="center"/>
              <w:rPr>
                <w:kern w:val="0"/>
                <w:sz w:val="18"/>
                <w:szCs w:val="18"/>
              </w:rPr>
            </w:pPr>
            <w:r>
              <w:rPr>
                <w:kern w:val="0"/>
                <w:sz w:val="18"/>
                <w:szCs w:val="18"/>
              </w:rPr>
              <w:t>万立方米</w:t>
            </w:r>
          </w:p>
          <w:p w14:paraId="0D36F527">
            <w:pPr>
              <w:widowControl/>
              <w:spacing w:line="260" w:lineRule="exact"/>
              <w:jc w:val="center"/>
              <w:textAlignment w:val="center"/>
              <w:rPr>
                <w:kern w:val="0"/>
                <w:sz w:val="18"/>
                <w:szCs w:val="18"/>
              </w:rPr>
            </w:pPr>
            <w:r>
              <w:rPr>
                <w:kern w:val="0"/>
                <w:sz w:val="18"/>
                <w:szCs w:val="18"/>
              </w:rPr>
              <w:t>吨</w:t>
            </w:r>
          </w:p>
          <w:p w14:paraId="402609C2">
            <w:pPr>
              <w:widowControl/>
              <w:spacing w:line="260" w:lineRule="exact"/>
              <w:jc w:val="center"/>
              <w:textAlignment w:val="center"/>
              <w:rPr>
                <w:kern w:val="0"/>
                <w:sz w:val="18"/>
                <w:szCs w:val="18"/>
              </w:rPr>
            </w:pPr>
            <w:r>
              <w:rPr>
                <w:kern w:val="0"/>
                <w:sz w:val="18"/>
                <w:szCs w:val="18"/>
              </w:rPr>
              <w:t>吨</w:t>
            </w:r>
          </w:p>
          <w:p w14:paraId="571E77CE">
            <w:pPr>
              <w:spacing w:line="260" w:lineRule="exact"/>
              <w:jc w:val="center"/>
              <w:textAlignment w:val="center"/>
              <w:rPr>
                <w:kern w:val="0"/>
                <w:sz w:val="18"/>
                <w:szCs w:val="18"/>
              </w:rPr>
            </w:pPr>
            <w:r>
              <w:rPr>
                <w:kern w:val="0"/>
                <w:sz w:val="18"/>
                <w:szCs w:val="18"/>
              </w:rPr>
              <w:t>吨</w:t>
            </w:r>
          </w:p>
          <w:p w14:paraId="30015B6A">
            <w:pPr>
              <w:widowControl/>
              <w:spacing w:line="260" w:lineRule="exact"/>
              <w:jc w:val="center"/>
              <w:textAlignment w:val="center"/>
              <w:rPr>
                <w:kern w:val="0"/>
                <w:sz w:val="18"/>
                <w:szCs w:val="18"/>
              </w:rPr>
            </w:pPr>
            <w:r>
              <w:rPr>
                <w:kern w:val="0"/>
                <w:sz w:val="18"/>
                <w:szCs w:val="18"/>
              </w:rPr>
              <w:t>吨</w:t>
            </w:r>
          </w:p>
          <w:p w14:paraId="6794BB9B">
            <w:pPr>
              <w:widowControl/>
              <w:spacing w:line="260" w:lineRule="exact"/>
              <w:jc w:val="center"/>
              <w:textAlignment w:val="center"/>
              <w:rPr>
                <w:kern w:val="0"/>
                <w:sz w:val="18"/>
                <w:szCs w:val="18"/>
              </w:rPr>
            </w:pPr>
            <w:r>
              <w:rPr>
                <w:kern w:val="0"/>
                <w:sz w:val="18"/>
                <w:szCs w:val="18"/>
              </w:rPr>
              <w:t>吨</w:t>
            </w:r>
          </w:p>
          <w:p w14:paraId="09FCD374">
            <w:pPr>
              <w:widowControl/>
              <w:spacing w:line="260" w:lineRule="exact"/>
              <w:jc w:val="center"/>
              <w:textAlignment w:val="center"/>
              <w:rPr>
                <w:kern w:val="0"/>
                <w:sz w:val="18"/>
                <w:szCs w:val="18"/>
              </w:rPr>
            </w:pPr>
            <w:r>
              <w:rPr>
                <w:kern w:val="0"/>
                <w:sz w:val="18"/>
                <w:szCs w:val="18"/>
              </w:rPr>
              <w:t>吨</w:t>
            </w:r>
          </w:p>
          <w:p w14:paraId="3B4FE6B4">
            <w:pPr>
              <w:spacing w:line="260" w:lineRule="exact"/>
              <w:jc w:val="center"/>
              <w:textAlignment w:val="center"/>
              <w:rPr>
                <w:kern w:val="0"/>
                <w:sz w:val="18"/>
                <w:szCs w:val="18"/>
              </w:rPr>
            </w:pPr>
            <w:r>
              <w:rPr>
                <w:kern w:val="0"/>
                <w:sz w:val="18"/>
                <w:szCs w:val="18"/>
              </w:rPr>
              <w:t>吨</w:t>
            </w:r>
          </w:p>
          <w:p w14:paraId="7C985DD6">
            <w:pPr>
              <w:spacing w:line="260" w:lineRule="exact"/>
              <w:jc w:val="center"/>
              <w:textAlignment w:val="center"/>
              <w:rPr>
                <w:kern w:val="0"/>
                <w:sz w:val="18"/>
                <w:szCs w:val="18"/>
              </w:rPr>
            </w:pPr>
            <w:r>
              <w:rPr>
                <w:kern w:val="0"/>
                <w:sz w:val="18"/>
                <w:szCs w:val="18"/>
              </w:rPr>
              <w:t>吨</w:t>
            </w:r>
          </w:p>
          <w:p w14:paraId="1B33AB1D">
            <w:pPr>
              <w:spacing w:line="260" w:lineRule="exact"/>
              <w:jc w:val="center"/>
              <w:textAlignment w:val="center"/>
              <w:rPr>
                <w:kern w:val="0"/>
                <w:sz w:val="18"/>
                <w:szCs w:val="18"/>
              </w:rPr>
            </w:pPr>
            <w:r>
              <w:rPr>
                <w:kern w:val="0"/>
                <w:sz w:val="18"/>
                <w:szCs w:val="18"/>
              </w:rPr>
              <w:t>吨</w:t>
            </w:r>
          </w:p>
          <w:p w14:paraId="151F4B4D">
            <w:pPr>
              <w:spacing w:line="260" w:lineRule="exact"/>
              <w:jc w:val="center"/>
              <w:textAlignment w:val="center"/>
              <w:rPr>
                <w:kern w:val="0"/>
                <w:sz w:val="18"/>
                <w:szCs w:val="18"/>
              </w:rPr>
            </w:pPr>
            <w:r>
              <w:rPr>
                <w:kern w:val="0"/>
                <w:sz w:val="18"/>
                <w:szCs w:val="18"/>
              </w:rPr>
              <w:t>吨</w:t>
            </w:r>
          </w:p>
          <w:p w14:paraId="645E83C5">
            <w:pPr>
              <w:spacing w:line="260" w:lineRule="exact"/>
              <w:jc w:val="center"/>
              <w:textAlignment w:val="center"/>
              <w:rPr>
                <w:kern w:val="0"/>
                <w:sz w:val="18"/>
                <w:szCs w:val="18"/>
              </w:rPr>
            </w:pPr>
            <w:r>
              <w:rPr>
                <w:kern w:val="0"/>
                <w:sz w:val="18"/>
                <w:szCs w:val="18"/>
              </w:rPr>
              <w:t>吨</w:t>
            </w:r>
          </w:p>
          <w:p w14:paraId="2C84E3CF">
            <w:pPr>
              <w:spacing w:line="260" w:lineRule="exact"/>
              <w:jc w:val="center"/>
              <w:textAlignment w:val="center"/>
              <w:rPr>
                <w:kern w:val="0"/>
                <w:sz w:val="18"/>
                <w:szCs w:val="18"/>
              </w:rPr>
            </w:pPr>
            <w:r>
              <w:rPr>
                <w:kern w:val="0"/>
                <w:sz w:val="18"/>
                <w:szCs w:val="18"/>
              </w:rPr>
              <w:t>吨</w:t>
            </w:r>
          </w:p>
          <w:p w14:paraId="5227B42B">
            <w:pPr>
              <w:spacing w:line="260" w:lineRule="exact"/>
              <w:jc w:val="center"/>
              <w:textAlignment w:val="center"/>
              <w:rPr>
                <w:kern w:val="0"/>
                <w:sz w:val="18"/>
                <w:szCs w:val="18"/>
              </w:rPr>
            </w:pPr>
            <w:r>
              <w:rPr>
                <w:kern w:val="0"/>
                <w:sz w:val="18"/>
                <w:szCs w:val="18"/>
              </w:rPr>
              <w:t>吨</w:t>
            </w:r>
          </w:p>
          <w:p w14:paraId="732D1DB6">
            <w:pPr>
              <w:spacing w:line="260" w:lineRule="exact"/>
              <w:jc w:val="center"/>
              <w:textAlignment w:val="center"/>
              <w:rPr>
                <w:kern w:val="0"/>
                <w:sz w:val="18"/>
                <w:szCs w:val="18"/>
              </w:rPr>
            </w:pPr>
            <w:r>
              <w:rPr>
                <w:kern w:val="0"/>
                <w:sz w:val="18"/>
                <w:szCs w:val="18"/>
              </w:rPr>
              <w:t>吨</w:t>
            </w:r>
          </w:p>
          <w:p w14:paraId="6FA8AA54">
            <w:pPr>
              <w:spacing w:line="260" w:lineRule="exact"/>
              <w:jc w:val="center"/>
              <w:textAlignment w:val="center"/>
              <w:rPr>
                <w:kern w:val="0"/>
                <w:sz w:val="18"/>
                <w:szCs w:val="18"/>
              </w:rPr>
            </w:pPr>
            <w:r>
              <w:rPr>
                <w:kern w:val="0"/>
                <w:sz w:val="18"/>
                <w:szCs w:val="18"/>
              </w:rPr>
              <w:t>百万千焦</w:t>
            </w:r>
          </w:p>
          <w:p w14:paraId="7A8733C1">
            <w:pPr>
              <w:widowControl/>
              <w:spacing w:line="260" w:lineRule="exact"/>
              <w:jc w:val="center"/>
              <w:textAlignment w:val="center"/>
              <w:rPr>
                <w:kern w:val="0"/>
                <w:sz w:val="18"/>
                <w:szCs w:val="18"/>
              </w:rPr>
            </w:pPr>
            <w:r>
              <w:rPr>
                <w:kern w:val="0"/>
                <w:sz w:val="18"/>
                <w:szCs w:val="18"/>
              </w:rPr>
              <w:t>万千瓦时</w:t>
            </w:r>
          </w:p>
          <w:p w14:paraId="42C8375C">
            <w:pPr>
              <w:widowControl/>
              <w:spacing w:line="260" w:lineRule="exact"/>
              <w:jc w:val="center"/>
              <w:textAlignment w:val="center"/>
              <w:rPr>
                <w:kern w:val="0"/>
                <w:sz w:val="18"/>
                <w:szCs w:val="18"/>
              </w:rPr>
            </w:pPr>
            <w:r>
              <w:rPr>
                <w:kern w:val="0"/>
                <w:sz w:val="18"/>
                <w:szCs w:val="18"/>
              </w:rPr>
              <w:t>吨</w:t>
            </w:r>
          </w:p>
          <w:p w14:paraId="3AC5194D">
            <w:pPr>
              <w:spacing w:line="260" w:lineRule="exact"/>
              <w:jc w:val="center"/>
              <w:textAlignment w:val="center"/>
              <w:rPr>
                <w:kern w:val="0"/>
                <w:sz w:val="18"/>
                <w:szCs w:val="18"/>
              </w:rPr>
            </w:pPr>
            <w:r>
              <w:rPr>
                <w:kern w:val="0"/>
                <w:sz w:val="18"/>
                <w:szCs w:val="18"/>
              </w:rPr>
              <w:t>吨</w:t>
            </w:r>
          </w:p>
          <w:p w14:paraId="374518D3">
            <w:pPr>
              <w:spacing w:line="260" w:lineRule="exact"/>
              <w:jc w:val="center"/>
              <w:textAlignment w:val="center"/>
              <w:rPr>
                <w:kern w:val="0"/>
                <w:sz w:val="18"/>
                <w:szCs w:val="18"/>
              </w:rPr>
            </w:pPr>
            <w:r>
              <w:rPr>
                <w:kern w:val="0"/>
                <w:sz w:val="18"/>
                <w:szCs w:val="18"/>
              </w:rPr>
              <w:t>吨标准煤</w:t>
            </w:r>
          </w:p>
          <w:p w14:paraId="19EADC68">
            <w:pPr>
              <w:spacing w:line="260" w:lineRule="exact"/>
              <w:jc w:val="center"/>
              <w:textAlignment w:val="center"/>
              <w:rPr>
                <w:kern w:val="0"/>
                <w:sz w:val="18"/>
                <w:szCs w:val="18"/>
              </w:rPr>
            </w:pPr>
            <w:r>
              <w:rPr>
                <w:kern w:val="0"/>
                <w:sz w:val="18"/>
                <w:szCs w:val="18"/>
              </w:rPr>
              <w:t>百万千焦</w:t>
            </w:r>
          </w:p>
          <w:p w14:paraId="76334028">
            <w:pPr>
              <w:spacing w:line="260" w:lineRule="exact"/>
              <w:jc w:val="center"/>
              <w:textAlignment w:val="center"/>
              <w:rPr>
                <w:kern w:val="0"/>
                <w:sz w:val="18"/>
                <w:szCs w:val="18"/>
              </w:rPr>
            </w:pPr>
            <w:r>
              <w:rPr>
                <w:kern w:val="0"/>
                <w:sz w:val="18"/>
                <w:szCs w:val="18"/>
              </w:rPr>
              <w:t>吨</w:t>
            </w:r>
          </w:p>
          <w:p w14:paraId="49630D81">
            <w:pPr>
              <w:spacing w:line="260" w:lineRule="exact"/>
              <w:jc w:val="center"/>
              <w:textAlignment w:val="center"/>
              <w:rPr>
                <w:kern w:val="0"/>
                <w:sz w:val="18"/>
                <w:szCs w:val="18"/>
              </w:rPr>
            </w:pPr>
            <w:r>
              <w:rPr>
                <w:kern w:val="0"/>
                <w:sz w:val="18"/>
                <w:szCs w:val="18"/>
              </w:rPr>
              <w:t>吨标准煤</w:t>
            </w:r>
          </w:p>
          <w:p w14:paraId="0C461140">
            <w:pPr>
              <w:widowControl/>
              <w:spacing w:line="260" w:lineRule="exact"/>
              <w:jc w:val="center"/>
              <w:textAlignment w:val="center"/>
              <w:rPr>
                <w:kern w:val="0"/>
                <w:sz w:val="18"/>
                <w:szCs w:val="18"/>
              </w:rPr>
            </w:pPr>
            <w:r>
              <w:rPr>
                <w:kern w:val="0"/>
                <w:sz w:val="18"/>
                <w:szCs w:val="18"/>
              </w:rPr>
              <w:t>吨标准煤</w:t>
            </w:r>
          </w:p>
        </w:tc>
        <w:tc>
          <w:tcPr>
            <w:tcW w:w="709" w:type="dxa"/>
          </w:tcPr>
          <w:p w14:paraId="43B8A09C">
            <w:pPr>
              <w:widowControl/>
              <w:spacing w:line="260" w:lineRule="exact"/>
              <w:jc w:val="center"/>
              <w:textAlignment w:val="center"/>
              <w:rPr>
                <w:kern w:val="0"/>
                <w:sz w:val="18"/>
                <w:szCs w:val="18"/>
              </w:rPr>
            </w:pPr>
            <w:r>
              <w:rPr>
                <w:kern w:val="0"/>
                <w:sz w:val="18"/>
                <w:szCs w:val="18"/>
              </w:rPr>
              <w:t>01</w:t>
            </w:r>
          </w:p>
          <w:p w14:paraId="6C108FB7">
            <w:pPr>
              <w:widowControl/>
              <w:spacing w:line="260" w:lineRule="exact"/>
              <w:jc w:val="center"/>
              <w:textAlignment w:val="center"/>
              <w:rPr>
                <w:kern w:val="0"/>
                <w:sz w:val="18"/>
                <w:szCs w:val="18"/>
              </w:rPr>
            </w:pPr>
            <w:r>
              <w:rPr>
                <w:kern w:val="0"/>
                <w:sz w:val="18"/>
                <w:szCs w:val="18"/>
              </w:rPr>
              <w:t>02</w:t>
            </w:r>
          </w:p>
          <w:p w14:paraId="060DE42E">
            <w:pPr>
              <w:widowControl/>
              <w:spacing w:line="260" w:lineRule="exact"/>
              <w:jc w:val="center"/>
              <w:textAlignment w:val="center"/>
              <w:rPr>
                <w:kern w:val="0"/>
                <w:sz w:val="18"/>
                <w:szCs w:val="18"/>
              </w:rPr>
            </w:pPr>
            <w:r>
              <w:rPr>
                <w:kern w:val="0"/>
                <w:sz w:val="18"/>
                <w:szCs w:val="18"/>
              </w:rPr>
              <w:t>03</w:t>
            </w:r>
          </w:p>
          <w:p w14:paraId="3B84624C">
            <w:pPr>
              <w:widowControl/>
              <w:spacing w:line="260" w:lineRule="exact"/>
              <w:jc w:val="center"/>
              <w:textAlignment w:val="center"/>
              <w:rPr>
                <w:kern w:val="0"/>
                <w:sz w:val="18"/>
                <w:szCs w:val="18"/>
              </w:rPr>
            </w:pPr>
            <w:r>
              <w:rPr>
                <w:kern w:val="0"/>
                <w:sz w:val="18"/>
                <w:szCs w:val="18"/>
              </w:rPr>
              <w:t>04</w:t>
            </w:r>
          </w:p>
          <w:p w14:paraId="2F0FF3E2">
            <w:pPr>
              <w:spacing w:line="260" w:lineRule="exact"/>
              <w:jc w:val="center"/>
              <w:textAlignment w:val="center"/>
              <w:rPr>
                <w:kern w:val="0"/>
                <w:sz w:val="18"/>
                <w:szCs w:val="18"/>
              </w:rPr>
            </w:pPr>
            <w:r>
              <w:rPr>
                <w:kern w:val="0"/>
                <w:sz w:val="18"/>
                <w:szCs w:val="18"/>
              </w:rPr>
              <w:t>05</w:t>
            </w:r>
          </w:p>
          <w:p w14:paraId="3A5F5859">
            <w:pPr>
              <w:widowControl/>
              <w:spacing w:line="260" w:lineRule="exact"/>
              <w:jc w:val="center"/>
              <w:textAlignment w:val="center"/>
              <w:rPr>
                <w:kern w:val="0"/>
                <w:sz w:val="18"/>
                <w:szCs w:val="18"/>
              </w:rPr>
            </w:pPr>
            <w:r>
              <w:rPr>
                <w:kern w:val="0"/>
                <w:sz w:val="18"/>
                <w:szCs w:val="18"/>
              </w:rPr>
              <w:t>06</w:t>
            </w:r>
          </w:p>
          <w:p w14:paraId="30BFA65F">
            <w:pPr>
              <w:spacing w:line="260" w:lineRule="exact"/>
              <w:jc w:val="center"/>
              <w:textAlignment w:val="center"/>
              <w:rPr>
                <w:kern w:val="0"/>
                <w:sz w:val="18"/>
                <w:szCs w:val="18"/>
              </w:rPr>
            </w:pPr>
            <w:r>
              <w:rPr>
                <w:kern w:val="0"/>
                <w:sz w:val="18"/>
                <w:szCs w:val="18"/>
              </w:rPr>
              <w:t>07</w:t>
            </w:r>
          </w:p>
          <w:p w14:paraId="748AA78C">
            <w:pPr>
              <w:spacing w:line="260" w:lineRule="exact"/>
              <w:jc w:val="center"/>
              <w:textAlignment w:val="center"/>
              <w:rPr>
                <w:kern w:val="0"/>
                <w:sz w:val="18"/>
                <w:szCs w:val="18"/>
              </w:rPr>
            </w:pPr>
            <w:r>
              <w:rPr>
                <w:kern w:val="0"/>
                <w:sz w:val="18"/>
                <w:szCs w:val="18"/>
              </w:rPr>
              <w:t>08</w:t>
            </w:r>
          </w:p>
          <w:p w14:paraId="6409051B">
            <w:pPr>
              <w:widowControl/>
              <w:spacing w:line="260" w:lineRule="exact"/>
              <w:jc w:val="center"/>
              <w:textAlignment w:val="center"/>
              <w:rPr>
                <w:kern w:val="0"/>
                <w:sz w:val="18"/>
                <w:szCs w:val="18"/>
              </w:rPr>
            </w:pPr>
            <w:r>
              <w:rPr>
                <w:kern w:val="0"/>
                <w:sz w:val="18"/>
                <w:szCs w:val="18"/>
              </w:rPr>
              <w:t>09</w:t>
            </w:r>
          </w:p>
          <w:p w14:paraId="5EFA9906">
            <w:pPr>
              <w:widowControl/>
              <w:spacing w:line="260" w:lineRule="exact"/>
              <w:jc w:val="center"/>
              <w:textAlignment w:val="center"/>
              <w:rPr>
                <w:kern w:val="0"/>
                <w:sz w:val="18"/>
                <w:szCs w:val="18"/>
              </w:rPr>
            </w:pPr>
            <w:r>
              <w:rPr>
                <w:kern w:val="0"/>
                <w:sz w:val="18"/>
                <w:szCs w:val="18"/>
              </w:rPr>
              <w:t>10</w:t>
            </w:r>
          </w:p>
          <w:p w14:paraId="26B8E582">
            <w:pPr>
              <w:widowControl/>
              <w:spacing w:line="260" w:lineRule="exact"/>
              <w:jc w:val="center"/>
              <w:textAlignment w:val="center"/>
              <w:rPr>
                <w:kern w:val="0"/>
                <w:sz w:val="18"/>
                <w:szCs w:val="18"/>
              </w:rPr>
            </w:pPr>
            <w:r>
              <w:rPr>
                <w:kern w:val="0"/>
                <w:sz w:val="18"/>
                <w:szCs w:val="18"/>
              </w:rPr>
              <w:t>11</w:t>
            </w:r>
          </w:p>
          <w:p w14:paraId="2D4ECB66">
            <w:pPr>
              <w:widowControl/>
              <w:spacing w:line="260" w:lineRule="exact"/>
              <w:jc w:val="center"/>
              <w:textAlignment w:val="center"/>
              <w:rPr>
                <w:kern w:val="0"/>
                <w:sz w:val="18"/>
                <w:szCs w:val="18"/>
              </w:rPr>
            </w:pPr>
            <w:r>
              <w:rPr>
                <w:kern w:val="0"/>
                <w:sz w:val="18"/>
                <w:szCs w:val="18"/>
              </w:rPr>
              <w:t>12</w:t>
            </w:r>
          </w:p>
          <w:p w14:paraId="42B82004">
            <w:pPr>
              <w:widowControl/>
              <w:spacing w:line="260" w:lineRule="exact"/>
              <w:jc w:val="center"/>
              <w:textAlignment w:val="center"/>
              <w:rPr>
                <w:kern w:val="0"/>
                <w:sz w:val="18"/>
                <w:szCs w:val="18"/>
              </w:rPr>
            </w:pPr>
            <w:r>
              <w:rPr>
                <w:kern w:val="0"/>
                <w:sz w:val="18"/>
                <w:szCs w:val="18"/>
              </w:rPr>
              <w:t>13</w:t>
            </w:r>
          </w:p>
          <w:p w14:paraId="6EE3EAAE">
            <w:pPr>
              <w:widowControl/>
              <w:spacing w:line="260" w:lineRule="exact"/>
              <w:jc w:val="center"/>
              <w:textAlignment w:val="center"/>
              <w:rPr>
                <w:kern w:val="0"/>
                <w:sz w:val="18"/>
                <w:szCs w:val="18"/>
              </w:rPr>
            </w:pPr>
            <w:r>
              <w:rPr>
                <w:kern w:val="0"/>
                <w:sz w:val="18"/>
                <w:szCs w:val="18"/>
              </w:rPr>
              <w:t>14</w:t>
            </w:r>
          </w:p>
          <w:p w14:paraId="690BC754">
            <w:pPr>
              <w:widowControl/>
              <w:spacing w:line="260" w:lineRule="exact"/>
              <w:jc w:val="center"/>
              <w:textAlignment w:val="center"/>
              <w:rPr>
                <w:kern w:val="0"/>
                <w:sz w:val="18"/>
                <w:szCs w:val="18"/>
              </w:rPr>
            </w:pPr>
            <w:r>
              <w:rPr>
                <w:kern w:val="0"/>
                <w:sz w:val="18"/>
                <w:szCs w:val="18"/>
              </w:rPr>
              <w:t>15</w:t>
            </w:r>
          </w:p>
          <w:p w14:paraId="23D5EA39">
            <w:pPr>
              <w:widowControl/>
              <w:spacing w:line="260" w:lineRule="exact"/>
              <w:jc w:val="center"/>
              <w:textAlignment w:val="center"/>
              <w:rPr>
                <w:kern w:val="0"/>
                <w:sz w:val="18"/>
                <w:szCs w:val="18"/>
              </w:rPr>
            </w:pPr>
            <w:r>
              <w:rPr>
                <w:kern w:val="0"/>
                <w:sz w:val="18"/>
                <w:szCs w:val="18"/>
              </w:rPr>
              <w:t>16</w:t>
            </w:r>
          </w:p>
          <w:p w14:paraId="060FB031">
            <w:pPr>
              <w:widowControl/>
              <w:spacing w:line="260" w:lineRule="exact"/>
              <w:jc w:val="center"/>
              <w:textAlignment w:val="center"/>
              <w:rPr>
                <w:kern w:val="0"/>
                <w:sz w:val="18"/>
                <w:szCs w:val="18"/>
              </w:rPr>
            </w:pPr>
            <w:r>
              <w:rPr>
                <w:kern w:val="0"/>
                <w:sz w:val="18"/>
                <w:szCs w:val="18"/>
              </w:rPr>
              <w:t>17</w:t>
            </w:r>
          </w:p>
          <w:p w14:paraId="2A86DD2A">
            <w:pPr>
              <w:spacing w:line="260" w:lineRule="exact"/>
              <w:jc w:val="center"/>
              <w:textAlignment w:val="center"/>
              <w:rPr>
                <w:kern w:val="0"/>
                <w:sz w:val="18"/>
                <w:szCs w:val="18"/>
              </w:rPr>
            </w:pPr>
            <w:r>
              <w:rPr>
                <w:kern w:val="0"/>
                <w:sz w:val="18"/>
                <w:szCs w:val="18"/>
              </w:rPr>
              <w:t>18</w:t>
            </w:r>
          </w:p>
          <w:p w14:paraId="7E05B6C5">
            <w:pPr>
              <w:widowControl/>
              <w:spacing w:line="260" w:lineRule="exact"/>
              <w:jc w:val="center"/>
              <w:textAlignment w:val="center"/>
              <w:rPr>
                <w:kern w:val="0"/>
                <w:sz w:val="18"/>
                <w:szCs w:val="18"/>
              </w:rPr>
            </w:pPr>
            <w:r>
              <w:rPr>
                <w:kern w:val="0"/>
                <w:sz w:val="18"/>
                <w:szCs w:val="18"/>
              </w:rPr>
              <w:t>19</w:t>
            </w:r>
          </w:p>
          <w:p w14:paraId="10FDA0FF">
            <w:pPr>
              <w:widowControl/>
              <w:spacing w:line="260" w:lineRule="exact"/>
              <w:jc w:val="center"/>
              <w:textAlignment w:val="center"/>
              <w:rPr>
                <w:kern w:val="0"/>
                <w:sz w:val="18"/>
                <w:szCs w:val="18"/>
              </w:rPr>
            </w:pPr>
            <w:r>
              <w:rPr>
                <w:kern w:val="0"/>
                <w:sz w:val="18"/>
                <w:szCs w:val="18"/>
              </w:rPr>
              <w:t>20</w:t>
            </w:r>
          </w:p>
          <w:p w14:paraId="7CB2E89E">
            <w:pPr>
              <w:spacing w:line="260" w:lineRule="exact"/>
              <w:jc w:val="center"/>
              <w:textAlignment w:val="center"/>
              <w:rPr>
                <w:kern w:val="0"/>
                <w:sz w:val="18"/>
                <w:szCs w:val="18"/>
              </w:rPr>
            </w:pPr>
            <w:r>
              <w:rPr>
                <w:kern w:val="0"/>
                <w:sz w:val="18"/>
                <w:szCs w:val="18"/>
              </w:rPr>
              <w:t>21</w:t>
            </w:r>
          </w:p>
          <w:p w14:paraId="7392C722">
            <w:pPr>
              <w:spacing w:line="260" w:lineRule="exact"/>
              <w:jc w:val="center"/>
              <w:textAlignment w:val="center"/>
              <w:rPr>
                <w:kern w:val="0"/>
                <w:sz w:val="18"/>
                <w:szCs w:val="18"/>
              </w:rPr>
            </w:pPr>
            <w:r>
              <w:rPr>
                <w:kern w:val="0"/>
                <w:sz w:val="18"/>
                <w:szCs w:val="18"/>
              </w:rPr>
              <w:t>22</w:t>
            </w:r>
          </w:p>
          <w:p w14:paraId="77C2D248">
            <w:pPr>
              <w:spacing w:line="260" w:lineRule="exact"/>
              <w:jc w:val="center"/>
              <w:textAlignment w:val="center"/>
              <w:rPr>
                <w:kern w:val="0"/>
                <w:sz w:val="18"/>
                <w:szCs w:val="18"/>
              </w:rPr>
            </w:pPr>
            <w:r>
              <w:rPr>
                <w:kern w:val="0"/>
                <w:sz w:val="18"/>
                <w:szCs w:val="18"/>
              </w:rPr>
              <w:t>23</w:t>
            </w:r>
          </w:p>
          <w:p w14:paraId="446F1056">
            <w:pPr>
              <w:spacing w:line="260" w:lineRule="exact"/>
              <w:jc w:val="center"/>
              <w:textAlignment w:val="center"/>
              <w:rPr>
                <w:kern w:val="0"/>
                <w:sz w:val="18"/>
                <w:szCs w:val="18"/>
              </w:rPr>
            </w:pPr>
            <w:r>
              <w:rPr>
                <w:kern w:val="0"/>
                <w:sz w:val="18"/>
                <w:szCs w:val="18"/>
              </w:rPr>
              <w:t>24</w:t>
            </w:r>
          </w:p>
          <w:p w14:paraId="379A61FB">
            <w:pPr>
              <w:spacing w:line="260" w:lineRule="exact"/>
              <w:jc w:val="center"/>
              <w:textAlignment w:val="center"/>
              <w:rPr>
                <w:kern w:val="0"/>
                <w:sz w:val="18"/>
                <w:szCs w:val="18"/>
              </w:rPr>
            </w:pPr>
            <w:r>
              <w:rPr>
                <w:kern w:val="0"/>
                <w:sz w:val="18"/>
                <w:szCs w:val="18"/>
              </w:rPr>
              <w:t>25</w:t>
            </w:r>
          </w:p>
          <w:p w14:paraId="35C468C8">
            <w:pPr>
              <w:spacing w:line="260" w:lineRule="exact"/>
              <w:jc w:val="center"/>
              <w:textAlignment w:val="center"/>
              <w:rPr>
                <w:kern w:val="0"/>
                <w:sz w:val="18"/>
                <w:szCs w:val="18"/>
              </w:rPr>
            </w:pPr>
            <w:r>
              <w:rPr>
                <w:kern w:val="0"/>
                <w:sz w:val="18"/>
                <w:szCs w:val="18"/>
              </w:rPr>
              <w:t>26</w:t>
            </w:r>
          </w:p>
          <w:p w14:paraId="1FDC137F">
            <w:pPr>
              <w:spacing w:line="260" w:lineRule="exact"/>
              <w:jc w:val="center"/>
              <w:textAlignment w:val="center"/>
              <w:rPr>
                <w:kern w:val="0"/>
                <w:sz w:val="18"/>
                <w:szCs w:val="18"/>
              </w:rPr>
            </w:pPr>
            <w:r>
              <w:rPr>
                <w:kern w:val="0"/>
                <w:sz w:val="18"/>
                <w:szCs w:val="18"/>
              </w:rPr>
              <w:t>27</w:t>
            </w:r>
          </w:p>
          <w:p w14:paraId="5C4A9FC9">
            <w:pPr>
              <w:spacing w:line="260" w:lineRule="exact"/>
              <w:jc w:val="center"/>
              <w:textAlignment w:val="center"/>
              <w:rPr>
                <w:kern w:val="0"/>
                <w:sz w:val="18"/>
                <w:szCs w:val="18"/>
              </w:rPr>
            </w:pPr>
            <w:r>
              <w:rPr>
                <w:kern w:val="0"/>
                <w:sz w:val="18"/>
                <w:szCs w:val="18"/>
              </w:rPr>
              <w:t>28</w:t>
            </w:r>
          </w:p>
          <w:p w14:paraId="45399CED">
            <w:pPr>
              <w:spacing w:line="260" w:lineRule="exact"/>
              <w:jc w:val="center"/>
              <w:textAlignment w:val="center"/>
              <w:rPr>
                <w:kern w:val="0"/>
                <w:sz w:val="18"/>
                <w:szCs w:val="18"/>
              </w:rPr>
            </w:pPr>
            <w:r>
              <w:rPr>
                <w:kern w:val="0"/>
                <w:sz w:val="18"/>
                <w:szCs w:val="18"/>
              </w:rPr>
              <w:t>29</w:t>
            </w:r>
          </w:p>
          <w:p w14:paraId="036C1A33">
            <w:pPr>
              <w:spacing w:line="260" w:lineRule="exact"/>
              <w:jc w:val="center"/>
              <w:textAlignment w:val="center"/>
              <w:rPr>
                <w:kern w:val="0"/>
                <w:sz w:val="18"/>
                <w:szCs w:val="18"/>
              </w:rPr>
            </w:pPr>
            <w:r>
              <w:rPr>
                <w:kern w:val="0"/>
                <w:sz w:val="18"/>
                <w:szCs w:val="18"/>
              </w:rPr>
              <w:t>30</w:t>
            </w:r>
          </w:p>
          <w:p w14:paraId="6A849DEE">
            <w:pPr>
              <w:spacing w:line="260" w:lineRule="exact"/>
              <w:jc w:val="center"/>
              <w:textAlignment w:val="center"/>
              <w:rPr>
                <w:kern w:val="0"/>
                <w:sz w:val="18"/>
                <w:szCs w:val="18"/>
              </w:rPr>
            </w:pPr>
            <w:r>
              <w:rPr>
                <w:kern w:val="0"/>
                <w:sz w:val="18"/>
                <w:szCs w:val="18"/>
              </w:rPr>
              <w:t>31</w:t>
            </w:r>
          </w:p>
          <w:p w14:paraId="11FEB58C">
            <w:pPr>
              <w:spacing w:line="260" w:lineRule="exact"/>
              <w:jc w:val="center"/>
              <w:textAlignment w:val="center"/>
              <w:rPr>
                <w:kern w:val="0"/>
                <w:sz w:val="18"/>
                <w:szCs w:val="18"/>
              </w:rPr>
            </w:pPr>
            <w:r>
              <w:rPr>
                <w:kern w:val="0"/>
                <w:sz w:val="18"/>
                <w:szCs w:val="18"/>
              </w:rPr>
              <w:t>32</w:t>
            </w:r>
          </w:p>
          <w:p w14:paraId="77DEB2AA">
            <w:pPr>
              <w:spacing w:line="260" w:lineRule="exact"/>
              <w:jc w:val="center"/>
              <w:textAlignment w:val="center"/>
              <w:rPr>
                <w:kern w:val="0"/>
                <w:sz w:val="18"/>
                <w:szCs w:val="18"/>
              </w:rPr>
            </w:pPr>
            <w:r>
              <w:rPr>
                <w:kern w:val="0"/>
                <w:sz w:val="18"/>
                <w:szCs w:val="18"/>
              </w:rPr>
              <w:t>33</w:t>
            </w:r>
          </w:p>
          <w:p w14:paraId="516F96F6">
            <w:pPr>
              <w:spacing w:line="260" w:lineRule="exact"/>
              <w:jc w:val="center"/>
              <w:textAlignment w:val="center"/>
              <w:rPr>
                <w:kern w:val="0"/>
                <w:sz w:val="18"/>
                <w:szCs w:val="18"/>
              </w:rPr>
            </w:pPr>
            <w:r>
              <w:rPr>
                <w:kern w:val="0"/>
                <w:sz w:val="18"/>
                <w:szCs w:val="18"/>
              </w:rPr>
              <w:t>34</w:t>
            </w:r>
          </w:p>
          <w:p w14:paraId="53D423E1">
            <w:pPr>
              <w:spacing w:line="260" w:lineRule="exact"/>
              <w:jc w:val="center"/>
              <w:textAlignment w:val="center"/>
              <w:rPr>
                <w:kern w:val="0"/>
                <w:sz w:val="18"/>
                <w:szCs w:val="18"/>
              </w:rPr>
            </w:pPr>
            <w:r>
              <w:rPr>
                <w:kern w:val="0"/>
                <w:sz w:val="18"/>
                <w:szCs w:val="18"/>
              </w:rPr>
              <w:t>35</w:t>
            </w:r>
          </w:p>
          <w:p w14:paraId="5BEFABF2">
            <w:pPr>
              <w:spacing w:line="260" w:lineRule="exact"/>
              <w:jc w:val="center"/>
              <w:textAlignment w:val="center"/>
              <w:rPr>
                <w:kern w:val="0"/>
                <w:sz w:val="18"/>
                <w:szCs w:val="18"/>
              </w:rPr>
            </w:pPr>
            <w:r>
              <w:rPr>
                <w:kern w:val="0"/>
                <w:sz w:val="18"/>
                <w:szCs w:val="18"/>
              </w:rPr>
              <w:t>36</w:t>
            </w:r>
          </w:p>
          <w:p w14:paraId="12009887">
            <w:pPr>
              <w:spacing w:line="260" w:lineRule="exact"/>
              <w:jc w:val="center"/>
              <w:textAlignment w:val="center"/>
              <w:rPr>
                <w:kern w:val="0"/>
                <w:sz w:val="18"/>
                <w:szCs w:val="18"/>
              </w:rPr>
            </w:pPr>
            <w:r>
              <w:rPr>
                <w:kern w:val="0"/>
                <w:sz w:val="18"/>
                <w:szCs w:val="18"/>
              </w:rPr>
              <w:t>37</w:t>
            </w:r>
          </w:p>
          <w:p w14:paraId="5DEA3BDE">
            <w:pPr>
              <w:spacing w:line="260" w:lineRule="exact"/>
              <w:jc w:val="center"/>
              <w:textAlignment w:val="center"/>
              <w:rPr>
                <w:kern w:val="0"/>
                <w:sz w:val="18"/>
                <w:szCs w:val="18"/>
              </w:rPr>
            </w:pPr>
            <w:r>
              <w:rPr>
                <w:kern w:val="0"/>
                <w:sz w:val="18"/>
                <w:szCs w:val="18"/>
              </w:rPr>
              <w:t>38</w:t>
            </w:r>
          </w:p>
          <w:p w14:paraId="5E673DA4">
            <w:pPr>
              <w:spacing w:line="260" w:lineRule="exact"/>
              <w:jc w:val="center"/>
              <w:textAlignment w:val="center"/>
              <w:rPr>
                <w:kern w:val="0"/>
                <w:sz w:val="18"/>
                <w:szCs w:val="18"/>
              </w:rPr>
            </w:pPr>
            <w:r>
              <w:rPr>
                <w:kern w:val="0"/>
                <w:sz w:val="18"/>
                <w:szCs w:val="18"/>
              </w:rPr>
              <w:t>39</w:t>
            </w:r>
          </w:p>
          <w:p w14:paraId="21E46C17">
            <w:pPr>
              <w:widowControl/>
              <w:spacing w:line="260" w:lineRule="exact"/>
              <w:jc w:val="center"/>
              <w:textAlignment w:val="center"/>
              <w:rPr>
                <w:kern w:val="0"/>
                <w:sz w:val="18"/>
                <w:szCs w:val="18"/>
              </w:rPr>
            </w:pPr>
            <w:r>
              <w:rPr>
                <w:kern w:val="0"/>
                <w:sz w:val="18"/>
                <w:szCs w:val="18"/>
              </w:rPr>
              <w:t>40</w:t>
            </w:r>
          </w:p>
        </w:tc>
        <w:tc>
          <w:tcPr>
            <w:tcW w:w="2835" w:type="dxa"/>
          </w:tcPr>
          <w:p w14:paraId="533B7528">
            <w:pPr>
              <w:widowControl/>
              <w:spacing w:line="260" w:lineRule="exact"/>
              <w:jc w:val="center"/>
              <w:textAlignment w:val="center"/>
              <w:rPr>
                <w:b/>
                <w:kern w:val="0"/>
                <w:sz w:val="18"/>
                <w:szCs w:val="18"/>
              </w:rPr>
            </w:pPr>
            <w:r>
              <w:rPr>
                <w:b/>
                <w:kern w:val="0"/>
                <w:sz w:val="18"/>
                <w:szCs w:val="18"/>
              </w:rPr>
              <w:t>—</w:t>
            </w:r>
          </w:p>
          <w:p w14:paraId="4BCDFCFF">
            <w:pPr>
              <w:spacing w:line="260" w:lineRule="exact"/>
              <w:textAlignment w:val="center"/>
              <w:rPr>
                <w:kern w:val="0"/>
                <w:sz w:val="18"/>
                <w:szCs w:val="18"/>
              </w:rPr>
            </w:pPr>
            <w:r>
              <w:rPr>
                <w:kern w:val="0"/>
                <w:sz w:val="18"/>
                <w:szCs w:val="18"/>
              </w:rPr>
              <w:t>0.9428吨标准煤/吨</w:t>
            </w:r>
          </w:p>
          <w:p w14:paraId="0EA461B7">
            <w:pPr>
              <w:spacing w:line="260" w:lineRule="exact"/>
              <w:textAlignment w:val="center"/>
              <w:rPr>
                <w:kern w:val="0"/>
                <w:sz w:val="18"/>
                <w:szCs w:val="18"/>
              </w:rPr>
            </w:pPr>
            <w:r>
              <w:rPr>
                <w:kern w:val="0"/>
                <w:sz w:val="18"/>
                <w:szCs w:val="18"/>
              </w:rPr>
              <w:t>0.9吨标准煤/吨</w:t>
            </w:r>
          </w:p>
          <w:p w14:paraId="5EE77A07">
            <w:pPr>
              <w:spacing w:line="260" w:lineRule="exact"/>
              <w:textAlignment w:val="center"/>
              <w:rPr>
                <w:kern w:val="0"/>
                <w:sz w:val="18"/>
                <w:szCs w:val="18"/>
              </w:rPr>
            </w:pPr>
            <w:r>
              <w:rPr>
                <w:kern w:val="0"/>
                <w:sz w:val="18"/>
                <w:szCs w:val="18"/>
              </w:rPr>
              <w:t>0.7143吨标准煤/吨</w:t>
            </w:r>
          </w:p>
          <w:p w14:paraId="323D68FA">
            <w:pPr>
              <w:spacing w:line="260" w:lineRule="exact"/>
              <w:textAlignment w:val="center"/>
              <w:rPr>
                <w:kern w:val="0"/>
                <w:sz w:val="18"/>
                <w:szCs w:val="18"/>
              </w:rPr>
            </w:pPr>
            <w:r>
              <w:rPr>
                <w:kern w:val="0"/>
                <w:sz w:val="18"/>
                <w:szCs w:val="18"/>
              </w:rPr>
              <w:t>0.4286吨标准煤/吨</w:t>
            </w:r>
          </w:p>
          <w:p w14:paraId="03DF50DC">
            <w:pPr>
              <w:spacing w:line="260" w:lineRule="exact"/>
              <w:textAlignment w:val="center"/>
              <w:rPr>
                <w:kern w:val="0"/>
                <w:sz w:val="18"/>
                <w:szCs w:val="18"/>
              </w:rPr>
            </w:pPr>
            <w:r>
              <w:rPr>
                <w:kern w:val="0"/>
                <w:sz w:val="18"/>
                <w:szCs w:val="18"/>
              </w:rPr>
              <w:t>0.9吨标准煤/吨</w:t>
            </w:r>
          </w:p>
          <w:p w14:paraId="081BCBDF">
            <w:pPr>
              <w:spacing w:line="260" w:lineRule="exact"/>
              <w:textAlignment w:val="center"/>
              <w:rPr>
                <w:kern w:val="0"/>
                <w:sz w:val="18"/>
                <w:szCs w:val="18"/>
              </w:rPr>
            </w:pPr>
            <w:r>
              <w:rPr>
                <w:kern w:val="0"/>
                <w:sz w:val="18"/>
                <w:szCs w:val="18"/>
              </w:rPr>
              <w:t>0.4643-0.</w:t>
            </w:r>
            <w:r>
              <w:rPr>
                <w:rFonts w:hint="eastAsia"/>
                <w:kern w:val="0"/>
                <w:sz w:val="18"/>
                <w:szCs w:val="18"/>
              </w:rPr>
              <w:t>9</w:t>
            </w:r>
            <w:r>
              <w:rPr>
                <w:kern w:val="0"/>
                <w:sz w:val="18"/>
                <w:szCs w:val="18"/>
              </w:rPr>
              <w:t>吨标准煤/吨</w:t>
            </w:r>
          </w:p>
          <w:p w14:paraId="70033775">
            <w:pPr>
              <w:spacing w:line="260" w:lineRule="exact"/>
              <w:textAlignment w:val="center"/>
              <w:rPr>
                <w:kern w:val="0"/>
                <w:sz w:val="18"/>
                <w:szCs w:val="18"/>
              </w:rPr>
            </w:pPr>
            <w:r>
              <w:rPr>
                <w:kern w:val="0"/>
                <w:sz w:val="18"/>
                <w:szCs w:val="18"/>
              </w:rPr>
              <w:t>0.5286吨标准煤/吨</w:t>
            </w:r>
          </w:p>
          <w:p w14:paraId="646B0933">
            <w:pPr>
              <w:spacing w:line="260" w:lineRule="exact"/>
              <w:textAlignment w:val="center"/>
              <w:rPr>
                <w:kern w:val="0"/>
                <w:sz w:val="18"/>
                <w:szCs w:val="18"/>
              </w:rPr>
            </w:pPr>
            <w:r>
              <w:rPr>
                <w:kern w:val="0"/>
                <w:sz w:val="18"/>
                <w:szCs w:val="18"/>
              </w:rPr>
              <w:t>0.9714吨标准煤/吨</w:t>
            </w:r>
          </w:p>
          <w:p w14:paraId="489F3105">
            <w:pPr>
              <w:spacing w:line="260" w:lineRule="exact"/>
              <w:textAlignment w:val="center"/>
              <w:rPr>
                <w:kern w:val="0"/>
                <w:sz w:val="18"/>
                <w:szCs w:val="18"/>
              </w:rPr>
            </w:pPr>
            <w:r>
              <w:rPr>
                <w:kern w:val="0"/>
                <w:sz w:val="18"/>
                <w:szCs w:val="18"/>
              </w:rPr>
              <w:t>1.1-1.5吨标准煤/吨</w:t>
            </w:r>
          </w:p>
          <w:p w14:paraId="4FD201A4">
            <w:pPr>
              <w:spacing w:line="260" w:lineRule="exact"/>
              <w:textAlignment w:val="center"/>
              <w:rPr>
                <w:kern w:val="0"/>
                <w:sz w:val="18"/>
                <w:szCs w:val="18"/>
              </w:rPr>
            </w:pPr>
            <w:r>
              <w:rPr>
                <w:kern w:val="0"/>
                <w:sz w:val="18"/>
                <w:szCs w:val="18"/>
              </w:rPr>
              <w:t>5.714-6.143吨标准煤/万立方米</w:t>
            </w:r>
          </w:p>
          <w:p w14:paraId="694EA573">
            <w:pPr>
              <w:spacing w:line="260" w:lineRule="exact"/>
              <w:textAlignment w:val="center"/>
              <w:rPr>
                <w:kern w:val="0"/>
                <w:sz w:val="18"/>
                <w:szCs w:val="18"/>
              </w:rPr>
            </w:pPr>
            <w:r>
              <w:rPr>
                <w:kern w:val="0"/>
                <w:sz w:val="18"/>
                <w:szCs w:val="18"/>
              </w:rPr>
              <w:t>1.286吨标准煤/万立方米</w:t>
            </w:r>
          </w:p>
          <w:p w14:paraId="648D13A2">
            <w:pPr>
              <w:spacing w:line="260" w:lineRule="exact"/>
              <w:textAlignment w:val="center"/>
              <w:rPr>
                <w:kern w:val="0"/>
                <w:sz w:val="18"/>
                <w:szCs w:val="18"/>
              </w:rPr>
            </w:pPr>
            <w:r>
              <w:rPr>
                <w:kern w:val="0"/>
                <w:sz w:val="18"/>
                <w:szCs w:val="18"/>
              </w:rPr>
              <w:t>2.714吨标准煤/万立方米</w:t>
            </w:r>
          </w:p>
          <w:p w14:paraId="03F3C23D">
            <w:pPr>
              <w:spacing w:line="260" w:lineRule="exact"/>
              <w:textAlignment w:val="center"/>
              <w:rPr>
                <w:kern w:val="0"/>
                <w:sz w:val="18"/>
                <w:szCs w:val="18"/>
              </w:rPr>
            </w:pPr>
            <w:r>
              <w:rPr>
                <w:kern w:val="0"/>
                <w:sz w:val="18"/>
                <w:szCs w:val="18"/>
              </w:rPr>
              <w:t>1.786吨标准煤/万立方米</w:t>
            </w:r>
          </w:p>
          <w:p w14:paraId="642114FE">
            <w:pPr>
              <w:spacing w:line="260" w:lineRule="exact"/>
              <w:textAlignment w:val="center"/>
              <w:rPr>
                <w:kern w:val="0"/>
                <w:sz w:val="18"/>
                <w:szCs w:val="18"/>
              </w:rPr>
            </w:pPr>
            <w:r>
              <w:rPr>
                <w:kern w:val="0"/>
                <w:sz w:val="18"/>
                <w:szCs w:val="18"/>
              </w:rPr>
              <w:t>11.0-13.3吨标准煤/万立方米</w:t>
            </w:r>
          </w:p>
          <w:p w14:paraId="387F3E19">
            <w:pPr>
              <w:spacing w:line="260" w:lineRule="exact"/>
              <w:textAlignment w:val="center"/>
              <w:rPr>
                <w:kern w:val="0"/>
                <w:sz w:val="18"/>
                <w:szCs w:val="18"/>
              </w:rPr>
            </w:pPr>
            <w:r>
              <w:rPr>
                <w:kern w:val="0"/>
                <w:sz w:val="18"/>
                <w:szCs w:val="18"/>
              </w:rPr>
              <w:t>1.7572吨标准煤/吨</w:t>
            </w:r>
          </w:p>
          <w:p w14:paraId="2A951CC0">
            <w:pPr>
              <w:spacing w:line="260" w:lineRule="exact"/>
              <w:textAlignment w:val="center"/>
              <w:rPr>
                <w:kern w:val="0"/>
                <w:sz w:val="18"/>
                <w:szCs w:val="18"/>
              </w:rPr>
            </w:pPr>
            <w:r>
              <w:rPr>
                <w:kern w:val="0"/>
                <w:sz w:val="18"/>
                <w:szCs w:val="18"/>
              </w:rPr>
              <w:t>4.361吨标准煤/万立方米</w:t>
            </w:r>
          </w:p>
          <w:p w14:paraId="3E63829B">
            <w:pPr>
              <w:spacing w:line="260" w:lineRule="exact"/>
              <w:textAlignment w:val="center"/>
              <w:rPr>
                <w:kern w:val="0"/>
                <w:sz w:val="18"/>
                <w:szCs w:val="18"/>
              </w:rPr>
            </w:pPr>
            <w:r>
              <w:rPr>
                <w:kern w:val="0"/>
                <w:sz w:val="18"/>
                <w:szCs w:val="18"/>
              </w:rPr>
              <w:t>1.4286吨标准煤/吨</w:t>
            </w:r>
          </w:p>
          <w:p w14:paraId="7058D9D9">
            <w:pPr>
              <w:spacing w:line="260" w:lineRule="exact"/>
              <w:textAlignment w:val="center"/>
              <w:rPr>
                <w:kern w:val="0"/>
                <w:sz w:val="18"/>
                <w:szCs w:val="18"/>
              </w:rPr>
            </w:pPr>
            <w:r>
              <w:rPr>
                <w:kern w:val="0"/>
                <w:sz w:val="18"/>
                <w:szCs w:val="18"/>
              </w:rPr>
              <w:t>1.4714吨标准煤/吨</w:t>
            </w:r>
          </w:p>
          <w:p w14:paraId="0B90124C">
            <w:pPr>
              <w:spacing w:line="260" w:lineRule="exact"/>
              <w:textAlignment w:val="center"/>
              <w:rPr>
                <w:kern w:val="0"/>
                <w:sz w:val="18"/>
                <w:szCs w:val="18"/>
              </w:rPr>
            </w:pPr>
            <w:r>
              <w:rPr>
                <w:kern w:val="0"/>
                <w:sz w:val="18"/>
                <w:szCs w:val="18"/>
              </w:rPr>
              <w:t>1.4714吨标准煤/吨</w:t>
            </w:r>
          </w:p>
          <w:p w14:paraId="1E446DBF">
            <w:pPr>
              <w:widowControl/>
              <w:spacing w:line="260" w:lineRule="exact"/>
              <w:textAlignment w:val="center"/>
              <w:rPr>
                <w:kern w:val="0"/>
                <w:sz w:val="18"/>
                <w:szCs w:val="18"/>
              </w:rPr>
            </w:pPr>
            <w:r>
              <w:rPr>
                <w:kern w:val="0"/>
                <w:sz w:val="18"/>
                <w:szCs w:val="18"/>
              </w:rPr>
              <w:t>1.4571吨标准煤/吨</w:t>
            </w:r>
          </w:p>
          <w:p w14:paraId="2A8FC051">
            <w:pPr>
              <w:spacing w:line="260" w:lineRule="exact"/>
              <w:textAlignment w:val="center"/>
              <w:rPr>
                <w:kern w:val="0"/>
                <w:sz w:val="18"/>
                <w:szCs w:val="18"/>
              </w:rPr>
            </w:pPr>
            <w:r>
              <w:rPr>
                <w:kern w:val="0"/>
                <w:sz w:val="18"/>
                <w:szCs w:val="18"/>
              </w:rPr>
              <w:t>1.4286吨标准煤/吨</w:t>
            </w:r>
          </w:p>
          <w:p w14:paraId="1F3212A0">
            <w:pPr>
              <w:spacing w:line="260" w:lineRule="exact"/>
              <w:textAlignment w:val="center"/>
              <w:rPr>
                <w:kern w:val="0"/>
                <w:sz w:val="18"/>
                <w:szCs w:val="18"/>
              </w:rPr>
            </w:pPr>
            <w:r>
              <w:rPr>
                <w:kern w:val="0"/>
                <w:sz w:val="18"/>
                <w:szCs w:val="18"/>
              </w:rPr>
              <w:t>1.7143吨标准煤/吨</w:t>
            </w:r>
          </w:p>
          <w:p w14:paraId="1BE64B13">
            <w:pPr>
              <w:spacing w:line="260" w:lineRule="exact"/>
              <w:textAlignment w:val="center"/>
              <w:rPr>
                <w:kern w:val="0"/>
                <w:sz w:val="18"/>
                <w:szCs w:val="18"/>
              </w:rPr>
            </w:pPr>
            <w:r>
              <w:rPr>
                <w:kern w:val="0"/>
                <w:sz w:val="18"/>
                <w:szCs w:val="18"/>
              </w:rPr>
              <w:t>1.5714吨标准煤/吨</w:t>
            </w:r>
          </w:p>
          <w:p w14:paraId="2725AAC1">
            <w:pPr>
              <w:spacing w:line="260" w:lineRule="exact"/>
              <w:textAlignment w:val="center"/>
              <w:rPr>
                <w:kern w:val="0"/>
                <w:sz w:val="18"/>
                <w:szCs w:val="18"/>
              </w:rPr>
            </w:pPr>
            <w:r>
              <w:rPr>
                <w:kern w:val="0"/>
                <w:sz w:val="18"/>
                <w:szCs w:val="18"/>
              </w:rPr>
              <w:t>1.5吨标准煤/吨</w:t>
            </w:r>
          </w:p>
          <w:p w14:paraId="628E1A3A">
            <w:pPr>
              <w:spacing w:line="260" w:lineRule="exact"/>
              <w:textAlignment w:val="center"/>
              <w:rPr>
                <w:kern w:val="0"/>
                <w:sz w:val="18"/>
                <w:szCs w:val="18"/>
              </w:rPr>
            </w:pPr>
            <w:r>
              <w:rPr>
                <w:kern w:val="0"/>
                <w:sz w:val="18"/>
                <w:szCs w:val="18"/>
              </w:rPr>
              <w:t>1.4143吨标准煤/吨</w:t>
            </w:r>
          </w:p>
          <w:p w14:paraId="6683833E">
            <w:pPr>
              <w:spacing w:line="260" w:lineRule="exact"/>
              <w:textAlignment w:val="center"/>
              <w:rPr>
                <w:kern w:val="0"/>
                <w:sz w:val="18"/>
                <w:szCs w:val="18"/>
              </w:rPr>
            </w:pPr>
            <w:r>
              <w:rPr>
                <w:kern w:val="0"/>
                <w:sz w:val="18"/>
                <w:szCs w:val="18"/>
              </w:rPr>
              <w:t>1.3648吨标准煤/吨</w:t>
            </w:r>
          </w:p>
          <w:p w14:paraId="4F252E02">
            <w:pPr>
              <w:spacing w:line="260" w:lineRule="exact"/>
              <w:textAlignment w:val="center"/>
              <w:rPr>
                <w:kern w:val="0"/>
                <w:sz w:val="18"/>
                <w:szCs w:val="18"/>
              </w:rPr>
            </w:pPr>
            <w:r>
              <w:rPr>
                <w:kern w:val="0"/>
                <w:sz w:val="18"/>
                <w:szCs w:val="18"/>
              </w:rPr>
              <w:t>1.4672吨标准煤/吨</w:t>
            </w:r>
          </w:p>
          <w:p w14:paraId="4D3315A2">
            <w:pPr>
              <w:spacing w:line="260" w:lineRule="exact"/>
              <w:textAlignment w:val="center"/>
              <w:rPr>
                <w:kern w:val="0"/>
                <w:sz w:val="18"/>
                <w:szCs w:val="18"/>
              </w:rPr>
            </w:pPr>
            <w:r>
              <w:rPr>
                <w:kern w:val="0"/>
                <w:sz w:val="18"/>
                <w:szCs w:val="18"/>
              </w:rPr>
              <w:t>1.0918吨标准煤/吨</w:t>
            </w:r>
          </w:p>
          <w:p w14:paraId="6461C377">
            <w:pPr>
              <w:spacing w:line="260" w:lineRule="exact"/>
              <w:textAlignment w:val="center"/>
              <w:rPr>
                <w:kern w:val="0"/>
                <w:sz w:val="18"/>
                <w:szCs w:val="18"/>
              </w:rPr>
            </w:pPr>
            <w:r>
              <w:rPr>
                <w:kern w:val="0"/>
                <w:sz w:val="18"/>
                <w:szCs w:val="18"/>
              </w:rPr>
              <w:t>1.3307吨标准煤/吨</w:t>
            </w:r>
          </w:p>
          <w:p w14:paraId="1F0E9A86">
            <w:pPr>
              <w:spacing w:line="260" w:lineRule="exact"/>
              <w:textAlignment w:val="center"/>
              <w:rPr>
                <w:kern w:val="0"/>
                <w:sz w:val="18"/>
                <w:szCs w:val="18"/>
              </w:rPr>
            </w:pPr>
            <w:r>
              <w:rPr>
                <w:kern w:val="0"/>
                <w:sz w:val="18"/>
                <w:szCs w:val="18"/>
              </w:rPr>
              <w:t>1.4吨标准煤/吨</w:t>
            </w:r>
          </w:p>
          <w:p w14:paraId="5A448B1F">
            <w:pPr>
              <w:spacing w:line="260" w:lineRule="exact"/>
              <w:textAlignment w:val="center"/>
              <w:rPr>
                <w:kern w:val="0"/>
                <w:sz w:val="18"/>
                <w:szCs w:val="18"/>
              </w:rPr>
            </w:pPr>
            <w:r>
              <w:rPr>
                <w:kern w:val="0"/>
                <w:sz w:val="18"/>
                <w:szCs w:val="18"/>
              </w:rPr>
              <w:t>0.0341吨标准煤/百万千焦</w:t>
            </w:r>
          </w:p>
          <w:p w14:paraId="3AA51461">
            <w:pPr>
              <w:spacing w:line="260" w:lineRule="exact"/>
              <w:textAlignment w:val="center"/>
              <w:rPr>
                <w:kern w:val="0"/>
                <w:sz w:val="18"/>
                <w:szCs w:val="18"/>
              </w:rPr>
            </w:pPr>
            <w:r>
              <w:rPr>
                <w:kern w:val="0"/>
                <w:sz w:val="18"/>
                <w:szCs w:val="18"/>
              </w:rPr>
              <w:t>1.229吨标准煤/万千瓦时</w:t>
            </w:r>
          </w:p>
          <w:p w14:paraId="5CFC91E0">
            <w:pPr>
              <w:spacing w:line="260" w:lineRule="exact"/>
              <w:textAlignment w:val="center"/>
              <w:rPr>
                <w:kern w:val="0"/>
                <w:sz w:val="18"/>
                <w:szCs w:val="18"/>
              </w:rPr>
            </w:pPr>
            <w:r>
              <w:rPr>
                <w:kern w:val="0"/>
                <w:sz w:val="18"/>
                <w:szCs w:val="18"/>
              </w:rPr>
              <w:t>0.2857吨标准煤/吨</w:t>
            </w:r>
          </w:p>
          <w:p w14:paraId="749F2358">
            <w:pPr>
              <w:spacing w:line="260" w:lineRule="exact"/>
              <w:textAlignment w:val="center"/>
              <w:rPr>
                <w:kern w:val="0"/>
                <w:sz w:val="18"/>
                <w:szCs w:val="18"/>
              </w:rPr>
            </w:pPr>
            <w:r>
              <w:rPr>
                <w:kern w:val="0"/>
                <w:sz w:val="18"/>
                <w:szCs w:val="18"/>
              </w:rPr>
              <w:t>0.2714吨标准煤/吨</w:t>
            </w:r>
          </w:p>
          <w:p w14:paraId="5E255137">
            <w:pPr>
              <w:spacing w:line="260" w:lineRule="exact"/>
              <w:textAlignment w:val="center"/>
              <w:rPr>
                <w:kern w:val="0"/>
                <w:sz w:val="18"/>
                <w:szCs w:val="18"/>
              </w:rPr>
            </w:pPr>
            <w:r>
              <w:rPr>
                <w:kern w:val="0"/>
                <w:sz w:val="18"/>
                <w:szCs w:val="18"/>
              </w:rPr>
              <w:t>1</w:t>
            </w:r>
          </w:p>
          <w:p w14:paraId="782FC237">
            <w:pPr>
              <w:spacing w:line="260" w:lineRule="exact"/>
              <w:textAlignment w:val="center"/>
              <w:rPr>
                <w:kern w:val="0"/>
                <w:sz w:val="18"/>
                <w:szCs w:val="18"/>
              </w:rPr>
            </w:pPr>
            <w:r>
              <w:rPr>
                <w:kern w:val="0"/>
                <w:sz w:val="18"/>
                <w:szCs w:val="18"/>
              </w:rPr>
              <w:t>0.0341吨标准煤/百万千焦</w:t>
            </w:r>
          </w:p>
          <w:p w14:paraId="6794B711">
            <w:pPr>
              <w:spacing w:line="260" w:lineRule="exact"/>
              <w:textAlignment w:val="center"/>
              <w:rPr>
                <w:kern w:val="0"/>
                <w:sz w:val="18"/>
                <w:szCs w:val="18"/>
              </w:rPr>
            </w:pPr>
            <w:r>
              <w:rPr>
                <w:kern w:val="0"/>
                <w:sz w:val="18"/>
                <w:szCs w:val="18"/>
              </w:rPr>
              <w:t>0.4285吨标准煤/吨</w:t>
            </w:r>
          </w:p>
          <w:p w14:paraId="733076CB">
            <w:pPr>
              <w:spacing w:line="260" w:lineRule="exact"/>
              <w:textAlignment w:val="center"/>
              <w:rPr>
                <w:kern w:val="0"/>
                <w:sz w:val="18"/>
                <w:szCs w:val="18"/>
              </w:rPr>
            </w:pPr>
            <w:r>
              <w:rPr>
                <w:kern w:val="0"/>
                <w:sz w:val="18"/>
                <w:szCs w:val="18"/>
              </w:rPr>
              <w:t>1</w:t>
            </w:r>
          </w:p>
          <w:p w14:paraId="638F8FAA">
            <w:pPr>
              <w:spacing w:line="260" w:lineRule="exact"/>
              <w:jc w:val="center"/>
              <w:textAlignment w:val="center"/>
              <w:rPr>
                <w:b/>
                <w:kern w:val="0"/>
                <w:sz w:val="18"/>
                <w:szCs w:val="18"/>
              </w:rPr>
            </w:pPr>
            <w:r>
              <w:rPr>
                <w:b/>
                <w:kern w:val="0"/>
                <w:sz w:val="18"/>
                <w:szCs w:val="18"/>
              </w:rPr>
              <w:t>—</w:t>
            </w:r>
          </w:p>
        </w:tc>
        <w:tc>
          <w:tcPr>
            <w:tcW w:w="2549" w:type="dxa"/>
          </w:tcPr>
          <w:p w14:paraId="5461FA5E">
            <w:pPr>
              <w:widowControl/>
              <w:spacing w:line="260" w:lineRule="exact"/>
              <w:jc w:val="center"/>
              <w:textAlignment w:val="center"/>
              <w:rPr>
                <w:b/>
                <w:kern w:val="0"/>
                <w:sz w:val="18"/>
                <w:szCs w:val="18"/>
              </w:rPr>
            </w:pPr>
            <w:r>
              <w:rPr>
                <w:b/>
                <w:kern w:val="0"/>
                <w:sz w:val="18"/>
                <w:szCs w:val="18"/>
              </w:rPr>
              <w:t>—</w:t>
            </w:r>
          </w:p>
          <w:p w14:paraId="2C2FD384">
            <w:pPr>
              <w:widowControl/>
              <w:spacing w:line="260" w:lineRule="exact"/>
              <w:jc w:val="left"/>
              <w:textAlignment w:val="center"/>
              <w:rPr>
                <w:kern w:val="0"/>
                <w:sz w:val="18"/>
                <w:szCs w:val="18"/>
              </w:rPr>
            </w:pPr>
            <w:r>
              <w:rPr>
                <w:kern w:val="0"/>
                <w:sz w:val="18"/>
                <w:szCs w:val="18"/>
              </w:rPr>
              <w:t>约6000千卡/千克以上</w:t>
            </w:r>
          </w:p>
          <w:p w14:paraId="2AFE2BE8">
            <w:pPr>
              <w:widowControl/>
              <w:spacing w:line="260" w:lineRule="exact"/>
              <w:jc w:val="left"/>
              <w:textAlignment w:val="center"/>
              <w:rPr>
                <w:kern w:val="0"/>
                <w:sz w:val="18"/>
                <w:szCs w:val="18"/>
              </w:rPr>
            </w:pPr>
            <w:r>
              <w:rPr>
                <w:kern w:val="0"/>
                <w:sz w:val="18"/>
                <w:szCs w:val="18"/>
              </w:rPr>
              <w:t>约6000千卡/千克以上</w:t>
            </w:r>
          </w:p>
          <w:p w14:paraId="5BF591F2">
            <w:pPr>
              <w:widowControl/>
              <w:spacing w:line="260" w:lineRule="exact"/>
              <w:jc w:val="left"/>
              <w:textAlignment w:val="center"/>
              <w:rPr>
                <w:kern w:val="0"/>
                <w:sz w:val="18"/>
                <w:szCs w:val="18"/>
              </w:rPr>
            </w:pPr>
            <w:r>
              <w:rPr>
                <w:kern w:val="0"/>
                <w:sz w:val="18"/>
                <w:szCs w:val="18"/>
              </w:rPr>
              <w:t>约4500-5500千卡/千克</w:t>
            </w:r>
          </w:p>
          <w:p w14:paraId="12F05785">
            <w:pPr>
              <w:spacing w:line="260" w:lineRule="exact"/>
              <w:jc w:val="left"/>
              <w:textAlignment w:val="center"/>
              <w:rPr>
                <w:kern w:val="0"/>
                <w:sz w:val="18"/>
                <w:szCs w:val="18"/>
              </w:rPr>
            </w:pPr>
            <w:r>
              <w:rPr>
                <w:kern w:val="0"/>
                <w:sz w:val="18"/>
                <w:szCs w:val="18"/>
              </w:rPr>
              <w:t>约2500-3500千卡/千克</w:t>
            </w:r>
          </w:p>
          <w:p w14:paraId="6A0A6026">
            <w:pPr>
              <w:widowControl/>
              <w:spacing w:line="260" w:lineRule="exact"/>
              <w:jc w:val="left"/>
              <w:textAlignment w:val="center"/>
              <w:rPr>
                <w:kern w:val="0"/>
                <w:sz w:val="18"/>
                <w:szCs w:val="18"/>
              </w:rPr>
            </w:pPr>
            <w:r>
              <w:rPr>
                <w:kern w:val="0"/>
                <w:sz w:val="18"/>
                <w:szCs w:val="18"/>
              </w:rPr>
              <w:t>约6000千卡/千克以上</w:t>
            </w:r>
          </w:p>
          <w:p w14:paraId="0D98D47F">
            <w:pPr>
              <w:widowControl/>
              <w:spacing w:line="260" w:lineRule="exact"/>
              <w:jc w:val="left"/>
              <w:textAlignment w:val="center"/>
              <w:rPr>
                <w:kern w:val="0"/>
                <w:sz w:val="18"/>
                <w:szCs w:val="18"/>
              </w:rPr>
            </w:pPr>
            <w:r>
              <w:rPr>
                <w:kern w:val="0"/>
                <w:sz w:val="18"/>
                <w:szCs w:val="18"/>
              </w:rPr>
              <w:t>约2500-</w:t>
            </w:r>
            <w:r>
              <w:rPr>
                <w:rFonts w:hint="eastAsia"/>
                <w:kern w:val="0"/>
                <w:sz w:val="18"/>
                <w:szCs w:val="18"/>
              </w:rPr>
              <w:t>60</w:t>
            </w:r>
            <w:r>
              <w:rPr>
                <w:kern w:val="0"/>
                <w:sz w:val="18"/>
                <w:szCs w:val="18"/>
              </w:rPr>
              <w:t>00千卡/千克</w:t>
            </w:r>
          </w:p>
          <w:p w14:paraId="2D5F6617">
            <w:pPr>
              <w:spacing w:line="260" w:lineRule="exact"/>
              <w:jc w:val="left"/>
              <w:textAlignment w:val="center"/>
              <w:rPr>
                <w:kern w:val="0"/>
                <w:sz w:val="18"/>
                <w:szCs w:val="18"/>
              </w:rPr>
            </w:pPr>
            <w:r>
              <w:rPr>
                <w:kern w:val="0"/>
                <w:sz w:val="18"/>
                <w:szCs w:val="18"/>
              </w:rPr>
              <w:t>约3000-5000千卡/千克</w:t>
            </w:r>
          </w:p>
          <w:p w14:paraId="6D3394AD">
            <w:pPr>
              <w:widowControl/>
              <w:spacing w:line="260" w:lineRule="exact"/>
              <w:jc w:val="left"/>
              <w:textAlignment w:val="center"/>
              <w:rPr>
                <w:kern w:val="0"/>
                <w:sz w:val="18"/>
                <w:szCs w:val="18"/>
              </w:rPr>
            </w:pPr>
            <w:r>
              <w:rPr>
                <w:kern w:val="0"/>
                <w:sz w:val="18"/>
                <w:szCs w:val="18"/>
              </w:rPr>
              <w:t>约6800千卡/千克</w:t>
            </w:r>
          </w:p>
          <w:p w14:paraId="36A5969B">
            <w:pPr>
              <w:widowControl/>
              <w:spacing w:line="260" w:lineRule="exact"/>
              <w:jc w:val="left"/>
              <w:textAlignment w:val="center"/>
              <w:rPr>
                <w:kern w:val="0"/>
                <w:sz w:val="18"/>
                <w:szCs w:val="18"/>
              </w:rPr>
            </w:pPr>
            <w:r>
              <w:rPr>
                <w:kern w:val="0"/>
                <w:sz w:val="18"/>
                <w:szCs w:val="18"/>
              </w:rPr>
              <w:t>约7700-10500千卡/千克</w:t>
            </w:r>
          </w:p>
          <w:p w14:paraId="1D9ADB02">
            <w:pPr>
              <w:widowControl/>
              <w:spacing w:line="260" w:lineRule="exact"/>
              <w:jc w:val="left"/>
              <w:textAlignment w:val="center"/>
              <w:rPr>
                <w:kern w:val="0"/>
                <w:sz w:val="18"/>
                <w:szCs w:val="18"/>
              </w:rPr>
            </w:pPr>
            <w:r>
              <w:rPr>
                <w:kern w:val="0"/>
                <w:sz w:val="18"/>
                <w:szCs w:val="18"/>
              </w:rPr>
              <w:t>约4000-4300千卡/立方米</w:t>
            </w:r>
          </w:p>
          <w:p w14:paraId="4EDC40E4">
            <w:pPr>
              <w:widowControl/>
              <w:spacing w:line="260" w:lineRule="exact"/>
              <w:jc w:val="left"/>
              <w:textAlignment w:val="center"/>
              <w:rPr>
                <w:kern w:val="0"/>
                <w:sz w:val="18"/>
                <w:szCs w:val="18"/>
              </w:rPr>
            </w:pPr>
            <w:r>
              <w:rPr>
                <w:kern w:val="0"/>
                <w:sz w:val="18"/>
                <w:szCs w:val="18"/>
              </w:rPr>
              <w:t>约900千卡/立方米</w:t>
            </w:r>
          </w:p>
          <w:p w14:paraId="06A65701">
            <w:pPr>
              <w:widowControl/>
              <w:spacing w:line="260" w:lineRule="exact"/>
              <w:jc w:val="left"/>
              <w:textAlignment w:val="center"/>
              <w:rPr>
                <w:kern w:val="0"/>
                <w:sz w:val="18"/>
                <w:szCs w:val="18"/>
              </w:rPr>
            </w:pPr>
            <w:r>
              <w:rPr>
                <w:kern w:val="0"/>
                <w:sz w:val="18"/>
                <w:szCs w:val="18"/>
              </w:rPr>
              <w:t>约1900千卡/立方米</w:t>
            </w:r>
          </w:p>
          <w:p w14:paraId="7B4BD33F">
            <w:pPr>
              <w:widowControl/>
              <w:spacing w:line="260" w:lineRule="exact"/>
              <w:jc w:val="left"/>
              <w:textAlignment w:val="center"/>
              <w:rPr>
                <w:kern w:val="0"/>
                <w:sz w:val="18"/>
                <w:szCs w:val="18"/>
              </w:rPr>
            </w:pPr>
            <w:r>
              <w:rPr>
                <w:kern w:val="0"/>
                <w:sz w:val="18"/>
                <w:szCs w:val="18"/>
              </w:rPr>
              <w:t>约1250千卡/立方米</w:t>
            </w:r>
          </w:p>
          <w:p w14:paraId="263F3F86">
            <w:pPr>
              <w:widowControl/>
              <w:spacing w:line="260" w:lineRule="exact"/>
              <w:jc w:val="left"/>
              <w:textAlignment w:val="center"/>
              <w:rPr>
                <w:kern w:val="0"/>
                <w:sz w:val="18"/>
                <w:szCs w:val="18"/>
              </w:rPr>
            </w:pPr>
            <w:r>
              <w:rPr>
                <w:kern w:val="0"/>
                <w:sz w:val="18"/>
                <w:szCs w:val="18"/>
              </w:rPr>
              <w:t>约7700-9300千卡/立方米</w:t>
            </w:r>
          </w:p>
          <w:p w14:paraId="7858B6F4">
            <w:pPr>
              <w:widowControl/>
              <w:spacing w:line="260" w:lineRule="exact"/>
              <w:jc w:val="left"/>
              <w:textAlignment w:val="center"/>
              <w:rPr>
                <w:kern w:val="0"/>
                <w:sz w:val="18"/>
                <w:szCs w:val="18"/>
              </w:rPr>
            </w:pPr>
            <w:r>
              <w:rPr>
                <w:kern w:val="0"/>
                <w:sz w:val="18"/>
                <w:szCs w:val="18"/>
              </w:rPr>
              <w:t>约12300千卡/千克</w:t>
            </w:r>
          </w:p>
          <w:p w14:paraId="7E6B2FE5">
            <w:pPr>
              <w:widowControl/>
              <w:spacing w:line="260" w:lineRule="exact"/>
              <w:jc w:val="left"/>
              <w:textAlignment w:val="center"/>
              <w:rPr>
                <w:kern w:val="0"/>
                <w:sz w:val="18"/>
                <w:szCs w:val="18"/>
              </w:rPr>
            </w:pPr>
            <w:r>
              <w:rPr>
                <w:kern w:val="0"/>
                <w:sz w:val="18"/>
                <w:szCs w:val="18"/>
              </w:rPr>
              <w:t>约142000</w:t>
            </w:r>
            <w:r>
              <w:rPr>
                <w:rFonts w:hint="eastAsia"/>
                <w:kern w:val="0"/>
                <w:sz w:val="18"/>
                <w:szCs w:val="18"/>
              </w:rPr>
              <w:t>千焦耳</w:t>
            </w:r>
            <w:r>
              <w:rPr>
                <w:kern w:val="0"/>
                <w:sz w:val="18"/>
                <w:szCs w:val="18"/>
              </w:rPr>
              <w:t>/</w:t>
            </w:r>
            <w:r>
              <w:rPr>
                <w:rFonts w:hint="eastAsia"/>
                <w:kern w:val="0"/>
                <w:sz w:val="18"/>
                <w:szCs w:val="18"/>
              </w:rPr>
              <w:t>千克</w:t>
            </w:r>
          </w:p>
          <w:p w14:paraId="78AC1AD3">
            <w:pPr>
              <w:widowControl/>
              <w:spacing w:line="260" w:lineRule="exact"/>
              <w:jc w:val="left"/>
              <w:textAlignment w:val="center"/>
              <w:rPr>
                <w:kern w:val="0"/>
                <w:sz w:val="18"/>
                <w:szCs w:val="18"/>
              </w:rPr>
            </w:pPr>
            <w:r>
              <w:rPr>
                <w:kern w:val="0"/>
                <w:sz w:val="18"/>
                <w:szCs w:val="18"/>
              </w:rPr>
              <w:t>约10000千卡/千克</w:t>
            </w:r>
          </w:p>
          <w:p w14:paraId="6ABE06B8">
            <w:pPr>
              <w:widowControl/>
              <w:spacing w:line="260" w:lineRule="exact"/>
              <w:jc w:val="left"/>
              <w:textAlignment w:val="center"/>
              <w:rPr>
                <w:kern w:val="0"/>
                <w:sz w:val="18"/>
                <w:szCs w:val="18"/>
              </w:rPr>
            </w:pPr>
            <w:r>
              <w:rPr>
                <w:kern w:val="0"/>
                <w:sz w:val="18"/>
                <w:szCs w:val="18"/>
              </w:rPr>
              <w:t>约10300千卡/千克</w:t>
            </w:r>
          </w:p>
          <w:p w14:paraId="0C91A32B">
            <w:pPr>
              <w:widowControl/>
              <w:spacing w:line="260" w:lineRule="exact"/>
              <w:jc w:val="left"/>
              <w:textAlignment w:val="center"/>
              <w:rPr>
                <w:kern w:val="0"/>
                <w:sz w:val="18"/>
                <w:szCs w:val="18"/>
              </w:rPr>
            </w:pPr>
            <w:r>
              <w:rPr>
                <w:kern w:val="0"/>
                <w:sz w:val="18"/>
                <w:szCs w:val="18"/>
              </w:rPr>
              <w:t>约10300千卡/千克</w:t>
            </w:r>
          </w:p>
          <w:p w14:paraId="4B04AA55">
            <w:pPr>
              <w:widowControl/>
              <w:spacing w:line="260" w:lineRule="exact"/>
              <w:jc w:val="left"/>
              <w:textAlignment w:val="center"/>
              <w:rPr>
                <w:kern w:val="0"/>
                <w:sz w:val="18"/>
                <w:szCs w:val="18"/>
              </w:rPr>
            </w:pPr>
            <w:r>
              <w:rPr>
                <w:kern w:val="0"/>
                <w:sz w:val="18"/>
                <w:szCs w:val="18"/>
              </w:rPr>
              <w:t>约10200千卡/千克</w:t>
            </w:r>
          </w:p>
          <w:p w14:paraId="28340087">
            <w:pPr>
              <w:widowControl/>
              <w:spacing w:line="260" w:lineRule="exact"/>
              <w:jc w:val="left"/>
              <w:textAlignment w:val="center"/>
              <w:rPr>
                <w:kern w:val="0"/>
                <w:sz w:val="18"/>
                <w:szCs w:val="18"/>
              </w:rPr>
            </w:pPr>
            <w:r>
              <w:rPr>
                <w:kern w:val="0"/>
                <w:sz w:val="18"/>
                <w:szCs w:val="18"/>
              </w:rPr>
              <w:t>约10000千卡/千克</w:t>
            </w:r>
          </w:p>
          <w:p w14:paraId="67AA0C8B">
            <w:pPr>
              <w:widowControl/>
              <w:spacing w:line="260" w:lineRule="exact"/>
              <w:jc w:val="left"/>
              <w:textAlignment w:val="center"/>
              <w:rPr>
                <w:kern w:val="0"/>
                <w:sz w:val="18"/>
                <w:szCs w:val="18"/>
              </w:rPr>
            </w:pPr>
            <w:r>
              <w:rPr>
                <w:kern w:val="0"/>
                <w:sz w:val="18"/>
                <w:szCs w:val="18"/>
              </w:rPr>
              <w:t>约12000千卡/千克</w:t>
            </w:r>
          </w:p>
          <w:p w14:paraId="117FDF64">
            <w:pPr>
              <w:spacing w:line="260" w:lineRule="exact"/>
              <w:jc w:val="left"/>
              <w:textAlignment w:val="center"/>
              <w:rPr>
                <w:kern w:val="0"/>
                <w:sz w:val="18"/>
                <w:szCs w:val="18"/>
              </w:rPr>
            </w:pPr>
            <w:r>
              <w:rPr>
                <w:kern w:val="0"/>
                <w:sz w:val="18"/>
                <w:szCs w:val="18"/>
              </w:rPr>
              <w:t>约11000千卡/千克</w:t>
            </w:r>
          </w:p>
          <w:p w14:paraId="23F3B7E4">
            <w:pPr>
              <w:spacing w:line="260" w:lineRule="exact"/>
              <w:jc w:val="left"/>
              <w:textAlignment w:val="center"/>
              <w:rPr>
                <w:kern w:val="0"/>
                <w:sz w:val="18"/>
                <w:szCs w:val="18"/>
              </w:rPr>
            </w:pPr>
            <w:r>
              <w:rPr>
                <w:kern w:val="0"/>
                <w:sz w:val="18"/>
                <w:szCs w:val="18"/>
              </w:rPr>
              <w:t>约10500千卡/千克</w:t>
            </w:r>
          </w:p>
          <w:p w14:paraId="40A48867">
            <w:pPr>
              <w:spacing w:line="260" w:lineRule="exact"/>
              <w:jc w:val="left"/>
              <w:textAlignment w:val="center"/>
              <w:rPr>
                <w:kern w:val="0"/>
                <w:sz w:val="18"/>
                <w:szCs w:val="18"/>
              </w:rPr>
            </w:pPr>
            <w:r>
              <w:rPr>
                <w:kern w:val="0"/>
                <w:sz w:val="18"/>
                <w:szCs w:val="18"/>
              </w:rPr>
              <w:t>约9900千卡/千克</w:t>
            </w:r>
          </w:p>
          <w:p w14:paraId="54A4B995">
            <w:pPr>
              <w:spacing w:line="260" w:lineRule="exact"/>
              <w:jc w:val="left"/>
              <w:textAlignment w:val="center"/>
              <w:rPr>
                <w:kern w:val="0"/>
                <w:sz w:val="18"/>
                <w:szCs w:val="18"/>
              </w:rPr>
            </w:pPr>
            <w:r>
              <w:rPr>
                <w:kern w:val="0"/>
                <w:sz w:val="18"/>
                <w:szCs w:val="18"/>
              </w:rPr>
              <w:t>约9550千卡/千克</w:t>
            </w:r>
          </w:p>
          <w:p w14:paraId="7FCAA1DA">
            <w:pPr>
              <w:spacing w:line="260" w:lineRule="exact"/>
              <w:jc w:val="left"/>
              <w:textAlignment w:val="center"/>
              <w:rPr>
                <w:kern w:val="0"/>
                <w:sz w:val="18"/>
                <w:szCs w:val="18"/>
              </w:rPr>
            </w:pPr>
            <w:r>
              <w:rPr>
                <w:kern w:val="0"/>
                <w:sz w:val="18"/>
                <w:szCs w:val="18"/>
              </w:rPr>
              <w:t>约10270千卡/千克</w:t>
            </w:r>
          </w:p>
          <w:p w14:paraId="699511F6">
            <w:pPr>
              <w:spacing w:line="260" w:lineRule="exact"/>
              <w:jc w:val="left"/>
              <w:textAlignment w:val="center"/>
              <w:rPr>
                <w:kern w:val="0"/>
                <w:sz w:val="18"/>
                <w:szCs w:val="18"/>
              </w:rPr>
            </w:pPr>
            <w:r>
              <w:rPr>
                <w:kern w:val="0"/>
                <w:sz w:val="18"/>
                <w:szCs w:val="18"/>
              </w:rPr>
              <w:t>约7640千卡/千克</w:t>
            </w:r>
          </w:p>
          <w:p w14:paraId="2B92A4B0">
            <w:pPr>
              <w:spacing w:line="260" w:lineRule="exact"/>
              <w:jc w:val="left"/>
              <w:textAlignment w:val="center"/>
              <w:rPr>
                <w:kern w:val="0"/>
                <w:sz w:val="18"/>
                <w:szCs w:val="18"/>
              </w:rPr>
            </w:pPr>
            <w:r>
              <w:rPr>
                <w:kern w:val="0"/>
                <w:sz w:val="18"/>
                <w:szCs w:val="18"/>
              </w:rPr>
              <w:t>约9310千卡/千克</w:t>
            </w:r>
          </w:p>
          <w:p w14:paraId="60015EE5">
            <w:pPr>
              <w:spacing w:line="260" w:lineRule="exact"/>
              <w:jc w:val="left"/>
              <w:textAlignment w:val="center"/>
              <w:rPr>
                <w:kern w:val="0"/>
                <w:sz w:val="18"/>
                <w:szCs w:val="18"/>
              </w:rPr>
            </w:pPr>
            <w:r>
              <w:rPr>
                <w:kern w:val="0"/>
                <w:sz w:val="18"/>
                <w:szCs w:val="18"/>
              </w:rPr>
              <w:t>约9800千卡/千克</w:t>
            </w:r>
          </w:p>
          <w:p w14:paraId="534BFE1E">
            <w:pPr>
              <w:spacing w:line="260" w:lineRule="exact"/>
              <w:jc w:val="center"/>
              <w:textAlignment w:val="center"/>
              <w:rPr>
                <w:kern w:val="0"/>
                <w:sz w:val="18"/>
                <w:szCs w:val="18"/>
              </w:rPr>
            </w:pPr>
            <w:r>
              <w:rPr>
                <w:b/>
                <w:bCs/>
                <w:kern w:val="0"/>
                <w:sz w:val="18"/>
                <w:szCs w:val="18"/>
              </w:rPr>
              <w:t>—</w:t>
            </w:r>
          </w:p>
          <w:p w14:paraId="23ABABE1">
            <w:pPr>
              <w:widowControl/>
              <w:spacing w:line="260" w:lineRule="exact"/>
              <w:jc w:val="left"/>
              <w:textAlignment w:val="center"/>
              <w:rPr>
                <w:kern w:val="0"/>
                <w:sz w:val="18"/>
                <w:szCs w:val="18"/>
              </w:rPr>
            </w:pPr>
            <w:r>
              <w:rPr>
                <w:kern w:val="0"/>
                <w:sz w:val="18"/>
                <w:szCs w:val="18"/>
              </w:rPr>
              <w:t>860千卡/千瓦时</w:t>
            </w:r>
          </w:p>
          <w:p w14:paraId="26D52C91">
            <w:pPr>
              <w:widowControl/>
              <w:spacing w:line="260" w:lineRule="exact"/>
              <w:jc w:val="left"/>
              <w:textAlignment w:val="center"/>
              <w:rPr>
                <w:kern w:val="0"/>
                <w:sz w:val="18"/>
                <w:szCs w:val="18"/>
              </w:rPr>
            </w:pPr>
            <w:r>
              <w:rPr>
                <w:kern w:val="0"/>
                <w:sz w:val="18"/>
                <w:szCs w:val="18"/>
              </w:rPr>
              <w:t>约2000千卡/千克</w:t>
            </w:r>
          </w:p>
          <w:p w14:paraId="41532605">
            <w:pPr>
              <w:widowControl/>
              <w:spacing w:line="260" w:lineRule="exact"/>
              <w:jc w:val="left"/>
              <w:textAlignment w:val="center"/>
              <w:rPr>
                <w:kern w:val="0"/>
                <w:sz w:val="18"/>
                <w:szCs w:val="18"/>
              </w:rPr>
            </w:pPr>
            <w:r>
              <w:rPr>
                <w:kern w:val="0"/>
                <w:sz w:val="18"/>
                <w:szCs w:val="18"/>
              </w:rPr>
              <w:t>约1900千卡/千克</w:t>
            </w:r>
          </w:p>
          <w:p w14:paraId="2961A7DA">
            <w:pPr>
              <w:spacing w:line="260" w:lineRule="exact"/>
              <w:jc w:val="left"/>
              <w:textAlignment w:val="center"/>
              <w:rPr>
                <w:kern w:val="0"/>
                <w:sz w:val="18"/>
                <w:szCs w:val="18"/>
              </w:rPr>
            </w:pPr>
            <w:r>
              <w:rPr>
                <w:kern w:val="0"/>
                <w:sz w:val="18"/>
                <w:szCs w:val="18"/>
              </w:rPr>
              <w:t>7000千卡/千克标准煤</w:t>
            </w:r>
          </w:p>
          <w:p w14:paraId="01BD8E3A">
            <w:pPr>
              <w:spacing w:line="260" w:lineRule="exact"/>
              <w:jc w:val="center"/>
              <w:textAlignment w:val="center"/>
              <w:rPr>
                <w:kern w:val="0"/>
                <w:sz w:val="18"/>
                <w:szCs w:val="18"/>
              </w:rPr>
            </w:pPr>
            <w:r>
              <w:rPr>
                <w:b/>
                <w:bCs/>
                <w:kern w:val="0"/>
                <w:sz w:val="18"/>
                <w:szCs w:val="18"/>
              </w:rPr>
              <w:t>—</w:t>
            </w:r>
          </w:p>
          <w:p w14:paraId="498827E4">
            <w:pPr>
              <w:widowControl/>
              <w:spacing w:line="260" w:lineRule="exact"/>
              <w:jc w:val="left"/>
              <w:textAlignment w:val="center"/>
              <w:rPr>
                <w:kern w:val="0"/>
                <w:sz w:val="18"/>
                <w:szCs w:val="18"/>
              </w:rPr>
            </w:pPr>
            <w:r>
              <w:rPr>
                <w:kern w:val="0"/>
                <w:sz w:val="18"/>
                <w:szCs w:val="18"/>
              </w:rPr>
              <w:t>约3000千卡/千克</w:t>
            </w:r>
          </w:p>
          <w:p w14:paraId="116DECBF">
            <w:pPr>
              <w:widowControl/>
              <w:spacing w:line="260" w:lineRule="exact"/>
              <w:jc w:val="left"/>
              <w:textAlignment w:val="center"/>
              <w:rPr>
                <w:kern w:val="0"/>
                <w:sz w:val="18"/>
                <w:szCs w:val="18"/>
              </w:rPr>
            </w:pPr>
            <w:r>
              <w:rPr>
                <w:kern w:val="0"/>
                <w:sz w:val="18"/>
                <w:szCs w:val="18"/>
              </w:rPr>
              <w:t>7000千卡/千克标准煤</w:t>
            </w:r>
          </w:p>
          <w:p w14:paraId="7D82FDA4">
            <w:pPr>
              <w:widowControl/>
              <w:spacing w:line="260" w:lineRule="exact"/>
              <w:jc w:val="center"/>
              <w:textAlignment w:val="center"/>
              <w:rPr>
                <w:kern w:val="0"/>
                <w:sz w:val="18"/>
                <w:szCs w:val="18"/>
              </w:rPr>
            </w:pPr>
            <w:r>
              <w:rPr>
                <w:b/>
                <w:bCs/>
                <w:kern w:val="0"/>
                <w:sz w:val="18"/>
                <w:szCs w:val="18"/>
              </w:rPr>
              <w:t>—</w:t>
            </w:r>
          </w:p>
        </w:tc>
      </w:tr>
    </w:tbl>
    <w:p w14:paraId="6BB31B28">
      <w:pPr>
        <w:spacing w:line="260" w:lineRule="exact"/>
        <w:ind w:right="-38"/>
        <w:rPr>
          <w:b/>
          <w:sz w:val="18"/>
          <w:szCs w:val="18"/>
        </w:rPr>
      </w:pPr>
    </w:p>
    <w:p w14:paraId="19018641">
      <w:pPr>
        <w:spacing w:line="280" w:lineRule="exact"/>
        <w:ind w:firstLine="360" w:firstLineChars="200"/>
        <w:rPr>
          <w:sz w:val="18"/>
          <w:szCs w:val="18"/>
        </w:rPr>
      </w:pPr>
    </w:p>
    <w:p w14:paraId="0F84791E">
      <w:pPr>
        <w:pageBreakBefore w:val="0"/>
        <w:spacing w:line="360" w:lineRule="exact"/>
        <w:ind w:firstLine="420" w:firstLineChars="200"/>
        <w:rPr>
          <w:rFonts w:hint="eastAsia" w:ascii="黑体" w:hAnsi="黑体" w:eastAsia="黑体" w:cs="黑体"/>
          <w:sz w:val="21"/>
          <w:szCs w:val="21"/>
        </w:rPr>
      </w:pPr>
      <w:r>
        <w:rPr>
          <w:rFonts w:hint="eastAsia" w:ascii="黑体" w:hAnsi="黑体" w:eastAsia="黑体" w:cs="黑体"/>
          <w:sz w:val="21"/>
          <w:szCs w:val="21"/>
          <w:lang w:val="en-US" w:eastAsia="zh-CN"/>
        </w:rPr>
        <w:t>填报目录</w:t>
      </w:r>
      <w:r>
        <w:rPr>
          <w:rFonts w:hint="eastAsia" w:ascii="黑体" w:hAnsi="黑体" w:eastAsia="黑体" w:cs="黑体"/>
          <w:sz w:val="21"/>
          <w:szCs w:val="21"/>
        </w:rPr>
        <w:t>说明：</w:t>
      </w:r>
    </w:p>
    <w:p w14:paraId="12721731">
      <w:pPr>
        <w:spacing w:line="360" w:lineRule="exact"/>
        <w:ind w:firstLine="420" w:firstLineChars="200"/>
        <w:rPr>
          <w:sz w:val="21"/>
          <w:szCs w:val="21"/>
        </w:rPr>
      </w:pPr>
      <w:r>
        <w:rPr>
          <w:sz w:val="21"/>
          <w:szCs w:val="21"/>
        </w:rPr>
        <w:t>1.原煤＝无烟煤＋炼焦烟煤＋一般烟煤＋褐煤。</w:t>
      </w:r>
    </w:p>
    <w:p w14:paraId="5AEE7E31">
      <w:pPr>
        <w:spacing w:line="360" w:lineRule="exact"/>
        <w:ind w:firstLine="420" w:firstLineChars="200"/>
        <w:rPr>
          <w:sz w:val="21"/>
          <w:szCs w:val="21"/>
        </w:rPr>
      </w:pPr>
      <w:r>
        <w:rPr>
          <w:sz w:val="21"/>
          <w:szCs w:val="21"/>
        </w:rPr>
        <w:t>2.能源合计＝∑能源品种×折标准煤系数</w:t>
      </w:r>
      <w:r>
        <w:rPr>
          <w:rFonts w:hint="eastAsia"/>
          <w:sz w:val="21"/>
          <w:szCs w:val="21"/>
        </w:rPr>
        <w:t>（</w:t>
      </w:r>
      <w:r>
        <w:rPr>
          <w:sz w:val="21"/>
          <w:szCs w:val="21"/>
        </w:rPr>
        <w:t>求和时不要重复计算其中项</w:t>
      </w:r>
      <w:r>
        <w:rPr>
          <w:kern w:val="0"/>
          <w:sz w:val="21"/>
          <w:szCs w:val="21"/>
        </w:rPr>
        <w:t>）</w:t>
      </w:r>
      <w:r>
        <w:rPr>
          <w:sz w:val="21"/>
          <w:szCs w:val="21"/>
        </w:rPr>
        <w:t>。</w:t>
      </w:r>
    </w:p>
    <w:p w14:paraId="18710249">
      <w:pPr>
        <w:spacing w:line="360" w:lineRule="exact"/>
        <w:ind w:firstLine="420" w:firstLineChars="200"/>
        <w:rPr>
          <w:sz w:val="21"/>
          <w:szCs w:val="21"/>
        </w:rPr>
      </w:pPr>
      <w:r>
        <w:rPr>
          <w:sz w:val="21"/>
          <w:szCs w:val="21"/>
        </w:rPr>
        <w:t>3.其他燃料是指代码01-38以外未列出的作为燃料使用的物质，按其发热量折算成</w:t>
      </w:r>
      <w:r>
        <w:rPr>
          <w:rFonts w:hint="eastAsia"/>
          <w:sz w:val="21"/>
          <w:szCs w:val="21"/>
        </w:rPr>
        <w:t>吨</w:t>
      </w:r>
      <w:r>
        <w:rPr>
          <w:sz w:val="21"/>
          <w:szCs w:val="21"/>
        </w:rPr>
        <w:t>标准煤统计。</w:t>
      </w:r>
    </w:p>
    <w:p w14:paraId="490E3CF9">
      <w:pPr>
        <w:spacing w:line="360" w:lineRule="exact"/>
        <w:ind w:right="-38" w:firstLine="420" w:firstLineChars="200"/>
        <w:rPr>
          <w:sz w:val="21"/>
          <w:szCs w:val="21"/>
        </w:rPr>
      </w:pPr>
      <w:r>
        <w:rPr>
          <w:bCs/>
          <w:sz w:val="21"/>
          <w:szCs w:val="21"/>
        </w:rPr>
        <w:t>4.几种产品的单位换算</w:t>
      </w:r>
      <w:r>
        <w:rPr>
          <w:sz w:val="21"/>
          <w:szCs w:val="21"/>
        </w:rPr>
        <w:t>：</w:t>
      </w:r>
    </w:p>
    <w:p w14:paraId="2F120AF5">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(1)1千克液化天然气</w:t>
      </w:r>
      <w:r>
        <w:rPr>
          <w:rFonts w:hint="default"/>
          <w:sz w:val="21"/>
          <w:szCs w:val="21"/>
          <w:lang w:val="en" w:eastAsia="zh-CN"/>
        </w:rPr>
        <w:t>≈</w:t>
      </w:r>
      <w:r>
        <w:rPr>
          <w:rFonts w:hint="eastAsia"/>
          <w:sz w:val="21"/>
          <w:szCs w:val="21"/>
          <w:lang w:val="en-US" w:eastAsia="zh-CN"/>
        </w:rPr>
        <w:t>1.38立方米天然气；1立方米天然气</w:t>
      </w:r>
      <w:r>
        <w:rPr>
          <w:rFonts w:hint="default"/>
          <w:sz w:val="21"/>
          <w:szCs w:val="21"/>
          <w:lang w:val="en" w:eastAsia="zh-CN"/>
        </w:rPr>
        <w:t>≈</w:t>
      </w:r>
      <w:r>
        <w:rPr>
          <w:rFonts w:hint="eastAsia"/>
          <w:sz w:val="21"/>
          <w:szCs w:val="21"/>
          <w:lang w:val="en-US" w:eastAsia="zh-CN"/>
        </w:rPr>
        <w:t>0.7256千克液化天然气</w:t>
      </w:r>
    </w:p>
    <w:p w14:paraId="04EC83D0">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(2)氢气，1立方米</w:t>
      </w:r>
      <w:r>
        <w:rPr>
          <w:rFonts w:hint="default"/>
          <w:sz w:val="21"/>
          <w:szCs w:val="21"/>
          <w:lang w:val="en" w:eastAsia="zh-CN"/>
        </w:rPr>
        <w:t>≈</w:t>
      </w:r>
      <w:r>
        <w:rPr>
          <w:rFonts w:hint="eastAsia"/>
          <w:sz w:val="21"/>
          <w:szCs w:val="21"/>
          <w:lang w:val="en-US" w:eastAsia="zh-CN"/>
        </w:rPr>
        <w:t>0.0899千克，1千克</w:t>
      </w:r>
      <w:r>
        <w:rPr>
          <w:rFonts w:hint="default"/>
          <w:sz w:val="21"/>
          <w:szCs w:val="21"/>
          <w:lang w:val="en" w:eastAsia="zh-CN"/>
        </w:rPr>
        <w:t>≈</w:t>
      </w:r>
      <w:r>
        <w:rPr>
          <w:rFonts w:hint="eastAsia"/>
          <w:sz w:val="21"/>
          <w:szCs w:val="21"/>
          <w:lang w:val="en-US" w:eastAsia="zh-CN"/>
        </w:rPr>
        <w:t>11.1235立方米</w:t>
      </w:r>
    </w:p>
    <w:p w14:paraId="7543F74B">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(3)汽油，1升</w:t>
      </w:r>
      <w:r>
        <w:rPr>
          <w:rFonts w:hint="default"/>
          <w:sz w:val="21"/>
          <w:szCs w:val="21"/>
          <w:lang w:val="en" w:eastAsia="zh-CN"/>
        </w:rPr>
        <w:t>≈</w:t>
      </w:r>
      <w:r>
        <w:rPr>
          <w:rFonts w:hint="eastAsia"/>
          <w:sz w:val="21"/>
          <w:szCs w:val="21"/>
          <w:lang w:val="en-US" w:eastAsia="zh-CN"/>
        </w:rPr>
        <w:t>0.73千克，1千克</w:t>
      </w:r>
      <w:r>
        <w:rPr>
          <w:rFonts w:hint="default"/>
          <w:sz w:val="21"/>
          <w:szCs w:val="21"/>
          <w:lang w:val="en" w:eastAsia="zh-CN"/>
        </w:rPr>
        <w:t>≈</w:t>
      </w:r>
      <w:r>
        <w:rPr>
          <w:rFonts w:hint="eastAsia"/>
          <w:sz w:val="21"/>
          <w:szCs w:val="21"/>
          <w:lang w:val="en-US" w:eastAsia="zh-CN"/>
        </w:rPr>
        <w:t>1.3699升</w:t>
      </w:r>
    </w:p>
    <w:p w14:paraId="2DA1F4B1">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(4)重柴油，1升</w:t>
      </w:r>
      <w:r>
        <w:rPr>
          <w:rFonts w:hint="default"/>
          <w:sz w:val="21"/>
          <w:szCs w:val="21"/>
          <w:lang w:val="en" w:eastAsia="zh-CN"/>
        </w:rPr>
        <w:t>≈</w:t>
      </w:r>
      <w:r>
        <w:rPr>
          <w:rFonts w:hint="eastAsia"/>
          <w:sz w:val="21"/>
          <w:szCs w:val="21"/>
          <w:lang w:val="en-US" w:eastAsia="zh-CN"/>
        </w:rPr>
        <w:t>0.92千克，1千克</w:t>
      </w:r>
      <w:r>
        <w:rPr>
          <w:rFonts w:hint="default"/>
          <w:sz w:val="21"/>
          <w:szCs w:val="21"/>
          <w:lang w:val="en" w:eastAsia="zh-CN"/>
        </w:rPr>
        <w:t>≈</w:t>
      </w:r>
      <w:r>
        <w:rPr>
          <w:rFonts w:hint="eastAsia"/>
          <w:sz w:val="21"/>
          <w:szCs w:val="21"/>
          <w:lang w:val="en-US" w:eastAsia="zh-CN"/>
        </w:rPr>
        <w:t>1.0870升</w:t>
      </w:r>
    </w:p>
    <w:p w14:paraId="4FE30CEE">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(5)轻柴油，1升</w:t>
      </w:r>
      <w:r>
        <w:rPr>
          <w:rFonts w:hint="default"/>
          <w:sz w:val="21"/>
          <w:szCs w:val="21"/>
          <w:lang w:val="en" w:eastAsia="zh-CN"/>
        </w:rPr>
        <w:t>≈</w:t>
      </w:r>
      <w:r>
        <w:rPr>
          <w:rFonts w:hint="eastAsia"/>
          <w:sz w:val="21"/>
          <w:szCs w:val="21"/>
          <w:lang w:val="en-US" w:eastAsia="zh-CN"/>
        </w:rPr>
        <w:t>0.86千克，1千克</w:t>
      </w:r>
      <w:r>
        <w:rPr>
          <w:rFonts w:hint="default"/>
          <w:sz w:val="21"/>
          <w:szCs w:val="21"/>
          <w:lang w:val="en" w:eastAsia="zh-CN"/>
        </w:rPr>
        <w:t>≈</w:t>
      </w:r>
      <w:r>
        <w:rPr>
          <w:rFonts w:hint="eastAsia"/>
          <w:sz w:val="21"/>
          <w:szCs w:val="21"/>
          <w:lang w:val="en-US" w:eastAsia="zh-CN"/>
        </w:rPr>
        <w:t>1.1628升</w:t>
      </w:r>
    </w:p>
    <w:p w14:paraId="0F9C72A9">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(6)煤油，1升</w:t>
      </w:r>
      <w:r>
        <w:rPr>
          <w:rFonts w:hint="default"/>
          <w:sz w:val="21"/>
          <w:szCs w:val="21"/>
          <w:lang w:val="en" w:eastAsia="zh-CN"/>
        </w:rPr>
        <w:t>≈</w:t>
      </w:r>
      <w:r>
        <w:rPr>
          <w:rFonts w:hint="eastAsia"/>
          <w:sz w:val="21"/>
          <w:szCs w:val="21"/>
          <w:lang w:val="en-US" w:eastAsia="zh-CN"/>
        </w:rPr>
        <w:t>0.82千克，1千克</w:t>
      </w:r>
      <w:r>
        <w:rPr>
          <w:rFonts w:hint="default"/>
          <w:sz w:val="21"/>
          <w:szCs w:val="21"/>
          <w:lang w:val="en" w:eastAsia="zh-CN"/>
        </w:rPr>
        <w:t>≈</w:t>
      </w:r>
      <w:r>
        <w:rPr>
          <w:rFonts w:hint="eastAsia"/>
          <w:sz w:val="21"/>
          <w:szCs w:val="21"/>
          <w:lang w:val="en-US" w:eastAsia="zh-CN"/>
        </w:rPr>
        <w:t>1.2195升</w:t>
      </w:r>
    </w:p>
    <w:p w14:paraId="5231EB6C">
      <w:pPr>
        <w:tabs>
          <w:tab w:val="left" w:pos="5430"/>
        </w:tabs>
        <w:adjustRightInd w:val="0"/>
        <w:spacing w:line="360" w:lineRule="exact"/>
        <w:ind w:left="0" w:leftChars="0" w:firstLine="420" w:firstLineChars="200"/>
        <w:textAlignment w:val="center"/>
        <w:rPr>
          <w:rFonts w:hint="eastAsia"/>
          <w:sz w:val="21"/>
          <w:szCs w:val="21"/>
          <w:lang w:val="en-US" w:eastAsia="zh-CN"/>
        </w:rPr>
      </w:pPr>
      <w:r>
        <w:rPr>
          <w:rFonts w:hint="eastAsia"/>
          <w:sz w:val="21"/>
          <w:szCs w:val="21"/>
          <w:lang w:val="en-US" w:eastAsia="zh-CN"/>
        </w:rPr>
        <w:t>(7)燃料油，1升</w:t>
      </w:r>
      <w:r>
        <w:rPr>
          <w:rFonts w:hint="default"/>
          <w:sz w:val="21"/>
          <w:szCs w:val="21"/>
          <w:lang w:val="en" w:eastAsia="zh-CN"/>
        </w:rPr>
        <w:t>≈</w:t>
      </w:r>
      <w:r>
        <w:rPr>
          <w:rFonts w:hint="eastAsia"/>
          <w:sz w:val="21"/>
          <w:szCs w:val="21"/>
          <w:lang w:val="en-US" w:eastAsia="zh-CN"/>
        </w:rPr>
        <w:t>0.91千克，1千克</w:t>
      </w:r>
      <w:r>
        <w:rPr>
          <w:rFonts w:hint="default"/>
          <w:sz w:val="21"/>
          <w:szCs w:val="21"/>
          <w:lang w:val="en" w:eastAsia="zh-CN"/>
        </w:rPr>
        <w:t>≈</w:t>
      </w:r>
      <w:r>
        <w:rPr>
          <w:rFonts w:hint="eastAsia"/>
          <w:sz w:val="21"/>
          <w:szCs w:val="21"/>
          <w:lang w:val="en-US" w:eastAsia="zh-CN"/>
        </w:rPr>
        <w:t>1.0990升</w:t>
      </w:r>
    </w:p>
    <w:p w14:paraId="5089E307">
      <w:pPr>
        <w:spacing w:line="360" w:lineRule="exact"/>
        <w:ind w:right="-38" w:firstLine="420" w:firstLineChars="200"/>
        <w:rPr>
          <w:sz w:val="21"/>
          <w:szCs w:val="21"/>
        </w:rPr>
      </w:pPr>
      <w:r>
        <w:rPr>
          <w:bCs/>
          <w:sz w:val="21"/>
          <w:szCs w:val="21"/>
        </w:rPr>
        <w:t>5.几种产品加工转换计算的规定</w:t>
      </w:r>
      <w:r>
        <w:rPr>
          <w:sz w:val="21"/>
          <w:szCs w:val="21"/>
        </w:rPr>
        <w:t>：</w:t>
      </w:r>
    </w:p>
    <w:p w14:paraId="34B60E8E">
      <w:pPr>
        <w:spacing w:line="360" w:lineRule="exact"/>
        <w:ind w:right="-38" w:firstLine="420" w:firstLineChars="200"/>
        <w:rPr>
          <w:sz w:val="21"/>
          <w:szCs w:val="21"/>
        </w:rPr>
      </w:pPr>
      <w:r>
        <w:rPr>
          <w:sz w:val="21"/>
          <w:szCs w:val="21"/>
        </w:rPr>
        <w:t>(1)天然气：企业购入天然气，添加一些其他成分后，又以天然气为产品进行销售，这种情况下不作加工转换计算，天然气消费量只计算加工过程中的损失部分</w:t>
      </w:r>
      <w:r>
        <w:rPr>
          <w:rFonts w:hint="eastAsia"/>
          <w:sz w:val="21"/>
          <w:szCs w:val="21"/>
        </w:rPr>
        <w:t>（</w:t>
      </w:r>
      <w:r>
        <w:rPr>
          <w:sz w:val="21"/>
          <w:szCs w:val="21"/>
        </w:rPr>
        <w:t>如果没有损失，则消费量为</w:t>
      </w:r>
      <w:r>
        <w:rPr>
          <w:rFonts w:hint="eastAsia"/>
          <w:sz w:val="21"/>
          <w:szCs w:val="21"/>
          <w:lang w:eastAsia="zh-CN"/>
        </w:rPr>
        <w:t>“</w:t>
      </w:r>
      <w:r>
        <w:rPr>
          <w:sz w:val="21"/>
          <w:szCs w:val="21"/>
        </w:rPr>
        <w:t>0</w:t>
      </w:r>
      <w:r>
        <w:rPr>
          <w:rFonts w:hint="eastAsia"/>
          <w:sz w:val="21"/>
          <w:szCs w:val="21"/>
          <w:lang w:eastAsia="zh-CN"/>
        </w:rPr>
        <w:t>”</w:t>
      </w:r>
      <w:r>
        <w:rPr>
          <w:kern w:val="0"/>
          <w:sz w:val="21"/>
          <w:szCs w:val="21"/>
        </w:rPr>
        <w:t>）</w:t>
      </w:r>
      <w:r>
        <w:rPr>
          <w:sz w:val="21"/>
          <w:szCs w:val="21"/>
        </w:rPr>
        <w:t>。</w:t>
      </w:r>
    </w:p>
    <w:p w14:paraId="2934298D">
      <w:pPr>
        <w:spacing w:line="360" w:lineRule="exact"/>
        <w:ind w:right="-38" w:firstLine="420" w:firstLineChars="200"/>
        <w:rPr>
          <w:sz w:val="21"/>
          <w:szCs w:val="21"/>
        </w:rPr>
      </w:pPr>
      <w:r>
        <w:rPr>
          <w:sz w:val="21"/>
          <w:szCs w:val="21"/>
        </w:rPr>
        <w:t>(2)成品油：企业购入某种成品油，添加一些其他成分后，又以这种成品油为产品进行销售</w:t>
      </w:r>
      <w:r>
        <w:rPr>
          <w:rFonts w:hint="eastAsia"/>
          <w:sz w:val="21"/>
          <w:szCs w:val="21"/>
        </w:rPr>
        <w:t>（</w:t>
      </w:r>
      <w:r>
        <w:rPr>
          <w:sz w:val="21"/>
          <w:szCs w:val="21"/>
        </w:rPr>
        <w:t>购入和销售的产品在统计上为同名称的产品</w:t>
      </w:r>
      <w:r>
        <w:rPr>
          <w:kern w:val="0"/>
          <w:sz w:val="21"/>
          <w:szCs w:val="21"/>
        </w:rPr>
        <w:t>）</w:t>
      </w:r>
      <w:r>
        <w:rPr>
          <w:sz w:val="21"/>
          <w:szCs w:val="21"/>
        </w:rPr>
        <w:t>，这种情况下不作加工转换计算，其消费量只计算加工过程中的损失部分</w:t>
      </w:r>
      <w:r>
        <w:rPr>
          <w:rFonts w:hint="eastAsia"/>
          <w:sz w:val="21"/>
          <w:szCs w:val="21"/>
        </w:rPr>
        <w:t>（</w:t>
      </w:r>
      <w:r>
        <w:rPr>
          <w:sz w:val="21"/>
          <w:szCs w:val="21"/>
        </w:rPr>
        <w:t>如果没有损失，则消费量为</w:t>
      </w:r>
      <w:r>
        <w:rPr>
          <w:rFonts w:hint="eastAsia"/>
          <w:sz w:val="21"/>
          <w:szCs w:val="21"/>
          <w:lang w:eastAsia="zh-CN"/>
        </w:rPr>
        <w:t>“</w:t>
      </w:r>
      <w:r>
        <w:rPr>
          <w:sz w:val="21"/>
          <w:szCs w:val="21"/>
        </w:rPr>
        <w:t>0</w:t>
      </w:r>
      <w:r>
        <w:rPr>
          <w:rFonts w:hint="eastAsia"/>
          <w:sz w:val="21"/>
          <w:szCs w:val="21"/>
          <w:lang w:eastAsia="zh-CN"/>
        </w:rPr>
        <w:t>”</w:t>
      </w:r>
      <w:r>
        <w:rPr>
          <w:bCs/>
          <w:sz w:val="21"/>
          <w:szCs w:val="21"/>
        </w:rPr>
        <w:t>）</w:t>
      </w:r>
      <w:r>
        <w:rPr>
          <w:sz w:val="21"/>
          <w:szCs w:val="21"/>
        </w:rPr>
        <w:t>。但是企业购入某种成品油，经过某种生产工艺加工成另外一种产品，比如将重油加工成汽油、煤油等轻质油或其他石油制品，这种情况应视作加工转换，并按照能源加工转换的统计规定，填报相应产品的投入量和产出量。</w:t>
      </w:r>
    </w:p>
    <w:p w14:paraId="7469B53C">
      <w:pPr>
        <w:spacing w:line="360" w:lineRule="exact"/>
        <w:ind w:right="-38" w:firstLine="420" w:firstLineChars="200"/>
        <w:rPr>
          <w:sz w:val="21"/>
          <w:szCs w:val="21"/>
        </w:rPr>
      </w:pPr>
      <w:r>
        <w:rPr>
          <w:sz w:val="21"/>
          <w:szCs w:val="21"/>
        </w:rPr>
        <w:t>(3)蓄能发电：企业用电力进行抽水蓄能，再用蓄水发电，这种情况不应视作能源加工转换。企业电力消费只填报抽水用电和蓄水发电的差额部分以及与抽水蓄能发电没有直接关系的企业其他用电。</w:t>
      </w:r>
    </w:p>
    <w:p w14:paraId="316375C5">
      <w:pPr>
        <w:spacing w:line="360" w:lineRule="exact"/>
        <w:ind w:right="-38" w:firstLine="420" w:firstLineChars="200"/>
        <w:rPr>
          <w:bCs/>
          <w:sz w:val="21"/>
          <w:szCs w:val="21"/>
        </w:rPr>
      </w:pPr>
      <w:r>
        <w:rPr>
          <w:bCs/>
          <w:sz w:val="21"/>
          <w:szCs w:val="21"/>
        </w:rPr>
        <w:t>6.主要指标解释：</w:t>
      </w:r>
    </w:p>
    <w:p w14:paraId="2327E525">
      <w:pPr>
        <w:spacing w:line="360" w:lineRule="exact"/>
        <w:ind w:right="-38" w:firstLine="420" w:firstLineChars="200"/>
        <w:rPr>
          <w:bCs/>
          <w:sz w:val="21"/>
          <w:szCs w:val="21"/>
        </w:rPr>
      </w:pPr>
      <w:r>
        <w:rPr>
          <w:bCs/>
          <w:sz w:val="21"/>
          <w:szCs w:val="21"/>
        </w:rPr>
        <w:t>其他焦化产品</w:t>
      </w:r>
      <w:r>
        <w:rPr>
          <w:rFonts w:hint="eastAsia"/>
          <w:bCs/>
          <w:sz w:val="21"/>
          <w:szCs w:val="21"/>
        </w:rPr>
        <w:t>：</w:t>
      </w:r>
      <w:r>
        <w:rPr>
          <w:bCs/>
          <w:sz w:val="21"/>
          <w:szCs w:val="21"/>
        </w:rPr>
        <w:t>指在炼焦过程中，除焦炭、焦炉煤气以外产生的其他副产品，如煤焦油、粗苯等。炼焦的产品很多，目录中只列出了焦炭、焦炉煤气这两个品种，统计时为了简化，把除这两个品种以外的其他炼焦副产品归并在</w:t>
      </w:r>
      <w:r>
        <w:rPr>
          <w:rFonts w:hint="eastAsia"/>
          <w:bCs/>
          <w:sz w:val="21"/>
          <w:szCs w:val="21"/>
          <w:lang w:eastAsia="zh-CN"/>
        </w:rPr>
        <w:t>“</w:t>
      </w:r>
      <w:r>
        <w:rPr>
          <w:bCs/>
          <w:sz w:val="21"/>
          <w:szCs w:val="21"/>
        </w:rPr>
        <w:t>其他焦化产品</w:t>
      </w:r>
      <w:r>
        <w:rPr>
          <w:rFonts w:hint="eastAsia"/>
          <w:bCs/>
          <w:sz w:val="21"/>
          <w:szCs w:val="21"/>
          <w:lang w:eastAsia="zh-CN"/>
        </w:rPr>
        <w:t>”</w:t>
      </w:r>
      <w:r>
        <w:rPr>
          <w:bCs/>
          <w:sz w:val="21"/>
          <w:szCs w:val="21"/>
        </w:rPr>
        <w:t>一个目录下一起填报。</w:t>
      </w:r>
    </w:p>
    <w:p w14:paraId="1F846280">
      <w:pPr>
        <w:spacing w:line="360" w:lineRule="exact"/>
        <w:ind w:right="-38" w:firstLine="420" w:firstLineChars="200"/>
        <w:rPr>
          <w:bCs/>
          <w:sz w:val="21"/>
          <w:szCs w:val="21"/>
        </w:rPr>
      </w:pPr>
      <w:r>
        <w:rPr>
          <w:rFonts w:hint="eastAsia"/>
          <w:bCs/>
          <w:sz w:val="21"/>
          <w:szCs w:val="21"/>
        </w:rPr>
        <w:t>高炉煤气</w:t>
      </w:r>
      <w:r>
        <w:rPr>
          <w:bCs/>
          <w:sz w:val="21"/>
          <w:szCs w:val="21"/>
        </w:rPr>
        <w:t>：</w:t>
      </w:r>
      <w:r>
        <w:rPr>
          <w:rFonts w:hint="eastAsia"/>
          <w:bCs/>
          <w:sz w:val="21"/>
          <w:szCs w:val="21"/>
        </w:rPr>
        <w:t>指炼铁过程中从高炉炉顶逸出的可燃性气体，是炼铁过程的副产品；其理论燃烧温度约为1400—1500℃，含有大量粉尘（约60—80克</w:t>
      </w:r>
      <w:r>
        <w:rPr>
          <w:rFonts w:hint="default"/>
          <w:bCs/>
          <w:sz w:val="21"/>
          <w:szCs w:val="21"/>
          <w:lang w:val="en"/>
        </w:rPr>
        <w:t>/</w:t>
      </w:r>
      <w:r>
        <w:rPr>
          <w:rFonts w:hint="eastAsia"/>
          <w:bCs/>
          <w:sz w:val="21"/>
          <w:szCs w:val="21"/>
        </w:rPr>
        <w:t>立方米），所以需要除尘处理，并在可能的情况下将其和空气预热以提高燃烧温度。据统计，高炉每消耗1吨焦炭约可产出3800—4000立方米高炉煤气（约有60</w:t>
      </w:r>
      <w:r>
        <w:rPr>
          <w:rFonts w:hint="eastAsia"/>
          <w:bCs/>
          <w:sz w:val="21"/>
          <w:szCs w:val="21"/>
          <w:lang w:eastAsia="zh-CN"/>
        </w:rPr>
        <w:t>%</w:t>
      </w:r>
      <w:r>
        <w:rPr>
          <w:rFonts w:hint="eastAsia"/>
          <w:bCs/>
          <w:sz w:val="21"/>
          <w:szCs w:val="21"/>
        </w:rPr>
        <w:t>的燃料转变为高炉煤气）。在冶金联合企业，它主要用于焦炉，以及与焦炉煤气混合用作发电或其他燃料。</w:t>
      </w:r>
    </w:p>
    <w:p w14:paraId="1664CF4E">
      <w:pPr>
        <w:spacing w:line="360" w:lineRule="exact"/>
        <w:ind w:right="-38" w:firstLine="420" w:firstLineChars="200"/>
        <w:rPr>
          <w:bCs/>
          <w:sz w:val="21"/>
          <w:szCs w:val="21"/>
        </w:rPr>
      </w:pPr>
      <w:r>
        <w:rPr>
          <w:bCs/>
          <w:sz w:val="21"/>
          <w:szCs w:val="21"/>
        </w:rPr>
        <w:t>转炉煤气</w:t>
      </w:r>
      <w:r>
        <w:rPr>
          <w:rFonts w:hint="eastAsia"/>
          <w:bCs/>
          <w:sz w:val="21"/>
          <w:szCs w:val="21"/>
        </w:rPr>
        <w:t>：</w:t>
      </w:r>
      <w:r>
        <w:rPr>
          <w:bCs/>
          <w:sz w:val="21"/>
          <w:szCs w:val="21"/>
        </w:rPr>
        <w:t>指转炉炼钢过程中，铁水中的碳在高温下和吹入的氧生成一氧化碳和少量二氧化碳的混合气体。</w:t>
      </w:r>
    </w:p>
    <w:p w14:paraId="05CAF69B">
      <w:pPr>
        <w:spacing w:line="360" w:lineRule="exact"/>
        <w:ind w:right="-38" w:firstLine="420" w:firstLineChars="200"/>
        <w:rPr>
          <w:bCs/>
          <w:sz w:val="21"/>
          <w:szCs w:val="21"/>
        </w:rPr>
      </w:pPr>
      <w:r>
        <w:rPr>
          <w:rFonts w:hint="eastAsia"/>
          <w:bCs/>
          <w:sz w:val="21"/>
          <w:szCs w:val="21"/>
        </w:rPr>
        <w:t>其他煤气</w:t>
      </w:r>
      <w:r>
        <w:rPr>
          <w:bCs/>
          <w:sz w:val="21"/>
          <w:szCs w:val="21"/>
        </w:rPr>
        <w:t>：指焦炉煤气、高炉煤气、转炉煤气之外的</w:t>
      </w:r>
      <w:r>
        <w:rPr>
          <w:rFonts w:hint="eastAsia"/>
          <w:bCs/>
          <w:sz w:val="21"/>
          <w:szCs w:val="21"/>
        </w:rPr>
        <w:t>可燃</w:t>
      </w:r>
      <w:r>
        <w:rPr>
          <w:bCs/>
          <w:sz w:val="21"/>
          <w:szCs w:val="21"/>
        </w:rPr>
        <w:t>煤气，如</w:t>
      </w:r>
      <w:r>
        <w:rPr>
          <w:rFonts w:hint="eastAsia"/>
          <w:bCs/>
          <w:sz w:val="21"/>
          <w:szCs w:val="21"/>
        </w:rPr>
        <w:t>：</w:t>
      </w:r>
      <w:r>
        <w:rPr>
          <w:bCs/>
          <w:sz w:val="21"/>
          <w:szCs w:val="21"/>
        </w:rPr>
        <w:t>发生炉煤气、电石炉煤气等。</w:t>
      </w:r>
    </w:p>
    <w:p w14:paraId="1C7748A3">
      <w:pPr>
        <w:spacing w:line="360" w:lineRule="exact"/>
        <w:ind w:right="-38" w:firstLine="420" w:firstLineChars="200"/>
        <w:rPr>
          <w:bCs/>
          <w:sz w:val="21"/>
          <w:szCs w:val="21"/>
        </w:rPr>
      </w:pPr>
      <w:r>
        <w:rPr>
          <w:bCs/>
          <w:sz w:val="21"/>
          <w:szCs w:val="21"/>
        </w:rPr>
        <w:t>热力</w:t>
      </w:r>
      <w:r>
        <w:rPr>
          <w:rFonts w:hint="eastAsia"/>
          <w:bCs/>
          <w:sz w:val="21"/>
          <w:szCs w:val="21"/>
        </w:rPr>
        <w:t>：</w:t>
      </w:r>
      <w:r>
        <w:rPr>
          <w:bCs/>
          <w:sz w:val="21"/>
          <w:szCs w:val="21"/>
        </w:rPr>
        <w:t>指可提供热源的热水、蒸汽。</w:t>
      </w:r>
    </w:p>
    <w:p w14:paraId="78603782">
      <w:pPr>
        <w:spacing w:line="360" w:lineRule="exact"/>
        <w:ind w:right="-38" w:firstLine="420" w:firstLineChars="200"/>
        <w:rPr>
          <w:bCs/>
          <w:sz w:val="21"/>
          <w:szCs w:val="21"/>
        </w:rPr>
      </w:pPr>
      <w:r>
        <w:rPr>
          <w:bCs/>
          <w:sz w:val="21"/>
          <w:szCs w:val="21"/>
        </w:rPr>
        <w:t>热力的计算：蒸汽和热水的热力计算，与锅炉出口蒸汽、热水的温度和压力有关，计算方法：</w:t>
      </w:r>
    </w:p>
    <w:p w14:paraId="1AA24247">
      <w:pPr>
        <w:spacing w:line="360" w:lineRule="exact"/>
        <w:ind w:right="-38" w:firstLine="420" w:firstLineChars="200"/>
        <w:rPr>
          <w:bCs/>
          <w:sz w:val="21"/>
          <w:szCs w:val="21"/>
        </w:rPr>
      </w:pPr>
      <w:r>
        <w:rPr>
          <w:bCs/>
          <w:sz w:val="21"/>
          <w:szCs w:val="21"/>
        </w:rPr>
        <w:t>第一步：确定锅炉出口蒸汽和热水的温度和压力，根据温度和压力值，在焓熵图</w:t>
      </w:r>
      <w:bookmarkStart w:id="1" w:name="OLE_LINK2"/>
      <w:bookmarkStart w:id="2" w:name="OLE_LINK4"/>
      <w:r>
        <w:rPr>
          <w:rFonts w:hint="eastAsia"/>
          <w:sz w:val="21"/>
          <w:szCs w:val="21"/>
        </w:rPr>
        <w:t>（</w:t>
      </w:r>
      <w:bookmarkEnd w:id="1"/>
      <w:bookmarkEnd w:id="2"/>
      <w:r>
        <w:rPr>
          <w:bCs/>
          <w:sz w:val="21"/>
          <w:szCs w:val="21"/>
        </w:rPr>
        <w:t>表</w:t>
      </w:r>
      <w:r>
        <w:rPr>
          <w:kern w:val="0"/>
          <w:sz w:val="21"/>
          <w:szCs w:val="21"/>
        </w:rPr>
        <w:t>）</w:t>
      </w:r>
      <w:r>
        <w:rPr>
          <w:bCs/>
          <w:sz w:val="21"/>
          <w:szCs w:val="21"/>
        </w:rPr>
        <w:t>查出对应的每千克蒸汽、热水的热焓；</w:t>
      </w:r>
    </w:p>
    <w:p w14:paraId="2DFC5417">
      <w:pPr>
        <w:spacing w:line="360" w:lineRule="exact"/>
        <w:ind w:right="-38" w:firstLine="420" w:firstLineChars="200"/>
        <w:rPr>
          <w:bCs/>
          <w:sz w:val="21"/>
          <w:szCs w:val="21"/>
        </w:rPr>
      </w:pPr>
      <w:r>
        <w:rPr>
          <w:bCs/>
          <w:sz w:val="21"/>
          <w:szCs w:val="21"/>
        </w:rPr>
        <w:t>第二步：确定锅炉给水</w:t>
      </w:r>
      <w:r>
        <w:rPr>
          <w:rFonts w:hint="eastAsia"/>
          <w:sz w:val="21"/>
          <w:szCs w:val="21"/>
        </w:rPr>
        <w:t>（</w:t>
      </w:r>
      <w:r>
        <w:rPr>
          <w:bCs/>
          <w:sz w:val="21"/>
          <w:szCs w:val="21"/>
        </w:rPr>
        <w:t>或回水</w:t>
      </w:r>
      <w:r>
        <w:rPr>
          <w:kern w:val="0"/>
          <w:sz w:val="21"/>
          <w:szCs w:val="21"/>
        </w:rPr>
        <w:t>）</w:t>
      </w:r>
      <w:r>
        <w:rPr>
          <w:bCs/>
          <w:sz w:val="21"/>
          <w:szCs w:val="21"/>
        </w:rPr>
        <w:t>的温度和压力，根据温度和压力值，在焓熵图</w:t>
      </w:r>
      <w:r>
        <w:rPr>
          <w:rFonts w:hint="eastAsia"/>
          <w:sz w:val="21"/>
          <w:szCs w:val="21"/>
        </w:rPr>
        <w:t>（</w:t>
      </w:r>
      <w:r>
        <w:rPr>
          <w:bCs/>
          <w:sz w:val="21"/>
          <w:szCs w:val="21"/>
        </w:rPr>
        <w:t>表</w:t>
      </w:r>
      <w:r>
        <w:rPr>
          <w:kern w:val="0"/>
          <w:sz w:val="21"/>
          <w:szCs w:val="21"/>
        </w:rPr>
        <w:t>）</w:t>
      </w:r>
      <w:r>
        <w:rPr>
          <w:bCs/>
          <w:sz w:val="21"/>
          <w:szCs w:val="21"/>
        </w:rPr>
        <w:t>查出对应的每千克给水</w:t>
      </w:r>
      <w:r>
        <w:rPr>
          <w:rFonts w:hint="eastAsia"/>
          <w:sz w:val="21"/>
          <w:szCs w:val="21"/>
        </w:rPr>
        <w:t>（</w:t>
      </w:r>
      <w:r>
        <w:rPr>
          <w:bCs/>
          <w:sz w:val="21"/>
          <w:szCs w:val="21"/>
        </w:rPr>
        <w:t>或回水</w:t>
      </w:r>
      <w:r>
        <w:rPr>
          <w:kern w:val="0"/>
          <w:sz w:val="21"/>
          <w:szCs w:val="21"/>
        </w:rPr>
        <w:t>）</w:t>
      </w:r>
      <w:r>
        <w:rPr>
          <w:bCs/>
          <w:sz w:val="21"/>
          <w:szCs w:val="21"/>
        </w:rPr>
        <w:t>的热焓；</w:t>
      </w:r>
    </w:p>
    <w:p w14:paraId="5BC3014C">
      <w:pPr>
        <w:spacing w:line="360" w:lineRule="exact"/>
        <w:ind w:right="-38" w:firstLine="420" w:firstLineChars="200"/>
        <w:rPr>
          <w:bCs/>
          <w:sz w:val="21"/>
          <w:szCs w:val="21"/>
        </w:rPr>
      </w:pPr>
      <w:r>
        <w:rPr>
          <w:bCs/>
          <w:sz w:val="21"/>
          <w:szCs w:val="21"/>
        </w:rPr>
        <w:t>第三步：求第一步和第二步查出的热焓之差，再乘以蒸汽或热水的数量</w:t>
      </w:r>
      <w:r>
        <w:rPr>
          <w:rFonts w:hint="eastAsia"/>
          <w:sz w:val="21"/>
          <w:szCs w:val="21"/>
        </w:rPr>
        <w:t>（</w:t>
      </w:r>
      <w:r>
        <w:rPr>
          <w:bCs/>
          <w:sz w:val="21"/>
          <w:szCs w:val="21"/>
        </w:rPr>
        <w:t>按流量表读数计算</w:t>
      </w:r>
      <w:r>
        <w:rPr>
          <w:kern w:val="0"/>
          <w:sz w:val="21"/>
          <w:szCs w:val="21"/>
        </w:rPr>
        <w:t>）</w:t>
      </w:r>
      <w:r>
        <w:rPr>
          <w:bCs/>
          <w:sz w:val="21"/>
          <w:szCs w:val="21"/>
        </w:rPr>
        <w:t>，所得值即为热力的量。</w:t>
      </w:r>
    </w:p>
    <w:p w14:paraId="539B5938">
      <w:pPr>
        <w:spacing w:line="360" w:lineRule="exact"/>
        <w:ind w:right="-38"/>
        <w:rPr>
          <w:bCs/>
          <w:sz w:val="21"/>
          <w:szCs w:val="21"/>
        </w:rPr>
      </w:pPr>
      <w:r>
        <w:rPr>
          <w:bCs/>
          <w:sz w:val="21"/>
          <w:szCs w:val="21"/>
        </w:rPr>
        <w:t>如果企业不具备上述计算热力的条件，可参考下列方法估算：</w:t>
      </w:r>
    </w:p>
    <w:p w14:paraId="6058083F">
      <w:pPr>
        <w:spacing w:line="360" w:lineRule="exact"/>
        <w:ind w:right="-38" w:firstLine="420" w:firstLineChars="200"/>
        <w:rPr>
          <w:bCs/>
          <w:sz w:val="21"/>
          <w:szCs w:val="21"/>
        </w:rPr>
      </w:pPr>
      <w:r>
        <w:rPr>
          <w:rFonts w:hint="eastAsia"/>
          <w:bCs/>
          <w:sz w:val="21"/>
          <w:szCs w:val="21"/>
        </w:rPr>
        <w:t>首先</w:t>
      </w:r>
      <w:r>
        <w:rPr>
          <w:rFonts w:hint="eastAsia"/>
          <w:bCs/>
          <w:sz w:val="21"/>
          <w:szCs w:val="21"/>
          <w:lang w:eastAsia="zh-CN"/>
        </w:rPr>
        <w:t>，</w:t>
      </w:r>
      <w:r>
        <w:rPr>
          <w:bCs/>
          <w:sz w:val="21"/>
          <w:szCs w:val="21"/>
        </w:rPr>
        <w:t>确定锅炉蒸汽或热水的产量。产量</w:t>
      </w:r>
      <w:r>
        <w:rPr>
          <w:rFonts w:hint="eastAsia"/>
          <w:bCs/>
          <w:sz w:val="21"/>
          <w:szCs w:val="21"/>
        </w:rPr>
        <w:t>＝</w:t>
      </w:r>
      <w:r>
        <w:rPr>
          <w:bCs/>
          <w:sz w:val="21"/>
          <w:szCs w:val="21"/>
        </w:rPr>
        <w:t>锅炉的给水量</w:t>
      </w:r>
      <w:r>
        <w:rPr>
          <w:rFonts w:hint="eastAsia"/>
          <w:bCs/>
          <w:sz w:val="21"/>
          <w:szCs w:val="21"/>
        </w:rPr>
        <w:t>－</w:t>
      </w:r>
      <w:r>
        <w:rPr>
          <w:bCs/>
          <w:sz w:val="21"/>
          <w:szCs w:val="21"/>
        </w:rPr>
        <w:t>排污等损失量；</w:t>
      </w:r>
    </w:p>
    <w:p w14:paraId="43A086B1">
      <w:pPr>
        <w:spacing w:line="360" w:lineRule="exact"/>
        <w:ind w:right="-38" w:firstLine="420" w:firstLineChars="200"/>
        <w:rPr>
          <w:bCs/>
          <w:sz w:val="21"/>
          <w:szCs w:val="21"/>
        </w:rPr>
      </w:pPr>
      <w:r>
        <w:rPr>
          <w:rFonts w:hint="eastAsia"/>
          <w:bCs/>
          <w:sz w:val="21"/>
          <w:szCs w:val="21"/>
        </w:rPr>
        <w:t>然后</w:t>
      </w:r>
      <w:r>
        <w:rPr>
          <w:rFonts w:hint="eastAsia"/>
          <w:bCs/>
          <w:sz w:val="21"/>
          <w:szCs w:val="21"/>
          <w:lang w:eastAsia="zh-CN"/>
        </w:rPr>
        <w:t>，</w:t>
      </w:r>
      <w:r>
        <w:rPr>
          <w:bCs/>
          <w:sz w:val="21"/>
          <w:szCs w:val="21"/>
        </w:rPr>
        <w:t>确定蒸汽或热水的热焓。热焓的确定分以下几种情况：</w:t>
      </w:r>
    </w:p>
    <w:p w14:paraId="36AA1039">
      <w:pPr>
        <w:spacing w:line="360" w:lineRule="exact"/>
        <w:ind w:right="-38" w:firstLine="420" w:firstLineChars="200"/>
        <w:rPr>
          <w:bCs/>
          <w:sz w:val="21"/>
          <w:szCs w:val="21"/>
        </w:rPr>
      </w:pPr>
      <w:r>
        <w:rPr>
          <w:bCs/>
          <w:sz w:val="21"/>
          <w:szCs w:val="21"/>
        </w:rPr>
        <w:t>(1)热水：假定出口温度为90℃，回水温度为20℃的情况下</w:t>
      </w:r>
      <w:r>
        <w:rPr>
          <w:rFonts w:hint="eastAsia"/>
          <w:bCs/>
          <w:sz w:val="21"/>
          <w:szCs w:val="21"/>
          <w:lang w:eastAsia="zh-CN"/>
        </w:rPr>
        <w:t>，</w:t>
      </w:r>
      <w:r>
        <w:rPr>
          <w:bCs/>
          <w:sz w:val="21"/>
          <w:szCs w:val="21"/>
        </w:rPr>
        <w:t>闭路循环系统每千克热水的热焓按20千卡计算</w:t>
      </w:r>
      <w:r>
        <w:rPr>
          <w:rFonts w:hint="eastAsia"/>
          <w:bCs/>
          <w:sz w:val="21"/>
          <w:szCs w:val="21"/>
          <w:lang w:eastAsia="zh-CN"/>
        </w:rPr>
        <w:t>，</w:t>
      </w:r>
      <w:r>
        <w:rPr>
          <w:bCs/>
          <w:sz w:val="21"/>
          <w:szCs w:val="21"/>
        </w:rPr>
        <w:t>开路供热系统每千克热水的热焓按70千卡计算。</w:t>
      </w:r>
    </w:p>
    <w:p w14:paraId="02EE6C6D">
      <w:pPr>
        <w:spacing w:line="360" w:lineRule="exact"/>
        <w:ind w:right="-38" w:firstLine="420" w:firstLineChars="200"/>
        <w:rPr>
          <w:bCs/>
          <w:sz w:val="21"/>
          <w:szCs w:val="21"/>
        </w:rPr>
      </w:pPr>
      <w:r>
        <w:rPr>
          <w:bCs/>
          <w:sz w:val="21"/>
          <w:szCs w:val="21"/>
        </w:rPr>
        <w:t>(2)饱和蒸汽：</w:t>
      </w:r>
    </w:p>
    <w:p w14:paraId="46D632C5">
      <w:pPr>
        <w:spacing w:line="360" w:lineRule="exact"/>
        <w:ind w:right="-38" w:firstLine="420" w:firstLineChars="200"/>
        <w:rPr>
          <w:bCs/>
          <w:sz w:val="21"/>
          <w:szCs w:val="21"/>
        </w:rPr>
      </w:pPr>
      <w:r>
        <w:rPr>
          <w:bCs/>
          <w:sz w:val="21"/>
          <w:szCs w:val="21"/>
        </w:rPr>
        <w:t>压力1-2.5千克/平方厘米，温度127℃以下，每千克蒸汽的热焓按620千卡计算；</w:t>
      </w:r>
    </w:p>
    <w:p w14:paraId="08ABC0C2">
      <w:pPr>
        <w:spacing w:line="360" w:lineRule="exact"/>
        <w:ind w:right="-38" w:firstLine="420" w:firstLineChars="200"/>
        <w:rPr>
          <w:bCs/>
          <w:sz w:val="21"/>
          <w:szCs w:val="21"/>
        </w:rPr>
      </w:pPr>
      <w:r>
        <w:rPr>
          <w:bCs/>
          <w:sz w:val="21"/>
          <w:szCs w:val="21"/>
        </w:rPr>
        <w:t>压力3-7千克/平方厘米，温度135-165℃，每千克蒸汽的热焓按630千卡计算；</w:t>
      </w:r>
    </w:p>
    <w:p w14:paraId="7AF8EBE1">
      <w:pPr>
        <w:spacing w:line="360" w:lineRule="exact"/>
        <w:ind w:right="-38" w:firstLine="420" w:firstLineChars="200"/>
        <w:rPr>
          <w:bCs/>
          <w:sz w:val="21"/>
          <w:szCs w:val="21"/>
        </w:rPr>
      </w:pPr>
      <w:r>
        <w:rPr>
          <w:bCs/>
          <w:sz w:val="21"/>
          <w:szCs w:val="21"/>
        </w:rPr>
        <w:t>压力8千克/平方厘米，温度170℃以上，每千克蒸汽的热焓按640千卡计算。</w:t>
      </w:r>
    </w:p>
    <w:p w14:paraId="05C6A743">
      <w:pPr>
        <w:spacing w:line="360" w:lineRule="exact"/>
        <w:ind w:right="-38" w:firstLine="420" w:firstLineChars="200"/>
        <w:rPr>
          <w:bCs/>
          <w:sz w:val="21"/>
          <w:szCs w:val="21"/>
        </w:rPr>
      </w:pPr>
      <w:r>
        <w:rPr>
          <w:bCs/>
          <w:sz w:val="21"/>
          <w:szCs w:val="21"/>
        </w:rPr>
        <w:t>(3)过热蒸汽：压力150千克/平方厘米</w:t>
      </w:r>
    </w:p>
    <w:p w14:paraId="5A4C8A27">
      <w:pPr>
        <w:spacing w:line="360" w:lineRule="exact"/>
        <w:ind w:right="-38" w:firstLine="420" w:firstLineChars="200"/>
        <w:rPr>
          <w:bCs/>
          <w:sz w:val="21"/>
          <w:szCs w:val="21"/>
        </w:rPr>
      </w:pPr>
      <w:r>
        <w:rPr>
          <w:bCs/>
          <w:sz w:val="21"/>
          <w:szCs w:val="21"/>
        </w:rPr>
        <w:t>200℃以下，每千克蒸汽的热焓按650千卡计算；</w:t>
      </w:r>
    </w:p>
    <w:p w14:paraId="48B49A6A">
      <w:pPr>
        <w:spacing w:line="360" w:lineRule="exact"/>
        <w:ind w:right="-38" w:firstLine="420" w:firstLineChars="200"/>
        <w:rPr>
          <w:bCs/>
          <w:sz w:val="21"/>
          <w:szCs w:val="21"/>
        </w:rPr>
      </w:pPr>
      <w:r>
        <w:rPr>
          <w:bCs/>
          <w:sz w:val="21"/>
          <w:szCs w:val="21"/>
        </w:rPr>
        <w:t>220-260℃，每千克蒸汽的热焓按680千卡计算；</w:t>
      </w:r>
    </w:p>
    <w:p w14:paraId="06A4129B">
      <w:pPr>
        <w:spacing w:line="360" w:lineRule="exact"/>
        <w:ind w:right="-38" w:firstLine="420" w:firstLineChars="200"/>
        <w:rPr>
          <w:bCs/>
          <w:sz w:val="21"/>
          <w:szCs w:val="21"/>
        </w:rPr>
      </w:pPr>
      <w:r>
        <w:rPr>
          <w:bCs/>
          <w:sz w:val="21"/>
          <w:szCs w:val="21"/>
        </w:rPr>
        <w:t>280-320℃，每千克蒸汽的热焓按700千卡计算；</w:t>
      </w:r>
    </w:p>
    <w:p w14:paraId="6F88001B">
      <w:pPr>
        <w:spacing w:line="360" w:lineRule="exact"/>
        <w:ind w:right="-38" w:firstLine="420" w:firstLineChars="200"/>
        <w:rPr>
          <w:bCs/>
          <w:sz w:val="21"/>
          <w:szCs w:val="21"/>
        </w:rPr>
      </w:pPr>
      <w:r>
        <w:rPr>
          <w:bCs/>
          <w:sz w:val="21"/>
          <w:szCs w:val="21"/>
        </w:rPr>
        <w:t>350-500℃，每千克蒸汽的热焓按750千卡计算。</w:t>
      </w:r>
    </w:p>
    <w:p w14:paraId="15DD7395">
      <w:pPr>
        <w:spacing w:line="360" w:lineRule="exact"/>
        <w:ind w:right="-38" w:firstLine="420" w:firstLineChars="200"/>
        <w:rPr>
          <w:bCs/>
          <w:sz w:val="21"/>
          <w:szCs w:val="21"/>
        </w:rPr>
      </w:pPr>
      <w:r>
        <w:rPr>
          <w:rFonts w:hint="eastAsia"/>
          <w:bCs/>
          <w:sz w:val="21"/>
          <w:szCs w:val="21"/>
        </w:rPr>
        <w:t>最后</w:t>
      </w:r>
      <w:r>
        <w:rPr>
          <w:rFonts w:hint="eastAsia"/>
          <w:bCs/>
          <w:sz w:val="21"/>
          <w:szCs w:val="21"/>
          <w:lang w:eastAsia="zh-CN"/>
        </w:rPr>
        <w:t>，</w:t>
      </w:r>
      <w:r>
        <w:rPr>
          <w:bCs/>
          <w:sz w:val="21"/>
          <w:szCs w:val="21"/>
        </w:rPr>
        <w:t>根据确定的热焓，乘以产量，所得值即为热力的量</w:t>
      </w:r>
      <w:r>
        <w:rPr>
          <w:rFonts w:hint="eastAsia"/>
          <w:bCs/>
          <w:sz w:val="21"/>
          <w:szCs w:val="21"/>
          <w:lang w:eastAsia="zh-CN"/>
        </w:rPr>
        <w:t>（</w:t>
      </w:r>
      <w:r>
        <w:rPr>
          <w:rFonts w:hint="eastAsia"/>
          <w:bCs/>
          <w:sz w:val="21"/>
          <w:szCs w:val="21"/>
          <w:lang w:val="en-US" w:eastAsia="zh-CN"/>
        </w:rPr>
        <w:t>1千卡=4.1816千焦</w:t>
      </w:r>
      <w:r>
        <w:rPr>
          <w:rFonts w:hint="eastAsia"/>
          <w:bCs/>
          <w:sz w:val="21"/>
          <w:szCs w:val="21"/>
          <w:lang w:eastAsia="zh-CN"/>
        </w:rPr>
        <w:t>）</w:t>
      </w:r>
      <w:r>
        <w:rPr>
          <w:bCs/>
          <w:sz w:val="21"/>
          <w:szCs w:val="21"/>
        </w:rPr>
        <w:t>。</w:t>
      </w:r>
    </w:p>
    <w:p w14:paraId="2851B3F5">
      <w:pPr>
        <w:spacing w:line="360" w:lineRule="exact"/>
        <w:ind w:right="-38" w:firstLine="420" w:firstLineChars="200"/>
        <w:rPr>
          <w:bCs/>
          <w:sz w:val="21"/>
          <w:szCs w:val="21"/>
        </w:rPr>
      </w:pPr>
      <w:r>
        <w:rPr>
          <w:bCs/>
          <w:sz w:val="21"/>
          <w:szCs w:val="21"/>
        </w:rPr>
        <w:t>对于中小企业，若以上条件均不具备，如果锅炉的功率在0.7兆瓦左右，1吨/小时的热水或蒸汽按相当于60万千卡的热力计算。</w:t>
      </w:r>
    </w:p>
    <w:p w14:paraId="182D091A">
      <w:pPr>
        <w:spacing w:line="360" w:lineRule="exact"/>
        <w:ind w:right="-38" w:firstLine="420" w:firstLineChars="200"/>
        <w:rPr>
          <w:bCs/>
          <w:sz w:val="21"/>
          <w:szCs w:val="21"/>
        </w:rPr>
      </w:pPr>
      <w:r>
        <w:rPr>
          <w:bCs/>
          <w:sz w:val="21"/>
          <w:szCs w:val="21"/>
        </w:rPr>
        <w:t>余热余压</w:t>
      </w:r>
      <w:r>
        <w:rPr>
          <w:rFonts w:hint="eastAsia"/>
          <w:bCs/>
          <w:sz w:val="21"/>
          <w:szCs w:val="21"/>
        </w:rPr>
        <w:t>：</w:t>
      </w:r>
      <w:r>
        <w:rPr>
          <w:bCs/>
          <w:sz w:val="21"/>
          <w:szCs w:val="21"/>
        </w:rPr>
        <w:t xml:space="preserve">指企业生产过程中释放出来多余的副产热能、压差能，这些副产热能、压差能在一定的经济技术条件下可以回收利用。余热余压回收利用主要来自高温气体、液体、固体的热能和化学反应产生的热能。  </w:t>
      </w:r>
    </w:p>
    <w:p w14:paraId="64891695">
      <w:pPr>
        <w:spacing w:line="360" w:lineRule="exact"/>
        <w:ind w:right="-38" w:firstLine="420" w:firstLineChars="200"/>
        <w:rPr>
          <w:bCs/>
          <w:sz w:val="21"/>
          <w:szCs w:val="21"/>
        </w:rPr>
      </w:pPr>
      <w:r>
        <w:rPr>
          <w:bCs/>
          <w:sz w:val="21"/>
          <w:szCs w:val="21"/>
        </w:rPr>
        <w:t>对回收利用的余热余压，企业有计量装置并可计量其数量的，205-2表填报回收利用量，205-1表填报消费量（本企业自用的部分），如果用于加工转换，还要在205-2表填报加工转换的投入量和其他产品的产出量。假如A企业回收的余热余压外供给B企业，A企业填报回收利用量，B企业填报购入量和消费量，不得填报回收利用量。</w:t>
      </w:r>
    </w:p>
    <w:p w14:paraId="6094FA49">
      <w:pPr>
        <w:spacing w:line="360" w:lineRule="exact"/>
        <w:ind w:right="-38" w:firstLine="420" w:firstLineChars="200"/>
        <w:rPr>
          <w:bCs/>
          <w:sz w:val="21"/>
          <w:szCs w:val="21"/>
        </w:rPr>
      </w:pPr>
      <w:r>
        <w:rPr>
          <w:bCs/>
          <w:sz w:val="21"/>
          <w:szCs w:val="21"/>
        </w:rPr>
        <w:t>煤矸石（用于燃料）</w:t>
      </w:r>
      <w:r>
        <w:rPr>
          <w:rFonts w:hint="eastAsia"/>
          <w:bCs/>
          <w:sz w:val="21"/>
          <w:szCs w:val="21"/>
        </w:rPr>
        <w:t>：</w:t>
      </w:r>
      <w:r>
        <w:rPr>
          <w:bCs/>
          <w:sz w:val="21"/>
          <w:szCs w:val="21"/>
        </w:rPr>
        <w:t>煤矸石是采煤过程和洗煤过程中排放的固体废物，是一种在成煤过程中与煤层伴生的一种含碳量较低、比煤坚硬的黑灰色岩石，是可用做工业企业能源消费的燃料。</w:t>
      </w:r>
    </w:p>
    <w:p w14:paraId="548D0921">
      <w:pPr>
        <w:spacing w:line="360" w:lineRule="exact"/>
        <w:ind w:right="-38" w:firstLine="420" w:firstLineChars="200"/>
        <w:rPr>
          <w:bCs/>
          <w:sz w:val="21"/>
          <w:szCs w:val="21"/>
        </w:rPr>
      </w:pPr>
      <w:r>
        <w:rPr>
          <w:bCs/>
          <w:sz w:val="21"/>
          <w:szCs w:val="21"/>
        </w:rPr>
        <w:t>城市生活垃圾（用于燃料）</w:t>
      </w:r>
      <w:r>
        <w:rPr>
          <w:rFonts w:hint="eastAsia"/>
          <w:bCs/>
          <w:sz w:val="21"/>
          <w:szCs w:val="21"/>
        </w:rPr>
        <w:t>：</w:t>
      </w:r>
      <w:r>
        <w:rPr>
          <w:bCs/>
          <w:sz w:val="21"/>
          <w:szCs w:val="21"/>
        </w:rPr>
        <w:t>城市生活垃圾是指城市中的单位和居民在日常生活及生活服务中产生的废弃物，是可用做工业企业能源消费的燃料。</w:t>
      </w:r>
    </w:p>
    <w:p w14:paraId="3D012BD2">
      <w:pPr>
        <w:spacing w:line="360" w:lineRule="exact"/>
        <w:ind w:right="-38" w:firstLine="420" w:firstLineChars="200"/>
        <w:rPr>
          <w:bCs/>
          <w:sz w:val="21"/>
          <w:szCs w:val="21"/>
        </w:rPr>
      </w:pPr>
      <w:r>
        <w:rPr>
          <w:bCs/>
          <w:sz w:val="21"/>
          <w:szCs w:val="21"/>
        </w:rPr>
        <w:t>工业废料（用于燃料）</w:t>
      </w:r>
      <w:r>
        <w:rPr>
          <w:rFonts w:hint="eastAsia"/>
          <w:bCs/>
          <w:sz w:val="21"/>
          <w:szCs w:val="21"/>
        </w:rPr>
        <w:t>：</w:t>
      </w:r>
      <w:r>
        <w:rPr>
          <w:bCs/>
          <w:sz w:val="21"/>
          <w:szCs w:val="21"/>
        </w:rPr>
        <w:t>工业废料是工业生产过程中产生出来的废品（如工业废渣、工业废气等），是可用做工业企业能源消费的燃料。</w:t>
      </w:r>
    </w:p>
    <w:p w14:paraId="2B76DFE2">
      <w:pPr>
        <w:spacing w:line="360" w:lineRule="exact"/>
        <w:ind w:right="-38" w:firstLine="420" w:firstLineChars="200"/>
        <w:rPr>
          <w:bCs/>
          <w:sz w:val="21"/>
          <w:szCs w:val="21"/>
        </w:rPr>
      </w:pPr>
      <w:r>
        <w:rPr>
          <w:bCs/>
          <w:sz w:val="21"/>
          <w:szCs w:val="21"/>
        </w:rPr>
        <w:t>生物</w:t>
      </w:r>
      <w:r>
        <w:rPr>
          <w:rFonts w:hint="eastAsia"/>
          <w:bCs/>
          <w:sz w:val="21"/>
          <w:szCs w:val="21"/>
          <w:lang w:eastAsia="zh-CN"/>
        </w:rPr>
        <w:t>质能（用于</w:t>
      </w:r>
      <w:r>
        <w:rPr>
          <w:bCs/>
          <w:sz w:val="21"/>
          <w:szCs w:val="21"/>
        </w:rPr>
        <w:t>燃料</w:t>
      </w:r>
      <w:r>
        <w:rPr>
          <w:rFonts w:hint="eastAsia"/>
          <w:bCs/>
          <w:sz w:val="21"/>
          <w:szCs w:val="21"/>
          <w:lang w:eastAsia="zh-CN"/>
        </w:rPr>
        <w:t>）</w:t>
      </w:r>
      <w:r>
        <w:rPr>
          <w:rFonts w:hint="eastAsia"/>
          <w:bCs/>
          <w:sz w:val="21"/>
          <w:szCs w:val="21"/>
        </w:rPr>
        <w:t>：</w:t>
      </w:r>
      <w:r>
        <w:rPr>
          <w:bCs/>
          <w:sz w:val="21"/>
          <w:szCs w:val="21"/>
        </w:rPr>
        <w:t>泛指由生物质组成或萃取的固体、液体或气体燃料，如沼气、薪柴、</w:t>
      </w:r>
      <w:r>
        <w:rPr>
          <w:rFonts w:hint="eastAsia"/>
          <w:bCs/>
          <w:sz w:val="21"/>
          <w:szCs w:val="21"/>
        </w:rPr>
        <w:t>秸秆</w:t>
      </w:r>
      <w:r>
        <w:rPr>
          <w:bCs/>
          <w:sz w:val="21"/>
          <w:szCs w:val="21"/>
        </w:rPr>
        <w:t>、</w:t>
      </w:r>
      <w:r>
        <w:rPr>
          <w:rFonts w:hint="eastAsia"/>
          <w:bCs/>
          <w:sz w:val="21"/>
          <w:szCs w:val="21"/>
        </w:rPr>
        <w:t>生物乙醇</w:t>
      </w:r>
      <w:r>
        <w:rPr>
          <w:bCs/>
          <w:sz w:val="21"/>
          <w:szCs w:val="21"/>
        </w:rPr>
        <w:t>、生物柴油等。</w:t>
      </w:r>
    </w:p>
    <w:p w14:paraId="1D220D28">
      <w:pPr>
        <w:spacing w:line="360" w:lineRule="exact"/>
        <w:ind w:right="-38" w:firstLine="420" w:firstLineChars="200"/>
        <w:rPr>
          <w:bCs/>
          <w:sz w:val="21"/>
          <w:szCs w:val="21"/>
        </w:rPr>
      </w:pPr>
      <w:r>
        <w:rPr>
          <w:rFonts w:hint="eastAsia"/>
          <w:bCs/>
          <w:sz w:val="21"/>
          <w:szCs w:val="21"/>
          <w:lang w:val="en-US" w:eastAsia="zh-CN"/>
        </w:rPr>
        <w:t>7.有关能源品种填报方法</w:t>
      </w:r>
      <w:r>
        <w:rPr>
          <w:bCs/>
          <w:sz w:val="21"/>
          <w:szCs w:val="21"/>
        </w:rPr>
        <w:t>：</w:t>
      </w:r>
    </w:p>
    <w:p w14:paraId="72E5F0FF">
      <w:pPr>
        <w:numPr>
          <w:ilvl w:val="-1"/>
          <w:numId w:val="0"/>
        </w:numPr>
        <w:spacing w:line="360" w:lineRule="exact"/>
        <w:ind w:right="-40" w:firstLine="420" w:firstLineChars="200"/>
        <w:rPr>
          <w:rFonts w:hint="eastAsia"/>
          <w:sz w:val="21"/>
          <w:szCs w:val="21"/>
          <w:lang w:eastAsia="zh-CN"/>
        </w:rPr>
      </w:pPr>
      <w:r>
        <w:rPr>
          <w:rFonts w:hint="eastAsia"/>
          <w:sz w:val="21"/>
          <w:szCs w:val="21"/>
          <w:lang w:eastAsia="zh-CN"/>
        </w:rPr>
        <w:t>原煤折标系数：</w:t>
      </w:r>
    </w:p>
    <w:p w14:paraId="4C3BE732">
      <w:pPr>
        <w:spacing w:line="360" w:lineRule="exact"/>
        <w:ind w:right="-38" w:firstLine="420" w:firstLineChars="200"/>
        <w:rPr>
          <w:rFonts w:hint="default" w:ascii="Times New Roman" w:hAnsi="Times New Roman" w:eastAsia="宋体" w:cs="Times New Roman"/>
          <w:bCs/>
          <w:sz w:val="21"/>
          <w:szCs w:val="21"/>
          <w:lang w:eastAsia="zh-CN"/>
        </w:rPr>
      </w:pPr>
      <w:r>
        <w:rPr>
          <w:rFonts w:hint="default"/>
          <w:bCs/>
          <w:sz w:val="21"/>
          <w:szCs w:val="21"/>
        </w:rPr>
        <w:t>(</w:t>
      </w:r>
      <w:r>
        <w:rPr>
          <w:rFonts w:hint="default"/>
          <w:bCs/>
          <w:sz w:val="21"/>
          <w:szCs w:val="21"/>
          <w:lang w:val="en"/>
        </w:rPr>
        <w:t>1</w:t>
      </w:r>
      <w:r>
        <w:rPr>
          <w:rFonts w:hint="default"/>
          <w:bCs/>
          <w:sz w:val="21"/>
          <w:szCs w:val="21"/>
        </w:rPr>
        <w:t>)</w:t>
      </w:r>
      <w:r>
        <w:rPr>
          <w:rFonts w:hint="default" w:ascii="Times New Roman" w:hAnsi="Times New Roman" w:eastAsia="宋体" w:cs="Times New Roman"/>
          <w:bCs/>
          <w:sz w:val="21"/>
          <w:szCs w:val="21"/>
        </w:rPr>
        <w:t>上年年综合能源消费量超过1万吨标准煤的原煤消费企业</w:t>
      </w:r>
      <w:r>
        <w:rPr>
          <w:rFonts w:hint="eastAsia" w:eastAsia="宋体" w:cs="Times New Roman"/>
          <w:bCs/>
          <w:sz w:val="21"/>
          <w:szCs w:val="21"/>
          <w:lang w:eastAsia="zh-CN"/>
        </w:rPr>
        <w:t>，</w:t>
      </w:r>
      <w:r>
        <w:rPr>
          <w:rFonts w:hint="default" w:ascii="Times New Roman" w:hAnsi="Times New Roman" w:eastAsia="宋体" w:cs="Times New Roman"/>
          <w:bCs/>
          <w:sz w:val="21"/>
          <w:szCs w:val="21"/>
        </w:rPr>
        <w:t>原煤四个分项品种的折标系数按照规定须根据实测热值填报</w:t>
      </w:r>
      <w:r>
        <w:rPr>
          <w:rFonts w:hint="default" w:ascii="Times New Roman" w:hAnsi="Times New Roman" w:eastAsia="宋体" w:cs="Times New Roman"/>
          <w:bCs/>
          <w:sz w:val="21"/>
          <w:szCs w:val="21"/>
          <w:lang w:eastAsia="zh-CN"/>
        </w:rPr>
        <w:t>。</w:t>
      </w:r>
    </w:p>
    <w:p w14:paraId="1EE7EB12">
      <w:pPr>
        <w:numPr>
          <w:ilvl w:val="-1"/>
          <w:numId w:val="0"/>
        </w:numPr>
        <w:spacing w:line="360" w:lineRule="exact"/>
        <w:ind w:right="-40" w:firstLine="420" w:firstLineChars="200"/>
        <w:rPr>
          <w:rFonts w:hint="eastAsia" w:ascii="汉仪书宋二S" w:hAnsi="汉仪书宋二S" w:eastAsia="汉仪书宋二S" w:cs="汉仪书宋二S"/>
          <w:bCs/>
          <w:sz w:val="21"/>
          <w:szCs w:val="21"/>
          <w:lang w:eastAsia="zh-CN"/>
        </w:rPr>
      </w:pPr>
      <w:r>
        <w:rPr>
          <w:rFonts w:hint="default"/>
          <w:bCs/>
          <w:sz w:val="21"/>
          <w:szCs w:val="21"/>
        </w:rPr>
        <w:t>(2)</w:t>
      </w:r>
      <w:r>
        <w:rPr>
          <w:rFonts w:hint="default" w:ascii="Times New Roman" w:hAnsi="Times New Roman" w:eastAsia="宋体" w:cs="Times New Roman"/>
          <w:bCs/>
          <w:sz w:val="21"/>
          <w:szCs w:val="21"/>
          <w:lang w:eastAsia="zh-CN"/>
        </w:rPr>
        <w:t>原煤四个分项品种的折标系数须</w:t>
      </w:r>
      <w:r>
        <w:rPr>
          <w:rFonts w:hint="eastAsia" w:cs="Times New Roman"/>
          <w:bCs/>
          <w:sz w:val="21"/>
          <w:szCs w:val="21"/>
          <w:lang w:eastAsia="zh-CN"/>
        </w:rPr>
        <w:t>使</w:t>
      </w:r>
      <w:r>
        <w:rPr>
          <w:rFonts w:hint="default" w:ascii="Times New Roman" w:hAnsi="Times New Roman" w:eastAsia="宋体" w:cs="Times New Roman"/>
          <w:bCs/>
          <w:sz w:val="21"/>
          <w:szCs w:val="21"/>
          <w:lang w:eastAsia="zh-CN"/>
        </w:rPr>
        <w:t>用累计的工业生产消费量和采用折标系数的加权平均法计算，不能使用当月值填报。</w:t>
      </w:r>
    </w:p>
    <w:p w14:paraId="7E384385">
      <w:pPr>
        <w:numPr>
          <w:ilvl w:val="-1"/>
          <w:numId w:val="0"/>
        </w:numPr>
        <w:spacing w:line="360" w:lineRule="exact"/>
        <w:ind w:right="-40" w:firstLine="420" w:firstLineChars="200"/>
        <w:rPr>
          <w:rFonts w:hint="eastAsia" w:ascii="汉仪书宋二S" w:hAnsi="汉仪书宋二S" w:eastAsia="汉仪书宋二S" w:cs="汉仪书宋二S"/>
          <w:bCs/>
          <w:sz w:val="21"/>
          <w:szCs w:val="21"/>
          <w:lang w:eastAsia="zh-CN"/>
        </w:rPr>
      </w:pPr>
      <w:r>
        <w:rPr>
          <w:rFonts w:hint="default"/>
          <w:bCs/>
          <w:sz w:val="21"/>
          <w:szCs w:val="21"/>
        </w:rPr>
        <w:t>(</w:t>
      </w:r>
      <w:r>
        <w:rPr>
          <w:rFonts w:hint="default"/>
          <w:bCs/>
          <w:sz w:val="21"/>
          <w:szCs w:val="21"/>
          <w:lang w:val="en"/>
        </w:rPr>
        <w:t>3</w:t>
      </w:r>
      <w:r>
        <w:rPr>
          <w:rFonts w:hint="default"/>
          <w:bCs/>
          <w:sz w:val="21"/>
          <w:szCs w:val="21"/>
        </w:rPr>
        <w:t>)</w:t>
      </w:r>
      <w:r>
        <w:rPr>
          <w:rFonts w:hint="default" w:ascii="Times New Roman" w:hAnsi="Times New Roman" w:eastAsia="宋体" w:cs="Times New Roman"/>
          <w:bCs/>
          <w:sz w:val="21"/>
          <w:szCs w:val="21"/>
          <w:lang w:eastAsia="zh-CN"/>
        </w:rPr>
        <w:t>原煤合计项的折标系数为四个分项品种的加权平均法计算结果，即四个分项品种的工业生产消费量标准量合计除以其实物量合计，系统自动计算。</w:t>
      </w:r>
    </w:p>
    <w:p w14:paraId="1D9342C2">
      <w:pPr>
        <w:numPr>
          <w:ilvl w:val="0"/>
          <w:numId w:val="0"/>
        </w:numPr>
        <w:spacing w:line="360" w:lineRule="exact"/>
        <w:ind w:right="-40" w:firstLine="420" w:firstLineChars="200"/>
        <w:rPr>
          <w:bCs/>
          <w:sz w:val="21"/>
          <w:szCs w:val="21"/>
        </w:rPr>
      </w:pPr>
      <w:r>
        <w:rPr>
          <w:rFonts w:hint="default"/>
          <w:bCs/>
          <w:sz w:val="21"/>
          <w:szCs w:val="21"/>
        </w:rPr>
        <w:t>(</w:t>
      </w:r>
      <w:r>
        <w:rPr>
          <w:rFonts w:hint="default"/>
          <w:bCs/>
          <w:sz w:val="21"/>
          <w:szCs w:val="21"/>
          <w:lang w:val="en"/>
        </w:rPr>
        <w:t>4</w:t>
      </w:r>
      <w:r>
        <w:rPr>
          <w:rFonts w:hint="default"/>
          <w:bCs/>
          <w:sz w:val="21"/>
          <w:szCs w:val="21"/>
        </w:rPr>
        <w:t>)</w:t>
      </w:r>
      <w:r>
        <w:rPr>
          <w:rFonts w:hint="default" w:ascii="Times New Roman" w:hAnsi="Times New Roman" w:eastAsia="宋体" w:cs="Times New Roman"/>
          <w:bCs/>
          <w:sz w:val="21"/>
          <w:szCs w:val="21"/>
          <w:lang w:eastAsia="zh-CN"/>
        </w:rPr>
        <w:t>企业本年前期原煤热值未实测、自本期开始实测热值：若企业本年前期截至本期煤质变化不大，205-1表本期原煤</w:t>
      </w:r>
      <w:r>
        <w:rPr>
          <w:rFonts w:hint="eastAsia" w:cs="Times New Roman"/>
          <w:bCs/>
          <w:sz w:val="21"/>
          <w:szCs w:val="21"/>
          <w:lang w:eastAsia="zh-CN"/>
        </w:rPr>
        <w:t>分</w:t>
      </w:r>
      <w:r>
        <w:rPr>
          <w:rFonts w:hint="default" w:ascii="Times New Roman" w:hAnsi="Times New Roman" w:eastAsia="宋体" w:cs="Times New Roman"/>
          <w:bCs/>
          <w:sz w:val="21"/>
          <w:szCs w:val="21"/>
          <w:lang w:eastAsia="zh-CN"/>
        </w:rPr>
        <w:t>项</w:t>
      </w:r>
      <w:r>
        <w:rPr>
          <w:rFonts w:hint="eastAsia" w:cs="Times New Roman"/>
          <w:bCs/>
          <w:sz w:val="21"/>
          <w:szCs w:val="21"/>
          <w:lang w:eastAsia="zh-CN"/>
        </w:rPr>
        <w:t>品种的</w:t>
      </w:r>
      <w:r>
        <w:rPr>
          <w:rFonts w:hint="default" w:ascii="Times New Roman" w:hAnsi="Times New Roman" w:eastAsia="宋体" w:cs="Times New Roman"/>
          <w:bCs/>
          <w:sz w:val="21"/>
          <w:szCs w:val="21"/>
          <w:lang w:eastAsia="zh-CN"/>
        </w:rPr>
        <w:t>折标系数可填报本期实测热值；若煤质变化较大，205-1表本期原煤</w:t>
      </w:r>
      <w:r>
        <w:rPr>
          <w:rFonts w:hint="eastAsia" w:cs="Times New Roman"/>
          <w:bCs/>
          <w:sz w:val="21"/>
          <w:szCs w:val="21"/>
          <w:lang w:eastAsia="zh-CN"/>
        </w:rPr>
        <w:t>分</w:t>
      </w:r>
      <w:r>
        <w:rPr>
          <w:rFonts w:hint="default" w:ascii="Times New Roman" w:hAnsi="Times New Roman" w:eastAsia="宋体" w:cs="Times New Roman"/>
          <w:bCs/>
          <w:sz w:val="21"/>
          <w:szCs w:val="21"/>
          <w:lang w:eastAsia="zh-CN"/>
        </w:rPr>
        <w:t>项</w:t>
      </w:r>
      <w:r>
        <w:rPr>
          <w:rFonts w:hint="eastAsia" w:cs="Times New Roman"/>
          <w:bCs/>
          <w:sz w:val="21"/>
          <w:szCs w:val="21"/>
          <w:lang w:eastAsia="zh-CN"/>
        </w:rPr>
        <w:t>品种的</w:t>
      </w:r>
      <w:r>
        <w:rPr>
          <w:rFonts w:hint="default" w:ascii="Times New Roman" w:hAnsi="Times New Roman" w:eastAsia="宋体" w:cs="Times New Roman"/>
          <w:bCs/>
          <w:sz w:val="21"/>
          <w:szCs w:val="21"/>
          <w:lang w:eastAsia="zh-CN"/>
        </w:rPr>
        <w:t>折标系数须使用前期填报数据</w:t>
      </w:r>
      <w:r>
        <w:rPr>
          <w:rFonts w:hint="eastAsia" w:cs="Times New Roman"/>
          <w:bCs/>
          <w:sz w:val="21"/>
          <w:szCs w:val="21"/>
          <w:lang w:eastAsia="zh-CN"/>
        </w:rPr>
        <w:t>与</w:t>
      </w:r>
      <w:r>
        <w:rPr>
          <w:rFonts w:hint="default" w:ascii="Times New Roman" w:hAnsi="Times New Roman" w:eastAsia="宋体" w:cs="Times New Roman"/>
          <w:bCs/>
          <w:sz w:val="21"/>
          <w:szCs w:val="21"/>
          <w:lang w:eastAsia="zh-CN"/>
        </w:rPr>
        <w:t>本期实测热值</w:t>
      </w:r>
      <w:r>
        <w:rPr>
          <w:rFonts w:hint="eastAsia" w:cs="Times New Roman"/>
          <w:bCs/>
          <w:sz w:val="21"/>
          <w:szCs w:val="21"/>
          <w:lang w:eastAsia="zh-CN"/>
        </w:rPr>
        <w:t>进行</w:t>
      </w:r>
      <w:r>
        <w:rPr>
          <w:rFonts w:hint="default" w:ascii="Times New Roman" w:hAnsi="Times New Roman" w:eastAsia="宋体" w:cs="Times New Roman"/>
          <w:bCs/>
          <w:sz w:val="21"/>
          <w:szCs w:val="21"/>
          <w:lang w:eastAsia="zh-CN"/>
        </w:rPr>
        <w:t>加权平均计算</w:t>
      </w:r>
      <w:r>
        <w:rPr>
          <w:rFonts w:hint="eastAsia" w:cs="Times New Roman"/>
          <w:bCs/>
          <w:sz w:val="21"/>
          <w:szCs w:val="21"/>
          <w:lang w:eastAsia="zh-CN"/>
        </w:rPr>
        <w:t>后</w:t>
      </w:r>
      <w:r>
        <w:rPr>
          <w:rFonts w:hint="default" w:ascii="Times New Roman" w:hAnsi="Times New Roman" w:eastAsia="宋体" w:cs="Times New Roman"/>
          <w:bCs/>
          <w:sz w:val="21"/>
          <w:szCs w:val="21"/>
          <w:lang w:eastAsia="zh-CN"/>
        </w:rPr>
        <w:t>的热值填报。</w:t>
      </w:r>
    </w:p>
    <w:p w14:paraId="0A786DC3">
      <w:pPr>
        <w:spacing w:line="280" w:lineRule="exact"/>
        <w:ind w:right="-38" w:firstLine="420"/>
        <w:rPr>
          <w:bCs/>
          <w:sz w:val="18"/>
          <w:szCs w:val="18"/>
        </w:rPr>
      </w:pPr>
    </w:p>
    <w:p w14:paraId="614CAF6C">
      <w:pPr>
        <w:spacing w:line="280" w:lineRule="exact"/>
        <w:ind w:right="-38"/>
        <w:rPr>
          <w:bCs/>
          <w:sz w:val="18"/>
          <w:szCs w:val="18"/>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p>
    <w:p w14:paraId="12F94934">
      <w:pPr>
        <w:snapToGrid w:val="0"/>
        <w:spacing w:before="240" w:beforeLines="100" w:after="240" w:afterLines="100"/>
        <w:jc w:val="center"/>
        <w:outlineLvl w:val="1"/>
        <w:rPr>
          <w:rFonts w:eastAsia="黑体"/>
          <w:sz w:val="28"/>
          <w:szCs w:val="28"/>
        </w:rPr>
      </w:pPr>
      <w:r>
        <w:rPr>
          <w:rFonts w:eastAsia="黑体"/>
          <w:sz w:val="28"/>
          <w:szCs w:val="28"/>
        </w:rPr>
        <w:t>（二）主要耗能工业企业单位产品能源消</w:t>
      </w:r>
      <w:r>
        <w:rPr>
          <w:rFonts w:hint="eastAsia" w:eastAsia="黑体"/>
          <w:sz w:val="28"/>
          <w:szCs w:val="28"/>
        </w:rPr>
        <w:t>费</w:t>
      </w:r>
      <w:r>
        <w:rPr>
          <w:rFonts w:eastAsia="黑体"/>
          <w:sz w:val="28"/>
          <w:szCs w:val="28"/>
        </w:rPr>
        <w:t>情况目录（205-3表）</w:t>
      </w:r>
    </w:p>
    <w:tbl>
      <w:tblPr>
        <w:tblStyle w:val="20"/>
        <w:tblW w:w="9465" w:type="dxa"/>
        <w:tblInd w:w="0" w:type="dxa"/>
        <w:tblLayout w:type="fixed"/>
        <w:tblCellMar>
          <w:top w:w="0" w:type="dxa"/>
          <w:left w:w="0" w:type="dxa"/>
          <w:bottom w:w="0" w:type="dxa"/>
          <w:right w:w="0" w:type="dxa"/>
        </w:tblCellMar>
      </w:tblPr>
      <w:tblGrid>
        <w:gridCol w:w="559"/>
        <w:gridCol w:w="2268"/>
        <w:gridCol w:w="15"/>
        <w:gridCol w:w="1268"/>
        <w:gridCol w:w="525"/>
        <w:gridCol w:w="521"/>
        <w:gridCol w:w="1914"/>
        <w:gridCol w:w="1680"/>
        <w:gridCol w:w="715"/>
      </w:tblGrid>
      <w:tr w14:paraId="156EBC6A">
        <w:tblPrEx>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102D59B">
            <w:pPr>
              <w:spacing w:line="254"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B460B14">
            <w:pPr>
              <w:spacing w:line="254" w:lineRule="exact"/>
              <w:jc w:val="center"/>
              <w:rPr>
                <w:sz w:val="18"/>
                <w:szCs w:val="18"/>
              </w:rPr>
            </w:pPr>
            <w:r>
              <w:rPr>
                <w:sz w:val="18"/>
                <w:szCs w:val="18"/>
              </w:rPr>
              <w:t>指标名称</w:t>
            </w:r>
          </w:p>
        </w:tc>
        <w:tc>
          <w:tcPr>
            <w:tcW w:w="2329" w:type="dxa"/>
            <w:gridSpan w:val="4"/>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0A603D2">
            <w:pPr>
              <w:spacing w:line="254"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19F3D4D">
            <w:pPr>
              <w:spacing w:line="254"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A3F0A5B">
            <w:pPr>
              <w:spacing w:line="254" w:lineRule="exact"/>
              <w:jc w:val="center"/>
              <w:rPr>
                <w:sz w:val="18"/>
                <w:szCs w:val="18"/>
              </w:rPr>
            </w:pPr>
            <w:r>
              <w:rPr>
                <w:sz w:val="18"/>
                <w:szCs w:val="18"/>
              </w:rPr>
              <w:t>单位换算系数</w:t>
            </w:r>
          </w:p>
        </w:tc>
      </w:tr>
      <w:tr w14:paraId="364A3F53">
        <w:tblPrEx>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14:paraId="2D82B4D7">
            <w:pPr>
              <w:spacing w:line="254" w:lineRule="exact"/>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49CE488">
            <w:pPr>
              <w:spacing w:line="254" w:lineRule="exact"/>
              <w:rPr>
                <w:sz w:val="18"/>
                <w:szCs w:val="18"/>
              </w:rPr>
            </w:pP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70AFDB">
            <w:pPr>
              <w:spacing w:line="254"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26BF991">
            <w:pPr>
              <w:spacing w:line="254"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657412B">
            <w:pPr>
              <w:spacing w:line="254"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7017B05">
            <w:pPr>
              <w:spacing w:line="254"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E447F40">
            <w:pPr>
              <w:spacing w:line="254"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14:paraId="4F680600">
            <w:pPr>
              <w:spacing w:line="254" w:lineRule="exact"/>
              <w:rPr>
                <w:sz w:val="18"/>
                <w:szCs w:val="18"/>
              </w:rPr>
            </w:pPr>
          </w:p>
        </w:tc>
      </w:tr>
      <w:tr w14:paraId="4E40FCAF">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53DDAC68">
            <w:pPr>
              <w:spacing w:line="252" w:lineRule="exact"/>
              <w:jc w:val="left"/>
              <w:rPr>
                <w:b/>
                <w:bCs/>
                <w:sz w:val="18"/>
                <w:szCs w:val="18"/>
              </w:rPr>
            </w:pPr>
            <w:r>
              <w:rPr>
                <w:b/>
                <w:bCs/>
                <w:sz w:val="18"/>
                <w:szCs w:val="18"/>
              </w:rPr>
              <w:t xml:space="preserve">煤炭(06) </w:t>
            </w:r>
          </w:p>
        </w:tc>
      </w:tr>
      <w:tr w14:paraId="51EF57E5">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6443AD1">
            <w:pPr>
              <w:spacing w:line="252" w:lineRule="exact"/>
              <w:jc w:val="center"/>
              <w:rPr>
                <w:sz w:val="18"/>
                <w:szCs w:val="18"/>
              </w:rPr>
            </w:pPr>
            <w:r>
              <w:rPr>
                <w:sz w:val="18"/>
                <w:szCs w:val="18"/>
              </w:rPr>
              <w:t>0610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5958F2">
            <w:pPr>
              <w:spacing w:line="252" w:lineRule="exact"/>
              <w:rPr>
                <w:sz w:val="18"/>
                <w:szCs w:val="18"/>
              </w:rPr>
            </w:pPr>
            <w:r>
              <w:rPr>
                <w:sz w:val="18"/>
                <w:szCs w:val="18"/>
              </w:rPr>
              <w:t>吨原煤生产综合能耗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D1FBEA0">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17B912E">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0DD7CA0">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99D4B1">
            <w:pPr>
              <w:spacing w:line="252" w:lineRule="exact"/>
              <w:rPr>
                <w:sz w:val="18"/>
                <w:szCs w:val="18"/>
              </w:rPr>
            </w:pPr>
            <w:r>
              <w:rPr>
                <w:sz w:val="18"/>
                <w:szCs w:val="18"/>
              </w:rPr>
              <w:t>原煤生产综合能源消费量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FEF233F">
            <w:pPr>
              <w:spacing w:line="252" w:lineRule="exact"/>
              <w:rPr>
                <w:sz w:val="18"/>
                <w:szCs w:val="18"/>
              </w:rPr>
            </w:pPr>
            <w:r>
              <w:rPr>
                <w:sz w:val="18"/>
                <w:szCs w:val="18"/>
              </w:rPr>
              <w:t>原煤产量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0B82953">
            <w:pPr>
              <w:spacing w:line="252" w:lineRule="exact"/>
              <w:jc w:val="right"/>
              <w:rPr>
                <w:sz w:val="18"/>
                <w:szCs w:val="18"/>
              </w:rPr>
            </w:pPr>
            <w:r>
              <w:rPr>
                <w:sz w:val="18"/>
                <w:szCs w:val="18"/>
              </w:rPr>
              <w:t>1000</w:t>
            </w:r>
          </w:p>
        </w:tc>
      </w:tr>
      <w:tr w14:paraId="0125C043">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E54A344">
            <w:pPr>
              <w:spacing w:line="252" w:lineRule="exact"/>
              <w:jc w:val="center"/>
              <w:rPr>
                <w:sz w:val="18"/>
                <w:szCs w:val="18"/>
              </w:rPr>
            </w:pPr>
            <w:r>
              <w:rPr>
                <w:sz w:val="18"/>
                <w:szCs w:val="18"/>
              </w:rPr>
              <w:t>0602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46C77F">
            <w:pPr>
              <w:spacing w:line="252" w:lineRule="exact"/>
              <w:rPr>
                <w:sz w:val="18"/>
                <w:szCs w:val="18"/>
              </w:rPr>
            </w:pPr>
            <w:r>
              <w:rPr>
                <w:sz w:val="18"/>
                <w:szCs w:val="18"/>
              </w:rPr>
              <w:t>吨原煤生产耗电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ED21FF">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41712CA">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493E574">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6327950">
            <w:pPr>
              <w:spacing w:line="252" w:lineRule="exact"/>
              <w:rPr>
                <w:sz w:val="18"/>
                <w:szCs w:val="18"/>
              </w:rPr>
            </w:pPr>
            <w:r>
              <w:rPr>
                <w:sz w:val="18"/>
                <w:szCs w:val="18"/>
              </w:rPr>
              <w:t>原煤生产用电量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D8BFD52">
            <w:pPr>
              <w:spacing w:line="252" w:lineRule="exact"/>
              <w:rPr>
                <w:sz w:val="18"/>
                <w:szCs w:val="18"/>
              </w:rPr>
            </w:pPr>
            <w:r>
              <w:rPr>
                <w:sz w:val="18"/>
                <w:szCs w:val="18"/>
              </w:rPr>
              <w:t>原煤产量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B1DED16">
            <w:pPr>
              <w:spacing w:line="252" w:lineRule="exact"/>
              <w:jc w:val="right"/>
              <w:rPr>
                <w:sz w:val="18"/>
                <w:szCs w:val="18"/>
              </w:rPr>
            </w:pPr>
            <w:r>
              <w:rPr>
                <w:sz w:val="18"/>
                <w:szCs w:val="18"/>
              </w:rPr>
              <w:t>10000</w:t>
            </w:r>
          </w:p>
        </w:tc>
      </w:tr>
      <w:tr w14:paraId="7901774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2F9BE2E">
            <w:pPr>
              <w:spacing w:line="252" w:lineRule="exact"/>
              <w:jc w:val="center"/>
              <w:rPr>
                <w:sz w:val="18"/>
                <w:szCs w:val="18"/>
              </w:rPr>
            </w:pPr>
            <w:r>
              <w:rPr>
                <w:sz w:val="18"/>
                <w:szCs w:val="18"/>
              </w:rPr>
              <w:t>0603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8DC25B5">
            <w:pPr>
              <w:spacing w:line="252" w:lineRule="exact"/>
              <w:rPr>
                <w:sz w:val="18"/>
                <w:szCs w:val="18"/>
              </w:rPr>
            </w:pPr>
            <w:r>
              <w:rPr>
                <w:rFonts w:hint="eastAsia"/>
                <w:sz w:val="18"/>
                <w:szCs w:val="18"/>
              </w:rPr>
              <w:t>洗</w:t>
            </w:r>
            <w:r>
              <w:rPr>
                <w:sz w:val="18"/>
                <w:szCs w:val="18"/>
              </w:rPr>
              <w:t>煤电力单耗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956D402">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3ABADD">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0235A9">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CF56310">
            <w:pPr>
              <w:spacing w:line="252" w:lineRule="exact"/>
              <w:rPr>
                <w:sz w:val="18"/>
                <w:szCs w:val="18"/>
              </w:rPr>
            </w:pPr>
            <w:r>
              <w:rPr>
                <w:rFonts w:hint="eastAsia"/>
                <w:sz w:val="18"/>
                <w:szCs w:val="18"/>
              </w:rPr>
              <w:t>洗</w:t>
            </w:r>
            <w:r>
              <w:rPr>
                <w:sz w:val="18"/>
                <w:szCs w:val="18"/>
              </w:rPr>
              <w:t>煤生产过程用电量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32D1B6">
            <w:pPr>
              <w:spacing w:line="252" w:lineRule="exact"/>
              <w:rPr>
                <w:sz w:val="18"/>
                <w:szCs w:val="18"/>
              </w:rPr>
            </w:pPr>
            <w:r>
              <w:rPr>
                <w:sz w:val="18"/>
                <w:szCs w:val="18"/>
              </w:rPr>
              <w:t>入</w:t>
            </w:r>
            <w:r>
              <w:rPr>
                <w:rFonts w:hint="eastAsia"/>
                <w:sz w:val="18"/>
                <w:szCs w:val="18"/>
              </w:rPr>
              <w:t>洗</w:t>
            </w:r>
            <w:r>
              <w:rPr>
                <w:sz w:val="18"/>
                <w:szCs w:val="18"/>
              </w:rPr>
              <w:t>原煤量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46D0260">
            <w:pPr>
              <w:spacing w:line="252" w:lineRule="exact"/>
              <w:jc w:val="right"/>
              <w:rPr>
                <w:sz w:val="18"/>
                <w:szCs w:val="18"/>
              </w:rPr>
            </w:pPr>
            <w:r>
              <w:rPr>
                <w:sz w:val="18"/>
                <w:szCs w:val="18"/>
              </w:rPr>
              <w:t>10000</w:t>
            </w:r>
          </w:p>
        </w:tc>
      </w:tr>
      <w:tr w14:paraId="18E4D2A1">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52CCB3ED">
            <w:pPr>
              <w:spacing w:line="252" w:lineRule="exact"/>
              <w:jc w:val="left"/>
              <w:rPr>
                <w:b/>
                <w:bCs/>
                <w:sz w:val="18"/>
                <w:szCs w:val="18"/>
              </w:rPr>
            </w:pPr>
            <w:r>
              <w:rPr>
                <w:b/>
                <w:bCs/>
                <w:sz w:val="18"/>
                <w:szCs w:val="18"/>
              </w:rPr>
              <w:t>石油和天然气(07)</w:t>
            </w:r>
          </w:p>
        </w:tc>
      </w:tr>
      <w:tr w14:paraId="296F23A3">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29D97ED">
            <w:pPr>
              <w:spacing w:line="252" w:lineRule="exact"/>
              <w:jc w:val="center"/>
              <w:rPr>
                <w:sz w:val="18"/>
                <w:szCs w:val="18"/>
              </w:rPr>
            </w:pPr>
            <w:r>
              <w:rPr>
                <w:sz w:val="18"/>
                <w:szCs w:val="18"/>
              </w:rPr>
              <w:t>0701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884C27">
            <w:pPr>
              <w:spacing w:line="252" w:lineRule="exact"/>
              <w:rPr>
                <w:sz w:val="18"/>
                <w:szCs w:val="18"/>
              </w:rPr>
            </w:pPr>
            <w:r>
              <w:rPr>
                <w:sz w:val="18"/>
                <w:szCs w:val="18"/>
              </w:rPr>
              <w:t>单位油气产量综合能耗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47B2717">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93AB125">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6B1332E">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DF18FB4">
            <w:pPr>
              <w:spacing w:line="252" w:lineRule="exact"/>
              <w:rPr>
                <w:sz w:val="18"/>
                <w:szCs w:val="18"/>
              </w:rPr>
            </w:pPr>
            <w:r>
              <w:rPr>
                <w:sz w:val="18"/>
                <w:szCs w:val="18"/>
              </w:rPr>
              <w:t>油气田生产综合能源消费量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AAD885">
            <w:pPr>
              <w:spacing w:line="252" w:lineRule="exact"/>
              <w:rPr>
                <w:sz w:val="18"/>
                <w:szCs w:val="18"/>
              </w:rPr>
            </w:pPr>
            <w:r>
              <w:rPr>
                <w:sz w:val="18"/>
                <w:szCs w:val="18"/>
              </w:rPr>
              <w:t>油气当量产量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476E378">
            <w:pPr>
              <w:spacing w:line="252" w:lineRule="exact"/>
              <w:jc w:val="right"/>
              <w:rPr>
                <w:sz w:val="18"/>
                <w:szCs w:val="18"/>
              </w:rPr>
            </w:pPr>
            <w:r>
              <w:rPr>
                <w:sz w:val="18"/>
                <w:szCs w:val="18"/>
              </w:rPr>
              <w:t>1000</w:t>
            </w:r>
          </w:p>
        </w:tc>
      </w:tr>
      <w:tr w14:paraId="46DDCD4A">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A2AB92C">
            <w:pPr>
              <w:spacing w:line="252" w:lineRule="exact"/>
              <w:jc w:val="center"/>
              <w:rPr>
                <w:sz w:val="18"/>
                <w:szCs w:val="18"/>
              </w:rPr>
            </w:pPr>
            <w:r>
              <w:rPr>
                <w:sz w:val="18"/>
                <w:szCs w:val="18"/>
              </w:rPr>
              <w:t>0702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78C91B9">
            <w:pPr>
              <w:spacing w:line="252" w:lineRule="exact"/>
              <w:rPr>
                <w:sz w:val="18"/>
                <w:szCs w:val="18"/>
              </w:rPr>
            </w:pPr>
            <w:r>
              <w:rPr>
                <w:sz w:val="18"/>
                <w:szCs w:val="18"/>
              </w:rPr>
              <w:t>单位油气产量耗电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975DF0">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05BE399">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2CEB13">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E70F0B0">
            <w:pPr>
              <w:spacing w:line="252" w:lineRule="exact"/>
              <w:rPr>
                <w:sz w:val="18"/>
                <w:szCs w:val="18"/>
              </w:rPr>
            </w:pPr>
            <w:r>
              <w:rPr>
                <w:sz w:val="18"/>
                <w:szCs w:val="18"/>
              </w:rPr>
              <w:t>油气田生产用电量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FCFFE8">
            <w:pPr>
              <w:spacing w:line="252" w:lineRule="exact"/>
              <w:rPr>
                <w:sz w:val="18"/>
                <w:szCs w:val="18"/>
              </w:rPr>
            </w:pPr>
            <w:r>
              <w:rPr>
                <w:sz w:val="18"/>
                <w:szCs w:val="18"/>
              </w:rPr>
              <w:t>油气当量产量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2EE4924">
            <w:pPr>
              <w:spacing w:line="252" w:lineRule="exact"/>
              <w:jc w:val="right"/>
              <w:rPr>
                <w:sz w:val="18"/>
                <w:szCs w:val="18"/>
              </w:rPr>
            </w:pPr>
            <w:r>
              <w:rPr>
                <w:sz w:val="18"/>
                <w:szCs w:val="18"/>
              </w:rPr>
              <w:t>10000</w:t>
            </w:r>
          </w:p>
        </w:tc>
      </w:tr>
      <w:tr w14:paraId="0F02118B">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79809C4D">
            <w:pPr>
              <w:spacing w:line="252" w:lineRule="exact"/>
              <w:jc w:val="left"/>
              <w:rPr>
                <w:b/>
                <w:bCs/>
                <w:sz w:val="18"/>
                <w:szCs w:val="18"/>
              </w:rPr>
            </w:pPr>
            <w:r>
              <w:rPr>
                <w:b/>
                <w:bCs/>
                <w:sz w:val="18"/>
                <w:szCs w:val="18"/>
              </w:rPr>
              <w:t>黑色金属矿(08)</w:t>
            </w:r>
          </w:p>
        </w:tc>
      </w:tr>
      <w:tr w14:paraId="00A9BC6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4E7FE16">
            <w:pPr>
              <w:spacing w:line="252" w:lineRule="exact"/>
              <w:jc w:val="center"/>
              <w:rPr>
                <w:sz w:val="18"/>
                <w:szCs w:val="18"/>
              </w:rPr>
            </w:pPr>
            <w:r>
              <w:rPr>
                <w:sz w:val="18"/>
                <w:szCs w:val="18"/>
              </w:rPr>
              <w:t>0801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B4E92BC">
            <w:pPr>
              <w:spacing w:line="252" w:lineRule="exact"/>
              <w:rPr>
                <w:sz w:val="18"/>
                <w:szCs w:val="18"/>
              </w:rPr>
            </w:pPr>
            <w:r>
              <w:rPr>
                <w:sz w:val="18"/>
                <w:szCs w:val="18"/>
              </w:rPr>
              <w:t>铁矿采矿工序单位能耗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60FF64">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D28221E">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7C64E4">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BD699E7">
            <w:pPr>
              <w:spacing w:line="252" w:lineRule="exact"/>
              <w:rPr>
                <w:sz w:val="18"/>
                <w:szCs w:val="18"/>
              </w:rPr>
            </w:pPr>
            <w:r>
              <w:rPr>
                <w:sz w:val="18"/>
                <w:szCs w:val="18"/>
              </w:rPr>
              <w:t>铁矿采矿工序净耗能量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99B16B">
            <w:pPr>
              <w:spacing w:line="252" w:lineRule="exact"/>
              <w:rPr>
                <w:sz w:val="18"/>
                <w:szCs w:val="18"/>
              </w:rPr>
            </w:pPr>
            <w:r>
              <w:rPr>
                <w:sz w:val="18"/>
                <w:szCs w:val="18"/>
              </w:rPr>
              <w:t>露天采剥(掘)总量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A846338">
            <w:pPr>
              <w:spacing w:line="252" w:lineRule="exact"/>
              <w:jc w:val="right"/>
              <w:rPr>
                <w:sz w:val="18"/>
                <w:szCs w:val="18"/>
              </w:rPr>
            </w:pPr>
            <w:r>
              <w:rPr>
                <w:sz w:val="18"/>
                <w:szCs w:val="18"/>
              </w:rPr>
              <w:t>1000</w:t>
            </w:r>
          </w:p>
        </w:tc>
      </w:tr>
      <w:tr w14:paraId="4450A793">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FFDD181">
            <w:pPr>
              <w:spacing w:line="252" w:lineRule="exact"/>
              <w:jc w:val="center"/>
              <w:rPr>
                <w:sz w:val="18"/>
                <w:szCs w:val="18"/>
              </w:rPr>
            </w:pPr>
            <w:r>
              <w:rPr>
                <w:sz w:val="18"/>
                <w:szCs w:val="18"/>
              </w:rPr>
              <w:t>0802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E96F00">
            <w:pPr>
              <w:spacing w:line="252" w:lineRule="exact"/>
              <w:rPr>
                <w:sz w:val="18"/>
                <w:szCs w:val="18"/>
              </w:rPr>
            </w:pPr>
            <w:r>
              <w:rPr>
                <w:sz w:val="18"/>
                <w:szCs w:val="18"/>
              </w:rPr>
              <w:t>铁矿选矿工序单位能耗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A9100E9">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B1F751">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116D72">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9C8B6AC">
            <w:pPr>
              <w:spacing w:line="252" w:lineRule="exact"/>
              <w:rPr>
                <w:sz w:val="18"/>
                <w:szCs w:val="18"/>
              </w:rPr>
            </w:pPr>
            <w:r>
              <w:rPr>
                <w:sz w:val="18"/>
                <w:szCs w:val="18"/>
              </w:rPr>
              <w:t>铁矿选矿工序净耗能量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ECF4FFC">
            <w:pPr>
              <w:spacing w:line="252" w:lineRule="exact"/>
              <w:rPr>
                <w:sz w:val="18"/>
                <w:szCs w:val="18"/>
              </w:rPr>
            </w:pPr>
            <w:r>
              <w:rPr>
                <w:sz w:val="18"/>
                <w:szCs w:val="18"/>
              </w:rPr>
              <w:t>处理原矿量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7EB2D31">
            <w:pPr>
              <w:spacing w:line="252" w:lineRule="exact"/>
              <w:jc w:val="right"/>
              <w:rPr>
                <w:sz w:val="18"/>
                <w:szCs w:val="18"/>
              </w:rPr>
            </w:pPr>
            <w:r>
              <w:rPr>
                <w:sz w:val="18"/>
                <w:szCs w:val="18"/>
              </w:rPr>
              <w:t>1000</w:t>
            </w:r>
          </w:p>
        </w:tc>
      </w:tr>
      <w:tr w14:paraId="481D92B5">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36F1F804">
            <w:pPr>
              <w:spacing w:line="252" w:lineRule="exact"/>
              <w:jc w:val="left"/>
              <w:rPr>
                <w:b/>
                <w:bCs/>
                <w:sz w:val="18"/>
                <w:szCs w:val="18"/>
              </w:rPr>
            </w:pPr>
            <w:r>
              <w:rPr>
                <w:b/>
                <w:bCs/>
                <w:sz w:val="18"/>
                <w:szCs w:val="18"/>
              </w:rPr>
              <w:t>化学纤维(28)</w:t>
            </w:r>
          </w:p>
        </w:tc>
      </w:tr>
      <w:tr w14:paraId="29F7BD5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092D3A6">
            <w:pPr>
              <w:spacing w:line="252" w:lineRule="exact"/>
              <w:jc w:val="center"/>
              <w:rPr>
                <w:sz w:val="18"/>
                <w:szCs w:val="18"/>
              </w:rPr>
            </w:pPr>
            <w:r>
              <w:rPr>
                <w:sz w:val="18"/>
                <w:szCs w:val="18"/>
              </w:rPr>
              <w:t>2820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93AFC06">
            <w:pPr>
              <w:spacing w:line="252" w:lineRule="exact"/>
              <w:rPr>
                <w:sz w:val="18"/>
                <w:szCs w:val="18"/>
              </w:rPr>
            </w:pPr>
            <w:r>
              <w:rPr>
                <w:sz w:val="18"/>
                <w:szCs w:val="18"/>
              </w:rPr>
              <w:t>吨粘胶纤维综合能耗(短纤)</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C23958">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70855B">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9C8CAC">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443E68">
            <w:pPr>
              <w:spacing w:line="252"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98D0F0">
            <w:pPr>
              <w:spacing w:line="252" w:lineRule="exact"/>
              <w:rPr>
                <w:sz w:val="18"/>
                <w:szCs w:val="18"/>
              </w:rPr>
            </w:pPr>
            <w:r>
              <w:rPr>
                <w:sz w:val="18"/>
                <w:szCs w:val="18"/>
              </w:rPr>
              <w:t>粘胶短纤维产量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089DD55">
            <w:pPr>
              <w:spacing w:line="252" w:lineRule="exact"/>
              <w:jc w:val="right"/>
              <w:rPr>
                <w:sz w:val="18"/>
                <w:szCs w:val="18"/>
              </w:rPr>
            </w:pPr>
            <w:r>
              <w:rPr>
                <w:sz w:val="18"/>
                <w:szCs w:val="18"/>
              </w:rPr>
              <w:t>1000</w:t>
            </w:r>
          </w:p>
        </w:tc>
      </w:tr>
      <w:tr w14:paraId="451CD1CA">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961CC4E">
            <w:pPr>
              <w:spacing w:line="252" w:lineRule="exact"/>
              <w:jc w:val="center"/>
              <w:rPr>
                <w:sz w:val="18"/>
                <w:szCs w:val="18"/>
              </w:rPr>
            </w:pPr>
            <w:r>
              <w:rPr>
                <w:sz w:val="18"/>
                <w:szCs w:val="18"/>
              </w:rPr>
              <w:t>2801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0253A1">
            <w:pPr>
              <w:spacing w:line="252" w:lineRule="exact"/>
              <w:rPr>
                <w:sz w:val="18"/>
                <w:szCs w:val="18"/>
              </w:rPr>
            </w:pPr>
            <w:r>
              <w:rPr>
                <w:sz w:val="18"/>
                <w:szCs w:val="18"/>
              </w:rPr>
              <w:t>吨粘胶纤维用电量(短纤)</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0C8028C">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9BEDDA9">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064F87">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6DC49C">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5BEF79">
            <w:pPr>
              <w:spacing w:line="252" w:lineRule="exact"/>
              <w:rPr>
                <w:sz w:val="18"/>
                <w:szCs w:val="18"/>
              </w:rPr>
            </w:pPr>
            <w:r>
              <w:rPr>
                <w:sz w:val="18"/>
                <w:szCs w:val="18"/>
              </w:rPr>
              <w:t>粘胶短纤维产量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5549637">
            <w:pPr>
              <w:spacing w:line="252" w:lineRule="exact"/>
              <w:jc w:val="right"/>
              <w:rPr>
                <w:sz w:val="18"/>
                <w:szCs w:val="18"/>
              </w:rPr>
            </w:pPr>
            <w:r>
              <w:rPr>
                <w:sz w:val="18"/>
                <w:szCs w:val="18"/>
              </w:rPr>
              <w:t>10000</w:t>
            </w:r>
          </w:p>
        </w:tc>
      </w:tr>
      <w:tr w14:paraId="64C5DA3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766F5A1">
            <w:pPr>
              <w:spacing w:line="252" w:lineRule="exact"/>
              <w:jc w:val="center"/>
              <w:rPr>
                <w:sz w:val="18"/>
                <w:szCs w:val="18"/>
              </w:rPr>
            </w:pPr>
            <w:r>
              <w:rPr>
                <w:sz w:val="18"/>
                <w:szCs w:val="18"/>
              </w:rPr>
              <w:t>2830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E01D85E">
            <w:pPr>
              <w:spacing w:line="252" w:lineRule="exact"/>
              <w:rPr>
                <w:sz w:val="18"/>
                <w:szCs w:val="18"/>
              </w:rPr>
            </w:pPr>
            <w:r>
              <w:rPr>
                <w:sz w:val="18"/>
                <w:szCs w:val="18"/>
              </w:rPr>
              <w:t>吨粘胶纤维综合能耗(长丝)</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670FF5">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8BAA12D">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31CC6EF">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058B18E">
            <w:pPr>
              <w:spacing w:line="252"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CD60EE3">
            <w:pPr>
              <w:spacing w:line="252" w:lineRule="exact"/>
              <w:rPr>
                <w:sz w:val="18"/>
                <w:szCs w:val="18"/>
              </w:rPr>
            </w:pPr>
            <w:r>
              <w:rPr>
                <w:sz w:val="18"/>
                <w:szCs w:val="18"/>
              </w:rPr>
              <w:t>粘胶纤维长丝产量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21CFBB2">
            <w:pPr>
              <w:spacing w:line="252" w:lineRule="exact"/>
              <w:jc w:val="right"/>
              <w:rPr>
                <w:sz w:val="18"/>
                <w:szCs w:val="18"/>
              </w:rPr>
            </w:pPr>
            <w:r>
              <w:rPr>
                <w:sz w:val="18"/>
                <w:szCs w:val="18"/>
              </w:rPr>
              <w:t>1000</w:t>
            </w:r>
          </w:p>
        </w:tc>
      </w:tr>
      <w:tr w14:paraId="5ABF769E">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A8E8F02">
            <w:pPr>
              <w:spacing w:line="252" w:lineRule="exact"/>
              <w:jc w:val="center"/>
              <w:rPr>
                <w:sz w:val="18"/>
                <w:szCs w:val="18"/>
              </w:rPr>
            </w:pPr>
            <w:r>
              <w:rPr>
                <w:sz w:val="18"/>
                <w:szCs w:val="18"/>
              </w:rPr>
              <w:t>2803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A4063E">
            <w:pPr>
              <w:spacing w:line="252" w:lineRule="exact"/>
              <w:rPr>
                <w:sz w:val="18"/>
                <w:szCs w:val="18"/>
              </w:rPr>
            </w:pPr>
            <w:r>
              <w:rPr>
                <w:sz w:val="18"/>
                <w:szCs w:val="18"/>
              </w:rPr>
              <w:t>吨粘胶纤维用电量(长丝)</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6DBBBF">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B6D9C7">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9136FBB">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453033F">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F6583A">
            <w:pPr>
              <w:spacing w:line="252" w:lineRule="exact"/>
              <w:rPr>
                <w:sz w:val="18"/>
                <w:szCs w:val="18"/>
              </w:rPr>
            </w:pPr>
            <w:r>
              <w:rPr>
                <w:sz w:val="18"/>
                <w:szCs w:val="18"/>
              </w:rPr>
              <w:t>粘胶纤维长丝产量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8D7A396">
            <w:pPr>
              <w:spacing w:line="252" w:lineRule="exact"/>
              <w:jc w:val="right"/>
              <w:rPr>
                <w:sz w:val="18"/>
                <w:szCs w:val="18"/>
              </w:rPr>
            </w:pPr>
            <w:r>
              <w:rPr>
                <w:sz w:val="18"/>
                <w:szCs w:val="18"/>
              </w:rPr>
              <w:t>10000</w:t>
            </w:r>
          </w:p>
        </w:tc>
      </w:tr>
      <w:tr w14:paraId="1B981AF5">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AF59B2F">
            <w:pPr>
              <w:spacing w:line="252" w:lineRule="exact"/>
              <w:jc w:val="center"/>
              <w:rPr>
                <w:sz w:val="18"/>
                <w:szCs w:val="18"/>
              </w:rPr>
            </w:pPr>
            <w:r>
              <w:rPr>
                <w:sz w:val="18"/>
                <w:szCs w:val="18"/>
              </w:rPr>
              <w:t>2840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6A105E4">
            <w:pPr>
              <w:spacing w:line="252" w:lineRule="exact"/>
              <w:rPr>
                <w:sz w:val="18"/>
                <w:szCs w:val="18"/>
              </w:rPr>
            </w:pPr>
            <w:r>
              <w:rPr>
                <w:sz w:val="18"/>
                <w:szCs w:val="18"/>
              </w:rPr>
              <w:t>吨锦纶综合能耗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9D01D70">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3FCFB1A">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4E1F06">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4FE6A1">
            <w:pPr>
              <w:spacing w:line="252"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1932F18">
            <w:pPr>
              <w:spacing w:line="252" w:lineRule="exact"/>
              <w:rPr>
                <w:sz w:val="18"/>
                <w:szCs w:val="18"/>
              </w:rPr>
            </w:pPr>
            <w:r>
              <w:rPr>
                <w:sz w:val="18"/>
                <w:szCs w:val="18"/>
              </w:rPr>
              <w:t>锦纶纤维产量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B56436D">
            <w:pPr>
              <w:spacing w:line="252" w:lineRule="exact"/>
              <w:jc w:val="right"/>
              <w:rPr>
                <w:sz w:val="18"/>
                <w:szCs w:val="18"/>
              </w:rPr>
            </w:pPr>
            <w:r>
              <w:rPr>
                <w:sz w:val="18"/>
                <w:szCs w:val="18"/>
              </w:rPr>
              <w:t>1000</w:t>
            </w:r>
          </w:p>
        </w:tc>
      </w:tr>
      <w:tr w14:paraId="0EA41154">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24A119B">
            <w:pPr>
              <w:spacing w:line="252" w:lineRule="exact"/>
              <w:jc w:val="center"/>
              <w:rPr>
                <w:sz w:val="18"/>
                <w:szCs w:val="18"/>
              </w:rPr>
            </w:pPr>
            <w:r>
              <w:rPr>
                <w:sz w:val="18"/>
                <w:szCs w:val="18"/>
              </w:rPr>
              <w:t>2805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75F1AF">
            <w:pPr>
              <w:spacing w:line="252" w:lineRule="exact"/>
              <w:rPr>
                <w:sz w:val="18"/>
                <w:szCs w:val="18"/>
              </w:rPr>
            </w:pPr>
            <w:r>
              <w:rPr>
                <w:sz w:val="18"/>
                <w:szCs w:val="18"/>
              </w:rPr>
              <w:t>吨锦纶用电量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87382F">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A56661A">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1C576B3">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4049D7">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267F223">
            <w:pPr>
              <w:spacing w:line="252" w:lineRule="exact"/>
              <w:rPr>
                <w:sz w:val="18"/>
                <w:szCs w:val="18"/>
              </w:rPr>
            </w:pPr>
            <w:r>
              <w:rPr>
                <w:sz w:val="18"/>
                <w:szCs w:val="18"/>
              </w:rPr>
              <w:t>锦纶纤维产量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6239591">
            <w:pPr>
              <w:spacing w:line="252" w:lineRule="exact"/>
              <w:jc w:val="right"/>
              <w:rPr>
                <w:sz w:val="18"/>
                <w:szCs w:val="18"/>
              </w:rPr>
            </w:pPr>
            <w:r>
              <w:rPr>
                <w:sz w:val="18"/>
                <w:szCs w:val="18"/>
              </w:rPr>
              <w:t>10000</w:t>
            </w:r>
          </w:p>
        </w:tc>
      </w:tr>
      <w:tr w14:paraId="5FBA8F46">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38DA6BB">
            <w:pPr>
              <w:spacing w:line="252" w:lineRule="exact"/>
              <w:jc w:val="center"/>
              <w:rPr>
                <w:sz w:val="18"/>
                <w:szCs w:val="18"/>
              </w:rPr>
            </w:pPr>
            <w:r>
              <w:rPr>
                <w:sz w:val="18"/>
                <w:szCs w:val="18"/>
              </w:rPr>
              <w:t>2850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2BFCF9B">
            <w:pPr>
              <w:spacing w:line="252" w:lineRule="exact"/>
              <w:rPr>
                <w:sz w:val="18"/>
                <w:szCs w:val="18"/>
              </w:rPr>
            </w:pPr>
            <w:r>
              <w:rPr>
                <w:sz w:val="18"/>
                <w:szCs w:val="18"/>
              </w:rPr>
              <w:t>吨涤纶综合能耗(短纤)</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7C6613">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0C396E">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DD7F756">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3594F7">
            <w:pPr>
              <w:spacing w:line="252"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D1E2F5">
            <w:pPr>
              <w:spacing w:line="252" w:lineRule="exact"/>
              <w:rPr>
                <w:sz w:val="18"/>
                <w:szCs w:val="18"/>
              </w:rPr>
            </w:pPr>
            <w:r>
              <w:rPr>
                <w:sz w:val="18"/>
                <w:szCs w:val="18"/>
              </w:rPr>
              <w:t>涤纶纤维产量(短纤)</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24012F1">
            <w:pPr>
              <w:spacing w:line="252" w:lineRule="exact"/>
              <w:jc w:val="right"/>
              <w:rPr>
                <w:sz w:val="18"/>
                <w:szCs w:val="18"/>
              </w:rPr>
            </w:pPr>
            <w:r>
              <w:rPr>
                <w:sz w:val="18"/>
                <w:szCs w:val="18"/>
              </w:rPr>
              <w:t>1000</w:t>
            </w:r>
          </w:p>
        </w:tc>
      </w:tr>
      <w:tr w14:paraId="43CCA5D7">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7DAFF1B">
            <w:pPr>
              <w:spacing w:line="252" w:lineRule="exact"/>
              <w:jc w:val="center"/>
              <w:rPr>
                <w:sz w:val="18"/>
                <w:szCs w:val="18"/>
              </w:rPr>
            </w:pPr>
            <w:r>
              <w:rPr>
                <w:sz w:val="18"/>
                <w:szCs w:val="18"/>
              </w:rPr>
              <w:t>2807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5DF2E1">
            <w:pPr>
              <w:spacing w:line="252" w:lineRule="exact"/>
              <w:rPr>
                <w:sz w:val="18"/>
                <w:szCs w:val="18"/>
              </w:rPr>
            </w:pPr>
            <w:r>
              <w:rPr>
                <w:sz w:val="18"/>
                <w:szCs w:val="18"/>
              </w:rPr>
              <w:t>吨涤纶用电量(短纤)</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C367F43">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D5183DB">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8897989">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D0C189B">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BECCA14">
            <w:pPr>
              <w:spacing w:line="252" w:lineRule="exact"/>
              <w:rPr>
                <w:sz w:val="18"/>
                <w:szCs w:val="18"/>
              </w:rPr>
            </w:pPr>
            <w:r>
              <w:rPr>
                <w:sz w:val="18"/>
                <w:szCs w:val="18"/>
              </w:rPr>
              <w:t>涤纶纤维产量(短纤)</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3D849BA">
            <w:pPr>
              <w:spacing w:line="252" w:lineRule="exact"/>
              <w:jc w:val="right"/>
              <w:rPr>
                <w:sz w:val="18"/>
                <w:szCs w:val="18"/>
              </w:rPr>
            </w:pPr>
            <w:r>
              <w:rPr>
                <w:sz w:val="18"/>
                <w:szCs w:val="18"/>
              </w:rPr>
              <w:t>10000</w:t>
            </w:r>
          </w:p>
        </w:tc>
      </w:tr>
      <w:tr w14:paraId="5EFC7C07">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C96E1D6">
            <w:pPr>
              <w:spacing w:line="252" w:lineRule="exact"/>
              <w:jc w:val="center"/>
              <w:rPr>
                <w:sz w:val="18"/>
                <w:szCs w:val="18"/>
              </w:rPr>
            </w:pPr>
            <w:r>
              <w:rPr>
                <w:sz w:val="18"/>
                <w:szCs w:val="18"/>
              </w:rPr>
              <w:t>2860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C1A1FE">
            <w:pPr>
              <w:spacing w:line="252" w:lineRule="exact"/>
              <w:rPr>
                <w:sz w:val="18"/>
                <w:szCs w:val="18"/>
              </w:rPr>
            </w:pPr>
            <w:r>
              <w:rPr>
                <w:sz w:val="18"/>
                <w:szCs w:val="18"/>
              </w:rPr>
              <w:t>吨涤纶综合能耗(长丝)</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CD00B6B">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A058E36">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2ACF78B">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5EA6D4">
            <w:pPr>
              <w:spacing w:line="252"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DF2CDB">
            <w:pPr>
              <w:spacing w:line="252" w:lineRule="exact"/>
              <w:rPr>
                <w:sz w:val="18"/>
                <w:szCs w:val="18"/>
              </w:rPr>
            </w:pPr>
            <w:r>
              <w:rPr>
                <w:sz w:val="18"/>
                <w:szCs w:val="18"/>
              </w:rPr>
              <w:t>涤纶纤维产量(长丝)</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D935241">
            <w:pPr>
              <w:spacing w:line="252" w:lineRule="exact"/>
              <w:jc w:val="right"/>
              <w:rPr>
                <w:sz w:val="18"/>
                <w:szCs w:val="18"/>
              </w:rPr>
            </w:pPr>
            <w:r>
              <w:rPr>
                <w:sz w:val="18"/>
                <w:szCs w:val="18"/>
              </w:rPr>
              <w:t>1000</w:t>
            </w:r>
          </w:p>
        </w:tc>
      </w:tr>
      <w:tr w14:paraId="13F6CD77">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9D7F205">
            <w:pPr>
              <w:spacing w:line="252" w:lineRule="exact"/>
              <w:jc w:val="center"/>
              <w:rPr>
                <w:sz w:val="18"/>
                <w:szCs w:val="18"/>
              </w:rPr>
            </w:pPr>
            <w:r>
              <w:rPr>
                <w:sz w:val="18"/>
                <w:szCs w:val="18"/>
              </w:rPr>
              <w:t>2809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D625516">
            <w:pPr>
              <w:spacing w:line="252" w:lineRule="exact"/>
              <w:rPr>
                <w:sz w:val="18"/>
                <w:szCs w:val="18"/>
              </w:rPr>
            </w:pPr>
            <w:r>
              <w:rPr>
                <w:sz w:val="18"/>
                <w:szCs w:val="18"/>
              </w:rPr>
              <w:t>吨涤纶用电量(长丝)</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1CA6FF">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97FA5B">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A87C79">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55282B">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D4EE71">
            <w:pPr>
              <w:spacing w:line="252" w:lineRule="exact"/>
              <w:rPr>
                <w:sz w:val="18"/>
                <w:szCs w:val="18"/>
              </w:rPr>
            </w:pPr>
            <w:r>
              <w:rPr>
                <w:sz w:val="18"/>
                <w:szCs w:val="18"/>
              </w:rPr>
              <w:t>涤纶纤维产量(长丝)</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8B56F34">
            <w:pPr>
              <w:spacing w:line="252" w:lineRule="exact"/>
              <w:jc w:val="right"/>
              <w:rPr>
                <w:sz w:val="18"/>
                <w:szCs w:val="18"/>
              </w:rPr>
            </w:pPr>
            <w:r>
              <w:rPr>
                <w:sz w:val="18"/>
                <w:szCs w:val="18"/>
              </w:rPr>
              <w:t>10000</w:t>
            </w:r>
          </w:p>
        </w:tc>
      </w:tr>
      <w:tr w14:paraId="3035F7C7">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26D693C">
            <w:pPr>
              <w:spacing w:line="252" w:lineRule="exact"/>
              <w:jc w:val="center"/>
              <w:rPr>
                <w:sz w:val="18"/>
                <w:szCs w:val="18"/>
              </w:rPr>
            </w:pPr>
            <w:r>
              <w:rPr>
                <w:sz w:val="18"/>
                <w:szCs w:val="18"/>
              </w:rPr>
              <w:t>2870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DF7F6D">
            <w:pPr>
              <w:spacing w:line="252" w:lineRule="exact"/>
              <w:rPr>
                <w:sz w:val="18"/>
                <w:szCs w:val="18"/>
              </w:rPr>
            </w:pPr>
            <w:r>
              <w:rPr>
                <w:sz w:val="18"/>
                <w:szCs w:val="18"/>
              </w:rPr>
              <w:t>吨腈纶综合能耗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3E6F06A">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91F4509">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74ABED">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3835FBF">
            <w:pPr>
              <w:spacing w:line="252"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8109C72">
            <w:pPr>
              <w:spacing w:line="252" w:lineRule="exact"/>
              <w:rPr>
                <w:sz w:val="18"/>
                <w:szCs w:val="18"/>
              </w:rPr>
            </w:pPr>
            <w:r>
              <w:rPr>
                <w:sz w:val="18"/>
                <w:szCs w:val="18"/>
              </w:rPr>
              <w:t>腈纶纤维产量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213B94C">
            <w:pPr>
              <w:spacing w:line="252" w:lineRule="exact"/>
              <w:jc w:val="right"/>
              <w:rPr>
                <w:sz w:val="18"/>
                <w:szCs w:val="18"/>
              </w:rPr>
            </w:pPr>
            <w:r>
              <w:rPr>
                <w:sz w:val="18"/>
                <w:szCs w:val="18"/>
              </w:rPr>
              <w:t>1000</w:t>
            </w:r>
          </w:p>
        </w:tc>
      </w:tr>
      <w:tr w14:paraId="3CD1F72C">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83C4B36">
            <w:pPr>
              <w:spacing w:line="252" w:lineRule="exact"/>
              <w:jc w:val="center"/>
              <w:rPr>
                <w:sz w:val="18"/>
                <w:szCs w:val="18"/>
              </w:rPr>
            </w:pPr>
            <w:r>
              <w:rPr>
                <w:sz w:val="18"/>
                <w:szCs w:val="18"/>
              </w:rPr>
              <w:t>2811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40231D5">
            <w:pPr>
              <w:spacing w:line="252" w:lineRule="exact"/>
              <w:rPr>
                <w:sz w:val="18"/>
                <w:szCs w:val="18"/>
              </w:rPr>
            </w:pPr>
            <w:r>
              <w:rPr>
                <w:sz w:val="18"/>
                <w:szCs w:val="18"/>
              </w:rPr>
              <w:t>吨腈纶用电量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54EE44">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D4625F">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1AAFAF1">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E4FFA9">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058119B">
            <w:pPr>
              <w:spacing w:line="252" w:lineRule="exact"/>
              <w:rPr>
                <w:sz w:val="18"/>
                <w:szCs w:val="18"/>
              </w:rPr>
            </w:pPr>
            <w:r>
              <w:rPr>
                <w:sz w:val="18"/>
                <w:szCs w:val="18"/>
              </w:rPr>
              <w:t>腈纶纤维产量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B30FCC7">
            <w:pPr>
              <w:spacing w:line="252" w:lineRule="exact"/>
              <w:jc w:val="right"/>
              <w:rPr>
                <w:sz w:val="18"/>
                <w:szCs w:val="18"/>
              </w:rPr>
            </w:pPr>
            <w:r>
              <w:rPr>
                <w:sz w:val="18"/>
                <w:szCs w:val="18"/>
              </w:rPr>
              <w:t>10000</w:t>
            </w:r>
          </w:p>
        </w:tc>
      </w:tr>
      <w:tr w14:paraId="2AE4A4C1">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58F54D0">
            <w:pPr>
              <w:spacing w:line="252" w:lineRule="exact"/>
              <w:jc w:val="center"/>
              <w:rPr>
                <w:sz w:val="18"/>
                <w:szCs w:val="18"/>
              </w:rPr>
            </w:pPr>
            <w:r>
              <w:rPr>
                <w:sz w:val="18"/>
                <w:szCs w:val="18"/>
              </w:rPr>
              <w:t>2880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4B76EA">
            <w:pPr>
              <w:spacing w:line="252" w:lineRule="exact"/>
              <w:rPr>
                <w:sz w:val="18"/>
                <w:szCs w:val="18"/>
              </w:rPr>
            </w:pPr>
            <w:r>
              <w:rPr>
                <w:sz w:val="18"/>
                <w:szCs w:val="18"/>
              </w:rPr>
              <w:t>吨维纶综合能耗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0C04662">
            <w:pPr>
              <w:spacing w:line="252"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0C7E5C6">
            <w:pPr>
              <w:spacing w:line="252"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2B983A3">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F6F1A68">
            <w:pPr>
              <w:spacing w:line="252"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E7783A">
            <w:pPr>
              <w:spacing w:line="252" w:lineRule="exact"/>
              <w:rPr>
                <w:sz w:val="18"/>
                <w:szCs w:val="18"/>
              </w:rPr>
            </w:pPr>
            <w:r>
              <w:rPr>
                <w:sz w:val="18"/>
                <w:szCs w:val="18"/>
              </w:rPr>
              <w:t>维纶纤维产量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45ED9ED">
            <w:pPr>
              <w:spacing w:line="252" w:lineRule="exact"/>
              <w:jc w:val="right"/>
              <w:rPr>
                <w:sz w:val="18"/>
                <w:szCs w:val="18"/>
              </w:rPr>
            </w:pPr>
            <w:r>
              <w:rPr>
                <w:sz w:val="18"/>
                <w:szCs w:val="18"/>
              </w:rPr>
              <w:t>1000</w:t>
            </w:r>
          </w:p>
        </w:tc>
      </w:tr>
      <w:tr w14:paraId="25E0CA8D">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F21F1D3">
            <w:pPr>
              <w:spacing w:line="252" w:lineRule="exact"/>
              <w:jc w:val="center"/>
              <w:rPr>
                <w:sz w:val="18"/>
                <w:szCs w:val="18"/>
              </w:rPr>
            </w:pPr>
            <w:r>
              <w:rPr>
                <w:sz w:val="18"/>
                <w:szCs w:val="18"/>
              </w:rPr>
              <w:t>2813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919CEA5">
            <w:pPr>
              <w:spacing w:line="252" w:lineRule="exact"/>
              <w:rPr>
                <w:sz w:val="18"/>
                <w:szCs w:val="18"/>
              </w:rPr>
            </w:pPr>
            <w:r>
              <w:rPr>
                <w:sz w:val="18"/>
                <w:szCs w:val="18"/>
              </w:rPr>
              <w:t>吨维纶用电量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9060DCF">
            <w:pPr>
              <w:spacing w:line="252"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2F4B27">
            <w:pPr>
              <w:spacing w:line="252"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104DF6">
            <w:pPr>
              <w:spacing w:line="252"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83245F">
            <w:pPr>
              <w:spacing w:line="252"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3B73E62">
            <w:pPr>
              <w:spacing w:line="252" w:lineRule="exact"/>
              <w:rPr>
                <w:sz w:val="18"/>
                <w:szCs w:val="18"/>
              </w:rPr>
            </w:pPr>
            <w:r>
              <w:rPr>
                <w:sz w:val="18"/>
                <w:szCs w:val="18"/>
              </w:rPr>
              <w:t>维纶纤维产量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3CA5F11">
            <w:pPr>
              <w:spacing w:line="252" w:lineRule="exact"/>
              <w:jc w:val="right"/>
              <w:rPr>
                <w:sz w:val="18"/>
                <w:szCs w:val="18"/>
              </w:rPr>
            </w:pPr>
            <w:r>
              <w:rPr>
                <w:sz w:val="18"/>
                <w:szCs w:val="18"/>
              </w:rPr>
              <w:t>10000</w:t>
            </w:r>
          </w:p>
        </w:tc>
      </w:tr>
      <w:tr w14:paraId="6DDFE7E8">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8" w:space="0"/>
              <w:right w:val="nil"/>
            </w:tcBorders>
            <w:shd w:val="clear" w:color="auto" w:fill="auto"/>
            <w:tcMar>
              <w:top w:w="15" w:type="dxa"/>
              <w:left w:w="15" w:type="dxa"/>
              <w:bottom w:w="0" w:type="dxa"/>
              <w:right w:w="15" w:type="dxa"/>
            </w:tcMar>
            <w:vAlign w:val="center"/>
          </w:tcPr>
          <w:p w14:paraId="44BC5E44">
            <w:pPr>
              <w:spacing w:line="252" w:lineRule="exact"/>
              <w:rPr>
                <w:sz w:val="18"/>
                <w:szCs w:val="18"/>
              </w:rPr>
            </w:pPr>
            <w:r>
              <w:rPr>
                <w:b/>
                <w:bCs/>
                <w:sz w:val="18"/>
                <w:szCs w:val="18"/>
              </w:rPr>
              <w:t xml:space="preserve">纺织品(17) </w:t>
            </w:r>
          </w:p>
        </w:tc>
      </w:tr>
      <w:tr w14:paraId="149FA998">
        <w:tblPrEx>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E90888C">
            <w:pPr>
              <w:spacing w:line="26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16A80F8">
            <w:pPr>
              <w:spacing w:line="260" w:lineRule="exact"/>
              <w:jc w:val="center"/>
              <w:rPr>
                <w:sz w:val="18"/>
                <w:szCs w:val="18"/>
              </w:rPr>
            </w:pPr>
            <w:r>
              <w:rPr>
                <w:sz w:val="18"/>
                <w:szCs w:val="18"/>
              </w:rPr>
              <w:t>指标名称</w:t>
            </w:r>
          </w:p>
        </w:tc>
        <w:tc>
          <w:tcPr>
            <w:tcW w:w="2329" w:type="dxa"/>
            <w:gridSpan w:val="4"/>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A9A050C">
            <w:pPr>
              <w:spacing w:line="26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F4C605">
            <w:pPr>
              <w:spacing w:line="26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8A5DD3F">
            <w:pPr>
              <w:spacing w:line="260" w:lineRule="exact"/>
              <w:jc w:val="center"/>
              <w:rPr>
                <w:sz w:val="18"/>
                <w:szCs w:val="18"/>
              </w:rPr>
            </w:pPr>
            <w:r>
              <w:rPr>
                <w:sz w:val="18"/>
                <w:szCs w:val="18"/>
              </w:rPr>
              <w:t>单位换算系数</w:t>
            </w:r>
          </w:p>
        </w:tc>
      </w:tr>
      <w:tr w14:paraId="20C8B0F4">
        <w:tblPrEx>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14:paraId="2F4BFF1F">
            <w:pPr>
              <w:spacing w:line="260" w:lineRule="exact"/>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DF9C830">
            <w:pPr>
              <w:spacing w:line="260" w:lineRule="exact"/>
              <w:rPr>
                <w:sz w:val="18"/>
                <w:szCs w:val="18"/>
              </w:rPr>
            </w:pP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5E4F8E">
            <w:pPr>
              <w:spacing w:line="26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2F6B2D">
            <w:pPr>
              <w:spacing w:line="26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BEFE694">
            <w:pPr>
              <w:spacing w:line="26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DF2C7E5">
            <w:pPr>
              <w:spacing w:line="260"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A76933">
            <w:pPr>
              <w:spacing w:line="26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14:paraId="3CBDBF70">
            <w:pPr>
              <w:spacing w:line="260" w:lineRule="exact"/>
              <w:rPr>
                <w:sz w:val="18"/>
                <w:szCs w:val="18"/>
              </w:rPr>
            </w:pPr>
          </w:p>
        </w:tc>
      </w:tr>
      <w:tr w14:paraId="5A421367">
        <w:tblPrEx>
          <w:tblCellMar>
            <w:top w:w="0" w:type="dxa"/>
            <w:left w:w="0" w:type="dxa"/>
            <w:bottom w:w="0" w:type="dxa"/>
            <w:right w:w="0" w:type="dxa"/>
          </w:tblCellMar>
        </w:tblPrEx>
        <w:trPr>
          <w:trHeight w:val="300" w:hRule="atLeast"/>
        </w:trPr>
        <w:tc>
          <w:tcPr>
            <w:tcW w:w="559" w:type="dxa"/>
            <w:tcBorders>
              <w:top w:val="nil"/>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210935B">
            <w:pPr>
              <w:spacing w:line="260" w:lineRule="exact"/>
              <w:jc w:val="center"/>
              <w:rPr>
                <w:sz w:val="18"/>
                <w:szCs w:val="18"/>
              </w:rPr>
            </w:pPr>
            <w:r>
              <w:rPr>
                <w:sz w:val="18"/>
                <w:szCs w:val="18"/>
              </w:rPr>
              <w:t>1710</w:t>
            </w:r>
          </w:p>
        </w:tc>
        <w:tc>
          <w:tcPr>
            <w:tcW w:w="2268"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28DE96C">
            <w:pPr>
              <w:spacing w:line="260" w:lineRule="exact"/>
              <w:rPr>
                <w:sz w:val="18"/>
                <w:szCs w:val="18"/>
              </w:rPr>
            </w:pPr>
            <w:r>
              <w:rPr>
                <w:sz w:val="18"/>
                <w:szCs w:val="18"/>
              </w:rPr>
              <w:t>吨纱(线)混合数综合能耗</w:t>
            </w:r>
          </w:p>
        </w:tc>
        <w:tc>
          <w:tcPr>
            <w:tcW w:w="1283" w:type="dxa"/>
            <w:gridSpan w:val="2"/>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19B8F41">
            <w:pPr>
              <w:spacing w:line="260" w:lineRule="exact"/>
              <w:jc w:val="left"/>
              <w:rPr>
                <w:sz w:val="18"/>
                <w:szCs w:val="18"/>
              </w:rPr>
            </w:pPr>
            <w:r>
              <w:rPr>
                <w:sz w:val="18"/>
                <w:szCs w:val="18"/>
              </w:rPr>
              <w:t>千克标准煤/吨</w:t>
            </w:r>
          </w:p>
        </w:tc>
        <w:tc>
          <w:tcPr>
            <w:tcW w:w="525"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063A57">
            <w:pPr>
              <w:spacing w:line="260" w:lineRule="exact"/>
              <w:jc w:val="center"/>
              <w:rPr>
                <w:sz w:val="18"/>
                <w:szCs w:val="18"/>
              </w:rPr>
            </w:pPr>
            <w:r>
              <w:rPr>
                <w:sz w:val="18"/>
                <w:szCs w:val="18"/>
              </w:rPr>
              <w:t>吨标准煤</w:t>
            </w:r>
          </w:p>
        </w:tc>
        <w:tc>
          <w:tcPr>
            <w:tcW w:w="521"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B657F03">
            <w:pPr>
              <w:spacing w:line="260" w:lineRule="exact"/>
              <w:jc w:val="center"/>
              <w:rPr>
                <w:sz w:val="18"/>
                <w:szCs w:val="18"/>
              </w:rPr>
            </w:pPr>
            <w:r>
              <w:rPr>
                <w:sz w:val="18"/>
                <w:szCs w:val="18"/>
              </w:rPr>
              <w:t>吨</w:t>
            </w:r>
          </w:p>
        </w:tc>
        <w:tc>
          <w:tcPr>
            <w:tcW w:w="1914"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6E8C5E8">
            <w:pPr>
              <w:spacing w:line="260" w:lineRule="exact"/>
              <w:rPr>
                <w:sz w:val="18"/>
                <w:szCs w:val="18"/>
              </w:rPr>
            </w:pPr>
            <w:r>
              <w:rPr>
                <w:sz w:val="18"/>
                <w:szCs w:val="18"/>
              </w:rPr>
              <w:t>企业生产综合能源消费量</w:t>
            </w:r>
          </w:p>
        </w:tc>
        <w:tc>
          <w:tcPr>
            <w:tcW w:w="1680"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AC59DB">
            <w:pPr>
              <w:spacing w:line="260" w:lineRule="exact"/>
              <w:rPr>
                <w:sz w:val="18"/>
                <w:szCs w:val="18"/>
              </w:rPr>
            </w:pPr>
            <w:r>
              <w:rPr>
                <w:sz w:val="18"/>
                <w:szCs w:val="18"/>
              </w:rPr>
              <w:t>纱(线)混合数产量</w:t>
            </w:r>
          </w:p>
        </w:tc>
        <w:tc>
          <w:tcPr>
            <w:tcW w:w="715" w:type="dxa"/>
            <w:tcBorders>
              <w:top w:val="nil"/>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C257D47">
            <w:pPr>
              <w:spacing w:line="260" w:lineRule="exact"/>
              <w:jc w:val="right"/>
              <w:rPr>
                <w:sz w:val="18"/>
                <w:szCs w:val="18"/>
              </w:rPr>
            </w:pPr>
            <w:r>
              <w:rPr>
                <w:sz w:val="18"/>
                <w:szCs w:val="18"/>
              </w:rPr>
              <w:t>1000</w:t>
            </w:r>
          </w:p>
        </w:tc>
      </w:tr>
      <w:tr w14:paraId="4054EF2D">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C8DB7E5">
            <w:pPr>
              <w:spacing w:line="260" w:lineRule="exact"/>
              <w:jc w:val="center"/>
              <w:rPr>
                <w:sz w:val="18"/>
                <w:szCs w:val="18"/>
              </w:rPr>
            </w:pPr>
            <w:r>
              <w:rPr>
                <w:sz w:val="18"/>
                <w:szCs w:val="18"/>
              </w:rPr>
              <w:t>1715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ED6405">
            <w:pPr>
              <w:spacing w:line="260" w:lineRule="exact"/>
              <w:rPr>
                <w:sz w:val="18"/>
                <w:szCs w:val="18"/>
              </w:rPr>
            </w:pPr>
            <w:r>
              <w:rPr>
                <w:sz w:val="18"/>
                <w:szCs w:val="18"/>
              </w:rPr>
              <w:t>吨纱(线)混合数生产用电量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93AE2FA">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7B881E4">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D9E06F2">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F27E769">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3F0BAB">
            <w:pPr>
              <w:spacing w:line="260" w:lineRule="exact"/>
              <w:rPr>
                <w:sz w:val="18"/>
                <w:szCs w:val="18"/>
              </w:rPr>
            </w:pPr>
            <w:r>
              <w:rPr>
                <w:sz w:val="18"/>
                <w:szCs w:val="18"/>
              </w:rPr>
              <w:t>纱(线)混合数产量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3FA124A">
            <w:pPr>
              <w:spacing w:line="260" w:lineRule="exact"/>
              <w:jc w:val="right"/>
              <w:rPr>
                <w:sz w:val="18"/>
                <w:szCs w:val="18"/>
              </w:rPr>
            </w:pPr>
            <w:r>
              <w:rPr>
                <w:sz w:val="18"/>
                <w:szCs w:val="18"/>
              </w:rPr>
              <w:t>10000</w:t>
            </w:r>
          </w:p>
        </w:tc>
      </w:tr>
      <w:tr w14:paraId="26E4E86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178BC9D">
            <w:pPr>
              <w:spacing w:line="260" w:lineRule="exact"/>
              <w:jc w:val="center"/>
              <w:rPr>
                <w:sz w:val="18"/>
                <w:szCs w:val="18"/>
              </w:rPr>
            </w:pPr>
            <w:r>
              <w:rPr>
                <w:sz w:val="18"/>
                <w:szCs w:val="18"/>
              </w:rPr>
              <w:t>1730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50CC2B">
            <w:pPr>
              <w:spacing w:line="260" w:lineRule="exact"/>
              <w:rPr>
                <w:sz w:val="18"/>
                <w:szCs w:val="18"/>
              </w:rPr>
            </w:pPr>
            <w:r>
              <w:rPr>
                <w:sz w:val="18"/>
                <w:szCs w:val="18"/>
              </w:rPr>
              <w:t>万米布混合数综合能耗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12CD96">
            <w:pPr>
              <w:spacing w:line="260" w:lineRule="exact"/>
              <w:jc w:val="left"/>
              <w:rPr>
                <w:sz w:val="18"/>
                <w:szCs w:val="18"/>
              </w:rPr>
            </w:pPr>
            <w:r>
              <w:rPr>
                <w:sz w:val="18"/>
                <w:szCs w:val="18"/>
              </w:rPr>
              <w:t>千克标准煤/万米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DB98CF">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1288018">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35631A7">
            <w:pPr>
              <w:spacing w:line="260" w:lineRule="exact"/>
              <w:rPr>
                <w:sz w:val="18"/>
                <w:szCs w:val="18"/>
              </w:rPr>
            </w:pPr>
            <w:r>
              <w:rPr>
                <w:sz w:val="18"/>
                <w:szCs w:val="18"/>
              </w:rPr>
              <w:t>企业生产综合能源消费量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7CC352A">
            <w:pPr>
              <w:spacing w:line="260" w:lineRule="exact"/>
              <w:rPr>
                <w:sz w:val="18"/>
                <w:szCs w:val="18"/>
              </w:rPr>
            </w:pPr>
            <w:r>
              <w:rPr>
                <w:sz w:val="18"/>
                <w:szCs w:val="18"/>
              </w:rPr>
              <w:t>布混合数产量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825800A">
            <w:pPr>
              <w:spacing w:line="260" w:lineRule="exact"/>
              <w:jc w:val="right"/>
              <w:rPr>
                <w:sz w:val="18"/>
                <w:szCs w:val="18"/>
              </w:rPr>
            </w:pPr>
            <w:r>
              <w:rPr>
                <w:sz w:val="18"/>
                <w:szCs w:val="18"/>
              </w:rPr>
              <w:t>1000</w:t>
            </w:r>
          </w:p>
        </w:tc>
      </w:tr>
      <w:tr w14:paraId="1B737655">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3517D44">
            <w:pPr>
              <w:spacing w:line="260" w:lineRule="exact"/>
              <w:jc w:val="center"/>
              <w:rPr>
                <w:sz w:val="18"/>
                <w:szCs w:val="18"/>
              </w:rPr>
            </w:pPr>
            <w:r>
              <w:rPr>
                <w:sz w:val="18"/>
                <w:szCs w:val="18"/>
              </w:rPr>
              <w:t>1740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C2EE7D7">
            <w:pPr>
              <w:spacing w:line="260" w:lineRule="exact"/>
              <w:rPr>
                <w:sz w:val="18"/>
                <w:szCs w:val="18"/>
              </w:rPr>
            </w:pPr>
            <w:r>
              <w:rPr>
                <w:sz w:val="18"/>
                <w:szCs w:val="18"/>
              </w:rPr>
              <w:t>万米布混合数生产用电量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9068D3">
            <w:pPr>
              <w:spacing w:line="260" w:lineRule="exact"/>
              <w:jc w:val="left"/>
              <w:rPr>
                <w:sz w:val="18"/>
                <w:szCs w:val="18"/>
              </w:rPr>
            </w:pPr>
            <w:r>
              <w:rPr>
                <w:sz w:val="18"/>
                <w:szCs w:val="18"/>
              </w:rPr>
              <w:t>千瓦时/万米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2DA143">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E08F4DF">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744204">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B93E8F">
            <w:pPr>
              <w:spacing w:line="260" w:lineRule="exact"/>
              <w:rPr>
                <w:sz w:val="18"/>
                <w:szCs w:val="18"/>
              </w:rPr>
            </w:pPr>
            <w:r>
              <w:rPr>
                <w:sz w:val="18"/>
                <w:szCs w:val="18"/>
              </w:rPr>
              <w:t>布混合数产量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BF07111">
            <w:pPr>
              <w:spacing w:line="260" w:lineRule="exact"/>
              <w:jc w:val="right"/>
              <w:rPr>
                <w:sz w:val="18"/>
                <w:szCs w:val="18"/>
              </w:rPr>
            </w:pPr>
            <w:r>
              <w:rPr>
                <w:sz w:val="18"/>
                <w:szCs w:val="18"/>
              </w:rPr>
              <w:t>10000</w:t>
            </w:r>
          </w:p>
        </w:tc>
      </w:tr>
      <w:tr w14:paraId="3E92F258">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00409C6">
            <w:pPr>
              <w:spacing w:line="260" w:lineRule="exact"/>
              <w:jc w:val="center"/>
              <w:rPr>
                <w:sz w:val="18"/>
                <w:szCs w:val="18"/>
              </w:rPr>
            </w:pPr>
            <w:r>
              <w:rPr>
                <w:sz w:val="18"/>
                <w:szCs w:val="18"/>
              </w:rPr>
              <w:t>1750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4F288E4">
            <w:pPr>
              <w:spacing w:line="260" w:lineRule="exact"/>
              <w:rPr>
                <w:sz w:val="18"/>
                <w:szCs w:val="18"/>
              </w:rPr>
            </w:pPr>
            <w:r>
              <w:rPr>
                <w:sz w:val="18"/>
                <w:szCs w:val="18"/>
              </w:rPr>
              <w:t>万米印染布综合能耗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4E7A7C">
            <w:pPr>
              <w:spacing w:line="260" w:lineRule="exact"/>
              <w:jc w:val="left"/>
              <w:rPr>
                <w:sz w:val="18"/>
                <w:szCs w:val="18"/>
              </w:rPr>
            </w:pPr>
            <w:r>
              <w:rPr>
                <w:sz w:val="18"/>
                <w:szCs w:val="18"/>
              </w:rPr>
              <w:t>千克标准煤/万米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71EBF39">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A5A06BC">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88D6C8E">
            <w:pPr>
              <w:spacing w:line="260" w:lineRule="exact"/>
              <w:rPr>
                <w:sz w:val="18"/>
                <w:szCs w:val="18"/>
              </w:rPr>
            </w:pPr>
            <w:r>
              <w:rPr>
                <w:sz w:val="18"/>
                <w:szCs w:val="18"/>
              </w:rPr>
              <w:t>企业生产综合能耗量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30CBD2">
            <w:pPr>
              <w:spacing w:line="260" w:lineRule="exact"/>
              <w:rPr>
                <w:sz w:val="18"/>
                <w:szCs w:val="18"/>
              </w:rPr>
            </w:pPr>
            <w:r>
              <w:rPr>
                <w:sz w:val="18"/>
                <w:szCs w:val="18"/>
              </w:rPr>
              <w:t>印染布产量.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40004FD">
            <w:pPr>
              <w:spacing w:line="260" w:lineRule="exact"/>
              <w:jc w:val="right"/>
              <w:rPr>
                <w:sz w:val="18"/>
                <w:szCs w:val="18"/>
              </w:rPr>
            </w:pPr>
            <w:r>
              <w:rPr>
                <w:sz w:val="18"/>
                <w:szCs w:val="18"/>
              </w:rPr>
              <w:t>1000</w:t>
            </w:r>
          </w:p>
        </w:tc>
      </w:tr>
      <w:tr w14:paraId="2C94D28E">
        <w:tblPrEx>
          <w:tblCellMar>
            <w:top w:w="0" w:type="dxa"/>
            <w:left w:w="0" w:type="dxa"/>
            <w:bottom w:w="0" w:type="dxa"/>
            <w:right w:w="0" w:type="dxa"/>
          </w:tblCellMar>
        </w:tblPrEx>
        <w:trPr>
          <w:trHeight w:val="300" w:hRule="atLeast"/>
        </w:trPr>
        <w:tc>
          <w:tcPr>
            <w:tcW w:w="559" w:type="dxa"/>
            <w:tcBorders>
              <w:top w:val="nil"/>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D3BFCA1">
            <w:pPr>
              <w:spacing w:line="260" w:lineRule="exact"/>
              <w:jc w:val="center"/>
              <w:rPr>
                <w:sz w:val="18"/>
                <w:szCs w:val="18"/>
              </w:rPr>
            </w:pPr>
            <w:r>
              <w:rPr>
                <w:sz w:val="18"/>
                <w:szCs w:val="18"/>
              </w:rPr>
              <w:t>1770</w:t>
            </w:r>
          </w:p>
        </w:tc>
        <w:tc>
          <w:tcPr>
            <w:tcW w:w="2268"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840FA2">
            <w:pPr>
              <w:spacing w:line="260" w:lineRule="exact"/>
              <w:rPr>
                <w:sz w:val="18"/>
                <w:szCs w:val="18"/>
              </w:rPr>
            </w:pPr>
            <w:r>
              <w:rPr>
                <w:sz w:val="18"/>
                <w:szCs w:val="18"/>
              </w:rPr>
              <w:t>万米丝织品综合能耗</w:t>
            </w:r>
          </w:p>
        </w:tc>
        <w:tc>
          <w:tcPr>
            <w:tcW w:w="1283" w:type="dxa"/>
            <w:gridSpan w:val="2"/>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0A8EEC9">
            <w:pPr>
              <w:spacing w:line="260" w:lineRule="exact"/>
              <w:jc w:val="left"/>
              <w:rPr>
                <w:sz w:val="18"/>
                <w:szCs w:val="18"/>
              </w:rPr>
            </w:pPr>
            <w:r>
              <w:rPr>
                <w:sz w:val="18"/>
                <w:szCs w:val="18"/>
              </w:rPr>
              <w:t>千克标准煤/万米</w:t>
            </w:r>
          </w:p>
        </w:tc>
        <w:tc>
          <w:tcPr>
            <w:tcW w:w="525"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E182261">
            <w:pPr>
              <w:spacing w:line="260" w:lineRule="exact"/>
              <w:jc w:val="center"/>
              <w:rPr>
                <w:sz w:val="18"/>
                <w:szCs w:val="18"/>
              </w:rPr>
            </w:pPr>
            <w:r>
              <w:rPr>
                <w:sz w:val="18"/>
                <w:szCs w:val="18"/>
              </w:rPr>
              <w:t>吨标准煤</w:t>
            </w:r>
          </w:p>
        </w:tc>
        <w:tc>
          <w:tcPr>
            <w:tcW w:w="521"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F598EC7">
            <w:pPr>
              <w:spacing w:line="260" w:lineRule="exact"/>
              <w:jc w:val="center"/>
              <w:rPr>
                <w:sz w:val="18"/>
                <w:szCs w:val="18"/>
              </w:rPr>
            </w:pPr>
            <w:r>
              <w:rPr>
                <w:sz w:val="18"/>
                <w:szCs w:val="18"/>
              </w:rPr>
              <w:t>万米</w:t>
            </w:r>
          </w:p>
        </w:tc>
        <w:tc>
          <w:tcPr>
            <w:tcW w:w="1914"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F1CEA5D">
            <w:pPr>
              <w:spacing w:line="260" w:lineRule="exact"/>
              <w:rPr>
                <w:sz w:val="18"/>
                <w:szCs w:val="18"/>
              </w:rPr>
            </w:pPr>
            <w:r>
              <w:rPr>
                <w:sz w:val="18"/>
                <w:szCs w:val="18"/>
              </w:rPr>
              <w:t>企业生产综合能耗量</w:t>
            </w:r>
          </w:p>
        </w:tc>
        <w:tc>
          <w:tcPr>
            <w:tcW w:w="1680"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8201271">
            <w:pPr>
              <w:spacing w:line="260" w:lineRule="exact"/>
              <w:rPr>
                <w:sz w:val="18"/>
                <w:szCs w:val="18"/>
              </w:rPr>
            </w:pPr>
            <w:r>
              <w:rPr>
                <w:sz w:val="18"/>
                <w:szCs w:val="18"/>
              </w:rPr>
              <w:t>丝织品产量</w:t>
            </w:r>
          </w:p>
        </w:tc>
        <w:tc>
          <w:tcPr>
            <w:tcW w:w="715" w:type="dxa"/>
            <w:tcBorders>
              <w:top w:val="nil"/>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129D074">
            <w:pPr>
              <w:spacing w:line="260" w:lineRule="exact"/>
              <w:jc w:val="right"/>
              <w:rPr>
                <w:sz w:val="18"/>
                <w:szCs w:val="18"/>
              </w:rPr>
            </w:pPr>
            <w:r>
              <w:rPr>
                <w:sz w:val="18"/>
                <w:szCs w:val="18"/>
              </w:rPr>
              <w:t>1000</w:t>
            </w:r>
          </w:p>
        </w:tc>
      </w:tr>
      <w:tr w14:paraId="0EDE084B">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A8EB988">
            <w:pPr>
              <w:spacing w:line="260" w:lineRule="exact"/>
              <w:jc w:val="center"/>
              <w:rPr>
                <w:sz w:val="18"/>
                <w:szCs w:val="18"/>
              </w:rPr>
            </w:pPr>
            <w:r>
              <w:rPr>
                <w:sz w:val="18"/>
                <w:szCs w:val="18"/>
              </w:rPr>
              <w:t>1780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CF88732">
            <w:pPr>
              <w:spacing w:line="260" w:lineRule="exact"/>
              <w:rPr>
                <w:sz w:val="18"/>
                <w:szCs w:val="18"/>
              </w:rPr>
            </w:pPr>
            <w:r>
              <w:rPr>
                <w:sz w:val="18"/>
                <w:szCs w:val="18"/>
              </w:rPr>
              <w:t>万米丝织品用电量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CF34B7A">
            <w:pPr>
              <w:spacing w:line="260" w:lineRule="exact"/>
              <w:jc w:val="left"/>
              <w:rPr>
                <w:sz w:val="18"/>
                <w:szCs w:val="18"/>
              </w:rPr>
            </w:pPr>
            <w:r>
              <w:rPr>
                <w:sz w:val="18"/>
                <w:szCs w:val="18"/>
              </w:rPr>
              <w:t>千瓦时/万米</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E81EB13">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202A5C">
            <w:pPr>
              <w:spacing w:line="260" w:lineRule="exact"/>
              <w:jc w:val="center"/>
              <w:rPr>
                <w:sz w:val="18"/>
                <w:szCs w:val="18"/>
              </w:rPr>
            </w:pPr>
            <w:r>
              <w:rPr>
                <w:sz w:val="18"/>
                <w:szCs w:val="18"/>
              </w:rPr>
              <w:t>万米</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C866D50">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106012">
            <w:pPr>
              <w:spacing w:line="260" w:lineRule="exact"/>
              <w:rPr>
                <w:sz w:val="18"/>
                <w:szCs w:val="18"/>
              </w:rPr>
            </w:pPr>
            <w:r>
              <w:rPr>
                <w:sz w:val="18"/>
                <w:szCs w:val="18"/>
              </w:rPr>
              <w:t>丝织品产量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2173298">
            <w:pPr>
              <w:spacing w:line="260" w:lineRule="exact"/>
              <w:jc w:val="right"/>
              <w:rPr>
                <w:sz w:val="18"/>
                <w:szCs w:val="18"/>
              </w:rPr>
            </w:pPr>
            <w:r>
              <w:rPr>
                <w:sz w:val="18"/>
                <w:szCs w:val="18"/>
              </w:rPr>
              <w:t>10000</w:t>
            </w:r>
          </w:p>
        </w:tc>
      </w:tr>
      <w:tr w14:paraId="1610C4E8">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6BF2E343">
            <w:pPr>
              <w:spacing w:line="260" w:lineRule="exact"/>
              <w:jc w:val="left"/>
              <w:rPr>
                <w:b/>
                <w:bCs/>
                <w:sz w:val="18"/>
                <w:szCs w:val="18"/>
              </w:rPr>
            </w:pPr>
            <w:r>
              <w:rPr>
                <w:b/>
                <w:bCs/>
                <w:sz w:val="18"/>
                <w:szCs w:val="18"/>
              </w:rPr>
              <w:t>造纸及纸制品(22)</w:t>
            </w:r>
          </w:p>
        </w:tc>
      </w:tr>
      <w:tr w14:paraId="29D517F9">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6309BD66">
            <w:pPr>
              <w:spacing w:line="260" w:lineRule="exact"/>
              <w:jc w:val="center"/>
              <w:rPr>
                <w:sz w:val="18"/>
                <w:szCs w:val="18"/>
              </w:rPr>
            </w:pPr>
            <w:r>
              <w:rPr>
                <w:sz w:val="18"/>
                <w:szCs w:val="18"/>
              </w:rPr>
              <w:t>2202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E704E99">
            <w:pPr>
              <w:spacing w:line="260" w:lineRule="exact"/>
              <w:rPr>
                <w:sz w:val="18"/>
                <w:szCs w:val="18"/>
              </w:rPr>
            </w:pPr>
            <w:r>
              <w:rPr>
                <w:sz w:val="18"/>
                <w:szCs w:val="18"/>
              </w:rPr>
              <w:t>机制纸及纸板综合能耗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264324F">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B0744E">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245B3C">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F90EE8">
            <w:pPr>
              <w:spacing w:line="260" w:lineRule="exact"/>
              <w:rPr>
                <w:sz w:val="18"/>
                <w:szCs w:val="18"/>
              </w:rPr>
            </w:pPr>
            <w:r>
              <w:rPr>
                <w:sz w:val="18"/>
                <w:szCs w:val="18"/>
              </w:rPr>
              <w:t>企业生产综合能耗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CEF4BD8">
            <w:pPr>
              <w:spacing w:line="260" w:lineRule="exact"/>
              <w:rPr>
                <w:sz w:val="18"/>
                <w:szCs w:val="18"/>
              </w:rPr>
            </w:pPr>
            <w:r>
              <w:rPr>
                <w:sz w:val="18"/>
                <w:szCs w:val="18"/>
              </w:rPr>
              <w:t>机制纸及纸板(外购原纸加工除外)产量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ED7DA35">
            <w:pPr>
              <w:spacing w:line="260" w:lineRule="exact"/>
              <w:jc w:val="right"/>
              <w:rPr>
                <w:sz w:val="18"/>
                <w:szCs w:val="18"/>
              </w:rPr>
            </w:pPr>
            <w:r>
              <w:rPr>
                <w:sz w:val="18"/>
                <w:szCs w:val="18"/>
              </w:rPr>
              <w:t>1000</w:t>
            </w:r>
          </w:p>
        </w:tc>
      </w:tr>
      <w:tr w14:paraId="54885E3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6A806746">
            <w:pPr>
              <w:spacing w:line="260" w:lineRule="exact"/>
              <w:jc w:val="center"/>
              <w:rPr>
                <w:sz w:val="18"/>
                <w:szCs w:val="18"/>
              </w:rPr>
            </w:pPr>
            <w:r>
              <w:rPr>
                <w:sz w:val="18"/>
                <w:szCs w:val="18"/>
              </w:rPr>
              <w:t>2201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04AA51">
            <w:pPr>
              <w:spacing w:line="260" w:lineRule="exact"/>
              <w:rPr>
                <w:sz w:val="18"/>
                <w:szCs w:val="18"/>
              </w:rPr>
            </w:pPr>
            <w:r>
              <w:rPr>
                <w:sz w:val="18"/>
                <w:szCs w:val="18"/>
              </w:rPr>
              <w:t>机制纸及纸板耗电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EB07D6F">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59701E">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BC4085">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216C4E1">
            <w:pPr>
              <w:spacing w:line="260" w:lineRule="exact"/>
              <w:rPr>
                <w:sz w:val="18"/>
                <w:szCs w:val="18"/>
              </w:rPr>
            </w:pPr>
            <w:r>
              <w:rPr>
                <w:sz w:val="18"/>
                <w:szCs w:val="18"/>
              </w:rPr>
              <w:t>企业生产用电量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E3ADF63">
            <w:pPr>
              <w:spacing w:line="260" w:lineRule="exact"/>
              <w:rPr>
                <w:sz w:val="18"/>
                <w:szCs w:val="18"/>
              </w:rPr>
            </w:pPr>
            <w:r>
              <w:rPr>
                <w:sz w:val="18"/>
                <w:szCs w:val="18"/>
              </w:rPr>
              <w:t>机制纸及纸板(外购原纸加工除外)产量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AA3566B">
            <w:pPr>
              <w:spacing w:line="260" w:lineRule="exact"/>
              <w:jc w:val="right"/>
              <w:rPr>
                <w:sz w:val="18"/>
                <w:szCs w:val="18"/>
              </w:rPr>
            </w:pPr>
            <w:r>
              <w:rPr>
                <w:sz w:val="18"/>
                <w:szCs w:val="18"/>
              </w:rPr>
              <w:t>10000</w:t>
            </w:r>
          </w:p>
        </w:tc>
      </w:tr>
      <w:tr w14:paraId="0C5A9999">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62764560">
            <w:pPr>
              <w:spacing w:line="260" w:lineRule="exact"/>
              <w:jc w:val="left"/>
              <w:rPr>
                <w:b/>
                <w:bCs/>
                <w:sz w:val="18"/>
                <w:szCs w:val="18"/>
              </w:rPr>
            </w:pPr>
            <w:r>
              <w:rPr>
                <w:b/>
                <w:bCs/>
                <w:sz w:val="18"/>
                <w:szCs w:val="18"/>
              </w:rPr>
              <w:t>焦炭(25)</w:t>
            </w:r>
          </w:p>
        </w:tc>
      </w:tr>
      <w:tr w14:paraId="247BB2B4">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B7293F8">
            <w:pPr>
              <w:spacing w:line="260" w:lineRule="exact"/>
              <w:jc w:val="center"/>
              <w:rPr>
                <w:sz w:val="18"/>
                <w:szCs w:val="18"/>
              </w:rPr>
            </w:pPr>
            <w:r>
              <w:rPr>
                <w:sz w:val="18"/>
                <w:szCs w:val="18"/>
              </w:rPr>
              <w:t>2501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F9281CE">
            <w:pPr>
              <w:spacing w:line="260" w:lineRule="exact"/>
              <w:rPr>
                <w:sz w:val="18"/>
                <w:szCs w:val="18"/>
              </w:rPr>
            </w:pPr>
            <w:r>
              <w:rPr>
                <w:sz w:val="18"/>
                <w:szCs w:val="18"/>
              </w:rPr>
              <w:t>炼焦工序单位能耗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24E4F91">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584665">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692E463">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2C245E7">
            <w:pPr>
              <w:spacing w:line="260" w:lineRule="exact"/>
              <w:rPr>
                <w:sz w:val="18"/>
                <w:szCs w:val="18"/>
              </w:rPr>
            </w:pPr>
            <w:r>
              <w:rPr>
                <w:sz w:val="18"/>
                <w:szCs w:val="18"/>
              </w:rPr>
              <w:t>炼焦工序净耗能量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B01359F">
            <w:pPr>
              <w:spacing w:line="260" w:lineRule="exact"/>
              <w:rPr>
                <w:sz w:val="18"/>
                <w:szCs w:val="18"/>
              </w:rPr>
            </w:pPr>
            <w:r>
              <w:rPr>
                <w:sz w:val="18"/>
                <w:szCs w:val="18"/>
              </w:rPr>
              <w:t>全部焦炭合格产出量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AAAE5BE">
            <w:pPr>
              <w:spacing w:line="260" w:lineRule="exact"/>
              <w:jc w:val="right"/>
              <w:rPr>
                <w:sz w:val="18"/>
                <w:szCs w:val="18"/>
              </w:rPr>
            </w:pPr>
            <w:r>
              <w:rPr>
                <w:sz w:val="18"/>
                <w:szCs w:val="18"/>
              </w:rPr>
              <w:t>1000</w:t>
            </w:r>
          </w:p>
        </w:tc>
      </w:tr>
      <w:tr w14:paraId="427BB5F2">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27E60570">
            <w:pPr>
              <w:spacing w:line="260" w:lineRule="exact"/>
              <w:jc w:val="left"/>
              <w:rPr>
                <w:b/>
                <w:bCs/>
                <w:sz w:val="18"/>
                <w:szCs w:val="18"/>
              </w:rPr>
            </w:pPr>
            <w:r>
              <w:rPr>
                <w:b/>
                <w:bCs/>
                <w:sz w:val="18"/>
                <w:szCs w:val="18"/>
              </w:rPr>
              <w:t>原油加工(25)</w:t>
            </w:r>
          </w:p>
        </w:tc>
      </w:tr>
      <w:tr w14:paraId="642E8922">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98228E0">
            <w:pPr>
              <w:spacing w:line="260" w:lineRule="exact"/>
              <w:jc w:val="center"/>
              <w:rPr>
                <w:sz w:val="18"/>
                <w:szCs w:val="18"/>
              </w:rPr>
            </w:pPr>
            <w:r>
              <w:rPr>
                <w:sz w:val="18"/>
                <w:szCs w:val="18"/>
              </w:rPr>
              <w:t>2503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38EAE8A">
            <w:pPr>
              <w:spacing w:line="260" w:lineRule="exact"/>
              <w:rPr>
                <w:sz w:val="18"/>
                <w:szCs w:val="18"/>
              </w:rPr>
            </w:pPr>
            <w:r>
              <w:rPr>
                <w:sz w:val="18"/>
                <w:szCs w:val="18"/>
              </w:rPr>
              <w:t>原油加工单位综合能耗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A67E30">
            <w:pPr>
              <w:spacing w:line="260" w:lineRule="exact"/>
              <w:jc w:val="left"/>
              <w:rPr>
                <w:sz w:val="18"/>
                <w:szCs w:val="18"/>
              </w:rPr>
            </w:pPr>
            <w:r>
              <w:rPr>
                <w:sz w:val="18"/>
                <w:szCs w:val="18"/>
              </w:rPr>
              <w:t>千克标准油/吨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D44049">
            <w:pPr>
              <w:spacing w:line="260" w:lineRule="exact"/>
              <w:jc w:val="center"/>
              <w:rPr>
                <w:sz w:val="18"/>
                <w:szCs w:val="18"/>
              </w:rPr>
            </w:pPr>
            <w:r>
              <w:rPr>
                <w:sz w:val="18"/>
                <w:szCs w:val="18"/>
              </w:rPr>
              <w:t>吨标准油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B904378">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4C241D">
            <w:pPr>
              <w:spacing w:line="260" w:lineRule="exact"/>
              <w:rPr>
                <w:sz w:val="18"/>
                <w:szCs w:val="18"/>
              </w:rPr>
            </w:pPr>
            <w:r>
              <w:rPr>
                <w:sz w:val="18"/>
                <w:szCs w:val="18"/>
              </w:rPr>
              <w:t>综合能耗量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5ED634">
            <w:pPr>
              <w:spacing w:line="260" w:lineRule="exact"/>
              <w:rPr>
                <w:sz w:val="18"/>
                <w:szCs w:val="18"/>
              </w:rPr>
            </w:pPr>
            <w:r>
              <w:rPr>
                <w:sz w:val="18"/>
                <w:szCs w:val="18"/>
              </w:rPr>
              <w:t>原油及外购原料油加工量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FC0E3E6">
            <w:pPr>
              <w:spacing w:line="260" w:lineRule="exact"/>
              <w:jc w:val="right"/>
              <w:rPr>
                <w:sz w:val="18"/>
                <w:szCs w:val="18"/>
              </w:rPr>
            </w:pPr>
            <w:r>
              <w:rPr>
                <w:sz w:val="18"/>
                <w:szCs w:val="18"/>
              </w:rPr>
              <w:t>1000</w:t>
            </w:r>
          </w:p>
        </w:tc>
      </w:tr>
      <w:tr w14:paraId="1B533DBA">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3487266">
            <w:pPr>
              <w:spacing w:line="260" w:lineRule="exact"/>
              <w:jc w:val="center"/>
              <w:rPr>
                <w:sz w:val="18"/>
                <w:szCs w:val="18"/>
              </w:rPr>
            </w:pPr>
            <w:r>
              <w:rPr>
                <w:sz w:val="18"/>
                <w:szCs w:val="18"/>
              </w:rPr>
              <w:t>2502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EEC512">
            <w:pPr>
              <w:spacing w:line="260" w:lineRule="exact"/>
              <w:rPr>
                <w:sz w:val="18"/>
                <w:szCs w:val="18"/>
              </w:rPr>
            </w:pPr>
            <w:r>
              <w:rPr>
                <w:sz w:val="18"/>
                <w:szCs w:val="18"/>
              </w:rPr>
              <w:t>原油加工单位耗电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C74BE3">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70B31A">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9FBF013">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89F499D">
            <w:pPr>
              <w:spacing w:line="260" w:lineRule="exact"/>
              <w:rPr>
                <w:sz w:val="18"/>
                <w:szCs w:val="18"/>
              </w:rPr>
            </w:pPr>
            <w:r>
              <w:rPr>
                <w:sz w:val="18"/>
                <w:szCs w:val="18"/>
              </w:rPr>
              <w:t>炼油系统电消耗量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EC851D">
            <w:pPr>
              <w:spacing w:line="260" w:lineRule="exact"/>
              <w:rPr>
                <w:sz w:val="18"/>
                <w:szCs w:val="18"/>
              </w:rPr>
            </w:pPr>
            <w:r>
              <w:rPr>
                <w:sz w:val="18"/>
                <w:szCs w:val="18"/>
              </w:rPr>
              <w:t>原油及外购原料油加工量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836515E">
            <w:pPr>
              <w:spacing w:line="260" w:lineRule="exact"/>
              <w:jc w:val="right"/>
              <w:rPr>
                <w:sz w:val="18"/>
                <w:szCs w:val="18"/>
              </w:rPr>
            </w:pPr>
            <w:r>
              <w:rPr>
                <w:sz w:val="18"/>
                <w:szCs w:val="18"/>
              </w:rPr>
              <w:t>10000</w:t>
            </w:r>
          </w:p>
        </w:tc>
      </w:tr>
      <w:tr w14:paraId="63EF281D">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44C8FFD1">
            <w:pPr>
              <w:spacing w:line="260" w:lineRule="exact"/>
              <w:jc w:val="left"/>
              <w:rPr>
                <w:b/>
                <w:bCs/>
                <w:sz w:val="18"/>
                <w:szCs w:val="18"/>
              </w:rPr>
            </w:pPr>
            <w:r>
              <w:rPr>
                <w:b/>
                <w:bCs/>
                <w:sz w:val="18"/>
                <w:szCs w:val="18"/>
              </w:rPr>
              <w:t>无机碱(26)</w:t>
            </w:r>
          </w:p>
        </w:tc>
      </w:tr>
      <w:tr w14:paraId="413E0000">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3BD41B0F">
            <w:pPr>
              <w:spacing w:line="250" w:lineRule="exact"/>
              <w:jc w:val="center"/>
              <w:rPr>
                <w:sz w:val="18"/>
                <w:szCs w:val="18"/>
              </w:rPr>
            </w:pPr>
            <w:r>
              <w:rPr>
                <w:sz w:val="18"/>
                <w:szCs w:val="18"/>
              </w:rPr>
              <w:t>2601</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34AE254">
            <w:pPr>
              <w:spacing w:line="250" w:lineRule="exact"/>
              <w:rPr>
                <w:sz w:val="18"/>
                <w:szCs w:val="18"/>
              </w:rPr>
            </w:pPr>
            <w:r>
              <w:rPr>
                <w:sz w:val="18"/>
                <w:szCs w:val="18"/>
              </w:rPr>
              <w:t>单位烧碱生产综合能耗(离子膜法30%)</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6B5A2EB">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CECA369">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B7933E9">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F74001E">
            <w:pPr>
              <w:spacing w:line="25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79F3BA3">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3F598093">
            <w:pPr>
              <w:spacing w:line="250" w:lineRule="exact"/>
              <w:jc w:val="right"/>
              <w:rPr>
                <w:sz w:val="18"/>
                <w:szCs w:val="18"/>
              </w:rPr>
            </w:pPr>
            <w:r>
              <w:rPr>
                <w:sz w:val="18"/>
                <w:szCs w:val="18"/>
              </w:rPr>
              <w:t>1000</w:t>
            </w:r>
          </w:p>
        </w:tc>
      </w:tr>
      <w:tr w14:paraId="3DF2B34D">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2F5708D6">
            <w:pPr>
              <w:spacing w:line="250" w:lineRule="exact"/>
              <w:jc w:val="center"/>
              <w:rPr>
                <w:sz w:val="18"/>
                <w:szCs w:val="18"/>
              </w:rPr>
            </w:pPr>
            <w:r>
              <w:rPr>
                <w:sz w:val="18"/>
                <w:szCs w:val="18"/>
              </w:rPr>
              <w:t>2602</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ADCED7C">
            <w:pPr>
              <w:spacing w:line="250" w:lineRule="exact"/>
              <w:rPr>
                <w:sz w:val="18"/>
                <w:szCs w:val="18"/>
              </w:rPr>
            </w:pPr>
            <w:r>
              <w:rPr>
                <w:sz w:val="18"/>
                <w:szCs w:val="18"/>
              </w:rPr>
              <w:t>单位烧碱生产耗交流电(离子膜法30%)</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D4C30FA">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688E532">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CE858FC">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08E2D4B">
            <w:pPr>
              <w:spacing w:line="25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1EA2EFB">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1ED6B7C8">
            <w:pPr>
              <w:spacing w:line="250" w:lineRule="exact"/>
              <w:jc w:val="right"/>
              <w:rPr>
                <w:sz w:val="18"/>
                <w:szCs w:val="18"/>
              </w:rPr>
            </w:pPr>
            <w:r>
              <w:rPr>
                <w:sz w:val="18"/>
                <w:szCs w:val="18"/>
              </w:rPr>
              <w:t>10000</w:t>
            </w:r>
          </w:p>
        </w:tc>
      </w:tr>
      <w:tr w14:paraId="779D50FB">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79778EDA">
            <w:pPr>
              <w:spacing w:line="250" w:lineRule="exact"/>
              <w:jc w:val="center"/>
              <w:rPr>
                <w:sz w:val="18"/>
                <w:szCs w:val="18"/>
              </w:rPr>
            </w:pPr>
            <w:r>
              <w:rPr>
                <w:sz w:val="18"/>
                <w:szCs w:val="18"/>
              </w:rPr>
              <w:t>2641</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3A46C42">
            <w:pPr>
              <w:spacing w:line="250" w:lineRule="exact"/>
              <w:rPr>
                <w:sz w:val="18"/>
                <w:szCs w:val="18"/>
              </w:rPr>
            </w:pPr>
            <w:r>
              <w:rPr>
                <w:sz w:val="18"/>
                <w:szCs w:val="18"/>
              </w:rPr>
              <w:t>单位烧碱生产综合能耗(离子膜法45%)</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3F7A76D">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B19B1CB">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53F69A1">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31BD798">
            <w:pPr>
              <w:spacing w:line="25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32D1139">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48D254FC">
            <w:pPr>
              <w:spacing w:line="250" w:lineRule="exact"/>
              <w:jc w:val="right"/>
              <w:rPr>
                <w:sz w:val="18"/>
                <w:szCs w:val="18"/>
              </w:rPr>
            </w:pPr>
            <w:r>
              <w:rPr>
                <w:sz w:val="18"/>
                <w:szCs w:val="18"/>
              </w:rPr>
              <w:t>1000</w:t>
            </w:r>
          </w:p>
        </w:tc>
      </w:tr>
      <w:tr w14:paraId="130549B4">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00E87BBA">
            <w:pPr>
              <w:spacing w:line="250" w:lineRule="exact"/>
              <w:jc w:val="center"/>
              <w:rPr>
                <w:sz w:val="18"/>
                <w:szCs w:val="18"/>
              </w:rPr>
            </w:pPr>
            <w:r>
              <w:rPr>
                <w:sz w:val="18"/>
                <w:szCs w:val="18"/>
              </w:rPr>
              <w:t>2642</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4D8A7CD1">
            <w:pPr>
              <w:spacing w:line="250" w:lineRule="exact"/>
              <w:rPr>
                <w:sz w:val="18"/>
                <w:szCs w:val="18"/>
              </w:rPr>
            </w:pPr>
            <w:r>
              <w:rPr>
                <w:sz w:val="18"/>
                <w:szCs w:val="18"/>
              </w:rPr>
              <w:t>单位烧碱生产耗交流电(离子膜法45%)</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5AFD79A">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1322A5C">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EAE870A">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CC1910A">
            <w:pPr>
              <w:spacing w:line="25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5E62094">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2E472E32">
            <w:pPr>
              <w:spacing w:line="250" w:lineRule="exact"/>
              <w:jc w:val="right"/>
              <w:rPr>
                <w:sz w:val="18"/>
                <w:szCs w:val="18"/>
              </w:rPr>
            </w:pPr>
            <w:r>
              <w:rPr>
                <w:sz w:val="18"/>
                <w:szCs w:val="18"/>
              </w:rPr>
              <w:t>10000</w:t>
            </w:r>
          </w:p>
        </w:tc>
      </w:tr>
      <w:tr w14:paraId="41313F48">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07E80ACA">
            <w:pPr>
              <w:spacing w:line="250" w:lineRule="exact"/>
              <w:jc w:val="center"/>
              <w:rPr>
                <w:sz w:val="18"/>
                <w:szCs w:val="18"/>
              </w:rPr>
            </w:pPr>
            <w:r>
              <w:rPr>
                <w:sz w:val="18"/>
                <w:szCs w:val="18"/>
              </w:rPr>
              <w:t>2691</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626C5D4">
            <w:pPr>
              <w:spacing w:line="250" w:lineRule="exact"/>
              <w:rPr>
                <w:sz w:val="18"/>
                <w:szCs w:val="18"/>
              </w:rPr>
            </w:pPr>
            <w:r>
              <w:rPr>
                <w:sz w:val="18"/>
                <w:szCs w:val="18"/>
              </w:rPr>
              <w:t>单位烧碱生产综合能耗(离子膜法98%)</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1AB9E3E">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46A93AD">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EFC9841">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6428571">
            <w:pPr>
              <w:spacing w:line="25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654533D">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64F09093">
            <w:pPr>
              <w:spacing w:line="250" w:lineRule="exact"/>
              <w:jc w:val="right"/>
              <w:rPr>
                <w:sz w:val="18"/>
                <w:szCs w:val="18"/>
              </w:rPr>
            </w:pPr>
            <w:r>
              <w:rPr>
                <w:sz w:val="18"/>
                <w:szCs w:val="18"/>
              </w:rPr>
              <w:t>1000</w:t>
            </w:r>
          </w:p>
        </w:tc>
      </w:tr>
      <w:tr w14:paraId="478098DB">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05C20D5D">
            <w:pPr>
              <w:spacing w:line="250" w:lineRule="exact"/>
              <w:jc w:val="center"/>
              <w:rPr>
                <w:sz w:val="18"/>
                <w:szCs w:val="18"/>
              </w:rPr>
            </w:pPr>
            <w:r>
              <w:rPr>
                <w:sz w:val="18"/>
                <w:szCs w:val="18"/>
              </w:rPr>
              <w:t>2692</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37D8D8D">
            <w:pPr>
              <w:spacing w:line="250" w:lineRule="exact"/>
              <w:rPr>
                <w:sz w:val="18"/>
                <w:szCs w:val="18"/>
              </w:rPr>
            </w:pPr>
            <w:r>
              <w:rPr>
                <w:sz w:val="18"/>
                <w:szCs w:val="18"/>
              </w:rPr>
              <w:t>单位烧碱生产耗交流电(离子膜法98%)</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58919EA">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6F3031E">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534D0FB">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FBCFFBB">
            <w:pPr>
              <w:spacing w:line="25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6C391B3">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6282E127">
            <w:pPr>
              <w:spacing w:line="250" w:lineRule="exact"/>
              <w:jc w:val="right"/>
              <w:rPr>
                <w:sz w:val="18"/>
                <w:szCs w:val="18"/>
              </w:rPr>
            </w:pPr>
            <w:r>
              <w:rPr>
                <w:sz w:val="18"/>
                <w:szCs w:val="18"/>
              </w:rPr>
              <w:t>10000</w:t>
            </w:r>
          </w:p>
        </w:tc>
      </w:tr>
      <w:tr w14:paraId="450424A9">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65CA8AED">
            <w:pPr>
              <w:spacing w:line="250" w:lineRule="exact"/>
              <w:jc w:val="center"/>
              <w:rPr>
                <w:sz w:val="18"/>
                <w:szCs w:val="18"/>
              </w:rPr>
            </w:pPr>
            <w:r>
              <w:rPr>
                <w:sz w:val="18"/>
                <w:szCs w:val="18"/>
              </w:rPr>
              <w:t>2607</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453D4D2">
            <w:pPr>
              <w:spacing w:line="250" w:lineRule="exact"/>
              <w:rPr>
                <w:sz w:val="18"/>
                <w:szCs w:val="18"/>
              </w:rPr>
            </w:pPr>
            <w:r>
              <w:rPr>
                <w:sz w:val="18"/>
                <w:szCs w:val="18"/>
              </w:rPr>
              <w:t>单位烧碱生产综合能耗(隔膜法30%)</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4D14632">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9052E66">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7EB9AF9">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06B741A">
            <w:pPr>
              <w:spacing w:line="250" w:lineRule="exact"/>
              <w:rPr>
                <w:sz w:val="18"/>
                <w:szCs w:val="18"/>
              </w:rPr>
            </w:pPr>
            <w:r>
              <w:rPr>
                <w:sz w:val="18"/>
                <w:szCs w:val="18"/>
              </w:rPr>
              <w:t>烧碱综合能源消耗量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A5F0465">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43C4378A">
            <w:pPr>
              <w:spacing w:line="250" w:lineRule="exact"/>
              <w:jc w:val="right"/>
              <w:rPr>
                <w:sz w:val="18"/>
                <w:szCs w:val="18"/>
              </w:rPr>
            </w:pPr>
            <w:r>
              <w:rPr>
                <w:sz w:val="18"/>
                <w:szCs w:val="18"/>
              </w:rPr>
              <w:t>1000</w:t>
            </w:r>
          </w:p>
        </w:tc>
      </w:tr>
      <w:tr w14:paraId="3D46CDC3">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4701B0F7">
            <w:pPr>
              <w:spacing w:line="250" w:lineRule="exact"/>
              <w:jc w:val="center"/>
              <w:rPr>
                <w:sz w:val="18"/>
                <w:szCs w:val="18"/>
              </w:rPr>
            </w:pPr>
            <w:r>
              <w:rPr>
                <w:sz w:val="18"/>
                <w:szCs w:val="18"/>
              </w:rPr>
              <w:t>2608</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17F0D619">
            <w:pPr>
              <w:spacing w:line="250" w:lineRule="exact"/>
              <w:rPr>
                <w:sz w:val="18"/>
                <w:szCs w:val="18"/>
              </w:rPr>
            </w:pPr>
            <w:r>
              <w:rPr>
                <w:sz w:val="18"/>
                <w:szCs w:val="18"/>
              </w:rPr>
              <w:t>单位烧碱生产耗交流电(隔膜法30%)</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548232BA">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015C4BA">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414A91B">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B8B30AF">
            <w:pPr>
              <w:spacing w:line="250" w:lineRule="exact"/>
              <w:rPr>
                <w:sz w:val="18"/>
                <w:szCs w:val="18"/>
              </w:rPr>
            </w:pPr>
            <w:r>
              <w:rPr>
                <w:sz w:val="18"/>
                <w:szCs w:val="18"/>
              </w:rPr>
              <w:t>交流电消耗量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0E3593C">
            <w:pPr>
              <w:spacing w:line="250" w:lineRule="exact"/>
              <w:rPr>
                <w:sz w:val="18"/>
                <w:szCs w:val="18"/>
              </w:rPr>
            </w:pPr>
            <w:r>
              <w:rPr>
                <w:sz w:val="18"/>
                <w:szCs w:val="18"/>
              </w:rPr>
              <w:t>烧碱(折100%)产量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1F5E2503">
            <w:pPr>
              <w:spacing w:line="250" w:lineRule="exact"/>
              <w:jc w:val="right"/>
              <w:rPr>
                <w:sz w:val="18"/>
                <w:szCs w:val="18"/>
              </w:rPr>
            </w:pPr>
            <w:r>
              <w:rPr>
                <w:sz w:val="18"/>
                <w:szCs w:val="18"/>
              </w:rPr>
              <w:t>10000</w:t>
            </w:r>
          </w:p>
        </w:tc>
      </w:tr>
      <w:tr w14:paraId="1DBCACB7">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0BB31BD2">
            <w:pPr>
              <w:spacing w:line="250" w:lineRule="exact"/>
              <w:jc w:val="center"/>
              <w:rPr>
                <w:sz w:val="18"/>
                <w:szCs w:val="18"/>
              </w:rPr>
            </w:pPr>
            <w:r>
              <w:rPr>
                <w:sz w:val="18"/>
                <w:szCs w:val="18"/>
              </w:rPr>
              <w:t>2661</w:t>
            </w:r>
          </w:p>
        </w:tc>
        <w:tc>
          <w:tcPr>
            <w:tcW w:w="2268"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34B3A012">
            <w:pPr>
              <w:spacing w:line="250" w:lineRule="exact"/>
              <w:rPr>
                <w:sz w:val="18"/>
                <w:szCs w:val="18"/>
              </w:rPr>
            </w:pPr>
            <w:r>
              <w:rPr>
                <w:sz w:val="18"/>
                <w:szCs w:val="18"/>
              </w:rPr>
              <w:t>氨碱法单位纯碱生产综合能耗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2CBA9612">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0202597">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47221D15">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004483FC">
            <w:pPr>
              <w:spacing w:line="250" w:lineRule="exact"/>
              <w:rPr>
                <w:sz w:val="18"/>
                <w:szCs w:val="18"/>
              </w:rPr>
            </w:pPr>
            <w:r>
              <w:rPr>
                <w:sz w:val="18"/>
                <w:szCs w:val="18"/>
              </w:rPr>
              <w:t>纯碱综合能源消耗总量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BA0038F">
            <w:pPr>
              <w:spacing w:line="250"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1D518157">
            <w:pPr>
              <w:spacing w:line="250" w:lineRule="exact"/>
              <w:jc w:val="right"/>
              <w:rPr>
                <w:sz w:val="18"/>
                <w:szCs w:val="18"/>
              </w:rPr>
            </w:pPr>
            <w:r>
              <w:rPr>
                <w:sz w:val="18"/>
                <w:szCs w:val="18"/>
              </w:rPr>
              <w:t>1000</w:t>
            </w:r>
          </w:p>
        </w:tc>
      </w:tr>
      <w:tr w14:paraId="55803CB9">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B2F814C">
            <w:pPr>
              <w:spacing w:line="250" w:lineRule="exact"/>
              <w:jc w:val="center"/>
              <w:rPr>
                <w:sz w:val="18"/>
                <w:szCs w:val="18"/>
              </w:rPr>
            </w:pPr>
            <w:r>
              <w:rPr>
                <w:sz w:val="18"/>
                <w:szCs w:val="18"/>
              </w:rPr>
              <w:t>2662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711B1F">
            <w:pPr>
              <w:spacing w:line="250" w:lineRule="exact"/>
              <w:rPr>
                <w:sz w:val="18"/>
                <w:szCs w:val="18"/>
              </w:rPr>
            </w:pPr>
            <w:r>
              <w:rPr>
                <w:sz w:val="18"/>
                <w:szCs w:val="18"/>
              </w:rPr>
              <w:t>氨碱法单位纯碱生产耗电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EFD6594">
            <w:pPr>
              <w:spacing w:line="25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4D7371">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1096857">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23F4C0">
            <w:pPr>
              <w:spacing w:line="250" w:lineRule="exact"/>
              <w:rPr>
                <w:sz w:val="18"/>
                <w:szCs w:val="18"/>
              </w:rPr>
            </w:pPr>
            <w:r>
              <w:rPr>
                <w:sz w:val="18"/>
                <w:szCs w:val="18"/>
              </w:rPr>
              <w:t>纯碱生产耗电总量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3A597E">
            <w:pPr>
              <w:spacing w:line="250"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0BEFDF7">
            <w:pPr>
              <w:spacing w:line="250" w:lineRule="exact"/>
              <w:jc w:val="right"/>
              <w:rPr>
                <w:sz w:val="18"/>
                <w:szCs w:val="18"/>
              </w:rPr>
            </w:pPr>
            <w:r>
              <w:rPr>
                <w:sz w:val="18"/>
                <w:szCs w:val="18"/>
              </w:rPr>
              <w:t>10000</w:t>
            </w:r>
          </w:p>
        </w:tc>
      </w:tr>
      <w:tr w14:paraId="2F75C2E7">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8" w:space="0"/>
              <w:right w:val="single" w:color="auto" w:sz="2" w:space="0"/>
            </w:tcBorders>
            <w:shd w:val="clear" w:color="auto" w:fill="auto"/>
            <w:tcMar>
              <w:top w:w="15" w:type="dxa"/>
              <w:left w:w="15" w:type="dxa"/>
              <w:bottom w:w="0" w:type="dxa"/>
              <w:right w:w="15" w:type="dxa"/>
            </w:tcMar>
            <w:vAlign w:val="center"/>
          </w:tcPr>
          <w:p w14:paraId="396B1E1E">
            <w:pPr>
              <w:spacing w:line="246" w:lineRule="exact"/>
              <w:jc w:val="center"/>
              <w:rPr>
                <w:sz w:val="18"/>
                <w:szCs w:val="18"/>
              </w:rPr>
            </w:pPr>
            <w:r>
              <w:rPr>
                <w:sz w:val="18"/>
                <w:szCs w:val="18"/>
              </w:rPr>
              <w:t>2663</w:t>
            </w:r>
          </w:p>
        </w:tc>
        <w:tc>
          <w:tcPr>
            <w:tcW w:w="2268"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62C8B52F">
            <w:pPr>
              <w:spacing w:line="246" w:lineRule="exact"/>
              <w:rPr>
                <w:sz w:val="18"/>
                <w:szCs w:val="18"/>
              </w:rPr>
            </w:pPr>
            <w:r>
              <w:rPr>
                <w:sz w:val="18"/>
                <w:szCs w:val="18"/>
              </w:rPr>
              <w:t>联碱法纯碱双吨产品生产综合能耗</w:t>
            </w:r>
          </w:p>
        </w:tc>
        <w:tc>
          <w:tcPr>
            <w:tcW w:w="1283" w:type="dxa"/>
            <w:gridSpan w:val="2"/>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0EBA3354">
            <w:pPr>
              <w:spacing w:line="24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3BD93A23">
            <w:pPr>
              <w:spacing w:line="24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38950C32">
            <w:pPr>
              <w:spacing w:line="24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7CD74905">
            <w:pPr>
              <w:spacing w:line="246" w:lineRule="exact"/>
              <w:rPr>
                <w:sz w:val="18"/>
                <w:szCs w:val="18"/>
              </w:rPr>
            </w:pPr>
            <w:r>
              <w:rPr>
                <w:sz w:val="18"/>
                <w:szCs w:val="18"/>
              </w:rPr>
              <w:t>双吨产品综合能源消耗总量</w:t>
            </w:r>
          </w:p>
        </w:tc>
        <w:tc>
          <w:tcPr>
            <w:tcW w:w="1680"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5F1CB69F">
            <w:pPr>
              <w:spacing w:line="246"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8" w:space="0"/>
              <w:right w:val="nil"/>
            </w:tcBorders>
            <w:shd w:val="clear" w:color="auto" w:fill="auto"/>
            <w:tcMar>
              <w:top w:w="15" w:type="dxa"/>
              <w:left w:w="15" w:type="dxa"/>
              <w:bottom w:w="0" w:type="dxa"/>
              <w:right w:w="15" w:type="dxa"/>
            </w:tcMar>
            <w:vAlign w:val="center"/>
          </w:tcPr>
          <w:p w14:paraId="0F4FA2C0">
            <w:pPr>
              <w:spacing w:line="246" w:lineRule="exact"/>
              <w:jc w:val="right"/>
              <w:rPr>
                <w:sz w:val="18"/>
                <w:szCs w:val="18"/>
              </w:rPr>
            </w:pPr>
            <w:r>
              <w:rPr>
                <w:sz w:val="18"/>
                <w:szCs w:val="18"/>
              </w:rPr>
              <w:t>1000</w:t>
            </w:r>
          </w:p>
        </w:tc>
      </w:tr>
      <w:tr w14:paraId="113068BD">
        <w:tblPrEx>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3040749">
            <w:pPr>
              <w:spacing w:line="246"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85AA186">
            <w:pPr>
              <w:spacing w:line="246" w:lineRule="exact"/>
              <w:jc w:val="center"/>
              <w:rPr>
                <w:sz w:val="18"/>
                <w:szCs w:val="18"/>
              </w:rPr>
            </w:pPr>
            <w:r>
              <w:rPr>
                <w:sz w:val="18"/>
                <w:szCs w:val="18"/>
              </w:rPr>
              <w:t>指标名称</w:t>
            </w:r>
          </w:p>
        </w:tc>
        <w:tc>
          <w:tcPr>
            <w:tcW w:w="2329" w:type="dxa"/>
            <w:gridSpan w:val="4"/>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05A7912">
            <w:pPr>
              <w:spacing w:line="246"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B448E2">
            <w:pPr>
              <w:spacing w:line="246"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2139809">
            <w:pPr>
              <w:spacing w:line="246" w:lineRule="exact"/>
              <w:jc w:val="center"/>
              <w:rPr>
                <w:sz w:val="18"/>
                <w:szCs w:val="18"/>
              </w:rPr>
            </w:pPr>
            <w:r>
              <w:rPr>
                <w:sz w:val="18"/>
                <w:szCs w:val="18"/>
              </w:rPr>
              <w:t>单位换算系数</w:t>
            </w:r>
          </w:p>
        </w:tc>
      </w:tr>
      <w:tr w14:paraId="08AC8D53">
        <w:tblPrEx>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14:paraId="24BE189C">
            <w:pPr>
              <w:spacing w:line="246"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654F25F">
            <w:pPr>
              <w:spacing w:line="246" w:lineRule="exact"/>
              <w:rPr>
                <w:sz w:val="18"/>
                <w:szCs w:val="18"/>
              </w:rPr>
            </w:pP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ABC703B">
            <w:pPr>
              <w:spacing w:line="246"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F25EBF">
            <w:pPr>
              <w:spacing w:line="246"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C0FC50">
            <w:pPr>
              <w:spacing w:line="246"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B5E27C">
            <w:pPr>
              <w:spacing w:line="246"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3BF264">
            <w:pPr>
              <w:spacing w:line="246"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14:paraId="19AE7219">
            <w:pPr>
              <w:spacing w:line="246" w:lineRule="exact"/>
              <w:rPr>
                <w:sz w:val="18"/>
                <w:szCs w:val="18"/>
              </w:rPr>
            </w:pPr>
          </w:p>
        </w:tc>
      </w:tr>
      <w:tr w14:paraId="44EE29E3">
        <w:tblPrEx>
          <w:tblCellMar>
            <w:top w:w="0" w:type="dxa"/>
            <w:left w:w="0" w:type="dxa"/>
            <w:bottom w:w="0" w:type="dxa"/>
            <w:right w:w="0" w:type="dxa"/>
          </w:tblCellMar>
        </w:tblPrEx>
        <w:trPr>
          <w:trHeight w:val="285" w:hRule="atLeast"/>
        </w:trPr>
        <w:tc>
          <w:tcPr>
            <w:tcW w:w="559" w:type="dxa"/>
            <w:tcBorders>
              <w:top w:val="nil"/>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17E1A7FE">
            <w:pPr>
              <w:spacing w:line="250" w:lineRule="exact"/>
              <w:jc w:val="center"/>
              <w:rPr>
                <w:sz w:val="18"/>
                <w:szCs w:val="18"/>
              </w:rPr>
            </w:pPr>
            <w:r>
              <w:rPr>
                <w:sz w:val="18"/>
                <w:szCs w:val="18"/>
              </w:rPr>
              <w:t>2664</w:t>
            </w:r>
          </w:p>
        </w:tc>
        <w:tc>
          <w:tcPr>
            <w:tcW w:w="2283" w:type="dxa"/>
            <w:gridSpan w:val="2"/>
            <w:tcBorders>
              <w:top w:val="nil"/>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BC14DBA">
            <w:pPr>
              <w:spacing w:line="250" w:lineRule="exact"/>
              <w:rPr>
                <w:sz w:val="18"/>
                <w:szCs w:val="18"/>
              </w:rPr>
            </w:pPr>
            <w:r>
              <w:rPr>
                <w:sz w:val="18"/>
                <w:szCs w:val="18"/>
              </w:rPr>
              <w:t>联碱法纯碱双吨产品生产耗电</w:t>
            </w:r>
          </w:p>
        </w:tc>
        <w:tc>
          <w:tcPr>
            <w:tcW w:w="1268"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E9A03F">
            <w:pPr>
              <w:spacing w:line="250" w:lineRule="exact"/>
              <w:rPr>
                <w:sz w:val="18"/>
                <w:szCs w:val="18"/>
              </w:rPr>
            </w:pPr>
            <w:r>
              <w:rPr>
                <w:sz w:val="18"/>
                <w:szCs w:val="18"/>
              </w:rPr>
              <w:t>千瓦时/吨</w:t>
            </w:r>
          </w:p>
        </w:tc>
        <w:tc>
          <w:tcPr>
            <w:tcW w:w="525"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75CE616">
            <w:pPr>
              <w:spacing w:line="250" w:lineRule="exact"/>
              <w:jc w:val="center"/>
              <w:rPr>
                <w:sz w:val="18"/>
                <w:szCs w:val="18"/>
              </w:rPr>
            </w:pPr>
            <w:r>
              <w:rPr>
                <w:sz w:val="18"/>
                <w:szCs w:val="18"/>
              </w:rPr>
              <w:t>万千瓦时</w:t>
            </w:r>
          </w:p>
        </w:tc>
        <w:tc>
          <w:tcPr>
            <w:tcW w:w="521"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45B4884">
            <w:pPr>
              <w:spacing w:line="250" w:lineRule="exact"/>
              <w:jc w:val="center"/>
              <w:rPr>
                <w:sz w:val="18"/>
                <w:szCs w:val="18"/>
              </w:rPr>
            </w:pPr>
            <w:r>
              <w:rPr>
                <w:sz w:val="18"/>
                <w:szCs w:val="18"/>
              </w:rPr>
              <w:t>吨</w:t>
            </w:r>
          </w:p>
        </w:tc>
        <w:tc>
          <w:tcPr>
            <w:tcW w:w="1914"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AB58919">
            <w:pPr>
              <w:spacing w:line="250" w:lineRule="exact"/>
              <w:rPr>
                <w:sz w:val="18"/>
                <w:szCs w:val="18"/>
              </w:rPr>
            </w:pPr>
            <w:r>
              <w:rPr>
                <w:sz w:val="18"/>
                <w:szCs w:val="18"/>
              </w:rPr>
              <w:t>双吨产品生产耗电总量</w:t>
            </w:r>
          </w:p>
        </w:tc>
        <w:tc>
          <w:tcPr>
            <w:tcW w:w="1680"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C1B764">
            <w:pPr>
              <w:spacing w:line="250" w:lineRule="exact"/>
              <w:rPr>
                <w:sz w:val="18"/>
                <w:szCs w:val="18"/>
              </w:rPr>
            </w:pPr>
            <w:r>
              <w:rPr>
                <w:sz w:val="18"/>
                <w:szCs w:val="18"/>
              </w:rPr>
              <w:t>纯碱(碳酸钠)产量</w:t>
            </w:r>
          </w:p>
        </w:tc>
        <w:tc>
          <w:tcPr>
            <w:tcW w:w="715" w:type="dxa"/>
            <w:tcBorders>
              <w:top w:val="nil"/>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C9172F7">
            <w:pPr>
              <w:spacing w:line="250" w:lineRule="exact"/>
              <w:jc w:val="right"/>
              <w:rPr>
                <w:sz w:val="18"/>
                <w:szCs w:val="18"/>
              </w:rPr>
            </w:pPr>
            <w:r>
              <w:rPr>
                <w:sz w:val="18"/>
                <w:szCs w:val="18"/>
              </w:rPr>
              <w:t>10000</w:t>
            </w:r>
          </w:p>
        </w:tc>
      </w:tr>
      <w:tr w14:paraId="354E58AC">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68305156">
            <w:pPr>
              <w:spacing w:line="250" w:lineRule="exact"/>
              <w:jc w:val="center"/>
              <w:rPr>
                <w:sz w:val="18"/>
                <w:szCs w:val="18"/>
              </w:rPr>
            </w:pPr>
            <w:r>
              <w:rPr>
                <w:sz w:val="18"/>
                <w:szCs w:val="18"/>
              </w:rPr>
              <w:t>2665</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6331D875">
            <w:pPr>
              <w:spacing w:line="250" w:lineRule="exact"/>
              <w:rPr>
                <w:sz w:val="18"/>
                <w:szCs w:val="18"/>
              </w:rPr>
            </w:pPr>
            <w:r>
              <w:rPr>
                <w:sz w:val="18"/>
                <w:szCs w:val="18"/>
              </w:rPr>
              <w:t>天然碱法单位纯碱生产综合能耗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68EF2B">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66023D">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3868D4">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112ED9F">
            <w:pPr>
              <w:spacing w:line="250" w:lineRule="exact"/>
              <w:rPr>
                <w:sz w:val="18"/>
                <w:szCs w:val="18"/>
              </w:rPr>
            </w:pPr>
            <w:r>
              <w:rPr>
                <w:sz w:val="18"/>
                <w:szCs w:val="18"/>
              </w:rPr>
              <w:t>纯碱综合能源消耗总量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D89E16">
            <w:pPr>
              <w:spacing w:line="250"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1B7EFD7">
            <w:pPr>
              <w:spacing w:line="250" w:lineRule="exact"/>
              <w:jc w:val="right"/>
              <w:rPr>
                <w:sz w:val="18"/>
                <w:szCs w:val="18"/>
              </w:rPr>
            </w:pPr>
            <w:r>
              <w:rPr>
                <w:sz w:val="18"/>
                <w:szCs w:val="18"/>
              </w:rPr>
              <w:t>1000</w:t>
            </w:r>
          </w:p>
        </w:tc>
      </w:tr>
      <w:tr w14:paraId="5E4AE071">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5C605E09">
            <w:pPr>
              <w:spacing w:line="250" w:lineRule="exact"/>
              <w:jc w:val="center"/>
              <w:rPr>
                <w:sz w:val="18"/>
                <w:szCs w:val="18"/>
              </w:rPr>
            </w:pPr>
            <w:r>
              <w:rPr>
                <w:sz w:val="18"/>
                <w:szCs w:val="18"/>
              </w:rPr>
              <w:t>2666</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48BC89C3">
            <w:pPr>
              <w:spacing w:line="250" w:lineRule="exact"/>
              <w:rPr>
                <w:sz w:val="18"/>
                <w:szCs w:val="18"/>
              </w:rPr>
            </w:pPr>
            <w:r>
              <w:rPr>
                <w:sz w:val="18"/>
                <w:szCs w:val="18"/>
              </w:rPr>
              <w:t>天然碱法单位纯碱生产耗电</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6A7670">
            <w:pPr>
              <w:spacing w:line="25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E1E38F6">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7B293B">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8F82B2B">
            <w:pPr>
              <w:spacing w:line="250" w:lineRule="exact"/>
              <w:rPr>
                <w:sz w:val="18"/>
                <w:szCs w:val="18"/>
              </w:rPr>
            </w:pPr>
            <w:r>
              <w:rPr>
                <w:sz w:val="18"/>
                <w:szCs w:val="18"/>
              </w:rPr>
              <w:t>纯碱生产耗电总量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D2826CF">
            <w:pPr>
              <w:spacing w:line="250" w:lineRule="exact"/>
              <w:rPr>
                <w:sz w:val="18"/>
                <w:szCs w:val="18"/>
              </w:rPr>
            </w:pPr>
            <w:r>
              <w:rPr>
                <w:sz w:val="18"/>
                <w:szCs w:val="18"/>
              </w:rPr>
              <w:t>纯碱(碳酸钠)产量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2F87771">
            <w:pPr>
              <w:spacing w:line="250" w:lineRule="exact"/>
              <w:jc w:val="right"/>
              <w:rPr>
                <w:sz w:val="18"/>
                <w:szCs w:val="18"/>
              </w:rPr>
            </w:pPr>
            <w:r>
              <w:rPr>
                <w:sz w:val="18"/>
                <w:szCs w:val="18"/>
              </w:rPr>
              <w:t>10000</w:t>
            </w:r>
          </w:p>
        </w:tc>
      </w:tr>
      <w:tr w14:paraId="5390A5A7">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2A8BBD3A">
            <w:pPr>
              <w:spacing w:line="250" w:lineRule="exact"/>
              <w:jc w:val="left"/>
              <w:rPr>
                <w:b/>
                <w:bCs/>
                <w:sz w:val="18"/>
                <w:szCs w:val="18"/>
              </w:rPr>
            </w:pPr>
            <w:r>
              <w:rPr>
                <w:b/>
                <w:bCs/>
                <w:sz w:val="18"/>
                <w:szCs w:val="18"/>
              </w:rPr>
              <w:t>无机盐(26)</w:t>
            </w:r>
          </w:p>
        </w:tc>
      </w:tr>
      <w:tr w14:paraId="36C28167">
        <w:tblPrEx>
          <w:tblCellMar>
            <w:top w:w="0" w:type="dxa"/>
            <w:left w:w="0" w:type="dxa"/>
            <w:bottom w:w="0" w:type="dxa"/>
            <w:right w:w="0" w:type="dxa"/>
          </w:tblCellMar>
        </w:tblPrEx>
        <w:trPr>
          <w:trHeight w:val="46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9F8E03C">
            <w:pPr>
              <w:spacing w:line="250" w:lineRule="exact"/>
              <w:jc w:val="center"/>
              <w:rPr>
                <w:sz w:val="18"/>
                <w:szCs w:val="18"/>
              </w:rPr>
            </w:pPr>
            <w:r>
              <w:rPr>
                <w:sz w:val="18"/>
                <w:szCs w:val="18"/>
              </w:rPr>
              <w:t>2619</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A96FA6">
            <w:pPr>
              <w:spacing w:line="250" w:lineRule="exact"/>
              <w:rPr>
                <w:sz w:val="18"/>
                <w:szCs w:val="18"/>
              </w:rPr>
            </w:pPr>
            <w:r>
              <w:rPr>
                <w:sz w:val="18"/>
                <w:szCs w:val="18"/>
              </w:rPr>
              <w:t>单位电石生产综合能耗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C0BA39D">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1571AE">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FA577C4">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78B9394">
            <w:pPr>
              <w:spacing w:line="250" w:lineRule="exact"/>
              <w:rPr>
                <w:sz w:val="18"/>
                <w:szCs w:val="18"/>
              </w:rPr>
            </w:pPr>
            <w:r>
              <w:rPr>
                <w:sz w:val="18"/>
                <w:szCs w:val="18"/>
              </w:rPr>
              <w:t>电石综合能源消耗总量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938399C">
            <w:pPr>
              <w:spacing w:line="250" w:lineRule="exact"/>
              <w:rPr>
                <w:sz w:val="18"/>
                <w:szCs w:val="18"/>
              </w:rPr>
            </w:pPr>
            <w:r>
              <w:rPr>
                <w:sz w:val="18"/>
                <w:szCs w:val="18"/>
              </w:rPr>
              <w:t>碳化钙(电石，折300升/千克)产量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03C5DA7">
            <w:pPr>
              <w:spacing w:line="250" w:lineRule="exact"/>
              <w:jc w:val="right"/>
              <w:rPr>
                <w:sz w:val="18"/>
                <w:szCs w:val="18"/>
              </w:rPr>
            </w:pPr>
            <w:r>
              <w:rPr>
                <w:sz w:val="18"/>
                <w:szCs w:val="18"/>
              </w:rPr>
              <w:t>1000</w:t>
            </w:r>
          </w:p>
        </w:tc>
      </w:tr>
      <w:tr w14:paraId="06B1D13C">
        <w:tblPrEx>
          <w:tblCellMar>
            <w:top w:w="0" w:type="dxa"/>
            <w:left w:w="0" w:type="dxa"/>
            <w:bottom w:w="0" w:type="dxa"/>
            <w:right w:w="0" w:type="dxa"/>
          </w:tblCellMar>
        </w:tblPrEx>
        <w:trPr>
          <w:trHeight w:val="46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5C0180C">
            <w:pPr>
              <w:spacing w:line="250" w:lineRule="exact"/>
              <w:jc w:val="center"/>
              <w:rPr>
                <w:sz w:val="18"/>
                <w:szCs w:val="18"/>
              </w:rPr>
            </w:pPr>
            <w:r>
              <w:rPr>
                <w:sz w:val="18"/>
                <w:szCs w:val="18"/>
              </w:rPr>
              <w:t>2620</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E56C9C">
            <w:pPr>
              <w:spacing w:line="250" w:lineRule="exact"/>
              <w:rPr>
                <w:sz w:val="18"/>
                <w:szCs w:val="18"/>
              </w:rPr>
            </w:pPr>
            <w:r>
              <w:rPr>
                <w:sz w:val="18"/>
                <w:szCs w:val="18"/>
              </w:rPr>
              <w:t>单位电石生产电力消耗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ED71530">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254E286">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119866">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27DD718">
            <w:pPr>
              <w:spacing w:line="250" w:lineRule="exact"/>
              <w:rPr>
                <w:sz w:val="18"/>
                <w:szCs w:val="18"/>
              </w:rPr>
            </w:pPr>
            <w:r>
              <w:rPr>
                <w:sz w:val="18"/>
                <w:szCs w:val="18"/>
              </w:rPr>
              <w:t>电石生产耗电总量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58E3CCC">
            <w:pPr>
              <w:spacing w:line="250" w:lineRule="exact"/>
              <w:rPr>
                <w:sz w:val="18"/>
                <w:szCs w:val="18"/>
              </w:rPr>
            </w:pPr>
            <w:r>
              <w:rPr>
                <w:sz w:val="18"/>
                <w:szCs w:val="18"/>
              </w:rPr>
              <w:t>碳化钙(电石，折300升/千克)产量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EF2DCB6">
            <w:pPr>
              <w:spacing w:line="250" w:lineRule="exact"/>
              <w:jc w:val="right"/>
              <w:rPr>
                <w:sz w:val="18"/>
                <w:szCs w:val="18"/>
              </w:rPr>
            </w:pPr>
            <w:r>
              <w:rPr>
                <w:sz w:val="18"/>
                <w:szCs w:val="18"/>
              </w:rPr>
              <w:t>10000</w:t>
            </w:r>
          </w:p>
        </w:tc>
      </w:tr>
      <w:tr w14:paraId="62A6F403">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92E2A9D">
            <w:pPr>
              <w:spacing w:line="250" w:lineRule="exact"/>
              <w:jc w:val="center"/>
              <w:rPr>
                <w:sz w:val="18"/>
                <w:szCs w:val="18"/>
              </w:rPr>
            </w:pPr>
            <w:r>
              <w:rPr>
                <w:sz w:val="18"/>
                <w:szCs w:val="18"/>
              </w:rPr>
              <w:t>2671</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E31AC3">
            <w:pPr>
              <w:spacing w:line="250" w:lineRule="exact"/>
              <w:rPr>
                <w:sz w:val="18"/>
                <w:szCs w:val="18"/>
              </w:rPr>
            </w:pPr>
            <w:r>
              <w:rPr>
                <w:sz w:val="18"/>
                <w:szCs w:val="18"/>
              </w:rPr>
              <w:t>单位黄磷生产综合能耗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7F4F019">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956BE8">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3D1C93">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0CAB650">
            <w:pPr>
              <w:spacing w:line="250" w:lineRule="exact"/>
              <w:rPr>
                <w:sz w:val="18"/>
                <w:szCs w:val="18"/>
              </w:rPr>
            </w:pPr>
            <w:r>
              <w:rPr>
                <w:sz w:val="18"/>
                <w:szCs w:val="18"/>
              </w:rPr>
              <w:t>黄磷综合能源消耗总量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1449C2">
            <w:pPr>
              <w:spacing w:line="250" w:lineRule="exact"/>
              <w:rPr>
                <w:sz w:val="18"/>
                <w:szCs w:val="18"/>
              </w:rPr>
            </w:pPr>
            <w:r>
              <w:rPr>
                <w:sz w:val="18"/>
                <w:szCs w:val="18"/>
              </w:rPr>
              <w:t>黄磷产量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BED5CF2">
            <w:pPr>
              <w:spacing w:line="250" w:lineRule="exact"/>
              <w:jc w:val="right"/>
              <w:rPr>
                <w:sz w:val="18"/>
                <w:szCs w:val="18"/>
              </w:rPr>
            </w:pPr>
            <w:r>
              <w:rPr>
                <w:sz w:val="18"/>
                <w:szCs w:val="18"/>
              </w:rPr>
              <w:t>1000</w:t>
            </w:r>
          </w:p>
        </w:tc>
      </w:tr>
      <w:tr w14:paraId="1281003F">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6315A0F">
            <w:pPr>
              <w:spacing w:line="250" w:lineRule="exact"/>
              <w:jc w:val="center"/>
              <w:rPr>
                <w:sz w:val="18"/>
                <w:szCs w:val="18"/>
              </w:rPr>
            </w:pPr>
            <w:r>
              <w:rPr>
                <w:sz w:val="18"/>
                <w:szCs w:val="18"/>
              </w:rPr>
              <w:t>2672</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BB8FAA">
            <w:pPr>
              <w:spacing w:line="250" w:lineRule="exact"/>
              <w:rPr>
                <w:sz w:val="18"/>
                <w:szCs w:val="18"/>
              </w:rPr>
            </w:pPr>
            <w:r>
              <w:rPr>
                <w:sz w:val="18"/>
                <w:szCs w:val="18"/>
              </w:rPr>
              <w:t>单位黄磷生产电力消耗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A7D30C">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C12218">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1723C0D">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2D54302">
            <w:pPr>
              <w:spacing w:line="250" w:lineRule="exact"/>
              <w:rPr>
                <w:sz w:val="18"/>
                <w:szCs w:val="18"/>
              </w:rPr>
            </w:pPr>
            <w:r>
              <w:rPr>
                <w:sz w:val="18"/>
                <w:szCs w:val="18"/>
              </w:rPr>
              <w:t>黄磷生产耗电总量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5C47BDB">
            <w:pPr>
              <w:spacing w:line="250" w:lineRule="exact"/>
              <w:rPr>
                <w:sz w:val="18"/>
                <w:szCs w:val="18"/>
              </w:rPr>
            </w:pPr>
            <w:r>
              <w:rPr>
                <w:sz w:val="18"/>
                <w:szCs w:val="18"/>
              </w:rPr>
              <w:t>黄磷产量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DE72A48">
            <w:pPr>
              <w:spacing w:line="250" w:lineRule="exact"/>
              <w:jc w:val="right"/>
              <w:rPr>
                <w:sz w:val="18"/>
                <w:szCs w:val="18"/>
              </w:rPr>
            </w:pPr>
            <w:r>
              <w:rPr>
                <w:sz w:val="18"/>
                <w:szCs w:val="18"/>
              </w:rPr>
              <w:t>10000</w:t>
            </w:r>
          </w:p>
        </w:tc>
      </w:tr>
      <w:tr w14:paraId="01205CF7">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11703A2C">
            <w:pPr>
              <w:spacing w:line="250" w:lineRule="exact"/>
              <w:jc w:val="left"/>
              <w:rPr>
                <w:b/>
                <w:bCs/>
                <w:sz w:val="18"/>
                <w:szCs w:val="18"/>
              </w:rPr>
            </w:pPr>
            <w:r>
              <w:rPr>
                <w:b/>
                <w:bCs/>
                <w:sz w:val="18"/>
                <w:szCs w:val="18"/>
              </w:rPr>
              <w:t>有机化学原料(26)</w:t>
            </w:r>
          </w:p>
        </w:tc>
      </w:tr>
      <w:tr w14:paraId="51C999BA">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484FD13">
            <w:pPr>
              <w:spacing w:line="250" w:lineRule="exact"/>
              <w:jc w:val="center"/>
              <w:rPr>
                <w:sz w:val="18"/>
                <w:szCs w:val="18"/>
              </w:rPr>
            </w:pPr>
            <w:r>
              <w:rPr>
                <w:sz w:val="18"/>
                <w:szCs w:val="18"/>
              </w:rPr>
              <w:t>2621</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C6C2B2">
            <w:pPr>
              <w:spacing w:line="250" w:lineRule="exact"/>
              <w:rPr>
                <w:sz w:val="18"/>
                <w:szCs w:val="18"/>
              </w:rPr>
            </w:pPr>
            <w:r>
              <w:rPr>
                <w:sz w:val="18"/>
                <w:szCs w:val="18"/>
              </w:rPr>
              <w:t xml:space="preserve">单位乙烯生产综合能耗  </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47342EC">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2D4141">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1CCDFE">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1D60936">
            <w:pPr>
              <w:spacing w:line="250" w:lineRule="exact"/>
              <w:rPr>
                <w:sz w:val="18"/>
                <w:szCs w:val="18"/>
              </w:rPr>
            </w:pPr>
            <w:r>
              <w:rPr>
                <w:sz w:val="18"/>
                <w:szCs w:val="18"/>
              </w:rPr>
              <w:t>乙烯燃料动力消耗总量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AFB25DB">
            <w:pPr>
              <w:spacing w:line="250" w:lineRule="exact"/>
              <w:rPr>
                <w:sz w:val="18"/>
                <w:szCs w:val="18"/>
              </w:rPr>
            </w:pPr>
            <w:r>
              <w:rPr>
                <w:sz w:val="18"/>
                <w:szCs w:val="18"/>
              </w:rPr>
              <w:t>乙烯产量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420619B">
            <w:pPr>
              <w:spacing w:line="250" w:lineRule="exact"/>
              <w:jc w:val="right"/>
              <w:rPr>
                <w:sz w:val="18"/>
                <w:szCs w:val="18"/>
              </w:rPr>
            </w:pPr>
            <w:r>
              <w:rPr>
                <w:sz w:val="18"/>
                <w:szCs w:val="18"/>
              </w:rPr>
              <w:t>1000</w:t>
            </w:r>
          </w:p>
        </w:tc>
      </w:tr>
      <w:tr w14:paraId="7889C67F">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FBD0C0A">
            <w:pPr>
              <w:spacing w:line="250" w:lineRule="exact"/>
              <w:jc w:val="center"/>
              <w:rPr>
                <w:sz w:val="18"/>
                <w:szCs w:val="18"/>
              </w:rPr>
            </w:pPr>
            <w:r>
              <w:rPr>
                <w:sz w:val="18"/>
                <w:szCs w:val="18"/>
              </w:rPr>
              <w:t>2622</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10C4715">
            <w:pPr>
              <w:spacing w:line="250" w:lineRule="exact"/>
              <w:rPr>
                <w:sz w:val="18"/>
                <w:szCs w:val="18"/>
              </w:rPr>
            </w:pPr>
            <w:r>
              <w:rPr>
                <w:sz w:val="18"/>
                <w:szCs w:val="18"/>
              </w:rPr>
              <w:t xml:space="preserve">单位乙烯生产耗电  </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51F822">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3E0D2F">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DCDF5B">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BCE8ADD">
            <w:pPr>
              <w:spacing w:line="250" w:lineRule="exact"/>
              <w:rPr>
                <w:sz w:val="18"/>
                <w:szCs w:val="18"/>
              </w:rPr>
            </w:pPr>
            <w:r>
              <w:rPr>
                <w:sz w:val="18"/>
                <w:szCs w:val="18"/>
              </w:rPr>
              <w:t>乙烯生产耗电量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794B379">
            <w:pPr>
              <w:spacing w:line="250" w:lineRule="exact"/>
              <w:rPr>
                <w:sz w:val="18"/>
                <w:szCs w:val="18"/>
              </w:rPr>
            </w:pPr>
            <w:r>
              <w:rPr>
                <w:sz w:val="18"/>
                <w:szCs w:val="18"/>
              </w:rPr>
              <w:t>乙烯产量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50A092A">
            <w:pPr>
              <w:spacing w:line="250" w:lineRule="exact"/>
              <w:jc w:val="right"/>
              <w:rPr>
                <w:sz w:val="18"/>
                <w:szCs w:val="18"/>
              </w:rPr>
            </w:pPr>
            <w:r>
              <w:rPr>
                <w:sz w:val="18"/>
                <w:szCs w:val="18"/>
              </w:rPr>
              <w:t>10000</w:t>
            </w:r>
          </w:p>
        </w:tc>
      </w:tr>
      <w:tr w14:paraId="473A2517">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0818FED5">
            <w:pPr>
              <w:spacing w:line="250" w:lineRule="exact"/>
              <w:jc w:val="left"/>
              <w:rPr>
                <w:b/>
                <w:bCs/>
                <w:sz w:val="18"/>
                <w:szCs w:val="18"/>
              </w:rPr>
            </w:pPr>
            <w:r>
              <w:rPr>
                <w:b/>
                <w:bCs/>
                <w:sz w:val="18"/>
                <w:szCs w:val="18"/>
              </w:rPr>
              <w:t>氮肥(26)</w:t>
            </w:r>
          </w:p>
        </w:tc>
      </w:tr>
      <w:tr w14:paraId="394A47C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D619C1E">
            <w:pPr>
              <w:spacing w:line="250" w:lineRule="exact"/>
              <w:jc w:val="center"/>
              <w:rPr>
                <w:sz w:val="18"/>
                <w:szCs w:val="18"/>
              </w:rPr>
            </w:pPr>
            <w:r>
              <w:rPr>
                <w:sz w:val="18"/>
                <w:szCs w:val="18"/>
              </w:rPr>
              <w:t>2623</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451CFC">
            <w:pPr>
              <w:spacing w:line="250" w:lineRule="exact"/>
              <w:rPr>
                <w:sz w:val="18"/>
                <w:szCs w:val="18"/>
              </w:rPr>
            </w:pPr>
            <w:r>
              <w:rPr>
                <w:sz w:val="18"/>
                <w:szCs w:val="18"/>
              </w:rPr>
              <w:t>单位合成氨生产综合能耗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C377237">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E0C8246">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F3A2B03">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68FDD45">
            <w:pPr>
              <w:spacing w:line="250" w:lineRule="exact"/>
              <w:rPr>
                <w:sz w:val="18"/>
                <w:szCs w:val="18"/>
              </w:rPr>
            </w:pPr>
            <w:r>
              <w:rPr>
                <w:sz w:val="18"/>
                <w:szCs w:val="18"/>
              </w:rPr>
              <w:t>合成氨综合能源消耗量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F735C8">
            <w:pPr>
              <w:spacing w:line="250"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FECD05A">
            <w:pPr>
              <w:spacing w:line="250" w:lineRule="exact"/>
              <w:jc w:val="right"/>
              <w:rPr>
                <w:sz w:val="18"/>
                <w:szCs w:val="18"/>
              </w:rPr>
            </w:pPr>
            <w:r>
              <w:rPr>
                <w:sz w:val="18"/>
                <w:szCs w:val="18"/>
              </w:rPr>
              <w:t>1000</w:t>
            </w:r>
          </w:p>
        </w:tc>
      </w:tr>
      <w:tr w14:paraId="34F92373">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26FCCE7">
            <w:pPr>
              <w:spacing w:line="250" w:lineRule="exact"/>
              <w:jc w:val="center"/>
              <w:rPr>
                <w:sz w:val="18"/>
                <w:szCs w:val="18"/>
              </w:rPr>
            </w:pPr>
            <w:r>
              <w:rPr>
                <w:sz w:val="18"/>
                <w:szCs w:val="18"/>
              </w:rPr>
              <w:t>2625</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B4A7EB1">
            <w:pPr>
              <w:spacing w:line="250" w:lineRule="exact"/>
              <w:rPr>
                <w:sz w:val="18"/>
                <w:szCs w:val="18"/>
              </w:rPr>
            </w:pPr>
            <w:r>
              <w:rPr>
                <w:sz w:val="18"/>
                <w:szCs w:val="18"/>
              </w:rPr>
              <w:t>单位合成氨耗电</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F769041">
            <w:pPr>
              <w:spacing w:line="25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C8B4C2">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6D325D0">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26C778">
            <w:pPr>
              <w:spacing w:line="250" w:lineRule="exact"/>
              <w:rPr>
                <w:sz w:val="18"/>
                <w:szCs w:val="18"/>
              </w:rPr>
            </w:pPr>
            <w:r>
              <w:rPr>
                <w:sz w:val="18"/>
                <w:szCs w:val="18"/>
              </w:rPr>
              <w:t>合成氨耗电总量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8E69F33">
            <w:pPr>
              <w:spacing w:line="250"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016A292">
            <w:pPr>
              <w:spacing w:line="250" w:lineRule="exact"/>
              <w:jc w:val="right"/>
              <w:rPr>
                <w:sz w:val="18"/>
                <w:szCs w:val="18"/>
              </w:rPr>
            </w:pPr>
            <w:r>
              <w:rPr>
                <w:sz w:val="18"/>
                <w:szCs w:val="18"/>
              </w:rPr>
              <w:t>10000</w:t>
            </w:r>
          </w:p>
        </w:tc>
      </w:tr>
      <w:tr w14:paraId="7A83492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8BAF47F">
            <w:pPr>
              <w:spacing w:line="250" w:lineRule="exact"/>
              <w:jc w:val="center"/>
              <w:rPr>
                <w:sz w:val="18"/>
                <w:szCs w:val="18"/>
              </w:rPr>
            </w:pPr>
            <w:r>
              <w:rPr>
                <w:sz w:val="18"/>
                <w:szCs w:val="18"/>
              </w:rPr>
              <w:t>2626</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D8E512C">
            <w:pPr>
              <w:spacing w:line="250" w:lineRule="exact"/>
              <w:rPr>
                <w:sz w:val="18"/>
                <w:szCs w:val="18"/>
              </w:rPr>
            </w:pPr>
            <w:r>
              <w:rPr>
                <w:sz w:val="18"/>
                <w:szCs w:val="18"/>
              </w:rPr>
              <w:t>单位合成氨耗原料煤</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AEA9F3">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470E2E4">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E1035BE">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296731C">
            <w:pPr>
              <w:spacing w:line="250" w:lineRule="exact"/>
              <w:rPr>
                <w:sz w:val="18"/>
                <w:szCs w:val="18"/>
              </w:rPr>
            </w:pPr>
            <w:r>
              <w:rPr>
                <w:sz w:val="18"/>
                <w:szCs w:val="18"/>
              </w:rPr>
              <w:t>合成氨原料煤耗折标煤</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4F2C28">
            <w:pPr>
              <w:spacing w:line="250"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D186473">
            <w:pPr>
              <w:spacing w:line="250" w:lineRule="exact"/>
              <w:jc w:val="right"/>
              <w:rPr>
                <w:sz w:val="18"/>
                <w:szCs w:val="18"/>
              </w:rPr>
            </w:pPr>
            <w:r>
              <w:rPr>
                <w:sz w:val="18"/>
                <w:szCs w:val="18"/>
              </w:rPr>
              <w:t>1000</w:t>
            </w:r>
          </w:p>
        </w:tc>
      </w:tr>
      <w:tr w14:paraId="304BD9F0">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DF815C1">
            <w:pPr>
              <w:spacing w:line="250" w:lineRule="exact"/>
              <w:jc w:val="center"/>
              <w:rPr>
                <w:sz w:val="18"/>
                <w:szCs w:val="18"/>
              </w:rPr>
            </w:pPr>
            <w:r>
              <w:rPr>
                <w:sz w:val="18"/>
                <w:szCs w:val="18"/>
              </w:rPr>
              <w:t>2627</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99BB94">
            <w:pPr>
              <w:spacing w:line="250" w:lineRule="exact"/>
              <w:rPr>
                <w:sz w:val="18"/>
                <w:szCs w:val="18"/>
              </w:rPr>
            </w:pPr>
            <w:r>
              <w:rPr>
                <w:sz w:val="18"/>
                <w:szCs w:val="18"/>
              </w:rPr>
              <w:t>单位合成氨耗标准燃料煤</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835C8C9">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25FD192">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E92293">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FBEFC8A">
            <w:pPr>
              <w:spacing w:line="250" w:lineRule="exact"/>
              <w:rPr>
                <w:sz w:val="18"/>
                <w:szCs w:val="18"/>
              </w:rPr>
            </w:pPr>
            <w:r>
              <w:rPr>
                <w:sz w:val="18"/>
                <w:szCs w:val="18"/>
              </w:rPr>
              <w:t>合成氨耗标准燃料煤总量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95C9D4">
            <w:pPr>
              <w:spacing w:line="250"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47F26DC">
            <w:pPr>
              <w:spacing w:line="250" w:lineRule="exact"/>
              <w:jc w:val="right"/>
              <w:rPr>
                <w:sz w:val="18"/>
                <w:szCs w:val="18"/>
              </w:rPr>
            </w:pPr>
            <w:r>
              <w:rPr>
                <w:sz w:val="18"/>
                <w:szCs w:val="18"/>
              </w:rPr>
              <w:t>1000</w:t>
            </w:r>
          </w:p>
        </w:tc>
      </w:tr>
      <w:tr w14:paraId="0B779DEC">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2976A93">
            <w:pPr>
              <w:spacing w:line="250" w:lineRule="exact"/>
              <w:jc w:val="center"/>
              <w:rPr>
                <w:sz w:val="18"/>
                <w:szCs w:val="18"/>
              </w:rPr>
            </w:pPr>
            <w:r>
              <w:rPr>
                <w:sz w:val="18"/>
                <w:szCs w:val="18"/>
              </w:rPr>
              <w:t>2624</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612D43">
            <w:pPr>
              <w:spacing w:line="250" w:lineRule="exact"/>
              <w:rPr>
                <w:sz w:val="18"/>
                <w:szCs w:val="18"/>
              </w:rPr>
            </w:pPr>
            <w:r>
              <w:rPr>
                <w:sz w:val="18"/>
                <w:szCs w:val="18"/>
              </w:rPr>
              <w:t>单位合成氨耗天然气</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B839318">
            <w:pPr>
              <w:spacing w:line="250" w:lineRule="exact"/>
              <w:jc w:val="left"/>
              <w:rPr>
                <w:sz w:val="18"/>
                <w:szCs w:val="18"/>
              </w:rPr>
            </w:pPr>
            <w:r>
              <w:rPr>
                <w:sz w:val="18"/>
                <w:szCs w:val="18"/>
              </w:rPr>
              <w:t>标准立方米/吨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EEDCD8">
            <w:pPr>
              <w:spacing w:line="250" w:lineRule="exact"/>
              <w:jc w:val="center"/>
              <w:rPr>
                <w:sz w:val="18"/>
                <w:szCs w:val="18"/>
              </w:rPr>
            </w:pPr>
            <w:r>
              <w:rPr>
                <w:sz w:val="18"/>
                <w:szCs w:val="18"/>
              </w:rPr>
              <w:t>万标准立方米</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4548D7">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D50B797">
            <w:pPr>
              <w:spacing w:line="250" w:lineRule="exact"/>
              <w:rPr>
                <w:sz w:val="18"/>
                <w:szCs w:val="18"/>
              </w:rPr>
            </w:pPr>
            <w:r>
              <w:rPr>
                <w:sz w:val="18"/>
                <w:szCs w:val="18"/>
              </w:rPr>
              <w:t>合成氨耗天然气</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90D63E3">
            <w:pPr>
              <w:spacing w:line="250" w:lineRule="exact"/>
              <w:rPr>
                <w:sz w:val="18"/>
                <w:szCs w:val="18"/>
              </w:rPr>
            </w:pPr>
            <w:r>
              <w:rPr>
                <w:sz w:val="18"/>
                <w:szCs w:val="18"/>
              </w:rPr>
              <w:t>合成氨(无水氨)产量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4DB2649">
            <w:pPr>
              <w:spacing w:line="250" w:lineRule="exact"/>
              <w:jc w:val="right"/>
              <w:rPr>
                <w:sz w:val="18"/>
                <w:szCs w:val="18"/>
              </w:rPr>
            </w:pPr>
            <w:r>
              <w:rPr>
                <w:sz w:val="18"/>
                <w:szCs w:val="18"/>
              </w:rPr>
              <w:t>10000</w:t>
            </w:r>
          </w:p>
        </w:tc>
      </w:tr>
      <w:tr w14:paraId="0BA903F7">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27A37FD6">
            <w:pPr>
              <w:spacing w:line="250" w:lineRule="exact"/>
              <w:jc w:val="left"/>
              <w:rPr>
                <w:b/>
                <w:bCs/>
                <w:sz w:val="18"/>
                <w:szCs w:val="18"/>
              </w:rPr>
            </w:pPr>
            <w:r>
              <w:rPr>
                <w:b/>
                <w:bCs/>
                <w:sz w:val="18"/>
                <w:szCs w:val="18"/>
              </w:rPr>
              <w:t>水泥(30)</w:t>
            </w:r>
          </w:p>
        </w:tc>
      </w:tr>
      <w:tr w14:paraId="2287DAC5">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83832CE">
            <w:pPr>
              <w:spacing w:line="250" w:lineRule="exact"/>
              <w:jc w:val="center"/>
              <w:rPr>
                <w:sz w:val="18"/>
                <w:szCs w:val="18"/>
              </w:rPr>
            </w:pPr>
            <w:r>
              <w:rPr>
                <w:sz w:val="18"/>
                <w:szCs w:val="18"/>
              </w:rPr>
              <w:t>3001</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E585F7C">
            <w:pPr>
              <w:spacing w:line="250" w:lineRule="exact"/>
              <w:rPr>
                <w:sz w:val="18"/>
                <w:szCs w:val="18"/>
              </w:rPr>
            </w:pPr>
            <w:r>
              <w:rPr>
                <w:sz w:val="18"/>
                <w:szCs w:val="18"/>
              </w:rPr>
              <w:t>吨水泥熟料综合能耗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A57A6B">
            <w:pPr>
              <w:spacing w:line="25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D5BBE53">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1954915">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8834A7">
            <w:pPr>
              <w:spacing w:line="250" w:lineRule="exact"/>
              <w:rPr>
                <w:sz w:val="18"/>
                <w:szCs w:val="18"/>
              </w:rPr>
            </w:pPr>
            <w:r>
              <w:rPr>
                <w:sz w:val="18"/>
                <w:szCs w:val="18"/>
              </w:rPr>
              <w:t>硅酸盐水泥熟料综合能源消费量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F006C5">
            <w:pPr>
              <w:spacing w:line="250" w:lineRule="exact"/>
              <w:rPr>
                <w:sz w:val="18"/>
                <w:szCs w:val="18"/>
              </w:rPr>
            </w:pPr>
            <w:r>
              <w:rPr>
                <w:sz w:val="18"/>
                <w:szCs w:val="18"/>
              </w:rPr>
              <w:t>硅酸盐水泥熟料产量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52A53A1">
            <w:pPr>
              <w:spacing w:line="250" w:lineRule="exact"/>
              <w:jc w:val="right"/>
              <w:rPr>
                <w:sz w:val="18"/>
                <w:szCs w:val="18"/>
              </w:rPr>
            </w:pPr>
            <w:r>
              <w:rPr>
                <w:sz w:val="18"/>
                <w:szCs w:val="18"/>
              </w:rPr>
              <w:t>1000</w:t>
            </w:r>
          </w:p>
        </w:tc>
      </w:tr>
      <w:tr w14:paraId="07514F23">
        <w:tblPrEx>
          <w:tblCellMar>
            <w:top w:w="0" w:type="dxa"/>
            <w:left w:w="0" w:type="dxa"/>
            <w:bottom w:w="0" w:type="dxa"/>
            <w:right w:w="0" w:type="dxa"/>
          </w:tblCellMar>
        </w:tblPrEx>
        <w:trPr>
          <w:trHeight w:val="285" w:hRule="atLeast"/>
        </w:trPr>
        <w:tc>
          <w:tcPr>
            <w:tcW w:w="559" w:type="dxa"/>
            <w:tcBorders>
              <w:top w:val="nil"/>
              <w:left w:val="nil"/>
              <w:bottom w:val="single" w:color="auto" w:sz="2" w:space="0"/>
              <w:right w:val="single" w:color="auto" w:sz="2" w:space="0"/>
            </w:tcBorders>
            <w:shd w:val="clear" w:color="auto" w:fill="auto"/>
            <w:vAlign w:val="center"/>
          </w:tcPr>
          <w:p w14:paraId="187961E5">
            <w:pPr>
              <w:spacing w:line="250" w:lineRule="exact"/>
              <w:jc w:val="center"/>
              <w:rPr>
                <w:sz w:val="18"/>
                <w:szCs w:val="18"/>
              </w:rPr>
            </w:pPr>
            <w:r>
              <w:rPr>
                <w:sz w:val="18"/>
                <w:szCs w:val="18"/>
              </w:rPr>
              <w:t>3004</w:t>
            </w:r>
          </w:p>
        </w:tc>
        <w:tc>
          <w:tcPr>
            <w:tcW w:w="2283" w:type="dxa"/>
            <w:gridSpan w:val="2"/>
            <w:tcBorders>
              <w:top w:val="nil"/>
              <w:left w:val="single" w:color="auto" w:sz="2" w:space="0"/>
              <w:bottom w:val="single" w:color="auto" w:sz="2" w:space="0"/>
              <w:right w:val="single" w:color="auto" w:sz="2" w:space="0"/>
            </w:tcBorders>
            <w:shd w:val="clear" w:color="auto" w:fill="auto"/>
            <w:vAlign w:val="center"/>
          </w:tcPr>
          <w:p w14:paraId="497365D6">
            <w:pPr>
              <w:spacing w:line="250" w:lineRule="exact"/>
              <w:rPr>
                <w:sz w:val="18"/>
                <w:szCs w:val="18"/>
              </w:rPr>
            </w:pPr>
            <w:r>
              <w:rPr>
                <w:sz w:val="18"/>
                <w:szCs w:val="18"/>
              </w:rPr>
              <w:t>吨水泥熟料综合电耗</w:t>
            </w:r>
          </w:p>
        </w:tc>
        <w:tc>
          <w:tcPr>
            <w:tcW w:w="1268"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6A707C">
            <w:pPr>
              <w:spacing w:line="250" w:lineRule="exact"/>
              <w:rPr>
                <w:sz w:val="18"/>
                <w:szCs w:val="18"/>
              </w:rPr>
            </w:pPr>
            <w:r>
              <w:rPr>
                <w:sz w:val="18"/>
                <w:szCs w:val="18"/>
              </w:rPr>
              <w:t>千瓦时/吨</w:t>
            </w:r>
          </w:p>
        </w:tc>
        <w:tc>
          <w:tcPr>
            <w:tcW w:w="525"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277FFE">
            <w:pPr>
              <w:spacing w:line="250" w:lineRule="exact"/>
              <w:jc w:val="center"/>
              <w:rPr>
                <w:sz w:val="18"/>
                <w:szCs w:val="18"/>
              </w:rPr>
            </w:pPr>
            <w:r>
              <w:rPr>
                <w:sz w:val="18"/>
                <w:szCs w:val="18"/>
              </w:rPr>
              <w:t>万千瓦时</w:t>
            </w:r>
          </w:p>
        </w:tc>
        <w:tc>
          <w:tcPr>
            <w:tcW w:w="521"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9D36AF9">
            <w:pPr>
              <w:spacing w:line="250" w:lineRule="exact"/>
              <w:jc w:val="center"/>
              <w:rPr>
                <w:sz w:val="18"/>
                <w:szCs w:val="18"/>
              </w:rPr>
            </w:pPr>
            <w:r>
              <w:rPr>
                <w:sz w:val="18"/>
                <w:szCs w:val="18"/>
              </w:rPr>
              <w:t>吨</w:t>
            </w:r>
          </w:p>
        </w:tc>
        <w:tc>
          <w:tcPr>
            <w:tcW w:w="1914"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A29808">
            <w:pPr>
              <w:spacing w:line="250" w:lineRule="exact"/>
              <w:rPr>
                <w:sz w:val="18"/>
                <w:szCs w:val="18"/>
              </w:rPr>
            </w:pPr>
            <w:r>
              <w:rPr>
                <w:sz w:val="18"/>
                <w:szCs w:val="18"/>
              </w:rPr>
              <w:t>硅酸盐水泥熟料生产综合电力消费量</w:t>
            </w:r>
          </w:p>
        </w:tc>
        <w:tc>
          <w:tcPr>
            <w:tcW w:w="1680"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52F70F5">
            <w:pPr>
              <w:spacing w:line="250" w:lineRule="exact"/>
              <w:rPr>
                <w:sz w:val="18"/>
                <w:szCs w:val="18"/>
              </w:rPr>
            </w:pPr>
            <w:r>
              <w:rPr>
                <w:sz w:val="18"/>
                <w:szCs w:val="18"/>
              </w:rPr>
              <w:t>硅酸盐水泥熟料产量</w:t>
            </w:r>
          </w:p>
        </w:tc>
        <w:tc>
          <w:tcPr>
            <w:tcW w:w="715" w:type="dxa"/>
            <w:tcBorders>
              <w:top w:val="nil"/>
              <w:left w:val="single" w:color="auto" w:sz="2" w:space="0"/>
              <w:bottom w:val="single" w:color="auto" w:sz="2" w:space="0"/>
              <w:right w:val="nil"/>
            </w:tcBorders>
            <w:shd w:val="clear" w:color="auto" w:fill="auto"/>
            <w:vAlign w:val="center"/>
          </w:tcPr>
          <w:p w14:paraId="545E22F6">
            <w:pPr>
              <w:spacing w:line="250" w:lineRule="exact"/>
              <w:jc w:val="right"/>
              <w:rPr>
                <w:sz w:val="18"/>
                <w:szCs w:val="18"/>
              </w:rPr>
            </w:pPr>
            <w:r>
              <w:rPr>
                <w:sz w:val="18"/>
                <w:szCs w:val="18"/>
              </w:rPr>
              <w:t>10000</w:t>
            </w:r>
          </w:p>
        </w:tc>
      </w:tr>
      <w:tr w14:paraId="71F89AED">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14:paraId="5E51EAE9">
            <w:pPr>
              <w:spacing w:line="250" w:lineRule="exact"/>
              <w:jc w:val="center"/>
              <w:rPr>
                <w:sz w:val="18"/>
                <w:szCs w:val="18"/>
              </w:rPr>
            </w:pPr>
            <w:r>
              <w:rPr>
                <w:sz w:val="18"/>
                <w:szCs w:val="18"/>
              </w:rPr>
              <w:t>3003</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E2FD0E8">
            <w:pPr>
              <w:spacing w:line="250" w:lineRule="exact"/>
              <w:rPr>
                <w:sz w:val="18"/>
                <w:szCs w:val="18"/>
              </w:rPr>
            </w:pPr>
            <w:r>
              <w:rPr>
                <w:sz w:val="18"/>
                <w:szCs w:val="18"/>
              </w:rPr>
              <w:t>吨水泥熟料烧成标准煤耗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C1E158">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1E432A">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5E2F8D9">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385AD8">
            <w:pPr>
              <w:spacing w:line="250" w:lineRule="exact"/>
              <w:rPr>
                <w:sz w:val="18"/>
                <w:szCs w:val="18"/>
              </w:rPr>
            </w:pPr>
            <w:r>
              <w:rPr>
                <w:sz w:val="18"/>
                <w:szCs w:val="18"/>
              </w:rPr>
              <w:t>硅酸盐水泥熟料标准煤消费量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31FA3A4">
            <w:pPr>
              <w:spacing w:line="250" w:lineRule="exact"/>
              <w:rPr>
                <w:sz w:val="18"/>
                <w:szCs w:val="18"/>
              </w:rPr>
            </w:pPr>
            <w:r>
              <w:rPr>
                <w:sz w:val="18"/>
                <w:szCs w:val="18"/>
              </w:rPr>
              <w:t>硅酸盐水泥熟料产量</w:t>
            </w:r>
          </w:p>
        </w:tc>
        <w:tc>
          <w:tcPr>
            <w:tcW w:w="715" w:type="dxa"/>
            <w:tcBorders>
              <w:top w:val="single" w:color="auto" w:sz="2" w:space="0"/>
              <w:left w:val="single" w:color="auto" w:sz="2" w:space="0"/>
              <w:bottom w:val="single" w:color="auto" w:sz="2" w:space="0"/>
              <w:right w:val="nil"/>
            </w:tcBorders>
            <w:shd w:val="clear" w:color="auto" w:fill="auto"/>
            <w:vAlign w:val="center"/>
          </w:tcPr>
          <w:p w14:paraId="736BBA60">
            <w:pPr>
              <w:spacing w:line="250" w:lineRule="exact"/>
              <w:jc w:val="right"/>
              <w:rPr>
                <w:sz w:val="18"/>
                <w:szCs w:val="18"/>
              </w:rPr>
            </w:pPr>
            <w:r>
              <w:rPr>
                <w:sz w:val="18"/>
                <w:szCs w:val="18"/>
              </w:rPr>
              <w:t>1000</w:t>
            </w:r>
          </w:p>
        </w:tc>
      </w:tr>
      <w:tr w14:paraId="6F41FE90">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14:paraId="0A992500">
            <w:pPr>
              <w:spacing w:line="250" w:lineRule="exact"/>
              <w:jc w:val="center"/>
              <w:rPr>
                <w:sz w:val="18"/>
                <w:szCs w:val="18"/>
              </w:rPr>
            </w:pPr>
            <w:r>
              <w:rPr>
                <w:sz w:val="18"/>
                <w:szCs w:val="18"/>
              </w:rPr>
              <w:t>3005</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20403BF">
            <w:pPr>
              <w:spacing w:line="250" w:lineRule="exact"/>
              <w:rPr>
                <w:sz w:val="18"/>
                <w:szCs w:val="18"/>
              </w:rPr>
            </w:pPr>
            <w:r>
              <w:rPr>
                <w:sz w:val="18"/>
                <w:szCs w:val="18"/>
              </w:rPr>
              <w:t>吨水泥综合能耗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9B3C8A1">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DB6BB29">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BF517F">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B81657">
            <w:pPr>
              <w:spacing w:line="250" w:lineRule="exact"/>
              <w:rPr>
                <w:sz w:val="18"/>
                <w:szCs w:val="18"/>
              </w:rPr>
            </w:pPr>
            <w:r>
              <w:rPr>
                <w:sz w:val="18"/>
                <w:szCs w:val="18"/>
              </w:rPr>
              <w:t>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4C7CEA0">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14:paraId="687B594D">
            <w:pPr>
              <w:spacing w:line="250" w:lineRule="exact"/>
              <w:jc w:val="right"/>
              <w:rPr>
                <w:sz w:val="18"/>
                <w:szCs w:val="18"/>
              </w:rPr>
            </w:pPr>
            <w:r>
              <w:rPr>
                <w:sz w:val="18"/>
                <w:szCs w:val="18"/>
              </w:rPr>
              <w:t>1000</w:t>
            </w:r>
          </w:p>
        </w:tc>
      </w:tr>
      <w:tr w14:paraId="227E8E0F">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14:paraId="3B4C815D">
            <w:pPr>
              <w:spacing w:line="250" w:lineRule="exact"/>
              <w:jc w:val="center"/>
              <w:rPr>
                <w:sz w:val="18"/>
                <w:szCs w:val="18"/>
              </w:rPr>
            </w:pPr>
            <w:r>
              <w:rPr>
                <w:sz w:val="18"/>
                <w:szCs w:val="18"/>
              </w:rPr>
              <w:t>3007</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1D35DFA">
            <w:pPr>
              <w:spacing w:line="250" w:lineRule="exact"/>
              <w:rPr>
                <w:sz w:val="18"/>
                <w:szCs w:val="18"/>
              </w:rPr>
            </w:pPr>
            <w:r>
              <w:rPr>
                <w:sz w:val="18"/>
                <w:szCs w:val="18"/>
              </w:rPr>
              <w:t>吨水泥综合电耗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FDA662D">
            <w:pPr>
              <w:spacing w:line="250"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69B384">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A127BCA">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2B4BAF3">
            <w:pPr>
              <w:widowControl/>
              <w:spacing w:line="250" w:lineRule="exact"/>
              <w:jc w:val="both"/>
              <w:rPr>
                <w:sz w:val="18"/>
                <w:szCs w:val="18"/>
              </w:rPr>
            </w:pPr>
            <w:r>
              <w:rPr>
                <w:rFonts w:ascii="宋体" w:hAnsi="宋体"/>
                <w:spacing w:val="0"/>
                <w:sz w:val="18"/>
                <w:szCs w:val="18"/>
              </w:rPr>
              <w:t>水泥生产综合电力消费量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F5958C1">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14:paraId="2D90FEBF">
            <w:pPr>
              <w:spacing w:line="250" w:lineRule="exact"/>
              <w:jc w:val="right"/>
              <w:rPr>
                <w:sz w:val="18"/>
                <w:szCs w:val="18"/>
              </w:rPr>
            </w:pPr>
            <w:r>
              <w:rPr>
                <w:sz w:val="18"/>
                <w:szCs w:val="18"/>
              </w:rPr>
              <w:t>10000</w:t>
            </w:r>
          </w:p>
        </w:tc>
      </w:tr>
      <w:tr w14:paraId="0BCCE7C0">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14:paraId="0AC55018">
            <w:pPr>
              <w:spacing w:line="250" w:lineRule="exact"/>
              <w:jc w:val="center"/>
              <w:rPr>
                <w:sz w:val="18"/>
                <w:szCs w:val="18"/>
              </w:rPr>
            </w:pPr>
            <w:r>
              <w:rPr>
                <w:sz w:val="18"/>
                <w:szCs w:val="18"/>
              </w:rPr>
              <w:t>3020</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AC752DC">
            <w:pPr>
              <w:spacing w:line="250" w:lineRule="exact"/>
              <w:rPr>
                <w:sz w:val="18"/>
                <w:szCs w:val="18"/>
              </w:rPr>
            </w:pPr>
            <w:r>
              <w:rPr>
                <w:sz w:val="18"/>
                <w:szCs w:val="18"/>
              </w:rPr>
              <w:t>吨水泥标准煤耗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D09295">
            <w:pPr>
              <w:spacing w:line="250"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339C6B8">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33A8F84">
            <w:pPr>
              <w:spacing w:line="25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4343F16">
            <w:pPr>
              <w:spacing w:line="250" w:lineRule="exact"/>
              <w:rPr>
                <w:sz w:val="18"/>
                <w:szCs w:val="18"/>
              </w:rPr>
            </w:pPr>
            <w:r>
              <w:rPr>
                <w:sz w:val="18"/>
                <w:szCs w:val="18"/>
              </w:rPr>
              <w:t>水泥生产标准煤消费量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B008A9">
            <w:pPr>
              <w:spacing w:line="250" w:lineRule="exact"/>
              <w:rPr>
                <w:sz w:val="18"/>
                <w:szCs w:val="18"/>
              </w:rPr>
            </w:pPr>
            <w:r>
              <w:rPr>
                <w:sz w:val="18"/>
                <w:szCs w:val="18"/>
              </w:rPr>
              <w:t>水泥产量</w:t>
            </w:r>
          </w:p>
        </w:tc>
        <w:tc>
          <w:tcPr>
            <w:tcW w:w="715" w:type="dxa"/>
            <w:tcBorders>
              <w:top w:val="single" w:color="auto" w:sz="2" w:space="0"/>
              <w:left w:val="single" w:color="auto" w:sz="2" w:space="0"/>
              <w:bottom w:val="single" w:color="auto" w:sz="2" w:space="0"/>
              <w:right w:val="nil"/>
            </w:tcBorders>
            <w:shd w:val="clear" w:color="auto" w:fill="auto"/>
            <w:vAlign w:val="center"/>
          </w:tcPr>
          <w:p w14:paraId="1967E5BC">
            <w:pPr>
              <w:spacing w:line="250" w:lineRule="exact"/>
              <w:jc w:val="right"/>
              <w:rPr>
                <w:sz w:val="18"/>
                <w:szCs w:val="18"/>
              </w:rPr>
            </w:pPr>
            <w:r>
              <w:rPr>
                <w:sz w:val="18"/>
                <w:szCs w:val="18"/>
              </w:rPr>
              <w:t>1000</w:t>
            </w:r>
          </w:p>
        </w:tc>
      </w:tr>
      <w:tr w14:paraId="49772268">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vAlign w:val="center"/>
          </w:tcPr>
          <w:p w14:paraId="68C61067">
            <w:pPr>
              <w:spacing w:line="250" w:lineRule="exact"/>
              <w:jc w:val="both"/>
              <w:rPr>
                <w:sz w:val="18"/>
                <w:szCs w:val="18"/>
              </w:rPr>
            </w:pPr>
            <w:r>
              <w:rPr>
                <w:b/>
                <w:bCs/>
                <w:sz w:val="18"/>
                <w:szCs w:val="18"/>
              </w:rPr>
              <w:t xml:space="preserve">平板玻璃(30) </w:t>
            </w:r>
          </w:p>
        </w:tc>
      </w:tr>
      <w:tr w14:paraId="48A234AF">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2" w:space="0"/>
              <w:right w:val="single" w:color="auto" w:sz="2" w:space="0"/>
            </w:tcBorders>
            <w:shd w:val="clear" w:color="auto" w:fill="auto"/>
            <w:vAlign w:val="center"/>
          </w:tcPr>
          <w:p w14:paraId="4A4039FC">
            <w:pPr>
              <w:spacing w:line="250" w:lineRule="exact"/>
              <w:jc w:val="center"/>
              <w:rPr>
                <w:sz w:val="18"/>
                <w:szCs w:val="18"/>
              </w:rPr>
            </w:pPr>
            <w:r>
              <w:rPr>
                <w:sz w:val="18"/>
                <w:szCs w:val="18"/>
              </w:rPr>
              <w:t>3008</w:t>
            </w:r>
          </w:p>
        </w:tc>
        <w:tc>
          <w:tcPr>
            <w:tcW w:w="22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BD56AB0">
            <w:pPr>
              <w:spacing w:line="250" w:lineRule="exact"/>
              <w:rPr>
                <w:sz w:val="18"/>
                <w:szCs w:val="18"/>
              </w:rPr>
            </w:pPr>
            <w:r>
              <w:rPr>
                <w:sz w:val="18"/>
                <w:szCs w:val="18"/>
              </w:rPr>
              <w:t>每重量箱平板玻璃综合能耗</w:t>
            </w:r>
          </w:p>
        </w:tc>
        <w:tc>
          <w:tcPr>
            <w:tcW w:w="1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D7E1397">
            <w:pPr>
              <w:spacing w:line="250" w:lineRule="exact"/>
              <w:rPr>
                <w:sz w:val="18"/>
                <w:szCs w:val="18"/>
              </w:rPr>
            </w:pPr>
            <w:r>
              <w:rPr>
                <w:sz w:val="18"/>
                <w:szCs w:val="18"/>
              </w:rPr>
              <w:t>千克标准煤/重量箱</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49DCE5">
            <w:pPr>
              <w:spacing w:line="25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53876D3">
            <w:pPr>
              <w:spacing w:line="250" w:lineRule="exact"/>
              <w:jc w:val="center"/>
              <w:rPr>
                <w:sz w:val="18"/>
                <w:szCs w:val="18"/>
              </w:rPr>
            </w:pPr>
            <w:r>
              <w:rPr>
                <w:sz w:val="18"/>
                <w:szCs w:val="18"/>
              </w:rPr>
              <w:t>重量箱</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205730C">
            <w:pPr>
              <w:spacing w:line="250" w:lineRule="exact"/>
              <w:rPr>
                <w:sz w:val="18"/>
                <w:szCs w:val="18"/>
              </w:rPr>
            </w:pPr>
            <w:r>
              <w:rPr>
                <w:sz w:val="18"/>
                <w:szCs w:val="18"/>
              </w:rPr>
              <w:t>平板玻璃综合能源消耗量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D387036">
            <w:pPr>
              <w:spacing w:line="250" w:lineRule="exact"/>
              <w:rPr>
                <w:sz w:val="18"/>
                <w:szCs w:val="18"/>
              </w:rPr>
            </w:pPr>
            <w:r>
              <w:rPr>
                <w:sz w:val="18"/>
                <w:szCs w:val="18"/>
              </w:rPr>
              <w:t>平板玻璃产量</w:t>
            </w:r>
          </w:p>
        </w:tc>
        <w:tc>
          <w:tcPr>
            <w:tcW w:w="715" w:type="dxa"/>
            <w:tcBorders>
              <w:top w:val="single" w:color="auto" w:sz="2" w:space="0"/>
              <w:left w:val="single" w:color="auto" w:sz="2" w:space="0"/>
              <w:bottom w:val="single" w:color="auto" w:sz="2" w:space="0"/>
              <w:right w:val="nil"/>
            </w:tcBorders>
            <w:shd w:val="clear" w:color="auto" w:fill="auto"/>
            <w:vAlign w:val="center"/>
          </w:tcPr>
          <w:p w14:paraId="35EAABB1">
            <w:pPr>
              <w:spacing w:line="250" w:lineRule="exact"/>
              <w:jc w:val="right"/>
              <w:rPr>
                <w:sz w:val="18"/>
                <w:szCs w:val="18"/>
              </w:rPr>
            </w:pPr>
            <w:r>
              <w:rPr>
                <w:sz w:val="18"/>
                <w:szCs w:val="18"/>
              </w:rPr>
              <w:t>1000</w:t>
            </w:r>
          </w:p>
        </w:tc>
      </w:tr>
      <w:tr w14:paraId="660B7E51">
        <w:tblPrEx>
          <w:tblCellMar>
            <w:top w:w="0" w:type="dxa"/>
            <w:left w:w="0" w:type="dxa"/>
            <w:bottom w:w="0" w:type="dxa"/>
            <w:right w:w="0" w:type="dxa"/>
          </w:tblCellMar>
        </w:tblPrEx>
        <w:trPr>
          <w:trHeight w:val="285" w:hRule="atLeast"/>
        </w:trPr>
        <w:tc>
          <w:tcPr>
            <w:tcW w:w="559" w:type="dxa"/>
            <w:tcBorders>
              <w:top w:val="single" w:color="auto" w:sz="2" w:space="0"/>
              <w:left w:val="nil"/>
              <w:bottom w:val="single" w:color="auto" w:sz="8" w:space="0"/>
              <w:right w:val="single" w:color="auto" w:sz="2" w:space="0"/>
            </w:tcBorders>
            <w:shd w:val="clear" w:color="auto" w:fill="auto"/>
            <w:vAlign w:val="center"/>
          </w:tcPr>
          <w:p w14:paraId="01A3825D">
            <w:pPr>
              <w:spacing w:line="250" w:lineRule="exact"/>
              <w:jc w:val="center"/>
              <w:rPr>
                <w:sz w:val="18"/>
                <w:szCs w:val="18"/>
              </w:rPr>
            </w:pPr>
            <w:r>
              <w:rPr>
                <w:sz w:val="18"/>
                <w:szCs w:val="18"/>
              </w:rPr>
              <w:t>3010</w:t>
            </w:r>
          </w:p>
        </w:tc>
        <w:tc>
          <w:tcPr>
            <w:tcW w:w="2283" w:type="dxa"/>
            <w:gridSpan w:val="2"/>
            <w:tcBorders>
              <w:top w:val="single" w:color="auto" w:sz="2" w:space="0"/>
              <w:left w:val="single" w:color="auto" w:sz="2" w:space="0"/>
              <w:bottom w:val="single" w:color="auto" w:sz="8" w:space="0"/>
              <w:right w:val="single" w:color="auto" w:sz="2" w:space="0"/>
            </w:tcBorders>
            <w:shd w:val="clear" w:color="auto" w:fill="auto"/>
            <w:vAlign w:val="center"/>
          </w:tcPr>
          <w:p w14:paraId="2E8253A4">
            <w:pPr>
              <w:spacing w:line="250" w:lineRule="exact"/>
              <w:rPr>
                <w:sz w:val="18"/>
                <w:szCs w:val="18"/>
              </w:rPr>
            </w:pPr>
            <w:r>
              <w:rPr>
                <w:sz w:val="18"/>
                <w:szCs w:val="18"/>
              </w:rPr>
              <w:t>每重量箱平板玻璃耗电</w:t>
            </w:r>
          </w:p>
        </w:tc>
        <w:tc>
          <w:tcPr>
            <w:tcW w:w="1268"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1FE6D46F">
            <w:pPr>
              <w:spacing w:line="250" w:lineRule="exact"/>
              <w:rPr>
                <w:sz w:val="18"/>
                <w:szCs w:val="18"/>
              </w:rPr>
            </w:pPr>
            <w:r>
              <w:rPr>
                <w:sz w:val="18"/>
                <w:szCs w:val="18"/>
              </w:rPr>
              <w:t>千瓦时/重量箱</w:t>
            </w:r>
          </w:p>
        </w:tc>
        <w:tc>
          <w:tcPr>
            <w:tcW w:w="525"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7B45956B">
            <w:pPr>
              <w:spacing w:line="25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54145EAE">
            <w:pPr>
              <w:spacing w:line="250" w:lineRule="exact"/>
              <w:jc w:val="center"/>
              <w:rPr>
                <w:sz w:val="18"/>
                <w:szCs w:val="18"/>
              </w:rPr>
            </w:pPr>
            <w:r>
              <w:rPr>
                <w:sz w:val="18"/>
                <w:szCs w:val="18"/>
              </w:rPr>
              <w:t>重量箱</w:t>
            </w:r>
          </w:p>
        </w:tc>
        <w:tc>
          <w:tcPr>
            <w:tcW w:w="1914"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57F37200">
            <w:pPr>
              <w:spacing w:line="250" w:lineRule="exact"/>
              <w:rPr>
                <w:sz w:val="18"/>
                <w:szCs w:val="18"/>
              </w:rPr>
            </w:pPr>
            <w:r>
              <w:rPr>
                <w:sz w:val="18"/>
                <w:szCs w:val="18"/>
              </w:rPr>
              <w:t>平板玻璃电力消耗</w:t>
            </w:r>
          </w:p>
        </w:tc>
        <w:tc>
          <w:tcPr>
            <w:tcW w:w="1680"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75309DCE">
            <w:pPr>
              <w:spacing w:line="250" w:lineRule="exact"/>
              <w:rPr>
                <w:sz w:val="18"/>
                <w:szCs w:val="18"/>
              </w:rPr>
            </w:pPr>
            <w:r>
              <w:rPr>
                <w:sz w:val="18"/>
                <w:szCs w:val="18"/>
              </w:rPr>
              <w:t>平板玻璃产量</w:t>
            </w:r>
          </w:p>
        </w:tc>
        <w:tc>
          <w:tcPr>
            <w:tcW w:w="715" w:type="dxa"/>
            <w:tcBorders>
              <w:top w:val="single" w:color="auto" w:sz="2" w:space="0"/>
              <w:left w:val="single" w:color="auto" w:sz="2" w:space="0"/>
              <w:bottom w:val="single" w:color="auto" w:sz="8" w:space="0"/>
              <w:right w:val="nil"/>
            </w:tcBorders>
            <w:shd w:val="clear" w:color="auto" w:fill="auto"/>
            <w:vAlign w:val="center"/>
          </w:tcPr>
          <w:p w14:paraId="7EFF9353">
            <w:pPr>
              <w:spacing w:line="250" w:lineRule="exact"/>
              <w:jc w:val="right"/>
              <w:rPr>
                <w:sz w:val="18"/>
                <w:szCs w:val="18"/>
              </w:rPr>
            </w:pPr>
            <w:r>
              <w:rPr>
                <w:sz w:val="18"/>
                <w:szCs w:val="18"/>
              </w:rPr>
              <w:t>10000</w:t>
            </w:r>
          </w:p>
        </w:tc>
      </w:tr>
      <w:tr w14:paraId="263A41B8">
        <w:tblPrEx>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vAlign w:val="center"/>
          </w:tcPr>
          <w:p w14:paraId="0178C831">
            <w:pPr>
              <w:spacing w:line="25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14:paraId="7595F441">
            <w:pPr>
              <w:spacing w:line="250" w:lineRule="exact"/>
              <w:jc w:val="center"/>
              <w:rPr>
                <w:sz w:val="18"/>
                <w:szCs w:val="18"/>
              </w:rPr>
            </w:pPr>
            <w:r>
              <w:rPr>
                <w:sz w:val="18"/>
                <w:szCs w:val="18"/>
              </w:rPr>
              <w:t>指标名称</w:t>
            </w:r>
          </w:p>
        </w:tc>
        <w:tc>
          <w:tcPr>
            <w:tcW w:w="2329" w:type="dxa"/>
            <w:gridSpan w:val="4"/>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88ECC95">
            <w:pPr>
              <w:spacing w:line="25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FD26CE">
            <w:pPr>
              <w:spacing w:line="25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vAlign w:val="center"/>
          </w:tcPr>
          <w:p w14:paraId="2AE83DE6">
            <w:pPr>
              <w:spacing w:line="250" w:lineRule="exact"/>
              <w:jc w:val="center"/>
              <w:rPr>
                <w:sz w:val="18"/>
                <w:szCs w:val="18"/>
              </w:rPr>
            </w:pPr>
            <w:r>
              <w:rPr>
                <w:sz w:val="18"/>
                <w:szCs w:val="18"/>
              </w:rPr>
              <w:t>单位换算系数</w:t>
            </w:r>
          </w:p>
        </w:tc>
      </w:tr>
      <w:tr w14:paraId="023F11E9">
        <w:tblPrEx>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14:paraId="0470FE6F">
            <w:pPr>
              <w:spacing w:line="250"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4CB52C4">
            <w:pPr>
              <w:spacing w:line="250" w:lineRule="exact"/>
              <w:jc w:val="center"/>
              <w:rPr>
                <w:sz w:val="18"/>
                <w:szCs w:val="18"/>
              </w:rPr>
            </w:pP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6A3FB2">
            <w:pPr>
              <w:spacing w:line="25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73D5A0C">
            <w:pPr>
              <w:spacing w:line="25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2DB4132">
            <w:pPr>
              <w:spacing w:line="25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D9F5ECF">
            <w:pPr>
              <w:spacing w:line="250" w:lineRule="exact"/>
              <w:jc w:val="center"/>
              <w:rPr>
                <w:rFonts w:ascii="宋体" w:hAnsi="宋体"/>
                <w:spacing w:val="-20"/>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D22DC4">
            <w:pPr>
              <w:spacing w:line="25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14:paraId="63F1A8BF">
            <w:pPr>
              <w:spacing w:line="250" w:lineRule="exact"/>
              <w:jc w:val="center"/>
              <w:rPr>
                <w:sz w:val="18"/>
                <w:szCs w:val="18"/>
              </w:rPr>
            </w:pPr>
          </w:p>
        </w:tc>
      </w:tr>
      <w:tr w14:paraId="505F1F3A">
        <w:tblPrEx>
          <w:tblCellMar>
            <w:top w:w="0" w:type="dxa"/>
            <w:left w:w="0" w:type="dxa"/>
            <w:bottom w:w="0" w:type="dxa"/>
            <w:right w:w="0" w:type="dxa"/>
          </w:tblCellMar>
        </w:tblPrEx>
        <w:trPr>
          <w:trHeight w:val="300" w:hRule="atLeast"/>
        </w:trPr>
        <w:tc>
          <w:tcPr>
            <w:tcW w:w="559" w:type="dxa"/>
            <w:tcBorders>
              <w:top w:val="nil"/>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B2C3197">
            <w:pPr>
              <w:spacing w:line="256" w:lineRule="exact"/>
              <w:jc w:val="center"/>
              <w:rPr>
                <w:sz w:val="18"/>
                <w:szCs w:val="18"/>
              </w:rPr>
            </w:pPr>
            <w:r>
              <w:rPr>
                <w:sz w:val="18"/>
                <w:szCs w:val="18"/>
              </w:rPr>
              <w:t>3009</w:t>
            </w:r>
          </w:p>
        </w:tc>
        <w:tc>
          <w:tcPr>
            <w:tcW w:w="2268"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9C06E5">
            <w:pPr>
              <w:spacing w:line="256" w:lineRule="exact"/>
              <w:rPr>
                <w:sz w:val="18"/>
                <w:szCs w:val="18"/>
              </w:rPr>
            </w:pPr>
            <w:r>
              <w:rPr>
                <w:sz w:val="18"/>
                <w:szCs w:val="18"/>
              </w:rPr>
              <w:t>每重量箱平板玻璃耗燃油</w:t>
            </w:r>
          </w:p>
        </w:tc>
        <w:tc>
          <w:tcPr>
            <w:tcW w:w="1283" w:type="dxa"/>
            <w:gridSpan w:val="2"/>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FD3CE8">
            <w:pPr>
              <w:spacing w:line="256" w:lineRule="exact"/>
              <w:rPr>
                <w:sz w:val="18"/>
                <w:szCs w:val="18"/>
              </w:rPr>
            </w:pPr>
            <w:r>
              <w:rPr>
                <w:sz w:val="18"/>
                <w:szCs w:val="18"/>
              </w:rPr>
              <w:t>千克/重量箱</w:t>
            </w:r>
          </w:p>
        </w:tc>
        <w:tc>
          <w:tcPr>
            <w:tcW w:w="525"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1563AE">
            <w:pPr>
              <w:spacing w:line="256" w:lineRule="exact"/>
              <w:jc w:val="center"/>
              <w:rPr>
                <w:sz w:val="18"/>
                <w:szCs w:val="18"/>
              </w:rPr>
            </w:pPr>
            <w:r>
              <w:rPr>
                <w:sz w:val="18"/>
                <w:szCs w:val="18"/>
              </w:rPr>
              <w:t>吨</w:t>
            </w:r>
          </w:p>
        </w:tc>
        <w:tc>
          <w:tcPr>
            <w:tcW w:w="521"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433664">
            <w:pPr>
              <w:spacing w:line="256" w:lineRule="exact"/>
              <w:jc w:val="center"/>
              <w:rPr>
                <w:sz w:val="18"/>
                <w:szCs w:val="18"/>
              </w:rPr>
            </w:pPr>
            <w:r>
              <w:rPr>
                <w:sz w:val="18"/>
                <w:szCs w:val="18"/>
              </w:rPr>
              <w:t>重量箱</w:t>
            </w:r>
          </w:p>
        </w:tc>
        <w:tc>
          <w:tcPr>
            <w:tcW w:w="1914"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F976036">
            <w:pPr>
              <w:spacing w:line="256" w:lineRule="exact"/>
              <w:rPr>
                <w:sz w:val="18"/>
                <w:szCs w:val="18"/>
              </w:rPr>
            </w:pPr>
            <w:r>
              <w:rPr>
                <w:sz w:val="18"/>
                <w:szCs w:val="18"/>
              </w:rPr>
              <w:t>平板玻璃燃油消耗</w:t>
            </w:r>
          </w:p>
        </w:tc>
        <w:tc>
          <w:tcPr>
            <w:tcW w:w="1680" w:type="dxa"/>
            <w:tcBorders>
              <w:top w:val="nil"/>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9A28BC">
            <w:pPr>
              <w:spacing w:line="256" w:lineRule="exact"/>
              <w:rPr>
                <w:sz w:val="18"/>
                <w:szCs w:val="18"/>
              </w:rPr>
            </w:pPr>
            <w:r>
              <w:rPr>
                <w:sz w:val="18"/>
                <w:szCs w:val="18"/>
              </w:rPr>
              <w:t>平板玻璃产量</w:t>
            </w:r>
          </w:p>
        </w:tc>
        <w:tc>
          <w:tcPr>
            <w:tcW w:w="715" w:type="dxa"/>
            <w:tcBorders>
              <w:top w:val="nil"/>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E31CA01">
            <w:pPr>
              <w:spacing w:line="256" w:lineRule="exact"/>
              <w:jc w:val="right"/>
              <w:rPr>
                <w:sz w:val="18"/>
                <w:szCs w:val="18"/>
              </w:rPr>
            </w:pPr>
            <w:r>
              <w:rPr>
                <w:sz w:val="18"/>
                <w:szCs w:val="18"/>
              </w:rPr>
              <w:t>1000</w:t>
            </w:r>
          </w:p>
        </w:tc>
      </w:tr>
      <w:tr w14:paraId="2F4889C1">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408AF654">
            <w:pPr>
              <w:spacing w:line="256" w:lineRule="exact"/>
              <w:rPr>
                <w:b/>
                <w:bCs/>
                <w:sz w:val="18"/>
                <w:szCs w:val="18"/>
              </w:rPr>
            </w:pPr>
            <w:r>
              <w:rPr>
                <w:b/>
                <w:bCs/>
                <w:sz w:val="18"/>
                <w:szCs w:val="18"/>
              </w:rPr>
              <w:t>黑色金属(31)</w:t>
            </w:r>
          </w:p>
        </w:tc>
      </w:tr>
      <w:tr w14:paraId="7B55E60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46DB633">
            <w:pPr>
              <w:spacing w:line="256" w:lineRule="exact"/>
              <w:jc w:val="center"/>
              <w:rPr>
                <w:sz w:val="18"/>
                <w:szCs w:val="18"/>
              </w:rPr>
            </w:pPr>
            <w:r>
              <w:rPr>
                <w:sz w:val="18"/>
                <w:szCs w:val="18"/>
              </w:rPr>
              <w:t>3101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C8716F">
            <w:pPr>
              <w:spacing w:line="256" w:lineRule="exact"/>
              <w:rPr>
                <w:sz w:val="18"/>
                <w:szCs w:val="18"/>
              </w:rPr>
            </w:pPr>
            <w:r>
              <w:rPr>
                <w:sz w:val="18"/>
                <w:szCs w:val="18"/>
              </w:rPr>
              <w:t>吨钢综合能耗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CC58FBA">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5875C98">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7D27E23">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0093A24">
            <w:pPr>
              <w:spacing w:line="256" w:lineRule="exact"/>
              <w:rPr>
                <w:sz w:val="18"/>
                <w:szCs w:val="18"/>
              </w:rPr>
            </w:pPr>
            <w:r>
              <w:rPr>
                <w:sz w:val="18"/>
                <w:szCs w:val="18"/>
              </w:rPr>
              <w:t>企业自耗能源量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E39964">
            <w:pPr>
              <w:spacing w:line="256"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3DE10CD">
            <w:pPr>
              <w:spacing w:line="256" w:lineRule="exact"/>
              <w:jc w:val="right"/>
              <w:rPr>
                <w:sz w:val="18"/>
                <w:szCs w:val="18"/>
              </w:rPr>
            </w:pPr>
            <w:r>
              <w:rPr>
                <w:sz w:val="18"/>
                <w:szCs w:val="18"/>
              </w:rPr>
              <w:t>1000</w:t>
            </w:r>
          </w:p>
        </w:tc>
      </w:tr>
      <w:tr w14:paraId="35F0F322">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13E957E">
            <w:pPr>
              <w:spacing w:line="256" w:lineRule="exact"/>
              <w:jc w:val="center"/>
              <w:rPr>
                <w:sz w:val="18"/>
                <w:szCs w:val="18"/>
              </w:rPr>
            </w:pPr>
            <w:r>
              <w:rPr>
                <w:sz w:val="18"/>
                <w:szCs w:val="18"/>
              </w:rPr>
              <w:t>3102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123EAC6">
            <w:pPr>
              <w:spacing w:line="256" w:lineRule="exact"/>
              <w:rPr>
                <w:sz w:val="18"/>
                <w:szCs w:val="18"/>
              </w:rPr>
            </w:pPr>
            <w:r>
              <w:rPr>
                <w:sz w:val="18"/>
                <w:szCs w:val="18"/>
              </w:rPr>
              <w:t>吨钢耗电</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24A729">
            <w:pPr>
              <w:spacing w:line="25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4A138FD">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E2036F">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3126226">
            <w:pPr>
              <w:spacing w:line="256" w:lineRule="exact"/>
              <w:rPr>
                <w:sz w:val="18"/>
                <w:szCs w:val="18"/>
              </w:rPr>
            </w:pPr>
            <w:r>
              <w:rPr>
                <w:sz w:val="18"/>
                <w:szCs w:val="18"/>
              </w:rPr>
              <w:t>钢铁生产自耗电量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6C4F9F9">
            <w:pPr>
              <w:spacing w:line="256"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3D588D0">
            <w:pPr>
              <w:spacing w:line="256" w:lineRule="exact"/>
              <w:jc w:val="right"/>
              <w:rPr>
                <w:sz w:val="18"/>
                <w:szCs w:val="18"/>
              </w:rPr>
            </w:pPr>
            <w:r>
              <w:rPr>
                <w:sz w:val="18"/>
                <w:szCs w:val="18"/>
              </w:rPr>
              <w:t>10000</w:t>
            </w:r>
          </w:p>
        </w:tc>
      </w:tr>
      <w:tr w14:paraId="2C946D7B">
        <w:tblPrEx>
          <w:tblCellMar>
            <w:top w:w="0" w:type="dxa"/>
            <w:left w:w="0" w:type="dxa"/>
            <w:bottom w:w="0" w:type="dxa"/>
            <w:right w:w="0" w:type="dxa"/>
          </w:tblCellMar>
        </w:tblPrEx>
        <w:trPr>
          <w:trHeight w:val="572"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E3C8A66">
            <w:pPr>
              <w:spacing w:line="256" w:lineRule="exact"/>
              <w:jc w:val="center"/>
              <w:rPr>
                <w:sz w:val="18"/>
                <w:szCs w:val="18"/>
              </w:rPr>
            </w:pPr>
            <w:r>
              <w:rPr>
                <w:sz w:val="18"/>
                <w:szCs w:val="18"/>
              </w:rPr>
              <w:t>3103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119E502">
            <w:pPr>
              <w:spacing w:line="256" w:lineRule="exact"/>
              <w:rPr>
                <w:sz w:val="18"/>
                <w:szCs w:val="18"/>
              </w:rPr>
            </w:pPr>
            <w:r>
              <w:rPr>
                <w:sz w:val="18"/>
                <w:szCs w:val="18"/>
              </w:rPr>
              <w:t>吨钢可比能耗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tcPr>
          <w:p w14:paraId="7428E8B4">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68D5D6">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541127">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8EC6EAC">
            <w:pPr>
              <w:spacing w:line="256" w:lineRule="exact"/>
              <w:rPr>
                <w:sz w:val="18"/>
                <w:szCs w:val="18"/>
              </w:rPr>
            </w:pPr>
            <w:r>
              <w:rPr>
                <w:rFonts w:ascii="宋体" w:hAnsi="宋体"/>
                <w:spacing w:val="0"/>
                <w:sz w:val="18"/>
                <w:szCs w:val="18"/>
              </w:rPr>
              <w:t>由大型钢铁联合企业填报</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296F08">
            <w:pPr>
              <w:spacing w:line="256" w:lineRule="exact"/>
              <w:rPr>
                <w:sz w:val="18"/>
                <w:szCs w:val="18"/>
              </w:rPr>
            </w:pPr>
            <w:r>
              <w:rPr>
                <w:sz w:val="18"/>
                <w:szCs w:val="18"/>
              </w:rPr>
              <w:t>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E57D485">
            <w:pPr>
              <w:spacing w:line="256" w:lineRule="exact"/>
              <w:jc w:val="right"/>
              <w:rPr>
                <w:rFonts w:hint="default" w:eastAsia="宋体"/>
                <w:sz w:val="18"/>
                <w:szCs w:val="18"/>
                <w:lang w:val="en-US" w:eastAsia="zh-CN"/>
              </w:rPr>
            </w:pPr>
            <w:r>
              <w:rPr>
                <w:rFonts w:hint="eastAsia"/>
                <w:sz w:val="18"/>
                <w:szCs w:val="18"/>
                <w:lang w:val="en-US" w:eastAsia="zh-CN"/>
              </w:rPr>
              <w:t>1000</w:t>
            </w:r>
          </w:p>
        </w:tc>
      </w:tr>
      <w:tr w14:paraId="459931AB">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AB08B2A">
            <w:pPr>
              <w:spacing w:line="256" w:lineRule="exact"/>
              <w:jc w:val="center"/>
              <w:rPr>
                <w:sz w:val="18"/>
                <w:szCs w:val="18"/>
              </w:rPr>
            </w:pPr>
            <w:r>
              <w:rPr>
                <w:sz w:val="18"/>
                <w:szCs w:val="18"/>
              </w:rPr>
              <w:t>3104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1AB18D0">
            <w:pPr>
              <w:spacing w:line="256" w:lineRule="exact"/>
              <w:rPr>
                <w:sz w:val="18"/>
                <w:szCs w:val="18"/>
              </w:rPr>
            </w:pPr>
            <w:r>
              <w:rPr>
                <w:sz w:val="18"/>
                <w:szCs w:val="18"/>
              </w:rPr>
              <w:t>炼铁工序单位能耗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E96DB54">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928660F">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47DA257">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32A685">
            <w:pPr>
              <w:spacing w:line="256" w:lineRule="exact"/>
              <w:rPr>
                <w:sz w:val="18"/>
                <w:szCs w:val="18"/>
              </w:rPr>
            </w:pPr>
            <w:r>
              <w:rPr>
                <w:sz w:val="18"/>
                <w:szCs w:val="18"/>
              </w:rPr>
              <w:t>炼铁工序净耗能量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7B7CC5">
            <w:pPr>
              <w:spacing w:line="256" w:lineRule="exact"/>
              <w:rPr>
                <w:sz w:val="18"/>
                <w:szCs w:val="18"/>
              </w:rPr>
            </w:pPr>
            <w:r>
              <w:rPr>
                <w:sz w:val="18"/>
                <w:szCs w:val="18"/>
              </w:rPr>
              <w:t>生铁合格产出量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2A6D0F1">
            <w:pPr>
              <w:spacing w:line="256" w:lineRule="exact"/>
              <w:jc w:val="right"/>
              <w:rPr>
                <w:sz w:val="18"/>
                <w:szCs w:val="18"/>
              </w:rPr>
            </w:pPr>
            <w:r>
              <w:rPr>
                <w:sz w:val="18"/>
                <w:szCs w:val="18"/>
              </w:rPr>
              <w:t>1000</w:t>
            </w:r>
          </w:p>
        </w:tc>
      </w:tr>
      <w:tr w14:paraId="738CB8B5">
        <w:tblPrEx>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noWrap/>
            <w:tcMar>
              <w:top w:w="15" w:type="dxa"/>
              <w:left w:w="15" w:type="dxa"/>
              <w:bottom w:w="0" w:type="dxa"/>
              <w:right w:w="15" w:type="dxa"/>
            </w:tcMar>
            <w:vAlign w:val="center"/>
          </w:tcPr>
          <w:p w14:paraId="54E23599">
            <w:pPr>
              <w:spacing w:line="256" w:lineRule="exact"/>
              <w:jc w:val="center"/>
              <w:rPr>
                <w:sz w:val="18"/>
                <w:szCs w:val="18"/>
              </w:rPr>
            </w:pPr>
            <w:r>
              <w:rPr>
                <w:sz w:val="18"/>
                <w:szCs w:val="18"/>
              </w:rPr>
              <w:t>3120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34903F">
            <w:pPr>
              <w:spacing w:line="256" w:lineRule="exact"/>
              <w:rPr>
                <w:sz w:val="18"/>
                <w:szCs w:val="18"/>
              </w:rPr>
            </w:pPr>
            <w:r>
              <w:rPr>
                <w:sz w:val="18"/>
                <w:szCs w:val="18"/>
              </w:rPr>
              <w:t>铁矿烧结工序单位能耗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79E8552">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C99B5D9">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438848B">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E09D8B7">
            <w:pPr>
              <w:spacing w:line="256" w:lineRule="exact"/>
              <w:rPr>
                <w:sz w:val="18"/>
                <w:szCs w:val="18"/>
              </w:rPr>
            </w:pPr>
            <w:r>
              <w:rPr>
                <w:sz w:val="18"/>
                <w:szCs w:val="18"/>
              </w:rPr>
              <w:t>铁矿烧结工序净耗能量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7AA7DC2">
            <w:pPr>
              <w:spacing w:line="256" w:lineRule="exact"/>
              <w:rPr>
                <w:sz w:val="18"/>
                <w:szCs w:val="18"/>
              </w:rPr>
            </w:pPr>
            <w:r>
              <w:rPr>
                <w:sz w:val="18"/>
                <w:szCs w:val="18"/>
              </w:rPr>
              <w:t>铁矿烧结矿合格产出量</w:t>
            </w:r>
          </w:p>
        </w:tc>
        <w:tc>
          <w:tcPr>
            <w:tcW w:w="715" w:type="dxa"/>
            <w:tcBorders>
              <w:top w:val="single" w:color="auto" w:sz="2" w:space="0"/>
              <w:left w:val="single" w:color="auto" w:sz="2" w:space="0"/>
              <w:bottom w:val="single" w:color="auto" w:sz="2" w:space="0"/>
              <w:right w:val="nil"/>
            </w:tcBorders>
            <w:shd w:val="clear" w:color="auto" w:fill="auto"/>
            <w:noWrap/>
            <w:tcMar>
              <w:top w:w="15" w:type="dxa"/>
              <w:left w:w="15" w:type="dxa"/>
              <w:bottom w:w="0" w:type="dxa"/>
              <w:right w:w="15" w:type="dxa"/>
            </w:tcMar>
            <w:vAlign w:val="center"/>
          </w:tcPr>
          <w:p w14:paraId="2F685FAB">
            <w:pPr>
              <w:spacing w:line="256" w:lineRule="exact"/>
              <w:jc w:val="right"/>
              <w:rPr>
                <w:sz w:val="18"/>
                <w:szCs w:val="18"/>
              </w:rPr>
            </w:pPr>
            <w:r>
              <w:rPr>
                <w:sz w:val="18"/>
                <w:szCs w:val="18"/>
              </w:rPr>
              <w:t>1000</w:t>
            </w:r>
          </w:p>
        </w:tc>
      </w:tr>
      <w:tr w14:paraId="362BF271">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F94E627">
            <w:pPr>
              <w:spacing w:line="256" w:lineRule="exact"/>
              <w:jc w:val="center"/>
              <w:rPr>
                <w:sz w:val="18"/>
                <w:szCs w:val="18"/>
              </w:rPr>
            </w:pPr>
            <w:r>
              <w:rPr>
                <w:sz w:val="18"/>
                <w:szCs w:val="18"/>
              </w:rPr>
              <w:t>3106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5AD7DBC">
            <w:pPr>
              <w:spacing w:line="256" w:lineRule="exact"/>
              <w:rPr>
                <w:sz w:val="18"/>
                <w:szCs w:val="18"/>
              </w:rPr>
            </w:pPr>
            <w:r>
              <w:rPr>
                <w:sz w:val="18"/>
                <w:szCs w:val="18"/>
              </w:rPr>
              <w:t>转炉炼钢综合工序单位能耗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ADBC47B">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419004">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CA86B7">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DEDB18">
            <w:pPr>
              <w:spacing w:line="256" w:lineRule="exact"/>
              <w:rPr>
                <w:sz w:val="18"/>
                <w:szCs w:val="18"/>
              </w:rPr>
            </w:pPr>
            <w:r>
              <w:rPr>
                <w:sz w:val="18"/>
                <w:szCs w:val="18"/>
              </w:rPr>
              <w:t>转炉炼钢综合工序净耗能量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9384CEE">
            <w:pPr>
              <w:spacing w:line="256" w:lineRule="exact"/>
              <w:rPr>
                <w:sz w:val="18"/>
                <w:szCs w:val="18"/>
              </w:rPr>
            </w:pPr>
            <w:r>
              <w:rPr>
                <w:sz w:val="18"/>
                <w:szCs w:val="18"/>
              </w:rPr>
              <w:t>转炉钢合格产出量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A7E1EFD">
            <w:pPr>
              <w:spacing w:line="256" w:lineRule="exact"/>
              <w:jc w:val="right"/>
              <w:rPr>
                <w:sz w:val="18"/>
                <w:szCs w:val="18"/>
              </w:rPr>
            </w:pPr>
            <w:r>
              <w:rPr>
                <w:sz w:val="18"/>
                <w:szCs w:val="18"/>
              </w:rPr>
              <w:t>1000</w:t>
            </w:r>
          </w:p>
        </w:tc>
      </w:tr>
      <w:tr w14:paraId="2647F0BD">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B97F394">
            <w:pPr>
              <w:spacing w:line="256" w:lineRule="exact"/>
              <w:jc w:val="center"/>
              <w:rPr>
                <w:sz w:val="18"/>
                <w:szCs w:val="18"/>
              </w:rPr>
            </w:pPr>
            <w:r>
              <w:rPr>
                <w:sz w:val="18"/>
                <w:szCs w:val="18"/>
              </w:rPr>
              <w:t>3107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7D4A62">
            <w:pPr>
              <w:spacing w:line="256" w:lineRule="exact"/>
              <w:rPr>
                <w:sz w:val="18"/>
                <w:szCs w:val="18"/>
              </w:rPr>
            </w:pPr>
            <w:r>
              <w:rPr>
                <w:sz w:val="18"/>
                <w:szCs w:val="18"/>
              </w:rPr>
              <w:t>电炉炼钢综合工序单位能耗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7629EF8">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3B946C">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C47CB7">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54DC5A0">
            <w:pPr>
              <w:spacing w:line="256" w:lineRule="exact"/>
              <w:rPr>
                <w:sz w:val="18"/>
                <w:szCs w:val="18"/>
              </w:rPr>
            </w:pPr>
            <w:r>
              <w:rPr>
                <w:sz w:val="18"/>
                <w:szCs w:val="18"/>
              </w:rPr>
              <w:t>电炉炼钢综合工序净耗能量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6831528">
            <w:pPr>
              <w:spacing w:line="256" w:lineRule="exact"/>
              <w:rPr>
                <w:sz w:val="18"/>
                <w:szCs w:val="18"/>
              </w:rPr>
            </w:pPr>
            <w:r>
              <w:rPr>
                <w:sz w:val="18"/>
                <w:szCs w:val="18"/>
              </w:rPr>
              <w:t>电炉钢合格产出量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B1560F4">
            <w:pPr>
              <w:spacing w:line="256" w:lineRule="exact"/>
              <w:jc w:val="right"/>
              <w:rPr>
                <w:sz w:val="18"/>
                <w:szCs w:val="18"/>
              </w:rPr>
            </w:pPr>
            <w:r>
              <w:rPr>
                <w:sz w:val="18"/>
                <w:szCs w:val="18"/>
              </w:rPr>
              <w:t>1000</w:t>
            </w:r>
          </w:p>
        </w:tc>
      </w:tr>
      <w:tr w14:paraId="4B72D53B">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C29A97A">
            <w:pPr>
              <w:spacing w:line="256" w:lineRule="exact"/>
              <w:jc w:val="center"/>
              <w:rPr>
                <w:sz w:val="18"/>
                <w:szCs w:val="18"/>
              </w:rPr>
            </w:pPr>
            <w:r>
              <w:rPr>
                <w:sz w:val="18"/>
                <w:szCs w:val="18"/>
              </w:rPr>
              <w:t>3108</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768A5F4">
            <w:pPr>
              <w:spacing w:line="256" w:lineRule="exact"/>
              <w:rPr>
                <w:sz w:val="18"/>
                <w:szCs w:val="18"/>
              </w:rPr>
            </w:pPr>
            <w:r>
              <w:rPr>
                <w:sz w:val="18"/>
                <w:szCs w:val="18"/>
              </w:rPr>
              <w:t>电炉炼钢综合电力消耗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1C5DBDD">
            <w:pPr>
              <w:spacing w:line="25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CA495C2">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FF1155E">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2EFB788">
            <w:pPr>
              <w:widowControl/>
              <w:spacing w:line="256" w:lineRule="exact"/>
              <w:jc w:val="both"/>
              <w:rPr>
                <w:sz w:val="18"/>
                <w:szCs w:val="18"/>
              </w:rPr>
            </w:pPr>
            <w:r>
              <w:rPr>
                <w:rFonts w:ascii="宋体" w:hAnsi="宋体"/>
                <w:spacing w:val="0"/>
                <w:sz w:val="18"/>
                <w:szCs w:val="18"/>
              </w:rPr>
              <w:t>电炉炼钢综合电力净耗量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534668E">
            <w:pPr>
              <w:spacing w:line="256" w:lineRule="exact"/>
              <w:rPr>
                <w:sz w:val="18"/>
                <w:szCs w:val="18"/>
              </w:rPr>
            </w:pPr>
            <w:r>
              <w:rPr>
                <w:sz w:val="18"/>
                <w:szCs w:val="18"/>
              </w:rPr>
              <w:t>电炉钢合格产出量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C89638E">
            <w:pPr>
              <w:spacing w:line="256" w:lineRule="exact"/>
              <w:jc w:val="right"/>
              <w:rPr>
                <w:sz w:val="18"/>
                <w:szCs w:val="18"/>
              </w:rPr>
            </w:pPr>
            <w:r>
              <w:rPr>
                <w:sz w:val="18"/>
                <w:szCs w:val="18"/>
              </w:rPr>
              <w:t>10000</w:t>
            </w:r>
          </w:p>
        </w:tc>
      </w:tr>
      <w:tr w14:paraId="3256AC54">
        <w:tblPrEx>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BFA6CA9">
            <w:pPr>
              <w:spacing w:line="256" w:lineRule="exact"/>
              <w:jc w:val="center"/>
              <w:rPr>
                <w:sz w:val="18"/>
                <w:szCs w:val="18"/>
              </w:rPr>
            </w:pPr>
            <w:r>
              <w:rPr>
                <w:sz w:val="18"/>
                <w:szCs w:val="18"/>
              </w:rPr>
              <w:t>3130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B9638EF">
            <w:pPr>
              <w:spacing w:line="256" w:lineRule="exact"/>
              <w:rPr>
                <w:sz w:val="18"/>
                <w:szCs w:val="18"/>
              </w:rPr>
            </w:pPr>
            <w:r>
              <w:rPr>
                <w:sz w:val="18"/>
                <w:szCs w:val="18"/>
              </w:rPr>
              <w:t>硅铁工序单位能耗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0259169">
            <w:pPr>
              <w:spacing w:line="256" w:lineRule="exact"/>
              <w:jc w:val="left"/>
              <w:rPr>
                <w:sz w:val="18"/>
                <w:szCs w:val="18"/>
              </w:rPr>
            </w:pPr>
            <w:r>
              <w:rPr>
                <w:sz w:val="18"/>
                <w:szCs w:val="18"/>
              </w:rPr>
              <w:t>千克标准煤/标准吨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037B24">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41C874">
            <w:pPr>
              <w:spacing w:line="256"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29D742">
            <w:pPr>
              <w:spacing w:line="256" w:lineRule="exact"/>
              <w:rPr>
                <w:sz w:val="18"/>
                <w:szCs w:val="18"/>
              </w:rPr>
            </w:pPr>
            <w:r>
              <w:rPr>
                <w:sz w:val="18"/>
                <w:szCs w:val="18"/>
              </w:rPr>
              <w:t>硅铁工序净耗能量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B98989B">
            <w:pPr>
              <w:spacing w:line="256" w:lineRule="exact"/>
              <w:rPr>
                <w:sz w:val="18"/>
                <w:szCs w:val="18"/>
              </w:rPr>
            </w:pPr>
            <w:r>
              <w:rPr>
                <w:sz w:val="18"/>
                <w:szCs w:val="18"/>
              </w:rPr>
              <w:t>硅铁(折合含硅75%)合格产品标准量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E197B0B">
            <w:pPr>
              <w:spacing w:line="256" w:lineRule="exact"/>
              <w:jc w:val="right"/>
              <w:rPr>
                <w:sz w:val="18"/>
                <w:szCs w:val="18"/>
              </w:rPr>
            </w:pPr>
            <w:r>
              <w:rPr>
                <w:sz w:val="18"/>
                <w:szCs w:val="18"/>
              </w:rPr>
              <w:t>1000</w:t>
            </w:r>
          </w:p>
        </w:tc>
      </w:tr>
      <w:tr w14:paraId="2FBAF22C">
        <w:tblPrEx>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FE3AC93">
            <w:pPr>
              <w:spacing w:line="256" w:lineRule="exact"/>
              <w:jc w:val="center"/>
              <w:rPr>
                <w:sz w:val="18"/>
                <w:szCs w:val="18"/>
              </w:rPr>
            </w:pPr>
            <w:r>
              <w:rPr>
                <w:sz w:val="18"/>
                <w:szCs w:val="18"/>
              </w:rPr>
              <w:t>3140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7FAF89F">
            <w:pPr>
              <w:spacing w:line="256" w:lineRule="exact"/>
              <w:rPr>
                <w:sz w:val="18"/>
                <w:szCs w:val="18"/>
              </w:rPr>
            </w:pPr>
            <w:r>
              <w:rPr>
                <w:sz w:val="18"/>
                <w:szCs w:val="18"/>
              </w:rPr>
              <w:t>锰硅合金工序单位能耗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A4B9089">
            <w:pPr>
              <w:spacing w:line="256" w:lineRule="exact"/>
              <w:jc w:val="left"/>
              <w:rPr>
                <w:sz w:val="18"/>
                <w:szCs w:val="18"/>
              </w:rPr>
            </w:pPr>
            <w:r>
              <w:rPr>
                <w:sz w:val="18"/>
                <w:szCs w:val="18"/>
              </w:rPr>
              <w:t>千克标准煤/标准吨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EED211">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B000130">
            <w:pPr>
              <w:spacing w:line="256"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0BC32DA">
            <w:pPr>
              <w:spacing w:line="256" w:lineRule="exact"/>
              <w:rPr>
                <w:sz w:val="18"/>
                <w:szCs w:val="18"/>
              </w:rPr>
            </w:pPr>
            <w:r>
              <w:rPr>
                <w:sz w:val="18"/>
                <w:szCs w:val="18"/>
              </w:rPr>
              <w:t>锰硅合金工序净耗能量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AB6043">
            <w:pPr>
              <w:spacing w:line="256" w:lineRule="exact"/>
              <w:rPr>
                <w:sz w:val="18"/>
                <w:szCs w:val="18"/>
              </w:rPr>
            </w:pPr>
            <w:r>
              <w:rPr>
                <w:sz w:val="18"/>
                <w:szCs w:val="18"/>
              </w:rPr>
              <w:t>锰硅合金合格产品标准量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068D550">
            <w:pPr>
              <w:spacing w:line="256" w:lineRule="exact"/>
              <w:jc w:val="right"/>
              <w:rPr>
                <w:sz w:val="18"/>
                <w:szCs w:val="18"/>
              </w:rPr>
            </w:pPr>
            <w:r>
              <w:rPr>
                <w:sz w:val="18"/>
                <w:szCs w:val="18"/>
              </w:rPr>
              <w:t>1000</w:t>
            </w:r>
          </w:p>
        </w:tc>
      </w:tr>
      <w:tr w14:paraId="48E813D2">
        <w:tblPrEx>
          <w:tblCellMar>
            <w:top w:w="0" w:type="dxa"/>
            <w:left w:w="0" w:type="dxa"/>
            <w:bottom w:w="0" w:type="dxa"/>
            <w:right w:w="0" w:type="dxa"/>
          </w:tblCellMar>
        </w:tblPrEx>
        <w:trPr>
          <w:trHeight w:val="55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142087A">
            <w:pPr>
              <w:spacing w:line="256" w:lineRule="exact"/>
              <w:jc w:val="center"/>
              <w:rPr>
                <w:sz w:val="18"/>
                <w:szCs w:val="18"/>
              </w:rPr>
            </w:pPr>
            <w:r>
              <w:rPr>
                <w:sz w:val="18"/>
                <w:szCs w:val="18"/>
              </w:rPr>
              <w:t>3150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417E6B">
            <w:pPr>
              <w:spacing w:line="256" w:lineRule="exact"/>
              <w:rPr>
                <w:sz w:val="18"/>
                <w:szCs w:val="18"/>
              </w:rPr>
            </w:pPr>
            <w:r>
              <w:rPr>
                <w:sz w:val="18"/>
                <w:szCs w:val="18"/>
              </w:rPr>
              <w:t>硅铁单位电耗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3A81B6">
            <w:pPr>
              <w:spacing w:line="256" w:lineRule="exact"/>
              <w:jc w:val="left"/>
              <w:rPr>
                <w:sz w:val="18"/>
                <w:szCs w:val="18"/>
              </w:rPr>
            </w:pPr>
            <w:r>
              <w:rPr>
                <w:sz w:val="18"/>
                <w:szCs w:val="18"/>
              </w:rPr>
              <w:t>千瓦时/标准吨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64D5548">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C490E91">
            <w:pPr>
              <w:spacing w:line="256"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DF106B">
            <w:pPr>
              <w:spacing w:line="256" w:lineRule="exact"/>
              <w:rPr>
                <w:sz w:val="18"/>
                <w:szCs w:val="18"/>
              </w:rPr>
            </w:pPr>
            <w:r>
              <w:rPr>
                <w:sz w:val="18"/>
                <w:szCs w:val="18"/>
              </w:rPr>
              <w:t>硅铁冶炼总耗电量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28B697">
            <w:pPr>
              <w:spacing w:line="256" w:lineRule="exact"/>
              <w:rPr>
                <w:sz w:val="18"/>
                <w:szCs w:val="18"/>
              </w:rPr>
            </w:pPr>
            <w:r>
              <w:rPr>
                <w:sz w:val="18"/>
                <w:szCs w:val="18"/>
              </w:rPr>
              <w:t>硅铁(折合含硅75%)合格产品标准量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5D2B993">
            <w:pPr>
              <w:spacing w:line="256" w:lineRule="exact"/>
              <w:jc w:val="right"/>
              <w:rPr>
                <w:sz w:val="18"/>
                <w:szCs w:val="18"/>
              </w:rPr>
            </w:pPr>
            <w:r>
              <w:rPr>
                <w:sz w:val="18"/>
                <w:szCs w:val="18"/>
              </w:rPr>
              <w:t>10000</w:t>
            </w:r>
          </w:p>
        </w:tc>
      </w:tr>
      <w:tr w14:paraId="2C492808">
        <w:tblPrEx>
          <w:tblCellMar>
            <w:top w:w="0" w:type="dxa"/>
            <w:left w:w="0" w:type="dxa"/>
            <w:bottom w:w="0" w:type="dxa"/>
            <w:right w:w="0" w:type="dxa"/>
          </w:tblCellMar>
        </w:tblPrEx>
        <w:trPr>
          <w:trHeight w:val="57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43D86C6">
            <w:pPr>
              <w:spacing w:line="256" w:lineRule="exact"/>
              <w:jc w:val="center"/>
              <w:rPr>
                <w:sz w:val="18"/>
                <w:szCs w:val="18"/>
              </w:rPr>
            </w:pPr>
            <w:r>
              <w:rPr>
                <w:sz w:val="18"/>
                <w:szCs w:val="18"/>
              </w:rPr>
              <w:t>3160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71A348">
            <w:pPr>
              <w:spacing w:line="256" w:lineRule="exact"/>
              <w:rPr>
                <w:sz w:val="18"/>
                <w:szCs w:val="18"/>
              </w:rPr>
            </w:pPr>
            <w:r>
              <w:rPr>
                <w:sz w:val="18"/>
                <w:szCs w:val="18"/>
              </w:rPr>
              <w:t>锰硅合金单位电耗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DBE6FAF">
            <w:pPr>
              <w:spacing w:line="256" w:lineRule="exact"/>
              <w:jc w:val="left"/>
              <w:rPr>
                <w:sz w:val="18"/>
                <w:szCs w:val="18"/>
              </w:rPr>
            </w:pPr>
            <w:r>
              <w:rPr>
                <w:sz w:val="18"/>
                <w:szCs w:val="18"/>
              </w:rPr>
              <w:t>千瓦时/标准吨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8C8F87">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C45E1B">
            <w:pPr>
              <w:spacing w:line="256" w:lineRule="exact"/>
              <w:jc w:val="center"/>
              <w:rPr>
                <w:sz w:val="18"/>
                <w:szCs w:val="18"/>
              </w:rPr>
            </w:pPr>
            <w:r>
              <w:rPr>
                <w:sz w:val="18"/>
                <w:szCs w:val="18"/>
              </w:rPr>
              <w:t>标准吨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37DFA1">
            <w:pPr>
              <w:spacing w:line="256" w:lineRule="exact"/>
              <w:rPr>
                <w:sz w:val="18"/>
                <w:szCs w:val="18"/>
              </w:rPr>
            </w:pPr>
            <w:r>
              <w:rPr>
                <w:sz w:val="18"/>
                <w:szCs w:val="18"/>
              </w:rPr>
              <w:t>锰硅合金冶炼总耗电量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66D3595">
            <w:pPr>
              <w:spacing w:line="256" w:lineRule="exact"/>
              <w:rPr>
                <w:sz w:val="18"/>
                <w:szCs w:val="18"/>
              </w:rPr>
            </w:pPr>
            <w:r>
              <w:rPr>
                <w:sz w:val="18"/>
                <w:szCs w:val="18"/>
              </w:rPr>
              <w:t>锰硅合金合格产品标准量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7D00CD1">
            <w:pPr>
              <w:spacing w:line="256" w:lineRule="exact"/>
              <w:jc w:val="right"/>
              <w:rPr>
                <w:sz w:val="18"/>
                <w:szCs w:val="18"/>
              </w:rPr>
            </w:pPr>
            <w:r>
              <w:rPr>
                <w:sz w:val="18"/>
                <w:szCs w:val="18"/>
              </w:rPr>
              <w:t>10000</w:t>
            </w:r>
          </w:p>
        </w:tc>
      </w:tr>
      <w:tr w14:paraId="354DB688">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5237D1A">
            <w:pPr>
              <w:spacing w:line="256" w:lineRule="exact"/>
              <w:jc w:val="center"/>
              <w:rPr>
                <w:sz w:val="18"/>
                <w:szCs w:val="18"/>
              </w:rPr>
            </w:pPr>
            <w:r>
              <w:rPr>
                <w:sz w:val="18"/>
                <w:szCs w:val="18"/>
              </w:rPr>
              <w:t>3111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25077A">
            <w:pPr>
              <w:spacing w:line="256" w:lineRule="exact"/>
              <w:rPr>
                <w:sz w:val="18"/>
                <w:szCs w:val="18"/>
              </w:rPr>
            </w:pPr>
            <w:r>
              <w:rPr>
                <w:sz w:val="18"/>
                <w:szCs w:val="18"/>
              </w:rPr>
              <w:t>轧钢工序单位能耗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C1D479">
            <w:pPr>
              <w:spacing w:line="256"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8462E8">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F49B4C8">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E3C170">
            <w:pPr>
              <w:spacing w:line="256" w:lineRule="exact"/>
              <w:rPr>
                <w:sz w:val="18"/>
                <w:szCs w:val="18"/>
              </w:rPr>
            </w:pPr>
            <w:r>
              <w:rPr>
                <w:sz w:val="18"/>
                <w:szCs w:val="18"/>
              </w:rPr>
              <w:t>轧钢工序净耗能量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7E3E07E">
            <w:pPr>
              <w:spacing w:line="256" w:lineRule="exact"/>
              <w:rPr>
                <w:sz w:val="18"/>
                <w:szCs w:val="18"/>
              </w:rPr>
            </w:pPr>
            <w:r>
              <w:rPr>
                <w:sz w:val="18"/>
                <w:szCs w:val="18"/>
              </w:rPr>
              <w:t>钢材产品合格产出量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AA39C9B">
            <w:pPr>
              <w:spacing w:line="256" w:lineRule="exact"/>
              <w:jc w:val="right"/>
              <w:rPr>
                <w:sz w:val="18"/>
                <w:szCs w:val="18"/>
              </w:rPr>
            </w:pPr>
            <w:r>
              <w:rPr>
                <w:sz w:val="18"/>
                <w:szCs w:val="18"/>
              </w:rPr>
              <w:t>1000</w:t>
            </w:r>
          </w:p>
        </w:tc>
      </w:tr>
      <w:tr w14:paraId="1199B07A">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C876887">
            <w:pPr>
              <w:spacing w:line="256" w:lineRule="exact"/>
              <w:jc w:val="center"/>
              <w:rPr>
                <w:sz w:val="18"/>
                <w:szCs w:val="18"/>
              </w:rPr>
            </w:pPr>
            <w:r>
              <w:rPr>
                <w:sz w:val="18"/>
                <w:szCs w:val="18"/>
              </w:rPr>
              <w:t>3112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C25444A">
            <w:pPr>
              <w:spacing w:line="256" w:lineRule="exact"/>
              <w:rPr>
                <w:sz w:val="18"/>
                <w:szCs w:val="18"/>
              </w:rPr>
            </w:pPr>
            <w:r>
              <w:rPr>
                <w:sz w:val="18"/>
                <w:szCs w:val="18"/>
              </w:rPr>
              <w:t>轧钢工序单位电力消耗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C202AC8">
            <w:pPr>
              <w:spacing w:line="25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86B7581">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34183B">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1A3E810">
            <w:pPr>
              <w:spacing w:line="256" w:lineRule="exact"/>
              <w:rPr>
                <w:sz w:val="18"/>
                <w:szCs w:val="18"/>
              </w:rPr>
            </w:pPr>
            <w:r>
              <w:rPr>
                <w:sz w:val="18"/>
                <w:szCs w:val="18"/>
              </w:rPr>
              <w:t>轧钢工序电力净消耗量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F9A30A9">
            <w:pPr>
              <w:spacing w:line="256" w:lineRule="exact"/>
              <w:rPr>
                <w:sz w:val="18"/>
                <w:szCs w:val="18"/>
              </w:rPr>
            </w:pPr>
            <w:r>
              <w:rPr>
                <w:sz w:val="18"/>
                <w:szCs w:val="18"/>
              </w:rPr>
              <w:t>钢材产品合格产出量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B5F1EA4">
            <w:pPr>
              <w:spacing w:line="256" w:lineRule="exact"/>
              <w:jc w:val="right"/>
              <w:rPr>
                <w:sz w:val="18"/>
                <w:szCs w:val="18"/>
              </w:rPr>
            </w:pPr>
            <w:r>
              <w:rPr>
                <w:sz w:val="18"/>
                <w:szCs w:val="18"/>
              </w:rPr>
              <w:t>10000</w:t>
            </w:r>
          </w:p>
        </w:tc>
      </w:tr>
      <w:tr w14:paraId="632DF0C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4EAA8AE">
            <w:pPr>
              <w:spacing w:line="256" w:lineRule="exact"/>
              <w:jc w:val="center"/>
              <w:rPr>
                <w:sz w:val="18"/>
                <w:szCs w:val="18"/>
              </w:rPr>
            </w:pPr>
            <w:r>
              <w:rPr>
                <w:sz w:val="18"/>
                <w:szCs w:val="18"/>
              </w:rPr>
              <w:t>3113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7BB154B">
            <w:pPr>
              <w:spacing w:line="256" w:lineRule="exact"/>
              <w:rPr>
                <w:sz w:val="18"/>
                <w:szCs w:val="18"/>
              </w:rPr>
            </w:pPr>
            <w:r>
              <w:rPr>
                <w:sz w:val="18"/>
                <w:szCs w:val="18"/>
              </w:rPr>
              <w:t>吨钢耗新水</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2E2A238">
            <w:pPr>
              <w:spacing w:line="256" w:lineRule="exact"/>
              <w:jc w:val="left"/>
              <w:rPr>
                <w:sz w:val="18"/>
                <w:szCs w:val="18"/>
              </w:rPr>
            </w:pPr>
            <w:r>
              <w:rPr>
                <w:sz w:val="18"/>
                <w:szCs w:val="18"/>
              </w:rPr>
              <w:t>吨/吨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EF5E8AD">
            <w:pPr>
              <w:spacing w:line="256" w:lineRule="exact"/>
              <w:jc w:val="center"/>
              <w:rPr>
                <w:sz w:val="18"/>
                <w:szCs w:val="18"/>
              </w:rPr>
            </w:pPr>
            <w:r>
              <w:rPr>
                <w:sz w:val="18"/>
                <w:szCs w:val="18"/>
              </w:rPr>
              <w:t>吨</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9B2A039">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4C66605">
            <w:pPr>
              <w:spacing w:line="256" w:lineRule="exact"/>
              <w:rPr>
                <w:sz w:val="18"/>
                <w:szCs w:val="18"/>
              </w:rPr>
            </w:pPr>
            <w:r>
              <w:rPr>
                <w:sz w:val="18"/>
                <w:szCs w:val="18"/>
              </w:rPr>
              <w:t>企业耗用新水量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6149D17">
            <w:pPr>
              <w:spacing w:line="256" w:lineRule="exact"/>
              <w:rPr>
                <w:sz w:val="18"/>
                <w:szCs w:val="18"/>
              </w:rPr>
            </w:pPr>
            <w:r>
              <w:rPr>
                <w:sz w:val="18"/>
                <w:szCs w:val="18"/>
              </w:rPr>
              <w:t>企业粗钢合格产出量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113233D">
            <w:pPr>
              <w:spacing w:line="256" w:lineRule="exact"/>
              <w:jc w:val="right"/>
              <w:rPr>
                <w:sz w:val="18"/>
                <w:szCs w:val="18"/>
              </w:rPr>
            </w:pPr>
            <w:r>
              <w:rPr>
                <w:sz w:val="18"/>
                <w:szCs w:val="18"/>
              </w:rPr>
              <w:t>1</w:t>
            </w:r>
          </w:p>
        </w:tc>
      </w:tr>
      <w:tr w14:paraId="1A20A257">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55B657E3">
            <w:pPr>
              <w:spacing w:line="256" w:lineRule="exact"/>
              <w:jc w:val="both"/>
              <w:rPr>
                <w:sz w:val="18"/>
                <w:szCs w:val="18"/>
              </w:rPr>
            </w:pPr>
            <w:r>
              <w:rPr>
                <w:b/>
                <w:bCs/>
                <w:sz w:val="18"/>
                <w:szCs w:val="18"/>
              </w:rPr>
              <w:t>铜 (32)</w:t>
            </w:r>
          </w:p>
        </w:tc>
      </w:tr>
      <w:tr w14:paraId="0A20F169">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1A26338C">
            <w:pPr>
              <w:spacing w:line="256" w:lineRule="exact"/>
              <w:jc w:val="center"/>
              <w:rPr>
                <w:sz w:val="18"/>
                <w:szCs w:val="18"/>
              </w:rPr>
            </w:pPr>
            <w:r>
              <w:rPr>
                <w:sz w:val="18"/>
                <w:szCs w:val="18"/>
              </w:rPr>
              <w:t>3201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BC71778">
            <w:pPr>
              <w:spacing w:line="256" w:lineRule="exact"/>
              <w:rPr>
                <w:sz w:val="18"/>
                <w:szCs w:val="18"/>
              </w:rPr>
            </w:pPr>
            <w:r>
              <w:rPr>
                <w:sz w:val="18"/>
                <w:szCs w:val="18"/>
              </w:rPr>
              <w:t>单位粗铜综合能耗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3CBFE98">
            <w:pPr>
              <w:spacing w:line="25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6E115F9">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17E3ECC">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E86F546">
            <w:pPr>
              <w:spacing w:line="256" w:lineRule="exact"/>
              <w:rPr>
                <w:sz w:val="18"/>
                <w:szCs w:val="18"/>
              </w:rPr>
            </w:pPr>
            <w:r>
              <w:rPr>
                <w:sz w:val="18"/>
                <w:szCs w:val="18"/>
              </w:rPr>
              <w:t>粗铜综合能源消费量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252F07C">
            <w:pPr>
              <w:spacing w:line="256" w:lineRule="exact"/>
              <w:rPr>
                <w:sz w:val="18"/>
                <w:szCs w:val="18"/>
              </w:rPr>
            </w:pPr>
            <w:r>
              <w:rPr>
                <w:sz w:val="18"/>
                <w:szCs w:val="18"/>
              </w:rPr>
              <w:t>矿产粗铜产量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18B27D8">
            <w:pPr>
              <w:spacing w:line="256" w:lineRule="exact"/>
              <w:jc w:val="right"/>
              <w:rPr>
                <w:sz w:val="18"/>
                <w:szCs w:val="18"/>
              </w:rPr>
            </w:pPr>
            <w:r>
              <w:rPr>
                <w:sz w:val="18"/>
                <w:szCs w:val="18"/>
              </w:rPr>
              <w:t>1000</w:t>
            </w:r>
          </w:p>
        </w:tc>
      </w:tr>
      <w:tr w14:paraId="6F4B7E1D">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5781FC2">
            <w:pPr>
              <w:spacing w:line="256" w:lineRule="exact"/>
              <w:jc w:val="center"/>
              <w:rPr>
                <w:sz w:val="18"/>
                <w:szCs w:val="18"/>
              </w:rPr>
            </w:pPr>
            <w:r>
              <w:rPr>
                <w:sz w:val="18"/>
                <w:szCs w:val="18"/>
              </w:rPr>
              <w:t>3220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B3F5C1C">
            <w:pPr>
              <w:spacing w:line="256" w:lineRule="exact"/>
              <w:rPr>
                <w:sz w:val="18"/>
                <w:szCs w:val="18"/>
              </w:rPr>
            </w:pPr>
            <w:r>
              <w:rPr>
                <w:sz w:val="18"/>
                <w:szCs w:val="18"/>
              </w:rPr>
              <w:t>单位铜精炼综合能耗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6D18DCC">
            <w:pPr>
              <w:spacing w:line="25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149FFE1">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619BE67">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69D158E">
            <w:pPr>
              <w:spacing w:line="256" w:lineRule="exact"/>
              <w:rPr>
                <w:sz w:val="18"/>
                <w:szCs w:val="18"/>
              </w:rPr>
            </w:pPr>
            <w:r>
              <w:rPr>
                <w:sz w:val="18"/>
                <w:szCs w:val="18"/>
              </w:rPr>
              <w:t>粗铜到精炼铜(电解铜)消耗的能源总量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4F99A7">
            <w:pPr>
              <w:spacing w:line="256"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C68B483">
            <w:pPr>
              <w:spacing w:line="256" w:lineRule="exact"/>
              <w:jc w:val="right"/>
              <w:rPr>
                <w:sz w:val="18"/>
                <w:szCs w:val="18"/>
              </w:rPr>
            </w:pPr>
            <w:r>
              <w:rPr>
                <w:sz w:val="18"/>
                <w:szCs w:val="18"/>
              </w:rPr>
              <w:t>1000</w:t>
            </w:r>
          </w:p>
        </w:tc>
      </w:tr>
      <w:tr w14:paraId="03E383D7">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6D99EA4A">
            <w:pPr>
              <w:spacing w:line="256" w:lineRule="exact"/>
              <w:jc w:val="center"/>
              <w:rPr>
                <w:sz w:val="18"/>
                <w:szCs w:val="18"/>
              </w:rPr>
            </w:pPr>
            <w:r>
              <w:rPr>
                <w:sz w:val="18"/>
                <w:szCs w:val="18"/>
              </w:rPr>
              <w:t>3202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F824AA">
            <w:pPr>
              <w:spacing w:line="256" w:lineRule="exact"/>
              <w:rPr>
                <w:sz w:val="18"/>
                <w:szCs w:val="18"/>
              </w:rPr>
            </w:pPr>
            <w:r>
              <w:rPr>
                <w:sz w:val="18"/>
                <w:szCs w:val="18"/>
              </w:rPr>
              <w:t>单位铜冶炼综合能耗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06D1956">
            <w:pPr>
              <w:spacing w:line="256" w:lineRule="exac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A2E190E">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7CB83B0">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F8020D5">
            <w:pPr>
              <w:spacing w:line="256" w:lineRule="exact"/>
              <w:rPr>
                <w:sz w:val="18"/>
                <w:szCs w:val="18"/>
              </w:rPr>
            </w:pPr>
            <w:r>
              <w:rPr>
                <w:sz w:val="18"/>
                <w:szCs w:val="18"/>
              </w:rPr>
              <w:t>铜冶炼各工序综合能源消费量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A892CD8">
            <w:pPr>
              <w:spacing w:line="256"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C49530F">
            <w:pPr>
              <w:spacing w:line="256" w:lineRule="exact"/>
              <w:jc w:val="right"/>
              <w:rPr>
                <w:sz w:val="18"/>
                <w:szCs w:val="18"/>
              </w:rPr>
            </w:pPr>
            <w:r>
              <w:rPr>
                <w:sz w:val="18"/>
                <w:szCs w:val="18"/>
              </w:rPr>
              <w:t>1000</w:t>
            </w:r>
          </w:p>
        </w:tc>
      </w:tr>
      <w:tr w14:paraId="7F2EBA81">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44D9790">
            <w:pPr>
              <w:spacing w:line="256" w:lineRule="exact"/>
              <w:jc w:val="center"/>
              <w:rPr>
                <w:sz w:val="18"/>
                <w:szCs w:val="18"/>
              </w:rPr>
            </w:pPr>
            <w:r>
              <w:rPr>
                <w:sz w:val="18"/>
                <w:szCs w:val="18"/>
              </w:rPr>
              <w:t>3203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8FD8E39">
            <w:pPr>
              <w:spacing w:line="256" w:lineRule="exact"/>
              <w:rPr>
                <w:sz w:val="18"/>
                <w:szCs w:val="18"/>
              </w:rPr>
            </w:pPr>
            <w:r>
              <w:rPr>
                <w:sz w:val="18"/>
                <w:szCs w:val="18"/>
              </w:rPr>
              <w:t>铜电解直流电单耗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BC6FB4E">
            <w:pPr>
              <w:spacing w:line="256" w:lineRule="exac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BF961B">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A72CDE">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36B7A11">
            <w:pPr>
              <w:spacing w:line="256" w:lineRule="exact"/>
              <w:rPr>
                <w:sz w:val="18"/>
                <w:szCs w:val="18"/>
              </w:rPr>
            </w:pPr>
            <w:r>
              <w:rPr>
                <w:sz w:val="18"/>
                <w:szCs w:val="18"/>
              </w:rPr>
              <w:t>精炼铜(电解铜)消耗的直流电量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FC88CB">
            <w:pPr>
              <w:spacing w:line="256" w:lineRule="exact"/>
              <w:rPr>
                <w:sz w:val="18"/>
                <w:szCs w:val="18"/>
              </w:rPr>
            </w:pPr>
            <w:r>
              <w:rPr>
                <w:sz w:val="18"/>
                <w:szCs w:val="18"/>
              </w:rPr>
              <w:t>精炼铜(电解铜)产量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76725C4">
            <w:pPr>
              <w:spacing w:line="256" w:lineRule="exact"/>
              <w:jc w:val="right"/>
              <w:rPr>
                <w:sz w:val="18"/>
                <w:szCs w:val="18"/>
              </w:rPr>
            </w:pPr>
            <w:r>
              <w:rPr>
                <w:sz w:val="18"/>
                <w:szCs w:val="18"/>
              </w:rPr>
              <w:t>10000</w:t>
            </w:r>
          </w:p>
        </w:tc>
      </w:tr>
      <w:tr w14:paraId="1B9F1DD6">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0AD39A9A">
            <w:pPr>
              <w:spacing w:line="256" w:lineRule="exact"/>
              <w:jc w:val="both"/>
              <w:rPr>
                <w:sz w:val="18"/>
                <w:szCs w:val="18"/>
              </w:rPr>
            </w:pPr>
            <w:r>
              <w:rPr>
                <w:b/>
                <w:bCs/>
                <w:sz w:val="18"/>
                <w:szCs w:val="18"/>
              </w:rPr>
              <w:t>铝(32)</w:t>
            </w:r>
          </w:p>
        </w:tc>
      </w:tr>
      <w:tr w14:paraId="5AFD1C1E">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0CC6C29">
            <w:pPr>
              <w:spacing w:line="256" w:lineRule="exact"/>
              <w:jc w:val="center"/>
              <w:rPr>
                <w:sz w:val="18"/>
                <w:szCs w:val="18"/>
              </w:rPr>
            </w:pPr>
            <w:r>
              <w:rPr>
                <w:sz w:val="18"/>
                <w:szCs w:val="18"/>
              </w:rPr>
              <w:t>3204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70768C">
            <w:pPr>
              <w:spacing w:line="256" w:lineRule="exact"/>
              <w:rPr>
                <w:sz w:val="18"/>
                <w:szCs w:val="18"/>
              </w:rPr>
            </w:pPr>
            <w:r>
              <w:rPr>
                <w:sz w:val="18"/>
                <w:szCs w:val="18"/>
              </w:rPr>
              <w:t>单位氧化铝综合能耗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E092E66">
            <w:pPr>
              <w:spacing w:line="256" w:lineRule="exact"/>
              <w:jc w:val="center"/>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38EDFA2">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D4E2671">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E1FA6D">
            <w:pPr>
              <w:spacing w:line="256" w:lineRule="exact"/>
              <w:rPr>
                <w:sz w:val="18"/>
                <w:szCs w:val="18"/>
              </w:rPr>
            </w:pPr>
            <w:r>
              <w:rPr>
                <w:sz w:val="18"/>
                <w:szCs w:val="18"/>
              </w:rPr>
              <w:t>氧化铝生产综合能源消费量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34C0475">
            <w:pPr>
              <w:spacing w:line="256" w:lineRule="exact"/>
              <w:rPr>
                <w:sz w:val="18"/>
                <w:szCs w:val="18"/>
              </w:rPr>
            </w:pPr>
            <w:r>
              <w:rPr>
                <w:sz w:val="18"/>
                <w:szCs w:val="18"/>
              </w:rPr>
              <w:t>实产氧化铝产量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738F384">
            <w:pPr>
              <w:spacing w:line="256" w:lineRule="exact"/>
              <w:jc w:val="right"/>
              <w:rPr>
                <w:sz w:val="18"/>
                <w:szCs w:val="18"/>
              </w:rPr>
            </w:pPr>
            <w:r>
              <w:rPr>
                <w:sz w:val="18"/>
                <w:szCs w:val="18"/>
              </w:rPr>
              <w:t>1000</w:t>
            </w:r>
          </w:p>
        </w:tc>
      </w:tr>
      <w:tr w14:paraId="67649108">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8D842FC">
            <w:pPr>
              <w:spacing w:line="256" w:lineRule="exact"/>
              <w:jc w:val="center"/>
              <w:rPr>
                <w:sz w:val="18"/>
                <w:szCs w:val="18"/>
              </w:rPr>
            </w:pPr>
            <w:r>
              <w:rPr>
                <w:sz w:val="18"/>
                <w:szCs w:val="18"/>
              </w:rPr>
              <w:t>3205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C7A8FAD">
            <w:pPr>
              <w:spacing w:line="256" w:lineRule="exact"/>
              <w:rPr>
                <w:sz w:val="18"/>
                <w:szCs w:val="18"/>
              </w:rPr>
            </w:pPr>
            <w:r>
              <w:rPr>
                <w:sz w:val="18"/>
                <w:szCs w:val="18"/>
              </w:rPr>
              <w:t>单位电解铝综合能耗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3A18FF9">
            <w:pPr>
              <w:spacing w:line="256" w:lineRule="exact"/>
              <w:jc w:val="center"/>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0D8678">
            <w:pPr>
              <w:spacing w:line="256"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68E546E">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4EB4A81">
            <w:pPr>
              <w:spacing w:line="256" w:lineRule="exact"/>
              <w:rPr>
                <w:sz w:val="18"/>
                <w:szCs w:val="18"/>
              </w:rPr>
            </w:pPr>
            <w:r>
              <w:rPr>
                <w:sz w:val="18"/>
                <w:szCs w:val="18"/>
              </w:rPr>
              <w:t>全厂综合能源消费量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C3A6616">
            <w:pPr>
              <w:spacing w:line="256" w:lineRule="exact"/>
              <w:rPr>
                <w:sz w:val="18"/>
                <w:szCs w:val="18"/>
              </w:rPr>
            </w:pPr>
            <w:r>
              <w:rPr>
                <w:sz w:val="18"/>
                <w:szCs w:val="18"/>
              </w:rPr>
              <w:t>合格交库原铝(电解铝)产量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1F4487D">
            <w:pPr>
              <w:spacing w:line="256" w:lineRule="exact"/>
              <w:jc w:val="right"/>
              <w:rPr>
                <w:sz w:val="18"/>
                <w:szCs w:val="18"/>
              </w:rPr>
            </w:pPr>
            <w:r>
              <w:rPr>
                <w:sz w:val="18"/>
                <w:szCs w:val="18"/>
              </w:rPr>
              <w:t>1000</w:t>
            </w:r>
          </w:p>
        </w:tc>
      </w:tr>
      <w:tr w14:paraId="0EE3B6CC">
        <w:tblPrEx>
          <w:tblCellMar>
            <w:top w:w="0" w:type="dxa"/>
            <w:left w:w="0" w:type="dxa"/>
            <w:bottom w:w="0" w:type="dxa"/>
            <w:right w:w="0" w:type="dxa"/>
          </w:tblCellMar>
        </w:tblPrEx>
        <w:trPr>
          <w:trHeight w:val="300" w:hRule="atLeast"/>
        </w:trPr>
        <w:tc>
          <w:tcPr>
            <w:tcW w:w="559" w:type="dxa"/>
            <w:tcBorders>
              <w:top w:val="single" w:color="auto" w:sz="2" w:space="0"/>
              <w:left w:val="nil"/>
              <w:bottom w:val="single" w:color="auto" w:sz="8" w:space="0"/>
              <w:right w:val="single" w:color="auto" w:sz="2" w:space="0"/>
            </w:tcBorders>
            <w:shd w:val="clear" w:color="auto" w:fill="auto"/>
            <w:tcMar>
              <w:top w:w="15" w:type="dxa"/>
              <w:left w:w="15" w:type="dxa"/>
              <w:bottom w:w="0" w:type="dxa"/>
              <w:right w:w="15" w:type="dxa"/>
            </w:tcMar>
            <w:vAlign w:val="center"/>
          </w:tcPr>
          <w:p w14:paraId="6223A9C0">
            <w:pPr>
              <w:spacing w:line="256" w:lineRule="exact"/>
              <w:jc w:val="center"/>
              <w:rPr>
                <w:sz w:val="18"/>
                <w:szCs w:val="18"/>
              </w:rPr>
            </w:pPr>
            <w:r>
              <w:rPr>
                <w:sz w:val="18"/>
                <w:szCs w:val="18"/>
              </w:rPr>
              <w:t>3206</w:t>
            </w:r>
          </w:p>
        </w:tc>
        <w:tc>
          <w:tcPr>
            <w:tcW w:w="2268"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28E07950">
            <w:pPr>
              <w:spacing w:line="256" w:lineRule="exact"/>
              <w:rPr>
                <w:sz w:val="18"/>
                <w:szCs w:val="18"/>
              </w:rPr>
            </w:pPr>
            <w:r>
              <w:rPr>
                <w:sz w:val="18"/>
                <w:szCs w:val="18"/>
              </w:rPr>
              <w:t>单位铝锭综合交流电耗</w:t>
            </w:r>
          </w:p>
        </w:tc>
        <w:tc>
          <w:tcPr>
            <w:tcW w:w="1283" w:type="dxa"/>
            <w:gridSpan w:val="2"/>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4D6CBB77">
            <w:pPr>
              <w:spacing w:line="256"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137FFE99">
            <w:pPr>
              <w:spacing w:line="256"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2E9003A3">
            <w:pPr>
              <w:spacing w:line="256"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2B30BBF8">
            <w:pPr>
              <w:spacing w:line="256" w:lineRule="exact"/>
              <w:rPr>
                <w:sz w:val="18"/>
                <w:szCs w:val="18"/>
              </w:rPr>
            </w:pPr>
            <w:r>
              <w:rPr>
                <w:sz w:val="18"/>
                <w:szCs w:val="18"/>
              </w:rPr>
              <w:t>铝锭交流电消耗总量</w:t>
            </w:r>
          </w:p>
        </w:tc>
        <w:tc>
          <w:tcPr>
            <w:tcW w:w="1680"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657DB28E">
            <w:pPr>
              <w:spacing w:line="256" w:lineRule="exact"/>
              <w:rPr>
                <w:sz w:val="18"/>
                <w:szCs w:val="18"/>
              </w:rPr>
            </w:pPr>
            <w:r>
              <w:rPr>
                <w:sz w:val="18"/>
                <w:szCs w:val="18"/>
              </w:rPr>
              <w:t>合格交库铝锭产量</w:t>
            </w:r>
          </w:p>
        </w:tc>
        <w:tc>
          <w:tcPr>
            <w:tcW w:w="715" w:type="dxa"/>
            <w:tcBorders>
              <w:top w:val="single" w:color="auto" w:sz="2" w:space="0"/>
              <w:left w:val="single" w:color="auto" w:sz="2" w:space="0"/>
              <w:bottom w:val="single" w:color="auto" w:sz="8" w:space="0"/>
              <w:right w:val="nil"/>
            </w:tcBorders>
            <w:shd w:val="clear" w:color="auto" w:fill="auto"/>
            <w:tcMar>
              <w:top w:w="15" w:type="dxa"/>
              <w:left w:w="15" w:type="dxa"/>
              <w:bottom w:w="0" w:type="dxa"/>
              <w:right w:w="15" w:type="dxa"/>
            </w:tcMar>
            <w:vAlign w:val="center"/>
          </w:tcPr>
          <w:p w14:paraId="4FC039D5">
            <w:pPr>
              <w:spacing w:line="256" w:lineRule="exact"/>
              <w:jc w:val="right"/>
              <w:rPr>
                <w:sz w:val="18"/>
                <w:szCs w:val="18"/>
              </w:rPr>
            </w:pPr>
            <w:r>
              <w:rPr>
                <w:sz w:val="18"/>
                <w:szCs w:val="18"/>
              </w:rPr>
              <w:t>10000</w:t>
            </w:r>
          </w:p>
        </w:tc>
      </w:tr>
      <w:tr w14:paraId="46299E13">
        <w:tblPrEx>
          <w:tblCellMar>
            <w:top w:w="0" w:type="dxa"/>
            <w:left w:w="0" w:type="dxa"/>
            <w:bottom w:w="0" w:type="dxa"/>
            <w:right w:w="0" w:type="dxa"/>
          </w:tblCellMar>
        </w:tblPrEx>
        <w:trPr>
          <w:trHeight w:val="285" w:hRule="atLeast"/>
        </w:trPr>
        <w:tc>
          <w:tcPr>
            <w:tcW w:w="559" w:type="dxa"/>
            <w:vMerge w:val="restart"/>
            <w:tcBorders>
              <w:top w:val="single" w:color="auto" w:sz="8"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8744F1D">
            <w:pPr>
              <w:spacing w:line="260" w:lineRule="exact"/>
              <w:jc w:val="center"/>
              <w:rPr>
                <w:sz w:val="18"/>
                <w:szCs w:val="18"/>
              </w:rPr>
            </w:pPr>
            <w:r>
              <w:rPr>
                <w:sz w:val="18"/>
                <w:szCs w:val="18"/>
              </w:rPr>
              <w:t>代码</w:t>
            </w:r>
          </w:p>
        </w:tc>
        <w:tc>
          <w:tcPr>
            <w:tcW w:w="2268" w:type="dxa"/>
            <w:vMerge w:val="restart"/>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F8F25CD">
            <w:pPr>
              <w:spacing w:line="260" w:lineRule="exact"/>
              <w:jc w:val="center"/>
              <w:rPr>
                <w:sz w:val="18"/>
                <w:szCs w:val="18"/>
              </w:rPr>
            </w:pPr>
            <w:r>
              <w:rPr>
                <w:sz w:val="18"/>
                <w:szCs w:val="18"/>
              </w:rPr>
              <w:t>指标名称</w:t>
            </w:r>
          </w:p>
        </w:tc>
        <w:tc>
          <w:tcPr>
            <w:tcW w:w="2329" w:type="dxa"/>
            <w:gridSpan w:val="4"/>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F11E08A">
            <w:pPr>
              <w:spacing w:line="260" w:lineRule="exact"/>
              <w:jc w:val="center"/>
              <w:rPr>
                <w:sz w:val="18"/>
                <w:szCs w:val="18"/>
              </w:rPr>
            </w:pPr>
            <w:r>
              <w:rPr>
                <w:sz w:val="18"/>
                <w:szCs w:val="18"/>
              </w:rPr>
              <w:t>计量单位</w:t>
            </w:r>
          </w:p>
        </w:tc>
        <w:tc>
          <w:tcPr>
            <w:tcW w:w="3594" w:type="dxa"/>
            <w:gridSpan w:val="2"/>
            <w:tcBorders>
              <w:top w:val="single" w:color="auto" w:sz="8"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76076E">
            <w:pPr>
              <w:spacing w:line="260" w:lineRule="exact"/>
              <w:jc w:val="center"/>
              <w:rPr>
                <w:sz w:val="18"/>
                <w:szCs w:val="18"/>
              </w:rPr>
            </w:pPr>
            <w:r>
              <w:rPr>
                <w:sz w:val="18"/>
                <w:szCs w:val="18"/>
              </w:rPr>
              <w:t>计算根据</w:t>
            </w:r>
          </w:p>
        </w:tc>
        <w:tc>
          <w:tcPr>
            <w:tcW w:w="715" w:type="dxa"/>
            <w:vMerge w:val="restart"/>
            <w:tcBorders>
              <w:top w:val="single" w:color="auto" w:sz="8"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6F9FB3E3">
            <w:pPr>
              <w:spacing w:line="260" w:lineRule="exact"/>
              <w:jc w:val="center"/>
              <w:rPr>
                <w:sz w:val="18"/>
                <w:szCs w:val="18"/>
              </w:rPr>
            </w:pPr>
            <w:r>
              <w:rPr>
                <w:sz w:val="18"/>
                <w:szCs w:val="18"/>
              </w:rPr>
              <w:t>单位换算系数</w:t>
            </w:r>
          </w:p>
        </w:tc>
      </w:tr>
      <w:tr w14:paraId="735986A7">
        <w:tblPrEx>
          <w:tblCellMar>
            <w:top w:w="0" w:type="dxa"/>
            <w:left w:w="0" w:type="dxa"/>
            <w:bottom w:w="0" w:type="dxa"/>
            <w:right w:w="0" w:type="dxa"/>
          </w:tblCellMar>
        </w:tblPrEx>
        <w:trPr>
          <w:trHeight w:val="285" w:hRule="atLeast"/>
        </w:trPr>
        <w:tc>
          <w:tcPr>
            <w:tcW w:w="559" w:type="dxa"/>
            <w:vMerge w:val="continue"/>
            <w:tcBorders>
              <w:top w:val="single" w:color="auto" w:sz="2" w:space="0"/>
              <w:left w:val="nil"/>
              <w:bottom w:val="single" w:color="auto" w:sz="2" w:space="0"/>
              <w:right w:val="single" w:color="auto" w:sz="2" w:space="0"/>
            </w:tcBorders>
            <w:shd w:val="clear" w:color="auto" w:fill="auto"/>
            <w:vAlign w:val="center"/>
          </w:tcPr>
          <w:p w14:paraId="49B3D95C">
            <w:pPr>
              <w:spacing w:line="260" w:lineRule="exact"/>
              <w:jc w:val="center"/>
              <w:rPr>
                <w:sz w:val="18"/>
                <w:szCs w:val="18"/>
              </w:rPr>
            </w:pPr>
          </w:p>
        </w:tc>
        <w:tc>
          <w:tcPr>
            <w:tcW w:w="2268"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B010315">
            <w:pPr>
              <w:spacing w:line="260" w:lineRule="exact"/>
              <w:rPr>
                <w:sz w:val="18"/>
                <w:szCs w:val="18"/>
              </w:rPr>
            </w:pP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E7A0400">
            <w:pPr>
              <w:spacing w:line="260" w:lineRule="exact"/>
              <w:jc w:val="center"/>
              <w:rPr>
                <w:sz w:val="18"/>
                <w:szCs w:val="18"/>
              </w:rPr>
            </w:pPr>
            <w:r>
              <w:rPr>
                <w:sz w:val="18"/>
                <w:szCs w:val="18"/>
              </w:rPr>
              <w:t>指标</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744B190">
            <w:pPr>
              <w:spacing w:line="260" w:lineRule="exact"/>
              <w:jc w:val="center"/>
              <w:rPr>
                <w:sz w:val="18"/>
                <w:szCs w:val="18"/>
              </w:rPr>
            </w:pPr>
            <w:r>
              <w:rPr>
                <w:sz w:val="18"/>
                <w:szCs w:val="18"/>
              </w:rPr>
              <w:t>子项</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F5A5C2E">
            <w:pPr>
              <w:spacing w:line="260" w:lineRule="exact"/>
              <w:jc w:val="center"/>
              <w:rPr>
                <w:sz w:val="18"/>
                <w:szCs w:val="18"/>
              </w:rPr>
            </w:pPr>
            <w:r>
              <w:rPr>
                <w:sz w:val="18"/>
                <w:szCs w:val="18"/>
              </w:rPr>
              <w:t>母项</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FBF90D">
            <w:pPr>
              <w:spacing w:line="260" w:lineRule="exact"/>
              <w:jc w:val="center"/>
              <w:rPr>
                <w:sz w:val="18"/>
                <w:szCs w:val="18"/>
              </w:rPr>
            </w:pPr>
            <w:r>
              <w:rPr>
                <w:sz w:val="18"/>
                <w:szCs w:val="18"/>
              </w:rPr>
              <w:t>子项</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AFE9190">
            <w:pPr>
              <w:spacing w:line="260" w:lineRule="exact"/>
              <w:jc w:val="center"/>
              <w:rPr>
                <w:sz w:val="18"/>
                <w:szCs w:val="18"/>
              </w:rPr>
            </w:pPr>
            <w:r>
              <w:rPr>
                <w:sz w:val="18"/>
                <w:szCs w:val="18"/>
              </w:rPr>
              <w:t>母项</w:t>
            </w:r>
          </w:p>
        </w:tc>
        <w:tc>
          <w:tcPr>
            <w:tcW w:w="715" w:type="dxa"/>
            <w:vMerge w:val="continue"/>
            <w:tcBorders>
              <w:top w:val="single" w:color="auto" w:sz="2" w:space="0"/>
              <w:left w:val="single" w:color="auto" w:sz="2" w:space="0"/>
              <w:bottom w:val="single" w:color="auto" w:sz="2" w:space="0"/>
              <w:right w:val="nil"/>
            </w:tcBorders>
            <w:shd w:val="clear" w:color="auto" w:fill="auto"/>
            <w:vAlign w:val="center"/>
          </w:tcPr>
          <w:p w14:paraId="6A326E8D">
            <w:pPr>
              <w:spacing w:line="260" w:lineRule="exact"/>
              <w:rPr>
                <w:sz w:val="18"/>
                <w:szCs w:val="18"/>
              </w:rPr>
            </w:pPr>
          </w:p>
        </w:tc>
      </w:tr>
      <w:tr w14:paraId="0A89AD09">
        <w:tblPrEx>
          <w:tblCellMar>
            <w:top w:w="0" w:type="dxa"/>
            <w:left w:w="0" w:type="dxa"/>
            <w:bottom w:w="0" w:type="dxa"/>
            <w:right w:w="0" w:type="dxa"/>
          </w:tblCellMar>
        </w:tblPrEx>
        <w:trPr>
          <w:trHeight w:val="300" w:hRule="atLeast"/>
        </w:trPr>
        <w:tc>
          <w:tcPr>
            <w:tcW w:w="9465" w:type="dxa"/>
            <w:gridSpan w:val="9"/>
            <w:tcBorders>
              <w:top w:val="nil"/>
              <w:left w:val="nil"/>
              <w:bottom w:val="single" w:color="auto" w:sz="2" w:space="0"/>
              <w:right w:val="nil"/>
            </w:tcBorders>
            <w:shd w:val="clear" w:color="auto" w:fill="auto"/>
            <w:tcMar>
              <w:top w:w="15" w:type="dxa"/>
              <w:left w:w="15" w:type="dxa"/>
              <w:bottom w:w="0" w:type="dxa"/>
              <w:right w:w="15" w:type="dxa"/>
            </w:tcMar>
            <w:vAlign w:val="center"/>
          </w:tcPr>
          <w:p w14:paraId="425C0AA4">
            <w:pPr>
              <w:spacing w:line="260" w:lineRule="exact"/>
              <w:jc w:val="left"/>
              <w:rPr>
                <w:b/>
                <w:bCs/>
                <w:sz w:val="18"/>
                <w:szCs w:val="18"/>
              </w:rPr>
            </w:pPr>
            <w:r>
              <w:rPr>
                <w:b/>
                <w:bCs/>
                <w:sz w:val="18"/>
                <w:szCs w:val="18"/>
              </w:rPr>
              <w:t>铅锌(32)</w:t>
            </w:r>
          </w:p>
        </w:tc>
      </w:tr>
      <w:tr w14:paraId="66E97E20">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9A3496B">
            <w:pPr>
              <w:spacing w:line="260" w:lineRule="exact"/>
              <w:jc w:val="center"/>
              <w:rPr>
                <w:sz w:val="18"/>
                <w:szCs w:val="18"/>
              </w:rPr>
            </w:pPr>
            <w:r>
              <w:rPr>
                <w:sz w:val="18"/>
                <w:szCs w:val="18"/>
              </w:rPr>
              <w:t>3207</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5FC4F2">
            <w:pPr>
              <w:spacing w:line="260" w:lineRule="exact"/>
              <w:rPr>
                <w:sz w:val="18"/>
                <w:szCs w:val="18"/>
              </w:rPr>
            </w:pPr>
            <w:r>
              <w:rPr>
                <w:sz w:val="18"/>
                <w:szCs w:val="18"/>
              </w:rPr>
              <w:t>单位粗铅综合能耗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5EEDEE5">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51F19E">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272D801">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4185016">
            <w:pPr>
              <w:spacing w:line="260" w:lineRule="exact"/>
              <w:rPr>
                <w:sz w:val="18"/>
                <w:szCs w:val="18"/>
              </w:rPr>
            </w:pPr>
            <w:r>
              <w:rPr>
                <w:sz w:val="18"/>
                <w:szCs w:val="18"/>
              </w:rPr>
              <w:t>粗铅综合能源消费量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9C307C">
            <w:pPr>
              <w:spacing w:line="260" w:lineRule="exact"/>
              <w:rPr>
                <w:sz w:val="18"/>
                <w:szCs w:val="18"/>
              </w:rPr>
            </w:pPr>
            <w:r>
              <w:rPr>
                <w:sz w:val="18"/>
                <w:szCs w:val="18"/>
              </w:rPr>
              <w:t>合格交库粗铅产出量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F7CDA95">
            <w:pPr>
              <w:spacing w:line="260" w:lineRule="exact"/>
              <w:jc w:val="right"/>
              <w:rPr>
                <w:sz w:val="18"/>
                <w:szCs w:val="18"/>
              </w:rPr>
            </w:pPr>
            <w:r>
              <w:rPr>
                <w:sz w:val="18"/>
                <w:szCs w:val="18"/>
              </w:rPr>
              <w:t>1000</w:t>
            </w:r>
          </w:p>
        </w:tc>
      </w:tr>
      <w:tr w14:paraId="2280BB85">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6C4904BC">
            <w:pPr>
              <w:spacing w:line="260" w:lineRule="exact"/>
              <w:jc w:val="center"/>
              <w:rPr>
                <w:sz w:val="18"/>
                <w:szCs w:val="18"/>
              </w:rPr>
            </w:pPr>
            <w:r>
              <w:rPr>
                <w:sz w:val="18"/>
                <w:szCs w:val="18"/>
              </w:rPr>
              <w:t>3208</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73161D6">
            <w:pPr>
              <w:spacing w:line="260" w:lineRule="exact"/>
              <w:rPr>
                <w:sz w:val="18"/>
                <w:szCs w:val="18"/>
              </w:rPr>
            </w:pPr>
            <w:r>
              <w:rPr>
                <w:sz w:val="18"/>
                <w:szCs w:val="18"/>
              </w:rPr>
              <w:t>单位铅冶炼综合能耗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C2FF73">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6EF68DD">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CC2C914">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F4C7DF9">
            <w:pPr>
              <w:spacing w:line="260" w:lineRule="exact"/>
              <w:rPr>
                <w:sz w:val="18"/>
                <w:szCs w:val="18"/>
              </w:rPr>
            </w:pPr>
            <w:r>
              <w:rPr>
                <w:sz w:val="18"/>
                <w:szCs w:val="18"/>
              </w:rPr>
              <w:t>铅产品能源消耗总量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9EDB1BB">
            <w:pPr>
              <w:spacing w:line="260" w:lineRule="exact"/>
              <w:rPr>
                <w:sz w:val="18"/>
                <w:szCs w:val="18"/>
              </w:rPr>
            </w:pPr>
            <w:r>
              <w:rPr>
                <w:sz w:val="18"/>
                <w:szCs w:val="18"/>
              </w:rPr>
              <w:t>合格交库铅产量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B9EF5A9">
            <w:pPr>
              <w:spacing w:line="260" w:lineRule="exact"/>
              <w:jc w:val="right"/>
              <w:rPr>
                <w:sz w:val="18"/>
                <w:szCs w:val="18"/>
              </w:rPr>
            </w:pPr>
            <w:r>
              <w:rPr>
                <w:sz w:val="18"/>
                <w:szCs w:val="18"/>
              </w:rPr>
              <w:t>1000</w:t>
            </w:r>
          </w:p>
        </w:tc>
      </w:tr>
      <w:tr w14:paraId="72A88654">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6A8A395">
            <w:pPr>
              <w:spacing w:line="260" w:lineRule="exact"/>
              <w:jc w:val="center"/>
              <w:rPr>
                <w:sz w:val="18"/>
                <w:szCs w:val="18"/>
              </w:rPr>
            </w:pPr>
            <w:r>
              <w:rPr>
                <w:sz w:val="18"/>
                <w:szCs w:val="18"/>
              </w:rPr>
              <w:t>3209</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721A3C">
            <w:pPr>
              <w:spacing w:line="260" w:lineRule="exact"/>
              <w:rPr>
                <w:sz w:val="18"/>
                <w:szCs w:val="18"/>
              </w:rPr>
            </w:pPr>
            <w:r>
              <w:rPr>
                <w:sz w:val="18"/>
                <w:szCs w:val="18"/>
              </w:rPr>
              <w:t>析出铅直流电单耗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1F79D8D">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DD7E941">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23B14F8">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59C257D">
            <w:pPr>
              <w:spacing w:line="260" w:lineRule="exact"/>
              <w:rPr>
                <w:sz w:val="18"/>
                <w:szCs w:val="18"/>
              </w:rPr>
            </w:pPr>
            <w:r>
              <w:rPr>
                <w:sz w:val="18"/>
                <w:szCs w:val="18"/>
              </w:rPr>
              <w:t>直流电消耗总量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DDB22C7">
            <w:pPr>
              <w:spacing w:line="260" w:lineRule="exact"/>
              <w:rPr>
                <w:sz w:val="18"/>
                <w:szCs w:val="18"/>
              </w:rPr>
            </w:pPr>
            <w:r>
              <w:rPr>
                <w:sz w:val="18"/>
                <w:szCs w:val="18"/>
              </w:rPr>
              <w:t>实际析出铅产量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04C0DA31">
            <w:pPr>
              <w:spacing w:line="260" w:lineRule="exact"/>
              <w:jc w:val="right"/>
              <w:rPr>
                <w:sz w:val="18"/>
                <w:szCs w:val="18"/>
              </w:rPr>
            </w:pPr>
            <w:r>
              <w:rPr>
                <w:sz w:val="18"/>
                <w:szCs w:val="18"/>
              </w:rPr>
              <w:t>10000</w:t>
            </w:r>
          </w:p>
        </w:tc>
      </w:tr>
      <w:tr w14:paraId="372E1965">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0CEFEF73">
            <w:pPr>
              <w:spacing w:line="260" w:lineRule="exact"/>
              <w:jc w:val="center"/>
              <w:rPr>
                <w:sz w:val="18"/>
                <w:szCs w:val="18"/>
              </w:rPr>
            </w:pPr>
            <w:r>
              <w:rPr>
                <w:sz w:val="18"/>
                <w:szCs w:val="18"/>
              </w:rPr>
              <w:t>3210</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31CDF22">
            <w:pPr>
              <w:spacing w:line="260" w:lineRule="exact"/>
              <w:rPr>
                <w:sz w:val="18"/>
                <w:szCs w:val="18"/>
              </w:rPr>
            </w:pPr>
            <w:r>
              <w:rPr>
                <w:sz w:val="18"/>
                <w:szCs w:val="18"/>
              </w:rPr>
              <w:t>蒸</w:t>
            </w:r>
            <w:r>
              <w:rPr>
                <w:rFonts w:hint="eastAsia"/>
                <w:sz w:val="18"/>
                <w:szCs w:val="18"/>
                <w:lang w:eastAsia="zh-CN"/>
              </w:rPr>
              <w:t>馏</w:t>
            </w:r>
            <w:r>
              <w:rPr>
                <w:sz w:val="18"/>
                <w:szCs w:val="18"/>
              </w:rPr>
              <w:t>锌综合标准煤耗单耗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8B0DED0">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4B129D">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63169FB">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3248B3">
            <w:pPr>
              <w:spacing w:line="260" w:lineRule="exact"/>
              <w:rPr>
                <w:sz w:val="18"/>
                <w:szCs w:val="18"/>
              </w:rPr>
            </w:pPr>
            <w:r>
              <w:rPr>
                <w:sz w:val="18"/>
                <w:szCs w:val="18"/>
              </w:rPr>
              <w:t>蒸</w:t>
            </w:r>
            <w:r>
              <w:rPr>
                <w:rFonts w:hint="eastAsia"/>
                <w:sz w:val="18"/>
                <w:szCs w:val="18"/>
                <w:lang w:eastAsia="zh-CN"/>
              </w:rPr>
              <w:t>馏</w:t>
            </w:r>
            <w:r>
              <w:rPr>
                <w:sz w:val="18"/>
                <w:szCs w:val="18"/>
              </w:rPr>
              <w:t>锌综合标准煤消耗总量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EE47B78">
            <w:pPr>
              <w:spacing w:line="260" w:lineRule="exact"/>
              <w:rPr>
                <w:sz w:val="18"/>
                <w:szCs w:val="18"/>
              </w:rPr>
            </w:pPr>
            <w:r>
              <w:rPr>
                <w:sz w:val="18"/>
                <w:szCs w:val="18"/>
              </w:rPr>
              <w:t>合格蒸</w:t>
            </w:r>
            <w:r>
              <w:rPr>
                <w:rFonts w:hint="eastAsia"/>
                <w:sz w:val="18"/>
                <w:szCs w:val="18"/>
                <w:lang w:eastAsia="zh-CN"/>
              </w:rPr>
              <w:t>馏</w:t>
            </w:r>
            <w:r>
              <w:rPr>
                <w:sz w:val="18"/>
                <w:szCs w:val="18"/>
              </w:rPr>
              <w:t>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314D31A">
            <w:pPr>
              <w:spacing w:line="260" w:lineRule="exact"/>
              <w:jc w:val="right"/>
              <w:rPr>
                <w:sz w:val="18"/>
                <w:szCs w:val="18"/>
              </w:rPr>
            </w:pPr>
            <w:r>
              <w:rPr>
                <w:sz w:val="18"/>
                <w:szCs w:val="18"/>
              </w:rPr>
              <w:t>1000</w:t>
            </w:r>
          </w:p>
        </w:tc>
      </w:tr>
      <w:tr w14:paraId="5B03386F">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2DC3756">
            <w:pPr>
              <w:spacing w:line="260" w:lineRule="exact"/>
              <w:jc w:val="center"/>
              <w:rPr>
                <w:sz w:val="18"/>
                <w:szCs w:val="18"/>
              </w:rPr>
            </w:pPr>
            <w:r>
              <w:rPr>
                <w:sz w:val="18"/>
                <w:szCs w:val="18"/>
              </w:rPr>
              <w:t>3211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F59835">
            <w:pPr>
              <w:spacing w:line="260" w:lineRule="exact"/>
              <w:rPr>
                <w:sz w:val="18"/>
                <w:szCs w:val="18"/>
              </w:rPr>
            </w:pPr>
            <w:r>
              <w:rPr>
                <w:sz w:val="18"/>
                <w:szCs w:val="18"/>
              </w:rPr>
              <w:t>单位精锌（电锌）综合能耗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A21CD8D">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9294806">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E5CFA93">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0AF032">
            <w:pPr>
              <w:spacing w:line="260" w:lineRule="exact"/>
              <w:rPr>
                <w:sz w:val="18"/>
                <w:szCs w:val="18"/>
              </w:rPr>
            </w:pPr>
            <w:r>
              <w:rPr>
                <w:sz w:val="18"/>
                <w:szCs w:val="18"/>
              </w:rPr>
              <w:t>精锌(电锌)品能源消耗总量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41E3EED">
            <w:pPr>
              <w:spacing w:line="260" w:lineRule="exact"/>
              <w:rPr>
                <w:sz w:val="18"/>
                <w:szCs w:val="18"/>
              </w:rPr>
            </w:pPr>
            <w:r>
              <w:rPr>
                <w:sz w:val="18"/>
                <w:szCs w:val="18"/>
              </w:rPr>
              <w:t>合格交库精锌(电锌)产量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AE9697C">
            <w:pPr>
              <w:spacing w:line="260" w:lineRule="exact"/>
              <w:jc w:val="right"/>
              <w:rPr>
                <w:sz w:val="18"/>
                <w:szCs w:val="18"/>
              </w:rPr>
            </w:pPr>
            <w:r>
              <w:rPr>
                <w:sz w:val="18"/>
                <w:szCs w:val="18"/>
              </w:rPr>
              <w:t>1000</w:t>
            </w:r>
          </w:p>
        </w:tc>
      </w:tr>
      <w:tr w14:paraId="4F8A875D">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3564ACFC">
            <w:pPr>
              <w:spacing w:line="260" w:lineRule="exact"/>
              <w:jc w:val="center"/>
              <w:rPr>
                <w:sz w:val="18"/>
                <w:szCs w:val="18"/>
              </w:rPr>
            </w:pPr>
            <w:r>
              <w:rPr>
                <w:sz w:val="18"/>
                <w:szCs w:val="18"/>
              </w:rPr>
              <w:t>3212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3BBDB67">
            <w:pPr>
              <w:spacing w:line="260" w:lineRule="exact"/>
              <w:rPr>
                <w:sz w:val="18"/>
                <w:szCs w:val="18"/>
              </w:rPr>
            </w:pPr>
            <w:r>
              <w:rPr>
                <w:sz w:val="18"/>
                <w:szCs w:val="18"/>
              </w:rPr>
              <w:t>析出锌（湿法）直流电单耗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5734739">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C45950F">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558E682">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A84D8A9">
            <w:pPr>
              <w:spacing w:line="260" w:lineRule="exact"/>
              <w:rPr>
                <w:sz w:val="18"/>
                <w:szCs w:val="18"/>
              </w:rPr>
            </w:pPr>
            <w:r>
              <w:rPr>
                <w:sz w:val="18"/>
                <w:szCs w:val="18"/>
              </w:rPr>
              <w:t>直流电消耗总量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E4E2247">
            <w:pPr>
              <w:spacing w:line="260" w:lineRule="exact"/>
              <w:rPr>
                <w:sz w:val="18"/>
                <w:szCs w:val="18"/>
              </w:rPr>
            </w:pPr>
            <w:r>
              <w:rPr>
                <w:sz w:val="18"/>
                <w:szCs w:val="18"/>
              </w:rPr>
              <w:t>实际析出锌产量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35B1A315">
            <w:pPr>
              <w:spacing w:line="260" w:lineRule="exact"/>
              <w:jc w:val="right"/>
              <w:rPr>
                <w:sz w:val="18"/>
                <w:szCs w:val="18"/>
              </w:rPr>
            </w:pPr>
            <w:r>
              <w:rPr>
                <w:sz w:val="18"/>
                <w:szCs w:val="18"/>
              </w:rPr>
              <w:t>10000</w:t>
            </w:r>
          </w:p>
        </w:tc>
      </w:tr>
      <w:tr w14:paraId="6469EBEB">
        <w:tblPrEx>
          <w:tblCellMar>
            <w:top w:w="0" w:type="dxa"/>
            <w:left w:w="0" w:type="dxa"/>
            <w:bottom w:w="0" w:type="dxa"/>
            <w:right w:w="0" w:type="dxa"/>
          </w:tblCellMar>
        </w:tblPrEx>
        <w:trPr>
          <w:trHeight w:val="300"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2F4684B8">
            <w:pPr>
              <w:spacing w:line="260" w:lineRule="exact"/>
              <w:jc w:val="left"/>
              <w:rPr>
                <w:b/>
                <w:bCs/>
                <w:sz w:val="18"/>
                <w:szCs w:val="18"/>
              </w:rPr>
            </w:pPr>
            <w:r>
              <w:rPr>
                <w:b/>
                <w:bCs/>
                <w:sz w:val="18"/>
                <w:szCs w:val="18"/>
              </w:rPr>
              <w:t>有色金属材(32)</w:t>
            </w:r>
          </w:p>
        </w:tc>
      </w:tr>
      <w:tr w14:paraId="273BF19D">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7A24F0ED">
            <w:pPr>
              <w:spacing w:line="260" w:lineRule="exact"/>
              <w:jc w:val="center"/>
              <w:rPr>
                <w:sz w:val="18"/>
                <w:szCs w:val="18"/>
              </w:rPr>
            </w:pPr>
            <w:r>
              <w:rPr>
                <w:sz w:val="18"/>
                <w:szCs w:val="18"/>
              </w:rPr>
              <w:t>3214</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D3FB26F">
            <w:pPr>
              <w:spacing w:line="260" w:lineRule="exact"/>
              <w:rPr>
                <w:sz w:val="18"/>
                <w:szCs w:val="18"/>
              </w:rPr>
            </w:pPr>
            <w:r>
              <w:rPr>
                <w:sz w:val="18"/>
                <w:szCs w:val="18"/>
              </w:rPr>
              <w:t>吨铜加工材消耗能源量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299633D">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360F79">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091320">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20BF168">
            <w:pPr>
              <w:spacing w:line="260" w:lineRule="exact"/>
              <w:rPr>
                <w:sz w:val="18"/>
                <w:szCs w:val="18"/>
              </w:rPr>
            </w:pPr>
            <w:r>
              <w:rPr>
                <w:sz w:val="18"/>
                <w:szCs w:val="18"/>
              </w:rPr>
              <w:t>铜加工材能源消耗总量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F4BAFEA">
            <w:pPr>
              <w:spacing w:line="260" w:lineRule="exact"/>
              <w:rPr>
                <w:sz w:val="18"/>
                <w:szCs w:val="18"/>
              </w:rPr>
            </w:pPr>
            <w:r>
              <w:rPr>
                <w:sz w:val="18"/>
                <w:szCs w:val="18"/>
              </w:rPr>
              <w:t>合格交库铜材产量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54C97007">
            <w:pPr>
              <w:spacing w:line="260" w:lineRule="exact"/>
              <w:jc w:val="right"/>
              <w:rPr>
                <w:sz w:val="18"/>
                <w:szCs w:val="18"/>
              </w:rPr>
            </w:pPr>
            <w:r>
              <w:rPr>
                <w:sz w:val="18"/>
                <w:szCs w:val="18"/>
              </w:rPr>
              <w:t>1000</w:t>
            </w:r>
          </w:p>
        </w:tc>
      </w:tr>
      <w:tr w14:paraId="7A5E4583">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28BDEFF8">
            <w:pPr>
              <w:spacing w:line="260" w:lineRule="exact"/>
              <w:jc w:val="center"/>
              <w:rPr>
                <w:sz w:val="18"/>
                <w:szCs w:val="18"/>
              </w:rPr>
            </w:pPr>
            <w:r>
              <w:rPr>
                <w:sz w:val="18"/>
                <w:szCs w:val="18"/>
              </w:rPr>
              <w:t>3213</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11C7999">
            <w:pPr>
              <w:spacing w:line="260" w:lineRule="exact"/>
              <w:rPr>
                <w:sz w:val="18"/>
                <w:szCs w:val="18"/>
              </w:rPr>
            </w:pPr>
            <w:r>
              <w:rPr>
                <w:sz w:val="18"/>
                <w:szCs w:val="18"/>
              </w:rPr>
              <w:t>吨铜加工材消耗电量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D6DFF0A">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ABD77E4">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F86234F">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052D9D">
            <w:pPr>
              <w:spacing w:line="260" w:lineRule="exact"/>
              <w:rPr>
                <w:sz w:val="18"/>
                <w:szCs w:val="18"/>
              </w:rPr>
            </w:pPr>
            <w:r>
              <w:rPr>
                <w:sz w:val="18"/>
                <w:szCs w:val="18"/>
              </w:rPr>
              <w:t>铜加工材用电消耗总量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65C8E93">
            <w:pPr>
              <w:spacing w:line="260" w:lineRule="exact"/>
              <w:rPr>
                <w:sz w:val="18"/>
                <w:szCs w:val="18"/>
              </w:rPr>
            </w:pPr>
            <w:r>
              <w:rPr>
                <w:sz w:val="18"/>
                <w:szCs w:val="18"/>
              </w:rPr>
              <w:t>合格交库铜材产量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13392532">
            <w:pPr>
              <w:spacing w:line="260" w:lineRule="exact"/>
              <w:jc w:val="right"/>
              <w:rPr>
                <w:sz w:val="18"/>
                <w:szCs w:val="18"/>
              </w:rPr>
            </w:pPr>
            <w:r>
              <w:rPr>
                <w:sz w:val="18"/>
                <w:szCs w:val="18"/>
              </w:rPr>
              <w:t>10000</w:t>
            </w:r>
          </w:p>
        </w:tc>
      </w:tr>
      <w:tr w14:paraId="14B261B1">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DC4CD4C">
            <w:pPr>
              <w:spacing w:line="260" w:lineRule="exact"/>
              <w:jc w:val="center"/>
              <w:rPr>
                <w:sz w:val="18"/>
                <w:szCs w:val="18"/>
              </w:rPr>
            </w:pPr>
            <w:r>
              <w:rPr>
                <w:sz w:val="18"/>
                <w:szCs w:val="18"/>
              </w:rPr>
              <w:t>3216</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78979F4">
            <w:pPr>
              <w:spacing w:line="260" w:lineRule="exact"/>
              <w:rPr>
                <w:sz w:val="18"/>
                <w:szCs w:val="18"/>
              </w:rPr>
            </w:pPr>
            <w:r>
              <w:rPr>
                <w:sz w:val="18"/>
                <w:szCs w:val="18"/>
              </w:rPr>
              <w:t>吨铝加工材消耗能源量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11FD482">
            <w:pPr>
              <w:spacing w:line="260" w:lineRule="exact"/>
              <w:jc w:val="left"/>
              <w:rPr>
                <w:sz w:val="18"/>
                <w:szCs w:val="18"/>
              </w:rPr>
            </w:pPr>
            <w:r>
              <w:rPr>
                <w:sz w:val="18"/>
                <w:szCs w:val="18"/>
              </w:rPr>
              <w:t>千克标准煤/吨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B70DF22">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352A7A5">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49DEDC00">
            <w:pPr>
              <w:spacing w:line="260" w:lineRule="exact"/>
              <w:rPr>
                <w:sz w:val="18"/>
                <w:szCs w:val="18"/>
              </w:rPr>
            </w:pPr>
            <w:r>
              <w:rPr>
                <w:sz w:val="18"/>
                <w:szCs w:val="18"/>
              </w:rPr>
              <w:t>铝加工材能源消耗总量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7AFF50">
            <w:pPr>
              <w:spacing w:line="260" w:lineRule="exact"/>
              <w:rPr>
                <w:sz w:val="18"/>
                <w:szCs w:val="18"/>
              </w:rPr>
            </w:pPr>
            <w:r>
              <w:rPr>
                <w:sz w:val="18"/>
                <w:szCs w:val="18"/>
              </w:rPr>
              <w:t>合格交库铝材产量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39C2A6B">
            <w:pPr>
              <w:spacing w:line="260" w:lineRule="exact"/>
              <w:jc w:val="right"/>
              <w:rPr>
                <w:sz w:val="18"/>
                <w:szCs w:val="18"/>
              </w:rPr>
            </w:pPr>
            <w:r>
              <w:rPr>
                <w:sz w:val="18"/>
                <w:szCs w:val="18"/>
              </w:rPr>
              <w:t>1000</w:t>
            </w:r>
          </w:p>
        </w:tc>
      </w:tr>
      <w:tr w14:paraId="2C8173C6">
        <w:tblPrEx>
          <w:tblCellMar>
            <w:top w:w="0" w:type="dxa"/>
            <w:left w:w="0" w:type="dxa"/>
            <w:bottom w:w="0" w:type="dxa"/>
            <w:right w:w="0" w:type="dxa"/>
          </w:tblCellMar>
        </w:tblPrEx>
        <w:trPr>
          <w:trHeight w:val="315"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440DD8B2">
            <w:pPr>
              <w:spacing w:line="260" w:lineRule="exact"/>
              <w:jc w:val="center"/>
              <w:rPr>
                <w:sz w:val="18"/>
                <w:szCs w:val="18"/>
              </w:rPr>
            </w:pPr>
            <w:r>
              <w:rPr>
                <w:sz w:val="18"/>
                <w:szCs w:val="18"/>
              </w:rPr>
              <w:t>3215</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504CD08">
            <w:pPr>
              <w:spacing w:line="260" w:lineRule="exact"/>
              <w:rPr>
                <w:sz w:val="18"/>
                <w:szCs w:val="18"/>
              </w:rPr>
            </w:pPr>
            <w:r>
              <w:rPr>
                <w:sz w:val="18"/>
                <w:szCs w:val="18"/>
              </w:rPr>
              <w:t>吨铝加工材消耗电量</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7B8AA50">
            <w:pPr>
              <w:spacing w:line="260" w:lineRule="exact"/>
              <w:jc w:val="left"/>
              <w:rPr>
                <w:sz w:val="18"/>
                <w:szCs w:val="18"/>
              </w:rPr>
            </w:pPr>
            <w:r>
              <w:rPr>
                <w:sz w:val="18"/>
                <w:szCs w:val="18"/>
              </w:rPr>
              <w:t>千瓦时/吨</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5E45F2A2">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165D54C">
            <w:pPr>
              <w:spacing w:line="260" w:lineRule="exact"/>
              <w:jc w:val="center"/>
              <w:rPr>
                <w:sz w:val="18"/>
                <w:szCs w:val="18"/>
              </w:rPr>
            </w:pPr>
            <w:r>
              <w:rPr>
                <w:sz w:val="18"/>
                <w:szCs w:val="18"/>
              </w:rPr>
              <w:t>吨</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78EBE3">
            <w:pPr>
              <w:spacing w:line="260" w:lineRule="exact"/>
              <w:rPr>
                <w:sz w:val="18"/>
                <w:szCs w:val="18"/>
              </w:rPr>
            </w:pPr>
            <w:r>
              <w:rPr>
                <w:sz w:val="18"/>
                <w:szCs w:val="18"/>
              </w:rPr>
              <w:t>铝加工材用电消耗总量</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180A4751">
            <w:pPr>
              <w:spacing w:line="260" w:lineRule="exact"/>
              <w:rPr>
                <w:sz w:val="18"/>
                <w:szCs w:val="18"/>
              </w:rPr>
            </w:pPr>
            <w:r>
              <w:rPr>
                <w:sz w:val="18"/>
                <w:szCs w:val="18"/>
              </w:rPr>
              <w:t>合格交库铝材产量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798AF0D6">
            <w:pPr>
              <w:spacing w:line="260" w:lineRule="exact"/>
              <w:jc w:val="right"/>
              <w:rPr>
                <w:sz w:val="18"/>
                <w:szCs w:val="18"/>
              </w:rPr>
            </w:pPr>
            <w:r>
              <w:rPr>
                <w:sz w:val="18"/>
                <w:szCs w:val="18"/>
              </w:rPr>
              <w:t>10000</w:t>
            </w:r>
          </w:p>
        </w:tc>
      </w:tr>
      <w:tr w14:paraId="38B080A2">
        <w:tblPrEx>
          <w:tblCellMar>
            <w:top w:w="0" w:type="dxa"/>
            <w:left w:w="0" w:type="dxa"/>
            <w:bottom w:w="0" w:type="dxa"/>
            <w:right w:w="0" w:type="dxa"/>
          </w:tblCellMar>
        </w:tblPrEx>
        <w:trPr>
          <w:trHeight w:val="285" w:hRule="atLeast"/>
        </w:trPr>
        <w:tc>
          <w:tcPr>
            <w:tcW w:w="9465" w:type="dxa"/>
            <w:gridSpan w:val="9"/>
            <w:tcBorders>
              <w:top w:val="single" w:color="auto" w:sz="2" w:space="0"/>
              <w:left w:val="nil"/>
              <w:bottom w:val="single" w:color="auto" w:sz="2" w:space="0"/>
              <w:right w:val="nil"/>
            </w:tcBorders>
            <w:shd w:val="clear" w:color="auto" w:fill="auto"/>
            <w:tcMar>
              <w:top w:w="15" w:type="dxa"/>
              <w:left w:w="15" w:type="dxa"/>
              <w:bottom w:w="0" w:type="dxa"/>
              <w:right w:w="15" w:type="dxa"/>
            </w:tcMar>
            <w:vAlign w:val="center"/>
          </w:tcPr>
          <w:p w14:paraId="3B8197AB">
            <w:pPr>
              <w:spacing w:line="260" w:lineRule="exact"/>
              <w:jc w:val="left"/>
              <w:rPr>
                <w:b/>
                <w:bCs/>
                <w:sz w:val="18"/>
                <w:szCs w:val="18"/>
              </w:rPr>
            </w:pPr>
            <w:r>
              <w:rPr>
                <w:b/>
                <w:bCs/>
                <w:sz w:val="18"/>
                <w:szCs w:val="18"/>
              </w:rPr>
              <w:t xml:space="preserve">火力发电(44) </w:t>
            </w:r>
          </w:p>
        </w:tc>
      </w:tr>
      <w:tr w14:paraId="55D8097C">
        <w:tblPrEx>
          <w:tblCellMar>
            <w:top w:w="0" w:type="dxa"/>
            <w:left w:w="0" w:type="dxa"/>
            <w:bottom w:w="0" w:type="dxa"/>
            <w:right w:w="0" w:type="dxa"/>
          </w:tblCellMar>
        </w:tblPrEx>
        <w:trPr>
          <w:trHeight w:val="48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11B92F2">
            <w:pPr>
              <w:spacing w:line="260" w:lineRule="exact"/>
              <w:jc w:val="center"/>
              <w:rPr>
                <w:sz w:val="18"/>
                <w:szCs w:val="18"/>
              </w:rPr>
            </w:pPr>
            <w:r>
              <w:rPr>
                <w:sz w:val="18"/>
                <w:szCs w:val="18"/>
              </w:rPr>
              <w:t>4401</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A08213A">
            <w:pPr>
              <w:spacing w:line="260" w:lineRule="exact"/>
              <w:rPr>
                <w:sz w:val="18"/>
                <w:szCs w:val="18"/>
              </w:rPr>
            </w:pPr>
            <w:r>
              <w:rPr>
                <w:sz w:val="18"/>
                <w:szCs w:val="18"/>
              </w:rPr>
              <w:t>电厂火力发电标准煤耗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69F99218">
            <w:pPr>
              <w:spacing w:line="260" w:lineRule="exact"/>
              <w:jc w:val="left"/>
              <w:rPr>
                <w:sz w:val="18"/>
                <w:szCs w:val="18"/>
              </w:rPr>
            </w:pPr>
            <w:r>
              <w:rPr>
                <w:sz w:val="18"/>
                <w:szCs w:val="18"/>
              </w:rPr>
              <w:t>克标准煤/千瓦时</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993051E">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0E26F34">
            <w:pPr>
              <w:spacing w:line="260" w:lineRule="exact"/>
              <w:jc w:val="center"/>
              <w:rPr>
                <w:sz w:val="18"/>
                <w:szCs w:val="18"/>
              </w:rPr>
            </w:pPr>
            <w:r>
              <w:rPr>
                <w:sz w:val="18"/>
                <w:szCs w:val="18"/>
              </w:rPr>
              <w:t>万千瓦时</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5BA7AFE">
            <w:pPr>
              <w:spacing w:line="260" w:lineRule="exact"/>
              <w:rPr>
                <w:sz w:val="18"/>
                <w:szCs w:val="18"/>
              </w:rPr>
            </w:pPr>
            <w:r>
              <w:rPr>
                <w:sz w:val="18"/>
                <w:szCs w:val="18"/>
              </w:rPr>
              <w:t>发电耗用标准煤量(不含试运行期间发生的燃料消耗)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A7CAA12">
            <w:pPr>
              <w:spacing w:line="260" w:lineRule="exact"/>
              <w:rPr>
                <w:sz w:val="18"/>
                <w:szCs w:val="18"/>
              </w:rPr>
            </w:pPr>
            <w:r>
              <w:rPr>
                <w:sz w:val="18"/>
                <w:szCs w:val="18"/>
              </w:rPr>
              <w:t>火力发电量(不含试运行电量)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4CC62FB2">
            <w:pPr>
              <w:spacing w:line="260" w:lineRule="exact"/>
              <w:jc w:val="right"/>
              <w:rPr>
                <w:sz w:val="18"/>
                <w:szCs w:val="18"/>
              </w:rPr>
            </w:pPr>
            <w:r>
              <w:rPr>
                <w:sz w:val="18"/>
                <w:szCs w:val="18"/>
              </w:rPr>
              <w:t>100</w:t>
            </w:r>
          </w:p>
        </w:tc>
      </w:tr>
      <w:tr w14:paraId="60E869AB">
        <w:tblPrEx>
          <w:tblCellMar>
            <w:top w:w="0" w:type="dxa"/>
            <w:left w:w="0" w:type="dxa"/>
            <w:bottom w:w="0" w:type="dxa"/>
            <w:right w:w="0" w:type="dxa"/>
          </w:tblCellMar>
        </w:tblPrEx>
        <w:trPr>
          <w:trHeight w:val="480" w:hRule="atLeast"/>
        </w:trPr>
        <w:tc>
          <w:tcPr>
            <w:tcW w:w="559"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14:paraId="52D6DBCA">
            <w:pPr>
              <w:spacing w:line="260" w:lineRule="exact"/>
              <w:jc w:val="center"/>
              <w:rPr>
                <w:sz w:val="18"/>
                <w:szCs w:val="18"/>
              </w:rPr>
            </w:pPr>
            <w:r>
              <w:rPr>
                <w:sz w:val="18"/>
                <w:szCs w:val="18"/>
              </w:rPr>
              <w:t>4402</w:t>
            </w:r>
          </w:p>
        </w:tc>
        <w:tc>
          <w:tcPr>
            <w:tcW w:w="2268"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4C87070">
            <w:pPr>
              <w:spacing w:line="260" w:lineRule="exact"/>
              <w:rPr>
                <w:sz w:val="18"/>
                <w:szCs w:val="18"/>
              </w:rPr>
            </w:pPr>
            <w:r>
              <w:rPr>
                <w:sz w:val="18"/>
                <w:szCs w:val="18"/>
              </w:rPr>
              <w:t>电厂火力供电标准煤耗</w:t>
            </w:r>
          </w:p>
        </w:tc>
        <w:tc>
          <w:tcPr>
            <w:tcW w:w="1283" w:type="dxa"/>
            <w:gridSpan w:val="2"/>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0D547E6">
            <w:pPr>
              <w:spacing w:line="260" w:lineRule="exact"/>
              <w:jc w:val="left"/>
              <w:rPr>
                <w:sz w:val="18"/>
                <w:szCs w:val="18"/>
              </w:rPr>
            </w:pPr>
            <w:r>
              <w:rPr>
                <w:sz w:val="18"/>
                <w:szCs w:val="18"/>
              </w:rPr>
              <w:t>克标准煤/千瓦时</w:t>
            </w:r>
          </w:p>
        </w:tc>
        <w:tc>
          <w:tcPr>
            <w:tcW w:w="5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2BF1F55F">
            <w:pPr>
              <w:spacing w:line="260" w:lineRule="exact"/>
              <w:jc w:val="center"/>
              <w:rPr>
                <w:sz w:val="18"/>
                <w:szCs w:val="18"/>
              </w:rPr>
            </w:pPr>
            <w:r>
              <w:rPr>
                <w:sz w:val="18"/>
                <w:szCs w:val="18"/>
              </w:rPr>
              <w:t>吨标准煤</w:t>
            </w:r>
          </w:p>
        </w:tc>
        <w:tc>
          <w:tcPr>
            <w:tcW w:w="521"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0822019C">
            <w:pPr>
              <w:pStyle w:val="13"/>
              <w:tabs>
                <w:tab w:val="clear" w:pos="4153"/>
                <w:tab w:val="clear" w:pos="8306"/>
              </w:tabs>
              <w:snapToGrid/>
              <w:spacing w:line="260" w:lineRule="exact"/>
              <w:jc w:val="center"/>
            </w:pPr>
            <w:r>
              <w:t>万千瓦时</w:t>
            </w:r>
          </w:p>
        </w:tc>
        <w:tc>
          <w:tcPr>
            <w:tcW w:w="1914"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7B6402A0">
            <w:pPr>
              <w:spacing w:line="260" w:lineRule="exact"/>
              <w:rPr>
                <w:sz w:val="18"/>
                <w:szCs w:val="18"/>
              </w:rPr>
            </w:pPr>
            <w:r>
              <w:rPr>
                <w:sz w:val="18"/>
                <w:szCs w:val="18"/>
              </w:rPr>
              <w:t>发电耗用标准煤量(不含试运行期间发生的燃料消耗)</w:t>
            </w:r>
          </w:p>
        </w:tc>
        <w:tc>
          <w:tcPr>
            <w:tcW w:w="1680"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0" w:type="dxa"/>
              <w:right w:w="15" w:type="dxa"/>
            </w:tcMar>
            <w:vAlign w:val="center"/>
          </w:tcPr>
          <w:p w14:paraId="3E4E4795">
            <w:pPr>
              <w:spacing w:line="260" w:lineRule="exact"/>
              <w:rPr>
                <w:sz w:val="18"/>
                <w:szCs w:val="18"/>
              </w:rPr>
            </w:pPr>
            <w:r>
              <w:rPr>
                <w:sz w:val="18"/>
                <w:szCs w:val="18"/>
              </w:rPr>
              <w:t>火力供电量(不含试运行电量)=发电量-厂用电量</w:t>
            </w:r>
          </w:p>
        </w:tc>
        <w:tc>
          <w:tcPr>
            <w:tcW w:w="715"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14:paraId="2B9F0570">
            <w:pPr>
              <w:spacing w:line="260" w:lineRule="exact"/>
              <w:jc w:val="right"/>
              <w:rPr>
                <w:sz w:val="18"/>
                <w:szCs w:val="18"/>
              </w:rPr>
            </w:pPr>
            <w:r>
              <w:rPr>
                <w:sz w:val="18"/>
                <w:szCs w:val="18"/>
              </w:rPr>
              <w:t>100</w:t>
            </w:r>
          </w:p>
        </w:tc>
      </w:tr>
      <w:tr w14:paraId="4409A3A0">
        <w:tblPrEx>
          <w:tblCellMar>
            <w:top w:w="0" w:type="dxa"/>
            <w:left w:w="0" w:type="dxa"/>
            <w:bottom w:w="0" w:type="dxa"/>
            <w:right w:w="0" w:type="dxa"/>
          </w:tblCellMar>
        </w:tblPrEx>
        <w:trPr>
          <w:trHeight w:val="609" w:hRule="atLeast"/>
        </w:trPr>
        <w:tc>
          <w:tcPr>
            <w:tcW w:w="559" w:type="dxa"/>
            <w:tcBorders>
              <w:top w:val="single" w:color="auto" w:sz="2" w:space="0"/>
              <w:left w:val="nil"/>
              <w:bottom w:val="single" w:color="auto" w:sz="8" w:space="0"/>
              <w:right w:val="single" w:color="auto" w:sz="2" w:space="0"/>
            </w:tcBorders>
            <w:shd w:val="clear" w:color="auto" w:fill="auto"/>
            <w:tcMar>
              <w:top w:w="15" w:type="dxa"/>
              <w:left w:w="15" w:type="dxa"/>
              <w:bottom w:w="0" w:type="dxa"/>
              <w:right w:w="15" w:type="dxa"/>
            </w:tcMar>
            <w:vAlign w:val="center"/>
          </w:tcPr>
          <w:p w14:paraId="4DFF18C2">
            <w:pPr>
              <w:spacing w:line="260" w:lineRule="exact"/>
              <w:jc w:val="center"/>
              <w:rPr>
                <w:sz w:val="18"/>
                <w:szCs w:val="18"/>
              </w:rPr>
            </w:pPr>
            <w:r>
              <w:rPr>
                <w:sz w:val="18"/>
                <w:szCs w:val="18"/>
              </w:rPr>
              <w:t>4403</w:t>
            </w:r>
          </w:p>
        </w:tc>
        <w:tc>
          <w:tcPr>
            <w:tcW w:w="2268"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303CFEAE">
            <w:pPr>
              <w:spacing w:line="260" w:lineRule="exact"/>
              <w:rPr>
                <w:sz w:val="18"/>
                <w:szCs w:val="18"/>
              </w:rPr>
            </w:pPr>
            <w:r>
              <w:rPr>
                <w:sz w:val="18"/>
                <w:szCs w:val="18"/>
              </w:rPr>
              <w:t>发电厂用电率</w:t>
            </w:r>
          </w:p>
        </w:tc>
        <w:tc>
          <w:tcPr>
            <w:tcW w:w="1283" w:type="dxa"/>
            <w:gridSpan w:val="2"/>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431F6643">
            <w:pPr>
              <w:spacing w:line="260" w:lineRule="exact"/>
              <w:jc w:val="left"/>
              <w:rPr>
                <w:sz w:val="18"/>
                <w:szCs w:val="18"/>
              </w:rPr>
            </w:pPr>
            <w:r>
              <w:rPr>
                <w:sz w:val="18"/>
                <w:szCs w:val="18"/>
              </w:rPr>
              <w:t>%</w:t>
            </w:r>
          </w:p>
        </w:tc>
        <w:tc>
          <w:tcPr>
            <w:tcW w:w="525"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26486053">
            <w:pPr>
              <w:spacing w:line="260" w:lineRule="exact"/>
              <w:jc w:val="center"/>
              <w:rPr>
                <w:sz w:val="18"/>
                <w:szCs w:val="18"/>
              </w:rPr>
            </w:pPr>
            <w:r>
              <w:rPr>
                <w:sz w:val="18"/>
                <w:szCs w:val="18"/>
              </w:rPr>
              <w:t>万千瓦时</w:t>
            </w:r>
          </w:p>
        </w:tc>
        <w:tc>
          <w:tcPr>
            <w:tcW w:w="521"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3A536BC8">
            <w:pPr>
              <w:spacing w:line="260" w:lineRule="exact"/>
              <w:jc w:val="center"/>
              <w:rPr>
                <w:sz w:val="18"/>
                <w:szCs w:val="18"/>
              </w:rPr>
            </w:pPr>
            <w:r>
              <w:rPr>
                <w:sz w:val="18"/>
                <w:szCs w:val="18"/>
              </w:rPr>
              <w:t>万千瓦时</w:t>
            </w:r>
          </w:p>
        </w:tc>
        <w:tc>
          <w:tcPr>
            <w:tcW w:w="1914"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4F5F3EB8">
            <w:pPr>
              <w:spacing w:line="260" w:lineRule="exact"/>
              <w:rPr>
                <w:sz w:val="18"/>
                <w:szCs w:val="18"/>
              </w:rPr>
            </w:pPr>
            <w:r>
              <w:rPr>
                <w:sz w:val="18"/>
                <w:szCs w:val="18"/>
              </w:rPr>
              <w:t>发电厂厂用电量(不含试运行电量)</w:t>
            </w:r>
          </w:p>
        </w:tc>
        <w:tc>
          <w:tcPr>
            <w:tcW w:w="1680" w:type="dxa"/>
            <w:tcBorders>
              <w:top w:val="single" w:color="auto" w:sz="2" w:space="0"/>
              <w:left w:val="single" w:color="auto" w:sz="2" w:space="0"/>
              <w:bottom w:val="single" w:color="auto" w:sz="8" w:space="0"/>
              <w:right w:val="single" w:color="auto" w:sz="2" w:space="0"/>
            </w:tcBorders>
            <w:shd w:val="clear" w:color="auto" w:fill="auto"/>
            <w:tcMar>
              <w:top w:w="15" w:type="dxa"/>
              <w:left w:w="15" w:type="dxa"/>
              <w:bottom w:w="0" w:type="dxa"/>
              <w:right w:w="15" w:type="dxa"/>
            </w:tcMar>
            <w:vAlign w:val="center"/>
          </w:tcPr>
          <w:p w14:paraId="0D62CA1F">
            <w:pPr>
              <w:spacing w:line="260" w:lineRule="exact"/>
              <w:rPr>
                <w:sz w:val="18"/>
                <w:szCs w:val="18"/>
              </w:rPr>
            </w:pPr>
            <w:r>
              <w:rPr>
                <w:sz w:val="18"/>
                <w:szCs w:val="18"/>
              </w:rPr>
              <w:t>发电量(不含试运行电量)</w:t>
            </w:r>
          </w:p>
        </w:tc>
        <w:tc>
          <w:tcPr>
            <w:tcW w:w="715" w:type="dxa"/>
            <w:tcBorders>
              <w:top w:val="single" w:color="auto" w:sz="2" w:space="0"/>
              <w:left w:val="single" w:color="auto" w:sz="2" w:space="0"/>
              <w:bottom w:val="single" w:color="auto" w:sz="8" w:space="0"/>
              <w:right w:val="nil"/>
            </w:tcBorders>
            <w:shd w:val="clear" w:color="auto" w:fill="auto"/>
            <w:tcMar>
              <w:top w:w="15" w:type="dxa"/>
              <w:left w:w="15" w:type="dxa"/>
              <w:bottom w:w="0" w:type="dxa"/>
              <w:right w:w="15" w:type="dxa"/>
            </w:tcMar>
            <w:vAlign w:val="center"/>
          </w:tcPr>
          <w:p w14:paraId="2FBE46FE">
            <w:pPr>
              <w:spacing w:line="260" w:lineRule="exact"/>
              <w:jc w:val="right"/>
              <w:rPr>
                <w:sz w:val="18"/>
                <w:szCs w:val="18"/>
              </w:rPr>
            </w:pPr>
            <w:r>
              <w:rPr>
                <w:sz w:val="18"/>
                <w:szCs w:val="18"/>
              </w:rPr>
              <w:t>100</w:t>
            </w:r>
          </w:p>
        </w:tc>
      </w:tr>
    </w:tbl>
    <w:p w14:paraId="090957EC">
      <w:pPr>
        <w:snapToGrid w:val="0"/>
        <w:spacing w:before="287" w:beforeLines="100" w:afterLines="0" w:line="360" w:lineRule="exact"/>
        <w:ind w:firstLine="420" w:firstLineChars="200"/>
        <w:textAlignment w:val="auto"/>
        <w:outlineLvl w:val="9"/>
        <w:rPr>
          <w:rFonts w:eastAsia="黑体"/>
          <w:bCs/>
          <w:szCs w:val="21"/>
        </w:rPr>
      </w:pPr>
      <w:r>
        <w:rPr>
          <w:rFonts w:hint="eastAsia" w:ascii="黑体" w:hAnsi="黑体" w:eastAsia="黑体" w:cs="黑体"/>
          <w:lang w:val="en-US" w:eastAsia="zh-CN"/>
        </w:rPr>
        <w:t>填报</w:t>
      </w:r>
      <w:r>
        <w:rPr>
          <w:rFonts w:hint="eastAsia" w:ascii="黑体" w:hAnsi="黑体" w:eastAsia="黑体" w:cs="黑体"/>
          <w:sz w:val="21"/>
          <w:szCs w:val="24"/>
          <w:lang w:val="en-US" w:eastAsia="zh-CN"/>
        </w:rPr>
        <w:t>目录</w:t>
      </w:r>
      <w:r>
        <w:rPr>
          <w:rFonts w:hint="eastAsia" w:ascii="黑体" w:hAnsi="黑体" w:eastAsia="黑体" w:cs="黑体"/>
          <w:lang w:val="en-US" w:eastAsia="zh-CN"/>
        </w:rPr>
        <w:t>说明：</w:t>
      </w:r>
    </w:p>
    <w:p w14:paraId="375028E1">
      <w:pPr>
        <w:spacing w:line="360" w:lineRule="exact"/>
        <w:ind w:firstLine="420" w:firstLineChars="200"/>
        <w:textAlignment w:val="center"/>
        <w:rPr>
          <w:rFonts w:eastAsia="黑体"/>
          <w:bCs/>
          <w:szCs w:val="21"/>
        </w:rPr>
      </w:pPr>
      <w:r>
        <w:rPr>
          <w:rFonts w:eastAsia="黑体"/>
          <w:bCs/>
          <w:szCs w:val="21"/>
        </w:rPr>
        <w:t>煤炭（06）</w:t>
      </w:r>
    </w:p>
    <w:p w14:paraId="33EB4681">
      <w:pPr>
        <w:spacing w:line="360" w:lineRule="exact"/>
        <w:ind w:firstLine="420" w:firstLineChars="200"/>
        <w:textAlignment w:val="center"/>
        <w:rPr>
          <w:szCs w:val="21"/>
        </w:rPr>
      </w:pPr>
      <w:r>
        <w:rPr>
          <w:rFonts w:eastAsia="黑体"/>
          <w:bCs/>
          <w:szCs w:val="21"/>
        </w:rPr>
        <w:t xml:space="preserve">吨原煤生产综合能耗 </w:t>
      </w:r>
    </w:p>
    <w:p w14:paraId="0B70B518">
      <w:pPr>
        <w:spacing w:line="360" w:lineRule="exact"/>
        <w:ind w:left="0" w:leftChars="0" w:firstLine="420" w:firstLineChars="200"/>
        <w:textAlignment w:val="center"/>
        <w:rPr>
          <w:szCs w:val="21"/>
        </w:rPr>
      </w:pPr>
      <w:r>
        <w:rPr>
          <w:szCs w:val="21"/>
        </w:rPr>
        <w:t>计算公式：吨原煤生产综合能耗（千克标准煤/吨）＝1000×原煤生产综合能源消费量（吨标准煤）</w:t>
      </w:r>
    </w:p>
    <w:p w14:paraId="0A2E9E8F">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/原煤产量（吨）</w:t>
      </w:r>
    </w:p>
    <w:p w14:paraId="6E75CE27">
      <w:pPr>
        <w:spacing w:line="360" w:lineRule="exact"/>
        <w:ind w:firstLine="420" w:firstLineChars="200"/>
        <w:textAlignment w:val="center"/>
        <w:rPr>
          <w:szCs w:val="21"/>
        </w:rPr>
      </w:pPr>
      <w:r>
        <w:rPr>
          <w:szCs w:val="21"/>
        </w:rPr>
        <w:t>分子项：原煤生产综合能源消费量。指企业原煤生产所消费的各种能源。</w:t>
      </w:r>
    </w:p>
    <w:p w14:paraId="0827B870">
      <w:pPr>
        <w:spacing w:line="360" w:lineRule="exact"/>
        <w:ind w:firstLine="420" w:firstLineChars="200"/>
        <w:textAlignment w:val="center"/>
        <w:rPr>
          <w:szCs w:val="21"/>
        </w:rPr>
      </w:pPr>
      <w:r>
        <w:rPr>
          <w:szCs w:val="21"/>
        </w:rPr>
        <w:t>主要包括：矿井（或露天）原煤生产过程中的回采、掘进（剥离）、运输（不包括为矿区服务的大铁路运输）、提升、通风、排水、压风、坑木加工、瓦斯抽放、消火灌浆、井口选矸、矿井采暖、水砂充填、矿灯充电、矿机修、工业照明、工业供水等用能，以及与上述有关的电力线路和变压器的电损。</w:t>
      </w:r>
    </w:p>
    <w:p w14:paraId="5FCEEB18">
      <w:pPr>
        <w:spacing w:line="360" w:lineRule="exact"/>
        <w:ind w:firstLine="420" w:firstLineChars="200"/>
        <w:textAlignment w:val="center"/>
        <w:rPr>
          <w:szCs w:val="21"/>
        </w:rPr>
      </w:pPr>
      <w:r>
        <w:rPr>
          <w:szCs w:val="21"/>
        </w:rPr>
        <w:t>不包括：非原煤生产、非生产部门、基本建设工程等用能和生活用能。</w:t>
      </w:r>
    </w:p>
    <w:p w14:paraId="59972E7F">
      <w:pPr>
        <w:spacing w:line="360" w:lineRule="exact"/>
        <w:ind w:firstLine="420" w:firstLineChars="200"/>
        <w:textAlignment w:val="center"/>
        <w:rPr>
          <w:szCs w:val="21"/>
        </w:rPr>
      </w:pPr>
      <w:r>
        <w:rPr>
          <w:szCs w:val="21"/>
        </w:rPr>
        <w:t>非原煤生产用能量，指煤矿企业附属的其他工业产品生产用能量。如选煤厂、机修厂、运输队、建材厂、火药厂、化工厂、支架厂、钢铁厂、综合利用厂等用能和由各种专用基金支付的工程（如大修理、更新改造工程等）用能，以及与上述有关的电力线路和变压器的电损。</w:t>
      </w:r>
    </w:p>
    <w:p w14:paraId="40155909">
      <w:pPr>
        <w:spacing w:line="360" w:lineRule="exact"/>
        <w:ind w:firstLine="420" w:firstLineChars="200"/>
        <w:textAlignment w:val="center"/>
        <w:rPr>
          <w:szCs w:val="21"/>
        </w:rPr>
      </w:pPr>
      <w:r>
        <w:rPr>
          <w:szCs w:val="21"/>
        </w:rPr>
        <w:t>非生产部门用能，指煤矿企业的非生产部门用能量，如学校、托儿所、幼儿园、机关职工食堂、住宅区浴室、消防队等用能，以及与上述有关的电力线路和变压器的电损。</w:t>
      </w:r>
    </w:p>
    <w:p w14:paraId="74B6B436">
      <w:pPr>
        <w:spacing w:line="360" w:lineRule="exact"/>
        <w:ind w:firstLine="420" w:firstLineChars="200"/>
        <w:textAlignment w:val="center"/>
        <w:rPr>
          <w:szCs w:val="21"/>
        </w:rPr>
      </w:pPr>
      <w:r>
        <w:rPr>
          <w:szCs w:val="21"/>
        </w:rPr>
        <w:t>基本建设工程用能，指企业内基本建设工程用能量，以及与上述有关的电力线路和变压器的电损。</w:t>
      </w:r>
    </w:p>
    <w:p w14:paraId="715657CD">
      <w:pPr>
        <w:spacing w:line="360" w:lineRule="exact"/>
        <w:ind w:firstLine="420" w:firstLineChars="200"/>
        <w:textAlignment w:val="center"/>
        <w:rPr>
          <w:szCs w:val="21"/>
        </w:rPr>
      </w:pPr>
      <w:r>
        <w:rPr>
          <w:szCs w:val="21"/>
        </w:rPr>
        <w:t>分母项：原煤产量。指矿井产量、露天矿产量和其他产量。</w:t>
      </w:r>
    </w:p>
    <w:p w14:paraId="7B698034">
      <w:pPr>
        <w:spacing w:line="360" w:lineRule="exact"/>
        <w:ind w:firstLine="420" w:firstLineChars="200"/>
        <w:textAlignment w:val="center"/>
        <w:rPr>
          <w:szCs w:val="21"/>
        </w:rPr>
      </w:pPr>
      <w:r>
        <w:rPr>
          <w:szCs w:val="21"/>
        </w:rPr>
        <w:t>（1）矿井产量，指回采产量、掘进产量和矿井其他产量。</w:t>
      </w:r>
    </w:p>
    <w:p w14:paraId="33BD2496">
      <w:pPr>
        <w:spacing w:line="360" w:lineRule="exact"/>
        <w:ind w:firstLine="420" w:firstLineChars="200"/>
        <w:textAlignment w:val="center"/>
        <w:rPr>
          <w:szCs w:val="21"/>
        </w:rPr>
      </w:pPr>
      <w:r>
        <w:rPr>
          <w:szCs w:val="21"/>
        </w:rPr>
        <w:t>①回采产量，指生产矿井中全部回采工作面所采出的煤炭产量。但下列情况应区别处理：</w:t>
      </w:r>
    </w:p>
    <w:p w14:paraId="4949A0E1">
      <w:pPr>
        <w:spacing w:line="360" w:lineRule="exact"/>
        <w:ind w:firstLine="420" w:firstLineChars="200"/>
        <w:textAlignment w:val="center"/>
        <w:rPr>
          <w:szCs w:val="21"/>
        </w:rPr>
      </w:pPr>
      <w:r>
        <w:rPr>
          <w:szCs w:val="21"/>
        </w:rPr>
        <w:t>矿井未正式移交之前，对准备出煤的回采工作面进行实际采煤，其采煤量应计为基建工程煤；</w:t>
      </w:r>
    </w:p>
    <w:p w14:paraId="22A1CD03">
      <w:pPr>
        <w:spacing w:line="360" w:lineRule="exact"/>
        <w:ind w:firstLine="420" w:firstLineChars="200"/>
        <w:textAlignment w:val="center"/>
        <w:rPr>
          <w:szCs w:val="21"/>
        </w:rPr>
      </w:pPr>
      <w:r>
        <w:rPr>
          <w:szCs w:val="21"/>
        </w:rPr>
        <w:t>列入科研计划的新采煤方法试验面和使用新机试采面的出煤，应计为矿井其他产量</w:t>
      </w:r>
      <w:r>
        <w:rPr>
          <w:rFonts w:hint="eastAsia"/>
          <w:szCs w:val="21"/>
        </w:rPr>
        <w:t>；</w:t>
      </w:r>
    </w:p>
    <w:p w14:paraId="7DFF9510">
      <w:pPr>
        <w:spacing w:line="360" w:lineRule="exact"/>
        <w:ind w:firstLine="420" w:firstLineChars="200"/>
        <w:textAlignment w:val="center"/>
        <w:rPr>
          <w:szCs w:val="21"/>
        </w:rPr>
      </w:pPr>
      <w:r>
        <w:rPr>
          <w:szCs w:val="21"/>
        </w:rPr>
        <w:t>已完成掘进，在回采过程中掘凿的巷道（一般称</w:t>
      </w:r>
      <w:r>
        <w:rPr>
          <w:rFonts w:hint="eastAsia"/>
          <w:szCs w:val="21"/>
          <w:lang w:eastAsia="zh-CN"/>
        </w:rPr>
        <w:t>“</w:t>
      </w:r>
      <w:r>
        <w:rPr>
          <w:szCs w:val="21"/>
        </w:rPr>
        <w:t>采后掘进</w:t>
      </w:r>
      <w:r>
        <w:rPr>
          <w:rFonts w:hint="eastAsia"/>
          <w:szCs w:val="21"/>
          <w:lang w:eastAsia="zh-CN"/>
        </w:rPr>
        <w:t>”</w:t>
      </w:r>
      <w:r>
        <w:rPr>
          <w:szCs w:val="21"/>
        </w:rPr>
        <w:t>）出煤，应计为回采产量；</w:t>
      </w:r>
    </w:p>
    <w:p w14:paraId="793E27D6">
      <w:pPr>
        <w:spacing w:line="360" w:lineRule="exact"/>
        <w:ind w:firstLine="420" w:firstLineChars="200"/>
        <w:textAlignment w:val="center"/>
        <w:rPr>
          <w:szCs w:val="21"/>
        </w:rPr>
      </w:pPr>
      <w:r>
        <w:rPr>
          <w:szCs w:val="21"/>
        </w:rPr>
        <w:t>对已报废的矿井进行复采，由原煤生产费负担的，计入矿井其他产量。</w:t>
      </w:r>
    </w:p>
    <w:p w14:paraId="17BDF8F4">
      <w:pPr>
        <w:spacing w:line="360" w:lineRule="exact"/>
        <w:ind w:firstLine="420" w:firstLineChars="200"/>
        <w:textAlignment w:val="center"/>
        <w:rPr>
          <w:szCs w:val="21"/>
        </w:rPr>
      </w:pPr>
      <w:r>
        <w:rPr>
          <w:szCs w:val="21"/>
        </w:rPr>
        <w:t>②掘进产量，指在生产矿井中由生产费用负担的生产掘进巷道的出煤。不包括由更改资金进行的掘进工作出煤和井巷维修工作出煤。对采掘产量混在一起分不清的，以下式计算：</w:t>
      </w:r>
    </w:p>
    <w:p w14:paraId="67C7B196">
      <w:pPr>
        <w:spacing w:line="360" w:lineRule="exact"/>
        <w:ind w:firstLine="420" w:firstLineChars="200"/>
        <w:textAlignment w:val="center"/>
        <w:rPr>
          <w:szCs w:val="21"/>
        </w:rPr>
      </w:pPr>
      <w:r>
        <w:rPr>
          <w:szCs w:val="21"/>
        </w:rPr>
        <w:t>掘进产量（吨）＝煤巷及半煤巷的煤断面（平方米）×进尺（米）×煤的容重（吨/立方米）</w:t>
      </w:r>
    </w:p>
    <w:p w14:paraId="54F48F34">
      <w:pPr>
        <w:spacing w:line="360" w:lineRule="exact"/>
        <w:ind w:firstLine="420" w:firstLineChars="200"/>
        <w:textAlignment w:val="center"/>
        <w:rPr>
          <w:szCs w:val="21"/>
        </w:rPr>
      </w:pPr>
      <w:r>
        <w:rPr>
          <w:szCs w:val="21"/>
        </w:rPr>
        <w:t>③矿井其他产量，指生产矿井回采和掘进产量以外的其他产量，主要包括井巷维修出煤，已报废矿井复采后所出的煤，质量不合格经处理后合格的回收煤，科研试采出煤，出井无牌煤，水砂充填或水采矿井扫沉淀的煤泥，盘点发生的盈（亏）吨煤，以及由生产费用开支不计能力的矿井产量。</w:t>
      </w:r>
    </w:p>
    <w:p w14:paraId="32C3C62C">
      <w:pPr>
        <w:spacing w:line="360" w:lineRule="exact"/>
        <w:ind w:firstLine="420" w:firstLineChars="200"/>
        <w:textAlignment w:val="center"/>
        <w:rPr>
          <w:szCs w:val="21"/>
        </w:rPr>
      </w:pPr>
      <w:r>
        <w:rPr>
          <w:szCs w:val="21"/>
        </w:rPr>
        <w:t>（2）露天矿产量，指露天煤矿采煤阶段的煤炭产量、剥离阶段的煤炭产量和露天矿其他产量。</w:t>
      </w:r>
    </w:p>
    <w:p w14:paraId="0CC784D6">
      <w:pPr>
        <w:spacing w:line="360" w:lineRule="exact"/>
        <w:ind w:firstLine="420" w:firstLineChars="200"/>
        <w:textAlignment w:val="center"/>
        <w:rPr>
          <w:szCs w:val="21"/>
        </w:rPr>
      </w:pPr>
      <w:r>
        <w:rPr>
          <w:szCs w:val="21"/>
        </w:rPr>
        <w:t>露天矿其他产量，指露天采煤阶段和剥离阶段以外的其他产量。主要包括由生产费用开支的不计能力的露天产量，由排土场回收的拣煤量，露天坑内的残煤回收量。</w:t>
      </w:r>
    </w:p>
    <w:p w14:paraId="5433121E">
      <w:pPr>
        <w:spacing w:line="360" w:lineRule="exact"/>
        <w:ind w:firstLine="420" w:firstLineChars="200"/>
        <w:textAlignment w:val="center"/>
        <w:rPr>
          <w:szCs w:val="21"/>
        </w:rPr>
      </w:pPr>
      <w:r>
        <w:rPr>
          <w:szCs w:val="21"/>
        </w:rPr>
        <w:t>（3）其他产量，指不由原煤生产费用开支的出煤，主要包括基建工程煤、更改工程煤、不计能力的小井和小露天矿出煤。</w:t>
      </w:r>
    </w:p>
    <w:p w14:paraId="77258175">
      <w:pPr>
        <w:spacing w:line="360" w:lineRule="exact"/>
        <w:ind w:firstLine="420" w:firstLineChars="200"/>
        <w:textAlignment w:val="center"/>
        <w:rPr>
          <w:szCs w:val="21"/>
        </w:rPr>
      </w:pPr>
      <w:r>
        <w:rPr>
          <w:szCs w:val="21"/>
        </w:rPr>
        <w:t>①基建工程煤，指基本建设矿井、露天矿在没有移交生产以前的工程出煤和试生产期间的煤炭产量。</w:t>
      </w:r>
    </w:p>
    <w:p w14:paraId="35DD359C">
      <w:pPr>
        <w:spacing w:line="360" w:lineRule="exact"/>
        <w:ind w:firstLine="420" w:firstLineChars="200"/>
        <w:textAlignment w:val="center"/>
        <w:rPr>
          <w:szCs w:val="21"/>
        </w:rPr>
      </w:pPr>
      <w:r>
        <w:rPr>
          <w:szCs w:val="21"/>
        </w:rPr>
        <w:t>②更改工程煤，指在生产矿井中用更改资金进行掘进工作所产出的煤。</w:t>
      </w:r>
    </w:p>
    <w:p w14:paraId="21F7F6F2">
      <w:pPr>
        <w:spacing w:line="360" w:lineRule="exact"/>
        <w:ind w:firstLine="420" w:firstLineChars="200"/>
        <w:textAlignment w:val="center"/>
        <w:rPr>
          <w:szCs w:val="21"/>
        </w:rPr>
      </w:pPr>
      <w:r>
        <w:rPr>
          <w:szCs w:val="21"/>
        </w:rPr>
        <w:t>③不计能力的小井、小露天矿产量，指年生产能力三万吨以下的小井、小露天矿产量。</w:t>
      </w:r>
    </w:p>
    <w:p w14:paraId="520ECB40">
      <w:pPr>
        <w:spacing w:line="360" w:lineRule="exact"/>
        <w:ind w:firstLine="420" w:firstLineChars="200"/>
        <w:textAlignment w:val="center"/>
        <w:rPr>
          <w:szCs w:val="21"/>
        </w:rPr>
      </w:pPr>
      <w:r>
        <w:rPr>
          <w:rFonts w:eastAsia="黑体"/>
          <w:bCs/>
          <w:szCs w:val="21"/>
        </w:rPr>
        <w:t xml:space="preserve">吨原煤生产耗电量  </w:t>
      </w:r>
    </w:p>
    <w:p w14:paraId="79B62E2D">
      <w:pPr>
        <w:spacing w:line="360" w:lineRule="exact"/>
        <w:ind w:left="0" w:leftChars="0" w:firstLine="420" w:firstLineChars="200"/>
        <w:textAlignment w:val="center"/>
        <w:rPr>
          <w:szCs w:val="21"/>
        </w:rPr>
      </w:pPr>
      <w:r>
        <w:rPr>
          <w:szCs w:val="21"/>
        </w:rPr>
        <w:t>计算公式：吨原煤生产耗电量（千瓦时/吨）＝10000×原煤生产用电量（万千瓦时）/原煤产量（吨）</w:t>
      </w:r>
    </w:p>
    <w:p w14:paraId="42038CB7">
      <w:pPr>
        <w:spacing w:line="360" w:lineRule="exact"/>
        <w:ind w:firstLine="420" w:firstLineChars="200"/>
        <w:textAlignment w:val="center"/>
        <w:rPr>
          <w:szCs w:val="21"/>
        </w:rPr>
      </w:pPr>
      <w:r>
        <w:rPr>
          <w:szCs w:val="21"/>
        </w:rPr>
        <w:t>分子项：原煤生产用电量。见上述原煤生产综合能源消费量的说明。</w:t>
      </w:r>
    </w:p>
    <w:p w14:paraId="0A6D3E46">
      <w:pPr>
        <w:spacing w:line="360" w:lineRule="exact"/>
        <w:ind w:firstLine="420" w:firstLineChars="200"/>
        <w:textAlignment w:val="center"/>
        <w:rPr>
          <w:szCs w:val="21"/>
        </w:rPr>
      </w:pPr>
      <w:r>
        <w:rPr>
          <w:szCs w:val="21"/>
        </w:rPr>
        <w:t>分母项：原煤产量。同原煤生产综合能源消费量的说明。</w:t>
      </w:r>
    </w:p>
    <w:p w14:paraId="05E12577">
      <w:pPr>
        <w:spacing w:line="360" w:lineRule="exact"/>
        <w:ind w:firstLine="420" w:firstLineChars="200"/>
        <w:textAlignment w:val="center"/>
        <w:rPr>
          <w:szCs w:val="21"/>
        </w:rPr>
      </w:pPr>
      <w:r>
        <w:rPr>
          <w:rFonts w:hint="eastAsia" w:eastAsia="黑体"/>
          <w:bCs/>
          <w:szCs w:val="21"/>
        </w:rPr>
        <w:t>洗</w:t>
      </w:r>
      <w:r>
        <w:rPr>
          <w:rFonts w:eastAsia="黑体"/>
          <w:bCs/>
          <w:szCs w:val="21"/>
        </w:rPr>
        <w:t xml:space="preserve">煤电力单耗 </w:t>
      </w:r>
    </w:p>
    <w:p w14:paraId="7D6589DF">
      <w:pPr>
        <w:spacing w:line="360" w:lineRule="exact"/>
        <w:ind w:firstLine="412" w:firstLineChars="200"/>
        <w:textAlignment w:val="center"/>
        <w:rPr>
          <w:spacing w:val="-2"/>
          <w:szCs w:val="21"/>
        </w:rPr>
      </w:pPr>
      <w:r>
        <w:rPr>
          <w:spacing w:val="-2"/>
          <w:szCs w:val="21"/>
        </w:rPr>
        <w:t>计算公式：洗煤电力单耗（千瓦时/吨）＝10000×洗煤生产过程耗电量（万千瓦时）/入洗原煤量（吨）</w:t>
      </w:r>
    </w:p>
    <w:p w14:paraId="75D6123F">
      <w:pPr>
        <w:spacing w:line="360" w:lineRule="exact"/>
        <w:ind w:firstLine="420" w:firstLineChars="200"/>
        <w:textAlignment w:val="center"/>
        <w:rPr>
          <w:szCs w:val="21"/>
        </w:rPr>
      </w:pPr>
      <w:r>
        <w:rPr>
          <w:szCs w:val="21"/>
        </w:rPr>
        <w:t>分子项：洗煤生产过程耗电量。按电力部门结算的电量计算，不包括洗煤厂向外转供的电量，以及与洗煤生产无直接关系的各种用电量（如居民生活用电、基建工程用电、文化福利设施用电等）。</w:t>
      </w:r>
    </w:p>
    <w:p w14:paraId="31235D50">
      <w:pPr>
        <w:spacing w:line="360" w:lineRule="exact"/>
        <w:ind w:firstLine="424" w:firstLineChars="202"/>
        <w:textAlignment w:val="center"/>
        <w:rPr>
          <w:szCs w:val="21"/>
        </w:rPr>
      </w:pPr>
      <w:r>
        <w:rPr>
          <w:szCs w:val="21"/>
        </w:rPr>
        <w:t>分母项：入洗原煤量。指从入厂毛煤中拣出的不计原煤产量的大块矸石（一般指50毫米以上）后进入洗选煤过程，进行加工处理的原煤量。</w:t>
      </w:r>
    </w:p>
    <w:p w14:paraId="33697E0F">
      <w:pPr>
        <w:spacing w:line="360" w:lineRule="exact"/>
        <w:ind w:firstLine="420" w:firstLineChars="200"/>
        <w:textAlignment w:val="center"/>
        <w:rPr>
          <w:rFonts w:eastAsia="黑体"/>
          <w:bCs/>
          <w:szCs w:val="21"/>
        </w:rPr>
      </w:pPr>
    </w:p>
    <w:p w14:paraId="26FBEA36">
      <w:pPr>
        <w:spacing w:line="360" w:lineRule="exact"/>
        <w:ind w:firstLine="420" w:firstLineChars="200"/>
        <w:textAlignment w:val="center"/>
        <w:rPr>
          <w:rFonts w:eastAsia="黑体"/>
          <w:bCs/>
          <w:szCs w:val="21"/>
        </w:rPr>
      </w:pPr>
      <w:r>
        <w:rPr>
          <w:rFonts w:eastAsia="黑体"/>
          <w:bCs/>
          <w:szCs w:val="21"/>
        </w:rPr>
        <w:t>石油和天然气（07）</w:t>
      </w:r>
    </w:p>
    <w:p w14:paraId="4C186EF4">
      <w:pPr>
        <w:widowControl/>
        <w:spacing w:line="360" w:lineRule="exact"/>
        <w:ind w:firstLine="420" w:firstLineChars="200"/>
        <w:jc w:val="left"/>
        <w:textAlignment w:val="center"/>
        <w:rPr>
          <w:szCs w:val="21"/>
        </w:rPr>
      </w:pPr>
      <w:r>
        <w:rPr>
          <w:rFonts w:eastAsia="黑体"/>
          <w:bCs/>
          <w:szCs w:val="21"/>
        </w:rPr>
        <w:t>单位油气产量综合能耗</w:t>
      </w:r>
      <w:r>
        <w:rPr>
          <w:bCs/>
          <w:szCs w:val="21"/>
        </w:rPr>
        <w:t xml:space="preserve">  </w:t>
      </w:r>
    </w:p>
    <w:p w14:paraId="77B03F81">
      <w:pPr>
        <w:spacing w:line="360" w:lineRule="exact"/>
        <w:ind w:left="0" w:leftChars="0" w:firstLine="420" w:firstLineChars="200"/>
        <w:textAlignment w:val="center"/>
        <w:rPr>
          <w:szCs w:val="21"/>
        </w:rPr>
      </w:pPr>
      <w:r>
        <w:rPr>
          <w:szCs w:val="21"/>
        </w:rPr>
        <w:t>计算公式：单位油气产量综合能耗（千克标准煤/吨）＝1000×油气田生产综合能源消费量（吨标准</w:t>
      </w:r>
    </w:p>
    <w:p w14:paraId="6DD73225">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煤）/油气当量产量（吨）</w:t>
      </w:r>
    </w:p>
    <w:p w14:paraId="21D17602">
      <w:pPr>
        <w:spacing w:line="360" w:lineRule="exact"/>
        <w:ind w:firstLine="420" w:firstLineChars="200"/>
        <w:textAlignment w:val="center"/>
        <w:rPr>
          <w:szCs w:val="21"/>
        </w:rPr>
      </w:pPr>
      <w:r>
        <w:rPr>
          <w:szCs w:val="21"/>
        </w:rPr>
        <w:t>分子项：油气田生产综合能源消费量。指油气田采油（气）生产所消耗的各种能源，包括采油（气）生产和为采油（气）生产服务的辅助生产设施用能以及管理部门用能。</w:t>
      </w:r>
    </w:p>
    <w:p w14:paraId="129EB0C2">
      <w:pPr>
        <w:spacing w:line="360" w:lineRule="exact"/>
        <w:ind w:firstLine="420" w:firstLineChars="200"/>
        <w:textAlignment w:val="center"/>
        <w:rPr>
          <w:szCs w:val="21"/>
        </w:rPr>
      </w:pPr>
      <w:r>
        <w:rPr>
          <w:szCs w:val="21"/>
        </w:rPr>
        <w:t>分母项：油气当量产量。指换算成统一计量单位的原油产量和天然气产量，换算关系：</w:t>
      </w:r>
    </w:p>
    <w:p w14:paraId="4C7D1017">
      <w:pPr>
        <w:spacing w:line="360" w:lineRule="exact"/>
        <w:ind w:firstLine="420" w:firstLineChars="200"/>
        <w:textAlignment w:val="center"/>
        <w:rPr>
          <w:szCs w:val="21"/>
        </w:rPr>
      </w:pPr>
      <w:r>
        <w:rPr>
          <w:szCs w:val="21"/>
        </w:rPr>
        <w:t>1255立方米天然气＝1吨原油</w:t>
      </w:r>
    </w:p>
    <w:p w14:paraId="7F2F9D34">
      <w:pPr>
        <w:spacing w:line="360" w:lineRule="exact"/>
        <w:ind w:firstLine="420" w:firstLineChars="200"/>
        <w:textAlignment w:val="center"/>
        <w:rPr>
          <w:rFonts w:eastAsia="黑体"/>
          <w:szCs w:val="21"/>
        </w:rPr>
      </w:pPr>
      <w:r>
        <w:rPr>
          <w:rFonts w:eastAsia="黑体"/>
          <w:szCs w:val="21"/>
        </w:rPr>
        <w:t xml:space="preserve">单位油气产量耗电  </w:t>
      </w:r>
    </w:p>
    <w:p w14:paraId="61F55274">
      <w:pPr>
        <w:spacing w:line="360" w:lineRule="exact"/>
        <w:ind w:left="0" w:leftChars="0" w:firstLine="420" w:firstLineChars="200"/>
        <w:textAlignment w:val="center"/>
        <w:rPr>
          <w:szCs w:val="21"/>
        </w:rPr>
      </w:pPr>
      <w:r>
        <w:rPr>
          <w:szCs w:val="21"/>
        </w:rPr>
        <w:t>计算公式：单位油气产量耗电（千瓦时/吨）＝10000×油气田生产用电量（万千瓦时）/油气当量产</w:t>
      </w:r>
    </w:p>
    <w:p w14:paraId="3E75BF61">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量（吨）</w:t>
      </w:r>
    </w:p>
    <w:p w14:paraId="1C95961D">
      <w:pPr>
        <w:spacing w:line="360" w:lineRule="exact"/>
        <w:ind w:firstLine="420" w:firstLineChars="200"/>
        <w:textAlignment w:val="center"/>
        <w:rPr>
          <w:szCs w:val="21"/>
        </w:rPr>
      </w:pPr>
      <w:r>
        <w:rPr>
          <w:szCs w:val="21"/>
        </w:rPr>
        <w:t>分子项：油气田生产用电量。指油气田采油（气）生产所消耗的电力，包括采油（气）生产和为采油（气）生产服务的辅助生产设施用电以及管理部门用电。</w:t>
      </w:r>
    </w:p>
    <w:p w14:paraId="1AB53828">
      <w:pPr>
        <w:spacing w:line="360" w:lineRule="exact"/>
        <w:ind w:firstLine="420" w:firstLineChars="200"/>
        <w:textAlignment w:val="center"/>
        <w:rPr>
          <w:szCs w:val="21"/>
        </w:rPr>
      </w:pPr>
      <w:r>
        <w:rPr>
          <w:szCs w:val="21"/>
        </w:rPr>
        <w:t>分母项：油气当量产量。解释同上。</w:t>
      </w:r>
    </w:p>
    <w:p w14:paraId="2BE39289">
      <w:pPr>
        <w:pStyle w:val="10"/>
        <w:spacing w:line="360" w:lineRule="exact"/>
        <w:ind w:firstLine="420" w:firstLineChars="200"/>
        <w:textAlignment w:val="center"/>
        <w:rPr>
          <w:rFonts w:ascii="Times New Roman" w:hAnsi="Times New Roman" w:eastAsia="黑体" w:cs="Times New Roman"/>
          <w:bCs/>
        </w:rPr>
      </w:pPr>
    </w:p>
    <w:p w14:paraId="760BCB31">
      <w:pPr>
        <w:pStyle w:val="10"/>
        <w:spacing w:line="360" w:lineRule="exact"/>
        <w:ind w:firstLine="420" w:firstLineChars="200"/>
        <w:textAlignment w:val="center"/>
        <w:rPr>
          <w:rFonts w:ascii="Times New Roman" w:hAnsi="Times New Roman" w:eastAsia="黑体" w:cs="Times New Roman"/>
          <w:bCs/>
        </w:rPr>
      </w:pPr>
      <w:r>
        <w:rPr>
          <w:rFonts w:ascii="Times New Roman" w:hAnsi="Times New Roman" w:eastAsia="黑体" w:cs="Times New Roman"/>
          <w:bCs/>
        </w:rPr>
        <w:t>黑色金属矿（08）</w:t>
      </w:r>
    </w:p>
    <w:p w14:paraId="7111439A">
      <w:pPr>
        <w:spacing w:line="360" w:lineRule="exact"/>
        <w:ind w:left="0" w:leftChars="0" w:firstLine="420" w:firstLineChars="200"/>
        <w:textAlignment w:val="center"/>
        <w:rPr>
          <w:szCs w:val="21"/>
        </w:rPr>
      </w:pPr>
      <w:r>
        <w:rPr>
          <w:rFonts w:eastAsia="黑体"/>
          <w:bCs/>
          <w:szCs w:val="21"/>
        </w:rPr>
        <w:t xml:space="preserve">铁矿采矿工序单位能耗 </w:t>
      </w:r>
    </w:p>
    <w:p w14:paraId="20859497">
      <w:pPr>
        <w:spacing w:line="360" w:lineRule="exact"/>
        <w:ind w:left="0" w:leftChars="0" w:firstLine="420" w:firstLineChars="200"/>
        <w:textAlignment w:val="center"/>
        <w:rPr>
          <w:szCs w:val="21"/>
        </w:rPr>
      </w:pPr>
      <w:r>
        <w:rPr>
          <w:szCs w:val="21"/>
        </w:rPr>
        <w:t>计算公式：铁矿采矿工序单位能耗（千克标准煤/吨）＝1000×铁矿采矿工序净耗能量（吨标准煤）</w:t>
      </w:r>
    </w:p>
    <w:p w14:paraId="215AFC3A">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 xml:space="preserve">/铁矿采剥（掘）总量或采出原矿量（吨） </w:t>
      </w:r>
    </w:p>
    <w:p w14:paraId="013D5152">
      <w:pPr>
        <w:spacing w:line="360" w:lineRule="exact"/>
        <w:ind w:firstLine="420" w:firstLineChars="200"/>
        <w:textAlignment w:val="center"/>
        <w:rPr>
          <w:szCs w:val="21"/>
        </w:rPr>
      </w:pPr>
      <w:r>
        <w:rPr>
          <w:szCs w:val="21"/>
        </w:rPr>
        <w:t>分子项：铁矿采矿工序净耗能量。指报告期内铁矿采矿工序消耗的各种能源，扣除工序内向外提供的能源量。</w:t>
      </w:r>
    </w:p>
    <w:p w14:paraId="370E2473">
      <w:pPr>
        <w:spacing w:line="360" w:lineRule="exact"/>
        <w:ind w:firstLine="420" w:firstLineChars="200"/>
        <w:textAlignment w:val="center"/>
        <w:rPr>
          <w:szCs w:val="21"/>
        </w:rPr>
      </w:pPr>
      <w:r>
        <w:rPr>
          <w:szCs w:val="21"/>
        </w:rPr>
        <w:t>分母项：铁矿采剥（掘）总量或采出原矿量。指露天采矿用采剥（掘）总量和地下采矿用采出原矿量。</w:t>
      </w:r>
    </w:p>
    <w:p w14:paraId="5EC03279">
      <w:pPr>
        <w:spacing w:line="360" w:lineRule="exact"/>
        <w:ind w:firstLine="420" w:firstLineChars="200"/>
        <w:textAlignment w:val="center"/>
        <w:rPr>
          <w:rFonts w:eastAsia="黑体"/>
          <w:szCs w:val="21"/>
        </w:rPr>
      </w:pPr>
      <w:r>
        <w:rPr>
          <w:rFonts w:eastAsia="黑体"/>
          <w:bCs/>
          <w:szCs w:val="21"/>
        </w:rPr>
        <w:t xml:space="preserve">铁矿选矿工序单位能耗  </w:t>
      </w:r>
    </w:p>
    <w:p w14:paraId="0CA8E577">
      <w:pPr>
        <w:spacing w:line="360" w:lineRule="exact"/>
        <w:ind w:left="0" w:leftChars="0" w:firstLine="420" w:firstLineChars="200"/>
        <w:textAlignment w:val="center"/>
        <w:rPr>
          <w:szCs w:val="21"/>
        </w:rPr>
      </w:pPr>
      <w:r>
        <w:rPr>
          <w:szCs w:val="21"/>
        </w:rPr>
        <w:t>计算公式：铁矿选矿工序单位能耗（千克标准煤/吨）＝1000×铁矿选矿工序净耗能量（吨标准煤）</w:t>
      </w:r>
    </w:p>
    <w:p w14:paraId="45E83DC7">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 xml:space="preserve"> /铁矿处理原矿量（吨） </w:t>
      </w:r>
    </w:p>
    <w:p w14:paraId="6F7AFA71">
      <w:pPr>
        <w:spacing w:line="360" w:lineRule="exact"/>
        <w:ind w:firstLine="420" w:firstLineChars="200"/>
        <w:textAlignment w:val="center"/>
        <w:rPr>
          <w:szCs w:val="21"/>
        </w:rPr>
      </w:pPr>
      <w:r>
        <w:rPr>
          <w:szCs w:val="21"/>
        </w:rPr>
        <w:t>分子项：铁矿选矿工序净耗能量。指报告期内铁矿选矿工序消耗的各种能源，扣除工序内向外提供的能源量。</w:t>
      </w:r>
    </w:p>
    <w:p w14:paraId="3DD1FE41">
      <w:pPr>
        <w:spacing w:line="360" w:lineRule="exact"/>
        <w:ind w:firstLine="424" w:firstLineChars="202"/>
        <w:textAlignment w:val="center"/>
        <w:rPr>
          <w:szCs w:val="21"/>
        </w:rPr>
      </w:pPr>
      <w:r>
        <w:rPr>
          <w:szCs w:val="21"/>
        </w:rPr>
        <w:t>分母项：铁矿处理原矿量。指报告期内选矿工序所处理的原矿量。</w:t>
      </w:r>
    </w:p>
    <w:p w14:paraId="531F6B0D">
      <w:pPr>
        <w:spacing w:line="360" w:lineRule="exact"/>
        <w:ind w:firstLine="420" w:firstLineChars="200"/>
        <w:textAlignment w:val="center"/>
        <w:rPr>
          <w:rFonts w:eastAsia="黑体"/>
          <w:bCs/>
          <w:szCs w:val="21"/>
        </w:rPr>
      </w:pPr>
    </w:p>
    <w:p w14:paraId="446BEB83">
      <w:pPr>
        <w:spacing w:line="360" w:lineRule="exact"/>
        <w:ind w:firstLine="420" w:firstLineChars="200"/>
        <w:textAlignment w:val="center"/>
        <w:rPr>
          <w:rFonts w:eastAsia="黑体"/>
          <w:bCs/>
          <w:szCs w:val="21"/>
        </w:rPr>
      </w:pPr>
      <w:r>
        <w:rPr>
          <w:rFonts w:eastAsia="黑体"/>
          <w:bCs/>
          <w:szCs w:val="21"/>
        </w:rPr>
        <w:t>纺织品（17）</w:t>
      </w:r>
      <w:r>
        <w:rPr>
          <w:rFonts w:hint="eastAsia" w:eastAsia="黑体"/>
          <w:bCs/>
          <w:szCs w:val="21"/>
        </w:rPr>
        <w:t xml:space="preserve">  </w:t>
      </w:r>
      <w:r>
        <w:rPr>
          <w:rFonts w:eastAsia="黑体"/>
          <w:bCs/>
          <w:szCs w:val="21"/>
        </w:rPr>
        <w:t>化学纤维（28）</w:t>
      </w:r>
    </w:p>
    <w:p w14:paraId="185CE174">
      <w:pPr>
        <w:spacing w:line="360" w:lineRule="exact"/>
        <w:ind w:firstLine="420" w:firstLineChars="200"/>
        <w:textAlignment w:val="center"/>
        <w:rPr>
          <w:szCs w:val="21"/>
        </w:rPr>
      </w:pPr>
      <w:r>
        <w:rPr>
          <w:rFonts w:eastAsia="黑体"/>
          <w:bCs/>
          <w:szCs w:val="21"/>
        </w:rPr>
        <w:t xml:space="preserve">吨粘胶纤维综合能耗（短纤） </w:t>
      </w:r>
    </w:p>
    <w:p w14:paraId="48071359">
      <w:pPr>
        <w:spacing w:line="360" w:lineRule="exact"/>
        <w:ind w:left="0" w:leftChars="0" w:firstLine="420" w:firstLineChars="200"/>
        <w:textAlignment w:val="center"/>
        <w:rPr>
          <w:szCs w:val="21"/>
        </w:rPr>
      </w:pPr>
      <w:r>
        <w:rPr>
          <w:szCs w:val="21"/>
        </w:rPr>
        <w:t>计算公式：吨粘胶纤维综合能耗</w:t>
      </w:r>
      <w:r>
        <w:rPr>
          <w:bCs/>
          <w:szCs w:val="21"/>
        </w:rPr>
        <w:t>（短纤）</w:t>
      </w:r>
      <w:r>
        <w:rPr>
          <w:szCs w:val="21"/>
        </w:rPr>
        <w:t>（千克标准煤/吨）＝1000×企业生产综合能源消费量（吨</w:t>
      </w:r>
    </w:p>
    <w:p w14:paraId="02C9A7A6">
      <w:pPr>
        <w:spacing w:line="360" w:lineRule="exact"/>
        <w:ind w:left="0" w:leftChars="0" w:firstLine="420" w:firstLineChars="200"/>
        <w:textAlignment w:val="center"/>
        <w:rPr>
          <w:szCs w:val="21"/>
        </w:rPr>
      </w:pPr>
      <w:r>
        <w:rPr>
          <w:rFonts w:hint="eastAsia"/>
          <w:szCs w:val="21"/>
          <w:lang w:val="en-US" w:eastAsia="zh-CN"/>
        </w:rPr>
        <w:t xml:space="preserve">                                                       </w:t>
      </w:r>
      <w:r>
        <w:rPr>
          <w:szCs w:val="21"/>
        </w:rPr>
        <w:t>标准煤）/粘胶短纤维产量（吨）</w:t>
      </w:r>
    </w:p>
    <w:p w14:paraId="76706C91">
      <w:pPr>
        <w:spacing w:line="360" w:lineRule="exact"/>
        <w:ind w:firstLine="420" w:firstLineChars="200"/>
        <w:textAlignment w:val="center"/>
        <w:rPr>
          <w:rFonts w:eastAsia="黑体"/>
          <w:szCs w:val="21"/>
        </w:rPr>
      </w:pPr>
      <w:r>
        <w:rPr>
          <w:rFonts w:eastAsia="黑体"/>
          <w:bCs/>
          <w:szCs w:val="21"/>
        </w:rPr>
        <w:t xml:space="preserve">吨粘胶纤维用电量（短纤） </w:t>
      </w:r>
    </w:p>
    <w:p w14:paraId="605D8F73">
      <w:pPr>
        <w:tabs>
          <w:tab w:val="left" w:pos="12980"/>
        </w:tabs>
        <w:spacing w:line="360" w:lineRule="exact"/>
        <w:ind w:left="0" w:leftChars="0" w:firstLine="420" w:firstLineChars="200"/>
        <w:jc w:val="left"/>
        <w:textAlignment w:val="center"/>
        <w:rPr>
          <w:szCs w:val="21"/>
        </w:rPr>
      </w:pPr>
      <w:r>
        <w:rPr>
          <w:szCs w:val="21"/>
        </w:rPr>
        <w:t>计算公式：吨粘胶纤维用电量</w:t>
      </w:r>
      <w:r>
        <w:rPr>
          <w:bCs/>
          <w:szCs w:val="21"/>
        </w:rPr>
        <w:t>（短纤）</w:t>
      </w:r>
      <w:r>
        <w:rPr>
          <w:szCs w:val="21"/>
        </w:rPr>
        <w:t>（千瓦时/吨）＝10000×企业生产用电量（万千瓦时）/粘胶</w:t>
      </w:r>
    </w:p>
    <w:p w14:paraId="5A9CCE62">
      <w:pPr>
        <w:tabs>
          <w:tab w:val="left" w:pos="12980"/>
        </w:tabs>
        <w:spacing w:line="360" w:lineRule="exact"/>
        <w:ind w:left="0" w:leftChars="0" w:firstLine="420" w:firstLineChars="200"/>
        <w:jc w:val="left"/>
        <w:textAlignment w:val="center"/>
        <w:rPr>
          <w:bCs/>
          <w:szCs w:val="21"/>
        </w:rPr>
      </w:pPr>
      <w:r>
        <w:rPr>
          <w:rFonts w:hint="eastAsia"/>
          <w:szCs w:val="21"/>
          <w:lang w:val="en-US" w:eastAsia="zh-CN"/>
        </w:rPr>
        <w:t xml:space="preserve">                                                 </w:t>
      </w:r>
      <w:r>
        <w:rPr>
          <w:szCs w:val="21"/>
        </w:rPr>
        <w:t>短纤维产量（吨）</w:t>
      </w:r>
    </w:p>
    <w:p w14:paraId="7AD92DE5">
      <w:pPr>
        <w:tabs>
          <w:tab w:val="left" w:pos="12980"/>
        </w:tabs>
        <w:spacing w:line="360" w:lineRule="exact"/>
        <w:ind w:firstLine="420" w:firstLineChars="200"/>
        <w:jc w:val="left"/>
        <w:textAlignment w:val="center"/>
        <w:rPr>
          <w:szCs w:val="21"/>
        </w:rPr>
      </w:pPr>
      <w:r>
        <w:rPr>
          <w:bCs/>
          <w:szCs w:val="21"/>
        </w:rPr>
        <w:t>分子项：</w:t>
      </w:r>
      <w:r>
        <w:rPr>
          <w:szCs w:val="21"/>
        </w:rPr>
        <w:t>企业生产综合能源消费量是指企业生产消费的各种能源，主要包括煤、油、电、燃气和外购热力。生产消费包括与生产有关的直接或间接的消费量，即直接用于产品生产过程的消费量和辅助生产设施的消费量。</w:t>
      </w:r>
    </w:p>
    <w:p w14:paraId="04F7A12E">
      <w:pPr>
        <w:tabs>
          <w:tab w:val="left" w:pos="12980"/>
        </w:tabs>
        <w:spacing w:line="360" w:lineRule="exact"/>
        <w:ind w:firstLine="420" w:firstLineChars="200"/>
        <w:jc w:val="left"/>
        <w:textAlignment w:val="center"/>
        <w:rPr>
          <w:szCs w:val="21"/>
        </w:rPr>
      </w:pPr>
      <w:r>
        <w:rPr>
          <w:szCs w:val="21"/>
        </w:rPr>
        <w:t>企业生产综合能源消费量＝各种能源用于生产消费折标准煤之和－二次能源产出量折标准煤之和－回收利用的余热余能折标准煤。</w:t>
      </w:r>
    </w:p>
    <w:p w14:paraId="56BAFD44">
      <w:pPr>
        <w:spacing w:line="360" w:lineRule="exact"/>
        <w:ind w:firstLine="420" w:firstLineChars="200"/>
        <w:jc w:val="left"/>
        <w:textAlignment w:val="center"/>
        <w:rPr>
          <w:szCs w:val="21"/>
        </w:rPr>
      </w:pPr>
      <w:r>
        <w:rPr>
          <w:szCs w:val="21"/>
        </w:rPr>
        <w:t>企业生产用电量是指工业企业在统计报告期内为进行工业生产活动所使用的电量，包括生产系统、辅助生产系统、附属生产系统的用电量。</w:t>
      </w:r>
    </w:p>
    <w:p w14:paraId="051F2825">
      <w:pPr>
        <w:widowControl/>
        <w:spacing w:line="360" w:lineRule="exact"/>
        <w:ind w:firstLine="420" w:firstLineChars="200"/>
        <w:jc w:val="left"/>
        <w:textAlignment w:val="center"/>
        <w:rPr>
          <w:szCs w:val="21"/>
        </w:rPr>
      </w:pPr>
      <w:r>
        <w:rPr>
          <w:szCs w:val="21"/>
        </w:rPr>
        <w:t>企业生产综合能耗和用电量包括生产合格品、废次品的全部消耗。</w:t>
      </w:r>
    </w:p>
    <w:p w14:paraId="19911230">
      <w:pPr>
        <w:tabs>
          <w:tab w:val="left" w:pos="12980"/>
        </w:tabs>
        <w:spacing w:line="360" w:lineRule="exact"/>
        <w:ind w:firstLine="420" w:firstLineChars="200"/>
        <w:jc w:val="left"/>
        <w:textAlignment w:val="center"/>
        <w:rPr>
          <w:szCs w:val="21"/>
        </w:rPr>
      </w:pPr>
      <w:r>
        <w:rPr>
          <w:bCs/>
          <w:szCs w:val="21"/>
        </w:rPr>
        <w:t>分母项：</w:t>
      </w:r>
      <w:r>
        <w:rPr>
          <w:szCs w:val="21"/>
        </w:rPr>
        <w:t>粘胶短纤维产量指合格的产品产量。计算</w:t>
      </w:r>
      <w:r>
        <w:rPr>
          <w:rFonts w:hint="eastAsia"/>
          <w:szCs w:val="21"/>
          <w:lang w:eastAsia="zh-CN"/>
        </w:rPr>
        <w:t>“</w:t>
      </w:r>
      <w:r>
        <w:rPr>
          <w:szCs w:val="21"/>
        </w:rPr>
        <w:t>产品单耗</w:t>
      </w:r>
      <w:r>
        <w:rPr>
          <w:rFonts w:hint="eastAsia"/>
          <w:szCs w:val="21"/>
          <w:lang w:eastAsia="zh-CN"/>
        </w:rPr>
        <w:t>”</w:t>
      </w:r>
      <w:r>
        <w:rPr>
          <w:szCs w:val="21"/>
        </w:rPr>
        <w:t>的产品，只限于正式投产的产品。试制阶段的新产品、科研产品以及正式投产以前试验生产的产品，不计算单耗指标。</w:t>
      </w:r>
    </w:p>
    <w:p w14:paraId="71923D51">
      <w:pPr>
        <w:spacing w:line="360" w:lineRule="exact"/>
        <w:ind w:firstLine="420" w:firstLineChars="200"/>
        <w:textAlignment w:val="center"/>
        <w:rPr>
          <w:szCs w:val="21"/>
        </w:rPr>
      </w:pPr>
      <w:r>
        <w:rPr>
          <w:szCs w:val="21"/>
        </w:rPr>
        <w:t>综合能耗类似的指标有：吨粘胶纤维综合能耗（长丝）、吨锦纶综合能耗、吨涤纶综合能耗（短纤）、吨涤纶综合能耗（长丝）、吨腈纶综合能耗、吨维纶综合能耗、吨纱（线）混合数综合能耗、万米布混合数综合能耗、万米印染布综合能耗、万米丝织品综合能耗。</w:t>
      </w:r>
    </w:p>
    <w:p w14:paraId="66636B45">
      <w:pPr>
        <w:spacing w:line="360" w:lineRule="exact"/>
        <w:ind w:firstLine="420" w:firstLineChars="200"/>
        <w:textAlignment w:val="center"/>
        <w:rPr>
          <w:vanish/>
          <w:szCs w:val="21"/>
        </w:rPr>
      </w:pPr>
      <w:r>
        <w:rPr>
          <w:szCs w:val="21"/>
        </w:rPr>
        <w:t>电耗类似的指标有：吨粘胶纤维用电量（长丝）、吨锦纶用电量、吨涤纶用电量（短纤）、吨涤纶用电量（长丝）、吨腈纶用电量、吨维纶用电量、吨纱（线）混合数生产用电量、万米布混合数生产用电量、万米丝织品用电量。</w:t>
      </w:r>
    </w:p>
    <w:p w14:paraId="787E5C9F">
      <w:pPr>
        <w:widowControl/>
        <w:spacing w:line="360" w:lineRule="exact"/>
        <w:ind w:firstLine="420" w:firstLineChars="200"/>
        <w:jc w:val="left"/>
        <w:textAlignment w:val="center"/>
        <w:rPr>
          <w:szCs w:val="21"/>
        </w:rPr>
      </w:pPr>
      <w:r>
        <w:rPr>
          <w:szCs w:val="21"/>
        </w:rPr>
        <w:t>其中</w:t>
      </w:r>
      <w:r>
        <w:rPr>
          <w:rFonts w:hint="eastAsia"/>
          <w:szCs w:val="21"/>
          <w:lang w:eastAsia="zh-CN"/>
        </w:rPr>
        <w:t>“</w:t>
      </w:r>
      <w:r>
        <w:rPr>
          <w:szCs w:val="21"/>
        </w:rPr>
        <w:t>纱</w:t>
      </w:r>
      <w:r>
        <w:rPr>
          <w:rFonts w:hint="eastAsia"/>
          <w:szCs w:val="21"/>
          <w:lang w:eastAsia="zh-CN"/>
        </w:rPr>
        <w:t>”</w:t>
      </w:r>
      <w:r>
        <w:rPr>
          <w:szCs w:val="21"/>
        </w:rPr>
        <w:t>指的是用天然纤维（棉为主）和化学纤维经棉纺生产设备和工艺生产的纱。</w:t>
      </w:r>
      <w:r>
        <w:rPr>
          <w:rFonts w:hint="eastAsia"/>
          <w:szCs w:val="21"/>
          <w:lang w:eastAsia="zh-CN"/>
        </w:rPr>
        <w:t>“</w:t>
      </w:r>
      <w:r>
        <w:rPr>
          <w:szCs w:val="21"/>
        </w:rPr>
        <w:t>线</w:t>
      </w:r>
      <w:r>
        <w:rPr>
          <w:rFonts w:hint="eastAsia"/>
          <w:szCs w:val="21"/>
          <w:lang w:eastAsia="zh-CN"/>
        </w:rPr>
        <w:t>”</w:t>
      </w:r>
      <w:r>
        <w:rPr>
          <w:szCs w:val="21"/>
        </w:rPr>
        <w:t>指使用捻线机对纱（棉型）加捻合股后的产品。包括棉纺厂、独立捻线厂、单织厂、针织厂等生产的线。</w:t>
      </w:r>
      <w:r>
        <w:rPr>
          <w:rFonts w:hint="eastAsia"/>
          <w:szCs w:val="21"/>
          <w:lang w:eastAsia="zh-CN"/>
        </w:rPr>
        <w:t>“</w:t>
      </w:r>
      <w:r>
        <w:rPr>
          <w:szCs w:val="21"/>
        </w:rPr>
        <w:t>布</w:t>
      </w:r>
      <w:r>
        <w:rPr>
          <w:rFonts w:hint="eastAsia"/>
          <w:szCs w:val="21"/>
          <w:lang w:eastAsia="zh-CN"/>
        </w:rPr>
        <w:t>”</w:t>
      </w:r>
      <w:r>
        <w:rPr>
          <w:szCs w:val="21"/>
        </w:rPr>
        <w:t>指用棉型纱、线（棉为主）在织机上织造的各种坯布、色织布。</w:t>
      </w:r>
      <w:r>
        <w:rPr>
          <w:rFonts w:hint="eastAsia"/>
          <w:szCs w:val="21"/>
          <w:lang w:eastAsia="zh-CN"/>
        </w:rPr>
        <w:t>“</w:t>
      </w:r>
      <w:r>
        <w:rPr>
          <w:szCs w:val="21"/>
        </w:rPr>
        <w:t>印染布</w:t>
      </w:r>
      <w:r>
        <w:rPr>
          <w:rFonts w:hint="eastAsia"/>
          <w:szCs w:val="21"/>
          <w:lang w:eastAsia="zh-CN"/>
        </w:rPr>
        <w:t>”</w:t>
      </w:r>
      <w:r>
        <w:rPr>
          <w:szCs w:val="21"/>
        </w:rPr>
        <w:t>指棉纺织厂生产的棉布、混纺布、纯化纤布经棉印染设备加工整理的漂白布、染色布、印花布的统称。</w:t>
      </w:r>
      <w:r>
        <w:rPr>
          <w:rFonts w:hint="eastAsia"/>
          <w:szCs w:val="21"/>
          <w:lang w:eastAsia="zh-CN"/>
        </w:rPr>
        <w:t>“</w:t>
      </w:r>
      <w:r>
        <w:rPr>
          <w:szCs w:val="21"/>
        </w:rPr>
        <w:t>丝织品</w:t>
      </w:r>
      <w:r>
        <w:rPr>
          <w:rFonts w:hint="eastAsia"/>
          <w:szCs w:val="21"/>
          <w:lang w:eastAsia="zh-CN"/>
        </w:rPr>
        <w:t>”</w:t>
      </w:r>
      <w:r>
        <w:rPr>
          <w:szCs w:val="21"/>
        </w:rPr>
        <w:t>指丝织厂以蚕丝或化纤长丝为原料经丝织机织成的丝织物，分为：桑蚕丝及其交织品、柞蚕丝及其交织品、绢紬丝及其交织品、人造丝及其交织品、合纤丝及其交织品。</w:t>
      </w:r>
    </w:p>
    <w:p w14:paraId="12C9DE43">
      <w:pPr>
        <w:spacing w:line="360" w:lineRule="exact"/>
        <w:ind w:firstLine="420" w:firstLineChars="200"/>
        <w:textAlignment w:val="center"/>
        <w:rPr>
          <w:rFonts w:eastAsia="黑体"/>
          <w:bCs/>
          <w:szCs w:val="21"/>
        </w:rPr>
      </w:pPr>
    </w:p>
    <w:p w14:paraId="3B054219">
      <w:pPr>
        <w:spacing w:line="360" w:lineRule="exact"/>
        <w:ind w:firstLine="420" w:firstLineChars="200"/>
        <w:textAlignment w:val="center"/>
        <w:rPr>
          <w:rFonts w:eastAsia="黑体"/>
          <w:bCs/>
          <w:szCs w:val="21"/>
        </w:rPr>
      </w:pPr>
      <w:r>
        <w:rPr>
          <w:rFonts w:eastAsia="黑体"/>
          <w:bCs/>
          <w:szCs w:val="21"/>
        </w:rPr>
        <w:t>造纸及纸制品（22）</w:t>
      </w:r>
    </w:p>
    <w:p w14:paraId="286633A5">
      <w:pPr>
        <w:spacing w:line="360" w:lineRule="exact"/>
        <w:ind w:firstLine="420" w:firstLineChars="200"/>
        <w:textAlignment w:val="center"/>
        <w:rPr>
          <w:rFonts w:eastAsia="黑体"/>
          <w:bCs/>
          <w:szCs w:val="21"/>
        </w:rPr>
      </w:pPr>
      <w:r>
        <w:rPr>
          <w:rFonts w:eastAsia="黑体"/>
          <w:bCs/>
          <w:szCs w:val="21"/>
        </w:rPr>
        <w:t>机制纸及纸板综合能耗</w:t>
      </w:r>
    </w:p>
    <w:p w14:paraId="2AF24160">
      <w:pPr>
        <w:spacing w:line="360" w:lineRule="exact"/>
        <w:ind w:left="0" w:leftChars="0" w:firstLine="420" w:firstLineChars="200"/>
        <w:textAlignment w:val="center"/>
        <w:rPr>
          <w:bCs/>
          <w:spacing w:val="-8"/>
          <w:szCs w:val="21"/>
        </w:rPr>
      </w:pPr>
      <w:r>
        <w:rPr>
          <w:bCs/>
          <w:szCs w:val="21"/>
        </w:rPr>
        <w:t>计算公式：机制纸及纸板综合能耗（千克标准煤/吨）＝</w:t>
      </w:r>
      <w:r>
        <w:rPr>
          <w:bCs/>
          <w:spacing w:val="-8"/>
          <w:szCs w:val="21"/>
        </w:rPr>
        <w:t>1000×企业生产综合能源消费量（吨标准煤）/</w:t>
      </w:r>
    </w:p>
    <w:p w14:paraId="11514141">
      <w:pPr>
        <w:spacing w:line="360" w:lineRule="exact"/>
        <w:ind w:left="0" w:leftChars="0" w:firstLine="388" w:firstLineChars="200"/>
        <w:textAlignment w:val="center"/>
        <w:rPr>
          <w:bCs/>
          <w:szCs w:val="21"/>
        </w:rPr>
      </w:pPr>
      <w:r>
        <w:rPr>
          <w:rFonts w:hint="eastAsia"/>
          <w:bCs/>
          <w:spacing w:val="-8"/>
          <w:szCs w:val="21"/>
          <w:lang w:val="en-US" w:eastAsia="zh-CN"/>
        </w:rPr>
        <w:t xml:space="preserve">                                                          </w:t>
      </w:r>
      <w:r>
        <w:rPr>
          <w:bCs/>
          <w:spacing w:val="-8"/>
          <w:szCs w:val="21"/>
        </w:rPr>
        <w:t>机制纸及纸板（外购原纸加工除外）产量（吨）</w:t>
      </w:r>
    </w:p>
    <w:p w14:paraId="7C561D30">
      <w:pPr>
        <w:spacing w:line="360" w:lineRule="exact"/>
        <w:ind w:firstLine="420" w:firstLineChars="200"/>
        <w:textAlignment w:val="center"/>
        <w:rPr>
          <w:bCs/>
          <w:szCs w:val="21"/>
        </w:rPr>
      </w:pPr>
      <w:r>
        <w:rPr>
          <w:bCs/>
          <w:szCs w:val="21"/>
        </w:rPr>
        <w:t>分子项：企业生产综合能耗。包括直接生产系统、辅助生产系统和附属生产系统的能源消耗。直接生产系统包括备料、制浆、造纸系统等。辅助生产系统包括动力、供电、机修、供水、仪表及厂内原料厂等。附属生产系统包括生产指挥系统（厂部）和厂区内为生产服务的部门和单位如车间浴室、开水站、蒸饭站、保健站、哺乳室等。</w:t>
      </w:r>
    </w:p>
    <w:p w14:paraId="4B61B3BA">
      <w:pPr>
        <w:spacing w:line="360" w:lineRule="exact"/>
        <w:ind w:firstLine="420" w:firstLineChars="200"/>
        <w:textAlignment w:val="center"/>
        <w:rPr>
          <w:bCs/>
          <w:szCs w:val="21"/>
        </w:rPr>
      </w:pPr>
      <w:r>
        <w:rPr>
          <w:bCs/>
          <w:szCs w:val="21"/>
        </w:rPr>
        <w:t>企业生产综合能源消费量＝各种用于生产消费的能源（标准煤）之和－二次能源产出量（标准煤）</w:t>
      </w:r>
    </w:p>
    <w:p w14:paraId="0F96BECC">
      <w:pPr>
        <w:spacing w:line="360" w:lineRule="exact"/>
        <w:ind w:firstLine="2940" w:firstLineChars="1400"/>
        <w:textAlignment w:val="center"/>
        <w:rPr>
          <w:bCs/>
          <w:szCs w:val="21"/>
        </w:rPr>
      </w:pPr>
      <w:r>
        <w:rPr>
          <w:bCs/>
          <w:szCs w:val="21"/>
        </w:rPr>
        <w:t>之和－回收利用的余能（标准煤）之和</w:t>
      </w:r>
    </w:p>
    <w:p w14:paraId="1378DFED">
      <w:pPr>
        <w:spacing w:line="360" w:lineRule="exact"/>
        <w:ind w:firstLine="420" w:firstLineChars="200"/>
        <w:textAlignment w:val="center"/>
        <w:rPr>
          <w:bCs/>
          <w:szCs w:val="21"/>
        </w:rPr>
      </w:pPr>
      <w:r>
        <w:rPr>
          <w:bCs/>
          <w:szCs w:val="21"/>
        </w:rPr>
        <w:t>分母项：机制纸及纸板（外购原纸加工除外）产量。指合格品产量，包括未涂布印刷书写用纸、涂布类印刷用纸、卫生用纸原纸、包装用纸及纸板、感应纸及纸板（含光敏、热敏、压敏及其他感应纸及纸板的原纸和原纸板）、纤维类过滤纸及纸板</w:t>
      </w:r>
      <w:del w:id="516" w:author="政府值班室" w:date="2026-04-30T16:37:10Z">
        <w:r>
          <w:rPr>
            <w:bCs/>
            <w:szCs w:val="21"/>
          </w:rPr>
          <w:delText>、以及</w:delText>
        </w:r>
      </w:del>
      <w:ins w:id="517" w:author="政府值班室" w:date="2026-04-30T16:37:10Z">
        <w:r>
          <w:rPr>
            <w:rFonts w:hint="eastAsia"/>
            <w:bCs/>
            <w:szCs w:val="21"/>
            <w:lang w:eastAsia="zh-CN"/>
          </w:rPr>
          <w:t>以及</w:t>
        </w:r>
      </w:ins>
      <w:r>
        <w:rPr>
          <w:bCs/>
          <w:szCs w:val="21"/>
        </w:rPr>
        <w:t>其他机制纸及纸板。不包括加工纸（指对原纸或纸板等成品纸进行再次加工处理而成的纸），手工制纸及纸板，纸制品（指用纸或纸板为原料进一步加工而成的纸制品）。</w:t>
      </w:r>
    </w:p>
    <w:p w14:paraId="487D1DAF">
      <w:pPr>
        <w:spacing w:line="360" w:lineRule="exact"/>
        <w:ind w:firstLine="420" w:firstLineChars="200"/>
        <w:textAlignment w:val="center"/>
        <w:rPr>
          <w:rFonts w:eastAsia="黑体"/>
          <w:bCs/>
          <w:szCs w:val="21"/>
        </w:rPr>
      </w:pPr>
      <w:r>
        <w:rPr>
          <w:rFonts w:eastAsia="黑体"/>
          <w:bCs/>
          <w:szCs w:val="21"/>
        </w:rPr>
        <w:t>机制纸及纸板耗电</w:t>
      </w:r>
    </w:p>
    <w:p w14:paraId="49597490">
      <w:pPr>
        <w:pStyle w:val="10"/>
        <w:spacing w:line="360" w:lineRule="exact"/>
        <w:ind w:left="4305" w:leftChars="0" w:hanging="4305" w:hangingChars="2050"/>
        <w:textAlignment w:val="center"/>
        <w:rPr>
          <w:rFonts w:ascii="Times New Roman" w:hAnsi="Times New Roman" w:cs="Times New Roman"/>
          <w:bCs/>
        </w:rPr>
      </w:pPr>
      <w:r>
        <w:rPr>
          <w:rFonts w:hint="eastAsia" w:ascii="Times New Roman" w:hAnsi="Times New Roman" w:cs="Times New Roman"/>
          <w:bCs/>
          <w:lang w:val="en-US" w:eastAsia="zh-CN"/>
        </w:rPr>
        <w:t xml:space="preserve">    </w:t>
      </w:r>
      <w:r>
        <w:rPr>
          <w:rFonts w:ascii="Times New Roman" w:hAnsi="Times New Roman" w:cs="Times New Roman"/>
          <w:bCs/>
        </w:rPr>
        <w:t>计算公式：机制纸及纸板耗电（千瓦时/吨）＝10000×企业生产用电量（万千瓦时）/机制纸及纸板</w:t>
      </w:r>
    </w:p>
    <w:p w14:paraId="0DD18345">
      <w:pPr>
        <w:pStyle w:val="10"/>
        <w:spacing w:line="360" w:lineRule="exact"/>
        <w:ind w:left="4305" w:leftChars="0" w:hanging="4305" w:hangingChars="2050"/>
        <w:textAlignment w:val="center"/>
        <w:rPr>
          <w:rFonts w:ascii="Times New Roman" w:hAnsi="Times New Roman" w:cs="Times New Roman"/>
          <w:bCs/>
        </w:rPr>
      </w:pPr>
      <w:r>
        <w:rPr>
          <w:rFonts w:hint="eastAsia" w:ascii="Times New Roman" w:hAnsi="Times New Roman" w:cs="Times New Roman"/>
          <w:bCs/>
          <w:lang w:val="en-US" w:eastAsia="zh-CN"/>
        </w:rPr>
        <w:t xml:space="preserve">                                            </w:t>
      </w:r>
      <w:r>
        <w:rPr>
          <w:rFonts w:ascii="Times New Roman" w:hAnsi="Times New Roman" w:cs="Times New Roman"/>
          <w:bCs/>
        </w:rPr>
        <w:t>（外购原纸加工除外）产量（吨）</w:t>
      </w:r>
    </w:p>
    <w:p w14:paraId="7A5DFF1C">
      <w:pPr>
        <w:pStyle w:val="10"/>
        <w:spacing w:line="360" w:lineRule="exact"/>
        <w:ind w:firstLine="420" w:firstLineChars="200"/>
        <w:textAlignment w:val="center"/>
        <w:rPr>
          <w:rFonts w:ascii="Times New Roman" w:hAnsi="Times New Roman" w:cs="Times New Roman"/>
          <w:bCs/>
        </w:rPr>
      </w:pPr>
      <w:r>
        <w:rPr>
          <w:rFonts w:ascii="Times New Roman" w:hAnsi="Times New Roman" w:cs="Times New Roman"/>
          <w:bCs/>
        </w:rPr>
        <w:t>分子项：企业生产用电量。计算和解释同上。</w:t>
      </w:r>
    </w:p>
    <w:p w14:paraId="7C4B0A23">
      <w:pPr>
        <w:pStyle w:val="10"/>
        <w:spacing w:line="360" w:lineRule="exact"/>
        <w:ind w:firstLine="424" w:firstLineChars="202"/>
        <w:textAlignment w:val="center"/>
        <w:rPr>
          <w:rFonts w:ascii="Times New Roman" w:hAnsi="Times New Roman" w:cs="Times New Roman"/>
          <w:bCs/>
        </w:rPr>
      </w:pPr>
      <w:r>
        <w:rPr>
          <w:rFonts w:ascii="Times New Roman" w:hAnsi="Times New Roman" w:cs="Times New Roman"/>
          <w:bCs/>
        </w:rPr>
        <w:t>分母项：机制纸及纸板产量（外购原纸加工除外）。计算和解释同上。</w:t>
      </w:r>
    </w:p>
    <w:p w14:paraId="53E4683C">
      <w:pPr>
        <w:pStyle w:val="10"/>
        <w:spacing w:line="360" w:lineRule="exact"/>
        <w:ind w:firstLine="420" w:firstLineChars="200"/>
        <w:textAlignment w:val="center"/>
        <w:rPr>
          <w:rFonts w:ascii="Times New Roman" w:hAnsi="Times New Roman" w:eastAsia="黑体" w:cs="Times New Roman"/>
          <w:bCs/>
        </w:rPr>
      </w:pPr>
    </w:p>
    <w:p w14:paraId="4A2C501C">
      <w:pPr>
        <w:pStyle w:val="10"/>
        <w:spacing w:line="360" w:lineRule="exact"/>
        <w:ind w:firstLine="0" w:firstLineChars="0"/>
        <w:textAlignment w:val="center"/>
        <w:rPr>
          <w:rFonts w:ascii="Times New Roman" w:hAnsi="Times New Roman" w:eastAsia="黑体" w:cs="Times New Roman"/>
          <w:bCs/>
        </w:rPr>
      </w:pPr>
    </w:p>
    <w:p w14:paraId="262612C8">
      <w:pPr>
        <w:pStyle w:val="10"/>
        <w:spacing w:line="360" w:lineRule="exact"/>
        <w:ind w:firstLine="420" w:firstLineChars="200"/>
        <w:textAlignment w:val="center"/>
        <w:rPr>
          <w:rFonts w:ascii="Times New Roman" w:hAnsi="Times New Roman" w:eastAsia="黑体" w:cs="Times New Roman"/>
          <w:bCs/>
        </w:rPr>
      </w:pPr>
      <w:r>
        <w:rPr>
          <w:rFonts w:ascii="Times New Roman" w:hAnsi="Times New Roman" w:eastAsia="黑体" w:cs="Times New Roman"/>
          <w:bCs/>
        </w:rPr>
        <w:t>焦炭（25）</w:t>
      </w:r>
    </w:p>
    <w:p w14:paraId="26ED9046">
      <w:pPr>
        <w:spacing w:line="360" w:lineRule="exact"/>
        <w:ind w:firstLine="420" w:firstLineChars="200"/>
        <w:textAlignment w:val="center"/>
        <w:rPr>
          <w:szCs w:val="21"/>
        </w:rPr>
      </w:pPr>
      <w:r>
        <w:rPr>
          <w:rFonts w:eastAsia="黑体"/>
          <w:bCs/>
          <w:szCs w:val="21"/>
        </w:rPr>
        <w:t xml:space="preserve">炼焦工序单位能耗 </w:t>
      </w:r>
    </w:p>
    <w:p w14:paraId="041B00DA">
      <w:pPr>
        <w:pStyle w:val="10"/>
        <w:spacing w:line="360" w:lineRule="exact"/>
        <w:ind w:left="4725" w:leftChars="0" w:hanging="4725" w:hangingChars="2250"/>
        <w:textAlignment w:val="center"/>
        <w:rPr>
          <w:rFonts w:ascii="Times New Roman" w:hAnsi="Times New Roman" w:cs="Times New Roman"/>
          <w:bCs/>
        </w:rPr>
      </w:pPr>
      <w:r>
        <w:rPr>
          <w:rFonts w:hint="eastAsia" w:ascii="Times New Roman" w:hAnsi="Times New Roman" w:cs="Times New Roman"/>
          <w:bCs/>
          <w:lang w:val="en-US" w:eastAsia="zh-CN"/>
        </w:rPr>
        <w:t xml:space="preserve">    </w:t>
      </w:r>
      <w:r>
        <w:rPr>
          <w:rFonts w:ascii="Times New Roman" w:hAnsi="Times New Roman" w:cs="Times New Roman"/>
          <w:bCs/>
        </w:rPr>
        <w:t>计算公式：炼焦工序单位能耗（千克标准煤/吨）＝1000×炼焦工序净耗能量（吨标准煤）/全部焦炭</w:t>
      </w:r>
    </w:p>
    <w:p w14:paraId="0F545766">
      <w:pPr>
        <w:pStyle w:val="10"/>
        <w:spacing w:line="360" w:lineRule="exact"/>
        <w:ind w:left="4725" w:leftChars="0" w:hanging="4725" w:hangingChars="2250"/>
        <w:textAlignment w:val="center"/>
        <w:rPr>
          <w:rFonts w:ascii="Times New Roman" w:hAnsi="Times New Roman" w:cs="Times New Roman"/>
          <w:bCs/>
        </w:rPr>
      </w:pPr>
      <w:r>
        <w:rPr>
          <w:rFonts w:hint="eastAsia" w:ascii="Times New Roman" w:hAnsi="Times New Roman" w:cs="Times New Roman"/>
          <w:bCs/>
          <w:lang w:val="en-US" w:eastAsia="zh-CN"/>
        </w:rPr>
        <w:t xml:space="preserve">                                                </w:t>
      </w:r>
      <w:r>
        <w:rPr>
          <w:rFonts w:ascii="Times New Roman" w:hAnsi="Times New Roman" w:cs="Times New Roman"/>
          <w:bCs/>
        </w:rPr>
        <w:t>产量（干基）（吨）</w:t>
      </w:r>
    </w:p>
    <w:p w14:paraId="7B63F90E">
      <w:pPr>
        <w:pStyle w:val="10"/>
        <w:spacing w:line="360" w:lineRule="exact"/>
        <w:ind w:firstLine="420" w:firstLineChars="200"/>
        <w:textAlignment w:val="center"/>
        <w:rPr>
          <w:rFonts w:ascii="Times New Roman" w:hAnsi="Times New Roman" w:cs="Times New Roman"/>
          <w:bCs/>
          <w:spacing w:val="4"/>
        </w:rPr>
      </w:pPr>
      <w:r>
        <w:rPr>
          <w:rFonts w:ascii="Times New Roman" w:hAnsi="Times New Roman" w:cs="Times New Roman"/>
          <w:bCs/>
        </w:rPr>
        <w:t>分子项：</w:t>
      </w:r>
      <w:r>
        <w:rPr>
          <w:rFonts w:ascii="Times New Roman" w:hAnsi="Times New Roman" w:cs="Times New Roman"/>
          <w:bCs/>
          <w:spacing w:val="4"/>
        </w:rPr>
        <w:t>炼焦工序净耗能量。指炼焦工艺生产系统的备煤车间（不包括洗煤）、厂内部原料煤的损耗、炼焦车间、回收车间（冷凝鼓风、氨回收、粗苯、脱硫脱氰、黄血盐）、辅助生产系统的机修、化验、计量、环保等，以及直接为生产服务的附属生产系统的食堂、浴池、保健站、休息室、生产管理和调度指挥系统等所消耗的各种能源合计，扣除焦化产品、回收利用余热余能产出的电力和外供热力。</w:t>
      </w:r>
    </w:p>
    <w:p w14:paraId="338C9D87">
      <w:pPr>
        <w:pStyle w:val="10"/>
        <w:spacing w:line="360" w:lineRule="exact"/>
        <w:ind w:firstLine="420" w:firstLineChars="200"/>
        <w:textAlignment w:val="center"/>
        <w:rPr>
          <w:rFonts w:ascii="Times New Roman" w:hAnsi="Times New Roman" w:cs="Times New Roman"/>
          <w:bCs/>
        </w:rPr>
      </w:pPr>
      <w:r>
        <w:rPr>
          <w:rFonts w:ascii="Times New Roman" w:hAnsi="Times New Roman" w:cs="Times New Roman"/>
          <w:bCs/>
        </w:rPr>
        <w:t>炼焦工序净耗能量（标准煤）＝原料煤（标准煤）＋燃料动力（标准煤）－焦化产品（标准煤）－</w:t>
      </w:r>
    </w:p>
    <w:p w14:paraId="743690B2">
      <w:pPr>
        <w:pStyle w:val="10"/>
        <w:spacing w:line="360" w:lineRule="exact"/>
        <w:ind w:firstLine="3360" w:firstLineChars="1600"/>
        <w:textAlignment w:val="center"/>
        <w:rPr>
          <w:rFonts w:ascii="Times New Roman" w:hAnsi="Times New Roman" w:cs="Times New Roman"/>
          <w:bCs/>
        </w:rPr>
      </w:pPr>
      <w:r>
        <w:rPr>
          <w:rFonts w:ascii="Times New Roman" w:hAnsi="Times New Roman" w:cs="Times New Roman"/>
          <w:bCs/>
        </w:rPr>
        <w:t>利用炼焦余能余热的发电量（标准煤）－外供热力（标准煤）</w:t>
      </w:r>
    </w:p>
    <w:p w14:paraId="61D17A85">
      <w:pPr>
        <w:pStyle w:val="10"/>
        <w:spacing w:line="360" w:lineRule="exact"/>
        <w:ind w:firstLine="420" w:firstLineChars="200"/>
        <w:textAlignment w:val="center"/>
        <w:rPr>
          <w:rFonts w:ascii="Times New Roman" w:hAnsi="Times New Roman" w:cs="Times New Roman"/>
          <w:bCs/>
        </w:rPr>
      </w:pPr>
      <w:r>
        <w:rPr>
          <w:rFonts w:ascii="Times New Roman" w:hAnsi="Times New Roman" w:cs="Times New Roman"/>
          <w:bCs/>
        </w:rPr>
        <w:t>原料煤指装入焦炉的干洗精煤量；燃料动力指各类燃料（如加热用的煤、高炉煤气、发生炉煤气、焦炉煤气等）、电、外购蒸汽等；焦化产品指焦炭、回收的焦炉煤气、煤焦油、粗苯、其他焦化产品等。</w:t>
      </w:r>
    </w:p>
    <w:p w14:paraId="58140D4D">
      <w:pPr>
        <w:pStyle w:val="10"/>
        <w:spacing w:line="360" w:lineRule="exact"/>
        <w:ind w:firstLine="420" w:firstLineChars="200"/>
        <w:textAlignment w:val="center"/>
        <w:rPr>
          <w:rFonts w:ascii="Times New Roman" w:hAnsi="Times New Roman" w:cs="Times New Roman"/>
          <w:bCs/>
        </w:rPr>
      </w:pPr>
      <w:r>
        <w:rPr>
          <w:rFonts w:ascii="Times New Roman" w:hAnsi="Times New Roman" w:cs="Times New Roman"/>
          <w:bCs/>
        </w:rPr>
        <w:t>分母项：全部焦炭产量（干基）。</w:t>
      </w:r>
    </w:p>
    <w:p w14:paraId="180CAC08">
      <w:pPr>
        <w:spacing w:line="360" w:lineRule="exact"/>
        <w:ind w:firstLine="420" w:firstLineChars="200"/>
        <w:textAlignment w:val="center"/>
        <w:rPr>
          <w:rFonts w:eastAsia="黑体"/>
          <w:bCs/>
          <w:szCs w:val="21"/>
        </w:rPr>
      </w:pPr>
    </w:p>
    <w:p w14:paraId="39EDA787">
      <w:pPr>
        <w:spacing w:line="360" w:lineRule="exact"/>
        <w:ind w:firstLine="420" w:firstLineChars="200"/>
        <w:textAlignment w:val="center"/>
        <w:rPr>
          <w:rFonts w:eastAsia="黑体"/>
          <w:bCs/>
          <w:szCs w:val="21"/>
        </w:rPr>
      </w:pPr>
      <w:r>
        <w:rPr>
          <w:rFonts w:eastAsia="黑体"/>
          <w:bCs/>
          <w:szCs w:val="21"/>
        </w:rPr>
        <w:t>原油加工（25）</w:t>
      </w:r>
    </w:p>
    <w:p w14:paraId="46250192">
      <w:pPr>
        <w:spacing w:line="360" w:lineRule="exact"/>
        <w:ind w:firstLine="420" w:firstLineChars="200"/>
        <w:textAlignment w:val="center"/>
        <w:rPr>
          <w:bCs/>
          <w:szCs w:val="21"/>
          <w:highlight w:val="none"/>
        </w:rPr>
      </w:pPr>
      <w:r>
        <w:rPr>
          <w:rFonts w:eastAsia="黑体"/>
          <w:bCs/>
          <w:szCs w:val="21"/>
          <w:highlight w:val="none"/>
        </w:rPr>
        <w:t xml:space="preserve">原油加工单位综合能耗 </w:t>
      </w:r>
      <w:r>
        <w:rPr>
          <w:bCs/>
          <w:szCs w:val="21"/>
          <w:highlight w:val="none"/>
        </w:rPr>
        <w:t xml:space="preserve"> </w:t>
      </w:r>
    </w:p>
    <w:p w14:paraId="75E8841D">
      <w:pPr>
        <w:tabs>
          <w:tab w:val="left" w:pos="476"/>
        </w:tabs>
        <w:spacing w:line="360" w:lineRule="exact"/>
        <w:ind w:left="5277" w:leftChars="0" w:hanging="5277" w:hangingChars="2513"/>
        <w:textAlignment w:val="center"/>
        <w:rPr>
          <w:bCs/>
          <w:szCs w:val="21"/>
        </w:rPr>
      </w:pPr>
      <w:r>
        <w:rPr>
          <w:rFonts w:hint="eastAsia"/>
          <w:bCs/>
          <w:szCs w:val="21"/>
          <w:lang w:val="en-US" w:eastAsia="zh-CN"/>
        </w:rPr>
        <w:t xml:space="preserve">    </w:t>
      </w:r>
      <w:r>
        <w:rPr>
          <w:bCs/>
          <w:szCs w:val="21"/>
        </w:rPr>
        <w:t>计算公式：原油加工单位综合能耗（千克标准油</w:t>
      </w:r>
      <w:r>
        <w:rPr>
          <w:bCs/>
          <w:szCs w:val="21"/>
          <w:lang w:val="en"/>
        </w:rPr>
        <w:t>/</w:t>
      </w:r>
      <w:r>
        <w:rPr>
          <w:bCs/>
          <w:szCs w:val="21"/>
        </w:rPr>
        <w:t>吨）＝1000×炼油综合能耗量（吨标准油）/原油</w:t>
      </w:r>
    </w:p>
    <w:p w14:paraId="6762E7B6">
      <w:pPr>
        <w:tabs>
          <w:tab w:val="left" w:pos="476"/>
        </w:tabs>
        <w:spacing w:line="360" w:lineRule="exact"/>
        <w:ind w:left="5065" w:leftChars="0" w:hanging="5065" w:hangingChars="2412"/>
        <w:textAlignment w:val="center"/>
        <w:rPr>
          <w:bCs/>
          <w:szCs w:val="21"/>
        </w:rPr>
      </w:pPr>
      <w:r>
        <w:rPr>
          <w:rFonts w:hint="eastAsia"/>
          <w:bCs/>
          <w:szCs w:val="21"/>
          <w:lang w:val="en-US" w:eastAsia="zh-CN"/>
        </w:rPr>
        <w:t xml:space="preserve">                                                     </w:t>
      </w:r>
      <w:r>
        <w:rPr>
          <w:bCs/>
          <w:szCs w:val="21"/>
        </w:rPr>
        <w:t>及外购原料油加工量（吨）</w:t>
      </w:r>
    </w:p>
    <w:p w14:paraId="6C79C209">
      <w:pPr>
        <w:spacing w:line="360" w:lineRule="exact"/>
        <w:ind w:firstLine="420" w:firstLineChars="200"/>
        <w:textAlignment w:val="center"/>
        <w:rPr>
          <w:bCs/>
          <w:szCs w:val="21"/>
        </w:rPr>
      </w:pPr>
      <w:r>
        <w:rPr>
          <w:bCs/>
          <w:szCs w:val="21"/>
        </w:rPr>
        <w:t>分子项：炼油综合能耗量。主要指炼油加工能耗，包括炼油生产装置以及为之服务的辅助系统的全部耗能，不含聚丙烯的生产装置和库房的耗能。炼油生产装置包含：蒸馏、催化、焦化、制氢、加氢、精制、脱蜡、白土、气分、烷基化、脱硫、回收、降粘、汽提等工艺单元；炼油辅助系统包含炼油厂界区内的储运、污水处理、化验、研究、消防、生产管理等。</w:t>
      </w:r>
      <w:r>
        <w:rPr>
          <w:rFonts w:hint="eastAsia"/>
          <w:bCs/>
          <w:szCs w:val="21"/>
        </w:rPr>
        <w:t>1吨标准煤等于0.7吨标准油。</w:t>
      </w:r>
    </w:p>
    <w:p w14:paraId="3F1E57AA">
      <w:pPr>
        <w:spacing w:line="360" w:lineRule="exact"/>
        <w:ind w:firstLine="420" w:firstLineChars="200"/>
        <w:textAlignment w:val="center"/>
        <w:rPr>
          <w:bCs/>
          <w:szCs w:val="21"/>
        </w:rPr>
      </w:pPr>
      <w:r>
        <w:rPr>
          <w:bCs/>
          <w:szCs w:val="21"/>
        </w:rPr>
        <w:t>不包括用于厂内、外生活福利设施（如食堂、浴室、采暖和宿舍等）的能耗。</w:t>
      </w:r>
    </w:p>
    <w:p w14:paraId="2AC1CD60">
      <w:pPr>
        <w:spacing w:line="360" w:lineRule="exact"/>
        <w:ind w:firstLine="420" w:firstLineChars="200"/>
        <w:textAlignment w:val="center"/>
        <w:rPr>
          <w:bCs/>
          <w:szCs w:val="21"/>
        </w:rPr>
      </w:pPr>
      <w:r>
        <w:rPr>
          <w:bCs/>
          <w:szCs w:val="21"/>
        </w:rPr>
        <w:t>不包括作为原料用途的能源（注：在填报《能源购进、消费与库存》</w:t>
      </w:r>
      <w:r>
        <w:rPr>
          <w:rFonts w:hint="eastAsia"/>
          <w:bCs/>
          <w:szCs w:val="21"/>
        </w:rPr>
        <w:t>和《能源加工转换与</w:t>
      </w:r>
      <w:r>
        <w:rPr>
          <w:bCs/>
          <w:szCs w:val="21"/>
        </w:rPr>
        <w:t>回收利用</w:t>
      </w:r>
      <w:r>
        <w:rPr>
          <w:rFonts w:hint="eastAsia"/>
          <w:bCs/>
          <w:szCs w:val="21"/>
        </w:rPr>
        <w:t>》</w:t>
      </w:r>
      <w:r>
        <w:rPr>
          <w:bCs/>
          <w:szCs w:val="21"/>
        </w:rPr>
        <w:t>时，则要计算能源消费量）。</w:t>
      </w:r>
    </w:p>
    <w:p w14:paraId="064E8E33">
      <w:pPr>
        <w:spacing w:line="360" w:lineRule="exact"/>
        <w:ind w:firstLine="420" w:firstLineChars="200"/>
        <w:textAlignment w:val="center"/>
        <w:rPr>
          <w:bCs/>
          <w:szCs w:val="21"/>
        </w:rPr>
      </w:pPr>
      <w:r>
        <w:rPr>
          <w:bCs/>
          <w:szCs w:val="21"/>
        </w:rPr>
        <w:t>炼油综合能耗统计的燃料动力品种主要有：原煤、原油、汽油、煤油、柴油、燃料用油、燃料气、电、蒸汽、水、石油焦等。</w:t>
      </w:r>
    </w:p>
    <w:p w14:paraId="2D24DB07">
      <w:pPr>
        <w:spacing w:line="360" w:lineRule="exact"/>
        <w:ind w:firstLine="420" w:firstLineChars="200"/>
        <w:textAlignment w:val="center"/>
        <w:rPr>
          <w:bCs/>
          <w:szCs w:val="21"/>
        </w:rPr>
      </w:pPr>
      <w:r>
        <w:rPr>
          <w:bCs/>
          <w:szCs w:val="21"/>
        </w:rPr>
        <w:t>燃料用油主要有燃料油（仅指炼厂生产的）、碳五馏分（拨头油）、碳九馏分、乙烯焦油（裂解焦油）、渣油（重油）、碳六馏分、苯乙烯焦油、聚烯烃焦油等。</w:t>
      </w:r>
    </w:p>
    <w:p w14:paraId="2152A3ED">
      <w:pPr>
        <w:spacing w:line="360" w:lineRule="exact"/>
        <w:ind w:firstLine="420" w:firstLineChars="200"/>
        <w:textAlignment w:val="center"/>
        <w:rPr>
          <w:bCs/>
          <w:szCs w:val="21"/>
        </w:rPr>
      </w:pPr>
      <w:r>
        <w:rPr>
          <w:bCs/>
          <w:szCs w:val="21"/>
        </w:rPr>
        <w:t>燃料气主要有天然气、液化天然气、液化石油气（轻馏分、丁烯-2）、炼厂干气、甲烷氢、回收火炬气、瓦斯气等。</w:t>
      </w:r>
    </w:p>
    <w:p w14:paraId="10EF4343">
      <w:pPr>
        <w:spacing w:line="360" w:lineRule="exact"/>
        <w:ind w:firstLine="420" w:firstLineChars="200"/>
        <w:textAlignment w:val="center"/>
        <w:rPr>
          <w:bCs/>
          <w:szCs w:val="21"/>
        </w:rPr>
      </w:pPr>
      <w:r>
        <w:rPr>
          <w:bCs/>
          <w:szCs w:val="21"/>
        </w:rPr>
        <w:t>分母项：原油加工量及外购原料油加工量。原油加工量，指原油通过蒸馏设备加工处理的数量。裂化、焦化等设备处理原油时，这部分原油量也应计算在原油加工量内。外购原料油加工量，指企业外购的，进入装置加工生产石油产品的原料油量。外购原料包括外购的裂化料、重整料、润滑油料、溶剂油等原料油，以及外供化工、化纤原料油返回炼油厂进一步加工的部分。用于生产汽油的MTBE、生产MTBE用的甲醇的外购量和外购氢气，也作为外购原料计算。但不包括用于生产添加剂、催化剂的外购原料。</w:t>
      </w:r>
    </w:p>
    <w:p w14:paraId="2AD498C2">
      <w:pPr>
        <w:spacing w:line="360" w:lineRule="exact"/>
        <w:ind w:firstLine="420" w:firstLineChars="200"/>
        <w:textAlignment w:val="center"/>
        <w:rPr>
          <w:bCs/>
          <w:szCs w:val="21"/>
        </w:rPr>
      </w:pPr>
      <w:r>
        <w:rPr>
          <w:bCs/>
          <w:szCs w:val="21"/>
        </w:rPr>
        <w:t>原油及外购原料油加工量</w:t>
      </w:r>
      <w:r>
        <w:rPr>
          <w:szCs w:val="21"/>
        </w:rPr>
        <w:t>＝</w:t>
      </w:r>
      <w:r>
        <w:rPr>
          <w:bCs/>
          <w:szCs w:val="21"/>
        </w:rPr>
        <w:t>原油加工量+外购原料油加工量。</w:t>
      </w:r>
    </w:p>
    <w:p w14:paraId="6DFB022C">
      <w:pPr>
        <w:spacing w:line="360" w:lineRule="exact"/>
        <w:ind w:firstLine="420" w:firstLineChars="200"/>
        <w:textAlignment w:val="center"/>
        <w:rPr>
          <w:rFonts w:eastAsia="黑体"/>
          <w:bCs/>
          <w:szCs w:val="21"/>
        </w:rPr>
      </w:pPr>
      <w:r>
        <w:rPr>
          <w:rFonts w:eastAsia="黑体"/>
          <w:bCs/>
          <w:szCs w:val="21"/>
        </w:rPr>
        <w:t xml:space="preserve">原油加工单位耗电  </w:t>
      </w:r>
    </w:p>
    <w:p w14:paraId="2BE570D4">
      <w:pPr>
        <w:adjustRightInd w:val="0"/>
        <w:spacing w:line="360" w:lineRule="exact"/>
        <w:ind w:left="4305" w:leftChars="0" w:hanging="4305" w:hangingChars="2050"/>
        <w:textAlignment w:val="center"/>
        <w:rPr>
          <w:bCs/>
          <w:szCs w:val="21"/>
        </w:rPr>
      </w:pPr>
      <w:r>
        <w:rPr>
          <w:rFonts w:hint="eastAsia"/>
          <w:bCs/>
          <w:szCs w:val="21"/>
          <w:lang w:val="en-US" w:eastAsia="zh-CN"/>
        </w:rPr>
        <w:t xml:space="preserve">    </w:t>
      </w:r>
      <w:r>
        <w:rPr>
          <w:bCs/>
          <w:szCs w:val="21"/>
        </w:rPr>
        <w:t>计算公式：原油加工单位耗电（千瓦时/吨）＝10000×炼油系统电消耗量（万千瓦时）/原油及外购</w:t>
      </w:r>
    </w:p>
    <w:p w14:paraId="315E994F">
      <w:pPr>
        <w:adjustRightInd w:val="0"/>
        <w:spacing w:line="360" w:lineRule="exact"/>
        <w:ind w:left="4305" w:leftChars="0" w:hanging="4305" w:hangingChars="2050"/>
        <w:textAlignment w:val="center"/>
        <w:rPr>
          <w:bCs/>
          <w:szCs w:val="21"/>
        </w:rPr>
      </w:pPr>
      <w:r>
        <w:rPr>
          <w:rFonts w:hint="eastAsia"/>
          <w:bCs/>
          <w:szCs w:val="21"/>
          <w:lang w:val="en-US" w:eastAsia="zh-CN"/>
        </w:rPr>
        <w:t xml:space="preserve">                                             </w:t>
      </w:r>
      <w:r>
        <w:rPr>
          <w:bCs/>
          <w:szCs w:val="21"/>
        </w:rPr>
        <w:t>原料油加工量（吨）</w:t>
      </w:r>
    </w:p>
    <w:p w14:paraId="0D979233">
      <w:pPr>
        <w:spacing w:line="360" w:lineRule="exact"/>
        <w:ind w:firstLine="420" w:firstLineChars="200"/>
        <w:textAlignment w:val="center"/>
        <w:rPr>
          <w:bCs/>
          <w:szCs w:val="21"/>
        </w:rPr>
      </w:pPr>
      <w:r>
        <w:rPr>
          <w:bCs/>
          <w:szCs w:val="21"/>
        </w:rPr>
        <w:t>分子项：炼油系统电消耗量，指各套炼油装置（包括添加剂、催化剂装置）和工艺炉以及为这些装置服务的辅助系统，如储运、装卸油、供排水、供汽（包括自备电站供汽）、压缩空气、机修、仪修、电修、化验室、维修、厂区内采暖设施等消耗的电量。</w:t>
      </w:r>
    </w:p>
    <w:p w14:paraId="7D3B9964">
      <w:pPr>
        <w:spacing w:line="360" w:lineRule="exact"/>
        <w:ind w:firstLine="420" w:firstLineChars="200"/>
        <w:textAlignment w:val="center"/>
      </w:pPr>
      <w:r>
        <w:rPr>
          <w:bCs/>
          <w:szCs w:val="21"/>
        </w:rPr>
        <w:t>分母项：原油及外购原料油加工量。解释和说明同上。</w:t>
      </w:r>
    </w:p>
    <w:p w14:paraId="5259AD5D">
      <w:pPr>
        <w:spacing w:line="360" w:lineRule="exact"/>
        <w:ind w:firstLine="420" w:firstLineChars="200"/>
        <w:textAlignment w:val="center"/>
        <w:rPr>
          <w:rFonts w:eastAsia="黑体"/>
          <w:bCs/>
          <w:szCs w:val="21"/>
        </w:rPr>
      </w:pPr>
    </w:p>
    <w:p w14:paraId="09E57971">
      <w:pPr>
        <w:spacing w:line="360" w:lineRule="exact"/>
        <w:ind w:firstLine="420" w:firstLineChars="200"/>
        <w:textAlignment w:val="center"/>
        <w:rPr>
          <w:rFonts w:eastAsia="黑体"/>
          <w:bCs/>
          <w:szCs w:val="21"/>
        </w:rPr>
      </w:pPr>
      <w:r>
        <w:rPr>
          <w:rFonts w:eastAsia="黑体"/>
          <w:bCs/>
          <w:szCs w:val="21"/>
        </w:rPr>
        <w:t>无机碱（26）</w:t>
      </w:r>
    </w:p>
    <w:p w14:paraId="63255E70">
      <w:pPr>
        <w:spacing w:line="360" w:lineRule="exact"/>
        <w:textAlignment w:val="center"/>
        <w:rPr>
          <w:bCs/>
          <w:szCs w:val="21"/>
        </w:rPr>
      </w:pPr>
      <w:r>
        <w:rPr>
          <w:rFonts w:eastAsia="黑体"/>
          <w:bCs/>
          <w:szCs w:val="21"/>
        </w:rPr>
        <w:t xml:space="preserve">    单位烧碱生产综合能耗</w:t>
      </w:r>
      <w:r>
        <w:rPr>
          <w:bCs/>
          <w:szCs w:val="21"/>
        </w:rPr>
        <w:t xml:space="preserve">  </w:t>
      </w:r>
    </w:p>
    <w:p w14:paraId="19E9AEDF">
      <w:pPr>
        <w:tabs>
          <w:tab w:val="left" w:pos="434"/>
        </w:tabs>
        <w:spacing w:line="360" w:lineRule="exact"/>
        <w:ind w:left="5117" w:leftChars="0" w:hanging="5117" w:hangingChars="2437"/>
        <w:textAlignment w:val="center"/>
        <w:rPr>
          <w:bCs/>
          <w:szCs w:val="21"/>
        </w:rPr>
      </w:pPr>
      <w:r>
        <w:rPr>
          <w:rFonts w:hint="eastAsia"/>
          <w:bCs/>
          <w:szCs w:val="21"/>
          <w:lang w:val="en-US" w:eastAsia="zh-CN"/>
        </w:rPr>
        <w:t xml:space="preserve">    </w:t>
      </w:r>
      <w:r>
        <w:rPr>
          <w:bCs/>
          <w:szCs w:val="21"/>
        </w:rPr>
        <w:t>计算公式：单位烧碱生产综合能耗（千克标准煤/吨）＝1000×液体烧碱综合能源消耗量（吨标准煤）</w:t>
      </w:r>
    </w:p>
    <w:p w14:paraId="5B7C2E20">
      <w:pPr>
        <w:tabs>
          <w:tab w:val="left" w:pos="434"/>
        </w:tabs>
        <w:spacing w:line="360" w:lineRule="exact"/>
        <w:ind w:left="77" w:leftChars="0" w:hanging="77" w:hangingChars="37"/>
        <w:textAlignment w:val="center"/>
        <w:rPr>
          <w:bCs/>
          <w:szCs w:val="21"/>
        </w:rPr>
      </w:pPr>
      <w:r>
        <w:rPr>
          <w:rFonts w:hint="eastAsia"/>
          <w:bCs/>
          <w:szCs w:val="21"/>
          <w:lang w:val="en-US" w:eastAsia="zh-CN"/>
        </w:rPr>
        <w:t xml:space="preserve">                                                    </w:t>
      </w:r>
      <w:r>
        <w:rPr>
          <w:bCs/>
          <w:szCs w:val="21"/>
          <w:lang w:val="en"/>
        </w:rPr>
        <w:t>/</w:t>
      </w:r>
      <w:r>
        <w:rPr>
          <w:bCs/>
          <w:szCs w:val="21"/>
        </w:rPr>
        <w:t>液体烧碱（折100%）产量（吨）</w:t>
      </w:r>
    </w:p>
    <w:p w14:paraId="095DFD4C">
      <w:pPr>
        <w:spacing w:line="360" w:lineRule="exact"/>
        <w:ind w:firstLine="420" w:firstLineChars="200"/>
        <w:textAlignment w:val="center"/>
        <w:rPr>
          <w:bCs/>
          <w:szCs w:val="21"/>
        </w:rPr>
      </w:pPr>
      <w:r>
        <w:rPr>
          <w:bCs/>
          <w:szCs w:val="21"/>
        </w:rPr>
        <w:t>分子项：烧碱综合能源消耗量。指用于烧碱生产的各种能源折标准煤后的总和。包括烧碱生产工艺系统、为烧碱生产服务的辅助系统和附属生产系统等的耗能量。</w:t>
      </w:r>
    </w:p>
    <w:p w14:paraId="0771EC51">
      <w:pPr>
        <w:spacing w:line="360" w:lineRule="exact"/>
        <w:ind w:firstLine="420" w:firstLineChars="200"/>
        <w:textAlignment w:val="center"/>
        <w:rPr>
          <w:bCs/>
          <w:szCs w:val="21"/>
        </w:rPr>
      </w:pPr>
      <w:r>
        <w:rPr>
          <w:bCs/>
          <w:szCs w:val="21"/>
        </w:rPr>
        <w:t>烧碱生产系统耗能量的统计范围：从原料投入开始，包括盐水制备、整流、电解、蒸发、蒸煮至成品烧碱包装入库为止的所有工艺用的电解用交流电、动力用电、蒸汽、油、煤等实际消耗量。</w:t>
      </w:r>
    </w:p>
    <w:p w14:paraId="15D9F613">
      <w:pPr>
        <w:spacing w:line="360" w:lineRule="exact"/>
        <w:ind w:firstLine="420" w:firstLineChars="200"/>
        <w:textAlignment w:val="center"/>
        <w:rPr>
          <w:bCs/>
          <w:szCs w:val="21"/>
        </w:rPr>
      </w:pPr>
      <w:r>
        <w:rPr>
          <w:bCs/>
          <w:szCs w:val="21"/>
        </w:rPr>
        <w:t>烧碱生产的辅助和附属系统耗能量的统计范围包括：电槽修理、阳极组装、石棉绒回收、炭极加工以及车间检修、车间分析、车间办公室、休息室、更衣室等各种耗能量。</w:t>
      </w:r>
    </w:p>
    <w:p w14:paraId="09751F76">
      <w:pPr>
        <w:spacing w:line="360" w:lineRule="exact"/>
        <w:ind w:firstLine="420" w:firstLineChars="200"/>
        <w:textAlignment w:val="center"/>
        <w:rPr>
          <w:bCs/>
          <w:spacing w:val="-2"/>
          <w:szCs w:val="21"/>
        </w:rPr>
      </w:pPr>
      <w:r>
        <w:rPr>
          <w:bCs/>
          <w:szCs w:val="21"/>
        </w:rPr>
        <w:t>分母项：</w:t>
      </w:r>
      <w:r>
        <w:rPr>
          <w:bCs/>
          <w:spacing w:val="-2"/>
          <w:szCs w:val="21"/>
        </w:rPr>
        <w:t>烧碱（折100</w:t>
      </w:r>
      <w:r>
        <w:rPr>
          <w:rFonts w:hint="eastAsia"/>
          <w:bCs/>
          <w:spacing w:val="-2"/>
          <w:szCs w:val="21"/>
          <w:lang w:eastAsia="zh-CN"/>
        </w:rPr>
        <w:t>%</w:t>
      </w:r>
      <w:r>
        <w:rPr>
          <w:bCs/>
          <w:spacing w:val="-2"/>
          <w:szCs w:val="21"/>
        </w:rPr>
        <w:t>）产量。烧碱产量按折100%纯量计算。烧碱（折100</w:t>
      </w:r>
      <w:r>
        <w:rPr>
          <w:rFonts w:hint="eastAsia"/>
          <w:bCs/>
          <w:spacing w:val="-2"/>
          <w:szCs w:val="21"/>
          <w:lang w:eastAsia="zh-CN"/>
        </w:rPr>
        <w:t>%</w:t>
      </w:r>
      <w:r>
        <w:rPr>
          <w:bCs/>
          <w:spacing w:val="-2"/>
          <w:szCs w:val="21"/>
        </w:rPr>
        <w:t>） 包括由盐水电解法或由纯碱（或天然碱）苛化法生产的液体氢氧化钠、氢气干燥和本企业其他产品自用的合格烧碱。不同方法生产的各种烧碱，经检验符合国家标准（GB209-93），方可统计产量。产量中不包括在使用烧碱过程中回收的烧碱和生产烧碱过程中自用的电解碱液、浓缩碱液、回收盐液中的含碱量。企业填报烧碱产量，应将不同的生产方法（水银法、隔膜法、离子膜法、苛化法）生产的液碱折成100</w:t>
      </w:r>
      <w:r>
        <w:rPr>
          <w:rFonts w:hint="eastAsia"/>
          <w:bCs/>
          <w:spacing w:val="-2"/>
          <w:szCs w:val="21"/>
          <w:lang w:eastAsia="zh-CN"/>
        </w:rPr>
        <w:t>%</w:t>
      </w:r>
      <w:r>
        <w:rPr>
          <w:bCs/>
          <w:spacing w:val="-2"/>
          <w:szCs w:val="21"/>
        </w:rPr>
        <w:t>纯量后计算产量。</w:t>
      </w:r>
    </w:p>
    <w:p w14:paraId="58B69983">
      <w:pPr>
        <w:spacing w:line="360" w:lineRule="exact"/>
        <w:ind w:firstLine="420" w:firstLineChars="200"/>
        <w:textAlignment w:val="center"/>
        <w:rPr>
          <w:rFonts w:eastAsia="黑体"/>
          <w:bCs/>
          <w:szCs w:val="21"/>
        </w:rPr>
      </w:pPr>
      <w:r>
        <w:rPr>
          <w:rFonts w:eastAsia="黑体"/>
          <w:bCs/>
          <w:szCs w:val="21"/>
        </w:rPr>
        <w:t xml:space="preserve">单位烧碱生产耗交流电  </w:t>
      </w:r>
    </w:p>
    <w:p w14:paraId="21000B59">
      <w:pPr>
        <w:spacing w:line="360" w:lineRule="exact"/>
        <w:ind w:left="4725" w:leftChars="0" w:hanging="4725" w:hangingChars="2250"/>
        <w:textAlignment w:val="center"/>
        <w:rPr>
          <w:bCs/>
          <w:szCs w:val="21"/>
        </w:rPr>
      </w:pPr>
      <w:r>
        <w:rPr>
          <w:rFonts w:hint="eastAsia"/>
          <w:bCs/>
          <w:szCs w:val="21"/>
          <w:lang w:val="en-US" w:eastAsia="zh-CN"/>
        </w:rPr>
        <w:t xml:space="preserve">    </w:t>
      </w:r>
      <w:r>
        <w:rPr>
          <w:bCs/>
          <w:szCs w:val="21"/>
        </w:rPr>
        <w:t>计算公式：单位烧碱生产耗交流电（千瓦时/吨）＝10000×交流电消耗量（万千瓦时）</w:t>
      </w:r>
      <w:r>
        <w:rPr>
          <w:bCs/>
          <w:szCs w:val="21"/>
          <w:lang w:val="en"/>
        </w:rPr>
        <w:t>/</w:t>
      </w:r>
      <w:r>
        <w:rPr>
          <w:bCs/>
          <w:szCs w:val="21"/>
        </w:rPr>
        <w:t>液体烧碱</w:t>
      </w:r>
    </w:p>
    <w:p w14:paraId="0F81281E">
      <w:pPr>
        <w:spacing w:line="360" w:lineRule="exact"/>
        <w:ind w:left="4725" w:leftChars="0" w:hanging="4725" w:hangingChars="2250"/>
        <w:textAlignment w:val="center"/>
        <w:rPr>
          <w:bCs/>
          <w:szCs w:val="21"/>
        </w:rPr>
      </w:pPr>
      <w:r>
        <w:rPr>
          <w:rFonts w:hint="eastAsia"/>
          <w:bCs/>
          <w:szCs w:val="21"/>
          <w:lang w:val="en-US" w:eastAsia="zh-CN"/>
        </w:rPr>
        <w:t xml:space="preserve">                                                </w:t>
      </w:r>
      <w:r>
        <w:rPr>
          <w:bCs/>
          <w:szCs w:val="21"/>
        </w:rPr>
        <w:t>（折100%）产量（吨）</w:t>
      </w:r>
    </w:p>
    <w:p w14:paraId="1765D312">
      <w:pPr>
        <w:spacing w:line="360" w:lineRule="exact"/>
        <w:ind w:firstLine="420" w:firstLineChars="200"/>
        <w:textAlignment w:val="center"/>
        <w:rPr>
          <w:bCs/>
          <w:szCs w:val="21"/>
        </w:rPr>
      </w:pPr>
      <w:r>
        <w:rPr>
          <w:bCs/>
          <w:szCs w:val="21"/>
        </w:rPr>
        <w:t xml:space="preserve">分子项：交流电消耗量。以电业局安装的直流耗交流电度表计量数值为准。没有安装电表的企业，以电业局安装的总交流电度表指示的交流电量，扣除动力系统安装的交流电度表的交流电量后，计算直流电所消耗的交流电量。 </w:t>
      </w:r>
    </w:p>
    <w:p w14:paraId="66E78DF5">
      <w:pPr>
        <w:spacing w:line="360" w:lineRule="exact"/>
        <w:ind w:firstLine="420" w:firstLineChars="200"/>
        <w:textAlignment w:val="center"/>
        <w:rPr>
          <w:bCs/>
          <w:szCs w:val="21"/>
        </w:rPr>
      </w:pPr>
      <w:r>
        <w:rPr>
          <w:bCs/>
          <w:szCs w:val="21"/>
        </w:rPr>
        <w:t>分母项：烧碱（折100</w:t>
      </w:r>
      <w:r>
        <w:rPr>
          <w:rFonts w:hint="eastAsia"/>
          <w:bCs/>
          <w:szCs w:val="21"/>
          <w:lang w:eastAsia="zh-CN"/>
        </w:rPr>
        <w:t>%</w:t>
      </w:r>
      <w:r>
        <w:rPr>
          <w:bCs/>
          <w:szCs w:val="21"/>
        </w:rPr>
        <w:t>）产量。烧碱产量按折100%纯量计算。说明同上。</w:t>
      </w:r>
    </w:p>
    <w:p w14:paraId="68B706A8">
      <w:pPr>
        <w:spacing w:line="360" w:lineRule="exact"/>
        <w:ind w:firstLine="420" w:firstLineChars="200"/>
        <w:textAlignment w:val="center"/>
        <w:rPr>
          <w:rFonts w:eastAsia="黑体"/>
          <w:bCs/>
          <w:szCs w:val="21"/>
        </w:rPr>
      </w:pPr>
      <w:r>
        <w:rPr>
          <w:rFonts w:eastAsia="黑体"/>
          <w:bCs/>
          <w:szCs w:val="21"/>
        </w:rPr>
        <w:t xml:space="preserve">单位纯碱生产综合能耗  </w:t>
      </w:r>
    </w:p>
    <w:p w14:paraId="1513F409">
      <w:pPr>
        <w:spacing w:line="360" w:lineRule="exact"/>
        <w:ind w:left="5145" w:leftChars="0" w:hanging="5145" w:hangingChars="2450"/>
        <w:textAlignment w:val="center"/>
        <w:rPr>
          <w:bCs/>
          <w:szCs w:val="21"/>
        </w:rPr>
      </w:pPr>
      <w:r>
        <w:rPr>
          <w:rFonts w:hint="eastAsia"/>
          <w:bCs/>
          <w:szCs w:val="21"/>
          <w:lang w:val="en-US" w:eastAsia="zh-CN"/>
        </w:rPr>
        <w:t xml:space="preserve">    </w:t>
      </w:r>
      <w:r>
        <w:rPr>
          <w:bCs/>
          <w:szCs w:val="21"/>
        </w:rPr>
        <w:t>计算公式：单位纯碱生产综合能耗（千克标准煤/吨）＝1000×纯碱综合能源消耗总量（吨标准煤）</w:t>
      </w:r>
    </w:p>
    <w:p w14:paraId="4F94E99A">
      <w:pPr>
        <w:spacing w:line="360" w:lineRule="exact"/>
        <w:ind w:left="5145" w:leftChars="0" w:hanging="5145" w:hangingChars="2450"/>
        <w:textAlignment w:val="center"/>
        <w:rPr>
          <w:bCs/>
          <w:szCs w:val="21"/>
        </w:rPr>
      </w:pPr>
      <w:r>
        <w:rPr>
          <w:rFonts w:hint="eastAsia"/>
          <w:bCs/>
          <w:szCs w:val="21"/>
          <w:lang w:val="en-US" w:eastAsia="zh-CN"/>
        </w:rPr>
        <w:t xml:space="preserve">                                                     </w:t>
      </w:r>
      <w:r>
        <w:rPr>
          <w:bCs/>
          <w:szCs w:val="21"/>
          <w:lang w:val="en"/>
        </w:rPr>
        <w:t>/</w:t>
      </w:r>
      <w:r>
        <w:rPr>
          <w:bCs/>
          <w:szCs w:val="21"/>
        </w:rPr>
        <w:t>纯碱（碳酸钠）产量（吨）</w:t>
      </w:r>
    </w:p>
    <w:p w14:paraId="2223B1F7">
      <w:pPr>
        <w:spacing w:line="360" w:lineRule="exact"/>
        <w:ind w:firstLine="420" w:firstLineChars="200"/>
        <w:textAlignment w:val="center"/>
        <w:rPr>
          <w:bCs/>
          <w:szCs w:val="21"/>
        </w:rPr>
      </w:pPr>
      <w:r>
        <w:rPr>
          <w:bCs/>
          <w:szCs w:val="21"/>
        </w:rPr>
        <w:t>分子项：纯碱综合能源消耗总量。指在报告期内，从能源投入开始，至成品入库为止的生产全过程以及中、小修，事故处理所耗用的能源。其中应扣除系统向外输出的物料及能源量。纯碱综合能源消耗分为氨碱法用能和联碱法用能两种。</w:t>
      </w:r>
    </w:p>
    <w:p w14:paraId="5E076074">
      <w:pPr>
        <w:spacing w:line="360" w:lineRule="exact"/>
        <w:ind w:firstLine="420" w:firstLineChars="200"/>
        <w:textAlignment w:val="center"/>
        <w:rPr>
          <w:bCs/>
          <w:szCs w:val="21"/>
        </w:rPr>
      </w:pPr>
      <w:r>
        <w:rPr>
          <w:bCs/>
          <w:szCs w:val="21"/>
        </w:rPr>
        <w:t>氨碱法用能：包括化盐及盐水精制、氨盐水制、碳化和重碱过滤、重碱煅烧、氨回收、石灰石煅烧等生产系统工序用能和辅助生产系统用能。不包括锅炉耗能。</w:t>
      </w:r>
    </w:p>
    <w:p w14:paraId="4F513E8B">
      <w:pPr>
        <w:spacing w:line="360" w:lineRule="exact"/>
        <w:ind w:firstLine="420" w:firstLineChars="200"/>
        <w:textAlignment w:val="center"/>
        <w:rPr>
          <w:bCs/>
          <w:szCs w:val="21"/>
        </w:rPr>
      </w:pPr>
      <w:r>
        <w:rPr>
          <w:bCs/>
          <w:szCs w:val="21"/>
        </w:rPr>
        <w:t>联碱法用能：包括洗盐、氨母液制备、碳化和重碱过滤、重碱煅烧、氯化铵结晶等生产系统工序用能和辅助生产系统用能。不包括合成氨耗能。</w:t>
      </w:r>
    </w:p>
    <w:p w14:paraId="4AD4BE7D">
      <w:pPr>
        <w:spacing w:line="360" w:lineRule="exact"/>
        <w:ind w:firstLine="420" w:firstLineChars="200"/>
        <w:textAlignment w:val="center"/>
        <w:rPr>
          <w:bCs/>
          <w:szCs w:val="21"/>
        </w:rPr>
      </w:pPr>
      <w:r>
        <w:rPr>
          <w:bCs/>
          <w:szCs w:val="21"/>
        </w:rPr>
        <w:t>仅生产单一纯碱产品的企业，产品能源消耗量就是企业的能源消耗总量。</w:t>
      </w:r>
    </w:p>
    <w:p w14:paraId="014B695F">
      <w:pPr>
        <w:spacing w:line="360" w:lineRule="exact"/>
        <w:ind w:firstLine="420" w:firstLineChars="200"/>
        <w:textAlignment w:val="center"/>
        <w:rPr>
          <w:bCs/>
          <w:szCs w:val="21"/>
        </w:rPr>
      </w:pPr>
      <w:r>
        <w:rPr>
          <w:bCs/>
          <w:szCs w:val="21"/>
        </w:rPr>
        <w:t>生产多个产品，辅助生产系统和附属生产系统用能，要按照产品的能耗比例合理分摊到各个产品中，通过计量表送入生产系统的以计量表计量的数量计算。现场检修、自备运输工具、附属生产系统用能的分摊，需要企业制定合理的分摊系数，一般根据产品能耗的大小、产量的多少、产品生产车间人员的多少，综合考虑确定分摊系数。</w:t>
      </w:r>
    </w:p>
    <w:p w14:paraId="6E4E051F">
      <w:pPr>
        <w:spacing w:line="360" w:lineRule="exact"/>
        <w:ind w:firstLine="420" w:firstLineChars="200"/>
        <w:textAlignment w:val="center"/>
        <w:rPr>
          <w:bCs/>
          <w:szCs w:val="21"/>
        </w:rPr>
      </w:pPr>
      <w:r>
        <w:rPr>
          <w:bCs/>
          <w:szCs w:val="21"/>
        </w:rPr>
        <w:t>分母项：纯碱（碳酸钠）产量。指氨碱法和联碱法生产的无水碳酸钠，及以天然碱为原料加工的精制碱。纯碱均按国家标准（GB210-92）检验，合格者统计产量。未经煅烧的重碱和清扫设备、场地收集的不合格纯碱，均不统计纯碱产量。纯碱产量按合格品的实物量计算。</w:t>
      </w:r>
    </w:p>
    <w:p w14:paraId="7089D7A0">
      <w:pPr>
        <w:spacing w:line="360" w:lineRule="exact"/>
        <w:ind w:firstLine="420" w:firstLineChars="200"/>
        <w:textAlignment w:val="center"/>
        <w:rPr>
          <w:bCs/>
          <w:szCs w:val="21"/>
        </w:rPr>
      </w:pPr>
      <w:r>
        <w:rPr>
          <w:bCs/>
          <w:szCs w:val="21"/>
        </w:rPr>
        <w:t>纯碱生产能耗计算有关问题的补充规定：</w:t>
      </w:r>
    </w:p>
    <w:p w14:paraId="519BC174">
      <w:pPr>
        <w:spacing w:line="360" w:lineRule="exact"/>
        <w:ind w:firstLine="420" w:firstLineChars="200"/>
        <w:textAlignment w:val="center"/>
        <w:rPr>
          <w:bCs/>
          <w:szCs w:val="21"/>
        </w:rPr>
      </w:pPr>
      <w:r>
        <w:rPr>
          <w:bCs/>
          <w:szCs w:val="21"/>
        </w:rPr>
        <w:t>（1）企业自用碱计入碱产量；</w:t>
      </w:r>
    </w:p>
    <w:p w14:paraId="6E364469">
      <w:pPr>
        <w:spacing w:line="360" w:lineRule="exact"/>
        <w:ind w:firstLine="420" w:firstLineChars="200"/>
        <w:textAlignment w:val="center"/>
        <w:rPr>
          <w:bCs/>
          <w:szCs w:val="21"/>
        </w:rPr>
      </w:pPr>
      <w:r>
        <w:rPr>
          <w:bCs/>
          <w:szCs w:val="21"/>
        </w:rPr>
        <w:t>（2）自备电站能耗不计入纯碱能耗统计范围；</w:t>
      </w:r>
    </w:p>
    <w:p w14:paraId="7478A030">
      <w:pPr>
        <w:spacing w:line="360" w:lineRule="exact"/>
        <w:ind w:firstLine="420" w:firstLineChars="200"/>
        <w:textAlignment w:val="center"/>
        <w:rPr>
          <w:bCs/>
          <w:szCs w:val="21"/>
        </w:rPr>
      </w:pPr>
      <w:r>
        <w:rPr>
          <w:bCs/>
          <w:szCs w:val="21"/>
        </w:rPr>
        <w:t>（3）分别计算轻质纯碱和重质纯碱的能耗。重质纯碱的能耗应包括轻质纯碱的能耗和由轻质纯碱生产重质纯碱增加的能耗；</w:t>
      </w:r>
    </w:p>
    <w:p w14:paraId="3E39F936">
      <w:pPr>
        <w:spacing w:line="360" w:lineRule="exact"/>
        <w:ind w:firstLine="420" w:firstLineChars="200"/>
        <w:textAlignment w:val="center"/>
        <w:rPr>
          <w:bCs/>
          <w:szCs w:val="21"/>
        </w:rPr>
      </w:pPr>
      <w:r>
        <w:rPr>
          <w:bCs/>
          <w:szCs w:val="21"/>
        </w:rPr>
        <w:t>（4）计算联碱双吨能耗时，要注明氯化铵是干铵还是湿铵。既生产干铵又生产湿铵的联碱企业，要分别计算生产干铵的双吨能耗和生产湿铵的双吨能耗。生产干铵的双吨能耗，应包括生产湿铵的能耗和由湿铵生产干铵增加的能耗；</w:t>
      </w:r>
    </w:p>
    <w:p w14:paraId="097296C5">
      <w:pPr>
        <w:spacing w:line="360" w:lineRule="exact"/>
        <w:ind w:firstLine="420" w:firstLineChars="200"/>
        <w:textAlignment w:val="center"/>
        <w:rPr>
          <w:bCs/>
          <w:szCs w:val="21"/>
        </w:rPr>
      </w:pPr>
      <w:r>
        <w:rPr>
          <w:bCs/>
          <w:szCs w:val="21"/>
        </w:rPr>
        <w:t>（5）纯碱系统没有单独设立取水系统和循环水系统的企业，纯碱与其他产品按实际用水量合理分摊用水能耗；</w:t>
      </w:r>
    </w:p>
    <w:p w14:paraId="2366B8DF">
      <w:pPr>
        <w:spacing w:line="360" w:lineRule="exact"/>
        <w:ind w:firstLine="420" w:firstLineChars="200"/>
        <w:textAlignment w:val="center"/>
        <w:rPr>
          <w:bCs/>
          <w:szCs w:val="21"/>
        </w:rPr>
      </w:pPr>
      <w:r>
        <w:rPr>
          <w:bCs/>
          <w:szCs w:val="21"/>
        </w:rPr>
        <w:t>（6）采用浓气制碱的联碱企业，合成氨脱碳工序的能耗计入合成氨的能耗，不计入联碱能耗。往联碱输送二氧化碳的低压机的能耗计入联碱能耗；</w:t>
      </w:r>
    </w:p>
    <w:p w14:paraId="42E399C3">
      <w:pPr>
        <w:spacing w:line="360" w:lineRule="exact"/>
        <w:ind w:firstLine="420" w:firstLineChars="200"/>
        <w:textAlignment w:val="center"/>
        <w:rPr>
          <w:bCs/>
          <w:szCs w:val="21"/>
        </w:rPr>
      </w:pPr>
      <w:r>
        <w:rPr>
          <w:bCs/>
          <w:szCs w:val="21"/>
        </w:rPr>
        <w:t>（7）采用变换气制碱的联碱企业，压缩机的能耗计入合成氨的能耗，不计入联碱能耗。设在联碱碳化塔前或塔后的升压机的能耗计入联碱能耗。</w:t>
      </w:r>
    </w:p>
    <w:p w14:paraId="568B7AC1">
      <w:pPr>
        <w:spacing w:line="360" w:lineRule="exact"/>
        <w:ind w:firstLine="420" w:firstLineChars="200"/>
        <w:textAlignment w:val="center"/>
        <w:rPr>
          <w:rFonts w:eastAsia="黑体"/>
          <w:bCs/>
          <w:szCs w:val="21"/>
        </w:rPr>
      </w:pPr>
      <w:r>
        <w:rPr>
          <w:rFonts w:eastAsia="黑体"/>
          <w:bCs/>
          <w:szCs w:val="21"/>
        </w:rPr>
        <w:t xml:space="preserve">单位纯碱生产耗电  </w:t>
      </w:r>
    </w:p>
    <w:p w14:paraId="100B9A4C">
      <w:pPr>
        <w:spacing w:line="360" w:lineRule="exact"/>
        <w:ind w:left="4294" w:leftChars="0" w:hanging="4294" w:hangingChars="2045"/>
        <w:textAlignment w:val="center"/>
        <w:rPr>
          <w:bCs/>
          <w:szCs w:val="21"/>
        </w:rPr>
      </w:pPr>
      <w:r>
        <w:rPr>
          <w:rFonts w:hint="eastAsia"/>
          <w:bCs/>
          <w:szCs w:val="21"/>
          <w:lang w:val="en-US" w:eastAsia="zh-CN"/>
        </w:rPr>
        <w:t xml:space="preserve">    </w:t>
      </w:r>
      <w:r>
        <w:rPr>
          <w:bCs/>
          <w:szCs w:val="21"/>
        </w:rPr>
        <w:t>计算公式：单位纯碱生产耗电（千瓦时/吨）＝10000×纯碱生产耗电总量（万千瓦时）</w:t>
      </w:r>
      <w:r>
        <w:rPr>
          <w:bCs/>
          <w:szCs w:val="21"/>
          <w:lang w:val="en"/>
        </w:rPr>
        <w:t>/</w:t>
      </w:r>
      <w:r>
        <w:rPr>
          <w:bCs/>
          <w:szCs w:val="21"/>
        </w:rPr>
        <w:t>纯碱（碳</w:t>
      </w:r>
    </w:p>
    <w:p w14:paraId="1376C804">
      <w:pPr>
        <w:spacing w:line="360" w:lineRule="exact"/>
        <w:ind w:left="4294" w:leftChars="0" w:hanging="4294" w:hangingChars="2045"/>
        <w:textAlignment w:val="center"/>
        <w:rPr>
          <w:bCs/>
          <w:szCs w:val="21"/>
        </w:rPr>
      </w:pPr>
      <w:r>
        <w:rPr>
          <w:rFonts w:hint="eastAsia"/>
          <w:bCs/>
          <w:szCs w:val="21"/>
          <w:lang w:val="en-US" w:eastAsia="zh-CN"/>
        </w:rPr>
        <w:t xml:space="preserve">                                             </w:t>
      </w:r>
      <w:r>
        <w:rPr>
          <w:bCs/>
          <w:szCs w:val="21"/>
        </w:rPr>
        <w:t>酸钠）产量（吨）</w:t>
      </w:r>
    </w:p>
    <w:p w14:paraId="7473FC0D">
      <w:pPr>
        <w:spacing w:line="360" w:lineRule="exact"/>
        <w:ind w:firstLine="420" w:firstLineChars="200"/>
        <w:textAlignment w:val="center"/>
        <w:rPr>
          <w:bCs/>
          <w:szCs w:val="21"/>
        </w:rPr>
      </w:pPr>
      <w:r>
        <w:rPr>
          <w:bCs/>
          <w:szCs w:val="21"/>
        </w:rPr>
        <w:t>分子项：纯碱生产耗电总量。包括纯碱生产系统以及为纯碱生产服务的辅助系统和附属生产系统耗电量。</w:t>
      </w:r>
    </w:p>
    <w:p w14:paraId="7BFD12AF">
      <w:pPr>
        <w:spacing w:line="360" w:lineRule="exact"/>
        <w:ind w:firstLine="420" w:firstLineChars="200"/>
        <w:textAlignment w:val="center"/>
        <w:rPr>
          <w:bCs/>
          <w:szCs w:val="21"/>
        </w:rPr>
      </w:pPr>
      <w:r>
        <w:rPr>
          <w:bCs/>
          <w:szCs w:val="21"/>
        </w:rPr>
        <w:t>分母项：纯碱（碳酸钠）产量。说明同上。</w:t>
      </w:r>
    </w:p>
    <w:p w14:paraId="5BEA52F0">
      <w:pPr>
        <w:spacing w:line="360" w:lineRule="exact"/>
        <w:ind w:firstLine="420" w:firstLineChars="200"/>
        <w:textAlignment w:val="center"/>
        <w:rPr>
          <w:rFonts w:eastAsia="黑体"/>
          <w:bCs/>
          <w:szCs w:val="21"/>
        </w:rPr>
      </w:pPr>
    </w:p>
    <w:p w14:paraId="613C12BE">
      <w:pPr>
        <w:spacing w:line="360" w:lineRule="exact"/>
        <w:ind w:firstLine="420" w:firstLineChars="200"/>
        <w:textAlignment w:val="center"/>
        <w:rPr>
          <w:rFonts w:eastAsia="黑体"/>
          <w:bCs/>
          <w:szCs w:val="21"/>
        </w:rPr>
      </w:pPr>
      <w:r>
        <w:rPr>
          <w:rFonts w:eastAsia="黑体"/>
          <w:bCs/>
          <w:szCs w:val="21"/>
        </w:rPr>
        <w:t>无机盐（26）</w:t>
      </w:r>
    </w:p>
    <w:p w14:paraId="69D724FE">
      <w:pPr>
        <w:spacing w:line="360" w:lineRule="exact"/>
        <w:ind w:firstLine="420" w:firstLineChars="200"/>
        <w:textAlignment w:val="center"/>
        <w:rPr>
          <w:szCs w:val="21"/>
        </w:rPr>
      </w:pPr>
      <w:r>
        <w:rPr>
          <w:rFonts w:eastAsia="黑体"/>
          <w:szCs w:val="21"/>
        </w:rPr>
        <w:t>单位电石生产综合能耗</w:t>
      </w:r>
      <w:r>
        <w:rPr>
          <w:szCs w:val="21"/>
        </w:rPr>
        <w:t xml:space="preserve"> </w:t>
      </w:r>
    </w:p>
    <w:p w14:paraId="6FC0810D">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计算公式：单位电石生产综合能耗（千克标准煤/吨）＝1000×电石综合能源消耗总量（吨标准煤）</w:t>
      </w:r>
    </w:p>
    <w:p w14:paraId="133ADFC3">
      <w:pPr>
        <w:spacing w:line="360" w:lineRule="exact"/>
        <w:ind w:left="5145" w:leftChars="0" w:hanging="5145" w:hangingChars="2450"/>
        <w:textAlignment w:val="center"/>
        <w:rPr>
          <w:szCs w:val="21"/>
        </w:rPr>
      </w:pPr>
      <w:r>
        <w:rPr>
          <w:rFonts w:hint="eastAsia"/>
          <w:szCs w:val="21"/>
          <w:lang w:val="en-US" w:eastAsia="zh-CN"/>
        </w:rPr>
        <w:t xml:space="preserve">                                                     </w:t>
      </w:r>
      <w:r>
        <w:rPr>
          <w:szCs w:val="21"/>
          <w:lang w:val="en"/>
        </w:rPr>
        <w:t>/</w:t>
      </w:r>
      <w:r>
        <w:rPr>
          <w:szCs w:val="21"/>
        </w:rPr>
        <w:t>碳化钙（电石，折300升/千克）产量（吨）</w:t>
      </w:r>
    </w:p>
    <w:p w14:paraId="2F6EE9A1">
      <w:pPr>
        <w:spacing w:line="360" w:lineRule="exact"/>
        <w:ind w:firstLine="420" w:firstLineChars="200"/>
        <w:textAlignment w:val="center"/>
        <w:rPr>
          <w:szCs w:val="21"/>
        </w:rPr>
      </w:pPr>
      <w:r>
        <w:rPr>
          <w:szCs w:val="21"/>
        </w:rPr>
        <w:t>分子项：电石综合能源消耗总量。指从焦炭等原材料和能源，经计量进入电石生产开始，到电石成品计量入库的电石产品的整个生产过程的用能量。生产过程是由生产系统工艺装置、辅助生产系统和附属生产系统设施三部分组成。</w:t>
      </w:r>
    </w:p>
    <w:p w14:paraId="46F2B4EA">
      <w:pPr>
        <w:spacing w:line="360" w:lineRule="exact"/>
        <w:ind w:firstLine="420" w:firstLineChars="200"/>
        <w:textAlignment w:val="center"/>
        <w:rPr>
          <w:szCs w:val="21"/>
        </w:rPr>
      </w:pPr>
      <w:r>
        <w:rPr>
          <w:szCs w:val="21"/>
        </w:rPr>
        <w:t>综合能耗应扣除向外输出的能源。向电石生产界区外输出的密闭炉气和回收的余热，按向外输出能源计算。调出的焦（煤）粉，自产自用的石灰，按向外输出的能源计算，其热值按实测低位热值计算。</w:t>
      </w:r>
    </w:p>
    <w:p w14:paraId="18BC9785">
      <w:pPr>
        <w:spacing w:line="360" w:lineRule="exact"/>
        <w:ind w:firstLine="420" w:firstLineChars="200"/>
        <w:textAlignment w:val="center"/>
        <w:rPr>
          <w:szCs w:val="21"/>
        </w:rPr>
      </w:pPr>
      <w:r>
        <w:rPr>
          <w:szCs w:val="21"/>
        </w:rPr>
        <w:t>电石产品综合能耗包括：</w:t>
      </w:r>
    </w:p>
    <w:p w14:paraId="4B0FEA2D">
      <w:pPr>
        <w:spacing w:line="360" w:lineRule="exact"/>
        <w:ind w:firstLine="420" w:firstLineChars="200"/>
        <w:textAlignment w:val="center"/>
        <w:rPr>
          <w:szCs w:val="21"/>
        </w:rPr>
      </w:pPr>
      <w:r>
        <w:rPr>
          <w:szCs w:val="21"/>
        </w:rPr>
        <w:t>（1）电力消耗包括电炉、动力、除尘和照明用电。</w:t>
      </w:r>
    </w:p>
    <w:p w14:paraId="6A303E8D">
      <w:pPr>
        <w:spacing w:line="360" w:lineRule="exact"/>
        <w:ind w:firstLine="420" w:firstLineChars="200"/>
        <w:textAlignment w:val="center"/>
        <w:rPr>
          <w:szCs w:val="21"/>
        </w:rPr>
      </w:pPr>
      <w:r>
        <w:rPr>
          <w:szCs w:val="21"/>
        </w:rPr>
        <w:t>（2）碳素原料包括焦炭、石油焦、无烟煤、电极糊和其他碳素还原剂等。以进入生产后第一道工序为计量点。</w:t>
      </w:r>
    </w:p>
    <w:p w14:paraId="62F4E0D1">
      <w:pPr>
        <w:spacing w:line="360" w:lineRule="exact"/>
        <w:ind w:firstLine="420" w:firstLineChars="200"/>
        <w:textAlignment w:val="center"/>
        <w:rPr>
          <w:szCs w:val="21"/>
        </w:rPr>
      </w:pPr>
      <w:r>
        <w:rPr>
          <w:szCs w:val="21"/>
        </w:rPr>
        <w:t>（3）干燥焦炭耗燃料，计算起点同上。如果使用电石生产的余热干燥焦炭时，其余热不计算燃料消耗。</w:t>
      </w:r>
    </w:p>
    <w:p w14:paraId="6C54758B">
      <w:pPr>
        <w:spacing w:line="360" w:lineRule="exact"/>
        <w:ind w:firstLine="420" w:firstLineChars="200"/>
        <w:textAlignment w:val="center"/>
        <w:rPr>
          <w:szCs w:val="21"/>
        </w:rPr>
      </w:pPr>
      <w:r>
        <w:rPr>
          <w:szCs w:val="21"/>
        </w:rPr>
        <w:t>（4）辅助生产系统消耗的能源，指各辅助工序（包括电石生产界区内自石灰进厂到电石成品入库止）所消耗的能源。（前项中计算过的不得重复统计）</w:t>
      </w:r>
    </w:p>
    <w:p w14:paraId="2ABB252F">
      <w:pPr>
        <w:spacing w:line="360" w:lineRule="exact"/>
        <w:ind w:firstLine="420" w:firstLineChars="200"/>
        <w:textAlignment w:val="center"/>
        <w:rPr>
          <w:szCs w:val="21"/>
        </w:rPr>
      </w:pPr>
      <w:r>
        <w:rPr>
          <w:szCs w:val="21"/>
        </w:rPr>
        <w:t>（5）附属生产系统消耗的能源，包括电石生产界区内维修工段、化验室、控制室、库房及车间办公室等消耗的能源。</w:t>
      </w:r>
    </w:p>
    <w:p w14:paraId="7B4EFA08">
      <w:pPr>
        <w:spacing w:line="360" w:lineRule="exact"/>
        <w:ind w:firstLine="420" w:firstLineChars="200"/>
        <w:textAlignment w:val="center"/>
        <w:rPr>
          <w:szCs w:val="21"/>
        </w:rPr>
      </w:pPr>
      <w:r>
        <w:rPr>
          <w:szCs w:val="21"/>
        </w:rPr>
        <w:t>由于各种能源的热值不同，计算综合能耗时要将各种能源折成标准能源单位（标准煤）。企业外购的各种能源，其热值采用该地区或该企业在报告期内实测的低位热值。没有实测条件的，可采用能源统计报表制度中的参考折标系数。</w:t>
      </w:r>
    </w:p>
    <w:p w14:paraId="0A1444C8">
      <w:pPr>
        <w:spacing w:line="360" w:lineRule="exact"/>
        <w:ind w:firstLine="420" w:firstLineChars="200"/>
        <w:textAlignment w:val="center"/>
        <w:rPr>
          <w:szCs w:val="21"/>
        </w:rPr>
      </w:pPr>
      <w:r>
        <w:rPr>
          <w:szCs w:val="21"/>
        </w:rPr>
        <w:t>企业外购电力采用当量热值折标系数，即1.229吨标准煤/万千瓦时。</w:t>
      </w:r>
    </w:p>
    <w:p w14:paraId="62E07124">
      <w:pPr>
        <w:spacing w:line="360" w:lineRule="exact"/>
        <w:ind w:firstLine="420" w:firstLineChars="200"/>
        <w:textAlignment w:val="center"/>
        <w:rPr>
          <w:szCs w:val="21"/>
        </w:rPr>
      </w:pPr>
      <w:r>
        <w:rPr>
          <w:szCs w:val="21"/>
        </w:rPr>
        <w:t>分母项：碳化钙（电石，折300升/千克）产量。电石是用碳素材料和生石灰在高温电炉中化合而制得的碳化钙。凡符合国家标准（GB10665-89）规定技术条件1（电石粒度）和2（电石质量）要求的电石，均可统计产量。电石产量包括商品量和自用量。商品量应在包装检验合格入库以后计算产量，自用量按输送到使用车间头道工序的数量计算产量。</w:t>
      </w:r>
    </w:p>
    <w:p w14:paraId="36EAF5C1">
      <w:pPr>
        <w:spacing w:line="360" w:lineRule="exact"/>
        <w:ind w:firstLine="420" w:firstLineChars="200"/>
        <w:textAlignment w:val="center"/>
        <w:rPr>
          <w:szCs w:val="21"/>
        </w:rPr>
      </w:pPr>
      <w:r>
        <w:rPr>
          <w:szCs w:val="21"/>
        </w:rPr>
        <w:t>电石产量按折合标准发气量（300升/千克）计算。电石发气量，指每一千克电石在20℃、760毫米汞柱压力下与水作用，所发生的干乙炔气体体积（以升计量）。</w:t>
      </w:r>
    </w:p>
    <w:p w14:paraId="00A0F59B">
      <w:pPr>
        <w:spacing w:line="360" w:lineRule="exact"/>
        <w:ind w:firstLine="420" w:firstLineChars="200"/>
        <w:textAlignment w:val="center"/>
        <w:rPr>
          <w:szCs w:val="21"/>
        </w:rPr>
      </w:pPr>
      <w:r>
        <w:rPr>
          <w:szCs w:val="21"/>
        </w:rPr>
        <w:t>碳化钙（电石，折300升/千克）产量（吨）＝∑各批合格电石实物产量（吨）×[各批电石实际发气量（升</w:t>
      </w:r>
      <w:r>
        <w:rPr>
          <w:szCs w:val="21"/>
          <w:lang w:val="en"/>
        </w:rPr>
        <w:t>/</w:t>
      </w:r>
      <w:r>
        <w:rPr>
          <w:szCs w:val="21"/>
        </w:rPr>
        <w:t>千克）/300（升</w:t>
      </w:r>
      <w:r>
        <w:rPr>
          <w:szCs w:val="21"/>
          <w:lang w:val="en"/>
        </w:rPr>
        <w:t>/</w:t>
      </w:r>
      <w:r>
        <w:rPr>
          <w:szCs w:val="21"/>
        </w:rPr>
        <w:t>千克）]</w:t>
      </w:r>
    </w:p>
    <w:p w14:paraId="36D2332D">
      <w:pPr>
        <w:spacing w:line="360" w:lineRule="exact"/>
        <w:ind w:firstLine="420" w:firstLineChars="200"/>
        <w:textAlignment w:val="center"/>
        <w:rPr>
          <w:rFonts w:eastAsia="黑体"/>
          <w:szCs w:val="21"/>
        </w:rPr>
      </w:pPr>
      <w:r>
        <w:rPr>
          <w:rFonts w:eastAsia="黑体"/>
          <w:szCs w:val="21"/>
        </w:rPr>
        <w:t xml:space="preserve">单位电石生产耗电 </w:t>
      </w:r>
    </w:p>
    <w:p w14:paraId="7751F63B">
      <w:pPr>
        <w:spacing w:line="360" w:lineRule="exact"/>
        <w:ind w:left="4183" w:leftChars="0" w:hanging="4183" w:hangingChars="1992"/>
        <w:textAlignment w:val="center"/>
        <w:rPr>
          <w:szCs w:val="21"/>
        </w:rPr>
      </w:pPr>
      <w:r>
        <w:rPr>
          <w:rFonts w:hint="eastAsia"/>
          <w:szCs w:val="21"/>
          <w:lang w:val="en-US" w:eastAsia="zh-CN"/>
        </w:rPr>
        <w:t xml:space="preserve">    </w:t>
      </w:r>
      <w:r>
        <w:rPr>
          <w:szCs w:val="21"/>
        </w:rPr>
        <w:t>计算公式：单位电石生产耗电（千瓦时/吨）＝10000×电石生产耗电总量（万千瓦时）</w:t>
      </w:r>
      <w:r>
        <w:rPr>
          <w:szCs w:val="21"/>
          <w:lang w:val="en"/>
        </w:rPr>
        <w:t>/</w:t>
      </w:r>
      <w:r>
        <w:rPr>
          <w:szCs w:val="21"/>
        </w:rPr>
        <w:t>碳化钙（电</w:t>
      </w:r>
    </w:p>
    <w:p w14:paraId="5CBA628E">
      <w:pPr>
        <w:spacing w:line="360" w:lineRule="exact"/>
        <w:ind w:left="4183" w:leftChars="0" w:hanging="4183" w:hangingChars="1992"/>
        <w:textAlignment w:val="center"/>
        <w:rPr>
          <w:szCs w:val="21"/>
        </w:rPr>
      </w:pPr>
      <w:r>
        <w:rPr>
          <w:rFonts w:hint="eastAsia"/>
          <w:szCs w:val="21"/>
          <w:lang w:val="en-US" w:eastAsia="zh-CN"/>
        </w:rPr>
        <w:t xml:space="preserve">                                            </w:t>
      </w:r>
      <w:r>
        <w:rPr>
          <w:szCs w:val="21"/>
        </w:rPr>
        <w:t>石，折300升/千克）产量（吨）</w:t>
      </w:r>
    </w:p>
    <w:p w14:paraId="1DDF16C4">
      <w:pPr>
        <w:spacing w:line="360" w:lineRule="exact"/>
        <w:ind w:firstLine="420" w:firstLineChars="200"/>
        <w:textAlignment w:val="center"/>
        <w:rPr>
          <w:szCs w:val="21"/>
        </w:rPr>
      </w:pPr>
      <w:r>
        <w:rPr>
          <w:szCs w:val="21"/>
        </w:rPr>
        <w:t>分子项：电石生产耗电量。包括电石生产系统以及为电石生产服务的辅助系统和附属生产系统耗电量，包括电炉工艺用电和动力电。</w:t>
      </w:r>
    </w:p>
    <w:p w14:paraId="5C5DD86B">
      <w:pPr>
        <w:spacing w:line="360" w:lineRule="exact"/>
        <w:ind w:firstLine="420" w:firstLineChars="200"/>
        <w:textAlignment w:val="center"/>
        <w:rPr>
          <w:szCs w:val="21"/>
        </w:rPr>
      </w:pPr>
      <w:r>
        <w:rPr>
          <w:szCs w:val="21"/>
        </w:rPr>
        <w:t>分母项：碳化钙（电石，折300升/千克）产量。说明同上。</w:t>
      </w:r>
    </w:p>
    <w:p w14:paraId="5BC3FFEE">
      <w:pPr>
        <w:spacing w:line="360" w:lineRule="exact"/>
        <w:ind w:firstLine="420" w:firstLineChars="200"/>
        <w:textAlignment w:val="center"/>
        <w:rPr>
          <w:rFonts w:eastAsia="黑体"/>
          <w:szCs w:val="21"/>
        </w:rPr>
      </w:pPr>
      <w:r>
        <w:rPr>
          <w:rFonts w:eastAsia="黑体"/>
          <w:szCs w:val="21"/>
        </w:rPr>
        <w:t xml:space="preserve">单位黄磷生产综合能耗  </w:t>
      </w:r>
    </w:p>
    <w:p w14:paraId="541AF05E">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计算公式：单位黄磷生产综合能耗（千克标准煤/吨）＝1000×黄磷综合能源消耗总量（吨标准煤）</w:t>
      </w:r>
    </w:p>
    <w:p w14:paraId="784246B2">
      <w:pPr>
        <w:spacing w:line="360" w:lineRule="exact"/>
        <w:ind w:left="5145" w:leftChars="0" w:hanging="5145" w:hangingChars="2450"/>
        <w:textAlignment w:val="center"/>
        <w:rPr>
          <w:szCs w:val="21"/>
        </w:rPr>
      </w:pPr>
      <w:r>
        <w:rPr>
          <w:rFonts w:hint="eastAsia"/>
          <w:szCs w:val="21"/>
          <w:lang w:val="en-US" w:eastAsia="zh-CN"/>
        </w:rPr>
        <w:t xml:space="preserve">                                                     </w:t>
      </w:r>
      <w:r>
        <w:rPr>
          <w:szCs w:val="21"/>
          <w:lang w:val="en"/>
        </w:rPr>
        <w:t>/</w:t>
      </w:r>
      <w:r>
        <w:rPr>
          <w:szCs w:val="21"/>
        </w:rPr>
        <w:t>黄磷产量（吨）</w:t>
      </w:r>
    </w:p>
    <w:p w14:paraId="7D241243">
      <w:pPr>
        <w:spacing w:line="360" w:lineRule="exact"/>
        <w:ind w:firstLine="420" w:firstLineChars="200"/>
        <w:textAlignment w:val="center"/>
        <w:rPr>
          <w:szCs w:val="21"/>
        </w:rPr>
      </w:pPr>
      <w:r>
        <w:rPr>
          <w:szCs w:val="21"/>
        </w:rPr>
        <w:t>分子项：黄磷综合能源消耗总量。指黄磷生产界区（从磷矿、焦炭、硅石、电力、蒸汽等原材料和能源经计量进入工序开始，到成品黄磷计量入库和黄磷</w:t>
      </w:r>
      <w:r>
        <w:rPr>
          <w:rFonts w:hint="eastAsia"/>
          <w:szCs w:val="21"/>
          <w:lang w:eastAsia="zh-CN"/>
        </w:rPr>
        <w:t>“</w:t>
      </w:r>
      <w:r>
        <w:rPr>
          <w:szCs w:val="21"/>
        </w:rPr>
        <w:t>三废</w:t>
      </w:r>
      <w:r>
        <w:rPr>
          <w:rFonts w:hint="eastAsia"/>
          <w:szCs w:val="21"/>
          <w:lang w:eastAsia="zh-CN"/>
        </w:rPr>
        <w:t>”</w:t>
      </w:r>
      <w:r>
        <w:rPr>
          <w:szCs w:val="21"/>
        </w:rPr>
        <w:t>经处理送出为止的整个生产过程）消耗的能源。包括黄磷生产系统、辅助生产系统和附属生产系统的各种能源消耗量和损失量，以及用作原料、材料的能源。不包括基建、技改项目建设及以生活为目的的能耗；不包括向外输出的能源。</w:t>
      </w:r>
    </w:p>
    <w:p w14:paraId="5602C647">
      <w:pPr>
        <w:spacing w:line="360" w:lineRule="exact"/>
        <w:ind w:firstLine="420" w:firstLineChars="200"/>
        <w:textAlignment w:val="center"/>
        <w:rPr>
          <w:szCs w:val="21"/>
        </w:rPr>
      </w:pPr>
      <w:r>
        <w:rPr>
          <w:szCs w:val="21"/>
        </w:rPr>
        <w:t>黄磷生产消耗的能源主要有煤炭、石油、天然气、电力、焦炭、煤气、电石、碳素制品、蒸汽；消耗的耗能工质有水、氧气、氮气、压缩空气等。耗能工质不包括自产的耗能工质，但包括其所消耗的能源。企业黄磷生产界区外的辅助生产系统、附属生产系统能源消耗量和损失量应按能耗比例法分摊。碳素砖、润滑油的消耗不计入产品综合能耗。</w:t>
      </w:r>
    </w:p>
    <w:p w14:paraId="2B72BD7F">
      <w:pPr>
        <w:spacing w:line="360" w:lineRule="exact"/>
        <w:ind w:firstLine="420" w:firstLineChars="200"/>
        <w:textAlignment w:val="center"/>
        <w:rPr>
          <w:szCs w:val="21"/>
        </w:rPr>
      </w:pPr>
      <w:r>
        <w:rPr>
          <w:szCs w:val="21"/>
        </w:rPr>
        <w:t>焦炭（或无烟煤）消耗，包括实际入炉量和损失量，不包括调出的焦（煤）粉。供辅助、附属生产系统的焦（煤）粉按比例分摊法计入总能耗。</w:t>
      </w:r>
    </w:p>
    <w:p w14:paraId="66057D57">
      <w:pPr>
        <w:spacing w:line="360" w:lineRule="exact"/>
        <w:ind w:firstLine="420" w:firstLineChars="200"/>
        <w:textAlignment w:val="center"/>
        <w:rPr>
          <w:szCs w:val="21"/>
        </w:rPr>
      </w:pPr>
      <w:r>
        <w:rPr>
          <w:szCs w:val="21"/>
        </w:rPr>
        <w:t>黄磷生产界区内回收本界区内产生的余热、余能及化学反应热，不计入能源消耗量。供界区外装置回收利用的，应按其实际回收的能量从本界区能耗中扣除。</w:t>
      </w:r>
    </w:p>
    <w:p w14:paraId="18C27FE2">
      <w:pPr>
        <w:spacing w:line="360" w:lineRule="exact"/>
        <w:ind w:firstLine="420" w:firstLineChars="200"/>
        <w:textAlignment w:val="center"/>
        <w:rPr>
          <w:rFonts w:eastAsia="黑体"/>
          <w:szCs w:val="21"/>
        </w:rPr>
      </w:pPr>
      <w:r>
        <w:rPr>
          <w:szCs w:val="21"/>
        </w:rPr>
        <w:t>分母项：黄磷产量。包括黄磷产品产量和泥磷回收折元素磷两部分。即粗磷精制、过滤所得的，以及泥磷通过真空过滤或蒸磷等方法得到的符合国家标准GB7816</w:t>
      </w:r>
      <w:r>
        <w:rPr>
          <w:rFonts w:hint="eastAsia"/>
          <w:szCs w:val="21"/>
          <w:lang w:val="en-US" w:eastAsia="zh-CN"/>
        </w:rPr>
        <w:t>-</w:t>
      </w:r>
      <w:r>
        <w:rPr>
          <w:szCs w:val="21"/>
        </w:rPr>
        <w:t>1998的黄磷产品；泥磷回收折磷，指泥磷通过烧制磷酸或制其他化学品回收的元素磷量。</w:t>
      </w:r>
    </w:p>
    <w:p w14:paraId="051F1C3A">
      <w:pPr>
        <w:spacing w:line="360" w:lineRule="exact"/>
        <w:ind w:firstLine="420" w:firstLineChars="200"/>
        <w:textAlignment w:val="center"/>
        <w:rPr>
          <w:rFonts w:eastAsia="黑体"/>
          <w:szCs w:val="21"/>
        </w:rPr>
      </w:pPr>
      <w:r>
        <w:rPr>
          <w:rFonts w:eastAsia="黑体"/>
          <w:szCs w:val="21"/>
        </w:rPr>
        <w:t xml:space="preserve">单位黄磷生产耗电 </w:t>
      </w:r>
    </w:p>
    <w:p w14:paraId="1C92E266">
      <w:pPr>
        <w:spacing w:line="360" w:lineRule="exact"/>
        <w:ind w:left="1030" w:leftChars="0" w:hanging="1030" w:hangingChars="500"/>
        <w:textAlignment w:val="center"/>
        <w:rPr>
          <w:spacing w:val="-2"/>
          <w:szCs w:val="21"/>
        </w:rPr>
      </w:pPr>
      <w:r>
        <w:rPr>
          <w:rFonts w:hint="eastAsia"/>
          <w:spacing w:val="-2"/>
          <w:szCs w:val="21"/>
          <w:lang w:val="en-US" w:eastAsia="zh-CN"/>
        </w:rPr>
        <w:t xml:space="preserve">    </w:t>
      </w:r>
      <w:r>
        <w:rPr>
          <w:spacing w:val="-2"/>
          <w:szCs w:val="21"/>
        </w:rPr>
        <w:t>计算公式：单位黄磷生产耗电（千瓦时/吨）＝10000×黄磷生产耗电总量（万千瓦时）</w:t>
      </w:r>
      <w:r>
        <w:rPr>
          <w:spacing w:val="-2"/>
          <w:szCs w:val="21"/>
          <w:lang w:val="en"/>
        </w:rPr>
        <w:t>/</w:t>
      </w:r>
      <w:r>
        <w:rPr>
          <w:spacing w:val="-2"/>
          <w:szCs w:val="21"/>
        </w:rPr>
        <w:t>黄磷产量（吨）</w:t>
      </w:r>
    </w:p>
    <w:p w14:paraId="447968FC">
      <w:pPr>
        <w:spacing w:line="360" w:lineRule="exact"/>
        <w:ind w:firstLine="420" w:firstLineChars="200"/>
        <w:textAlignment w:val="center"/>
        <w:rPr>
          <w:szCs w:val="21"/>
        </w:rPr>
      </w:pPr>
      <w:r>
        <w:rPr>
          <w:szCs w:val="21"/>
        </w:rPr>
        <w:t>分子项：黄磷产品耗电。包括电炉电耗和动力电耗两部分。</w:t>
      </w:r>
    </w:p>
    <w:p w14:paraId="00347A9D">
      <w:pPr>
        <w:spacing w:line="360" w:lineRule="exact"/>
        <w:ind w:firstLine="420" w:firstLineChars="200"/>
        <w:textAlignment w:val="center"/>
        <w:rPr>
          <w:szCs w:val="21"/>
        </w:rPr>
      </w:pPr>
      <w:r>
        <w:rPr>
          <w:szCs w:val="21"/>
        </w:rPr>
        <w:t>（1）电炉电耗包括电炉加热的直接用电、电炉短网电耗、电炉变压器损耗、电炉变压器高压线路损耗以及供电线路损耗所分摊给电炉变压器的电耗；不包括电炉及其附属设备和建筑物所消耗的动力和照明用电。</w:t>
      </w:r>
    </w:p>
    <w:p w14:paraId="38EA53BD">
      <w:pPr>
        <w:spacing w:line="360" w:lineRule="exact"/>
        <w:ind w:firstLine="420" w:firstLineChars="200"/>
        <w:textAlignment w:val="center"/>
        <w:rPr>
          <w:szCs w:val="21"/>
        </w:rPr>
      </w:pPr>
      <w:r>
        <w:rPr>
          <w:szCs w:val="21"/>
        </w:rPr>
        <w:t>（2）动力电耗包括生产系统、辅助生产系统和附属生产系统所分摊的动力和照明用电。</w:t>
      </w:r>
    </w:p>
    <w:p w14:paraId="1A9A7923">
      <w:pPr>
        <w:spacing w:line="360" w:lineRule="exact"/>
        <w:ind w:firstLine="420" w:firstLineChars="200"/>
        <w:textAlignment w:val="center"/>
        <w:rPr>
          <w:szCs w:val="21"/>
        </w:rPr>
      </w:pPr>
      <w:r>
        <w:rPr>
          <w:szCs w:val="21"/>
        </w:rPr>
        <w:t>①生产系统所消耗的动力和照明用电，包括生产系统所有装置、设施所消耗的动力、照明用电及其供电损耗，以及所分摊的动力变压器和供电线路损耗。</w:t>
      </w:r>
    </w:p>
    <w:p w14:paraId="7347D7CC">
      <w:pPr>
        <w:spacing w:line="360" w:lineRule="exact"/>
        <w:ind w:firstLine="420" w:firstLineChars="200"/>
        <w:textAlignment w:val="center"/>
        <w:rPr>
          <w:szCs w:val="21"/>
        </w:rPr>
      </w:pPr>
      <w:r>
        <w:rPr>
          <w:szCs w:val="21"/>
        </w:rPr>
        <w:t>②辅助生产系统和附属生产系统所分摊的动力和照明用电量，指这两个系统按比例分摊给黄磷产品的动力和照明电耗以及它们的损耗。</w:t>
      </w:r>
    </w:p>
    <w:p w14:paraId="5366051E">
      <w:pPr>
        <w:spacing w:line="360" w:lineRule="exact"/>
        <w:ind w:firstLine="420" w:firstLineChars="200"/>
        <w:textAlignment w:val="center"/>
        <w:rPr>
          <w:szCs w:val="21"/>
        </w:rPr>
      </w:pPr>
      <w:r>
        <w:rPr>
          <w:szCs w:val="21"/>
        </w:rPr>
        <w:t>分母项：黄磷产量。说明同上。</w:t>
      </w:r>
    </w:p>
    <w:p w14:paraId="522D47A2">
      <w:pPr>
        <w:pStyle w:val="10"/>
        <w:spacing w:line="360" w:lineRule="exact"/>
        <w:ind w:firstLine="420" w:firstLineChars="200"/>
        <w:textAlignment w:val="center"/>
        <w:rPr>
          <w:rFonts w:ascii="Times New Roman" w:hAnsi="Times New Roman" w:eastAsia="黑体" w:cs="Times New Roman"/>
          <w:bCs/>
        </w:rPr>
      </w:pPr>
    </w:p>
    <w:p w14:paraId="5994D7E1">
      <w:pPr>
        <w:pStyle w:val="10"/>
        <w:spacing w:line="360" w:lineRule="exact"/>
        <w:ind w:firstLine="420" w:firstLineChars="200"/>
        <w:textAlignment w:val="center"/>
        <w:rPr>
          <w:rFonts w:ascii="Times New Roman" w:hAnsi="Times New Roman" w:eastAsia="黑体" w:cs="Times New Roman"/>
          <w:bCs/>
        </w:rPr>
      </w:pPr>
      <w:r>
        <w:rPr>
          <w:rFonts w:ascii="Times New Roman" w:hAnsi="Times New Roman" w:eastAsia="黑体" w:cs="Times New Roman"/>
          <w:bCs/>
        </w:rPr>
        <w:t>有机化学原料（26）</w:t>
      </w:r>
    </w:p>
    <w:p w14:paraId="725B6466">
      <w:pPr>
        <w:spacing w:line="360" w:lineRule="exact"/>
        <w:ind w:firstLine="420" w:firstLineChars="200"/>
        <w:textAlignment w:val="center"/>
        <w:rPr>
          <w:szCs w:val="21"/>
        </w:rPr>
      </w:pPr>
      <w:r>
        <w:rPr>
          <w:rFonts w:eastAsia="黑体"/>
          <w:szCs w:val="21"/>
        </w:rPr>
        <w:t>单位乙烯生产综合能耗</w:t>
      </w:r>
      <w:r>
        <w:rPr>
          <w:szCs w:val="21"/>
        </w:rPr>
        <w:t xml:space="preserve">  </w:t>
      </w:r>
    </w:p>
    <w:p w14:paraId="3B06FD72">
      <w:pPr>
        <w:spacing w:line="360" w:lineRule="exact"/>
        <w:ind w:left="5014" w:leftChars="0" w:hanging="5014" w:hangingChars="2388"/>
        <w:textAlignment w:val="center"/>
        <w:rPr>
          <w:szCs w:val="21"/>
        </w:rPr>
      </w:pPr>
      <w:r>
        <w:rPr>
          <w:rFonts w:hint="eastAsia"/>
          <w:szCs w:val="21"/>
          <w:lang w:val="en-US" w:eastAsia="zh-CN"/>
        </w:rPr>
        <w:t xml:space="preserve">    </w:t>
      </w:r>
      <w:r>
        <w:rPr>
          <w:szCs w:val="21"/>
        </w:rPr>
        <w:t>计算公式：单位乙烯生产综合能耗（千克标准煤/吨）＝1000×乙烯燃动综合能源消耗量（吨标准煤）</w:t>
      </w:r>
    </w:p>
    <w:p w14:paraId="0D37CD2D">
      <w:pPr>
        <w:spacing w:line="360" w:lineRule="exact"/>
        <w:ind w:left="5014" w:leftChars="0" w:hanging="5014" w:hangingChars="2388"/>
        <w:textAlignment w:val="center"/>
        <w:rPr>
          <w:szCs w:val="21"/>
        </w:rPr>
      </w:pPr>
      <w:r>
        <w:rPr>
          <w:rFonts w:hint="eastAsia"/>
          <w:szCs w:val="21"/>
          <w:lang w:val="en-US" w:eastAsia="zh-CN"/>
        </w:rPr>
        <w:t xml:space="preserve">                                                    </w:t>
      </w:r>
      <w:r>
        <w:rPr>
          <w:szCs w:val="21"/>
          <w:lang w:val="en"/>
        </w:rPr>
        <w:t>/</w:t>
      </w:r>
      <w:r>
        <w:rPr>
          <w:szCs w:val="21"/>
        </w:rPr>
        <w:t>乙烯产量（吨）</w:t>
      </w:r>
    </w:p>
    <w:p w14:paraId="0ECE4C0F">
      <w:pPr>
        <w:spacing w:line="360" w:lineRule="exact"/>
        <w:ind w:firstLine="420" w:firstLineChars="200"/>
        <w:textAlignment w:val="center"/>
        <w:rPr>
          <w:szCs w:val="21"/>
        </w:rPr>
      </w:pPr>
      <w:r>
        <w:rPr>
          <w:szCs w:val="21"/>
        </w:rPr>
        <w:t>分子项：乙烯燃动综合能源消耗量。包括燃料油、燃料气、蒸汽、电力等的消耗，不包括作为生产乙烯的原料消耗（注：在填报</w:t>
      </w:r>
      <w:r>
        <w:rPr>
          <w:bCs/>
          <w:szCs w:val="21"/>
        </w:rPr>
        <w:t>《能源购进、消费与库存》</w:t>
      </w:r>
      <w:r>
        <w:rPr>
          <w:rFonts w:hint="eastAsia"/>
          <w:bCs/>
          <w:szCs w:val="21"/>
        </w:rPr>
        <w:t>和《能源加工转换与</w:t>
      </w:r>
      <w:r>
        <w:rPr>
          <w:bCs/>
          <w:szCs w:val="21"/>
        </w:rPr>
        <w:t>回收利用</w:t>
      </w:r>
      <w:r>
        <w:rPr>
          <w:rFonts w:hint="eastAsia"/>
          <w:bCs/>
          <w:szCs w:val="21"/>
        </w:rPr>
        <w:t>》</w:t>
      </w:r>
      <w:r>
        <w:rPr>
          <w:szCs w:val="21"/>
        </w:rPr>
        <w:t>时，要计算能源消费量）。计算能耗的乙烯装置界区仅指乙烯工艺装置本身，包括原料脱硫、脱砷、裂解炉区、急冷区、压缩区、分离区、废碱处理、火炬气回收压缩机（回收气返回裂解炉燃料系统）工艺单元。</w:t>
      </w:r>
    </w:p>
    <w:p w14:paraId="3CDC058D">
      <w:pPr>
        <w:spacing w:line="360" w:lineRule="exact"/>
        <w:ind w:firstLine="420" w:firstLineChars="200"/>
        <w:textAlignment w:val="center"/>
        <w:rPr>
          <w:szCs w:val="21"/>
        </w:rPr>
      </w:pPr>
      <w:r>
        <w:rPr>
          <w:szCs w:val="21"/>
        </w:rPr>
        <w:t>乙烯生产装置界区不包括：开工锅炉、锅炉给水、循环水、空压站等辅助生产设施。这些辅助设施用能不计入乙烯燃动综合能源消耗量。</w:t>
      </w:r>
    </w:p>
    <w:p w14:paraId="1CDF8940">
      <w:pPr>
        <w:spacing w:line="360" w:lineRule="exact"/>
        <w:ind w:firstLine="420" w:firstLineChars="200"/>
        <w:textAlignment w:val="center"/>
        <w:rPr>
          <w:szCs w:val="21"/>
        </w:rPr>
      </w:pPr>
      <w:r>
        <w:rPr>
          <w:szCs w:val="21"/>
        </w:rPr>
        <w:t>分母项：乙烯生产量。指乙烯生产量，不包括丙烯等联产品。乙烯是指用油（轻油、柴油、重油、石脑油、原油）、气（乙烷、丙烷炼厂气）经裂解、分离过程制成的乙烯；不包括用酒精脱水制成的乙烯，亦不包括直接利用未经分离的裂解气体或其他气体中的乙烯馏分。各种未用尽的乙烯，返回乙烯生产装置时，不得再计算乙烯产量。</w:t>
      </w:r>
    </w:p>
    <w:p w14:paraId="0DE6A950">
      <w:pPr>
        <w:spacing w:line="360" w:lineRule="exact"/>
        <w:ind w:firstLine="420" w:firstLineChars="200"/>
        <w:textAlignment w:val="center"/>
        <w:rPr>
          <w:rFonts w:eastAsia="黑体"/>
          <w:szCs w:val="21"/>
        </w:rPr>
      </w:pPr>
      <w:r>
        <w:rPr>
          <w:rFonts w:eastAsia="黑体"/>
          <w:szCs w:val="21"/>
        </w:rPr>
        <w:t xml:space="preserve">单位乙烯生产耗电  </w:t>
      </w:r>
    </w:p>
    <w:p w14:paraId="00498BC5">
      <w:pPr>
        <w:spacing w:line="360" w:lineRule="exact"/>
        <w:ind w:left="1050" w:leftChars="0" w:hanging="1050" w:hangingChars="520"/>
        <w:textAlignment w:val="center"/>
        <w:rPr>
          <w:spacing w:val="-4"/>
          <w:szCs w:val="21"/>
        </w:rPr>
      </w:pPr>
      <w:r>
        <w:rPr>
          <w:rFonts w:hint="eastAsia"/>
          <w:spacing w:val="-4"/>
          <w:szCs w:val="21"/>
          <w:lang w:val="en-US" w:eastAsia="zh-CN"/>
        </w:rPr>
        <w:t xml:space="preserve">    </w:t>
      </w:r>
      <w:r>
        <w:rPr>
          <w:spacing w:val="-4"/>
          <w:szCs w:val="21"/>
        </w:rPr>
        <w:t>计算公式：单位乙烯生产耗电（千瓦时/吨）＝10000×乙烯生产耗电总量（万千瓦时）</w:t>
      </w:r>
      <w:r>
        <w:rPr>
          <w:spacing w:val="-4"/>
          <w:szCs w:val="21"/>
          <w:lang w:val="en"/>
        </w:rPr>
        <w:t>/</w:t>
      </w:r>
      <w:r>
        <w:rPr>
          <w:spacing w:val="-4"/>
          <w:szCs w:val="21"/>
        </w:rPr>
        <w:t>乙烯生产量（吨）</w:t>
      </w:r>
    </w:p>
    <w:p w14:paraId="381E945F">
      <w:pPr>
        <w:spacing w:line="360" w:lineRule="exact"/>
        <w:ind w:firstLine="420" w:firstLineChars="200"/>
        <w:textAlignment w:val="center"/>
        <w:rPr>
          <w:szCs w:val="21"/>
        </w:rPr>
      </w:pPr>
      <w:r>
        <w:rPr>
          <w:szCs w:val="21"/>
        </w:rPr>
        <w:t xml:space="preserve">分子项：乙烯生产耗电量。指乙烯装置界区内的耗电量。  </w:t>
      </w:r>
    </w:p>
    <w:p w14:paraId="3AC05850">
      <w:pPr>
        <w:spacing w:line="360" w:lineRule="exact"/>
        <w:ind w:firstLine="420" w:firstLineChars="200"/>
        <w:textAlignment w:val="center"/>
      </w:pPr>
      <w:r>
        <w:rPr>
          <w:szCs w:val="21"/>
        </w:rPr>
        <w:t>分母项：乙烯生产量。说明同上。</w:t>
      </w:r>
    </w:p>
    <w:p w14:paraId="5BF0343B">
      <w:pPr>
        <w:spacing w:line="360" w:lineRule="exact"/>
        <w:ind w:firstLine="420" w:firstLineChars="200"/>
        <w:textAlignment w:val="center"/>
        <w:rPr>
          <w:rFonts w:eastAsia="黑体"/>
          <w:bCs/>
          <w:szCs w:val="21"/>
        </w:rPr>
      </w:pPr>
    </w:p>
    <w:p w14:paraId="4B19282A">
      <w:pPr>
        <w:spacing w:line="360" w:lineRule="exact"/>
        <w:ind w:firstLine="420" w:firstLineChars="200"/>
        <w:textAlignment w:val="center"/>
        <w:rPr>
          <w:rFonts w:eastAsia="黑体"/>
          <w:bCs/>
          <w:szCs w:val="21"/>
        </w:rPr>
      </w:pPr>
      <w:r>
        <w:rPr>
          <w:rFonts w:eastAsia="黑体"/>
          <w:bCs/>
          <w:szCs w:val="21"/>
        </w:rPr>
        <w:t>氮肥（26）</w:t>
      </w:r>
    </w:p>
    <w:p w14:paraId="517917F9">
      <w:pPr>
        <w:spacing w:line="360" w:lineRule="exact"/>
        <w:ind w:firstLine="420" w:firstLineChars="200"/>
        <w:textAlignment w:val="center"/>
        <w:rPr>
          <w:szCs w:val="21"/>
        </w:rPr>
      </w:pPr>
      <w:r>
        <w:rPr>
          <w:rFonts w:eastAsia="黑体"/>
          <w:szCs w:val="21"/>
        </w:rPr>
        <w:t>单位合成氨生产综合能耗</w:t>
      </w:r>
      <w:r>
        <w:rPr>
          <w:szCs w:val="21"/>
        </w:rPr>
        <w:t xml:space="preserve">  </w:t>
      </w:r>
    </w:p>
    <w:p w14:paraId="6E5508C4">
      <w:pPr>
        <w:spacing w:line="360" w:lineRule="exact"/>
        <w:ind w:left="0" w:leftChars="0" w:firstLine="420" w:firstLineChars="200"/>
        <w:textAlignment w:val="center"/>
        <w:rPr>
          <w:szCs w:val="21"/>
        </w:rPr>
      </w:pPr>
      <w:r>
        <w:rPr>
          <w:szCs w:val="21"/>
        </w:rPr>
        <w:t>计算公式：单位合成氨生产综合能耗（千克标准煤/吨）＝1000×合成氨生产综合能耗（吨标准煤）</w:t>
      </w:r>
    </w:p>
    <w:p w14:paraId="492F54DB">
      <w:pPr>
        <w:spacing w:line="360" w:lineRule="exact"/>
        <w:ind w:left="0" w:leftChars="0" w:firstLine="420" w:firstLineChars="200"/>
        <w:textAlignment w:val="center"/>
        <w:rPr>
          <w:szCs w:val="21"/>
        </w:rPr>
      </w:pPr>
      <w:r>
        <w:rPr>
          <w:rFonts w:hint="eastAsia"/>
          <w:szCs w:val="21"/>
          <w:lang w:val="en-US" w:eastAsia="zh-CN"/>
        </w:rPr>
        <w:t xml:space="preserve">                                                   </w:t>
      </w:r>
      <w:r>
        <w:rPr>
          <w:szCs w:val="21"/>
          <w:lang w:val="en"/>
        </w:rPr>
        <w:t>/</w:t>
      </w:r>
      <w:r>
        <w:rPr>
          <w:szCs w:val="21"/>
        </w:rPr>
        <w:t>合成氨（无水氨）产量（吨）</w:t>
      </w:r>
    </w:p>
    <w:p w14:paraId="42ECBAF8">
      <w:pPr>
        <w:spacing w:line="360" w:lineRule="exact"/>
        <w:ind w:firstLine="420" w:firstLineChars="200"/>
        <w:textAlignment w:val="center"/>
        <w:rPr>
          <w:szCs w:val="21"/>
        </w:rPr>
      </w:pPr>
      <w:r>
        <w:rPr>
          <w:szCs w:val="21"/>
        </w:rPr>
        <w:t>分子项：合成氨生产综合能耗。指合成氨生产实际的能源消耗或称为生产所必需的能源消耗。包括原料加工到液氨进氨库整个生产系统的消耗以及辅助和附属生产系统的消耗。</w:t>
      </w:r>
    </w:p>
    <w:p w14:paraId="44C30767">
      <w:pPr>
        <w:spacing w:line="360" w:lineRule="exact"/>
        <w:ind w:left="2100" w:leftChars="0" w:hanging="2100" w:hangingChars="1000"/>
        <w:textAlignment w:val="center"/>
        <w:rPr>
          <w:szCs w:val="21"/>
        </w:rPr>
      </w:pPr>
      <w:r>
        <w:rPr>
          <w:szCs w:val="21"/>
        </w:rPr>
        <w:t>合成氨生产综合能耗＝合成氨消耗的各种能源（标准煤）之和－合成氨输出的各种能源（标准煤）之和。</w:t>
      </w:r>
    </w:p>
    <w:p w14:paraId="62AFF2D1">
      <w:pPr>
        <w:spacing w:line="360" w:lineRule="exact"/>
        <w:ind w:firstLine="420" w:firstLineChars="200"/>
        <w:textAlignment w:val="center"/>
        <w:rPr>
          <w:szCs w:val="21"/>
        </w:rPr>
      </w:pPr>
      <w:r>
        <w:rPr>
          <w:szCs w:val="21"/>
        </w:rPr>
        <w:t>合成氨输出能源：指合成氨系统向界外输出的，供其他产品或装置使用的能源。对于合成氨系统中的废气、废液、废渣等未回收使用的、无计量的、没有实测热值以及不作为能源再次利用的（如直接用于修路、盖房等），均不得计入输出能源。输出的耗能工质不能计入合成氨输出能源。合成氨输出能源有以下形式：</w:t>
      </w:r>
    </w:p>
    <w:p w14:paraId="01B959DE">
      <w:pPr>
        <w:spacing w:line="360" w:lineRule="exact"/>
        <w:ind w:firstLine="420" w:firstLineChars="200"/>
        <w:textAlignment w:val="center"/>
        <w:rPr>
          <w:szCs w:val="21"/>
        </w:rPr>
      </w:pPr>
      <w:r>
        <w:rPr>
          <w:szCs w:val="21"/>
        </w:rPr>
        <w:t>（1）作为能源（原料、燃料）供其他产品或装置使用的合成氨吹出气、弛放气、解析气（包括作为民用燃料气）。按实测燃料气组成成分计算热值。</w:t>
      </w:r>
    </w:p>
    <w:p w14:paraId="5639A2E0">
      <w:pPr>
        <w:spacing w:line="360" w:lineRule="exact"/>
        <w:ind w:firstLine="420" w:firstLineChars="200"/>
        <w:textAlignment w:val="center"/>
        <w:rPr>
          <w:szCs w:val="21"/>
        </w:rPr>
      </w:pPr>
      <w:r>
        <w:rPr>
          <w:szCs w:val="21"/>
        </w:rPr>
        <w:t>（2）作为能源供其他产品或装置使用的合成氨系统输出的物料（造气排出的炉渣、干灰、湿灰和锅炉排出的炉渣等，制成蜂窝煤，煤球，烧制砖瓦，作热电厂燃料等）。按实测低位发热值折标系数计入输出能源。</w:t>
      </w:r>
    </w:p>
    <w:p w14:paraId="2E08ACC9">
      <w:pPr>
        <w:spacing w:line="360" w:lineRule="exact"/>
        <w:ind w:firstLine="420" w:firstLineChars="200"/>
        <w:textAlignment w:val="center"/>
        <w:rPr>
          <w:szCs w:val="21"/>
        </w:rPr>
      </w:pPr>
      <w:r>
        <w:rPr>
          <w:szCs w:val="21"/>
        </w:rPr>
        <w:t>（3）自备电厂利用合成氨系统余热（含自产的炉渣、废气、热水）、余压，发电、产汽（不掺烧其他外购燃料），向企业以外供应的蒸汽和电力。</w:t>
      </w:r>
    </w:p>
    <w:p w14:paraId="5103735E">
      <w:pPr>
        <w:spacing w:line="360" w:lineRule="exact"/>
        <w:ind w:firstLine="420" w:firstLineChars="200"/>
        <w:textAlignment w:val="center"/>
        <w:rPr>
          <w:szCs w:val="21"/>
        </w:rPr>
      </w:pPr>
      <w:r>
        <w:rPr>
          <w:szCs w:val="21"/>
        </w:rPr>
        <w:t>外供蒸汽折标准量（标准煤）方法同外购蒸汽。</w:t>
      </w:r>
    </w:p>
    <w:p w14:paraId="4A8FC410">
      <w:pPr>
        <w:spacing w:line="360" w:lineRule="exact"/>
        <w:ind w:firstLine="420" w:firstLineChars="200"/>
        <w:textAlignment w:val="center"/>
        <w:rPr>
          <w:szCs w:val="21"/>
        </w:rPr>
      </w:pPr>
      <w:r>
        <w:rPr>
          <w:szCs w:val="21"/>
        </w:rPr>
        <w:t>全余热自发电量（标准煤）＝ 供电量（千瓦时）×0.1229（千克标准煤/千瓦时）。</w:t>
      </w:r>
    </w:p>
    <w:p w14:paraId="4A57AE63">
      <w:pPr>
        <w:spacing w:line="360" w:lineRule="exact"/>
        <w:ind w:firstLine="420" w:firstLineChars="200"/>
        <w:textAlignment w:val="center"/>
        <w:rPr>
          <w:szCs w:val="21"/>
        </w:rPr>
      </w:pPr>
      <w:r>
        <w:rPr>
          <w:szCs w:val="21"/>
        </w:rPr>
        <w:t>（4）供其他产品或装置预热物料（或生产用水）的合成氨生产中的余热。按回收热能量统计。回收热能量计算公式为：Q＝D×C×（T出－T入）；</w:t>
      </w:r>
    </w:p>
    <w:p w14:paraId="6BE0B77A">
      <w:pPr>
        <w:spacing w:line="360" w:lineRule="exact"/>
        <w:ind w:firstLine="420" w:firstLineChars="200"/>
        <w:textAlignment w:val="center"/>
        <w:rPr>
          <w:szCs w:val="21"/>
        </w:rPr>
      </w:pPr>
      <w:r>
        <w:rPr>
          <w:szCs w:val="21"/>
        </w:rPr>
        <w:t>式中字母符号：</w:t>
      </w:r>
    </w:p>
    <w:p w14:paraId="6B9A8B23">
      <w:pPr>
        <w:spacing w:line="360" w:lineRule="exact"/>
        <w:ind w:firstLine="420" w:firstLineChars="200"/>
        <w:textAlignment w:val="center"/>
        <w:rPr>
          <w:szCs w:val="21"/>
        </w:rPr>
      </w:pPr>
      <w:r>
        <w:rPr>
          <w:szCs w:val="21"/>
        </w:rPr>
        <w:t>D—被预热的物料量（千克）；</w:t>
      </w:r>
    </w:p>
    <w:p w14:paraId="3B870806">
      <w:pPr>
        <w:spacing w:line="360" w:lineRule="exact"/>
        <w:ind w:firstLine="420" w:firstLineChars="200"/>
        <w:textAlignment w:val="center"/>
        <w:rPr>
          <w:szCs w:val="21"/>
        </w:rPr>
      </w:pPr>
      <w:r>
        <w:rPr>
          <w:szCs w:val="21"/>
        </w:rPr>
        <w:t xml:space="preserve">C—被预热物料的比热（千卡/千克·度）； </w:t>
      </w:r>
    </w:p>
    <w:p w14:paraId="26FB19C4">
      <w:pPr>
        <w:spacing w:line="360" w:lineRule="exact"/>
        <w:ind w:firstLine="420" w:firstLineChars="200"/>
        <w:textAlignment w:val="center"/>
        <w:rPr>
          <w:szCs w:val="21"/>
        </w:rPr>
      </w:pPr>
      <w:r>
        <w:rPr>
          <w:szCs w:val="21"/>
        </w:rPr>
        <w:t>T出、T入—被预热物料出、入合成氨系统的温度（℃）；</w:t>
      </w:r>
    </w:p>
    <w:p w14:paraId="6F8238BA">
      <w:pPr>
        <w:spacing w:line="360" w:lineRule="exact"/>
        <w:ind w:firstLine="420" w:firstLineChars="200"/>
        <w:textAlignment w:val="center"/>
        <w:rPr>
          <w:szCs w:val="21"/>
        </w:rPr>
      </w:pPr>
      <w:r>
        <w:rPr>
          <w:szCs w:val="21"/>
        </w:rPr>
        <w:t>（5）供其他产品或用户使用（包括用于生活目的）的合成氨系统外送冷凝液（热水）。作为输出能源按其利用热量从综合能耗中扣除（向外输送冷凝液或热水所耗用的电力也应扣除）。</w:t>
      </w:r>
    </w:p>
    <w:p w14:paraId="42B34B95">
      <w:pPr>
        <w:spacing w:line="360" w:lineRule="exact"/>
        <w:ind w:firstLine="420" w:firstLineChars="200"/>
        <w:textAlignment w:val="center"/>
        <w:rPr>
          <w:szCs w:val="21"/>
        </w:rPr>
      </w:pPr>
      <w:r>
        <w:rPr>
          <w:szCs w:val="21"/>
        </w:rPr>
        <w:t xml:space="preserve">计算公式：Q＝W ×（T出－T环）；式中字母符号：  </w:t>
      </w:r>
    </w:p>
    <w:p w14:paraId="341BC2FF">
      <w:pPr>
        <w:spacing w:line="360" w:lineRule="exact"/>
        <w:ind w:firstLine="420" w:firstLineChars="200"/>
        <w:textAlignment w:val="center"/>
        <w:rPr>
          <w:szCs w:val="21"/>
        </w:rPr>
      </w:pPr>
      <w:r>
        <w:rPr>
          <w:szCs w:val="21"/>
        </w:rPr>
        <w:t>W—合成氨系统外送冷凝液（或热水）量；</w:t>
      </w:r>
    </w:p>
    <w:p w14:paraId="41EB2F69">
      <w:pPr>
        <w:spacing w:line="360" w:lineRule="exact"/>
        <w:ind w:firstLine="420" w:firstLineChars="200"/>
        <w:textAlignment w:val="center"/>
        <w:rPr>
          <w:szCs w:val="21"/>
        </w:rPr>
      </w:pPr>
      <w:r>
        <w:rPr>
          <w:szCs w:val="21"/>
        </w:rPr>
        <w:t>T出—外送冷凝液（热水）温度（℃）；</w:t>
      </w:r>
    </w:p>
    <w:p w14:paraId="5061D098">
      <w:pPr>
        <w:spacing w:line="360" w:lineRule="exact"/>
        <w:ind w:firstLine="420" w:firstLineChars="200"/>
        <w:textAlignment w:val="center"/>
        <w:rPr>
          <w:szCs w:val="21"/>
        </w:rPr>
      </w:pPr>
      <w:r>
        <w:rPr>
          <w:szCs w:val="21"/>
        </w:rPr>
        <w:t>T环—报告期平均环境温度（℃）。</w:t>
      </w:r>
    </w:p>
    <w:p w14:paraId="4779A5D5">
      <w:pPr>
        <w:spacing w:line="360" w:lineRule="exact"/>
        <w:ind w:firstLine="420" w:firstLineChars="200"/>
        <w:textAlignment w:val="center"/>
        <w:rPr>
          <w:szCs w:val="21"/>
        </w:rPr>
      </w:pPr>
      <w:r>
        <w:rPr>
          <w:szCs w:val="21"/>
        </w:rPr>
        <w:t>分母项：合成氨（无水氨）产量。以液态氨为最终计量状态，按实物量计算，不折100</w:t>
      </w:r>
      <w:r>
        <w:rPr>
          <w:rFonts w:hint="eastAsia"/>
          <w:szCs w:val="21"/>
        </w:rPr>
        <w:t>%</w:t>
      </w:r>
      <w:r>
        <w:rPr>
          <w:szCs w:val="21"/>
        </w:rPr>
        <w:t>的纯品。合成氨产量包括：厂内各用氨单位的使用量、销售的商品液氨量、合成氨生产过程中的自用量（净化与脱硫用）以及氨罐弛放气、合成放空气、中间槽解析气等气体回收的氨水含氨量（按回收产品含氨100</w:t>
      </w:r>
      <w:r>
        <w:rPr>
          <w:rFonts w:hint="eastAsia"/>
          <w:szCs w:val="21"/>
        </w:rPr>
        <w:t>%</w:t>
      </w:r>
      <w:r>
        <w:rPr>
          <w:szCs w:val="21"/>
        </w:rPr>
        <w:t>折算）。</w:t>
      </w:r>
    </w:p>
    <w:p w14:paraId="57F0C90C">
      <w:pPr>
        <w:spacing w:line="360" w:lineRule="exact"/>
        <w:ind w:firstLine="420" w:firstLineChars="200"/>
        <w:textAlignment w:val="center"/>
        <w:rPr>
          <w:szCs w:val="21"/>
        </w:rPr>
      </w:pPr>
      <w:r>
        <w:rPr>
          <w:szCs w:val="21"/>
        </w:rPr>
        <w:t>合成氨产量不包括：冰机自用氨量（损失）、净化和氨水脱硫回收的氨水含氨量、碳化清洗塔及回收塔析出的氨水含氨量。</w:t>
      </w:r>
    </w:p>
    <w:p w14:paraId="2494A763">
      <w:pPr>
        <w:spacing w:line="360" w:lineRule="exact"/>
        <w:ind w:firstLine="420" w:firstLineChars="200"/>
        <w:textAlignment w:val="center"/>
        <w:rPr>
          <w:szCs w:val="21"/>
        </w:rPr>
      </w:pPr>
      <w:r>
        <w:rPr>
          <w:szCs w:val="21"/>
        </w:rPr>
        <w:t>合成氨产量采用仪表计量或以最终含氮产品计量。</w:t>
      </w:r>
    </w:p>
    <w:p w14:paraId="0910BC04">
      <w:pPr>
        <w:spacing w:line="360" w:lineRule="exact"/>
        <w:ind w:firstLine="420" w:firstLineChars="200"/>
        <w:textAlignment w:val="center"/>
        <w:rPr>
          <w:szCs w:val="21"/>
        </w:rPr>
      </w:pPr>
      <w:r>
        <w:rPr>
          <w:szCs w:val="21"/>
        </w:rPr>
        <w:t>（1）仪表计量：</w:t>
      </w:r>
    </w:p>
    <w:p w14:paraId="11086C75">
      <w:pPr>
        <w:spacing w:line="360" w:lineRule="exact"/>
        <w:ind w:firstLine="420" w:firstLineChars="200"/>
        <w:textAlignment w:val="center"/>
        <w:rPr>
          <w:szCs w:val="21"/>
        </w:rPr>
      </w:pPr>
      <w:r>
        <w:rPr>
          <w:szCs w:val="21"/>
        </w:rPr>
        <w:t>为保证液氨流量表准确计量，液氨必须经过中间槽减压解析液氨中溶解的气体，并要进行温度压力补偿。当企业既有氨产量总氨表，又有各用户的使用量分表时，总表必须与分表平衡，不得超过液氨流量表允许误差值。</w:t>
      </w:r>
    </w:p>
    <w:p w14:paraId="7D9929B5">
      <w:pPr>
        <w:spacing w:line="360" w:lineRule="exact"/>
        <w:ind w:firstLine="420" w:firstLineChars="200"/>
        <w:textAlignment w:val="center"/>
        <w:rPr>
          <w:szCs w:val="21"/>
        </w:rPr>
      </w:pPr>
      <w:r>
        <w:rPr>
          <w:szCs w:val="21"/>
        </w:rPr>
        <w:t>合成氨产量（吨）＝氨表的表记值＋自用氨量＋商品液氨量＋吹出、解析、弛放气回收氨量＋（氨</w:t>
      </w:r>
    </w:p>
    <w:p w14:paraId="045081EA">
      <w:pPr>
        <w:spacing w:line="360" w:lineRule="exact"/>
        <w:ind w:firstLine="2310" w:firstLineChars="1100"/>
        <w:textAlignment w:val="center"/>
        <w:rPr>
          <w:szCs w:val="21"/>
        </w:rPr>
      </w:pPr>
      <w:r>
        <w:rPr>
          <w:szCs w:val="21"/>
        </w:rPr>
        <w:t>罐期末库存－氨罐期初库存）。</w:t>
      </w:r>
    </w:p>
    <w:p w14:paraId="2962EF62">
      <w:pPr>
        <w:spacing w:line="360" w:lineRule="exact"/>
        <w:ind w:firstLine="420" w:firstLineChars="200"/>
        <w:textAlignment w:val="center"/>
        <w:rPr>
          <w:szCs w:val="21"/>
        </w:rPr>
      </w:pPr>
      <w:r>
        <w:rPr>
          <w:szCs w:val="21"/>
        </w:rPr>
        <w:t>吹出、解析、弛放气回收氨量，指合成吹出气、中间槽解析气、氨罐弛放气回收到系统内加以利用或销售的氨量。</w:t>
      </w:r>
    </w:p>
    <w:p w14:paraId="4BA5155D">
      <w:pPr>
        <w:spacing w:line="360" w:lineRule="exact"/>
        <w:ind w:firstLine="420" w:firstLineChars="200"/>
        <w:textAlignment w:val="center"/>
        <w:rPr>
          <w:szCs w:val="21"/>
        </w:rPr>
      </w:pPr>
      <w:r>
        <w:rPr>
          <w:szCs w:val="21"/>
        </w:rPr>
        <w:t>（2）以最终含氮产品计量：</w:t>
      </w:r>
    </w:p>
    <w:p w14:paraId="5B65C2BA">
      <w:pPr>
        <w:spacing w:line="360" w:lineRule="exact"/>
        <w:ind w:firstLine="420" w:firstLineChars="200"/>
        <w:textAlignment w:val="center"/>
        <w:rPr>
          <w:szCs w:val="21"/>
        </w:rPr>
      </w:pPr>
      <w:r>
        <w:rPr>
          <w:szCs w:val="21"/>
        </w:rPr>
        <w:t>以最终含氮产品计算合成氨产量时，按含氮产品的实际含量折算氨产量。</w:t>
      </w:r>
    </w:p>
    <w:p w14:paraId="5EE2F154">
      <w:pPr>
        <w:spacing w:line="360" w:lineRule="exact"/>
        <w:ind w:left="1890" w:leftChars="0" w:hanging="1890" w:hangingChars="900"/>
        <w:textAlignment w:val="center"/>
        <w:rPr>
          <w:szCs w:val="21"/>
        </w:rPr>
      </w:pPr>
      <w:r>
        <w:rPr>
          <w:rFonts w:hint="eastAsia"/>
          <w:szCs w:val="21"/>
          <w:lang w:val="en-US" w:eastAsia="zh-CN"/>
        </w:rPr>
        <w:t xml:space="preserve">    </w:t>
      </w:r>
      <w:r>
        <w:rPr>
          <w:szCs w:val="21"/>
        </w:rPr>
        <w:t>合成氨产量（吨）＝（合格固体化肥折氮100%+不合格固体化肥折氮100%）×1.26654（吨）＋（合</w:t>
      </w:r>
    </w:p>
    <w:p w14:paraId="251F3038">
      <w:pPr>
        <w:spacing w:line="360" w:lineRule="exact"/>
        <w:ind w:left="1890" w:leftChars="0" w:hanging="1890" w:hangingChars="900"/>
        <w:textAlignment w:val="center"/>
        <w:rPr>
          <w:szCs w:val="21"/>
        </w:rPr>
      </w:pPr>
      <w:r>
        <w:rPr>
          <w:rFonts w:hint="eastAsia"/>
          <w:szCs w:val="21"/>
          <w:lang w:val="en-US" w:eastAsia="zh-CN"/>
        </w:rPr>
        <w:t xml:space="preserve">                      </w:t>
      </w:r>
      <w:r>
        <w:rPr>
          <w:szCs w:val="21"/>
        </w:rPr>
        <w:t>格氨水折氨100%+不合格氨水折氨100%）×1.04167（吨）＋ 自用氨量（吨）</w:t>
      </w:r>
    </w:p>
    <w:p w14:paraId="169569B9">
      <w:pPr>
        <w:spacing w:line="360" w:lineRule="exact"/>
        <w:ind w:left="1890" w:leftChars="0" w:hanging="1890" w:hangingChars="900"/>
        <w:textAlignment w:val="center"/>
        <w:rPr>
          <w:szCs w:val="21"/>
        </w:rPr>
      </w:pPr>
      <w:r>
        <w:rPr>
          <w:rFonts w:hint="eastAsia"/>
          <w:szCs w:val="21"/>
          <w:lang w:val="en-US" w:eastAsia="zh-CN"/>
        </w:rPr>
        <w:t xml:space="preserve">                      </w:t>
      </w:r>
      <w:r>
        <w:rPr>
          <w:szCs w:val="21"/>
        </w:rPr>
        <w:t>＋商品液氨量（吨）＋[氨罐期末库存（吨）－氨罐期初库存（吨）]</w:t>
      </w:r>
    </w:p>
    <w:p w14:paraId="59E76CEC">
      <w:pPr>
        <w:spacing w:line="360" w:lineRule="exact"/>
        <w:ind w:firstLine="420" w:firstLineChars="200"/>
        <w:textAlignment w:val="center"/>
        <w:rPr>
          <w:szCs w:val="21"/>
        </w:rPr>
      </w:pPr>
      <w:r>
        <w:rPr>
          <w:szCs w:val="21"/>
        </w:rPr>
        <w:t xml:space="preserve">式中： </w:t>
      </w:r>
    </w:p>
    <w:p w14:paraId="240D7AF7">
      <w:pPr>
        <w:spacing w:line="360" w:lineRule="exact"/>
        <w:ind w:firstLine="420" w:firstLineChars="200"/>
        <w:textAlignment w:val="center"/>
        <w:rPr>
          <w:szCs w:val="21"/>
        </w:rPr>
      </w:pPr>
      <w:r>
        <w:rPr>
          <w:szCs w:val="21"/>
        </w:rPr>
        <w:t>1.26654＝1÷（0.82245×96%）</w:t>
      </w:r>
    </w:p>
    <w:p w14:paraId="3AD7B8FB">
      <w:pPr>
        <w:spacing w:line="360" w:lineRule="exact"/>
        <w:ind w:firstLine="420" w:firstLineChars="200"/>
        <w:textAlignment w:val="center"/>
        <w:rPr>
          <w:szCs w:val="21"/>
        </w:rPr>
      </w:pPr>
      <w:r>
        <w:rPr>
          <w:szCs w:val="21"/>
        </w:rPr>
        <w:t>1.04167＝1÷96%</w:t>
      </w:r>
    </w:p>
    <w:p w14:paraId="6F2FB7A6">
      <w:pPr>
        <w:spacing w:line="360" w:lineRule="exact"/>
        <w:ind w:firstLine="420" w:firstLineChars="200"/>
        <w:textAlignment w:val="center"/>
        <w:rPr>
          <w:szCs w:val="21"/>
        </w:rPr>
      </w:pPr>
      <w:r>
        <w:rPr>
          <w:szCs w:val="21"/>
        </w:rPr>
        <w:t>0.82245为氨理论含氮量；</w:t>
      </w:r>
    </w:p>
    <w:p w14:paraId="75907AB3">
      <w:pPr>
        <w:spacing w:line="360" w:lineRule="exact"/>
        <w:ind w:firstLine="420" w:firstLineChars="200"/>
        <w:textAlignment w:val="center"/>
        <w:rPr>
          <w:szCs w:val="21"/>
        </w:rPr>
      </w:pPr>
      <w:r>
        <w:rPr>
          <w:szCs w:val="21"/>
        </w:rPr>
        <w:t>96</w:t>
      </w:r>
      <w:r>
        <w:rPr>
          <w:rFonts w:hint="eastAsia"/>
          <w:szCs w:val="21"/>
          <w:lang w:eastAsia="zh-CN"/>
        </w:rPr>
        <w:t>%</w:t>
      </w:r>
      <w:r>
        <w:rPr>
          <w:szCs w:val="21"/>
        </w:rPr>
        <w:t>为固体化肥和氨水的氨利用率。</w:t>
      </w:r>
    </w:p>
    <w:p w14:paraId="190FD772">
      <w:pPr>
        <w:spacing w:line="360" w:lineRule="exact"/>
        <w:ind w:firstLine="210" w:firstLineChars="100"/>
        <w:textAlignment w:val="center"/>
        <w:rPr>
          <w:szCs w:val="21"/>
        </w:rPr>
      </w:pPr>
      <w:r>
        <w:rPr>
          <w:szCs w:val="21"/>
        </w:rPr>
        <w:t xml:space="preserve">  商品液氨量以装瓶或装车量为准。</w:t>
      </w:r>
    </w:p>
    <w:p w14:paraId="4BF6897E">
      <w:pPr>
        <w:spacing w:line="360" w:lineRule="exact"/>
        <w:ind w:firstLine="420" w:firstLineChars="200"/>
        <w:textAlignment w:val="center"/>
        <w:rPr>
          <w:szCs w:val="21"/>
        </w:rPr>
      </w:pPr>
      <w:r>
        <w:rPr>
          <w:szCs w:val="21"/>
        </w:rPr>
        <w:t>自用氨量：当合成氨生产过程用氨的各用户均有氨计量表时，自用氨量以表记值为准；当各用户无表计量时，其规定及计算公式如下：</w:t>
      </w:r>
    </w:p>
    <w:p w14:paraId="6FADED22">
      <w:pPr>
        <w:spacing w:line="360" w:lineRule="exact"/>
        <w:ind w:firstLine="420" w:firstLineChars="200"/>
        <w:textAlignment w:val="center"/>
        <w:rPr>
          <w:rFonts w:hint="eastAsia" w:eastAsia="宋体"/>
          <w:szCs w:val="21"/>
          <w:lang w:eastAsia="zh-CN"/>
        </w:rPr>
      </w:pPr>
      <w:r>
        <w:rPr>
          <w:szCs w:val="21"/>
        </w:rPr>
        <w:t>（1）铜洗法自用氨量为总氨量的0.4</w:t>
      </w:r>
      <w:r>
        <w:rPr>
          <w:rFonts w:hint="eastAsia"/>
          <w:szCs w:val="21"/>
          <w:lang w:eastAsia="zh-CN"/>
        </w:rPr>
        <w:t>%</w:t>
      </w:r>
      <w:r>
        <w:rPr>
          <w:szCs w:val="21"/>
        </w:rPr>
        <w:t>；铜洗自用氨量（吨）＝ 合成氨产量×0.4</w:t>
      </w:r>
      <w:r>
        <w:rPr>
          <w:rFonts w:hint="eastAsia"/>
          <w:szCs w:val="21"/>
          <w:lang w:eastAsia="zh-CN"/>
        </w:rPr>
        <w:t>%</w:t>
      </w:r>
    </w:p>
    <w:p w14:paraId="6E09C339">
      <w:pPr>
        <w:spacing w:line="360" w:lineRule="exact"/>
        <w:ind w:firstLine="420" w:firstLineChars="200"/>
        <w:textAlignment w:val="center"/>
        <w:rPr>
          <w:szCs w:val="21"/>
        </w:rPr>
      </w:pPr>
      <w:r>
        <w:rPr>
          <w:szCs w:val="21"/>
        </w:rPr>
        <w:t>（2）铜洗后氨洗的自用氨量为总氨量的0.5</w:t>
      </w:r>
      <w:r>
        <w:rPr>
          <w:rFonts w:hint="eastAsia"/>
          <w:szCs w:val="21"/>
          <w:lang w:eastAsia="zh-CN"/>
        </w:rPr>
        <w:t>%</w:t>
      </w:r>
      <w:r>
        <w:rPr>
          <w:szCs w:val="21"/>
        </w:rPr>
        <w:t>；氨洗自用氨量（吨）＝ 合成氨产量×0.5%</w:t>
      </w:r>
    </w:p>
    <w:p w14:paraId="14C68C24">
      <w:pPr>
        <w:spacing w:line="360" w:lineRule="exact"/>
        <w:ind w:firstLine="420" w:firstLineChars="200"/>
        <w:textAlignment w:val="center"/>
        <w:rPr>
          <w:rFonts w:hint="eastAsia" w:eastAsia="宋体"/>
          <w:szCs w:val="21"/>
          <w:lang w:eastAsia="zh-CN"/>
        </w:rPr>
      </w:pPr>
      <w:r>
        <w:rPr>
          <w:szCs w:val="21"/>
        </w:rPr>
        <w:t>（3）脱硫工艺自用氨为总氨量的1</w:t>
      </w:r>
      <w:r>
        <w:rPr>
          <w:rFonts w:hint="eastAsia"/>
          <w:szCs w:val="21"/>
          <w:lang w:eastAsia="zh-CN"/>
        </w:rPr>
        <w:t>%</w:t>
      </w:r>
      <w:r>
        <w:rPr>
          <w:szCs w:val="21"/>
        </w:rPr>
        <w:t>；脱硫自用氨量（吨）＝ 合成氨产量×1</w:t>
      </w:r>
      <w:r>
        <w:rPr>
          <w:rFonts w:hint="eastAsia"/>
          <w:szCs w:val="21"/>
          <w:lang w:eastAsia="zh-CN"/>
        </w:rPr>
        <w:t>%</w:t>
      </w:r>
    </w:p>
    <w:p w14:paraId="75C04086">
      <w:pPr>
        <w:spacing w:line="360" w:lineRule="exact"/>
        <w:ind w:firstLine="420" w:firstLineChars="200"/>
        <w:textAlignment w:val="center"/>
        <w:rPr>
          <w:szCs w:val="21"/>
        </w:rPr>
      </w:pPr>
      <w:r>
        <w:rPr>
          <w:szCs w:val="21"/>
        </w:rPr>
        <w:t>上述三项自用氨有哪项就计算哪项，没有的均不得计算自用氨，同时也不得将其他形式的耗氨量计在自用氨中。</w:t>
      </w:r>
    </w:p>
    <w:p w14:paraId="71024506">
      <w:pPr>
        <w:spacing w:line="360" w:lineRule="exact"/>
        <w:ind w:firstLine="420" w:firstLineChars="200"/>
        <w:textAlignment w:val="center"/>
        <w:rPr>
          <w:szCs w:val="21"/>
        </w:rPr>
      </w:pPr>
      <w:r>
        <w:rPr>
          <w:szCs w:val="21"/>
        </w:rPr>
        <w:t>氨水折氨量包括：直接用合成吹出气、中间槽解析气、氨罐弛放气回收生产的合格和不合格农业氨水和工业氨水。氨水折氨量不包括： 净化（铜洗）、脱硫回收的氨水、碳化清洗塔及回收塔出来的氨水，也不包括净化（铜洗）和脱硫的自用氨水，及排放掉的合格或不合格的氨水。</w:t>
      </w:r>
    </w:p>
    <w:p w14:paraId="1E64FF2D">
      <w:pPr>
        <w:spacing w:line="360" w:lineRule="exact"/>
        <w:ind w:firstLine="420" w:firstLineChars="200"/>
        <w:textAlignment w:val="center"/>
        <w:rPr>
          <w:szCs w:val="21"/>
        </w:rPr>
      </w:pPr>
      <w:r>
        <w:rPr>
          <w:szCs w:val="21"/>
        </w:rPr>
        <w:t>用多种原料生产合成氨时，氨产量的确定：同时用天然气、煤等多种原料生产合成氨的企业，在填报合成氨总产量时，应按原料分列合成氨产量。确定各种不同原料生产的合成氨产量，应在总氨量中按各种原料产气量及其有效气体成分来划定，计算公式：</w:t>
      </w:r>
    </w:p>
    <w:p w14:paraId="5CDADD34">
      <w:pPr>
        <w:spacing w:line="360" w:lineRule="exact"/>
        <w:ind w:left="2730" w:leftChars="0" w:hanging="2730" w:hangingChars="1300"/>
        <w:textAlignment w:val="center"/>
        <w:rPr>
          <w:szCs w:val="21"/>
        </w:rPr>
      </w:pPr>
      <w:r>
        <w:rPr>
          <w:rFonts w:hint="eastAsia"/>
          <w:szCs w:val="21"/>
          <w:lang w:val="en-US" w:eastAsia="zh-CN"/>
        </w:rPr>
        <w:t xml:space="preserve">    </w:t>
      </w:r>
      <w:r>
        <w:rPr>
          <w:szCs w:val="21"/>
        </w:rPr>
        <w:t>某种原料生产的合成氨产量＝合成氨总产量×[（某种原料产气量×有效气体成分%）/∑各种原料产气</w:t>
      </w:r>
    </w:p>
    <w:p w14:paraId="67C6C633">
      <w:pPr>
        <w:spacing w:line="360" w:lineRule="exact"/>
        <w:ind w:left="2730" w:leftChars="0" w:hanging="2730" w:hangingChars="1300"/>
        <w:textAlignment w:val="center"/>
        <w:rPr>
          <w:szCs w:val="21"/>
        </w:rPr>
      </w:pPr>
      <w:r>
        <w:rPr>
          <w:rFonts w:hint="eastAsia"/>
          <w:szCs w:val="21"/>
          <w:lang w:val="en-US" w:eastAsia="zh-CN"/>
        </w:rPr>
        <w:t xml:space="preserve">                              </w:t>
      </w:r>
      <w:r>
        <w:rPr>
          <w:szCs w:val="21"/>
        </w:rPr>
        <w:t>量×有效气体成分%]</w:t>
      </w:r>
    </w:p>
    <w:p w14:paraId="16D09BC0">
      <w:pPr>
        <w:spacing w:line="360" w:lineRule="exact"/>
        <w:ind w:firstLine="420" w:firstLineChars="200"/>
        <w:textAlignment w:val="center"/>
        <w:rPr>
          <w:rFonts w:eastAsia="黑体"/>
          <w:szCs w:val="21"/>
        </w:rPr>
      </w:pPr>
      <w:r>
        <w:rPr>
          <w:rFonts w:eastAsia="黑体"/>
          <w:szCs w:val="21"/>
        </w:rPr>
        <w:t xml:space="preserve">单位合成氨耗电 </w:t>
      </w:r>
    </w:p>
    <w:p w14:paraId="423D3174">
      <w:pPr>
        <w:spacing w:line="360" w:lineRule="exact"/>
        <w:ind w:left="4128" w:leftChars="0" w:hanging="4128" w:hangingChars="1966"/>
        <w:textAlignment w:val="center"/>
        <w:rPr>
          <w:szCs w:val="21"/>
        </w:rPr>
      </w:pPr>
      <w:r>
        <w:rPr>
          <w:rFonts w:hint="eastAsia"/>
          <w:szCs w:val="21"/>
          <w:lang w:val="en-US" w:eastAsia="zh-CN"/>
        </w:rPr>
        <w:t xml:space="preserve">    </w:t>
      </w:r>
      <w:r>
        <w:rPr>
          <w:szCs w:val="21"/>
        </w:rPr>
        <w:t>计算公式：单位合成氨耗电（千瓦时/吨）＝10000×合成氨耗电总量（万千瓦时）/合成氨（无水氨）</w:t>
      </w:r>
    </w:p>
    <w:p w14:paraId="6F3C7D8B">
      <w:pPr>
        <w:spacing w:line="360" w:lineRule="exact"/>
        <w:ind w:left="4128" w:leftChars="0" w:hanging="4128" w:hangingChars="1966"/>
        <w:textAlignment w:val="center"/>
        <w:rPr>
          <w:szCs w:val="21"/>
        </w:rPr>
      </w:pPr>
      <w:r>
        <w:rPr>
          <w:rFonts w:hint="eastAsia"/>
          <w:szCs w:val="21"/>
          <w:lang w:val="en-US" w:eastAsia="zh-CN"/>
        </w:rPr>
        <w:t xml:space="preserve">                                          </w:t>
      </w:r>
      <w:r>
        <w:rPr>
          <w:szCs w:val="21"/>
        </w:rPr>
        <w:t>产量（吨）</w:t>
      </w:r>
    </w:p>
    <w:p w14:paraId="047BB9D0">
      <w:pPr>
        <w:spacing w:line="360" w:lineRule="exact"/>
        <w:ind w:firstLine="420" w:firstLineChars="200"/>
        <w:textAlignment w:val="center"/>
        <w:rPr>
          <w:szCs w:val="21"/>
        </w:rPr>
      </w:pPr>
      <w:r>
        <w:rPr>
          <w:szCs w:val="21"/>
        </w:rPr>
        <w:t>分子项：合成氨耗电总量。指合成氨生产系统和辅助、附属生产系统消耗的电量及界区内损失的电量。以电表计量为准，计量单位为万千瓦时。</w:t>
      </w:r>
    </w:p>
    <w:p w14:paraId="7FE25F70">
      <w:pPr>
        <w:spacing w:line="360" w:lineRule="exact"/>
        <w:ind w:firstLine="420" w:firstLineChars="200"/>
        <w:textAlignment w:val="center"/>
        <w:rPr>
          <w:szCs w:val="21"/>
        </w:rPr>
      </w:pPr>
      <w:r>
        <w:rPr>
          <w:szCs w:val="21"/>
        </w:rPr>
        <w:t>合成氨耗电总量应包括：</w:t>
      </w:r>
    </w:p>
    <w:p w14:paraId="66003BB4">
      <w:pPr>
        <w:spacing w:line="360" w:lineRule="exact"/>
        <w:ind w:firstLine="420" w:firstLineChars="200"/>
        <w:textAlignment w:val="center"/>
        <w:rPr>
          <w:szCs w:val="21"/>
        </w:rPr>
      </w:pPr>
      <w:r>
        <w:rPr>
          <w:szCs w:val="21"/>
        </w:rPr>
        <w:t>（1）合成氨生产系统耗电。指从原料开始至液氨进氨库止所消耗的全部电量，包括：原料场、库运料（煤、焦、油、气）、预处理 [原料煤破碎（制煤粉、制水煤浆）、型煤（制煤球、煤棒）等]、造气、净化、压缩、氨合成、冰机[包括氨合成冷冻分离用电和制液氨用电（如为尿素等耗氨产品和商品液氨增开的冰机用电）]、氨库以及辅助锅炉各工序用电；上述各工序的车间照明、安全通风、采暖、空调、排风降温、车间办公室、分析化验和烘烤电机等用电；计划中修、小修和事故停修的作业用电（如起重、电焊）以及因检修（含大修）引起的开停车过程点火、烘炉、升温、热备用、置换等消耗的电量。大修作业用电按全年产量平均分摊。</w:t>
      </w:r>
    </w:p>
    <w:p w14:paraId="66AF7C58">
      <w:pPr>
        <w:spacing w:line="360" w:lineRule="exact"/>
        <w:ind w:firstLine="420" w:firstLineChars="200"/>
        <w:textAlignment w:val="center"/>
        <w:rPr>
          <w:szCs w:val="21"/>
        </w:rPr>
      </w:pPr>
      <w:r>
        <w:rPr>
          <w:szCs w:val="21"/>
        </w:rPr>
        <w:t>（2）合成氨辅助、附属生产系统消耗电量。包括：合成氨消耗的各种载能工质（如一次水、循环水、化学软水、除氧水、氧气、氮气、压缩空气等）的制备、提取、运输所消耗的实际电量；合成氨生产过程中三废处理的耗电量（硫磺回收、油回收、污水处理等）；自备锅炉耗电（如引风机、鼓风机、送水，冷却循环水泵等用电）；机、电、仪维修和金加工等工序耗电以及车间照明、通风、降温、车间办公室耗电（按其实际承担合成氨生产系统的维修和加工的工时合理分摊用电量）。</w:t>
      </w:r>
    </w:p>
    <w:p w14:paraId="02167D15">
      <w:pPr>
        <w:spacing w:line="360" w:lineRule="exact"/>
        <w:ind w:firstLine="420" w:firstLineChars="200"/>
        <w:textAlignment w:val="center"/>
        <w:rPr>
          <w:szCs w:val="21"/>
        </w:rPr>
      </w:pPr>
      <w:r>
        <w:rPr>
          <w:szCs w:val="21"/>
        </w:rPr>
        <w:t>合成氨耗电总量不包括：</w:t>
      </w:r>
    </w:p>
    <w:p w14:paraId="610B469C">
      <w:pPr>
        <w:spacing w:line="360" w:lineRule="exact"/>
        <w:ind w:firstLine="420" w:firstLineChars="200"/>
        <w:textAlignment w:val="center"/>
        <w:rPr>
          <w:szCs w:val="21"/>
        </w:rPr>
      </w:pPr>
      <w:r>
        <w:rPr>
          <w:szCs w:val="21"/>
        </w:rPr>
        <w:t>（1）联产产品耗电（联醇的粗甲醇耗电等）。</w:t>
      </w:r>
    </w:p>
    <w:p w14:paraId="6807258C">
      <w:pPr>
        <w:spacing w:line="360" w:lineRule="exact"/>
        <w:ind w:firstLine="420" w:firstLineChars="200"/>
        <w:textAlignment w:val="center"/>
        <w:rPr>
          <w:szCs w:val="21"/>
        </w:rPr>
      </w:pPr>
      <w:r>
        <w:rPr>
          <w:szCs w:val="21"/>
        </w:rPr>
        <w:t>（2）扩建和技改工程作业用电。</w:t>
      </w:r>
    </w:p>
    <w:p w14:paraId="602EC892">
      <w:pPr>
        <w:spacing w:line="360" w:lineRule="exact"/>
        <w:ind w:firstLine="420" w:firstLineChars="200"/>
        <w:textAlignment w:val="center"/>
        <w:rPr>
          <w:szCs w:val="21"/>
        </w:rPr>
      </w:pPr>
      <w:r>
        <w:rPr>
          <w:szCs w:val="21"/>
        </w:rPr>
        <w:t>（3）合成氨以外的产品消耗的耗能工质和蒸汽，应合理分摊其用电量。</w:t>
      </w:r>
    </w:p>
    <w:p w14:paraId="30E2355A">
      <w:pPr>
        <w:spacing w:line="360" w:lineRule="exact"/>
        <w:ind w:firstLine="420" w:firstLineChars="200"/>
        <w:textAlignment w:val="center"/>
        <w:rPr>
          <w:szCs w:val="21"/>
        </w:rPr>
      </w:pPr>
      <w:r>
        <w:rPr>
          <w:szCs w:val="21"/>
        </w:rPr>
        <w:t>对于集中（数月或全年）扣除的（或计入）的用电量（如大修等），不能在当月集中扣除（或计入），应该按月均摊，并在当月累计数中调整，并以文字说明。</w:t>
      </w:r>
    </w:p>
    <w:p w14:paraId="4A81F621">
      <w:pPr>
        <w:spacing w:line="360" w:lineRule="exact"/>
        <w:ind w:firstLine="420" w:firstLineChars="200"/>
        <w:textAlignment w:val="center"/>
        <w:rPr>
          <w:szCs w:val="21"/>
        </w:rPr>
      </w:pPr>
      <w:r>
        <w:rPr>
          <w:szCs w:val="21"/>
        </w:rPr>
        <w:t>合成氨联产企业耗电分摊规定：</w:t>
      </w:r>
    </w:p>
    <w:p w14:paraId="292D220B">
      <w:pPr>
        <w:spacing w:line="360" w:lineRule="exact"/>
        <w:ind w:firstLine="420" w:firstLineChars="200"/>
        <w:textAlignment w:val="center"/>
        <w:rPr>
          <w:szCs w:val="21"/>
        </w:rPr>
      </w:pPr>
      <w:r>
        <w:rPr>
          <w:szCs w:val="21"/>
        </w:rPr>
        <w:t>（1）合成氨联产甲醇企业，按单位合成氨耗电与单位粗甲醇（100%）耗电比按1:0.8分摊公共电耗量。</w:t>
      </w:r>
    </w:p>
    <w:p w14:paraId="506ABCEA">
      <w:pPr>
        <w:spacing w:line="360" w:lineRule="exact"/>
        <w:ind w:firstLine="420" w:firstLineChars="200"/>
        <w:textAlignment w:val="center"/>
        <w:rPr>
          <w:szCs w:val="21"/>
        </w:rPr>
      </w:pPr>
      <w:r>
        <w:rPr>
          <w:szCs w:val="21"/>
        </w:rPr>
        <w:t>合成氨耗电总量＝氨醇耗电总量×[合成氨产量/（0.8×粗甲醇（折100%）产量+合成氨产量）]</w:t>
      </w:r>
    </w:p>
    <w:p w14:paraId="29C77DA5">
      <w:pPr>
        <w:spacing w:line="360" w:lineRule="exact"/>
        <w:ind w:firstLine="420" w:firstLineChars="200"/>
        <w:textAlignment w:val="center"/>
        <w:rPr>
          <w:szCs w:val="21"/>
        </w:rPr>
      </w:pPr>
      <w:r>
        <w:rPr>
          <w:szCs w:val="21"/>
        </w:rPr>
        <w:t>（2）合成氨热电联产企业，合成氨的用电量不扣减全余热发电量（热电系统全部用合成氨余热、余压发电时，其发电量称为全余热发电量），其发电量计入合成氨输出能源，并用文字说明。热电系统全部或部分利用外购燃料煤发电时，热电系统独立核算，合成氨的用电量也不扣减自发电量，用于热电联产的合成氨余热、余压的热量，计入合成氨输出能源。</w:t>
      </w:r>
    </w:p>
    <w:p w14:paraId="75C4A8B2">
      <w:pPr>
        <w:spacing w:line="360" w:lineRule="exact"/>
        <w:ind w:firstLine="420" w:firstLineChars="200"/>
        <w:textAlignment w:val="center"/>
        <w:rPr>
          <w:szCs w:val="21"/>
        </w:rPr>
      </w:pPr>
      <w:r>
        <w:rPr>
          <w:szCs w:val="21"/>
        </w:rPr>
        <w:t>（3）合成氨联产碳铵企业的碳铵工段（属合成氨的脱碳过程）耗电应全部计入合成氨耗电。</w:t>
      </w:r>
    </w:p>
    <w:p w14:paraId="24447174">
      <w:pPr>
        <w:spacing w:line="360" w:lineRule="exact"/>
        <w:ind w:firstLine="420" w:firstLineChars="200"/>
        <w:textAlignment w:val="center"/>
        <w:rPr>
          <w:szCs w:val="21"/>
        </w:rPr>
      </w:pPr>
      <w:r>
        <w:rPr>
          <w:szCs w:val="21"/>
        </w:rPr>
        <w:t>（4）合成氨联产纯碱企业采用浓气制碱工艺时，与合成氨系统相对独立的，不存在电耗的分摊；变换气制碱工艺的重碱工段电耗应全部计入碱生产的电耗。</w:t>
      </w:r>
    </w:p>
    <w:p w14:paraId="140D9290">
      <w:pPr>
        <w:spacing w:line="360" w:lineRule="exact"/>
        <w:ind w:firstLine="420" w:firstLineChars="200"/>
        <w:textAlignment w:val="center"/>
        <w:rPr>
          <w:szCs w:val="21"/>
        </w:rPr>
      </w:pPr>
      <w:r>
        <w:rPr>
          <w:szCs w:val="21"/>
        </w:rPr>
        <w:t>分母项：合成氨（无水氨）产量。说明同上。</w:t>
      </w:r>
    </w:p>
    <w:p w14:paraId="0ACFA1D2">
      <w:pPr>
        <w:spacing w:line="360" w:lineRule="exact"/>
        <w:ind w:firstLine="420" w:firstLineChars="200"/>
        <w:textAlignment w:val="center"/>
        <w:rPr>
          <w:rFonts w:eastAsia="黑体"/>
          <w:szCs w:val="21"/>
        </w:rPr>
      </w:pPr>
      <w:r>
        <w:rPr>
          <w:rFonts w:eastAsia="黑体"/>
          <w:szCs w:val="21"/>
        </w:rPr>
        <w:t xml:space="preserve">单位合成氨耗天然气 </w:t>
      </w:r>
    </w:p>
    <w:p w14:paraId="07A5BFBF">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计算公式：单位合成氨消耗天然气（标准立方米/吨）＝10000×合成氨消耗天然气总量（万标准立</w:t>
      </w:r>
    </w:p>
    <w:p w14:paraId="6D4AFC64">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方米）/合成氨（无水氨）产量（吨）</w:t>
      </w:r>
    </w:p>
    <w:p w14:paraId="3CEAEC81">
      <w:pPr>
        <w:spacing w:line="360" w:lineRule="exact"/>
        <w:ind w:firstLine="420" w:firstLineChars="200"/>
        <w:textAlignment w:val="center"/>
        <w:rPr>
          <w:szCs w:val="21"/>
        </w:rPr>
      </w:pPr>
      <w:r>
        <w:rPr>
          <w:szCs w:val="21"/>
        </w:rPr>
        <w:t>分子项：合成氨耗天然气总量。包括制气用的天然气、加热转化炉管和辅助锅炉用天然气、合成氨正常生产及开工时蒸汽锅炉使用的天然气。</w:t>
      </w:r>
    </w:p>
    <w:p w14:paraId="68232196">
      <w:pPr>
        <w:spacing w:line="360" w:lineRule="exact"/>
        <w:ind w:firstLine="420" w:firstLineChars="200"/>
        <w:textAlignment w:val="center"/>
        <w:rPr>
          <w:szCs w:val="21"/>
        </w:rPr>
      </w:pPr>
      <w:r>
        <w:rPr>
          <w:szCs w:val="21"/>
        </w:rPr>
        <w:t>使用油田气、焦炉气、炼厂气、煤田气等制氨，计算方法同上。</w:t>
      </w:r>
    </w:p>
    <w:p w14:paraId="574C0E2A">
      <w:pPr>
        <w:spacing w:line="360" w:lineRule="exact"/>
        <w:ind w:firstLine="420" w:firstLineChars="200"/>
        <w:textAlignment w:val="center"/>
        <w:rPr>
          <w:szCs w:val="21"/>
        </w:rPr>
      </w:pPr>
      <w:r>
        <w:rPr>
          <w:szCs w:val="21"/>
        </w:rPr>
        <w:t>分母项：合成氨（无水氨）产量。说明同上。</w:t>
      </w:r>
    </w:p>
    <w:p w14:paraId="67AA4487">
      <w:pPr>
        <w:spacing w:line="360" w:lineRule="exact"/>
        <w:ind w:firstLine="420" w:firstLineChars="200"/>
        <w:textAlignment w:val="center"/>
        <w:rPr>
          <w:rFonts w:eastAsia="黑体"/>
          <w:szCs w:val="21"/>
        </w:rPr>
      </w:pPr>
      <w:r>
        <w:rPr>
          <w:rFonts w:eastAsia="黑体"/>
          <w:szCs w:val="21"/>
        </w:rPr>
        <w:t>单位合成氨耗原料煤</w:t>
      </w:r>
    </w:p>
    <w:p w14:paraId="1DEF33C3">
      <w:pPr>
        <w:spacing w:line="360" w:lineRule="exact"/>
        <w:ind w:left="4935" w:leftChars="0" w:hanging="4935" w:hangingChars="2350"/>
        <w:textAlignment w:val="center"/>
        <w:rPr>
          <w:szCs w:val="21"/>
        </w:rPr>
      </w:pPr>
      <w:r>
        <w:rPr>
          <w:rFonts w:hint="eastAsia"/>
          <w:szCs w:val="21"/>
          <w:lang w:val="en-US" w:eastAsia="zh-CN"/>
        </w:rPr>
        <w:t xml:space="preserve">    </w:t>
      </w:r>
      <w:r>
        <w:rPr>
          <w:szCs w:val="21"/>
        </w:rPr>
        <w:t>计算公式：单位合成氨耗原料煤（千克标准煤/吨）＝1000×合成氨原料煤耗（吨标准煤）/合成氨（无</w:t>
      </w:r>
    </w:p>
    <w:p w14:paraId="6AF0B0EC">
      <w:pPr>
        <w:spacing w:line="360" w:lineRule="exact"/>
        <w:ind w:left="4935" w:leftChars="0" w:hanging="4935" w:hangingChars="2350"/>
        <w:textAlignment w:val="center"/>
        <w:rPr>
          <w:szCs w:val="21"/>
        </w:rPr>
      </w:pPr>
      <w:r>
        <w:rPr>
          <w:rFonts w:hint="eastAsia"/>
          <w:szCs w:val="21"/>
          <w:lang w:val="en-US" w:eastAsia="zh-CN"/>
        </w:rPr>
        <w:t xml:space="preserve">                                                  </w:t>
      </w:r>
      <w:r>
        <w:rPr>
          <w:szCs w:val="21"/>
        </w:rPr>
        <w:t>水氨）产量（吨）</w:t>
      </w:r>
    </w:p>
    <w:p w14:paraId="17DC009E">
      <w:pPr>
        <w:spacing w:line="360" w:lineRule="exact"/>
        <w:ind w:firstLine="420" w:firstLineChars="200"/>
        <w:textAlignment w:val="center"/>
        <w:rPr>
          <w:szCs w:val="21"/>
        </w:rPr>
      </w:pPr>
      <w:r>
        <w:rPr>
          <w:szCs w:val="21"/>
        </w:rPr>
        <w:t>分子项：合成氨原料煤耗。指投入造气炉的实物煤或焦炭（标准煤），不包括入炉前筛出的粉煤（焦）、煤矸石。</w:t>
      </w:r>
    </w:p>
    <w:p w14:paraId="36369473">
      <w:pPr>
        <w:spacing w:line="360" w:lineRule="exact"/>
        <w:ind w:firstLine="420" w:firstLineChars="200"/>
        <w:textAlignment w:val="center"/>
        <w:rPr>
          <w:szCs w:val="21"/>
        </w:rPr>
      </w:pPr>
      <w:r>
        <w:rPr>
          <w:szCs w:val="21"/>
        </w:rPr>
        <w:t>返炭（二炭）、返焦不再计入消耗，也不从消耗中扣除。回收合成氨生产过程中排放的气体（如造气吹风气、合成放空气、氨贮罐弛放气等）作燃料使用时，不能将其热量折成煤（焦）从消耗中扣除。</w:t>
      </w:r>
    </w:p>
    <w:p w14:paraId="0D8E9EA3">
      <w:pPr>
        <w:spacing w:line="360" w:lineRule="exact"/>
        <w:ind w:firstLine="420" w:firstLineChars="200"/>
        <w:textAlignment w:val="center"/>
        <w:rPr>
          <w:szCs w:val="21"/>
        </w:rPr>
      </w:pPr>
      <w:r>
        <w:rPr>
          <w:szCs w:val="21"/>
        </w:rPr>
        <w:t>有关消耗分摊的规定：</w:t>
      </w:r>
    </w:p>
    <w:p w14:paraId="54BA394B">
      <w:pPr>
        <w:spacing w:line="360" w:lineRule="exact"/>
        <w:ind w:right="0" w:firstLine="420"/>
        <w:textAlignment w:val="center"/>
        <w:rPr>
          <w:spacing w:val="4"/>
          <w:szCs w:val="21"/>
        </w:rPr>
      </w:pPr>
      <w:r>
        <w:rPr>
          <w:szCs w:val="21"/>
        </w:rPr>
        <w:t>（1）</w:t>
      </w:r>
      <w:r>
        <w:rPr>
          <w:spacing w:val="4"/>
          <w:szCs w:val="21"/>
        </w:rPr>
        <w:t>合成氨联产甲醇的企业，氨与粗醇（100%）单位产品消耗原料的比，按1:1.06分摊共用的原料。</w:t>
      </w:r>
    </w:p>
    <w:p w14:paraId="2C5D3602">
      <w:pPr>
        <w:spacing w:line="360" w:lineRule="exact"/>
        <w:ind w:left="2940" w:leftChars="0" w:hanging="2940" w:hangingChars="1400"/>
        <w:textAlignment w:val="center"/>
        <w:rPr>
          <w:szCs w:val="21"/>
        </w:rPr>
      </w:pPr>
      <w:r>
        <w:rPr>
          <w:rFonts w:hint="eastAsia"/>
          <w:szCs w:val="21"/>
          <w:lang w:val="en-US" w:eastAsia="zh-CN"/>
        </w:rPr>
        <w:t xml:space="preserve">    </w:t>
      </w:r>
      <w:r>
        <w:rPr>
          <w:szCs w:val="21"/>
        </w:rPr>
        <w:t>合成氨耗入炉实物原料煤总量＝入炉实物原料煤总量×[合成氨产量/（1.06×粗甲醇（折100%）产量</w:t>
      </w:r>
    </w:p>
    <w:p w14:paraId="00CD0ED4">
      <w:pPr>
        <w:spacing w:line="360" w:lineRule="exact"/>
        <w:ind w:left="2940" w:leftChars="0" w:hanging="2940" w:hangingChars="1400"/>
        <w:textAlignment w:val="center"/>
        <w:rPr>
          <w:szCs w:val="21"/>
        </w:rPr>
      </w:pPr>
      <w:r>
        <w:rPr>
          <w:rFonts w:hint="eastAsia"/>
          <w:szCs w:val="21"/>
          <w:lang w:val="en-US" w:eastAsia="zh-CN"/>
        </w:rPr>
        <w:t xml:space="preserve">                                </w:t>
      </w:r>
      <w:r>
        <w:rPr>
          <w:szCs w:val="21"/>
        </w:rPr>
        <w:t>+合成氨产量）]</w:t>
      </w:r>
    </w:p>
    <w:p w14:paraId="56E7D502">
      <w:pPr>
        <w:spacing w:line="360" w:lineRule="exact"/>
        <w:ind w:firstLine="420" w:firstLineChars="200"/>
        <w:textAlignment w:val="center"/>
        <w:rPr>
          <w:szCs w:val="21"/>
        </w:rPr>
      </w:pPr>
      <w:r>
        <w:rPr>
          <w:szCs w:val="21"/>
        </w:rPr>
        <w:t>（2）自合成氨系统输出的原料气用于其他产品的原料时，按用量折煤（焦）实物量，从系统耗原料煤（焦）实物消耗总量中扣除。</w:t>
      </w:r>
    </w:p>
    <w:p w14:paraId="58E72F3C">
      <w:pPr>
        <w:spacing w:line="360" w:lineRule="exact"/>
        <w:ind w:firstLine="420" w:firstLineChars="200"/>
        <w:textAlignment w:val="center"/>
        <w:rPr>
          <w:szCs w:val="21"/>
        </w:rPr>
      </w:pPr>
      <w:r>
        <w:rPr>
          <w:szCs w:val="21"/>
        </w:rPr>
        <w:t>使用焦炭（土焦）、褐煤和煤球、煤棒等型煤的计算方法同上，煤球、煤棒等型煤要扣除所含的黏结剂（如石灰、水泥等）重量。</w:t>
      </w:r>
    </w:p>
    <w:p w14:paraId="584683F7">
      <w:pPr>
        <w:spacing w:line="360" w:lineRule="exact"/>
        <w:ind w:firstLine="420" w:firstLineChars="200"/>
        <w:textAlignment w:val="center"/>
        <w:rPr>
          <w:szCs w:val="21"/>
        </w:rPr>
      </w:pPr>
      <w:r>
        <w:rPr>
          <w:szCs w:val="21"/>
        </w:rPr>
        <w:t>合成氨原料煤耗（标准煤）＝∑各批入炉原料煤实物量×折标准煤系数</w:t>
      </w:r>
    </w:p>
    <w:p w14:paraId="23294F5D">
      <w:pPr>
        <w:spacing w:line="360" w:lineRule="exact"/>
        <w:ind w:firstLine="420" w:firstLineChars="200"/>
        <w:textAlignment w:val="center"/>
        <w:rPr>
          <w:szCs w:val="21"/>
        </w:rPr>
      </w:pPr>
      <w:r>
        <w:rPr>
          <w:szCs w:val="21"/>
        </w:rPr>
        <w:t>折标准煤系数＝煤的热值（低位热值）（千卡/千克）/7000（千卡/千克）</w:t>
      </w:r>
    </w:p>
    <w:p w14:paraId="74F03BD1">
      <w:pPr>
        <w:spacing w:line="360" w:lineRule="exact"/>
        <w:ind w:firstLine="420" w:firstLineChars="200"/>
        <w:textAlignment w:val="center"/>
        <w:rPr>
          <w:szCs w:val="21"/>
        </w:rPr>
      </w:pPr>
      <w:r>
        <w:rPr>
          <w:szCs w:val="21"/>
        </w:rPr>
        <w:t>各批次煤的低位热值一律以入炉煤取样、用氧弹仪分析的数据为准。标准燃料煤的低位发热值为7000（千卡/千克 或29271千焦/千克）。</w:t>
      </w:r>
    </w:p>
    <w:p w14:paraId="6379B265">
      <w:pPr>
        <w:spacing w:line="360" w:lineRule="exact"/>
        <w:ind w:firstLine="420" w:firstLineChars="200"/>
        <w:textAlignment w:val="center"/>
        <w:rPr>
          <w:szCs w:val="21"/>
        </w:rPr>
      </w:pPr>
      <w:r>
        <w:rPr>
          <w:szCs w:val="21"/>
        </w:rPr>
        <w:t>分母项：合成氨（无水氨）产量。说明同上。</w:t>
      </w:r>
    </w:p>
    <w:p w14:paraId="7A1F6835">
      <w:pPr>
        <w:spacing w:line="360" w:lineRule="exact"/>
        <w:ind w:firstLine="420" w:firstLineChars="200"/>
        <w:textAlignment w:val="center"/>
        <w:rPr>
          <w:rFonts w:eastAsia="黑体"/>
          <w:szCs w:val="21"/>
        </w:rPr>
      </w:pPr>
      <w:r>
        <w:rPr>
          <w:rFonts w:eastAsia="黑体"/>
          <w:szCs w:val="21"/>
        </w:rPr>
        <w:t xml:space="preserve">单位合成氨耗标准燃料煤  </w:t>
      </w:r>
    </w:p>
    <w:p w14:paraId="0B300D44">
      <w:pPr>
        <w:spacing w:line="360" w:lineRule="exact"/>
        <w:ind w:left="5445" w:leftChars="0" w:hanging="5445" w:hangingChars="2593"/>
        <w:textAlignment w:val="center"/>
        <w:rPr>
          <w:szCs w:val="21"/>
        </w:rPr>
      </w:pPr>
      <w:r>
        <w:rPr>
          <w:rFonts w:hint="eastAsia"/>
          <w:szCs w:val="21"/>
          <w:lang w:val="en-US" w:eastAsia="zh-CN"/>
        </w:rPr>
        <w:t xml:space="preserve">    </w:t>
      </w:r>
      <w:r>
        <w:rPr>
          <w:szCs w:val="21"/>
        </w:rPr>
        <w:t>计算公式：单位合成氨耗标准燃料煤（千克标准煤/吨）＝1000×合成氨耗标准燃料煤总量（吨标准</w:t>
      </w:r>
    </w:p>
    <w:p w14:paraId="33024BAA">
      <w:pPr>
        <w:spacing w:line="360" w:lineRule="exact"/>
        <w:ind w:left="84" w:leftChars="0" w:hanging="84" w:hangingChars="40"/>
        <w:textAlignment w:val="center"/>
        <w:rPr>
          <w:szCs w:val="21"/>
        </w:rPr>
      </w:pPr>
      <w:r>
        <w:rPr>
          <w:rFonts w:hint="eastAsia"/>
          <w:szCs w:val="21"/>
          <w:lang w:val="en-US" w:eastAsia="zh-CN"/>
        </w:rPr>
        <w:t xml:space="preserve">                                                       </w:t>
      </w:r>
      <w:r>
        <w:rPr>
          <w:szCs w:val="21"/>
        </w:rPr>
        <w:t>煤）/合成氨（无水氨）产量（吨）</w:t>
      </w:r>
    </w:p>
    <w:p w14:paraId="46AA56F5">
      <w:pPr>
        <w:spacing w:line="360" w:lineRule="exact"/>
        <w:ind w:firstLine="420" w:firstLineChars="200"/>
        <w:textAlignment w:val="center"/>
        <w:rPr>
          <w:szCs w:val="21"/>
        </w:rPr>
      </w:pPr>
      <w:r>
        <w:rPr>
          <w:szCs w:val="21"/>
        </w:rPr>
        <w:t>分子项：合成氨耗标准燃料煤。指各批次燃料煤折标准煤之和。</w:t>
      </w:r>
    </w:p>
    <w:p w14:paraId="0272DA5B">
      <w:pPr>
        <w:spacing w:line="360" w:lineRule="exact"/>
        <w:ind w:firstLine="420" w:firstLineChars="200"/>
        <w:textAlignment w:val="center"/>
        <w:rPr>
          <w:szCs w:val="21"/>
        </w:rPr>
      </w:pPr>
      <w:r>
        <w:rPr>
          <w:szCs w:val="21"/>
        </w:rPr>
        <w:t>合成氨耗标准燃料煤总量，主要指用来发生蒸汽，以满足合成氨生产系统和辅助、附属生产系统用蒸汽消耗的燃料煤。外购蒸汽量应按进厂焓值和锅炉效率折标准燃料煤。</w:t>
      </w:r>
    </w:p>
    <w:p w14:paraId="6A834AE3">
      <w:pPr>
        <w:spacing w:line="360" w:lineRule="exact"/>
        <w:ind w:firstLine="436" w:firstLineChars="200"/>
        <w:textAlignment w:val="center"/>
        <w:rPr>
          <w:spacing w:val="4"/>
          <w:szCs w:val="21"/>
        </w:rPr>
      </w:pPr>
      <w:r>
        <w:rPr>
          <w:spacing w:val="4"/>
          <w:szCs w:val="21"/>
        </w:rPr>
        <w:t>生产系统耗汽量，包括从造气、净化、压缩、氨合成、冰机到氨库止各工序生产和开停过程用汽（含大、中、小修开车），以及上述各工序设备、管道保温用汽和车间、分析化验、车间办公室采暖用汽等。</w:t>
      </w:r>
    </w:p>
    <w:p w14:paraId="3B3F0BCB">
      <w:pPr>
        <w:spacing w:line="360" w:lineRule="exact"/>
        <w:ind w:firstLine="420" w:firstLineChars="200"/>
        <w:textAlignment w:val="center"/>
        <w:rPr>
          <w:szCs w:val="21"/>
        </w:rPr>
      </w:pPr>
      <w:r>
        <w:rPr>
          <w:szCs w:val="21"/>
        </w:rPr>
        <w:t>辅助、附属生产系统耗汽量，包括煤球制造、除氧水制备、原料和燃料场库及预处理、煤球车间、自备锅炉房及机、电、仪修车间和上述车间办公室的全部采暖用汽，以及计划大、中、小修和事故检修的置换、吹洗用汽以及安全生产、三废处理、环保过程用汽。</w:t>
      </w:r>
    </w:p>
    <w:p w14:paraId="0BA90622">
      <w:pPr>
        <w:spacing w:line="360" w:lineRule="exact"/>
        <w:ind w:firstLine="420" w:firstLineChars="200"/>
        <w:textAlignment w:val="center"/>
        <w:rPr>
          <w:szCs w:val="21"/>
        </w:rPr>
      </w:pPr>
      <w:r>
        <w:rPr>
          <w:szCs w:val="21"/>
        </w:rPr>
        <w:t>蒸汽只供合成氨使用时，燃料煤消耗量或蒸汽量全部计入合成氨消耗；蒸汽为多产品使用，应合理分摊燃料煤消耗量。</w:t>
      </w:r>
    </w:p>
    <w:p w14:paraId="55C314F9">
      <w:pPr>
        <w:spacing w:line="360" w:lineRule="exact"/>
        <w:ind w:firstLine="420" w:firstLineChars="200"/>
        <w:textAlignment w:val="center"/>
        <w:rPr>
          <w:szCs w:val="21"/>
        </w:rPr>
      </w:pPr>
      <w:r>
        <w:rPr>
          <w:szCs w:val="21"/>
        </w:rPr>
        <w:t>锅炉掺烧的返炭、炉渣、煤矸石、块煤中筛分的沫煤不计入燃料消耗量，从锅炉烧余物中捡回的返炭不从消耗中扣除。</w:t>
      </w:r>
    </w:p>
    <w:p w14:paraId="0F77ACBC">
      <w:pPr>
        <w:spacing w:line="360" w:lineRule="exact"/>
        <w:ind w:firstLine="420" w:firstLineChars="200"/>
        <w:textAlignment w:val="center"/>
        <w:rPr>
          <w:spacing w:val="4"/>
          <w:szCs w:val="21"/>
        </w:rPr>
      </w:pPr>
      <w:r>
        <w:rPr>
          <w:szCs w:val="21"/>
        </w:rPr>
        <w:t>合</w:t>
      </w:r>
      <w:r>
        <w:rPr>
          <w:spacing w:val="4"/>
          <w:szCs w:val="21"/>
        </w:rPr>
        <w:t>成氨生产过程副产的蒸汽，为本系统自用的不计消耗，放空或输出的蒸汽也不从燃料煤消耗中扣除。</w:t>
      </w:r>
    </w:p>
    <w:p w14:paraId="002D627F">
      <w:pPr>
        <w:spacing w:line="360" w:lineRule="exact"/>
        <w:ind w:firstLine="420" w:firstLineChars="200"/>
        <w:textAlignment w:val="center"/>
        <w:rPr>
          <w:szCs w:val="21"/>
        </w:rPr>
      </w:pPr>
      <w:r>
        <w:rPr>
          <w:szCs w:val="21"/>
        </w:rPr>
        <w:t>分母项：合成氨（无水氨）产量。说明同上。</w:t>
      </w:r>
    </w:p>
    <w:p w14:paraId="4DC33181">
      <w:pPr>
        <w:spacing w:line="360" w:lineRule="exact"/>
        <w:ind w:firstLine="420" w:firstLineChars="200"/>
        <w:textAlignment w:val="center"/>
        <w:rPr>
          <w:rFonts w:eastAsia="黑体"/>
          <w:bCs/>
          <w:szCs w:val="21"/>
        </w:rPr>
      </w:pPr>
    </w:p>
    <w:p w14:paraId="373DFD26">
      <w:pPr>
        <w:spacing w:line="360" w:lineRule="exact"/>
        <w:ind w:firstLine="420" w:firstLineChars="200"/>
        <w:textAlignment w:val="center"/>
        <w:rPr>
          <w:rFonts w:eastAsia="黑体"/>
          <w:bCs/>
          <w:szCs w:val="21"/>
        </w:rPr>
      </w:pPr>
      <w:r>
        <w:rPr>
          <w:rFonts w:eastAsia="黑体"/>
          <w:bCs/>
          <w:szCs w:val="21"/>
        </w:rPr>
        <w:t>水泥（30）</w:t>
      </w:r>
    </w:p>
    <w:p w14:paraId="22131589">
      <w:pPr>
        <w:spacing w:line="360" w:lineRule="exact"/>
        <w:ind w:firstLine="420" w:firstLineChars="200"/>
        <w:textAlignment w:val="center"/>
        <w:rPr>
          <w:szCs w:val="21"/>
        </w:rPr>
      </w:pPr>
      <w:r>
        <w:rPr>
          <w:szCs w:val="21"/>
        </w:rPr>
        <w:t>水泥生产工艺分为新型干法（预分解窑）立窑、湿法窑、中空窑、预热器窑、粉磨站、其他。</w:t>
      </w:r>
    </w:p>
    <w:p w14:paraId="2057CE38">
      <w:pPr>
        <w:spacing w:line="360" w:lineRule="exact"/>
        <w:ind w:firstLine="420" w:firstLineChars="200"/>
        <w:textAlignment w:val="center"/>
        <w:rPr>
          <w:szCs w:val="21"/>
        </w:rPr>
      </w:pPr>
      <w:r>
        <w:rPr>
          <w:rFonts w:eastAsia="黑体"/>
          <w:szCs w:val="21"/>
        </w:rPr>
        <w:t>吨水泥熟料综合能耗</w:t>
      </w:r>
    </w:p>
    <w:p w14:paraId="562401D5">
      <w:pPr>
        <w:spacing w:line="360" w:lineRule="exact"/>
        <w:ind w:left="4949" w:leftChars="0" w:hanging="4949" w:hangingChars="2357"/>
        <w:textAlignment w:val="center"/>
        <w:rPr>
          <w:szCs w:val="21"/>
        </w:rPr>
      </w:pPr>
      <w:r>
        <w:rPr>
          <w:rFonts w:hint="eastAsia"/>
          <w:szCs w:val="21"/>
          <w:lang w:val="en-US" w:eastAsia="zh-CN"/>
        </w:rPr>
        <w:t xml:space="preserve">    </w:t>
      </w:r>
      <w:r>
        <w:rPr>
          <w:szCs w:val="21"/>
        </w:rPr>
        <w:t>计算公式：吨水泥熟料综合能耗（千克标准煤/吨）＝1000×生产水泥熟料综合能源消费量（吨标准</w:t>
      </w:r>
    </w:p>
    <w:p w14:paraId="35E77F0F">
      <w:pPr>
        <w:spacing w:line="360" w:lineRule="exact"/>
        <w:ind w:left="14" w:leftChars="0" w:hanging="14" w:hangingChars="7"/>
        <w:textAlignment w:val="center"/>
        <w:rPr>
          <w:szCs w:val="21"/>
        </w:rPr>
      </w:pPr>
      <w:r>
        <w:rPr>
          <w:rFonts w:hint="eastAsia"/>
          <w:szCs w:val="21"/>
          <w:lang w:val="en-US" w:eastAsia="zh-CN"/>
        </w:rPr>
        <w:t xml:space="preserve">                                                   </w:t>
      </w:r>
      <w:r>
        <w:rPr>
          <w:szCs w:val="21"/>
        </w:rPr>
        <w:t>煤）/硅酸盐水泥熟料产量（吨）</w:t>
      </w:r>
    </w:p>
    <w:p w14:paraId="14D34D9F">
      <w:pPr>
        <w:spacing w:line="360" w:lineRule="exact"/>
        <w:ind w:firstLine="420" w:firstLineChars="200"/>
        <w:textAlignment w:val="center"/>
        <w:rPr>
          <w:szCs w:val="21"/>
        </w:rPr>
      </w:pPr>
      <w:r>
        <w:rPr>
          <w:szCs w:val="21"/>
        </w:rPr>
        <w:t>分子项：生产水泥熟料综合能源消费量。包括电力、煤炭、油品、天然气、煤气、液化气、蒸汽的消费。企业自备锅炉，自备发电机组生产的蒸汽、电力，由本企业消耗的，只计算第一次能源消耗，不重复计算蒸汽及电的消耗；利用余热发电亦不重复计算。</w:t>
      </w:r>
    </w:p>
    <w:p w14:paraId="012D05C9">
      <w:pPr>
        <w:spacing w:line="360" w:lineRule="exact"/>
        <w:ind w:firstLine="420" w:firstLineChars="200"/>
        <w:textAlignment w:val="center"/>
        <w:rPr>
          <w:szCs w:val="21"/>
        </w:rPr>
      </w:pPr>
      <w:r>
        <w:rPr>
          <w:szCs w:val="21"/>
        </w:rPr>
        <w:t>分母项：硅酸盐水泥熟料产量。为报告期合格品产量，计量单位为吨。凡是由本企业生产的水泥熟料，无论是作为商品熟料出售，还是作为水泥生产过程中的半成品，都应统计水泥熟料产量。外购的熟料不得统计产量。</w:t>
      </w:r>
    </w:p>
    <w:p w14:paraId="0D7C6D50">
      <w:pPr>
        <w:spacing w:line="360" w:lineRule="exact"/>
        <w:ind w:firstLine="420" w:firstLineChars="200"/>
        <w:textAlignment w:val="center"/>
        <w:rPr>
          <w:rFonts w:eastAsia="黑体"/>
          <w:szCs w:val="21"/>
        </w:rPr>
      </w:pPr>
      <w:r>
        <w:rPr>
          <w:rFonts w:eastAsia="黑体"/>
          <w:szCs w:val="21"/>
        </w:rPr>
        <w:t>吨水泥熟料烧成标准煤耗</w:t>
      </w:r>
    </w:p>
    <w:p w14:paraId="587F1F73">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计算公式：吨水泥熟料烧成标准煤耗（千克标准煤/吨）＝1000×标准煤消费量（吨）/硅酸盐水泥熟</w:t>
      </w:r>
    </w:p>
    <w:p w14:paraId="75A19118">
      <w:pPr>
        <w:spacing w:line="360" w:lineRule="exact"/>
        <w:ind w:left="48" w:leftChars="0" w:hanging="48" w:hangingChars="23"/>
        <w:textAlignment w:val="center"/>
        <w:rPr>
          <w:szCs w:val="21"/>
        </w:rPr>
      </w:pPr>
      <w:r>
        <w:rPr>
          <w:rFonts w:hint="eastAsia"/>
          <w:szCs w:val="21"/>
          <w:lang w:val="en-US" w:eastAsia="zh-CN"/>
        </w:rPr>
        <w:t xml:space="preserve">                                                      </w:t>
      </w:r>
      <w:r>
        <w:rPr>
          <w:szCs w:val="21"/>
        </w:rPr>
        <w:t>料产量（吨）</w:t>
      </w:r>
    </w:p>
    <w:p w14:paraId="2B4E4A07">
      <w:pPr>
        <w:spacing w:line="360" w:lineRule="exact"/>
        <w:ind w:firstLine="420" w:firstLineChars="200"/>
        <w:textAlignment w:val="center"/>
        <w:rPr>
          <w:szCs w:val="21"/>
        </w:rPr>
      </w:pPr>
      <w:r>
        <w:rPr>
          <w:szCs w:val="21"/>
        </w:rPr>
        <w:t>分子项：标准煤消费量。指将实物煤消费量折算成标准煤的数量，包括入窑煤粉，以及烧成煤在制备过程中的损耗（如果收尘下的煤泥、煤粉转作其他生产用途，可以在烧成煤耗内扣除）。使用黑料浆的企业，包括掺入料浆的煤粉和采用窑外分解的回转窑进入分解炉的燃料，以及窑点火用油和烧气燃料。烧油气的企业，应将油气消耗折算成标准煤计入烧成煤耗。</w:t>
      </w:r>
    </w:p>
    <w:p w14:paraId="1D41ADF8">
      <w:pPr>
        <w:spacing w:line="360" w:lineRule="exact"/>
        <w:ind w:firstLine="420" w:firstLineChars="200"/>
        <w:textAlignment w:val="center"/>
        <w:rPr>
          <w:szCs w:val="21"/>
        </w:rPr>
      </w:pPr>
      <w:r>
        <w:rPr>
          <w:szCs w:val="21"/>
        </w:rPr>
        <w:t>采用不同方法（干法、半干法、湿法回转窑和立窑）生产熟料的企业应分别计算熟料烧成煤耗。</w:t>
      </w:r>
    </w:p>
    <w:p w14:paraId="6CDB3F0E">
      <w:pPr>
        <w:spacing w:line="360" w:lineRule="exact"/>
        <w:ind w:firstLine="428" w:firstLineChars="200"/>
        <w:textAlignment w:val="center"/>
        <w:rPr>
          <w:spacing w:val="2"/>
          <w:szCs w:val="21"/>
        </w:rPr>
      </w:pPr>
      <w:r>
        <w:rPr>
          <w:spacing w:val="2"/>
          <w:szCs w:val="21"/>
        </w:rPr>
        <w:t>采用余热发电的回转窑企业，除按上式计算</w:t>
      </w:r>
      <w:r>
        <w:rPr>
          <w:rFonts w:hint="eastAsia"/>
          <w:spacing w:val="2"/>
          <w:szCs w:val="21"/>
          <w:lang w:eastAsia="zh-CN"/>
        </w:rPr>
        <w:t>“</w:t>
      </w:r>
      <w:r>
        <w:rPr>
          <w:spacing w:val="2"/>
          <w:szCs w:val="21"/>
        </w:rPr>
        <w:t>每吨熟料烧成标准煤消耗量</w:t>
      </w:r>
      <w:r>
        <w:rPr>
          <w:rFonts w:hint="eastAsia"/>
          <w:spacing w:val="2"/>
          <w:szCs w:val="21"/>
          <w:lang w:eastAsia="zh-CN"/>
        </w:rPr>
        <w:t>”</w:t>
      </w:r>
      <w:r>
        <w:rPr>
          <w:spacing w:val="2"/>
          <w:szCs w:val="21"/>
        </w:rPr>
        <w:t>外，为正确反映这类企业烧成用煤的实际情况，还要计算扣除带补燃料的余热发电煤耗后的每吨水泥熟料烧成标准煤耗。</w:t>
      </w:r>
    </w:p>
    <w:p w14:paraId="3D6C016C">
      <w:pPr>
        <w:spacing w:line="360" w:lineRule="exact"/>
        <w:ind w:firstLine="428" w:firstLineChars="200"/>
        <w:textAlignment w:val="center"/>
        <w:rPr>
          <w:spacing w:val="2"/>
          <w:szCs w:val="21"/>
        </w:rPr>
      </w:pPr>
      <w:r>
        <w:rPr>
          <w:spacing w:val="2"/>
          <w:szCs w:val="21"/>
        </w:rPr>
        <w:t>计算公式：</w:t>
      </w:r>
    </w:p>
    <w:p w14:paraId="28036D55">
      <w:pPr>
        <w:spacing w:line="360" w:lineRule="exact"/>
        <w:ind w:left="0" w:leftChars="0" w:firstLine="420" w:firstLineChars="200"/>
        <w:textAlignment w:val="center"/>
        <w:rPr>
          <w:szCs w:val="21"/>
        </w:rPr>
      </w:pPr>
      <w:r>
        <w:rPr>
          <w:szCs w:val="21"/>
        </w:rPr>
        <w:t>扣除带补燃料的余热发电煤耗后每吨水泥熟料烧成耗标准煤耗（千克）</w:t>
      </w:r>
    </w:p>
    <w:p w14:paraId="501DCA4B">
      <w:pPr>
        <w:spacing w:line="360" w:lineRule="exact"/>
        <w:ind w:left="0" w:leftChars="0" w:firstLine="420" w:firstLineChars="200"/>
        <w:textAlignment w:val="center"/>
        <w:rPr>
          <w:szCs w:val="21"/>
        </w:rPr>
      </w:pPr>
      <w:r>
        <w:rPr>
          <w:szCs w:val="21"/>
        </w:rPr>
        <w:t>＝1000×扣除带补燃料的余</w:t>
      </w:r>
      <w:r>
        <w:rPr>
          <w:rFonts w:hint="eastAsia"/>
          <w:szCs w:val="21"/>
          <w:lang w:val="en-US" w:eastAsia="zh-CN"/>
        </w:rPr>
        <w:t xml:space="preserve"> </w:t>
      </w:r>
      <w:r>
        <w:rPr>
          <w:szCs w:val="21"/>
        </w:rPr>
        <w:t>热发电煤耗后的标准煤消耗量（吨）/硅酸盐水泥熟料产量（吨）</w:t>
      </w:r>
    </w:p>
    <w:p w14:paraId="003CD877">
      <w:pPr>
        <w:spacing w:line="360" w:lineRule="exact"/>
        <w:ind w:firstLine="420" w:firstLineChars="200"/>
        <w:textAlignment w:val="center"/>
        <w:rPr>
          <w:szCs w:val="21"/>
        </w:rPr>
      </w:pPr>
      <w:r>
        <w:rPr>
          <w:szCs w:val="21"/>
        </w:rPr>
        <w:t>说明：公式中的</w:t>
      </w:r>
      <w:r>
        <w:rPr>
          <w:rFonts w:hint="eastAsia"/>
          <w:szCs w:val="21"/>
          <w:lang w:eastAsia="zh-CN"/>
        </w:rPr>
        <w:t>“</w:t>
      </w:r>
      <w:r>
        <w:rPr>
          <w:szCs w:val="21"/>
        </w:rPr>
        <w:t>扣除带补燃料的余热发电煤耗后的标准煤消耗量（吨）</w:t>
      </w:r>
      <w:r>
        <w:rPr>
          <w:rFonts w:hint="eastAsia"/>
          <w:szCs w:val="21"/>
          <w:lang w:eastAsia="zh-CN"/>
        </w:rPr>
        <w:t>”</w:t>
      </w:r>
      <w:r>
        <w:rPr>
          <w:szCs w:val="21"/>
        </w:rPr>
        <w:t>，按下式计算：</w:t>
      </w:r>
    </w:p>
    <w:p w14:paraId="5A818ED7">
      <w:pPr>
        <w:spacing w:line="360" w:lineRule="exact"/>
        <w:ind w:left="630" w:leftChars="0" w:hanging="630" w:hangingChars="300"/>
        <w:textAlignment w:val="center"/>
        <w:rPr>
          <w:szCs w:val="21"/>
        </w:rPr>
      </w:pPr>
      <w:r>
        <w:rPr>
          <w:rFonts w:hint="eastAsia"/>
          <w:szCs w:val="21"/>
          <w:lang w:val="en-US" w:eastAsia="zh-CN"/>
        </w:rPr>
        <w:t xml:space="preserve">    </w:t>
      </w:r>
      <w:r>
        <w:rPr>
          <w:szCs w:val="21"/>
        </w:rPr>
        <w:t>扣除带补燃料的余热发电煤耗后的标准煤消耗量（吨）</w:t>
      </w:r>
    </w:p>
    <w:p w14:paraId="03B48FB9">
      <w:pPr>
        <w:spacing w:line="360" w:lineRule="exact"/>
        <w:ind w:left="630" w:leftChars="0" w:hanging="630" w:hangingChars="300"/>
        <w:textAlignment w:val="center"/>
        <w:rPr>
          <w:szCs w:val="21"/>
        </w:rPr>
      </w:pPr>
      <w:r>
        <w:rPr>
          <w:rFonts w:hint="eastAsia"/>
          <w:szCs w:val="21"/>
          <w:lang w:val="en-US" w:eastAsia="zh-CN"/>
        </w:rPr>
        <w:t xml:space="preserve">    </w:t>
      </w:r>
      <w:r>
        <w:rPr>
          <w:szCs w:val="21"/>
        </w:rPr>
        <w:t>＝烧成标准煤总消耗量（吨）－｛〔电站发电量（千瓦时）－电站自用电量（千瓦时）〕×0.1229</w:t>
      </w:r>
    </w:p>
    <w:p w14:paraId="36906001">
      <w:pPr>
        <w:spacing w:line="360" w:lineRule="exact"/>
        <w:ind w:left="525" w:leftChars="0" w:hanging="525" w:hangingChars="250"/>
        <w:textAlignment w:val="center"/>
        <w:rPr>
          <w:szCs w:val="21"/>
        </w:rPr>
      </w:pPr>
      <w:r>
        <w:rPr>
          <w:rFonts w:hint="eastAsia"/>
          <w:szCs w:val="21"/>
          <w:lang w:val="en-US" w:eastAsia="zh-CN"/>
        </w:rPr>
        <w:t xml:space="preserve">     </w:t>
      </w:r>
      <w:r>
        <w:rPr>
          <w:szCs w:val="21"/>
        </w:rPr>
        <w:t>（千克/千瓦时）÷1000｝</w:t>
      </w:r>
    </w:p>
    <w:p w14:paraId="0587C01C">
      <w:pPr>
        <w:spacing w:line="360" w:lineRule="exact"/>
        <w:ind w:firstLine="420" w:firstLineChars="200"/>
        <w:textAlignment w:val="center"/>
        <w:rPr>
          <w:szCs w:val="21"/>
        </w:rPr>
      </w:pPr>
      <w:r>
        <w:rPr>
          <w:szCs w:val="21"/>
        </w:rPr>
        <w:t>注意：采用纯低温余热发电技术的新型干法水泥企业，其熟料烧成煤耗既没有增加，也没有减少，不得将发电量折标准煤抵扣熟料烧成标准煤耗</w:t>
      </w:r>
    </w:p>
    <w:p w14:paraId="494D5C96">
      <w:pPr>
        <w:spacing w:line="360" w:lineRule="exact"/>
        <w:ind w:firstLine="420" w:firstLineChars="200"/>
        <w:textAlignment w:val="center"/>
        <w:rPr>
          <w:szCs w:val="21"/>
        </w:rPr>
      </w:pPr>
      <w:r>
        <w:rPr>
          <w:szCs w:val="21"/>
        </w:rPr>
        <w:t>分母项：硅酸盐水泥熟料产量。指报告期合格品产量，计量单位为吨。</w:t>
      </w:r>
    </w:p>
    <w:p w14:paraId="20B486AD">
      <w:pPr>
        <w:spacing w:line="360" w:lineRule="exact"/>
        <w:ind w:firstLine="420" w:firstLineChars="200"/>
        <w:textAlignment w:val="center"/>
        <w:rPr>
          <w:rFonts w:eastAsia="黑体"/>
          <w:szCs w:val="21"/>
        </w:rPr>
      </w:pPr>
      <w:r>
        <w:rPr>
          <w:rFonts w:eastAsia="黑体"/>
          <w:szCs w:val="21"/>
        </w:rPr>
        <w:t>吨水泥熟料综合电耗</w:t>
      </w:r>
    </w:p>
    <w:p w14:paraId="1AF1F4C3">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计算公式：吨水泥熟料综合电耗（千瓦时/吨）＝10000×熟料生产综合电力消费量（万千瓦时）/硅</w:t>
      </w:r>
    </w:p>
    <w:p w14:paraId="6F853149">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酸盐水泥熟料产量（吨）</w:t>
      </w:r>
    </w:p>
    <w:p w14:paraId="1F8882D9">
      <w:pPr>
        <w:spacing w:line="360" w:lineRule="exact"/>
        <w:ind w:firstLine="420" w:firstLineChars="200"/>
        <w:textAlignment w:val="center"/>
        <w:rPr>
          <w:szCs w:val="21"/>
        </w:rPr>
      </w:pPr>
      <w:r>
        <w:rPr>
          <w:szCs w:val="21"/>
        </w:rPr>
        <w:t>分子项：熟料生产综合电力消费量。包括熟料工序用电，以及生料电力消耗。熟料工序用电中还包括生产煤粉各项用电，即生产水泥熟料的全部电耗。</w:t>
      </w:r>
    </w:p>
    <w:p w14:paraId="5590A368">
      <w:pPr>
        <w:spacing w:line="360" w:lineRule="exact"/>
        <w:ind w:firstLine="420" w:firstLineChars="200"/>
        <w:textAlignment w:val="center"/>
        <w:rPr>
          <w:szCs w:val="21"/>
        </w:rPr>
      </w:pPr>
      <w:r>
        <w:rPr>
          <w:szCs w:val="21"/>
        </w:rPr>
        <w:t xml:space="preserve">熟料生产综合电力消费量＝熟料工序电力消耗量+生料消耗量×本期每吨生料电力消耗量 </w:t>
      </w:r>
    </w:p>
    <w:p w14:paraId="13E6F4A1">
      <w:pPr>
        <w:spacing w:line="360" w:lineRule="exact"/>
        <w:ind w:firstLine="420" w:firstLineChars="200"/>
        <w:textAlignment w:val="center"/>
        <w:rPr>
          <w:szCs w:val="21"/>
        </w:rPr>
      </w:pPr>
      <w:r>
        <w:rPr>
          <w:szCs w:val="21"/>
        </w:rPr>
        <w:t>只生产水泥熟料的企业（不生产水泥），熟料生产综合电力消费量还要包括水泥熟料发送工序的电力消耗量。</w:t>
      </w:r>
    </w:p>
    <w:p w14:paraId="732687E2">
      <w:pPr>
        <w:spacing w:line="360" w:lineRule="exact"/>
        <w:ind w:firstLine="420" w:firstLineChars="200"/>
        <w:textAlignment w:val="center"/>
        <w:rPr>
          <w:szCs w:val="21"/>
        </w:rPr>
      </w:pPr>
      <w:r>
        <w:rPr>
          <w:szCs w:val="21"/>
        </w:rPr>
        <w:t>采用纯低温余热发电技术的新型干法水泥企业其电力自用量不得抵扣熟料生产综合电力消费量。</w:t>
      </w:r>
    </w:p>
    <w:p w14:paraId="5CEBD617">
      <w:pPr>
        <w:spacing w:line="360" w:lineRule="exact"/>
        <w:ind w:firstLine="420" w:firstLineChars="200"/>
        <w:textAlignment w:val="center"/>
        <w:rPr>
          <w:szCs w:val="21"/>
        </w:rPr>
      </w:pPr>
      <w:r>
        <w:rPr>
          <w:szCs w:val="21"/>
        </w:rPr>
        <w:t>分母项：硅酸盐水泥熟料产量。指报告期合格品产量，计量单位为吨。</w:t>
      </w:r>
    </w:p>
    <w:p w14:paraId="74D72918">
      <w:pPr>
        <w:spacing w:line="360" w:lineRule="exact"/>
        <w:ind w:firstLine="420" w:firstLineChars="200"/>
        <w:textAlignment w:val="center"/>
        <w:rPr>
          <w:rFonts w:eastAsia="黑体"/>
          <w:szCs w:val="21"/>
        </w:rPr>
      </w:pPr>
      <w:r>
        <w:rPr>
          <w:rFonts w:eastAsia="黑体"/>
          <w:szCs w:val="21"/>
        </w:rPr>
        <w:t>吨水泥综合能耗</w:t>
      </w:r>
    </w:p>
    <w:p w14:paraId="2BFAA0C9">
      <w:pPr>
        <w:spacing w:line="360" w:lineRule="exact"/>
        <w:ind w:left="4529" w:leftChars="0" w:hanging="4529" w:hangingChars="2157"/>
        <w:textAlignment w:val="center"/>
        <w:rPr>
          <w:szCs w:val="21"/>
        </w:rPr>
      </w:pPr>
      <w:r>
        <w:rPr>
          <w:rFonts w:hint="eastAsia"/>
          <w:szCs w:val="21"/>
          <w:lang w:val="en-US" w:eastAsia="zh-CN"/>
        </w:rPr>
        <w:t xml:space="preserve">    </w:t>
      </w:r>
      <w:r>
        <w:rPr>
          <w:szCs w:val="21"/>
        </w:rPr>
        <w:t>计算公式：吨水泥综合能耗（千克标准煤/吨）＝1000×生产水泥综合能源消费量（吨标准煤）/水泥</w:t>
      </w:r>
    </w:p>
    <w:p w14:paraId="5A7ED572">
      <w:pPr>
        <w:spacing w:line="360" w:lineRule="exact"/>
        <w:ind w:left="4529" w:leftChars="0" w:hanging="4529" w:hangingChars="2157"/>
        <w:textAlignment w:val="center"/>
        <w:rPr>
          <w:szCs w:val="21"/>
        </w:rPr>
      </w:pPr>
      <w:r>
        <w:rPr>
          <w:rFonts w:hint="eastAsia"/>
          <w:szCs w:val="21"/>
          <w:lang w:val="en-US" w:eastAsia="zh-CN"/>
        </w:rPr>
        <w:t xml:space="preserve">                                              </w:t>
      </w:r>
      <w:r>
        <w:rPr>
          <w:szCs w:val="21"/>
        </w:rPr>
        <w:t>产量（吨）</w:t>
      </w:r>
    </w:p>
    <w:p w14:paraId="2A1EC437">
      <w:pPr>
        <w:spacing w:line="360" w:lineRule="exact"/>
        <w:ind w:firstLine="420" w:firstLineChars="200"/>
        <w:textAlignment w:val="center"/>
        <w:rPr>
          <w:szCs w:val="21"/>
        </w:rPr>
      </w:pPr>
      <w:r>
        <w:rPr>
          <w:szCs w:val="21"/>
        </w:rPr>
        <w:t>分子项：生产水泥综合能源消费量。包括电力、原煤、洗精煤、焦炭、原油、重油（包括渣油）、汽油、煤油、柴油、天然气、煤气、液化气、蒸汽等。企业自备锅炉、自备发电机组生产的蒸汽、电力，由本企业消耗的，只计算第一次能源消耗，不再重复计算蒸汽及电的消耗；余热发电亦不重复计算。依据分子分母对应原则，生产水泥综合能源消费量不应包括已销售的商品熟料所消耗的能源。</w:t>
      </w:r>
    </w:p>
    <w:p w14:paraId="10043D4B">
      <w:pPr>
        <w:spacing w:line="360" w:lineRule="exact"/>
        <w:ind w:firstLine="420" w:firstLineChars="200"/>
        <w:textAlignment w:val="center"/>
        <w:rPr>
          <w:szCs w:val="21"/>
        </w:rPr>
      </w:pPr>
      <w:r>
        <w:rPr>
          <w:szCs w:val="21"/>
        </w:rPr>
        <w:t>分母项：水泥产量。指报告期合格品产量，计量单位为吨。水泥是指加水拌和成塑性浆体,能胶结砂、石等适当材料并能在空气和水中硬化的粉状水硬性胶凝材料。企业在统计水泥产量时，不得将达不到水泥强度等级的废品水泥和已销售的商品熟料折合成水泥统计在水泥产量中。</w:t>
      </w:r>
    </w:p>
    <w:p w14:paraId="20103C4B">
      <w:pPr>
        <w:spacing w:line="360" w:lineRule="exact"/>
        <w:ind w:firstLine="420" w:firstLineChars="200"/>
        <w:textAlignment w:val="center"/>
        <w:rPr>
          <w:rFonts w:eastAsia="黑体"/>
          <w:szCs w:val="21"/>
        </w:rPr>
      </w:pPr>
      <w:r>
        <w:rPr>
          <w:rFonts w:eastAsia="黑体"/>
          <w:szCs w:val="21"/>
        </w:rPr>
        <w:t>吨水泥实物煤耗</w:t>
      </w:r>
    </w:p>
    <w:p w14:paraId="2E74E417">
      <w:pPr>
        <w:spacing w:line="360" w:lineRule="exact"/>
        <w:ind w:left="999" w:leftChars="0" w:hanging="999" w:hangingChars="485"/>
        <w:textAlignment w:val="center"/>
        <w:rPr>
          <w:spacing w:val="-2"/>
          <w:szCs w:val="21"/>
        </w:rPr>
      </w:pPr>
      <w:r>
        <w:rPr>
          <w:rFonts w:hint="eastAsia"/>
          <w:spacing w:val="-2"/>
          <w:szCs w:val="21"/>
          <w:lang w:val="en-US" w:eastAsia="zh-CN"/>
        </w:rPr>
        <w:t xml:space="preserve">    </w:t>
      </w:r>
      <w:r>
        <w:rPr>
          <w:spacing w:val="-2"/>
          <w:szCs w:val="21"/>
        </w:rPr>
        <w:t>计算公式：吨水泥实物煤耗（千克/吨）＝ 1000 ×水泥生产实物煤综合消费量（吨）/水泥产量（吨）</w:t>
      </w:r>
    </w:p>
    <w:p w14:paraId="4EAAC61E">
      <w:pPr>
        <w:spacing w:line="360" w:lineRule="exact"/>
        <w:ind w:firstLine="420" w:firstLineChars="200"/>
        <w:textAlignment w:val="center"/>
        <w:rPr>
          <w:szCs w:val="21"/>
        </w:rPr>
      </w:pPr>
      <w:r>
        <w:rPr>
          <w:szCs w:val="21"/>
        </w:rPr>
        <w:t>分子项：水泥生产实物煤综合消费量。包括熟料综合煤耗、混合材烘干煤耗以外，还包括为水泥生产直接服务的其他煤耗，如机修车间烘炉用煤，蒸汽锅炉用煤。原煤在粉磨过程中，用收尘办法回收的煤粉重新用于生产时应计算消耗，用于生产其他产品或用于生活福利的，则应扣除。</w:t>
      </w:r>
    </w:p>
    <w:p w14:paraId="172F6EE6">
      <w:pPr>
        <w:spacing w:line="360" w:lineRule="exact"/>
        <w:ind w:right="0" w:firstLine="420"/>
        <w:textAlignment w:val="center"/>
        <w:rPr>
          <w:szCs w:val="21"/>
        </w:rPr>
      </w:pPr>
      <w:r>
        <w:rPr>
          <w:szCs w:val="21"/>
        </w:rPr>
        <w:t>水泥生产实物煤综合消费量（吨）＝熟料消耗量（吨）×每吨熟料综合煤耗（吨）+混合材消耗量（吨）</w:t>
      </w:r>
    </w:p>
    <w:p w14:paraId="304397C6">
      <w:pPr>
        <w:spacing w:line="360" w:lineRule="exact"/>
        <w:ind w:right="0" w:firstLine="3675" w:firstLineChars="1750"/>
        <w:textAlignment w:val="center"/>
        <w:rPr>
          <w:szCs w:val="21"/>
        </w:rPr>
      </w:pPr>
      <w:r>
        <w:rPr>
          <w:szCs w:val="21"/>
        </w:rPr>
        <w:t>×每吨混合材烘干煤耗（吨）+其他生产用煤（吨）</w:t>
      </w:r>
    </w:p>
    <w:p w14:paraId="4A84D0BD">
      <w:pPr>
        <w:spacing w:line="360" w:lineRule="exact"/>
        <w:ind w:firstLine="420" w:firstLineChars="200"/>
        <w:textAlignment w:val="center"/>
        <w:rPr>
          <w:szCs w:val="21"/>
        </w:rPr>
      </w:pPr>
      <w:r>
        <w:rPr>
          <w:szCs w:val="21"/>
        </w:rPr>
        <w:t>分母项：水泥产量。说明同上。</w:t>
      </w:r>
    </w:p>
    <w:p w14:paraId="17A91263">
      <w:pPr>
        <w:spacing w:line="360" w:lineRule="exact"/>
        <w:ind w:firstLine="420" w:firstLineChars="200"/>
        <w:textAlignment w:val="center"/>
        <w:rPr>
          <w:rFonts w:eastAsia="黑体"/>
          <w:szCs w:val="21"/>
        </w:rPr>
      </w:pPr>
      <w:r>
        <w:rPr>
          <w:rFonts w:eastAsia="黑体"/>
          <w:szCs w:val="21"/>
        </w:rPr>
        <w:t>吨水泥标准煤耗</w:t>
      </w:r>
    </w:p>
    <w:p w14:paraId="4F9D43DF">
      <w:pPr>
        <w:spacing w:line="360" w:lineRule="exact"/>
        <w:ind w:firstLine="420" w:firstLineChars="200"/>
        <w:textAlignment w:val="center"/>
        <w:rPr>
          <w:szCs w:val="21"/>
        </w:rPr>
      </w:pPr>
      <w:r>
        <w:rPr>
          <w:szCs w:val="21"/>
        </w:rPr>
        <w:t>吨水泥标准煤耗的计算公式、包括范围同</w:t>
      </w:r>
      <w:r>
        <w:rPr>
          <w:rFonts w:hint="eastAsia"/>
          <w:szCs w:val="21"/>
          <w:lang w:eastAsia="zh-CN"/>
        </w:rPr>
        <w:t>“</w:t>
      </w:r>
      <w:r>
        <w:rPr>
          <w:szCs w:val="21"/>
        </w:rPr>
        <w:t>吨水泥实物煤耗</w:t>
      </w:r>
      <w:r>
        <w:rPr>
          <w:rFonts w:hint="eastAsia"/>
          <w:szCs w:val="21"/>
          <w:lang w:eastAsia="zh-CN"/>
        </w:rPr>
        <w:t>”</w:t>
      </w:r>
      <w:r>
        <w:rPr>
          <w:szCs w:val="21"/>
        </w:rPr>
        <w:t>，区别仅是将实物煤用折标准煤系数换算成标准煤。</w:t>
      </w:r>
    </w:p>
    <w:p w14:paraId="4E5AC9F3">
      <w:pPr>
        <w:spacing w:line="360" w:lineRule="exact"/>
        <w:ind w:firstLine="420" w:firstLineChars="200"/>
        <w:textAlignment w:val="center"/>
        <w:rPr>
          <w:rFonts w:eastAsia="黑体"/>
          <w:szCs w:val="21"/>
        </w:rPr>
      </w:pPr>
      <w:r>
        <w:rPr>
          <w:rFonts w:eastAsia="黑体"/>
          <w:szCs w:val="21"/>
        </w:rPr>
        <w:t>吨水泥综合电耗</w:t>
      </w:r>
    </w:p>
    <w:p w14:paraId="520C26FE">
      <w:pPr>
        <w:spacing w:line="360" w:lineRule="exact"/>
        <w:ind w:left="3990" w:leftChars="0" w:hanging="3990" w:hangingChars="1900"/>
        <w:textAlignment w:val="center"/>
        <w:rPr>
          <w:szCs w:val="21"/>
        </w:rPr>
      </w:pPr>
      <w:r>
        <w:rPr>
          <w:rFonts w:hint="eastAsia"/>
          <w:szCs w:val="21"/>
          <w:lang w:val="en-US" w:eastAsia="zh-CN"/>
        </w:rPr>
        <w:t xml:space="preserve">    </w:t>
      </w:r>
      <w:r>
        <w:rPr>
          <w:szCs w:val="21"/>
        </w:rPr>
        <w:t>计算公式：吨水泥综合电耗（千瓦时/吨）＝10000×水泥生产综合电力消费量（万千瓦时）/水泥产</w:t>
      </w:r>
    </w:p>
    <w:p w14:paraId="768C8867">
      <w:pPr>
        <w:spacing w:line="360" w:lineRule="exact"/>
        <w:ind w:left="0" w:leftChars="0" w:firstLine="69" w:firstLineChars="33"/>
        <w:textAlignment w:val="center"/>
        <w:rPr>
          <w:szCs w:val="21"/>
        </w:rPr>
      </w:pPr>
      <w:r>
        <w:rPr>
          <w:rFonts w:hint="eastAsia"/>
          <w:szCs w:val="21"/>
          <w:lang w:val="en-US" w:eastAsia="zh-CN"/>
        </w:rPr>
        <w:t xml:space="preserve">                                          </w:t>
      </w:r>
      <w:r>
        <w:rPr>
          <w:szCs w:val="21"/>
        </w:rPr>
        <w:t>量（吨）</w:t>
      </w:r>
    </w:p>
    <w:p w14:paraId="0CE4A9DB">
      <w:pPr>
        <w:spacing w:line="360" w:lineRule="exact"/>
        <w:ind w:firstLine="420" w:firstLineChars="200"/>
        <w:textAlignment w:val="center"/>
        <w:rPr>
          <w:szCs w:val="21"/>
        </w:rPr>
      </w:pPr>
      <w:r>
        <w:rPr>
          <w:szCs w:val="21"/>
        </w:rPr>
        <w:t>分子项： 水泥生产综合电力消费量。指生产水泥（不分品种、标号）所消耗的电力。消耗的电力应包括：水泥工序电耗，水泥所消耗的熟料、石膏、混合材的电力消耗量，水泥出厂时，进行包装或者散装所消耗的电力。为各种辅助用电，如机修、供热、供水、供风、化验等辅助用电，变电、配电、线路损失的电力，厂区、办公室、仓库照明用电，如果企业除生产水泥外，还生产其他产品，则要按比例进行合理分摊。</w:t>
      </w:r>
    </w:p>
    <w:p w14:paraId="4023D218">
      <w:pPr>
        <w:spacing w:line="360" w:lineRule="exact"/>
        <w:ind w:firstLine="420" w:firstLineChars="200"/>
        <w:textAlignment w:val="center"/>
        <w:rPr>
          <w:szCs w:val="21"/>
        </w:rPr>
      </w:pPr>
      <w:r>
        <w:rPr>
          <w:szCs w:val="21"/>
        </w:rPr>
        <w:t>水泥生产综合电力消费量＝水泥粉磨及包装工序耗电量+熟料消耗量×本期每吨熟料电力消耗量+混</w:t>
      </w:r>
    </w:p>
    <w:p w14:paraId="5A10CC1F">
      <w:pPr>
        <w:spacing w:line="360" w:lineRule="exact"/>
        <w:ind w:firstLine="2940" w:firstLineChars="1400"/>
        <w:textAlignment w:val="center"/>
        <w:rPr>
          <w:szCs w:val="21"/>
        </w:rPr>
      </w:pPr>
      <w:r>
        <w:rPr>
          <w:szCs w:val="21"/>
        </w:rPr>
        <w:t>合材消耗量×本期每吨混合材电力消耗量+石膏消耗量×本期每吨石膏电</w:t>
      </w:r>
    </w:p>
    <w:p w14:paraId="6B724906">
      <w:pPr>
        <w:spacing w:line="360" w:lineRule="exact"/>
        <w:ind w:firstLine="2940" w:firstLineChars="1400"/>
        <w:textAlignment w:val="center"/>
        <w:rPr>
          <w:szCs w:val="21"/>
        </w:rPr>
      </w:pPr>
      <w:r>
        <w:rPr>
          <w:szCs w:val="21"/>
        </w:rPr>
        <w:t>力消耗量+应分摊的辅助用电量</w:t>
      </w:r>
    </w:p>
    <w:p w14:paraId="5F12DA37">
      <w:pPr>
        <w:spacing w:line="360" w:lineRule="exact"/>
        <w:ind w:firstLine="420" w:firstLineChars="200"/>
        <w:textAlignment w:val="center"/>
        <w:rPr>
          <w:szCs w:val="21"/>
        </w:rPr>
      </w:pPr>
      <w:r>
        <w:rPr>
          <w:szCs w:val="21"/>
        </w:rPr>
        <w:t>只进行水泥生产的企业（俗称水泥粉磨站），水泥生产综合电力消费量</w:t>
      </w:r>
    </w:p>
    <w:p w14:paraId="293D40C8">
      <w:pPr>
        <w:spacing w:line="360" w:lineRule="exact"/>
        <w:ind w:firstLine="420" w:firstLineChars="200"/>
        <w:textAlignment w:val="center"/>
        <w:rPr>
          <w:szCs w:val="21"/>
        </w:rPr>
      </w:pPr>
      <w:r>
        <w:rPr>
          <w:szCs w:val="21"/>
        </w:rPr>
        <w:t>＝水泥粉磨及包装工序耗电量+水泥粉磨原料消耗量×本期每吨原料进厂工序电耗+水泥发运工序耗</w:t>
      </w:r>
    </w:p>
    <w:p w14:paraId="5F3E40B7">
      <w:pPr>
        <w:spacing w:line="360" w:lineRule="exact"/>
        <w:ind w:firstLine="630" w:firstLineChars="300"/>
        <w:textAlignment w:val="center"/>
        <w:rPr>
          <w:szCs w:val="21"/>
        </w:rPr>
      </w:pPr>
      <w:r>
        <w:rPr>
          <w:szCs w:val="21"/>
        </w:rPr>
        <w:t xml:space="preserve">电+应分摊的辅助用电量 </w:t>
      </w:r>
    </w:p>
    <w:p w14:paraId="6B572FA9">
      <w:pPr>
        <w:spacing w:line="360" w:lineRule="exact"/>
        <w:ind w:firstLine="420" w:firstLineChars="200"/>
        <w:textAlignment w:val="center"/>
        <w:rPr>
          <w:szCs w:val="21"/>
        </w:rPr>
      </w:pPr>
      <w:r>
        <w:rPr>
          <w:szCs w:val="21"/>
        </w:rPr>
        <w:t>分母项：水泥产量。说明同上。</w:t>
      </w:r>
    </w:p>
    <w:p w14:paraId="2B4B04DD">
      <w:pPr>
        <w:spacing w:line="360" w:lineRule="exact"/>
        <w:ind w:firstLine="420" w:firstLineChars="200"/>
        <w:jc w:val="left"/>
        <w:textAlignment w:val="center"/>
        <w:rPr>
          <w:rFonts w:eastAsia="黑体"/>
          <w:bCs/>
          <w:szCs w:val="21"/>
        </w:rPr>
      </w:pPr>
    </w:p>
    <w:p w14:paraId="136D9D11">
      <w:pPr>
        <w:spacing w:line="360" w:lineRule="exact"/>
        <w:ind w:firstLine="420" w:firstLineChars="200"/>
        <w:jc w:val="left"/>
        <w:textAlignment w:val="center"/>
        <w:rPr>
          <w:rFonts w:eastAsia="黑体"/>
          <w:bCs/>
          <w:szCs w:val="21"/>
        </w:rPr>
      </w:pPr>
      <w:r>
        <w:rPr>
          <w:rFonts w:eastAsia="黑体"/>
          <w:bCs/>
          <w:szCs w:val="21"/>
        </w:rPr>
        <w:t>平板玻璃（30）</w:t>
      </w:r>
    </w:p>
    <w:p w14:paraId="082624C7">
      <w:pPr>
        <w:spacing w:line="360" w:lineRule="exact"/>
        <w:ind w:firstLine="420" w:firstLineChars="200"/>
        <w:textAlignment w:val="center"/>
        <w:rPr>
          <w:szCs w:val="21"/>
        </w:rPr>
      </w:pPr>
      <w:r>
        <w:rPr>
          <w:szCs w:val="21"/>
        </w:rPr>
        <w:t>平板玻璃生产工艺分为：浮法、垂直引上、格法、平拉、其他。</w:t>
      </w:r>
    </w:p>
    <w:p w14:paraId="3BADC68E">
      <w:pPr>
        <w:spacing w:line="360" w:lineRule="exact"/>
        <w:ind w:firstLine="420" w:firstLineChars="200"/>
        <w:textAlignment w:val="center"/>
        <w:rPr>
          <w:rFonts w:eastAsia="黑体"/>
          <w:szCs w:val="21"/>
        </w:rPr>
      </w:pPr>
      <w:r>
        <w:rPr>
          <w:rFonts w:eastAsia="黑体"/>
          <w:szCs w:val="21"/>
        </w:rPr>
        <w:t>每重量箱平板玻璃综合能耗</w:t>
      </w:r>
    </w:p>
    <w:p w14:paraId="0F138D3E">
      <w:pPr>
        <w:spacing w:line="360" w:lineRule="exact"/>
        <w:ind w:left="5789" w:leftChars="0" w:hanging="5789" w:hangingChars="2757"/>
        <w:textAlignment w:val="center"/>
        <w:rPr>
          <w:szCs w:val="21"/>
        </w:rPr>
      </w:pPr>
      <w:r>
        <w:rPr>
          <w:rFonts w:hint="eastAsia"/>
          <w:szCs w:val="21"/>
          <w:lang w:val="en-US" w:eastAsia="zh-CN"/>
        </w:rPr>
        <w:t xml:space="preserve">    </w:t>
      </w:r>
      <w:r>
        <w:rPr>
          <w:szCs w:val="21"/>
        </w:rPr>
        <w:t>计算公式：每重量箱平板玻璃综合能耗（千克标准煤/重量箱）＝1000×平板玻璃综合能源消耗量（吨</w:t>
      </w:r>
    </w:p>
    <w:p w14:paraId="1CCD227C">
      <w:pPr>
        <w:spacing w:line="360" w:lineRule="exact"/>
        <w:ind w:left="5789" w:leftChars="0" w:hanging="5789" w:hangingChars="2757"/>
        <w:textAlignment w:val="center"/>
        <w:rPr>
          <w:szCs w:val="21"/>
        </w:rPr>
      </w:pPr>
      <w:r>
        <w:rPr>
          <w:rFonts w:hint="eastAsia"/>
          <w:szCs w:val="21"/>
          <w:lang w:val="en-US" w:eastAsia="zh-CN"/>
        </w:rPr>
        <w:t xml:space="preserve">                                                           </w:t>
      </w:r>
      <w:r>
        <w:rPr>
          <w:szCs w:val="21"/>
        </w:rPr>
        <w:t>标准煤）/平板玻璃产量（重量箱）</w:t>
      </w:r>
    </w:p>
    <w:p w14:paraId="3822FDAE">
      <w:pPr>
        <w:spacing w:line="360" w:lineRule="exact"/>
        <w:ind w:firstLine="420" w:firstLineChars="200"/>
        <w:textAlignment w:val="center"/>
        <w:rPr>
          <w:szCs w:val="21"/>
        </w:rPr>
      </w:pPr>
      <w:r>
        <w:rPr>
          <w:szCs w:val="21"/>
        </w:rPr>
        <w:t>分子项：平板玻璃综合能源消耗量。包括生产平板玻璃直接消耗的各种能源、辅助生产系统和附属生产系统消耗的一次能源和二次能源，以及需要分摊的企业内部亏损能源。不包括用于基本建设、生活福利设施等非工业生产所消耗的能源和回收利用的余能等。</w:t>
      </w:r>
    </w:p>
    <w:p w14:paraId="752317E1">
      <w:pPr>
        <w:spacing w:line="360" w:lineRule="exact"/>
        <w:ind w:firstLine="420" w:firstLineChars="200"/>
        <w:textAlignment w:val="center"/>
        <w:rPr>
          <w:szCs w:val="21"/>
        </w:rPr>
      </w:pPr>
      <w:r>
        <w:rPr>
          <w:szCs w:val="21"/>
        </w:rPr>
        <w:t>分母项：平板玻璃产量。包括浮法、垂直引上、格法、平拉等各种生产工艺生产的平板玻璃。计量单位为重量箱。</w:t>
      </w:r>
    </w:p>
    <w:p w14:paraId="5D909180">
      <w:pPr>
        <w:spacing w:line="360" w:lineRule="exact"/>
        <w:ind w:firstLine="420" w:firstLineChars="200"/>
        <w:textAlignment w:val="center"/>
        <w:rPr>
          <w:rFonts w:eastAsia="黑体"/>
          <w:szCs w:val="21"/>
        </w:rPr>
      </w:pPr>
      <w:r>
        <w:rPr>
          <w:rFonts w:eastAsia="黑体"/>
          <w:szCs w:val="21"/>
        </w:rPr>
        <w:t>每重量箱平板玻璃耗燃油</w:t>
      </w:r>
    </w:p>
    <w:p w14:paraId="662B0376">
      <w:pPr>
        <w:spacing w:line="360" w:lineRule="exact"/>
        <w:ind w:left="990" w:leftChars="0" w:hanging="990" w:hangingChars="500"/>
        <w:textAlignment w:val="center"/>
        <w:rPr>
          <w:spacing w:val="-6"/>
          <w:szCs w:val="21"/>
        </w:rPr>
      </w:pPr>
      <w:r>
        <w:rPr>
          <w:rFonts w:hint="eastAsia"/>
          <w:spacing w:val="-6"/>
          <w:szCs w:val="21"/>
          <w:lang w:val="en-US" w:eastAsia="zh-CN"/>
        </w:rPr>
        <w:t xml:space="preserve">    </w:t>
      </w:r>
      <w:r>
        <w:rPr>
          <w:spacing w:val="-6"/>
          <w:szCs w:val="21"/>
        </w:rPr>
        <w:t>计算公式：每重量箱平板玻璃耗燃油（千克/重量箱）＝1000×燃油消耗量（吨）/平板玻璃产量（重量箱）</w:t>
      </w:r>
    </w:p>
    <w:p w14:paraId="608B2897">
      <w:pPr>
        <w:spacing w:line="360" w:lineRule="exact"/>
        <w:ind w:firstLine="420" w:firstLineChars="200"/>
        <w:textAlignment w:val="center"/>
        <w:rPr>
          <w:szCs w:val="21"/>
        </w:rPr>
      </w:pPr>
      <w:r>
        <w:rPr>
          <w:szCs w:val="21"/>
        </w:rPr>
        <w:t>分子项：燃油消耗量。指生产平板玻璃的重油、煤焦油、燃料油的消耗量。</w:t>
      </w:r>
    </w:p>
    <w:p w14:paraId="169A2A60">
      <w:pPr>
        <w:spacing w:line="360" w:lineRule="exact"/>
        <w:ind w:firstLine="420" w:firstLineChars="200"/>
        <w:textAlignment w:val="center"/>
        <w:rPr>
          <w:szCs w:val="21"/>
        </w:rPr>
      </w:pPr>
      <w:r>
        <w:rPr>
          <w:szCs w:val="21"/>
        </w:rPr>
        <w:t>分母项：平板玻璃产量。计量单位为重量箱。</w:t>
      </w:r>
    </w:p>
    <w:p w14:paraId="0A8E2B60">
      <w:pPr>
        <w:spacing w:line="360" w:lineRule="exact"/>
        <w:ind w:firstLine="420" w:firstLineChars="200"/>
        <w:textAlignment w:val="center"/>
        <w:rPr>
          <w:rFonts w:eastAsia="黑体"/>
          <w:szCs w:val="21"/>
        </w:rPr>
      </w:pPr>
      <w:r>
        <w:rPr>
          <w:rFonts w:eastAsia="黑体"/>
          <w:szCs w:val="21"/>
        </w:rPr>
        <w:t>每重量箱平板玻璃耗电</w:t>
      </w:r>
    </w:p>
    <w:p w14:paraId="117C1FE8">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计算公式：每重量箱平板玻璃耗电（千瓦时/重量箱）＝10000×电力消耗量（万千瓦时）/平板玻璃</w:t>
      </w:r>
    </w:p>
    <w:p w14:paraId="0B7B71EF">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产量（重量箱）</w:t>
      </w:r>
    </w:p>
    <w:p w14:paraId="263C57D6">
      <w:pPr>
        <w:spacing w:line="360" w:lineRule="exact"/>
        <w:ind w:firstLine="420" w:firstLineChars="200"/>
        <w:textAlignment w:val="center"/>
        <w:rPr>
          <w:szCs w:val="21"/>
        </w:rPr>
      </w:pPr>
      <w:r>
        <w:rPr>
          <w:szCs w:val="21"/>
        </w:rPr>
        <w:t>分子项：电力消耗量。指生产平板玻璃时的生产用电，包括辅助、附属生产用电，以及厂区、车间、办公室、仓库照明用电。为多种生产服务的辅助、附属生产部门电力消耗，按其为生产平板玻璃服务的工作量进行分摊。分摊系数由企业自定。</w:t>
      </w:r>
    </w:p>
    <w:p w14:paraId="6C1317E4">
      <w:pPr>
        <w:spacing w:line="360" w:lineRule="exact"/>
        <w:ind w:right="0" w:firstLine="420"/>
        <w:textAlignment w:val="center"/>
        <w:rPr>
          <w:szCs w:val="21"/>
        </w:rPr>
      </w:pPr>
      <w:r>
        <w:rPr>
          <w:szCs w:val="21"/>
        </w:rPr>
        <w:t>分母项：平板玻璃产量。计量单位为重量箱。</w:t>
      </w:r>
    </w:p>
    <w:p w14:paraId="6280BC55">
      <w:pPr>
        <w:spacing w:line="360" w:lineRule="exact"/>
        <w:ind w:firstLine="420" w:firstLineChars="200"/>
        <w:textAlignment w:val="center"/>
        <w:rPr>
          <w:rFonts w:eastAsia="黑体"/>
          <w:bCs/>
          <w:szCs w:val="21"/>
        </w:rPr>
      </w:pPr>
    </w:p>
    <w:p w14:paraId="6311AA4A">
      <w:pPr>
        <w:spacing w:line="360" w:lineRule="exact"/>
        <w:ind w:firstLine="420" w:firstLineChars="200"/>
        <w:textAlignment w:val="center"/>
        <w:rPr>
          <w:rFonts w:eastAsia="黑体"/>
          <w:bCs/>
          <w:szCs w:val="21"/>
        </w:rPr>
      </w:pPr>
      <w:r>
        <w:rPr>
          <w:rFonts w:eastAsia="黑体"/>
          <w:bCs/>
          <w:szCs w:val="21"/>
        </w:rPr>
        <w:t>钢铁工业有关概念</w:t>
      </w:r>
    </w:p>
    <w:p w14:paraId="64BCFB1C">
      <w:pPr>
        <w:spacing w:line="360" w:lineRule="exact"/>
        <w:ind w:firstLine="420" w:firstLineChars="200"/>
        <w:textAlignment w:val="center"/>
        <w:rPr>
          <w:rFonts w:eastAsia="黑体"/>
          <w:szCs w:val="21"/>
        </w:rPr>
      </w:pPr>
      <w:r>
        <w:rPr>
          <w:rFonts w:eastAsia="黑体"/>
          <w:szCs w:val="21"/>
        </w:rPr>
        <w:t>钢铁工业生产</w:t>
      </w:r>
    </w:p>
    <w:p w14:paraId="395546F5">
      <w:pPr>
        <w:spacing w:line="360" w:lineRule="exact"/>
        <w:ind w:firstLine="420" w:firstLineChars="200"/>
        <w:textAlignment w:val="center"/>
        <w:rPr>
          <w:szCs w:val="21"/>
        </w:rPr>
      </w:pPr>
      <w:r>
        <w:rPr>
          <w:szCs w:val="21"/>
        </w:rPr>
        <w:t>指铁、铬、锰等黑色金属矿物的采选、人造块矿、铁合金冶炼、炼铁、炼钢、钢加工、钢丝及其制品、焦炭、耐火材料制品、碳素制品和为钢铁工业生产服务的运输、机修、动力等生产。 钢铁产品主要有：生铁、粗钢、钢材，生产的主要原材料有：铁矿石及各种辅助原料矿及其成品矿、人造块矿、铁合金、洗煤、焦炭、焦炉煤气及煤化工产品、耐火材料制品、碳素制品等，钢铁制品主要有：钢丝、钢丝绳、钢绞线、铁丝、铁钉等。</w:t>
      </w:r>
    </w:p>
    <w:p w14:paraId="5B33D3C5">
      <w:pPr>
        <w:spacing w:line="360" w:lineRule="exact"/>
        <w:ind w:firstLine="420" w:firstLineChars="200"/>
        <w:textAlignment w:val="center"/>
        <w:rPr>
          <w:rFonts w:eastAsia="黑体"/>
          <w:szCs w:val="21"/>
        </w:rPr>
      </w:pPr>
      <w:r>
        <w:rPr>
          <w:rFonts w:eastAsia="黑体"/>
          <w:szCs w:val="21"/>
        </w:rPr>
        <w:t>企业钢铁工业生产中自耗能源</w:t>
      </w:r>
    </w:p>
    <w:p w14:paraId="266C9CE6">
      <w:pPr>
        <w:spacing w:line="360" w:lineRule="exact"/>
        <w:ind w:firstLine="420" w:firstLineChars="200"/>
        <w:textAlignment w:val="center"/>
        <w:rPr>
          <w:szCs w:val="21"/>
        </w:rPr>
      </w:pPr>
      <w:r>
        <w:rPr>
          <w:szCs w:val="21"/>
        </w:rPr>
        <w:t>指报告期内钢铁工业生产直接消耗的各种能源及其辅助生产系统、直接为钢铁工业生产服务的附属生产系统实际消耗的各种能源，不包括非钢铁工业生产消耗的能源和外销能源。</w:t>
      </w:r>
    </w:p>
    <w:p w14:paraId="6BB9498C">
      <w:pPr>
        <w:spacing w:line="360" w:lineRule="exact"/>
        <w:ind w:firstLine="420" w:firstLineChars="200"/>
        <w:textAlignment w:val="center"/>
        <w:rPr>
          <w:szCs w:val="21"/>
        </w:rPr>
      </w:pPr>
      <w:r>
        <w:rPr>
          <w:szCs w:val="21"/>
        </w:rPr>
        <w:t>企业钢铁工业生产中自耗能源量＝企业购入能源量＋期初库存量－期末库存量－非钢铁工业生产</w:t>
      </w:r>
    </w:p>
    <w:p w14:paraId="4E90D75D">
      <w:pPr>
        <w:spacing w:line="360" w:lineRule="exact"/>
        <w:ind w:firstLine="3570" w:firstLineChars="1700"/>
        <w:textAlignment w:val="center"/>
        <w:rPr>
          <w:szCs w:val="21"/>
        </w:rPr>
      </w:pPr>
      <w:r>
        <w:rPr>
          <w:szCs w:val="21"/>
        </w:rPr>
        <w:t>消耗的能源量－外销能源量＝企业钢铁工业生产各部位用能之</w:t>
      </w:r>
    </w:p>
    <w:p w14:paraId="42A2A9B1">
      <w:pPr>
        <w:spacing w:line="360" w:lineRule="exact"/>
        <w:ind w:firstLine="3570" w:firstLineChars="1700"/>
        <w:textAlignment w:val="center"/>
        <w:rPr>
          <w:szCs w:val="21"/>
        </w:rPr>
      </w:pPr>
      <w:r>
        <w:rPr>
          <w:szCs w:val="21"/>
        </w:rPr>
        <w:t>和＋企业能源亏损量</w:t>
      </w:r>
    </w:p>
    <w:p w14:paraId="3C507408">
      <w:pPr>
        <w:spacing w:line="360" w:lineRule="exact"/>
        <w:ind w:firstLine="420" w:firstLineChars="200"/>
        <w:textAlignment w:val="center"/>
        <w:rPr>
          <w:rFonts w:eastAsia="黑体"/>
          <w:szCs w:val="21"/>
        </w:rPr>
      </w:pPr>
      <w:r>
        <w:rPr>
          <w:rFonts w:eastAsia="黑体"/>
          <w:szCs w:val="21"/>
        </w:rPr>
        <w:t>企业外销能源量</w:t>
      </w:r>
    </w:p>
    <w:p w14:paraId="2F7B0606">
      <w:pPr>
        <w:spacing w:line="360" w:lineRule="exact"/>
        <w:ind w:firstLine="420" w:firstLineChars="200"/>
        <w:textAlignment w:val="center"/>
        <w:rPr>
          <w:szCs w:val="21"/>
        </w:rPr>
      </w:pPr>
      <w:r>
        <w:rPr>
          <w:szCs w:val="21"/>
        </w:rPr>
        <w:t>指企业向外销售的购入能源、企业二次能源、下脚燃料及余热等。驻厂施工单位、独立核算的非工业生产单位和厂区（车间）以外的生活耗能（如服务公司、医院、学校、职工食堂等），凡有据可查的部分均可作为外销能源处理。</w:t>
      </w:r>
    </w:p>
    <w:p w14:paraId="083CCEF9">
      <w:pPr>
        <w:spacing w:line="360" w:lineRule="exact"/>
        <w:ind w:firstLine="420" w:firstLineChars="200"/>
        <w:textAlignment w:val="center"/>
        <w:rPr>
          <w:szCs w:val="21"/>
        </w:rPr>
      </w:pPr>
    </w:p>
    <w:p w14:paraId="3283BADF">
      <w:pPr>
        <w:spacing w:line="360" w:lineRule="exact"/>
        <w:ind w:firstLine="420" w:firstLineChars="200"/>
        <w:textAlignment w:val="center"/>
        <w:rPr>
          <w:rFonts w:eastAsia="黑体"/>
          <w:szCs w:val="21"/>
        </w:rPr>
      </w:pPr>
      <w:r>
        <w:rPr>
          <w:rFonts w:eastAsia="黑体"/>
          <w:szCs w:val="21"/>
        </w:rPr>
        <w:t>工序产品合格产出量</w:t>
      </w:r>
    </w:p>
    <w:p w14:paraId="2E85527B">
      <w:pPr>
        <w:spacing w:line="360" w:lineRule="exact"/>
        <w:ind w:firstLine="420" w:firstLineChars="200"/>
        <w:textAlignment w:val="center"/>
        <w:rPr>
          <w:szCs w:val="21"/>
        </w:rPr>
      </w:pPr>
      <w:r>
        <w:rPr>
          <w:szCs w:val="21"/>
        </w:rPr>
        <w:t>指企业某生产工序在报告期内生产、已结束本工序全部生产过程（不一定已结束本企业全部生产过程）、并符合产品质量要求的产品实物数量。包括订货者来料加工的产品，不包括委外加工生产的产品。</w:t>
      </w:r>
    </w:p>
    <w:p w14:paraId="4B94BFEE">
      <w:pPr>
        <w:spacing w:line="360" w:lineRule="exact"/>
        <w:ind w:firstLine="420" w:firstLineChars="200"/>
        <w:textAlignment w:val="center"/>
        <w:rPr>
          <w:rFonts w:eastAsia="黑体"/>
          <w:szCs w:val="21"/>
        </w:rPr>
      </w:pPr>
      <w:r>
        <w:rPr>
          <w:rFonts w:eastAsia="黑体"/>
          <w:szCs w:val="21"/>
        </w:rPr>
        <w:t>工序净耗能量</w:t>
      </w:r>
    </w:p>
    <w:p w14:paraId="3C6F6CB6">
      <w:pPr>
        <w:spacing w:line="360" w:lineRule="exact"/>
        <w:ind w:firstLine="420" w:firstLineChars="200"/>
        <w:textAlignment w:val="center"/>
        <w:rPr>
          <w:szCs w:val="21"/>
        </w:rPr>
      </w:pPr>
      <w:r>
        <w:rPr>
          <w:szCs w:val="21"/>
        </w:rPr>
        <w:t>指企业内某工序（如铁矿采矿、铁矿选矿、人造块矿、炼铁、炼钢、钢加工、铁合金冶炼以及钢丝及其制品、焦炭、耐火材料制品、碳素制品生产）生产过程所消耗的各种能源量（包括主要生产系统、辅助生产系统以及直接为生产服务的附属生产系统所消耗的各种能源），扣除外供量。</w:t>
      </w:r>
    </w:p>
    <w:p w14:paraId="05CE5025">
      <w:pPr>
        <w:spacing w:line="360" w:lineRule="exact"/>
        <w:ind w:firstLine="420" w:firstLineChars="200"/>
        <w:textAlignment w:val="center"/>
        <w:rPr>
          <w:szCs w:val="21"/>
        </w:rPr>
      </w:pPr>
      <w:r>
        <w:rPr>
          <w:szCs w:val="21"/>
        </w:rPr>
        <w:t>工序净耗能量＝工序内各种能源消耗量之和－工序内能源外供量之和</w:t>
      </w:r>
    </w:p>
    <w:p w14:paraId="41A66E35">
      <w:pPr>
        <w:spacing w:line="360" w:lineRule="exact"/>
        <w:ind w:firstLine="420" w:firstLineChars="200"/>
        <w:textAlignment w:val="center"/>
        <w:rPr>
          <w:rFonts w:eastAsia="黑体"/>
          <w:szCs w:val="21"/>
        </w:rPr>
      </w:pPr>
      <w:r>
        <w:rPr>
          <w:rFonts w:eastAsia="黑体"/>
          <w:szCs w:val="21"/>
        </w:rPr>
        <w:t>钢铁生产的耗能工质</w:t>
      </w:r>
    </w:p>
    <w:p w14:paraId="41C93196">
      <w:pPr>
        <w:spacing w:line="360" w:lineRule="exact"/>
        <w:ind w:firstLine="420" w:firstLineChars="200"/>
        <w:textAlignment w:val="center"/>
        <w:rPr>
          <w:szCs w:val="21"/>
        </w:rPr>
      </w:pPr>
      <w:r>
        <w:rPr>
          <w:szCs w:val="21"/>
        </w:rPr>
        <w:t>钢铁工业生产各有关工序单位能耗计算中，通常包含耗能工质的消耗。主要包括：水、氩气、氮气、氧气、蒸汽、压缩空气。</w:t>
      </w:r>
    </w:p>
    <w:p w14:paraId="09739056">
      <w:pPr>
        <w:spacing w:line="360" w:lineRule="exact"/>
        <w:ind w:firstLine="420" w:firstLineChars="200"/>
        <w:textAlignment w:val="center"/>
        <w:rPr>
          <w:rFonts w:eastAsia="黑体"/>
          <w:szCs w:val="21"/>
        </w:rPr>
      </w:pPr>
      <w:r>
        <w:rPr>
          <w:rFonts w:eastAsia="黑体"/>
          <w:szCs w:val="21"/>
        </w:rPr>
        <w:t>有关产品、原材料、能源的折标准量系数</w:t>
      </w:r>
    </w:p>
    <w:p w14:paraId="04428930">
      <w:pPr>
        <w:spacing w:line="360" w:lineRule="exact"/>
        <w:ind w:firstLine="420" w:firstLineChars="200"/>
        <w:textAlignment w:val="center"/>
        <w:rPr>
          <w:szCs w:val="21"/>
        </w:rPr>
      </w:pPr>
      <w:r>
        <w:rPr>
          <w:szCs w:val="21"/>
        </w:rPr>
        <w:t xml:space="preserve">钢铁行业在计算工序单位能耗时，电力的折标系数按其热功当量折标系数0.1229千克标准煤/千瓦时计算，蒸汽按其热功当量系数0.03412千克标准煤/百万焦耳折算；氧气、氮气、氩气、水、压缩空气按其等价热量折算（千克标准煤/千克或立方米）；其他耗能介质的折标系数，有实测值的按实测值计算，没有实测值的按国家统计局公布的折标准煤参考系数计算。 </w:t>
      </w:r>
    </w:p>
    <w:p w14:paraId="335D0D7B">
      <w:pPr>
        <w:spacing w:line="360" w:lineRule="exact"/>
        <w:ind w:firstLine="420" w:firstLineChars="200"/>
        <w:textAlignment w:val="center"/>
        <w:rPr>
          <w:szCs w:val="21"/>
        </w:rPr>
      </w:pPr>
      <w:r>
        <w:rPr>
          <w:szCs w:val="21"/>
        </w:rPr>
        <w:t>等价热量：指为得到一个单位的能量（或物质），在其生产过程中所消耗的热量。如压缩空气的等价热量：</w:t>
      </w:r>
    </w:p>
    <w:p w14:paraId="68DF5808">
      <w:pPr>
        <w:spacing w:line="360" w:lineRule="exact"/>
        <w:ind w:firstLine="420" w:firstLineChars="200"/>
        <w:textAlignment w:val="center"/>
        <w:rPr>
          <w:szCs w:val="21"/>
        </w:rPr>
      </w:pPr>
      <w:r>
        <w:rPr>
          <w:szCs w:val="21"/>
        </w:rPr>
        <w:t>压缩空气的等价热量（千克标准煤/立方米）＝生产压缩空气能源自耗量（吨标准煤）/压缩空气生</w:t>
      </w:r>
    </w:p>
    <w:p w14:paraId="07124EB6">
      <w:pPr>
        <w:spacing w:line="360" w:lineRule="exact"/>
        <w:ind w:firstLine="4674" w:firstLineChars="2226"/>
        <w:textAlignment w:val="center"/>
      </w:pPr>
      <w:r>
        <w:rPr>
          <w:szCs w:val="21"/>
        </w:rPr>
        <w:t>产量（立方米）×1000</w:t>
      </w:r>
    </w:p>
    <w:p w14:paraId="35FB6752">
      <w:pPr>
        <w:pStyle w:val="10"/>
        <w:spacing w:line="360" w:lineRule="exact"/>
        <w:ind w:firstLine="420" w:firstLineChars="200"/>
        <w:textAlignment w:val="center"/>
        <w:rPr>
          <w:rFonts w:ascii="Times New Roman" w:hAnsi="Times New Roman" w:eastAsia="黑体" w:cs="Times New Roman"/>
          <w:bCs/>
        </w:rPr>
      </w:pPr>
    </w:p>
    <w:p w14:paraId="5E9DFC3F">
      <w:pPr>
        <w:pStyle w:val="10"/>
        <w:spacing w:line="360" w:lineRule="exact"/>
        <w:ind w:firstLine="420" w:firstLineChars="200"/>
        <w:textAlignment w:val="center"/>
        <w:rPr>
          <w:rFonts w:ascii="Times New Roman" w:hAnsi="Times New Roman" w:eastAsia="黑体" w:cs="Times New Roman"/>
          <w:bCs/>
        </w:rPr>
      </w:pPr>
      <w:r>
        <w:rPr>
          <w:rFonts w:ascii="Times New Roman" w:hAnsi="Times New Roman" w:eastAsia="黑体" w:cs="Times New Roman"/>
          <w:bCs/>
        </w:rPr>
        <w:t>黑色金属（31）</w:t>
      </w:r>
    </w:p>
    <w:p w14:paraId="6E0CC4BE">
      <w:pPr>
        <w:spacing w:line="360" w:lineRule="exact"/>
        <w:ind w:firstLine="420" w:firstLineChars="200"/>
        <w:textAlignment w:val="center"/>
        <w:rPr>
          <w:rFonts w:eastAsia="黑体"/>
          <w:szCs w:val="21"/>
        </w:rPr>
      </w:pPr>
      <w:r>
        <w:rPr>
          <w:rFonts w:eastAsia="黑体"/>
          <w:szCs w:val="21"/>
        </w:rPr>
        <w:t>吨钢综合能耗</w:t>
      </w:r>
    </w:p>
    <w:p w14:paraId="31404F62">
      <w:pPr>
        <w:spacing w:line="360" w:lineRule="exact"/>
        <w:ind w:left="976" w:leftChars="0" w:hanging="976" w:hangingChars="493"/>
        <w:textAlignment w:val="center"/>
        <w:rPr>
          <w:spacing w:val="-6"/>
          <w:szCs w:val="21"/>
        </w:rPr>
      </w:pPr>
      <w:r>
        <w:rPr>
          <w:rFonts w:hint="eastAsia"/>
          <w:spacing w:val="-6"/>
          <w:szCs w:val="21"/>
          <w:lang w:val="en-US" w:eastAsia="zh-CN"/>
        </w:rPr>
        <w:t xml:space="preserve">    </w:t>
      </w:r>
      <w:r>
        <w:rPr>
          <w:spacing w:val="-6"/>
          <w:szCs w:val="21"/>
        </w:rPr>
        <w:t>计算公式：吨钢综合能耗（千克标准煤/吨）＝1000×企业净耗能源量（吨标准煤）/粗钢合格产出量（吨）</w:t>
      </w:r>
    </w:p>
    <w:p w14:paraId="4B9EF531">
      <w:pPr>
        <w:spacing w:line="360" w:lineRule="exact"/>
        <w:ind w:firstLine="420" w:firstLineChars="200"/>
        <w:textAlignment w:val="center"/>
        <w:rPr>
          <w:szCs w:val="21"/>
        </w:rPr>
      </w:pPr>
      <w:r>
        <w:rPr>
          <w:szCs w:val="21"/>
        </w:rPr>
        <w:t>分子项：企业净耗能源量。指报告期内钢铁工业生产直接消耗的各种能源及其辅助生产系统、直接为钢铁工业生产服务的附属生产系统实际消耗的各种能源总量，不包括非钢铁工业生产消耗的能源量和外销能源量。</w:t>
      </w:r>
    </w:p>
    <w:p w14:paraId="488E69F3">
      <w:pPr>
        <w:spacing w:line="360" w:lineRule="exact"/>
        <w:ind w:left="0" w:leftChars="0" w:firstLine="420" w:firstLineChars="200"/>
        <w:textAlignment w:val="center"/>
        <w:rPr>
          <w:szCs w:val="21"/>
        </w:rPr>
      </w:pPr>
      <w:r>
        <w:rPr>
          <w:szCs w:val="21"/>
        </w:rPr>
        <w:t>企业净耗能源量＝企业购入能源量+期初库存量－期末库存量－非钢铁工业生产消耗的能源量－外</w:t>
      </w:r>
    </w:p>
    <w:p w14:paraId="3DA66BA2">
      <w:pPr>
        <w:spacing w:line="360" w:lineRule="exact"/>
        <w:ind w:left="0" w:leftChars="0" w:firstLine="0" w:firstLineChars="0"/>
        <w:textAlignment w:val="center"/>
        <w:rPr>
          <w:szCs w:val="21"/>
        </w:rPr>
      </w:pPr>
      <w:r>
        <w:rPr>
          <w:szCs w:val="21"/>
        </w:rPr>
        <w:t>销能源量</w:t>
      </w:r>
    </w:p>
    <w:p w14:paraId="0FAF52E5">
      <w:pPr>
        <w:spacing w:line="360" w:lineRule="exact"/>
        <w:ind w:firstLine="420" w:firstLineChars="200"/>
        <w:textAlignment w:val="center"/>
        <w:rPr>
          <w:szCs w:val="21"/>
        </w:rPr>
      </w:pPr>
      <w:r>
        <w:rPr>
          <w:szCs w:val="21"/>
        </w:rPr>
        <w:t>钢铁工业生产，指铁、铬、锰等黑色金属矿物的采选、人造块矿、铁合金冶炼、炼铁、炼钢、钢加工、钢丝及其制品、焦炭、耐火材料制品、碳素制品和为钢铁工业生产服务的运输、机修、动力等生产。在这些之外的生产活动为非钢铁工业生产。</w:t>
      </w:r>
    </w:p>
    <w:p w14:paraId="72ABE3A2">
      <w:pPr>
        <w:spacing w:line="360" w:lineRule="exact"/>
        <w:ind w:firstLine="420" w:firstLineChars="200"/>
        <w:textAlignment w:val="center"/>
        <w:rPr>
          <w:szCs w:val="21"/>
        </w:rPr>
      </w:pPr>
      <w:r>
        <w:rPr>
          <w:szCs w:val="21"/>
        </w:rPr>
        <w:t>企业外销能源量，指企业向外销售的购入能源、企业生产的二次能源、下脚燃料及余热等。驻厂施工单位、独立核算的非工业生产单位和厂区（车间）以外的生活耗能（如服务公司、医院、学校、职工食堂等），凡有据可查的部分均可作为外销能源处理。</w:t>
      </w:r>
    </w:p>
    <w:p w14:paraId="18682B07">
      <w:pPr>
        <w:spacing w:line="360" w:lineRule="exact"/>
        <w:ind w:firstLine="420" w:firstLineChars="200"/>
        <w:textAlignment w:val="center"/>
        <w:rPr>
          <w:szCs w:val="21"/>
        </w:rPr>
      </w:pPr>
      <w:r>
        <w:rPr>
          <w:szCs w:val="21"/>
        </w:rPr>
        <w:t>分母项：粗钢合格产出量。指报告期内，企业完成了粗钢生产过程，并符合产品质量要求的模铸钢锭、连铸钢坯、铸造用液态钢（铸钢水）产出量之和，包括订货者来料加工生产的产品，不包括委外加工生产的产品。</w:t>
      </w:r>
    </w:p>
    <w:p w14:paraId="70A4E424">
      <w:pPr>
        <w:spacing w:line="360" w:lineRule="exact"/>
        <w:ind w:firstLine="420" w:firstLineChars="200"/>
        <w:textAlignment w:val="center"/>
        <w:rPr>
          <w:szCs w:val="21"/>
        </w:rPr>
      </w:pPr>
    </w:p>
    <w:p w14:paraId="4D78C36D">
      <w:pPr>
        <w:spacing w:line="360" w:lineRule="exact"/>
        <w:ind w:firstLine="420" w:firstLineChars="200"/>
        <w:textAlignment w:val="center"/>
        <w:rPr>
          <w:rFonts w:eastAsia="黑体"/>
          <w:szCs w:val="21"/>
        </w:rPr>
      </w:pPr>
      <w:r>
        <w:rPr>
          <w:rFonts w:eastAsia="黑体"/>
          <w:szCs w:val="21"/>
        </w:rPr>
        <w:t>吨钢耗电</w:t>
      </w:r>
    </w:p>
    <w:p w14:paraId="54DA54CB">
      <w:pPr>
        <w:spacing w:line="360" w:lineRule="exact"/>
        <w:ind w:left="3570" w:leftChars="0" w:hanging="3570" w:hangingChars="1700"/>
        <w:textAlignment w:val="center"/>
        <w:rPr>
          <w:szCs w:val="21"/>
        </w:rPr>
      </w:pPr>
      <w:r>
        <w:rPr>
          <w:rFonts w:hint="eastAsia"/>
          <w:szCs w:val="21"/>
          <w:lang w:val="en-US" w:eastAsia="zh-CN"/>
        </w:rPr>
        <w:t xml:space="preserve">    </w:t>
      </w:r>
      <w:r>
        <w:rPr>
          <w:szCs w:val="21"/>
        </w:rPr>
        <w:t>计算公式：吨钢耗电（千瓦时/吨）＝10000×钢铁工业生产中净耗电总量（万千瓦时）/粗钢合格产</w:t>
      </w:r>
    </w:p>
    <w:p w14:paraId="7DDB8D94">
      <w:pPr>
        <w:spacing w:line="360" w:lineRule="exact"/>
        <w:ind w:left="168" w:leftChars="0" w:hanging="168" w:hangingChars="80"/>
        <w:textAlignment w:val="center"/>
        <w:rPr>
          <w:szCs w:val="21"/>
        </w:rPr>
      </w:pPr>
      <w:r>
        <w:rPr>
          <w:rFonts w:hint="eastAsia"/>
          <w:szCs w:val="21"/>
          <w:lang w:val="en-US" w:eastAsia="zh-CN"/>
        </w:rPr>
        <w:t xml:space="preserve">                                    </w:t>
      </w:r>
      <w:r>
        <w:rPr>
          <w:szCs w:val="21"/>
        </w:rPr>
        <w:t>出量（吨）</w:t>
      </w:r>
    </w:p>
    <w:p w14:paraId="5F01A749">
      <w:pPr>
        <w:spacing w:line="360" w:lineRule="exact"/>
        <w:ind w:firstLine="420" w:firstLineChars="200"/>
        <w:textAlignment w:val="center"/>
        <w:rPr>
          <w:szCs w:val="21"/>
        </w:rPr>
      </w:pPr>
      <w:r>
        <w:rPr>
          <w:szCs w:val="21"/>
        </w:rPr>
        <w:t>分子项：钢铁工业生产中净耗电总量。包括报告期内生产直接消耗的各种电力及其辅助生产系统实际消耗的各种电力，即企业净耗的全部电量。</w:t>
      </w:r>
    </w:p>
    <w:p w14:paraId="1FED7FBC">
      <w:pPr>
        <w:spacing w:line="360" w:lineRule="exact"/>
        <w:ind w:firstLine="420" w:firstLineChars="200"/>
        <w:textAlignment w:val="center"/>
        <w:rPr>
          <w:szCs w:val="21"/>
        </w:rPr>
      </w:pPr>
      <w:r>
        <w:rPr>
          <w:szCs w:val="21"/>
        </w:rPr>
        <w:t>分母项：粗钢合格产出量。说明同上。</w:t>
      </w:r>
    </w:p>
    <w:p w14:paraId="08597044">
      <w:pPr>
        <w:spacing w:line="360" w:lineRule="exact"/>
        <w:ind w:firstLine="420" w:firstLineChars="200"/>
        <w:textAlignment w:val="center"/>
        <w:rPr>
          <w:rFonts w:eastAsia="黑体"/>
          <w:szCs w:val="21"/>
        </w:rPr>
      </w:pPr>
      <w:r>
        <w:rPr>
          <w:rFonts w:eastAsia="黑体"/>
          <w:szCs w:val="21"/>
        </w:rPr>
        <w:t>吨钢耗新水</w:t>
      </w:r>
    </w:p>
    <w:p w14:paraId="6B9FE74B">
      <w:pPr>
        <w:spacing w:line="360" w:lineRule="exact"/>
        <w:ind w:firstLine="420" w:firstLineChars="200"/>
        <w:textAlignment w:val="center"/>
        <w:rPr>
          <w:szCs w:val="21"/>
        </w:rPr>
      </w:pPr>
      <w:r>
        <w:rPr>
          <w:szCs w:val="21"/>
        </w:rPr>
        <w:t>计算公式：吨钢耗新水（吨/吨）＝企业耗用新水量（吨）/粗钢合格产出量（吨）</w:t>
      </w:r>
    </w:p>
    <w:p w14:paraId="2596C766">
      <w:pPr>
        <w:spacing w:line="360" w:lineRule="exact"/>
        <w:ind w:firstLine="420" w:firstLineChars="200"/>
        <w:textAlignment w:val="center"/>
        <w:rPr>
          <w:szCs w:val="21"/>
        </w:rPr>
      </w:pPr>
      <w:r>
        <w:rPr>
          <w:szCs w:val="21"/>
        </w:rPr>
        <w:t>分子项：企业耗用新水量。指企业报告期内用新鲜水量，即直接取自</w:t>
      </w:r>
      <w:r>
        <w:rPr>
          <w:rFonts w:hint="eastAsia"/>
          <w:szCs w:val="21"/>
          <w:lang w:eastAsia="zh-CN"/>
        </w:rPr>
        <w:t>“</w:t>
      </w:r>
      <w:r>
        <w:rPr>
          <w:szCs w:val="21"/>
        </w:rPr>
        <w:t>自来水</w:t>
      </w:r>
      <w:r>
        <w:rPr>
          <w:rFonts w:hint="eastAsia"/>
          <w:szCs w:val="21"/>
          <w:lang w:eastAsia="zh-CN"/>
        </w:rPr>
        <w:t>”</w:t>
      </w:r>
      <w:r>
        <w:rPr>
          <w:szCs w:val="21"/>
        </w:rPr>
        <w:t>、</w:t>
      </w:r>
      <w:r>
        <w:rPr>
          <w:rFonts w:hint="eastAsia"/>
          <w:szCs w:val="21"/>
          <w:lang w:eastAsia="zh-CN"/>
        </w:rPr>
        <w:t>“</w:t>
      </w:r>
      <w:r>
        <w:rPr>
          <w:szCs w:val="21"/>
        </w:rPr>
        <w:t>地下水</w:t>
      </w:r>
      <w:r>
        <w:rPr>
          <w:rFonts w:hint="eastAsia"/>
          <w:szCs w:val="21"/>
          <w:lang w:eastAsia="zh-CN"/>
        </w:rPr>
        <w:t>”</w:t>
      </w:r>
      <w:r>
        <w:rPr>
          <w:szCs w:val="21"/>
        </w:rPr>
        <w:t>、</w:t>
      </w:r>
      <w:r>
        <w:rPr>
          <w:rFonts w:hint="eastAsia"/>
          <w:szCs w:val="21"/>
          <w:lang w:eastAsia="zh-CN"/>
        </w:rPr>
        <w:t>“</w:t>
      </w:r>
      <w:r>
        <w:rPr>
          <w:szCs w:val="21"/>
        </w:rPr>
        <w:t>地表水</w:t>
      </w:r>
      <w:r>
        <w:rPr>
          <w:rFonts w:hint="eastAsia"/>
          <w:szCs w:val="21"/>
          <w:lang w:eastAsia="zh-CN"/>
        </w:rPr>
        <w:t>”</w:t>
      </w:r>
      <w:r>
        <w:rPr>
          <w:szCs w:val="21"/>
        </w:rPr>
        <w:t>及其他外购水及水产品的数量。</w:t>
      </w:r>
    </w:p>
    <w:p w14:paraId="1C14BF8D">
      <w:pPr>
        <w:spacing w:line="360" w:lineRule="exact"/>
        <w:ind w:firstLine="420" w:firstLineChars="200"/>
        <w:textAlignment w:val="center"/>
        <w:rPr>
          <w:szCs w:val="21"/>
        </w:rPr>
      </w:pPr>
      <w:r>
        <w:rPr>
          <w:szCs w:val="21"/>
        </w:rPr>
        <w:t>钢铁联合企业的普通钢厂或特殊钢厂的新水取水量（新水量）供给范围，包括主要生产（含烧结、球团、焦化、炼铁、炼钢、轧钢、金属制品等）、辅助生产（含鼓风机站、氧气站、石灰窑、空压站、锅炉房、机修、电修、检化验、运输等）和附属生产（含厂部、科室、绿化、厂内食堂、厂区和车间浴室、保健站、厕所等）；不包括企业电厂用于发电的取水量（含电厂自用的化学水）、矿山选矿用水和外供水量。</w:t>
      </w:r>
    </w:p>
    <w:p w14:paraId="3AFFEAF4">
      <w:pPr>
        <w:spacing w:line="360" w:lineRule="exact"/>
        <w:ind w:firstLine="420" w:firstLineChars="200"/>
        <w:textAlignment w:val="center"/>
        <w:rPr>
          <w:szCs w:val="21"/>
        </w:rPr>
      </w:pPr>
      <w:r>
        <w:rPr>
          <w:szCs w:val="21"/>
        </w:rPr>
        <w:t>不产粗钢的企业可以选定自己的主产品，参照本指标计算</w:t>
      </w:r>
      <w:r>
        <w:rPr>
          <w:rFonts w:hint="eastAsia"/>
          <w:szCs w:val="21"/>
          <w:lang w:eastAsia="zh-CN"/>
        </w:rPr>
        <w:t>“</w:t>
      </w:r>
      <w:r>
        <w:rPr>
          <w:szCs w:val="21"/>
        </w:rPr>
        <w:t>吨产品耗新水</w:t>
      </w:r>
      <w:r>
        <w:rPr>
          <w:rFonts w:hint="eastAsia"/>
          <w:szCs w:val="21"/>
          <w:lang w:eastAsia="zh-CN"/>
        </w:rPr>
        <w:t>”</w:t>
      </w:r>
      <w:r>
        <w:rPr>
          <w:szCs w:val="21"/>
        </w:rPr>
        <w:t>。</w:t>
      </w:r>
    </w:p>
    <w:p w14:paraId="2B7AFAE3">
      <w:pPr>
        <w:spacing w:line="360" w:lineRule="exact"/>
        <w:ind w:firstLine="420" w:firstLineChars="200"/>
        <w:textAlignment w:val="center"/>
        <w:rPr>
          <w:szCs w:val="21"/>
        </w:rPr>
      </w:pPr>
      <w:r>
        <w:rPr>
          <w:szCs w:val="21"/>
        </w:rPr>
        <w:t>分母项：粗钢合格产出量。说明同上。</w:t>
      </w:r>
    </w:p>
    <w:p w14:paraId="79F7635E">
      <w:pPr>
        <w:spacing w:line="360" w:lineRule="exact"/>
        <w:ind w:firstLine="420" w:firstLineChars="200"/>
        <w:textAlignment w:val="center"/>
        <w:rPr>
          <w:rFonts w:eastAsia="黑体"/>
          <w:szCs w:val="21"/>
        </w:rPr>
      </w:pPr>
      <w:r>
        <w:rPr>
          <w:rFonts w:eastAsia="黑体"/>
          <w:szCs w:val="21"/>
        </w:rPr>
        <w:t>铁矿烧结工序单位能耗</w:t>
      </w:r>
    </w:p>
    <w:p w14:paraId="52B9DF20">
      <w:pPr>
        <w:spacing w:line="360" w:lineRule="exact"/>
        <w:ind w:left="5126" w:leftChars="0" w:hanging="5126" w:hangingChars="2441"/>
        <w:textAlignment w:val="center"/>
        <w:rPr>
          <w:szCs w:val="21"/>
        </w:rPr>
      </w:pPr>
      <w:r>
        <w:rPr>
          <w:rFonts w:hint="eastAsia"/>
          <w:szCs w:val="21"/>
          <w:lang w:val="en-US" w:eastAsia="zh-CN"/>
        </w:rPr>
        <w:t xml:space="preserve">    </w:t>
      </w:r>
      <w:r>
        <w:rPr>
          <w:szCs w:val="21"/>
        </w:rPr>
        <w:t>计算公式：铁矿烧结工序单位能耗（千克标准煤/吨）＝1000×烧结矿工序净耗能量 （吨标准煤）/</w:t>
      </w:r>
    </w:p>
    <w:p w14:paraId="160DFA91">
      <w:pPr>
        <w:spacing w:line="360" w:lineRule="exact"/>
        <w:ind w:left="5126" w:leftChars="0" w:hanging="5126" w:hangingChars="2441"/>
        <w:textAlignment w:val="center"/>
        <w:rPr>
          <w:szCs w:val="21"/>
        </w:rPr>
      </w:pPr>
      <w:r>
        <w:rPr>
          <w:rFonts w:hint="eastAsia"/>
          <w:szCs w:val="21"/>
          <w:lang w:val="en-US" w:eastAsia="zh-CN"/>
        </w:rPr>
        <w:t xml:space="preserve">                                                     </w:t>
      </w:r>
      <w:r>
        <w:rPr>
          <w:szCs w:val="21"/>
        </w:rPr>
        <w:t>烧结矿产出量（吨）</w:t>
      </w:r>
    </w:p>
    <w:p w14:paraId="28E53E7F">
      <w:pPr>
        <w:spacing w:line="360" w:lineRule="exact"/>
        <w:ind w:firstLine="420" w:firstLineChars="200"/>
        <w:textAlignment w:val="center"/>
        <w:rPr>
          <w:szCs w:val="21"/>
        </w:rPr>
      </w:pPr>
      <w:r>
        <w:rPr>
          <w:szCs w:val="21"/>
        </w:rPr>
        <w:t>分子项：烧结矿工序净耗能量。包括配料中用的焦粉、煤粉，点火和焙烧中用的燃油、煤气（包括为保持水分稳定所进行的烘干作业所耗的煤气）和生产中用的电力等，扣除外供量。</w:t>
      </w:r>
    </w:p>
    <w:p w14:paraId="030C3206">
      <w:pPr>
        <w:spacing w:line="360" w:lineRule="exact"/>
        <w:ind w:firstLine="420" w:firstLineChars="200"/>
        <w:textAlignment w:val="center"/>
        <w:rPr>
          <w:szCs w:val="21"/>
        </w:rPr>
      </w:pPr>
      <w:r>
        <w:rPr>
          <w:szCs w:val="21"/>
        </w:rPr>
        <w:t>分母项：烧结矿产出量。</w:t>
      </w:r>
    </w:p>
    <w:p w14:paraId="79340F44">
      <w:pPr>
        <w:spacing w:line="360" w:lineRule="exact"/>
        <w:ind w:firstLine="420" w:firstLineChars="200"/>
        <w:textAlignment w:val="center"/>
        <w:rPr>
          <w:rFonts w:eastAsia="黑体"/>
          <w:szCs w:val="21"/>
        </w:rPr>
      </w:pPr>
      <w:r>
        <w:rPr>
          <w:rFonts w:eastAsia="黑体"/>
          <w:szCs w:val="21"/>
        </w:rPr>
        <w:t>炼铁工序单位能耗</w:t>
      </w:r>
    </w:p>
    <w:p w14:paraId="044E6740">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计算公式：炼铁工序单位能耗（千克标准煤/吨）＝1000×炼铁工序净耗能量（吨标准煤）/生铁合格</w:t>
      </w:r>
    </w:p>
    <w:p w14:paraId="7504A94A">
      <w:pPr>
        <w:spacing w:line="360" w:lineRule="exact"/>
        <w:ind w:firstLine="5040" w:firstLineChars="2400"/>
        <w:textAlignment w:val="center"/>
        <w:rPr>
          <w:szCs w:val="21"/>
        </w:rPr>
      </w:pPr>
      <w:r>
        <w:rPr>
          <w:szCs w:val="21"/>
        </w:rPr>
        <w:t>产出量（吨）</w:t>
      </w:r>
    </w:p>
    <w:p w14:paraId="373C4B56">
      <w:pPr>
        <w:spacing w:line="360" w:lineRule="exact"/>
        <w:ind w:firstLine="420" w:firstLineChars="200"/>
        <w:textAlignment w:val="center"/>
        <w:rPr>
          <w:szCs w:val="21"/>
        </w:rPr>
      </w:pPr>
      <w:r>
        <w:rPr>
          <w:szCs w:val="21"/>
        </w:rPr>
        <w:t>分子项：炼铁工序净耗能量。</w:t>
      </w:r>
    </w:p>
    <w:p w14:paraId="422652D6">
      <w:pPr>
        <w:spacing w:line="360" w:lineRule="exact"/>
        <w:ind w:firstLine="420" w:firstLineChars="200"/>
        <w:textAlignment w:val="center"/>
        <w:rPr>
          <w:szCs w:val="21"/>
        </w:rPr>
      </w:pPr>
      <w:r>
        <w:rPr>
          <w:szCs w:val="21"/>
        </w:rPr>
        <w:t>炼铁工序净耗能量＝炼铁工序内各种能源消耗量之和－炼铁工序能源外供量之和</w:t>
      </w:r>
    </w:p>
    <w:p w14:paraId="2B97B7FA">
      <w:pPr>
        <w:spacing w:line="360" w:lineRule="exact"/>
        <w:ind w:firstLine="420" w:firstLineChars="200"/>
        <w:textAlignment w:val="center"/>
        <w:rPr>
          <w:szCs w:val="21"/>
        </w:rPr>
      </w:pPr>
      <w:r>
        <w:rPr>
          <w:szCs w:val="21"/>
        </w:rPr>
        <w:t>分母项：生铁合格产出量。</w:t>
      </w:r>
    </w:p>
    <w:p w14:paraId="1BC15FFD">
      <w:pPr>
        <w:spacing w:line="360" w:lineRule="exact"/>
        <w:ind w:firstLine="420" w:firstLineChars="200"/>
        <w:textAlignment w:val="center"/>
        <w:rPr>
          <w:rFonts w:eastAsia="黑体"/>
          <w:szCs w:val="21"/>
        </w:rPr>
      </w:pPr>
      <w:r>
        <w:rPr>
          <w:rFonts w:eastAsia="黑体"/>
          <w:szCs w:val="21"/>
        </w:rPr>
        <w:t>转炉炼钢综合工序单位能耗</w:t>
      </w:r>
    </w:p>
    <w:p w14:paraId="2AC093D4">
      <w:pPr>
        <w:spacing w:line="360" w:lineRule="exact"/>
        <w:ind w:left="5460" w:leftChars="0" w:hanging="5460" w:hangingChars="2600"/>
        <w:textAlignment w:val="center"/>
        <w:rPr>
          <w:szCs w:val="21"/>
        </w:rPr>
      </w:pPr>
      <w:r>
        <w:rPr>
          <w:rFonts w:hint="eastAsia"/>
          <w:szCs w:val="21"/>
          <w:lang w:val="en-US" w:eastAsia="zh-CN"/>
        </w:rPr>
        <w:t xml:space="preserve">    </w:t>
      </w:r>
      <w:r>
        <w:rPr>
          <w:szCs w:val="21"/>
        </w:rPr>
        <w:t>计算公式：转炉炼钢综合工序单位能耗（千克标准煤/吨）＝1000×转炉炼钢综合工序净耗能量（吨</w:t>
      </w:r>
    </w:p>
    <w:p w14:paraId="085709FD">
      <w:pPr>
        <w:spacing w:line="360" w:lineRule="exact"/>
        <w:ind w:left="0" w:leftChars="0" w:firstLine="67" w:firstLineChars="32"/>
        <w:textAlignment w:val="center"/>
        <w:rPr>
          <w:szCs w:val="21"/>
        </w:rPr>
      </w:pPr>
      <w:r>
        <w:rPr>
          <w:rFonts w:hint="eastAsia"/>
          <w:szCs w:val="21"/>
          <w:lang w:val="en-US" w:eastAsia="zh-CN"/>
        </w:rPr>
        <w:t xml:space="preserve">                                                        </w:t>
      </w:r>
      <w:r>
        <w:rPr>
          <w:szCs w:val="21"/>
        </w:rPr>
        <w:t>标准煤）/转炉钢合格产出量（吨）</w:t>
      </w:r>
    </w:p>
    <w:p w14:paraId="761B25C4">
      <w:pPr>
        <w:spacing w:line="360" w:lineRule="exact"/>
        <w:ind w:firstLine="420" w:firstLineChars="200"/>
        <w:textAlignment w:val="center"/>
        <w:rPr>
          <w:szCs w:val="21"/>
        </w:rPr>
      </w:pPr>
      <w:r>
        <w:rPr>
          <w:szCs w:val="21"/>
        </w:rPr>
        <w:t>分子项：转炉炼钢综合工序净耗能量。指从原料进厂到钢锭、连铸钢坯、铸造用液态钢（铸钢水）出厂的整个炼钢工序过程，包括铁水预处理、转炉冶炼、二次冶金（精炼）、连铸和铸锭精整、产品出厂等全过程的能源消耗量，扣除炼钢工序外供能源量。</w:t>
      </w:r>
    </w:p>
    <w:p w14:paraId="72F24B93">
      <w:pPr>
        <w:spacing w:line="360" w:lineRule="exact"/>
        <w:ind w:firstLine="420" w:firstLineChars="200"/>
        <w:textAlignment w:val="center"/>
        <w:rPr>
          <w:szCs w:val="21"/>
        </w:rPr>
      </w:pPr>
      <w:r>
        <w:rPr>
          <w:szCs w:val="21"/>
        </w:rPr>
        <w:t>分母项：转炉钢合格产出量。</w:t>
      </w:r>
    </w:p>
    <w:p w14:paraId="19CE1723">
      <w:pPr>
        <w:spacing w:line="360" w:lineRule="exact"/>
        <w:ind w:firstLine="420" w:firstLineChars="200"/>
        <w:textAlignment w:val="center"/>
        <w:rPr>
          <w:rFonts w:eastAsia="黑体"/>
          <w:szCs w:val="21"/>
        </w:rPr>
      </w:pPr>
      <w:r>
        <w:rPr>
          <w:rFonts w:eastAsia="黑体"/>
          <w:szCs w:val="21"/>
        </w:rPr>
        <w:t>电炉炼钢综合工序单位能耗</w:t>
      </w:r>
    </w:p>
    <w:p w14:paraId="55E2AE3E">
      <w:pPr>
        <w:spacing w:line="360" w:lineRule="exact"/>
        <w:ind w:left="5565" w:leftChars="0" w:hanging="5565" w:hangingChars="2650"/>
        <w:textAlignment w:val="center"/>
        <w:rPr>
          <w:szCs w:val="21"/>
        </w:rPr>
      </w:pPr>
      <w:r>
        <w:rPr>
          <w:rFonts w:hint="eastAsia"/>
          <w:szCs w:val="21"/>
          <w:lang w:val="en-US" w:eastAsia="zh-CN"/>
        </w:rPr>
        <w:t xml:space="preserve">    </w:t>
      </w:r>
      <w:r>
        <w:rPr>
          <w:szCs w:val="21"/>
        </w:rPr>
        <w:t>计算公式：电炉炼钢综合工序单位能耗（千克标准煤/吨）＝1000×电炉炼钢综合工序净耗能量（吨</w:t>
      </w:r>
    </w:p>
    <w:p w14:paraId="594AAD29">
      <w:pPr>
        <w:spacing w:line="360" w:lineRule="exact"/>
        <w:ind w:left="21" w:leftChars="0" w:hanging="21" w:hangingChars="10"/>
        <w:textAlignment w:val="center"/>
        <w:rPr>
          <w:szCs w:val="21"/>
        </w:rPr>
      </w:pPr>
      <w:r>
        <w:rPr>
          <w:rFonts w:hint="eastAsia"/>
          <w:szCs w:val="21"/>
          <w:lang w:val="en-US" w:eastAsia="zh-CN"/>
        </w:rPr>
        <w:t xml:space="preserve">                                                         </w:t>
      </w:r>
      <w:r>
        <w:rPr>
          <w:szCs w:val="21"/>
        </w:rPr>
        <w:t>标准煤）/电炉钢合格产出量（吨）</w:t>
      </w:r>
    </w:p>
    <w:p w14:paraId="490B49B7">
      <w:pPr>
        <w:spacing w:line="360" w:lineRule="exact"/>
        <w:ind w:firstLine="420" w:firstLineChars="200"/>
        <w:textAlignment w:val="center"/>
        <w:rPr>
          <w:szCs w:val="21"/>
        </w:rPr>
      </w:pPr>
      <w:r>
        <w:rPr>
          <w:szCs w:val="21"/>
        </w:rPr>
        <w:t>分子项：电炉炼钢综合工序净耗能量。指从原料进厂到钢锭、连铸钢坯、铸造用液态钢（铸钢水）出厂的整个炼钢工序过程，包括：废钢预热和处理、原材料的烘烤、干燥（包括石灰的二次烘烤、耐火材料及粉状材料的干燥、铁合金的烘烤等），电炉冶炼（包括熔炼、洗炉、液渣保护等），二次冶金（炉外精炼、炉外处理等），连铸和铸锭精整等的能源消耗量，不是仅指电炉冶炼。</w:t>
      </w:r>
    </w:p>
    <w:p w14:paraId="2DF6C14D">
      <w:pPr>
        <w:spacing w:line="360" w:lineRule="exact"/>
        <w:ind w:firstLine="420" w:firstLineChars="200"/>
        <w:textAlignment w:val="center"/>
        <w:rPr>
          <w:szCs w:val="21"/>
        </w:rPr>
      </w:pPr>
      <w:r>
        <w:rPr>
          <w:szCs w:val="21"/>
        </w:rPr>
        <w:t>分母项：电炉钢合格产出量。</w:t>
      </w:r>
    </w:p>
    <w:p w14:paraId="2892B388">
      <w:pPr>
        <w:spacing w:line="360" w:lineRule="exact"/>
        <w:ind w:firstLine="420" w:firstLineChars="200"/>
        <w:textAlignment w:val="center"/>
        <w:rPr>
          <w:szCs w:val="21"/>
        </w:rPr>
      </w:pPr>
    </w:p>
    <w:p w14:paraId="35A5D226">
      <w:pPr>
        <w:spacing w:line="360" w:lineRule="exact"/>
        <w:ind w:firstLine="420" w:firstLineChars="200"/>
        <w:textAlignment w:val="center"/>
        <w:rPr>
          <w:rFonts w:eastAsia="黑体"/>
          <w:szCs w:val="21"/>
        </w:rPr>
      </w:pPr>
      <w:r>
        <w:rPr>
          <w:rFonts w:eastAsia="黑体"/>
          <w:szCs w:val="21"/>
        </w:rPr>
        <w:t>电炉炼钢综合电力消耗</w:t>
      </w:r>
    </w:p>
    <w:p w14:paraId="0A0ADD54">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计算公式：电炉炼钢综合电力消耗（千瓦时/吨）＝10000×电炉炼钢综合电力净消耗量（万千瓦时）</w:t>
      </w:r>
    </w:p>
    <w:p w14:paraId="21B332AC">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 xml:space="preserve">/电炉钢合格产出量（吨） </w:t>
      </w:r>
    </w:p>
    <w:p w14:paraId="4028B500">
      <w:pPr>
        <w:spacing w:line="360" w:lineRule="exact"/>
        <w:ind w:firstLine="420" w:firstLineChars="200"/>
        <w:textAlignment w:val="center"/>
        <w:rPr>
          <w:szCs w:val="21"/>
        </w:rPr>
      </w:pPr>
      <w:r>
        <w:rPr>
          <w:szCs w:val="21"/>
        </w:rPr>
        <w:t>分子项：电炉炼钢综合电力净耗量。指从原料进厂到钢锭、连铸钢坯、铸造用液态钢（铸钢水）出厂的整个炼钢工序过程，包括：废钢预热和处理、原材料的烘烤、干燥（包括石灰的二次烘烤、耐火材料及粉状材料的干燥、铁合金的烘烤等），电炉冶炼（包括熔炼、洗炉、液渣保护等），二次冶金（炉外精炼、炉外处理等），连铸和铸锭精整等的电力消耗量，不是仅指电弧炉冶炼耗电。</w:t>
      </w:r>
    </w:p>
    <w:p w14:paraId="02EBD31F">
      <w:pPr>
        <w:spacing w:line="360" w:lineRule="exact"/>
        <w:ind w:firstLine="420" w:firstLineChars="200"/>
        <w:textAlignment w:val="center"/>
        <w:rPr>
          <w:szCs w:val="21"/>
        </w:rPr>
      </w:pPr>
      <w:r>
        <w:rPr>
          <w:szCs w:val="21"/>
        </w:rPr>
        <w:t>分母项：电炉钢合格产出量。</w:t>
      </w:r>
    </w:p>
    <w:p w14:paraId="11C996BA">
      <w:pPr>
        <w:spacing w:line="360" w:lineRule="exact"/>
        <w:ind w:firstLine="420" w:firstLineChars="200"/>
        <w:textAlignment w:val="center"/>
        <w:rPr>
          <w:rFonts w:eastAsia="黑体"/>
          <w:szCs w:val="21"/>
        </w:rPr>
      </w:pPr>
      <w:r>
        <w:rPr>
          <w:rFonts w:eastAsia="黑体"/>
          <w:szCs w:val="21"/>
        </w:rPr>
        <w:t>轧钢工序单位能耗</w:t>
      </w:r>
    </w:p>
    <w:p w14:paraId="05BA663F">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计算公式：轧钢工序单位能耗（千克标准煤/吨）＝1000×轧钢工序净耗能量（吨标准煤）/企业最终</w:t>
      </w:r>
    </w:p>
    <w:p w14:paraId="786DB22E">
      <w:pPr>
        <w:spacing w:line="360" w:lineRule="exact"/>
        <w:ind w:left="63" w:leftChars="0" w:hanging="63" w:hangingChars="30"/>
        <w:textAlignment w:val="center"/>
        <w:rPr>
          <w:szCs w:val="21"/>
        </w:rPr>
      </w:pPr>
      <w:r>
        <w:rPr>
          <w:rFonts w:hint="eastAsia"/>
          <w:szCs w:val="21"/>
          <w:lang w:val="en-US" w:eastAsia="zh-CN"/>
        </w:rPr>
        <w:t xml:space="preserve">                                                 </w:t>
      </w:r>
      <w:r>
        <w:rPr>
          <w:szCs w:val="21"/>
        </w:rPr>
        <w:t>钢材产品合格产出量（吨）</w:t>
      </w:r>
    </w:p>
    <w:p w14:paraId="57A61887">
      <w:pPr>
        <w:spacing w:line="360" w:lineRule="exact"/>
        <w:ind w:firstLine="420" w:firstLineChars="200"/>
        <w:textAlignment w:val="center"/>
        <w:rPr>
          <w:szCs w:val="21"/>
        </w:rPr>
      </w:pPr>
      <w:r>
        <w:rPr>
          <w:szCs w:val="21"/>
        </w:rPr>
        <w:t>分子项：轧钢工序净耗能量。指包括热压延加工、冷压延加工、焊接加工、镀涂层加工等钢材生产的各个环节所消耗的净能量。</w:t>
      </w:r>
    </w:p>
    <w:p w14:paraId="2608D4EB">
      <w:pPr>
        <w:spacing w:line="360" w:lineRule="exact"/>
        <w:ind w:firstLine="420" w:firstLineChars="200"/>
        <w:textAlignment w:val="center"/>
        <w:rPr>
          <w:szCs w:val="21"/>
        </w:rPr>
      </w:pPr>
      <w:r>
        <w:rPr>
          <w:szCs w:val="21"/>
        </w:rPr>
        <w:t>分母项：企业最终钢材产品合格产出量。轧钢包括的种类主要有：线材（盘条）、特厚板、厚钢板、中板、热轧薄板、冷轧薄板、中厚宽钢带、热轧薄宽钢带、冷轧薄宽钢带、热轧窄钢带、冷轧窄钢带等。</w:t>
      </w:r>
    </w:p>
    <w:p w14:paraId="5BF9B47E">
      <w:pPr>
        <w:spacing w:line="360" w:lineRule="exact"/>
        <w:ind w:firstLine="420" w:firstLineChars="200"/>
        <w:textAlignment w:val="center"/>
        <w:rPr>
          <w:rFonts w:eastAsia="黑体"/>
          <w:szCs w:val="21"/>
        </w:rPr>
      </w:pPr>
      <w:r>
        <w:rPr>
          <w:rFonts w:eastAsia="黑体"/>
          <w:szCs w:val="21"/>
        </w:rPr>
        <w:t>轧钢工序单位电力消耗</w:t>
      </w:r>
    </w:p>
    <w:p w14:paraId="31D45AA4">
      <w:pPr>
        <w:spacing w:line="360" w:lineRule="exact"/>
        <w:ind w:left="4662" w:leftChars="0" w:hanging="4662" w:hangingChars="2220"/>
        <w:textAlignment w:val="center"/>
        <w:rPr>
          <w:szCs w:val="21"/>
        </w:rPr>
      </w:pPr>
      <w:r>
        <w:rPr>
          <w:rFonts w:hint="eastAsia"/>
          <w:szCs w:val="21"/>
          <w:lang w:val="en-US" w:eastAsia="zh-CN"/>
        </w:rPr>
        <w:t xml:space="preserve">    </w:t>
      </w:r>
      <w:r>
        <w:rPr>
          <w:szCs w:val="21"/>
        </w:rPr>
        <w:t>计算公式：轧钢工序单位电力消耗（千瓦时/吨）＝10000×轧钢工序电力净消耗量（万千瓦时）/ 企</w:t>
      </w:r>
    </w:p>
    <w:p w14:paraId="75C1D160">
      <w:pPr>
        <w:spacing w:line="360" w:lineRule="exact"/>
        <w:ind w:left="4662" w:leftChars="0" w:hanging="4662" w:hangingChars="2220"/>
        <w:textAlignment w:val="center"/>
        <w:rPr>
          <w:szCs w:val="21"/>
        </w:rPr>
      </w:pPr>
      <w:r>
        <w:rPr>
          <w:rFonts w:hint="eastAsia"/>
          <w:szCs w:val="21"/>
          <w:lang w:val="en-US" w:eastAsia="zh-CN"/>
        </w:rPr>
        <w:t xml:space="preserve">                                                </w:t>
      </w:r>
      <w:r>
        <w:rPr>
          <w:szCs w:val="21"/>
        </w:rPr>
        <w:t>业最终钢材产品合格产出量（吨）</w:t>
      </w:r>
    </w:p>
    <w:p w14:paraId="627F2BAD">
      <w:pPr>
        <w:spacing w:line="360" w:lineRule="exact"/>
        <w:ind w:firstLine="420" w:firstLineChars="200"/>
        <w:textAlignment w:val="center"/>
        <w:rPr>
          <w:szCs w:val="21"/>
        </w:rPr>
      </w:pPr>
      <w:r>
        <w:rPr>
          <w:szCs w:val="21"/>
        </w:rPr>
        <w:t>分子项：轧钢工序电力消耗量。指钢材生产过程的全部用电量，其中包括热处理、压缩空气、氮气、蒸汽、氢气、冷却水等介质系统的用电，但不包括大修理及非生产用电。</w:t>
      </w:r>
    </w:p>
    <w:p w14:paraId="2CC0406B">
      <w:pPr>
        <w:spacing w:line="360" w:lineRule="exact"/>
        <w:ind w:firstLine="420" w:firstLineChars="200"/>
        <w:textAlignment w:val="center"/>
        <w:rPr>
          <w:szCs w:val="21"/>
        </w:rPr>
      </w:pPr>
      <w:r>
        <w:rPr>
          <w:szCs w:val="21"/>
        </w:rPr>
        <w:t>分母项：企业最终钢材产品合格产出量。轧钢类型同上。</w:t>
      </w:r>
    </w:p>
    <w:p w14:paraId="536C719F">
      <w:pPr>
        <w:spacing w:line="360" w:lineRule="exact"/>
        <w:ind w:firstLine="420" w:firstLineChars="200"/>
        <w:textAlignment w:val="center"/>
        <w:rPr>
          <w:rFonts w:eastAsia="黑体"/>
          <w:szCs w:val="21"/>
        </w:rPr>
      </w:pPr>
      <w:r>
        <w:rPr>
          <w:rFonts w:eastAsia="黑体"/>
          <w:szCs w:val="21"/>
        </w:rPr>
        <w:t>硅铁工序单位能耗</w:t>
      </w:r>
    </w:p>
    <w:p w14:paraId="2A21B31A">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计算公式：硅铁工序单位能耗（千克标准煤/标准吨）＝1000×硅铁工序净耗能量（吨标准煤）/硅铁</w:t>
      </w:r>
    </w:p>
    <w:p w14:paraId="69EA9D4D">
      <w:pPr>
        <w:spacing w:line="360" w:lineRule="exact"/>
        <w:ind w:left="63" w:leftChars="0" w:hanging="63" w:hangingChars="30"/>
        <w:textAlignment w:val="center"/>
        <w:rPr>
          <w:szCs w:val="21"/>
        </w:rPr>
      </w:pPr>
      <w:r>
        <w:rPr>
          <w:rFonts w:hint="eastAsia"/>
          <w:szCs w:val="21"/>
          <w:lang w:val="en-US" w:eastAsia="zh-CN"/>
        </w:rPr>
        <w:t xml:space="preserve">                                                    </w:t>
      </w:r>
      <w:r>
        <w:rPr>
          <w:szCs w:val="21"/>
        </w:rPr>
        <w:t>合格产品标准量（标准吨）</w:t>
      </w:r>
    </w:p>
    <w:p w14:paraId="1FCE76F6">
      <w:pPr>
        <w:spacing w:line="360" w:lineRule="exact"/>
        <w:ind w:firstLine="420" w:firstLineChars="200"/>
        <w:textAlignment w:val="center"/>
        <w:rPr>
          <w:szCs w:val="21"/>
        </w:rPr>
      </w:pPr>
      <w:r>
        <w:rPr>
          <w:szCs w:val="21"/>
        </w:rPr>
        <w:t>分子项：硅铁工序净耗能量。指硅铁工序中的能耗量。</w:t>
      </w:r>
    </w:p>
    <w:p w14:paraId="748CC074">
      <w:pPr>
        <w:spacing w:line="360" w:lineRule="exact"/>
        <w:ind w:firstLine="420" w:firstLineChars="200"/>
        <w:textAlignment w:val="center"/>
        <w:rPr>
          <w:szCs w:val="21"/>
        </w:rPr>
      </w:pPr>
      <w:r>
        <w:rPr>
          <w:szCs w:val="21"/>
        </w:rPr>
        <w:t>分母项：硅铁合格产品标准量。指硅铁按含硅75%的标准折算为标准吨。</w:t>
      </w:r>
    </w:p>
    <w:p w14:paraId="5B8A49EB">
      <w:pPr>
        <w:spacing w:line="360" w:lineRule="exact"/>
        <w:ind w:firstLine="420" w:firstLineChars="200"/>
        <w:textAlignment w:val="center"/>
        <w:rPr>
          <w:rFonts w:eastAsia="黑体"/>
          <w:szCs w:val="21"/>
        </w:rPr>
      </w:pPr>
      <w:r>
        <w:rPr>
          <w:rFonts w:eastAsia="黑体"/>
          <w:szCs w:val="21"/>
        </w:rPr>
        <w:t>硅铁单位电耗</w:t>
      </w:r>
    </w:p>
    <w:p w14:paraId="1308A441">
      <w:pPr>
        <w:spacing w:line="360" w:lineRule="exact"/>
        <w:ind w:left="4305" w:leftChars="0" w:hanging="4305" w:hangingChars="2050"/>
        <w:textAlignment w:val="center"/>
        <w:rPr>
          <w:szCs w:val="21"/>
        </w:rPr>
      </w:pPr>
      <w:r>
        <w:rPr>
          <w:rFonts w:hint="eastAsia"/>
          <w:szCs w:val="21"/>
          <w:lang w:val="en-US" w:eastAsia="zh-CN"/>
        </w:rPr>
        <w:t xml:space="preserve">    </w:t>
      </w:r>
      <w:r>
        <w:rPr>
          <w:szCs w:val="21"/>
        </w:rPr>
        <w:t>计算公式：硅铁单位电耗（千瓦时/标准吨）＝10000×硅铁冶炼总耗电量（万千瓦时）/ 硅铁合格产</w:t>
      </w:r>
    </w:p>
    <w:p w14:paraId="49ED2091">
      <w:pPr>
        <w:spacing w:line="360" w:lineRule="exact"/>
        <w:ind w:left="75" w:leftChars="0" w:hanging="75" w:hangingChars="36"/>
        <w:textAlignment w:val="center"/>
        <w:rPr>
          <w:szCs w:val="21"/>
        </w:rPr>
      </w:pPr>
      <w:r>
        <w:rPr>
          <w:rFonts w:hint="eastAsia"/>
          <w:szCs w:val="21"/>
          <w:lang w:val="en-US" w:eastAsia="zh-CN"/>
        </w:rPr>
        <w:t xml:space="preserve">                                             </w:t>
      </w:r>
      <w:r>
        <w:rPr>
          <w:szCs w:val="21"/>
        </w:rPr>
        <w:t>品标准量（标准吨）</w:t>
      </w:r>
    </w:p>
    <w:p w14:paraId="6ACA0A4D">
      <w:pPr>
        <w:spacing w:line="360" w:lineRule="exact"/>
        <w:ind w:firstLine="420" w:firstLineChars="200"/>
        <w:textAlignment w:val="center"/>
        <w:rPr>
          <w:szCs w:val="21"/>
        </w:rPr>
      </w:pPr>
      <w:r>
        <w:rPr>
          <w:szCs w:val="21"/>
        </w:rPr>
        <w:t>分子项：硅铁冶炼总耗电量。指硅铁工序中的电力消耗量，包括产品冶炼过程用电和生产时的烘炉用电、洗炉用电、动力用电、照明用电等。</w:t>
      </w:r>
    </w:p>
    <w:p w14:paraId="576A918B">
      <w:pPr>
        <w:spacing w:line="360" w:lineRule="exact"/>
        <w:ind w:firstLine="420" w:firstLineChars="200"/>
        <w:textAlignment w:val="center"/>
        <w:rPr>
          <w:szCs w:val="21"/>
        </w:rPr>
      </w:pPr>
      <w:r>
        <w:rPr>
          <w:szCs w:val="21"/>
        </w:rPr>
        <w:t>分母项：硅铁合格产品标准量。硅铁按含硅75%的标准折算为标准吨。</w:t>
      </w:r>
    </w:p>
    <w:p w14:paraId="3B5CD731">
      <w:pPr>
        <w:spacing w:line="360" w:lineRule="exact"/>
        <w:ind w:firstLine="420" w:firstLineChars="200"/>
        <w:textAlignment w:val="center"/>
        <w:rPr>
          <w:szCs w:val="21"/>
        </w:rPr>
      </w:pPr>
    </w:p>
    <w:p w14:paraId="78D44804">
      <w:pPr>
        <w:spacing w:line="360" w:lineRule="exact"/>
        <w:ind w:firstLine="420" w:firstLineChars="200"/>
        <w:textAlignment w:val="center"/>
        <w:rPr>
          <w:rFonts w:eastAsia="黑体"/>
          <w:szCs w:val="21"/>
        </w:rPr>
      </w:pPr>
      <w:r>
        <w:rPr>
          <w:rFonts w:eastAsia="黑体"/>
          <w:szCs w:val="21"/>
        </w:rPr>
        <w:t>锰硅合金工序单位能耗</w:t>
      </w:r>
    </w:p>
    <w:p w14:paraId="1AECC469">
      <w:pPr>
        <w:spacing w:line="360" w:lineRule="exact"/>
        <w:ind w:left="5353" w:leftChars="0" w:hanging="5353" w:hangingChars="2650"/>
        <w:textAlignment w:val="center"/>
        <w:rPr>
          <w:spacing w:val="-4"/>
          <w:szCs w:val="21"/>
        </w:rPr>
      </w:pPr>
      <w:r>
        <w:rPr>
          <w:rFonts w:hint="eastAsia"/>
          <w:spacing w:val="-4"/>
          <w:szCs w:val="21"/>
          <w:lang w:val="en-US" w:eastAsia="zh-CN"/>
        </w:rPr>
        <w:t xml:space="preserve">    </w:t>
      </w:r>
      <w:r>
        <w:rPr>
          <w:spacing w:val="-4"/>
          <w:szCs w:val="21"/>
        </w:rPr>
        <w:t>计算公式：锰硅合金工序单位能耗（千克标准煤/标准吨）＝1000×锰硅合金工序净耗能量（吨标准煤）</w:t>
      </w:r>
    </w:p>
    <w:p w14:paraId="1B0F9FB0">
      <w:pPr>
        <w:spacing w:line="360" w:lineRule="exact"/>
        <w:ind w:left="5353" w:leftChars="0" w:hanging="5353" w:hangingChars="2650"/>
        <w:textAlignment w:val="center"/>
        <w:rPr>
          <w:spacing w:val="-4"/>
          <w:szCs w:val="21"/>
        </w:rPr>
      </w:pPr>
      <w:r>
        <w:rPr>
          <w:rFonts w:hint="eastAsia"/>
          <w:spacing w:val="-4"/>
          <w:szCs w:val="21"/>
          <w:lang w:val="en-US" w:eastAsia="zh-CN"/>
        </w:rPr>
        <w:t xml:space="preserve">                                                           </w:t>
      </w:r>
      <w:r>
        <w:rPr>
          <w:spacing w:val="-4"/>
          <w:szCs w:val="21"/>
        </w:rPr>
        <w:t>/锰硅合金合格产品标准量（标准吨）</w:t>
      </w:r>
    </w:p>
    <w:p w14:paraId="242816CE">
      <w:pPr>
        <w:spacing w:line="360" w:lineRule="exact"/>
        <w:ind w:firstLine="420" w:firstLineChars="200"/>
        <w:textAlignment w:val="center"/>
        <w:rPr>
          <w:szCs w:val="21"/>
        </w:rPr>
      </w:pPr>
      <w:r>
        <w:rPr>
          <w:szCs w:val="21"/>
        </w:rPr>
        <w:t>分子项：锰硅合金工序净耗能量。指锰硅合金冶炼工序中的能耗量。</w:t>
      </w:r>
    </w:p>
    <w:p w14:paraId="7C627418">
      <w:pPr>
        <w:spacing w:line="360" w:lineRule="exact"/>
        <w:ind w:firstLine="420" w:firstLineChars="200"/>
        <w:textAlignment w:val="center"/>
        <w:rPr>
          <w:szCs w:val="21"/>
        </w:rPr>
      </w:pPr>
      <w:r>
        <w:rPr>
          <w:szCs w:val="21"/>
        </w:rPr>
        <w:t>分母项：锰硅合金合格产品标准量。锰硅合金按硅+锰＝82%的标准折算。</w:t>
      </w:r>
    </w:p>
    <w:p w14:paraId="0BA5362C">
      <w:pPr>
        <w:spacing w:line="360" w:lineRule="exact"/>
        <w:ind w:firstLine="420" w:firstLineChars="200"/>
        <w:textAlignment w:val="center"/>
        <w:rPr>
          <w:rFonts w:eastAsia="黑体"/>
          <w:szCs w:val="21"/>
        </w:rPr>
      </w:pPr>
      <w:r>
        <w:rPr>
          <w:rFonts w:eastAsia="黑体"/>
          <w:szCs w:val="21"/>
        </w:rPr>
        <w:t>锰硅合金单位电耗</w:t>
      </w:r>
    </w:p>
    <w:p w14:paraId="263499FE">
      <w:pPr>
        <w:spacing w:line="360" w:lineRule="exact"/>
        <w:ind w:left="4708" w:leftChars="0" w:hanging="4708" w:hangingChars="2242"/>
        <w:textAlignment w:val="center"/>
        <w:rPr>
          <w:szCs w:val="21"/>
        </w:rPr>
      </w:pPr>
      <w:r>
        <w:rPr>
          <w:rFonts w:hint="eastAsia"/>
          <w:szCs w:val="21"/>
          <w:lang w:val="en-US" w:eastAsia="zh-CN"/>
        </w:rPr>
        <w:t xml:space="preserve">    </w:t>
      </w:r>
      <w:r>
        <w:rPr>
          <w:szCs w:val="21"/>
        </w:rPr>
        <w:t>计算公式：锰硅合金单位电耗（千瓦时/标准吨）＝10000×锰硅合金冶炼总耗电量（万千瓦时）/锰</w:t>
      </w:r>
    </w:p>
    <w:p w14:paraId="6EDA9BE8">
      <w:pPr>
        <w:spacing w:line="360" w:lineRule="exact"/>
        <w:ind w:left="4708" w:leftChars="0" w:hanging="4708" w:hangingChars="2242"/>
        <w:textAlignment w:val="center"/>
        <w:rPr>
          <w:szCs w:val="21"/>
        </w:rPr>
      </w:pPr>
      <w:r>
        <w:rPr>
          <w:rFonts w:hint="eastAsia"/>
          <w:szCs w:val="21"/>
          <w:lang w:val="en-US" w:eastAsia="zh-CN"/>
        </w:rPr>
        <w:t xml:space="preserve">                                                 </w:t>
      </w:r>
      <w:r>
        <w:rPr>
          <w:szCs w:val="21"/>
        </w:rPr>
        <w:t>硅合金合格产品标准量（标准吨）</w:t>
      </w:r>
    </w:p>
    <w:p w14:paraId="42D1CC83">
      <w:pPr>
        <w:spacing w:line="360" w:lineRule="exact"/>
        <w:ind w:firstLine="420" w:firstLineChars="200"/>
        <w:textAlignment w:val="center"/>
        <w:rPr>
          <w:szCs w:val="21"/>
        </w:rPr>
      </w:pPr>
      <w:r>
        <w:rPr>
          <w:szCs w:val="21"/>
        </w:rPr>
        <w:t>分子项：锰硅合金冶炼总耗电量。指硅锰合金冶炼工序中电力消耗量。电力消耗量包括产品冶炼过程电和生产时的烘炉电、洗炉电、动力电、照明电等。</w:t>
      </w:r>
    </w:p>
    <w:p w14:paraId="562B4164">
      <w:pPr>
        <w:spacing w:line="360" w:lineRule="exact"/>
        <w:ind w:firstLine="420" w:firstLineChars="200"/>
        <w:textAlignment w:val="center"/>
      </w:pPr>
      <w:r>
        <w:rPr>
          <w:szCs w:val="21"/>
        </w:rPr>
        <w:t>分母项：锰硅合金合格产品标准量。锰硅合金按硅+锰＝82%的标准折算。</w:t>
      </w:r>
    </w:p>
    <w:p w14:paraId="31A50D9F">
      <w:pPr>
        <w:pStyle w:val="10"/>
        <w:spacing w:line="360" w:lineRule="exact"/>
        <w:ind w:firstLine="420" w:firstLineChars="200"/>
        <w:textAlignment w:val="center"/>
        <w:rPr>
          <w:rFonts w:ascii="Times New Roman" w:hAnsi="Times New Roman" w:eastAsia="黑体" w:cs="Times New Roman"/>
          <w:bCs/>
        </w:rPr>
      </w:pPr>
    </w:p>
    <w:p w14:paraId="08F8843E">
      <w:pPr>
        <w:pStyle w:val="10"/>
        <w:spacing w:line="360" w:lineRule="exact"/>
        <w:ind w:firstLine="420" w:firstLineChars="200"/>
        <w:textAlignment w:val="center"/>
        <w:rPr>
          <w:rFonts w:ascii="Times New Roman" w:hAnsi="Times New Roman" w:eastAsia="黑体" w:cs="Times New Roman"/>
          <w:bCs/>
        </w:rPr>
      </w:pPr>
      <w:r>
        <w:rPr>
          <w:rFonts w:ascii="Times New Roman" w:hAnsi="Times New Roman" w:eastAsia="黑体" w:cs="Times New Roman"/>
          <w:bCs/>
        </w:rPr>
        <w:t>铜（32）</w:t>
      </w:r>
    </w:p>
    <w:p w14:paraId="2EEFC9E5">
      <w:pPr>
        <w:spacing w:line="360" w:lineRule="exact"/>
        <w:ind w:firstLine="420" w:firstLineChars="200"/>
        <w:textAlignment w:val="center"/>
        <w:rPr>
          <w:rFonts w:eastAsia="黑体"/>
          <w:szCs w:val="21"/>
        </w:rPr>
      </w:pPr>
      <w:r>
        <w:rPr>
          <w:rFonts w:eastAsia="黑体"/>
          <w:szCs w:val="21"/>
        </w:rPr>
        <w:t>单位粗铜综合能耗</w:t>
      </w:r>
    </w:p>
    <w:p w14:paraId="1920C3DC">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计算公式：单位粗铜综合能耗（千克标准煤/吨）＝1000×矿产粗铜综合能源消费量（吨标准煤）/</w:t>
      </w:r>
    </w:p>
    <w:p w14:paraId="252CB284">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矿产粗铜产量（吨）</w:t>
      </w:r>
    </w:p>
    <w:p w14:paraId="315B2468">
      <w:pPr>
        <w:spacing w:line="360" w:lineRule="exact"/>
        <w:ind w:firstLine="420" w:firstLineChars="200"/>
        <w:textAlignment w:val="center"/>
        <w:rPr>
          <w:szCs w:val="21"/>
        </w:rPr>
      </w:pPr>
      <w:r>
        <w:rPr>
          <w:szCs w:val="21"/>
        </w:rPr>
        <w:t>分子项：矿产粗铜综合能源消费量。指从处理铜精矿到产出粗铜所消耗的能源总量。</w:t>
      </w:r>
    </w:p>
    <w:p w14:paraId="06E6FFED">
      <w:pPr>
        <w:spacing w:line="360" w:lineRule="exact"/>
        <w:ind w:firstLine="420" w:firstLineChars="200"/>
        <w:textAlignment w:val="center"/>
        <w:rPr>
          <w:rFonts w:eastAsia="黑体"/>
          <w:szCs w:val="21"/>
        </w:rPr>
      </w:pPr>
      <w:r>
        <w:rPr>
          <w:szCs w:val="21"/>
        </w:rPr>
        <w:t>分母项：矿产粗铜产量。指合格入库产量。</w:t>
      </w:r>
    </w:p>
    <w:p w14:paraId="344917CD">
      <w:pPr>
        <w:spacing w:line="360" w:lineRule="exact"/>
        <w:ind w:firstLine="420" w:firstLineChars="200"/>
        <w:textAlignment w:val="center"/>
        <w:rPr>
          <w:rFonts w:eastAsia="黑体"/>
          <w:szCs w:val="21"/>
        </w:rPr>
      </w:pPr>
      <w:r>
        <w:rPr>
          <w:rFonts w:eastAsia="黑体"/>
          <w:szCs w:val="21"/>
        </w:rPr>
        <w:t>铜精炼综合能耗</w:t>
      </w:r>
    </w:p>
    <w:p w14:paraId="4793E704">
      <w:pPr>
        <w:spacing w:line="360" w:lineRule="exact"/>
        <w:ind w:left="4540" w:leftChars="0" w:hanging="4540" w:hangingChars="2162"/>
        <w:textAlignment w:val="center"/>
        <w:rPr>
          <w:szCs w:val="21"/>
        </w:rPr>
      </w:pPr>
      <w:r>
        <w:rPr>
          <w:rFonts w:hint="eastAsia"/>
          <w:szCs w:val="21"/>
          <w:lang w:val="en-US" w:eastAsia="zh-CN"/>
        </w:rPr>
        <w:t xml:space="preserve">    </w:t>
      </w:r>
      <w:r>
        <w:rPr>
          <w:szCs w:val="21"/>
        </w:rPr>
        <w:t>计算公式：铜精炼综合能耗（千克标准煤/吨）＝1000×粗铜到精炼铜消耗的能源总量（吨标准煤）</w:t>
      </w:r>
    </w:p>
    <w:p w14:paraId="4D3400FE">
      <w:pPr>
        <w:spacing w:line="360" w:lineRule="exact"/>
        <w:ind w:left="73" w:leftChars="0" w:hanging="73" w:hangingChars="35"/>
        <w:textAlignment w:val="center"/>
        <w:rPr>
          <w:szCs w:val="21"/>
        </w:rPr>
      </w:pPr>
      <w:r>
        <w:rPr>
          <w:rFonts w:hint="eastAsia"/>
          <w:szCs w:val="21"/>
          <w:lang w:val="en-US" w:eastAsia="zh-CN"/>
        </w:rPr>
        <w:t xml:space="preserve">                                               </w:t>
      </w:r>
      <w:r>
        <w:rPr>
          <w:szCs w:val="21"/>
        </w:rPr>
        <w:t>/精炼铜（电解铜）产量（吨）</w:t>
      </w:r>
    </w:p>
    <w:p w14:paraId="5BCEC7AF">
      <w:pPr>
        <w:spacing w:line="360" w:lineRule="exact"/>
        <w:ind w:firstLine="420" w:firstLineChars="200"/>
        <w:textAlignment w:val="center"/>
        <w:rPr>
          <w:szCs w:val="21"/>
        </w:rPr>
      </w:pPr>
      <w:r>
        <w:rPr>
          <w:szCs w:val="21"/>
        </w:rPr>
        <w:t>分子项：粗铜到精炼铜（电解铜）消耗的能源总量。指从投入粗铜开始到产出精炼铜（电解铜）的生产过程中消耗的能源量。</w:t>
      </w:r>
    </w:p>
    <w:p w14:paraId="039B5BC1">
      <w:pPr>
        <w:spacing w:line="360" w:lineRule="exact"/>
        <w:ind w:firstLine="420" w:firstLineChars="200"/>
        <w:textAlignment w:val="center"/>
        <w:rPr>
          <w:szCs w:val="21"/>
        </w:rPr>
      </w:pPr>
      <w:r>
        <w:rPr>
          <w:szCs w:val="21"/>
        </w:rPr>
        <w:t>分母项：精炼铜（电解铜）产量。指合格入库产量。包括以铜精矿作原料经电解生产的矿产阴极铜（也叫矿产铜）、以铜废料作原料经电解生产的再生铜（杂产铜）、以购买的粗铜和阳极铜作原料经电解生产的精炼铜和湿法冶炼生产的电极铜。</w:t>
      </w:r>
    </w:p>
    <w:p w14:paraId="69A03335">
      <w:pPr>
        <w:spacing w:line="360" w:lineRule="exact"/>
        <w:ind w:firstLine="420" w:firstLineChars="200"/>
        <w:textAlignment w:val="center"/>
        <w:rPr>
          <w:rFonts w:eastAsia="黑体"/>
          <w:szCs w:val="21"/>
        </w:rPr>
      </w:pPr>
      <w:r>
        <w:rPr>
          <w:rFonts w:eastAsia="黑体"/>
          <w:szCs w:val="21"/>
        </w:rPr>
        <w:t>单位铜冶炼综合能耗</w:t>
      </w:r>
    </w:p>
    <w:p w14:paraId="1F970F8F">
      <w:pPr>
        <w:spacing w:line="360" w:lineRule="exact"/>
        <w:ind w:left="4935" w:leftChars="0" w:hanging="4935" w:hangingChars="2350"/>
        <w:textAlignment w:val="center"/>
        <w:rPr>
          <w:szCs w:val="21"/>
        </w:rPr>
      </w:pPr>
      <w:r>
        <w:rPr>
          <w:rFonts w:hint="eastAsia"/>
          <w:szCs w:val="21"/>
          <w:lang w:val="en-US" w:eastAsia="zh-CN"/>
        </w:rPr>
        <w:t xml:space="preserve">    </w:t>
      </w:r>
      <w:r>
        <w:rPr>
          <w:szCs w:val="21"/>
        </w:rPr>
        <w:t>计算公式：单位铜冶炼综合能耗（千克标准煤/吨）＝1000×铜冶炼各工序综合能源消费量（吨标准</w:t>
      </w:r>
    </w:p>
    <w:p w14:paraId="3A4C3088">
      <w:pPr>
        <w:spacing w:line="360" w:lineRule="exact"/>
        <w:ind w:left="33" w:leftChars="0" w:hanging="33" w:hangingChars="16"/>
        <w:textAlignment w:val="center"/>
        <w:rPr>
          <w:szCs w:val="21"/>
        </w:rPr>
      </w:pPr>
      <w:r>
        <w:rPr>
          <w:rFonts w:hint="eastAsia"/>
          <w:szCs w:val="21"/>
          <w:lang w:val="en-US" w:eastAsia="zh-CN"/>
        </w:rPr>
        <w:t xml:space="preserve">                                                   </w:t>
      </w:r>
      <w:r>
        <w:rPr>
          <w:szCs w:val="21"/>
        </w:rPr>
        <w:t>煤）/精炼铜（电解铜）产量（吨）</w:t>
      </w:r>
    </w:p>
    <w:p w14:paraId="118060C8">
      <w:pPr>
        <w:spacing w:line="360" w:lineRule="exact"/>
        <w:ind w:firstLine="420" w:firstLineChars="200"/>
        <w:textAlignment w:val="center"/>
        <w:rPr>
          <w:szCs w:val="21"/>
        </w:rPr>
      </w:pPr>
      <w:r>
        <w:rPr>
          <w:szCs w:val="21"/>
        </w:rPr>
        <w:t>分子项：铜冶炼各工序综合能源消费量。指从处理铜精矿等物料到产出精炼铜（电解铜）的过程中所消耗的各类能源总量。</w:t>
      </w:r>
    </w:p>
    <w:p w14:paraId="639C5FEA">
      <w:pPr>
        <w:spacing w:line="360" w:lineRule="exact"/>
        <w:ind w:firstLine="420" w:firstLineChars="200"/>
        <w:textAlignment w:val="center"/>
        <w:rPr>
          <w:szCs w:val="21"/>
        </w:rPr>
      </w:pPr>
      <w:r>
        <w:rPr>
          <w:szCs w:val="21"/>
        </w:rPr>
        <w:t>分母项：精炼铜（电解铜）产量。说明同上。</w:t>
      </w:r>
    </w:p>
    <w:p w14:paraId="7B100E50">
      <w:pPr>
        <w:spacing w:line="360" w:lineRule="exact"/>
        <w:ind w:firstLine="420" w:firstLineChars="200"/>
        <w:textAlignment w:val="center"/>
        <w:rPr>
          <w:rFonts w:eastAsia="黑体"/>
          <w:szCs w:val="21"/>
        </w:rPr>
      </w:pPr>
      <w:r>
        <w:rPr>
          <w:rFonts w:eastAsia="黑体"/>
          <w:szCs w:val="21"/>
        </w:rPr>
        <w:t>铜电解直流电单耗</w:t>
      </w:r>
    </w:p>
    <w:p w14:paraId="1918A283">
      <w:pPr>
        <w:spacing w:line="360" w:lineRule="exact"/>
        <w:ind w:left="4305" w:leftChars="0" w:hanging="4305" w:hangingChars="2050"/>
        <w:textAlignment w:val="center"/>
        <w:rPr>
          <w:szCs w:val="21"/>
        </w:rPr>
      </w:pPr>
      <w:r>
        <w:rPr>
          <w:rFonts w:hint="eastAsia"/>
          <w:szCs w:val="21"/>
          <w:lang w:val="en-US" w:eastAsia="zh-CN"/>
        </w:rPr>
        <w:t xml:space="preserve">    </w:t>
      </w:r>
      <w:r>
        <w:rPr>
          <w:szCs w:val="21"/>
        </w:rPr>
        <w:t>计算公式：铜电解直流电单耗（千瓦时/吨）＝10000×精炼铜（电解铜）消耗的直流电量（万千瓦</w:t>
      </w:r>
    </w:p>
    <w:p w14:paraId="3C496E2F">
      <w:pPr>
        <w:spacing w:line="360" w:lineRule="exact"/>
        <w:ind w:left="4305" w:leftChars="0" w:hanging="4305" w:hangingChars="2050"/>
        <w:textAlignment w:val="center"/>
        <w:rPr>
          <w:szCs w:val="21"/>
        </w:rPr>
      </w:pPr>
      <w:r>
        <w:rPr>
          <w:rFonts w:hint="eastAsia"/>
          <w:szCs w:val="21"/>
          <w:lang w:val="en-US" w:eastAsia="zh-CN"/>
        </w:rPr>
        <w:t xml:space="preserve">                                             </w:t>
      </w:r>
      <w:r>
        <w:rPr>
          <w:szCs w:val="21"/>
        </w:rPr>
        <w:t>时）/精炼铜（电解铜）产量（吨）</w:t>
      </w:r>
    </w:p>
    <w:p w14:paraId="1A1F107D">
      <w:pPr>
        <w:spacing w:line="360" w:lineRule="exact"/>
        <w:ind w:firstLine="420" w:firstLineChars="200"/>
        <w:textAlignment w:val="center"/>
        <w:rPr>
          <w:szCs w:val="21"/>
        </w:rPr>
      </w:pPr>
      <w:r>
        <w:rPr>
          <w:szCs w:val="21"/>
        </w:rPr>
        <w:t>分子项：精炼铜（电解铜）消耗的直流电量。包括线路损失量和始极片耗电量。</w:t>
      </w:r>
    </w:p>
    <w:p w14:paraId="7284B6BC">
      <w:pPr>
        <w:spacing w:line="360" w:lineRule="exact"/>
        <w:ind w:firstLine="420" w:firstLineChars="200"/>
        <w:textAlignment w:val="center"/>
        <w:rPr>
          <w:rFonts w:eastAsia="黑体"/>
          <w:bCs/>
          <w:szCs w:val="21"/>
        </w:rPr>
      </w:pPr>
      <w:r>
        <w:rPr>
          <w:szCs w:val="21"/>
        </w:rPr>
        <w:t>分母项：精炼铜（电解铜）产量。说明同上。</w:t>
      </w:r>
    </w:p>
    <w:p w14:paraId="47E1A84C">
      <w:pPr>
        <w:spacing w:line="360" w:lineRule="exact"/>
        <w:ind w:firstLine="420" w:firstLineChars="200"/>
        <w:textAlignment w:val="center"/>
        <w:rPr>
          <w:rFonts w:eastAsia="黑体"/>
          <w:bCs/>
          <w:szCs w:val="21"/>
        </w:rPr>
      </w:pPr>
    </w:p>
    <w:p w14:paraId="6230175F">
      <w:pPr>
        <w:spacing w:line="360" w:lineRule="exact"/>
        <w:ind w:firstLine="420" w:firstLineChars="200"/>
        <w:textAlignment w:val="center"/>
        <w:rPr>
          <w:rFonts w:eastAsia="黑体"/>
          <w:bCs/>
          <w:szCs w:val="21"/>
        </w:rPr>
      </w:pPr>
      <w:r>
        <w:rPr>
          <w:rFonts w:eastAsia="黑体"/>
          <w:bCs/>
          <w:szCs w:val="21"/>
        </w:rPr>
        <w:t>铝（32）</w:t>
      </w:r>
    </w:p>
    <w:p w14:paraId="73C53807">
      <w:pPr>
        <w:spacing w:line="360" w:lineRule="exact"/>
        <w:ind w:firstLine="420" w:firstLineChars="200"/>
        <w:textAlignment w:val="center"/>
        <w:rPr>
          <w:rFonts w:eastAsia="黑体"/>
          <w:szCs w:val="21"/>
        </w:rPr>
      </w:pPr>
      <w:r>
        <w:rPr>
          <w:rFonts w:eastAsia="黑体"/>
          <w:szCs w:val="21"/>
        </w:rPr>
        <w:t>单位氧化铝综合能耗</w:t>
      </w:r>
    </w:p>
    <w:p w14:paraId="4AAD8FC8">
      <w:pPr>
        <w:spacing w:line="360" w:lineRule="exact"/>
        <w:ind w:left="4935" w:leftChars="0" w:hanging="4935" w:hangingChars="2350"/>
        <w:textAlignment w:val="center"/>
        <w:rPr>
          <w:szCs w:val="21"/>
        </w:rPr>
      </w:pPr>
      <w:r>
        <w:rPr>
          <w:rFonts w:hint="eastAsia"/>
          <w:szCs w:val="21"/>
          <w:lang w:val="en-US" w:eastAsia="zh-CN"/>
        </w:rPr>
        <w:t xml:space="preserve">    </w:t>
      </w:r>
      <w:r>
        <w:rPr>
          <w:szCs w:val="21"/>
        </w:rPr>
        <w:t>计算公式：单位氧化铝综合能耗（千克标准煤/吨）＝1000×氧化铝生产综合能源消费量（吨标准煤）</w:t>
      </w:r>
    </w:p>
    <w:p w14:paraId="75B18621">
      <w:pPr>
        <w:spacing w:line="360" w:lineRule="exact"/>
        <w:ind w:left="132" w:leftChars="0" w:hanging="132" w:hangingChars="63"/>
        <w:textAlignment w:val="center"/>
        <w:rPr>
          <w:szCs w:val="21"/>
        </w:rPr>
      </w:pPr>
      <w:r>
        <w:rPr>
          <w:rFonts w:hint="eastAsia"/>
          <w:szCs w:val="21"/>
          <w:lang w:val="en-US" w:eastAsia="zh-CN"/>
        </w:rPr>
        <w:t xml:space="preserve">                                                  </w:t>
      </w:r>
      <w:r>
        <w:rPr>
          <w:szCs w:val="21"/>
        </w:rPr>
        <w:t>/实产氧化铝产量（吨）</w:t>
      </w:r>
    </w:p>
    <w:p w14:paraId="42BA9A27">
      <w:pPr>
        <w:spacing w:line="360" w:lineRule="exact"/>
        <w:ind w:firstLine="420" w:firstLineChars="200"/>
        <w:textAlignment w:val="center"/>
        <w:rPr>
          <w:szCs w:val="21"/>
        </w:rPr>
      </w:pPr>
      <w:r>
        <w:rPr>
          <w:szCs w:val="21"/>
        </w:rPr>
        <w:t>分子项：氧化铝生产综合能源消费量。包括氧化铝工艺用能和间接能源消耗。氧化铝工艺用能，指生产氧化铝所直接消耗的各项能源，包括煤、油、焦、汽、电、煤气、汽油、柴油等消耗；间接能源消耗，指企业辅助、附属部门能耗分摊量、能源转换损耗分摊量和企业内部能源正常损耗量。</w:t>
      </w:r>
    </w:p>
    <w:p w14:paraId="0B3185A7">
      <w:pPr>
        <w:spacing w:line="360" w:lineRule="exact"/>
        <w:ind w:firstLine="412" w:firstLineChars="200"/>
        <w:textAlignment w:val="center"/>
        <w:rPr>
          <w:spacing w:val="-2"/>
          <w:szCs w:val="21"/>
        </w:rPr>
      </w:pPr>
      <w:r>
        <w:rPr>
          <w:spacing w:val="-2"/>
          <w:szCs w:val="21"/>
        </w:rPr>
        <w:t>分母项：实产氧化铝产量。包括冶金级氧化铝（指生产电解铝的原料）和化学品级氧化铝（折合量），如氢氧化铝系列商品折合量（普通氢氧化铝、特种氢氧化铝、白色氢氧化铝填料氢氧化铝等）、氧化铝系列折合量（煅烧氧化铝、助燃剂用低温氧化铝、电工填料氧化铝等）、拟薄水铝石系列折合量等。</w:t>
      </w:r>
    </w:p>
    <w:p w14:paraId="133D972D">
      <w:pPr>
        <w:spacing w:line="360" w:lineRule="exact"/>
        <w:ind w:firstLine="420" w:firstLineChars="200"/>
        <w:textAlignment w:val="center"/>
        <w:rPr>
          <w:rFonts w:eastAsia="黑体"/>
          <w:szCs w:val="21"/>
        </w:rPr>
      </w:pPr>
      <w:r>
        <w:rPr>
          <w:rFonts w:eastAsia="黑体"/>
          <w:szCs w:val="21"/>
        </w:rPr>
        <w:t>单位电解铝综合能耗</w:t>
      </w:r>
    </w:p>
    <w:p w14:paraId="7985EDB1">
      <w:pPr>
        <w:spacing w:line="360" w:lineRule="exact"/>
        <w:ind w:left="4859" w:leftChars="0" w:hanging="4859" w:hangingChars="2314"/>
        <w:textAlignment w:val="center"/>
        <w:rPr>
          <w:szCs w:val="21"/>
        </w:rPr>
      </w:pPr>
      <w:r>
        <w:rPr>
          <w:rFonts w:hint="eastAsia"/>
          <w:szCs w:val="21"/>
          <w:lang w:val="en-US" w:eastAsia="zh-CN"/>
        </w:rPr>
        <w:t xml:space="preserve">    </w:t>
      </w:r>
      <w:r>
        <w:rPr>
          <w:szCs w:val="21"/>
        </w:rPr>
        <w:t>计算公式：单位电解铝综合能耗（千克标准煤/吨）＝1000×全厂综合能源消费量（吨标准煤）/合格</w:t>
      </w:r>
    </w:p>
    <w:p w14:paraId="197224AD">
      <w:pPr>
        <w:spacing w:line="360" w:lineRule="exact"/>
        <w:ind w:left="4859" w:leftChars="0" w:hanging="4859" w:hangingChars="2314"/>
        <w:textAlignment w:val="center"/>
        <w:rPr>
          <w:szCs w:val="21"/>
        </w:rPr>
      </w:pPr>
      <w:r>
        <w:rPr>
          <w:rFonts w:hint="eastAsia"/>
          <w:szCs w:val="21"/>
          <w:lang w:val="en-US" w:eastAsia="zh-CN"/>
        </w:rPr>
        <w:t xml:space="preserve">                                                   </w:t>
      </w:r>
      <w:r>
        <w:rPr>
          <w:szCs w:val="21"/>
        </w:rPr>
        <w:t>交库的电解铝产量（吨）</w:t>
      </w:r>
    </w:p>
    <w:p w14:paraId="28A8605D">
      <w:pPr>
        <w:spacing w:line="360" w:lineRule="exact"/>
        <w:ind w:firstLine="420" w:firstLineChars="200"/>
        <w:textAlignment w:val="center"/>
        <w:rPr>
          <w:szCs w:val="21"/>
        </w:rPr>
      </w:pPr>
      <w:r>
        <w:rPr>
          <w:szCs w:val="21"/>
        </w:rPr>
        <w:t>分子项：全厂综合能源消费量。包括电解铝工艺能耗总量（直接消耗），辅助和附属部门消耗的柴油、汽油、蒸汽。</w:t>
      </w:r>
    </w:p>
    <w:p w14:paraId="618331B9">
      <w:pPr>
        <w:spacing w:line="360" w:lineRule="exact"/>
        <w:ind w:firstLine="420" w:firstLineChars="200"/>
        <w:textAlignment w:val="center"/>
        <w:rPr>
          <w:szCs w:val="21"/>
        </w:rPr>
      </w:pPr>
      <w:r>
        <w:rPr>
          <w:szCs w:val="21"/>
        </w:rPr>
        <w:t>分母项：合格交库的电解铝产量。说明同上。</w:t>
      </w:r>
    </w:p>
    <w:p w14:paraId="66B455E3">
      <w:pPr>
        <w:spacing w:line="360" w:lineRule="exact"/>
        <w:ind w:firstLine="420" w:firstLineChars="200"/>
        <w:textAlignment w:val="center"/>
        <w:rPr>
          <w:szCs w:val="21"/>
        </w:rPr>
      </w:pPr>
      <w:r>
        <w:rPr>
          <w:rFonts w:eastAsia="黑体"/>
          <w:bCs/>
          <w:szCs w:val="21"/>
        </w:rPr>
        <w:t>单位铝锭综合交流电耗</w:t>
      </w:r>
      <w:r>
        <w:rPr>
          <w:bCs/>
          <w:szCs w:val="21"/>
        </w:rPr>
        <w:t xml:space="preserve"> </w:t>
      </w:r>
    </w:p>
    <w:p w14:paraId="25EE9225">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计算公式：单位铝锭综合交流电耗（千瓦时/吨）＝10000×铝锭交流电消耗总量（万千瓦时）/合格</w:t>
      </w:r>
    </w:p>
    <w:p w14:paraId="0A7AE97A">
      <w:pPr>
        <w:spacing w:line="360" w:lineRule="exact"/>
        <w:ind w:left="4725" w:leftChars="0" w:hanging="4725" w:hangingChars="2250"/>
        <w:textAlignment w:val="center"/>
        <w:rPr>
          <w:bCs/>
          <w:szCs w:val="21"/>
        </w:rPr>
      </w:pPr>
      <w:r>
        <w:rPr>
          <w:rFonts w:hint="eastAsia"/>
          <w:szCs w:val="21"/>
          <w:lang w:val="en-US" w:eastAsia="zh-CN"/>
        </w:rPr>
        <w:t xml:space="preserve">                                                 </w:t>
      </w:r>
      <w:r>
        <w:rPr>
          <w:szCs w:val="21"/>
        </w:rPr>
        <w:t>交库的铝锭产量（吨）</w:t>
      </w:r>
    </w:p>
    <w:p w14:paraId="3DC3B452">
      <w:pPr>
        <w:spacing w:line="360" w:lineRule="exact"/>
        <w:ind w:firstLine="420" w:firstLineChars="200"/>
        <w:textAlignment w:val="center"/>
        <w:rPr>
          <w:bCs/>
          <w:szCs w:val="21"/>
        </w:rPr>
      </w:pPr>
      <w:r>
        <w:rPr>
          <w:bCs/>
          <w:szCs w:val="21"/>
        </w:rPr>
        <w:t>分子项：</w:t>
      </w:r>
      <w:r>
        <w:rPr>
          <w:szCs w:val="21"/>
        </w:rPr>
        <w:t>铝锭交流电消耗总量为铝锭生产全部用电量，含电解工序交流电用量；电解工序、铸造工序的动力及照明用电；如电解的通风排烟和烟气净化设施，铸造的混合炉、熔炼炉、扒渣机、堆垛机、天车等设备用电；分摊的辅助、附属部门用电。如为电解服务的供电车间、机修车间、电维车间、计算机室、化验室等分摊的线路损失等。</w:t>
      </w:r>
    </w:p>
    <w:p w14:paraId="22E109A3">
      <w:pPr>
        <w:spacing w:line="360" w:lineRule="exact"/>
        <w:ind w:firstLine="420" w:firstLineChars="200"/>
        <w:textAlignment w:val="center"/>
        <w:rPr>
          <w:szCs w:val="21"/>
        </w:rPr>
      </w:pPr>
      <w:r>
        <w:rPr>
          <w:bCs/>
          <w:szCs w:val="21"/>
        </w:rPr>
        <w:t>分母项：</w:t>
      </w:r>
      <w:r>
        <w:rPr>
          <w:szCs w:val="21"/>
        </w:rPr>
        <w:t>合格交库的铝锭产量是指报告期内生产合格交库的铝锭产量，包括商品产量和自用量之和。</w:t>
      </w:r>
    </w:p>
    <w:p w14:paraId="0C3DFD51">
      <w:pPr>
        <w:spacing w:line="360" w:lineRule="exact"/>
        <w:ind w:firstLine="420" w:firstLineChars="200"/>
        <w:textAlignment w:val="center"/>
        <w:rPr>
          <w:rFonts w:eastAsia="黑体"/>
          <w:bCs/>
          <w:szCs w:val="21"/>
        </w:rPr>
      </w:pPr>
    </w:p>
    <w:p w14:paraId="2F295BD0">
      <w:pPr>
        <w:spacing w:line="360" w:lineRule="exact"/>
        <w:ind w:firstLine="420" w:firstLineChars="200"/>
        <w:textAlignment w:val="center"/>
        <w:rPr>
          <w:rFonts w:eastAsia="黑体"/>
          <w:bCs/>
          <w:szCs w:val="21"/>
        </w:rPr>
      </w:pPr>
      <w:r>
        <w:rPr>
          <w:rFonts w:eastAsia="黑体"/>
          <w:bCs/>
          <w:szCs w:val="21"/>
        </w:rPr>
        <w:t>铅锌（32）</w:t>
      </w:r>
    </w:p>
    <w:p w14:paraId="20818EC1">
      <w:pPr>
        <w:spacing w:line="360" w:lineRule="exact"/>
        <w:ind w:firstLine="420" w:firstLineChars="200"/>
        <w:textAlignment w:val="center"/>
        <w:rPr>
          <w:rFonts w:eastAsia="黑体"/>
          <w:szCs w:val="21"/>
        </w:rPr>
      </w:pPr>
      <w:r>
        <w:rPr>
          <w:rFonts w:eastAsia="黑体"/>
          <w:szCs w:val="21"/>
        </w:rPr>
        <w:t>单位粗铅综合能耗</w:t>
      </w:r>
    </w:p>
    <w:p w14:paraId="7EBD51DB">
      <w:pPr>
        <w:spacing w:line="360" w:lineRule="exact"/>
        <w:ind w:left="4725" w:leftChars="0" w:hanging="4725" w:hangingChars="2250"/>
        <w:textAlignment w:val="center"/>
        <w:rPr>
          <w:szCs w:val="21"/>
        </w:rPr>
      </w:pPr>
      <w:r>
        <w:rPr>
          <w:rFonts w:hint="eastAsia"/>
          <w:szCs w:val="21"/>
          <w:lang w:val="en-US" w:eastAsia="zh-CN"/>
        </w:rPr>
        <w:t xml:space="preserve">    </w:t>
      </w:r>
      <w:r>
        <w:rPr>
          <w:szCs w:val="21"/>
        </w:rPr>
        <w:t>计算公式：单位粗铅综合能耗（千克标准煤/吨）＝1000×矿产粗铅综合能源消费量（吨标准煤）/</w:t>
      </w:r>
    </w:p>
    <w:p w14:paraId="6627DC8E">
      <w:pPr>
        <w:spacing w:line="360" w:lineRule="exact"/>
        <w:ind w:left="48" w:leftChars="0" w:hanging="48" w:hangingChars="23"/>
        <w:textAlignment w:val="center"/>
        <w:rPr>
          <w:szCs w:val="21"/>
        </w:rPr>
      </w:pPr>
      <w:r>
        <w:rPr>
          <w:rFonts w:hint="eastAsia"/>
          <w:szCs w:val="21"/>
          <w:lang w:val="en-US" w:eastAsia="zh-CN"/>
        </w:rPr>
        <w:t xml:space="preserve">                                                 </w:t>
      </w:r>
      <w:r>
        <w:rPr>
          <w:szCs w:val="21"/>
        </w:rPr>
        <w:t>合格交库的矿产粗铅产出量（吨）</w:t>
      </w:r>
    </w:p>
    <w:p w14:paraId="773F1433">
      <w:pPr>
        <w:spacing w:line="360" w:lineRule="exact"/>
        <w:ind w:firstLine="420" w:firstLineChars="200"/>
        <w:textAlignment w:val="center"/>
        <w:rPr>
          <w:szCs w:val="21"/>
        </w:rPr>
      </w:pPr>
      <w:r>
        <w:rPr>
          <w:szCs w:val="21"/>
        </w:rPr>
        <w:t>分子项：矿产粗铅综合能源消费量。包括粗铅工艺能耗（动力+燃料）和辅助用能分摊量。</w:t>
      </w:r>
    </w:p>
    <w:p w14:paraId="34EBF5C7">
      <w:pPr>
        <w:spacing w:line="360" w:lineRule="exact"/>
        <w:ind w:firstLine="420" w:firstLineChars="200"/>
        <w:textAlignment w:val="center"/>
        <w:rPr>
          <w:szCs w:val="21"/>
        </w:rPr>
      </w:pPr>
      <w:r>
        <w:rPr>
          <w:szCs w:val="21"/>
        </w:rPr>
        <w:t>辅助用能分摊量＝辅助用能×分摊系数</w:t>
      </w:r>
    </w:p>
    <w:p w14:paraId="179202A5">
      <w:pPr>
        <w:spacing w:line="360" w:lineRule="exact"/>
        <w:ind w:firstLine="420" w:firstLineChars="200"/>
        <w:textAlignment w:val="center"/>
        <w:rPr>
          <w:szCs w:val="21"/>
        </w:rPr>
      </w:pPr>
      <w:r>
        <w:rPr>
          <w:szCs w:val="21"/>
        </w:rPr>
        <w:t>分摊系数＝粗铅工艺总能耗/（全厂总能耗－辅助用能）</w:t>
      </w:r>
    </w:p>
    <w:p w14:paraId="4530589C">
      <w:pPr>
        <w:spacing w:line="360" w:lineRule="exact"/>
        <w:ind w:firstLine="420" w:firstLineChars="200"/>
        <w:textAlignment w:val="center"/>
        <w:rPr>
          <w:szCs w:val="21"/>
        </w:rPr>
      </w:pPr>
      <w:r>
        <w:rPr>
          <w:szCs w:val="21"/>
        </w:rPr>
        <w:t>分母项：合格交库的矿产粗铅产出量。指合格交库的粗铅产量。矿产粗铅指用铅精矿作原料生产的矿产粗铅，不含开炉用粗铅和用铅碎料作原料生产的再生粗铅。</w:t>
      </w:r>
    </w:p>
    <w:p w14:paraId="2A391510">
      <w:pPr>
        <w:spacing w:line="360" w:lineRule="exact"/>
        <w:ind w:firstLine="420" w:firstLineChars="200"/>
        <w:textAlignment w:val="center"/>
        <w:rPr>
          <w:rFonts w:eastAsia="黑体"/>
          <w:szCs w:val="21"/>
        </w:rPr>
      </w:pPr>
      <w:r>
        <w:rPr>
          <w:rFonts w:eastAsia="黑体"/>
          <w:szCs w:val="21"/>
        </w:rPr>
        <w:t>单位铅冶炼综合能耗</w:t>
      </w:r>
    </w:p>
    <w:p w14:paraId="2E215083">
      <w:pPr>
        <w:spacing w:line="360" w:lineRule="exact"/>
        <w:ind w:left="4935" w:leftChars="0" w:hanging="4935" w:hangingChars="2350"/>
        <w:textAlignment w:val="center"/>
        <w:rPr>
          <w:szCs w:val="21"/>
        </w:rPr>
      </w:pPr>
      <w:r>
        <w:rPr>
          <w:rFonts w:hint="eastAsia"/>
          <w:szCs w:val="21"/>
          <w:lang w:val="en-US" w:eastAsia="zh-CN"/>
        </w:rPr>
        <w:t xml:space="preserve">    </w:t>
      </w:r>
      <w:r>
        <w:rPr>
          <w:szCs w:val="21"/>
        </w:rPr>
        <w:t>计算公式：单位铅冶炼综合能耗（千克标准煤/吨）＝1000×铅产品能源消耗总量（吨标准煤）/合格</w:t>
      </w:r>
    </w:p>
    <w:p w14:paraId="2E1EC2E0">
      <w:pPr>
        <w:spacing w:line="360" w:lineRule="exact"/>
        <w:ind w:left="75" w:leftChars="0" w:hanging="75" w:hangingChars="36"/>
        <w:textAlignment w:val="center"/>
        <w:rPr>
          <w:szCs w:val="21"/>
        </w:rPr>
      </w:pPr>
      <w:r>
        <w:rPr>
          <w:rFonts w:hint="eastAsia"/>
          <w:szCs w:val="21"/>
          <w:lang w:val="en-US" w:eastAsia="zh-CN"/>
        </w:rPr>
        <w:t xml:space="preserve">                                                  </w:t>
      </w:r>
      <w:r>
        <w:rPr>
          <w:szCs w:val="21"/>
        </w:rPr>
        <w:t>交库的铅产量（吨）</w:t>
      </w:r>
    </w:p>
    <w:p w14:paraId="669EF085">
      <w:pPr>
        <w:spacing w:line="360" w:lineRule="exact"/>
        <w:ind w:firstLine="420" w:firstLineChars="200"/>
        <w:textAlignment w:val="center"/>
        <w:rPr>
          <w:szCs w:val="21"/>
        </w:rPr>
      </w:pPr>
      <w:r>
        <w:rPr>
          <w:szCs w:val="21"/>
        </w:rPr>
        <w:t>分子项：铅产品能源消耗总量。包括电铅工艺用能量（动力+燃料）和辅助用能分摊量。</w:t>
      </w:r>
    </w:p>
    <w:p w14:paraId="4C166ADB">
      <w:pPr>
        <w:spacing w:line="360" w:lineRule="exact"/>
        <w:ind w:firstLine="420" w:firstLineChars="200"/>
        <w:textAlignment w:val="center"/>
        <w:rPr>
          <w:szCs w:val="21"/>
        </w:rPr>
      </w:pPr>
      <w:r>
        <w:rPr>
          <w:szCs w:val="21"/>
        </w:rPr>
        <w:t>辅助用能分摊量＝辅助用能×分摊系数</w:t>
      </w:r>
    </w:p>
    <w:p w14:paraId="225FF083">
      <w:pPr>
        <w:spacing w:line="360" w:lineRule="exact"/>
        <w:ind w:firstLine="420" w:firstLineChars="200"/>
        <w:textAlignment w:val="center"/>
        <w:rPr>
          <w:szCs w:val="21"/>
        </w:rPr>
      </w:pPr>
      <w:r>
        <w:rPr>
          <w:szCs w:val="21"/>
        </w:rPr>
        <w:t>分摊系数＝电铅工艺总能耗/（全厂总能耗－辅助用能）</w:t>
      </w:r>
    </w:p>
    <w:p w14:paraId="4A4AE718">
      <w:pPr>
        <w:spacing w:line="360" w:lineRule="exact"/>
        <w:ind w:right="0" w:firstLine="420"/>
        <w:textAlignment w:val="center"/>
        <w:rPr>
          <w:szCs w:val="21"/>
        </w:rPr>
      </w:pPr>
      <w:r>
        <w:rPr>
          <w:szCs w:val="21"/>
        </w:rPr>
        <w:t>分母项：合格交库的铅产量。指从处理铅精矿到产出合格交库的电铅产出量。铅按原料来源分为以铅精矿作原料生产的矿产铅（电铅或铅锭）、以再生铅（铅蓄电池）作原料生产的再生铅或再生铅合金锭（杂产铅或杂产铅合金锭）、以购买的粗铅作原料生产的铅（电铅或铅锭）。按经济用途分为电铅（铅锭）、商品精铅（经火法精炼铸型生产出的不需电解的铅锭）、铸造锡铅焊料折铅（铅</w:t>
      </w:r>
      <w:r>
        <w:rPr>
          <w:rFonts w:ascii="宋体" w:hAnsi="宋体"/>
          <w:szCs w:val="21"/>
        </w:rPr>
        <w:t>≥</w:t>
      </w:r>
      <w:r>
        <w:rPr>
          <w:szCs w:val="21"/>
        </w:rPr>
        <w:t>90%，不含用成品电铅或精铅作原料生产的焊料）、铅基合金（不含用成品电铅或精铅作原料生产的铅基合金，包括电缆护套铅和含铅大于99.13%的铅钙合金）。</w:t>
      </w:r>
    </w:p>
    <w:p w14:paraId="0B1999F4">
      <w:pPr>
        <w:spacing w:line="360" w:lineRule="exact"/>
        <w:ind w:firstLine="420" w:firstLineChars="200"/>
        <w:textAlignment w:val="center"/>
        <w:rPr>
          <w:rFonts w:eastAsia="黑体"/>
          <w:szCs w:val="21"/>
        </w:rPr>
      </w:pPr>
      <w:r>
        <w:rPr>
          <w:rFonts w:eastAsia="黑体"/>
          <w:szCs w:val="21"/>
        </w:rPr>
        <w:t>析出铅直流电单耗</w:t>
      </w:r>
    </w:p>
    <w:p w14:paraId="2B44E5E1">
      <w:pPr>
        <w:spacing w:line="360" w:lineRule="exact"/>
        <w:ind w:left="4305" w:leftChars="0" w:hanging="4305" w:hangingChars="2050"/>
        <w:textAlignment w:val="center"/>
        <w:rPr>
          <w:szCs w:val="21"/>
        </w:rPr>
      </w:pPr>
      <w:r>
        <w:rPr>
          <w:rFonts w:hint="eastAsia"/>
          <w:szCs w:val="21"/>
          <w:lang w:val="en-US" w:eastAsia="zh-CN"/>
        </w:rPr>
        <w:t xml:space="preserve">    </w:t>
      </w:r>
      <w:r>
        <w:rPr>
          <w:szCs w:val="21"/>
        </w:rPr>
        <w:t>计算公式：析出铅直流电单耗（千瓦时/吨）＝10000×直流电消耗总量（万千瓦时）/实际析出铅产</w:t>
      </w:r>
    </w:p>
    <w:p w14:paraId="56C48BDD">
      <w:pPr>
        <w:spacing w:line="360" w:lineRule="exact"/>
        <w:ind w:left="4305" w:leftChars="0" w:hanging="4305" w:hangingChars="2050"/>
        <w:textAlignment w:val="center"/>
        <w:rPr>
          <w:szCs w:val="21"/>
        </w:rPr>
      </w:pPr>
      <w:r>
        <w:rPr>
          <w:rFonts w:hint="eastAsia"/>
          <w:szCs w:val="21"/>
          <w:lang w:val="en-US" w:eastAsia="zh-CN"/>
        </w:rPr>
        <w:t xml:space="preserve">                                             </w:t>
      </w:r>
      <w:r>
        <w:rPr>
          <w:szCs w:val="21"/>
        </w:rPr>
        <w:t>量（吨）</w:t>
      </w:r>
    </w:p>
    <w:p w14:paraId="3840895D">
      <w:pPr>
        <w:spacing w:line="360" w:lineRule="exact"/>
        <w:ind w:firstLine="420" w:firstLineChars="200"/>
        <w:textAlignment w:val="center"/>
        <w:rPr>
          <w:szCs w:val="21"/>
        </w:rPr>
      </w:pPr>
      <w:r>
        <w:rPr>
          <w:szCs w:val="21"/>
        </w:rPr>
        <w:t>分子项：直流电消耗总量。包括线路损失电量和电解液净化槽耗电量。</w:t>
      </w:r>
    </w:p>
    <w:p w14:paraId="7F777D69">
      <w:pPr>
        <w:spacing w:line="360" w:lineRule="exact"/>
        <w:ind w:firstLine="420" w:firstLineChars="200"/>
        <w:textAlignment w:val="center"/>
        <w:rPr>
          <w:szCs w:val="21"/>
        </w:rPr>
      </w:pPr>
      <w:r>
        <w:rPr>
          <w:szCs w:val="21"/>
        </w:rPr>
        <w:t xml:space="preserve">分母项：实际析出铅产量。 </w:t>
      </w:r>
    </w:p>
    <w:p w14:paraId="6D07E71E">
      <w:pPr>
        <w:spacing w:line="360" w:lineRule="exact"/>
        <w:ind w:firstLine="420" w:firstLineChars="200"/>
        <w:textAlignment w:val="center"/>
        <w:rPr>
          <w:rFonts w:eastAsia="黑体"/>
          <w:szCs w:val="21"/>
        </w:rPr>
      </w:pPr>
      <w:r>
        <w:rPr>
          <w:rFonts w:eastAsia="黑体"/>
          <w:szCs w:val="21"/>
        </w:rPr>
        <w:t>蒸馏锌综合标准煤耗单耗</w:t>
      </w:r>
    </w:p>
    <w:p w14:paraId="3644ED32">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计算公式：蒸馏锌综合标准煤耗单耗（千克标准煤/吨）＝1000×蒸馏锌综合标准煤消耗总量（吨标</w:t>
      </w:r>
    </w:p>
    <w:p w14:paraId="64FC85A9">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准煤）/合格蒸馏锌产量（吨）</w:t>
      </w:r>
    </w:p>
    <w:p w14:paraId="1B91A8BF">
      <w:pPr>
        <w:spacing w:line="360" w:lineRule="exact"/>
        <w:ind w:firstLine="420" w:firstLineChars="200"/>
        <w:textAlignment w:val="center"/>
        <w:rPr>
          <w:szCs w:val="21"/>
        </w:rPr>
      </w:pPr>
      <w:r>
        <w:rPr>
          <w:szCs w:val="21"/>
        </w:rPr>
        <w:t>分子项：蒸馏锌综合标准煤消耗总量。包括煤炭、焦炭、重油、蒸汽等的消费（标准煤），蒸汽用煤（标准煤）应减去沸腾炉回收余热蒸汽（标准煤）。</w:t>
      </w:r>
    </w:p>
    <w:p w14:paraId="72BC9A57">
      <w:pPr>
        <w:spacing w:line="360" w:lineRule="exact"/>
        <w:ind w:firstLine="420" w:firstLineChars="200"/>
        <w:textAlignment w:val="center"/>
        <w:rPr>
          <w:szCs w:val="21"/>
        </w:rPr>
      </w:pPr>
      <w:r>
        <w:rPr>
          <w:szCs w:val="21"/>
        </w:rPr>
        <w:t>分母项：合格蒸馏锌产量。指交库的合格蒸馏锌产量。</w:t>
      </w:r>
    </w:p>
    <w:p w14:paraId="5FE57F02">
      <w:pPr>
        <w:spacing w:line="360" w:lineRule="exact"/>
        <w:ind w:firstLine="420" w:firstLineChars="200"/>
        <w:textAlignment w:val="center"/>
        <w:rPr>
          <w:rFonts w:eastAsia="黑体"/>
          <w:szCs w:val="21"/>
        </w:rPr>
      </w:pPr>
      <w:r>
        <w:rPr>
          <w:rFonts w:eastAsia="黑体"/>
          <w:szCs w:val="21"/>
        </w:rPr>
        <w:t>单位精锌（电锌）综合能耗</w:t>
      </w:r>
    </w:p>
    <w:p w14:paraId="7E3AF1CA">
      <w:pPr>
        <w:spacing w:line="360" w:lineRule="exact"/>
        <w:ind w:left="5247" w:leftChars="0" w:hanging="5247" w:hangingChars="2650"/>
        <w:textAlignment w:val="center"/>
        <w:rPr>
          <w:spacing w:val="-6"/>
          <w:szCs w:val="21"/>
        </w:rPr>
      </w:pPr>
      <w:r>
        <w:rPr>
          <w:rFonts w:hint="eastAsia"/>
          <w:spacing w:val="-6"/>
          <w:szCs w:val="21"/>
          <w:lang w:val="en-US" w:eastAsia="zh-CN"/>
        </w:rPr>
        <w:t xml:space="preserve">    </w:t>
      </w:r>
      <w:r>
        <w:rPr>
          <w:spacing w:val="-6"/>
          <w:szCs w:val="21"/>
        </w:rPr>
        <w:t>计算公式：单位精锌（电锌）综合能耗（千克标准煤/吨）＝1000×精锌（电锌）产品能源消耗总量（吨标</w:t>
      </w:r>
    </w:p>
    <w:p w14:paraId="53B6AC0D">
      <w:pPr>
        <w:spacing w:line="360" w:lineRule="exact"/>
        <w:ind w:left="108" w:leftChars="0" w:hanging="108" w:hangingChars="55"/>
        <w:textAlignment w:val="center"/>
        <w:rPr>
          <w:spacing w:val="-6"/>
          <w:szCs w:val="21"/>
        </w:rPr>
      </w:pPr>
      <w:r>
        <w:rPr>
          <w:rFonts w:hint="eastAsia"/>
          <w:spacing w:val="-6"/>
          <w:szCs w:val="21"/>
          <w:lang w:val="en-US" w:eastAsia="zh-CN"/>
        </w:rPr>
        <w:t xml:space="preserve">                                                            </w:t>
      </w:r>
      <w:r>
        <w:rPr>
          <w:spacing w:val="-6"/>
          <w:szCs w:val="21"/>
        </w:rPr>
        <w:t>准煤）/合格交库的精锌（电锌）产量（吨）</w:t>
      </w:r>
    </w:p>
    <w:p w14:paraId="52CD3E89">
      <w:pPr>
        <w:spacing w:line="360" w:lineRule="exact"/>
        <w:ind w:firstLine="420" w:firstLineChars="200"/>
        <w:textAlignment w:val="center"/>
        <w:rPr>
          <w:szCs w:val="21"/>
        </w:rPr>
      </w:pPr>
      <w:r>
        <w:rPr>
          <w:szCs w:val="21"/>
        </w:rPr>
        <w:t>分子项：精锌（电锌）产品能源消耗总量。指精锌（电锌）工艺能源消耗量（动力+燃料）和辅助用能分摊量。</w:t>
      </w:r>
    </w:p>
    <w:p w14:paraId="2961FB45">
      <w:pPr>
        <w:spacing w:line="360" w:lineRule="exact"/>
        <w:ind w:firstLine="420" w:firstLineChars="200"/>
        <w:textAlignment w:val="center"/>
        <w:rPr>
          <w:szCs w:val="21"/>
        </w:rPr>
      </w:pPr>
      <w:r>
        <w:rPr>
          <w:szCs w:val="21"/>
        </w:rPr>
        <w:t>辅助用能分摊量＝辅助用能×分摊系数</w:t>
      </w:r>
    </w:p>
    <w:p w14:paraId="4FF247CA">
      <w:pPr>
        <w:spacing w:line="360" w:lineRule="exact"/>
        <w:ind w:firstLine="420" w:firstLineChars="200"/>
        <w:textAlignment w:val="center"/>
        <w:rPr>
          <w:szCs w:val="21"/>
        </w:rPr>
      </w:pPr>
      <w:r>
        <w:rPr>
          <w:szCs w:val="21"/>
        </w:rPr>
        <w:t>分摊系数＝精锌（电锌）工艺总能耗/（全厂总能耗－辅助用能）</w:t>
      </w:r>
    </w:p>
    <w:p w14:paraId="724B7887">
      <w:pPr>
        <w:spacing w:line="360" w:lineRule="exact"/>
        <w:ind w:firstLine="420" w:firstLineChars="200"/>
        <w:textAlignment w:val="center"/>
        <w:rPr>
          <w:szCs w:val="21"/>
        </w:rPr>
      </w:pPr>
      <w:r>
        <w:rPr>
          <w:szCs w:val="21"/>
        </w:rPr>
        <w:t>分母项：合格交库的精锌（电锌）产量。指从处理锌精矿到产出合格交库的精锌（电锌）产出量。</w:t>
      </w:r>
    </w:p>
    <w:p w14:paraId="306AC3A0">
      <w:pPr>
        <w:spacing w:line="360" w:lineRule="exact"/>
        <w:ind w:firstLine="420" w:firstLineChars="200"/>
        <w:textAlignment w:val="center"/>
        <w:rPr>
          <w:szCs w:val="21"/>
        </w:rPr>
      </w:pPr>
      <w:r>
        <w:rPr>
          <w:szCs w:val="21"/>
        </w:rPr>
        <w:t>火法和湿法炼锌均采用此办法。</w:t>
      </w:r>
    </w:p>
    <w:p w14:paraId="59D6F5B8">
      <w:pPr>
        <w:spacing w:line="360" w:lineRule="exact"/>
        <w:ind w:firstLine="420" w:firstLineChars="200"/>
        <w:textAlignment w:val="center"/>
        <w:rPr>
          <w:rFonts w:eastAsia="黑体"/>
          <w:szCs w:val="21"/>
        </w:rPr>
      </w:pPr>
      <w:r>
        <w:rPr>
          <w:rFonts w:eastAsia="黑体"/>
          <w:szCs w:val="21"/>
        </w:rPr>
        <w:t>析出锌（湿法）直流电单耗</w:t>
      </w:r>
    </w:p>
    <w:p w14:paraId="2D644CAB">
      <w:pPr>
        <w:spacing w:line="360" w:lineRule="exact"/>
        <w:ind w:left="5159" w:leftChars="0" w:hanging="5159" w:hangingChars="2457"/>
        <w:textAlignment w:val="center"/>
        <w:rPr>
          <w:szCs w:val="21"/>
        </w:rPr>
      </w:pPr>
      <w:r>
        <w:rPr>
          <w:rFonts w:hint="eastAsia"/>
          <w:szCs w:val="21"/>
          <w:lang w:val="en-US" w:eastAsia="zh-CN"/>
        </w:rPr>
        <w:t xml:space="preserve">    </w:t>
      </w:r>
      <w:r>
        <w:rPr>
          <w:szCs w:val="21"/>
        </w:rPr>
        <w:t>计算公式：析出锌（湿法）直流电单耗（千瓦时/吨）＝10000×直流电消耗总量（万千瓦时）/实际</w:t>
      </w:r>
    </w:p>
    <w:p w14:paraId="668CA6E2">
      <w:pPr>
        <w:spacing w:line="360" w:lineRule="exact"/>
        <w:ind w:left="5159" w:leftChars="0" w:hanging="5159" w:hangingChars="2457"/>
        <w:textAlignment w:val="center"/>
        <w:rPr>
          <w:szCs w:val="21"/>
        </w:rPr>
      </w:pPr>
      <w:r>
        <w:rPr>
          <w:rFonts w:hint="eastAsia"/>
          <w:szCs w:val="21"/>
          <w:lang w:val="en-US" w:eastAsia="zh-CN"/>
        </w:rPr>
        <w:t xml:space="preserve">                                                     </w:t>
      </w:r>
      <w:r>
        <w:rPr>
          <w:szCs w:val="21"/>
        </w:rPr>
        <w:t xml:space="preserve">析出锌产量（吨）  </w:t>
      </w:r>
    </w:p>
    <w:p w14:paraId="6244652E">
      <w:pPr>
        <w:spacing w:line="360" w:lineRule="exact"/>
        <w:ind w:firstLine="420" w:firstLineChars="200"/>
        <w:textAlignment w:val="center"/>
        <w:rPr>
          <w:szCs w:val="21"/>
        </w:rPr>
      </w:pPr>
      <w:r>
        <w:rPr>
          <w:szCs w:val="21"/>
        </w:rPr>
        <w:t>分子项：直流电消耗总量包括线路损失电量和电解液净化槽耗电量。</w:t>
      </w:r>
    </w:p>
    <w:p w14:paraId="0D9BCAC5">
      <w:pPr>
        <w:spacing w:line="360" w:lineRule="exact"/>
        <w:ind w:firstLine="420" w:firstLineChars="200"/>
        <w:textAlignment w:val="center"/>
        <w:rPr>
          <w:szCs w:val="21"/>
        </w:rPr>
      </w:pPr>
      <w:r>
        <w:rPr>
          <w:szCs w:val="21"/>
        </w:rPr>
        <w:t>分母项：实际析出锌产量。</w:t>
      </w:r>
    </w:p>
    <w:p w14:paraId="5CDC35E8">
      <w:pPr>
        <w:spacing w:line="360" w:lineRule="exact"/>
        <w:ind w:firstLine="420" w:firstLineChars="200"/>
        <w:textAlignment w:val="center"/>
        <w:rPr>
          <w:rFonts w:eastAsia="黑体"/>
          <w:bCs/>
          <w:szCs w:val="21"/>
        </w:rPr>
      </w:pPr>
    </w:p>
    <w:p w14:paraId="309A4388">
      <w:pPr>
        <w:spacing w:line="360" w:lineRule="exact"/>
        <w:ind w:firstLine="420" w:firstLineChars="200"/>
        <w:textAlignment w:val="center"/>
        <w:rPr>
          <w:rFonts w:eastAsia="黑体"/>
          <w:bCs/>
          <w:szCs w:val="21"/>
        </w:rPr>
      </w:pPr>
      <w:r>
        <w:rPr>
          <w:rFonts w:eastAsia="黑体"/>
          <w:bCs/>
          <w:szCs w:val="21"/>
        </w:rPr>
        <w:t>有色金属材（32）</w:t>
      </w:r>
    </w:p>
    <w:p w14:paraId="485F2A07">
      <w:pPr>
        <w:spacing w:line="360" w:lineRule="exact"/>
        <w:ind w:firstLine="420" w:firstLineChars="200"/>
        <w:textAlignment w:val="center"/>
        <w:rPr>
          <w:rFonts w:eastAsia="黑体"/>
          <w:szCs w:val="21"/>
        </w:rPr>
      </w:pPr>
      <w:r>
        <w:rPr>
          <w:rFonts w:eastAsia="黑体"/>
          <w:szCs w:val="21"/>
        </w:rPr>
        <w:t>吨铜加工材消耗电量</w:t>
      </w:r>
    </w:p>
    <w:p w14:paraId="53C4DC91">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计算公式：吨铜加工材消耗电量（千瓦时/吨）＝10000×铜加工材用电消耗总量（万千瓦时）/合格</w:t>
      </w:r>
    </w:p>
    <w:p w14:paraId="330FF292">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 xml:space="preserve">交库的铜材产量（吨）  </w:t>
      </w:r>
    </w:p>
    <w:p w14:paraId="5490671D">
      <w:pPr>
        <w:spacing w:line="360" w:lineRule="exact"/>
        <w:ind w:firstLine="420" w:firstLineChars="200"/>
        <w:textAlignment w:val="center"/>
        <w:rPr>
          <w:szCs w:val="21"/>
        </w:rPr>
      </w:pPr>
      <w:r>
        <w:rPr>
          <w:szCs w:val="21"/>
        </w:rPr>
        <w:t>分子项：铜加工材用电消耗总量。包括铜加工生产分厂（车间）、辅助分厂（车间）和附属单位所消耗的电量，以及按比例分摊的线路损失电量；不包括铜深加工产品消耗的电量、基建及专供其他单位的用电。</w:t>
      </w:r>
    </w:p>
    <w:p w14:paraId="426C906E">
      <w:pPr>
        <w:spacing w:line="360" w:lineRule="exact"/>
        <w:ind w:firstLine="420" w:firstLineChars="200"/>
        <w:textAlignment w:val="center"/>
        <w:rPr>
          <w:szCs w:val="21"/>
        </w:rPr>
      </w:pPr>
      <w:r>
        <w:rPr>
          <w:szCs w:val="21"/>
        </w:rPr>
        <w:t>分母项：合格交库铜材产量。包括自用量，不包括深加工产品产量。</w:t>
      </w:r>
    </w:p>
    <w:p w14:paraId="06F73C57">
      <w:pPr>
        <w:spacing w:line="360" w:lineRule="exact"/>
        <w:ind w:firstLine="420" w:firstLineChars="200"/>
        <w:textAlignment w:val="center"/>
        <w:rPr>
          <w:rFonts w:eastAsia="黑体"/>
          <w:szCs w:val="21"/>
        </w:rPr>
      </w:pPr>
      <w:r>
        <w:rPr>
          <w:rFonts w:eastAsia="黑体"/>
          <w:szCs w:val="21"/>
        </w:rPr>
        <w:t>吨铜加工材消耗能源量</w:t>
      </w:r>
    </w:p>
    <w:p w14:paraId="3640A120">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计算公式：吨铜加工材消耗能源量（千克标准煤/吨）＝1000×铜加工材能源消耗总量（吨标准煤）</w:t>
      </w:r>
    </w:p>
    <w:p w14:paraId="0E432363">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/合格交库的铜材产量（吨）</w:t>
      </w:r>
    </w:p>
    <w:p w14:paraId="52644C6E">
      <w:pPr>
        <w:spacing w:line="360" w:lineRule="exact"/>
        <w:ind w:right="0" w:firstLine="420"/>
        <w:textAlignment w:val="center"/>
        <w:rPr>
          <w:szCs w:val="21"/>
        </w:rPr>
      </w:pPr>
      <w:r>
        <w:rPr>
          <w:szCs w:val="21"/>
        </w:rPr>
        <w:t>分子项：铜加工材能源消耗总量。包括铜加工生产分厂（车间）、辅助分厂（车间）和附属单位所消耗的能源，能源亏损量应计入能耗。不包括深加工产品耗能、基建、改造用能和专供其他单位的用能。计量单位为吨标准煤。</w:t>
      </w:r>
    </w:p>
    <w:p w14:paraId="0548C3BF">
      <w:pPr>
        <w:spacing w:line="360" w:lineRule="exact"/>
        <w:ind w:firstLine="420" w:firstLineChars="200"/>
        <w:textAlignment w:val="center"/>
        <w:rPr>
          <w:szCs w:val="21"/>
        </w:rPr>
      </w:pPr>
      <w:r>
        <w:rPr>
          <w:szCs w:val="21"/>
        </w:rPr>
        <w:t>分母项：合格交库铜材产量。说明同上。</w:t>
      </w:r>
    </w:p>
    <w:p w14:paraId="460FD8EE">
      <w:pPr>
        <w:spacing w:line="360" w:lineRule="exact"/>
        <w:ind w:firstLine="420" w:firstLineChars="200"/>
        <w:textAlignment w:val="center"/>
        <w:rPr>
          <w:szCs w:val="21"/>
        </w:rPr>
      </w:pPr>
      <w:r>
        <w:rPr>
          <w:szCs w:val="21"/>
        </w:rPr>
        <w:t>铜材指用精炼铜和直接利用再生铜作原料，经挤压、锻造、轧制、或拉伸生产的铜加工产品。铜加工产品按形状、尺寸不同可分为：板材、带材、管材、棒材、线材、型材、箔材、锻件等加工材产品。</w:t>
      </w:r>
    </w:p>
    <w:p w14:paraId="5887DF3D">
      <w:pPr>
        <w:spacing w:line="360" w:lineRule="exact"/>
        <w:ind w:firstLine="420" w:firstLineChars="200"/>
        <w:textAlignment w:val="center"/>
        <w:rPr>
          <w:rFonts w:eastAsia="黑体"/>
          <w:szCs w:val="21"/>
        </w:rPr>
      </w:pPr>
      <w:r>
        <w:rPr>
          <w:rFonts w:eastAsia="黑体"/>
          <w:szCs w:val="21"/>
        </w:rPr>
        <w:t>吨铝加工材消耗电量</w:t>
      </w:r>
    </w:p>
    <w:p w14:paraId="12107109">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计算公式：吨铝加工材消耗电量（千瓦时/吨）＝10000×铝加工材用电消耗总量（万千瓦时）/合格</w:t>
      </w:r>
    </w:p>
    <w:p w14:paraId="39063EAD">
      <w:pPr>
        <w:spacing w:line="360" w:lineRule="exact"/>
        <w:ind w:left="4515" w:leftChars="0" w:hanging="4515" w:hangingChars="2150"/>
        <w:textAlignment w:val="center"/>
        <w:rPr>
          <w:szCs w:val="21"/>
        </w:rPr>
      </w:pPr>
      <w:r>
        <w:rPr>
          <w:rFonts w:hint="eastAsia"/>
          <w:szCs w:val="21"/>
          <w:lang w:val="en-US" w:eastAsia="zh-CN"/>
        </w:rPr>
        <w:t xml:space="preserve">                                               </w:t>
      </w:r>
      <w:r>
        <w:rPr>
          <w:szCs w:val="21"/>
        </w:rPr>
        <w:t xml:space="preserve">交库的铝材产量（吨）  </w:t>
      </w:r>
    </w:p>
    <w:p w14:paraId="0F7D3376">
      <w:pPr>
        <w:spacing w:line="360" w:lineRule="exact"/>
        <w:ind w:firstLine="420" w:firstLineChars="200"/>
        <w:textAlignment w:val="center"/>
        <w:rPr>
          <w:szCs w:val="21"/>
        </w:rPr>
      </w:pPr>
      <w:r>
        <w:rPr>
          <w:szCs w:val="21"/>
        </w:rPr>
        <w:t>分子项：铝加工材用电消耗总量。包括铝加工生产分厂（车间），辅助分厂（车间）和附属单位所消耗的电量，以及按比例分摊的线路损失电量。不包括铝深加工产品所消耗的电量、基建及专供其他单位用电。</w:t>
      </w:r>
    </w:p>
    <w:p w14:paraId="6843E5A8">
      <w:pPr>
        <w:spacing w:line="360" w:lineRule="exact"/>
        <w:ind w:firstLine="420" w:firstLineChars="200"/>
        <w:textAlignment w:val="center"/>
        <w:rPr>
          <w:szCs w:val="21"/>
        </w:rPr>
      </w:pPr>
      <w:r>
        <w:rPr>
          <w:szCs w:val="21"/>
        </w:rPr>
        <w:t>分母项：合格交库的铝材产量。包括自用量，不包括深加工产品产量。</w:t>
      </w:r>
    </w:p>
    <w:p w14:paraId="6FB748B0">
      <w:pPr>
        <w:spacing w:line="360" w:lineRule="exact"/>
        <w:ind w:firstLine="420" w:firstLineChars="200"/>
        <w:textAlignment w:val="center"/>
        <w:rPr>
          <w:rFonts w:eastAsia="黑体"/>
          <w:szCs w:val="21"/>
        </w:rPr>
      </w:pPr>
      <w:r>
        <w:rPr>
          <w:szCs w:val="21"/>
        </w:rPr>
        <w:t>铝材指用铝液、电解铝锭、铝合金锭及直接利用的再生铝作原料，经挤压、锻造、轧制、或拉伸生产的铝加工产品。铝加工产品按形状、尺寸不同可分为：板材、带材、管材、棒材、线材、型材、箔材、排材、锻件等铝加工材产品。</w:t>
      </w:r>
    </w:p>
    <w:p w14:paraId="364466C5">
      <w:pPr>
        <w:spacing w:line="360" w:lineRule="exact"/>
        <w:ind w:firstLine="420" w:firstLineChars="200"/>
        <w:textAlignment w:val="center"/>
        <w:rPr>
          <w:rFonts w:eastAsia="黑体"/>
          <w:szCs w:val="21"/>
        </w:rPr>
      </w:pPr>
      <w:r>
        <w:rPr>
          <w:rFonts w:eastAsia="黑体"/>
          <w:szCs w:val="21"/>
        </w:rPr>
        <w:t>吨铝加工材消耗能源量</w:t>
      </w:r>
    </w:p>
    <w:p w14:paraId="2D692C3E">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计算公式：吨铝加工材消耗能源量（千克标准煤/吨）＝1000×铝加工材能源消耗总量（吨标准）/</w:t>
      </w:r>
    </w:p>
    <w:p w14:paraId="44897BC7">
      <w:pPr>
        <w:spacing w:line="360" w:lineRule="exact"/>
        <w:ind w:left="5145" w:leftChars="0" w:hanging="5145" w:hangingChars="2450"/>
        <w:textAlignment w:val="center"/>
        <w:rPr>
          <w:szCs w:val="21"/>
        </w:rPr>
      </w:pPr>
      <w:r>
        <w:rPr>
          <w:rFonts w:hint="eastAsia"/>
          <w:szCs w:val="21"/>
          <w:lang w:val="en-US" w:eastAsia="zh-CN"/>
        </w:rPr>
        <w:t xml:space="preserve">                                                     </w:t>
      </w:r>
      <w:r>
        <w:rPr>
          <w:szCs w:val="21"/>
        </w:rPr>
        <w:t xml:space="preserve">合格交库的铝材产量（吨）  </w:t>
      </w:r>
    </w:p>
    <w:p w14:paraId="58876DFA">
      <w:pPr>
        <w:spacing w:line="360" w:lineRule="exact"/>
        <w:ind w:firstLine="420" w:firstLineChars="200"/>
        <w:textAlignment w:val="center"/>
        <w:rPr>
          <w:szCs w:val="21"/>
        </w:rPr>
      </w:pPr>
      <w:r>
        <w:rPr>
          <w:szCs w:val="21"/>
        </w:rPr>
        <w:t>分子项：铝加工材能源消耗总量。包括铝加工生产、辅助单位和附属单位能源消耗的总和，能源亏损量要计入消耗量内。不包括深加工产品耗能以及基建、改造用能和专供其他单位的用能。计量单位为吨标准煤。</w:t>
      </w:r>
    </w:p>
    <w:p w14:paraId="715AEF93">
      <w:pPr>
        <w:spacing w:line="360" w:lineRule="exact"/>
        <w:ind w:firstLine="420" w:firstLineChars="200"/>
        <w:textAlignment w:val="center"/>
        <w:rPr>
          <w:szCs w:val="21"/>
        </w:rPr>
      </w:pPr>
      <w:r>
        <w:rPr>
          <w:szCs w:val="21"/>
        </w:rPr>
        <w:t>分母项：合格交库的铝材产量。说明同上。</w:t>
      </w:r>
    </w:p>
    <w:p w14:paraId="494CF93B">
      <w:pPr>
        <w:spacing w:line="360" w:lineRule="exact"/>
        <w:ind w:firstLine="420" w:firstLineChars="200"/>
        <w:textAlignment w:val="center"/>
        <w:rPr>
          <w:rFonts w:eastAsia="黑体"/>
          <w:bCs/>
          <w:szCs w:val="21"/>
        </w:rPr>
      </w:pPr>
    </w:p>
    <w:p w14:paraId="6E27DE7C">
      <w:pPr>
        <w:spacing w:line="360" w:lineRule="exact"/>
        <w:ind w:firstLine="420" w:firstLineChars="200"/>
        <w:textAlignment w:val="center"/>
        <w:rPr>
          <w:rFonts w:eastAsia="黑体"/>
          <w:bCs/>
          <w:szCs w:val="21"/>
        </w:rPr>
      </w:pPr>
      <w:r>
        <w:rPr>
          <w:rFonts w:eastAsia="黑体"/>
          <w:bCs/>
          <w:szCs w:val="21"/>
        </w:rPr>
        <w:t>火力发电（44）</w:t>
      </w:r>
    </w:p>
    <w:p w14:paraId="03606049">
      <w:pPr>
        <w:spacing w:line="360" w:lineRule="exact"/>
        <w:ind w:firstLine="420" w:firstLineChars="200"/>
        <w:textAlignment w:val="center"/>
        <w:rPr>
          <w:rFonts w:eastAsia="黑体"/>
          <w:szCs w:val="21"/>
        </w:rPr>
      </w:pPr>
      <w:r>
        <w:rPr>
          <w:rFonts w:eastAsia="黑体"/>
          <w:szCs w:val="21"/>
        </w:rPr>
        <w:t>电厂火力发电标准煤耗</w:t>
      </w:r>
    </w:p>
    <w:p w14:paraId="6BA72997">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计算公式：电厂火力发电标准煤耗（克标准煤/千瓦时）＝100×发电耗用标准煤量（吨标准煤）/火</w:t>
      </w:r>
    </w:p>
    <w:p w14:paraId="65CC9CC1">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力发电量（万千瓦时）</w:t>
      </w:r>
    </w:p>
    <w:p w14:paraId="57B015C8">
      <w:pPr>
        <w:spacing w:line="360" w:lineRule="exact"/>
        <w:ind w:firstLine="420" w:firstLineChars="200"/>
        <w:textAlignment w:val="center"/>
        <w:rPr>
          <w:szCs w:val="21"/>
        </w:rPr>
      </w:pPr>
      <w:r>
        <w:rPr>
          <w:szCs w:val="21"/>
        </w:rPr>
        <w:t>分子项：发电耗用标准煤量。指发电生产耗用的原煤、燃料油和燃气等（标准煤）。不包括如下用项：</w:t>
      </w:r>
    </w:p>
    <w:p w14:paraId="50CE0C5D">
      <w:pPr>
        <w:spacing w:line="360" w:lineRule="exact"/>
        <w:ind w:firstLine="420" w:firstLineChars="200"/>
        <w:textAlignment w:val="center"/>
        <w:rPr>
          <w:szCs w:val="21"/>
        </w:rPr>
      </w:pPr>
      <w:r>
        <w:rPr>
          <w:szCs w:val="21"/>
        </w:rPr>
        <w:t>（1）新设备或大修后设备的烘炉、煮炉、暖风机、空载运行的用能；</w:t>
      </w:r>
    </w:p>
    <w:p w14:paraId="0DE0BBCF">
      <w:pPr>
        <w:spacing w:line="360" w:lineRule="exact"/>
        <w:ind w:firstLine="420" w:firstLineChars="200"/>
        <w:textAlignment w:val="center"/>
        <w:rPr>
          <w:szCs w:val="21"/>
        </w:rPr>
      </w:pPr>
      <w:r>
        <w:rPr>
          <w:szCs w:val="21"/>
        </w:rPr>
        <w:t>（2）新设备在未移交生产前的带负荷试运行期间的用能；</w:t>
      </w:r>
    </w:p>
    <w:p w14:paraId="11A66F2C">
      <w:pPr>
        <w:spacing w:line="360" w:lineRule="exact"/>
        <w:ind w:firstLine="420" w:firstLineChars="200"/>
        <w:textAlignment w:val="center"/>
        <w:rPr>
          <w:szCs w:val="21"/>
        </w:rPr>
      </w:pPr>
      <w:r>
        <w:rPr>
          <w:szCs w:val="21"/>
        </w:rPr>
        <w:t>（3）计划大修以及基建、更改工程施工的用能；</w:t>
      </w:r>
    </w:p>
    <w:p w14:paraId="3F9655E2">
      <w:pPr>
        <w:spacing w:line="360" w:lineRule="exact"/>
        <w:ind w:firstLine="420" w:firstLineChars="200"/>
        <w:textAlignment w:val="center"/>
        <w:rPr>
          <w:szCs w:val="21"/>
        </w:rPr>
      </w:pPr>
      <w:r>
        <w:rPr>
          <w:szCs w:val="21"/>
        </w:rPr>
        <w:t>（4）发电机作调相运行时耗用的用能；</w:t>
      </w:r>
    </w:p>
    <w:p w14:paraId="2FCA1B0D">
      <w:pPr>
        <w:spacing w:line="360" w:lineRule="exact"/>
        <w:ind w:firstLine="420" w:firstLineChars="200"/>
        <w:textAlignment w:val="center"/>
        <w:rPr>
          <w:szCs w:val="21"/>
        </w:rPr>
      </w:pPr>
      <w:r>
        <w:rPr>
          <w:szCs w:val="21"/>
        </w:rPr>
        <w:t>（5）自备机车、船舶等耗用的用能；</w:t>
      </w:r>
    </w:p>
    <w:p w14:paraId="561845E4">
      <w:pPr>
        <w:spacing w:line="360" w:lineRule="exact"/>
        <w:ind w:firstLine="420" w:firstLineChars="200"/>
        <w:textAlignment w:val="center"/>
        <w:rPr>
          <w:szCs w:val="21"/>
        </w:rPr>
      </w:pPr>
      <w:r>
        <w:rPr>
          <w:szCs w:val="21"/>
        </w:rPr>
        <w:t>（6）升、降压变压器（不包括厂用电变压器）、变波机、调相机等消耗的用能；</w:t>
      </w:r>
    </w:p>
    <w:p w14:paraId="19735A68">
      <w:pPr>
        <w:spacing w:line="360" w:lineRule="exact"/>
        <w:ind w:firstLine="420" w:firstLineChars="200"/>
        <w:textAlignment w:val="center"/>
        <w:rPr>
          <w:szCs w:val="21"/>
        </w:rPr>
      </w:pPr>
      <w:r>
        <w:rPr>
          <w:szCs w:val="21"/>
        </w:rPr>
        <w:t>（7）修配车间、车库、副业、综合利用、集体企业、外供及非生产用（食堂、宿舍、幼儿园、学校、医院、服务公司和办公室等）的燃料。</w:t>
      </w:r>
    </w:p>
    <w:p w14:paraId="3E0D289F">
      <w:pPr>
        <w:spacing w:line="360" w:lineRule="exact"/>
        <w:ind w:firstLine="420" w:firstLineChars="200"/>
        <w:textAlignment w:val="center"/>
        <w:rPr>
          <w:szCs w:val="21"/>
        </w:rPr>
      </w:pPr>
      <w:r>
        <w:rPr>
          <w:szCs w:val="21"/>
        </w:rPr>
        <w:t>发电企业对外供热，其</w:t>
      </w:r>
      <w:r>
        <w:rPr>
          <w:rFonts w:hint="eastAsia"/>
          <w:szCs w:val="21"/>
          <w:lang w:eastAsia="zh-CN"/>
        </w:rPr>
        <w:t>“</w:t>
      </w:r>
      <w:r>
        <w:rPr>
          <w:szCs w:val="21"/>
        </w:rPr>
        <w:t>发电耗用标准煤量</w:t>
      </w:r>
      <w:r>
        <w:rPr>
          <w:rFonts w:hint="eastAsia"/>
          <w:szCs w:val="21"/>
          <w:lang w:eastAsia="zh-CN"/>
        </w:rPr>
        <w:t>”</w:t>
      </w:r>
      <w:r>
        <w:rPr>
          <w:szCs w:val="21"/>
        </w:rPr>
        <w:t>计算方法如下：</w:t>
      </w:r>
    </w:p>
    <w:p w14:paraId="0702EC26">
      <w:pPr>
        <w:spacing w:line="360" w:lineRule="exact"/>
        <w:ind w:firstLine="420" w:firstLineChars="200"/>
        <w:textAlignment w:val="center"/>
        <w:rPr>
          <w:szCs w:val="21"/>
        </w:rPr>
      </w:pPr>
      <w:r>
        <w:rPr>
          <w:szCs w:val="21"/>
        </w:rPr>
        <w:t>发电耗用标准煤量＝发电、供热耗用标准煤量－供热耗用标准煤量</w:t>
      </w:r>
    </w:p>
    <w:p w14:paraId="19EDF12C">
      <w:pPr>
        <w:spacing w:line="360" w:lineRule="exact"/>
        <w:ind w:firstLine="420" w:firstLineChars="200"/>
        <w:textAlignment w:val="center"/>
        <w:rPr>
          <w:szCs w:val="21"/>
        </w:rPr>
      </w:pPr>
      <w:r>
        <w:rPr>
          <w:szCs w:val="21"/>
        </w:rPr>
        <w:t>式中</w:t>
      </w:r>
      <w:r>
        <w:rPr>
          <w:rFonts w:hint="eastAsia"/>
          <w:szCs w:val="21"/>
          <w:lang w:eastAsia="zh-CN"/>
        </w:rPr>
        <w:t>“</w:t>
      </w:r>
      <w:r>
        <w:rPr>
          <w:szCs w:val="21"/>
        </w:rPr>
        <w:t>供热耗用标准煤量</w:t>
      </w:r>
      <w:r>
        <w:rPr>
          <w:rFonts w:hint="eastAsia"/>
          <w:szCs w:val="21"/>
          <w:lang w:eastAsia="zh-CN"/>
        </w:rPr>
        <w:t>”</w:t>
      </w:r>
      <w:r>
        <w:rPr>
          <w:szCs w:val="21"/>
        </w:rPr>
        <w:t>的计算，根据不同的供热方式，分别采用如下计算方法：</w:t>
      </w:r>
    </w:p>
    <w:p w14:paraId="40DB1184">
      <w:pPr>
        <w:spacing w:line="360" w:lineRule="exact"/>
        <w:ind w:firstLine="420" w:firstLineChars="200"/>
        <w:textAlignment w:val="center"/>
        <w:rPr>
          <w:szCs w:val="21"/>
        </w:rPr>
      </w:pPr>
      <w:r>
        <w:rPr>
          <w:szCs w:val="21"/>
        </w:rPr>
        <w:t>（1）由供热式汽轮机组供热：</w:t>
      </w:r>
    </w:p>
    <w:p w14:paraId="7F3E1774">
      <w:pPr>
        <w:spacing w:line="360" w:lineRule="exact"/>
        <w:ind w:left="2442" w:leftChars="0" w:hanging="2442" w:hangingChars="1163"/>
        <w:textAlignment w:val="center"/>
        <w:rPr>
          <w:szCs w:val="21"/>
        </w:rPr>
      </w:pPr>
      <w:r>
        <w:rPr>
          <w:rFonts w:hint="eastAsia"/>
          <w:szCs w:val="21"/>
          <w:lang w:val="en-US" w:eastAsia="zh-CN"/>
        </w:rPr>
        <w:t xml:space="preserve">    </w:t>
      </w:r>
      <w:r>
        <w:rPr>
          <w:szCs w:val="21"/>
        </w:rPr>
        <w:t>供热耗用标准煤量（吨）＝发电、供热耗用标准煤量</w:t>
      </w:r>
      <w:r>
        <w:rPr>
          <w:rFonts w:hint="eastAsia" w:asciiTheme="minorEastAsia" w:hAnsiTheme="minorEastAsia" w:eastAsiaTheme="minorEastAsia" w:cstheme="minorEastAsia"/>
          <w:szCs w:val="21"/>
        </w:rPr>
        <w:t>×［</w:t>
      </w:r>
      <w:r>
        <w:rPr>
          <w:szCs w:val="21"/>
        </w:rPr>
        <w:t>供热量（百万千焦）/发电、供热总耗热量</w:t>
      </w:r>
    </w:p>
    <w:p w14:paraId="2449352F">
      <w:pPr>
        <w:spacing w:line="360" w:lineRule="exact"/>
        <w:ind w:left="2442" w:leftChars="0" w:hanging="2442" w:hangingChars="1163"/>
        <w:textAlignment w:val="center"/>
        <w:rPr>
          <w:szCs w:val="21"/>
        </w:rPr>
      </w:pPr>
      <w:r>
        <w:rPr>
          <w:rFonts w:hint="eastAsia"/>
          <w:szCs w:val="21"/>
          <w:lang w:val="en-US" w:eastAsia="zh-CN"/>
        </w:rPr>
        <w:t xml:space="preserve">                           </w:t>
      </w:r>
      <w:r>
        <w:rPr>
          <w:szCs w:val="21"/>
        </w:rPr>
        <w:t>（百万千焦）</w:t>
      </w:r>
      <w:r>
        <w:rPr>
          <w:rFonts w:hint="eastAsia" w:asciiTheme="minorEastAsia" w:hAnsiTheme="minorEastAsia" w:eastAsiaTheme="minorEastAsia" w:cstheme="minorEastAsia"/>
          <w:szCs w:val="21"/>
          <w:lang w:val="en"/>
        </w:rPr>
        <w:t>］</w:t>
      </w:r>
    </w:p>
    <w:p w14:paraId="7DBE049E">
      <w:pPr>
        <w:spacing w:line="360" w:lineRule="exact"/>
        <w:ind w:firstLine="420" w:firstLineChars="200"/>
        <w:textAlignment w:val="center"/>
        <w:rPr>
          <w:szCs w:val="21"/>
        </w:rPr>
      </w:pPr>
      <w:r>
        <w:rPr>
          <w:szCs w:val="21"/>
        </w:rPr>
        <w:t>（2）由锅炉直接供热：</w:t>
      </w:r>
    </w:p>
    <w:p w14:paraId="08B98C62">
      <w:pPr>
        <w:spacing w:line="360" w:lineRule="exact"/>
        <w:ind w:firstLine="420" w:firstLineChars="200"/>
        <w:textAlignment w:val="center"/>
        <w:rPr>
          <w:szCs w:val="21"/>
        </w:rPr>
      </w:pPr>
      <w:r>
        <w:rPr>
          <w:szCs w:val="21"/>
        </w:rPr>
        <w:t>供热耗用标准煤量（吨）＝锅炉供热量折标准煤量（吨）/锅炉热效率</w:t>
      </w:r>
    </w:p>
    <w:p w14:paraId="6CE21924">
      <w:pPr>
        <w:spacing w:line="360" w:lineRule="exact"/>
        <w:ind w:firstLine="420" w:firstLineChars="200"/>
        <w:textAlignment w:val="center"/>
        <w:rPr>
          <w:szCs w:val="21"/>
        </w:rPr>
      </w:pPr>
      <w:r>
        <w:rPr>
          <w:szCs w:val="21"/>
        </w:rPr>
        <w:t>分母项：火力发电量。指报告期内火力发电厂生产的电量，扣除试运行期间的电量。</w:t>
      </w:r>
    </w:p>
    <w:p w14:paraId="23FBB4F8">
      <w:pPr>
        <w:spacing w:line="360" w:lineRule="exact"/>
        <w:ind w:firstLine="420" w:firstLineChars="200"/>
        <w:textAlignment w:val="center"/>
        <w:rPr>
          <w:rFonts w:eastAsia="黑体"/>
          <w:szCs w:val="21"/>
        </w:rPr>
      </w:pPr>
      <w:r>
        <w:rPr>
          <w:rFonts w:eastAsia="黑体"/>
          <w:szCs w:val="21"/>
        </w:rPr>
        <w:t>电厂火力供电标准煤耗</w:t>
      </w:r>
    </w:p>
    <w:p w14:paraId="2502D00B">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计算公式：电厂火力供电标准煤耗（克标准煤/千瓦时）＝100×发电耗用标准煤量（吨标准煤）/电</w:t>
      </w:r>
    </w:p>
    <w:p w14:paraId="57DAB54A">
      <w:pPr>
        <w:spacing w:line="360" w:lineRule="exact"/>
        <w:ind w:left="5355" w:leftChars="0" w:hanging="5355" w:hangingChars="2550"/>
        <w:textAlignment w:val="center"/>
        <w:rPr>
          <w:szCs w:val="21"/>
        </w:rPr>
      </w:pPr>
      <w:r>
        <w:rPr>
          <w:rFonts w:hint="eastAsia"/>
          <w:szCs w:val="21"/>
          <w:lang w:val="en-US" w:eastAsia="zh-CN"/>
        </w:rPr>
        <w:t xml:space="preserve">                                                       </w:t>
      </w:r>
      <w:r>
        <w:rPr>
          <w:szCs w:val="21"/>
        </w:rPr>
        <w:t>厂供电量（万千瓦时）</w:t>
      </w:r>
    </w:p>
    <w:p w14:paraId="7DED34B4">
      <w:pPr>
        <w:spacing w:line="360" w:lineRule="exact"/>
        <w:ind w:firstLine="420" w:firstLineChars="200"/>
        <w:textAlignment w:val="center"/>
        <w:rPr>
          <w:szCs w:val="21"/>
        </w:rPr>
      </w:pPr>
      <w:r>
        <w:rPr>
          <w:szCs w:val="21"/>
        </w:rPr>
        <w:t>分子项：发电耗用标准煤量。说明同上。</w:t>
      </w:r>
    </w:p>
    <w:p w14:paraId="7A126947">
      <w:pPr>
        <w:spacing w:line="360" w:lineRule="exact"/>
        <w:ind w:firstLine="420" w:firstLineChars="200"/>
        <w:textAlignment w:val="center"/>
        <w:rPr>
          <w:szCs w:val="21"/>
        </w:rPr>
      </w:pPr>
      <w:r>
        <w:rPr>
          <w:szCs w:val="21"/>
        </w:rPr>
        <w:t>分母项：电厂供电量。即电厂火力发电量减去厂用电量。厂用电量包括电厂动力、照明、通风、取暖及经常维修等用电量，以及其他励磁用电量、设备属于电厂资产并由电厂负责其运行和检修的厂外输油管道系统、循环管道系统和除灰管道系统等用电量。厂用电量既包括本厂生产的电力供本厂生产耗用的电量，也包括购电量中供本厂使用的电量。</w:t>
      </w:r>
    </w:p>
    <w:p w14:paraId="3797ED49">
      <w:pPr>
        <w:spacing w:line="360" w:lineRule="exact"/>
        <w:ind w:firstLine="420" w:firstLineChars="200"/>
        <w:textAlignment w:val="center"/>
        <w:rPr>
          <w:szCs w:val="21"/>
        </w:rPr>
      </w:pPr>
      <w:r>
        <w:rPr>
          <w:szCs w:val="21"/>
        </w:rPr>
        <w:t>厂用电量不包括：</w:t>
      </w:r>
    </w:p>
    <w:p w14:paraId="531C00BA">
      <w:pPr>
        <w:spacing w:line="360" w:lineRule="exact"/>
        <w:ind w:firstLine="420" w:firstLineChars="200"/>
        <w:textAlignment w:val="center"/>
        <w:rPr>
          <w:szCs w:val="21"/>
        </w:rPr>
      </w:pPr>
      <w:r>
        <w:rPr>
          <w:szCs w:val="21"/>
        </w:rPr>
        <w:t>（1）新设备或大修后设备的烘炉、煮炉、暖风机、空载运行的用电；</w:t>
      </w:r>
    </w:p>
    <w:p w14:paraId="5053E7E9">
      <w:pPr>
        <w:spacing w:line="360" w:lineRule="exact"/>
        <w:ind w:firstLine="420" w:firstLineChars="200"/>
        <w:textAlignment w:val="center"/>
        <w:rPr>
          <w:szCs w:val="21"/>
        </w:rPr>
      </w:pPr>
      <w:r>
        <w:rPr>
          <w:szCs w:val="21"/>
        </w:rPr>
        <w:t>（2）新设备在未移交生产前的带负荷试运行期间的用电；</w:t>
      </w:r>
    </w:p>
    <w:p w14:paraId="716EB33C">
      <w:pPr>
        <w:spacing w:line="360" w:lineRule="exact"/>
        <w:ind w:firstLine="420" w:firstLineChars="200"/>
        <w:textAlignment w:val="center"/>
        <w:rPr>
          <w:szCs w:val="21"/>
        </w:rPr>
      </w:pPr>
      <w:r>
        <w:rPr>
          <w:szCs w:val="21"/>
        </w:rPr>
        <w:t>（3）计划大修以及基建、更改工程施工用电；</w:t>
      </w:r>
    </w:p>
    <w:p w14:paraId="78AA7350">
      <w:pPr>
        <w:spacing w:line="360" w:lineRule="exact"/>
        <w:ind w:firstLine="420" w:firstLineChars="200"/>
        <w:textAlignment w:val="center"/>
        <w:rPr>
          <w:szCs w:val="21"/>
        </w:rPr>
      </w:pPr>
      <w:r>
        <w:rPr>
          <w:szCs w:val="21"/>
        </w:rPr>
        <w:t>（4）发电机作调相运行时的用电；</w:t>
      </w:r>
    </w:p>
    <w:p w14:paraId="49B4A42F">
      <w:pPr>
        <w:spacing w:line="360" w:lineRule="exact"/>
        <w:ind w:firstLine="420" w:firstLineChars="200"/>
        <w:textAlignment w:val="center"/>
        <w:rPr>
          <w:szCs w:val="21"/>
        </w:rPr>
      </w:pPr>
      <w:r>
        <w:rPr>
          <w:szCs w:val="21"/>
        </w:rPr>
        <w:t>（5）自备机车、船舶等的用电；</w:t>
      </w:r>
    </w:p>
    <w:p w14:paraId="567CE64B">
      <w:pPr>
        <w:spacing w:line="360" w:lineRule="exact"/>
        <w:ind w:firstLine="420" w:firstLineChars="200"/>
        <w:textAlignment w:val="center"/>
        <w:rPr>
          <w:szCs w:val="21"/>
        </w:rPr>
      </w:pPr>
      <w:r>
        <w:rPr>
          <w:szCs w:val="21"/>
        </w:rPr>
        <w:t>（6）升、降压变压器（不包括厂用电变压器）、变波机、调相机等的用电；</w:t>
      </w:r>
    </w:p>
    <w:p w14:paraId="75BC009C">
      <w:pPr>
        <w:spacing w:line="360" w:lineRule="exact"/>
        <w:ind w:firstLine="420" w:firstLineChars="200"/>
        <w:textAlignment w:val="center"/>
        <w:rPr>
          <w:szCs w:val="21"/>
        </w:rPr>
      </w:pPr>
      <w:r>
        <w:rPr>
          <w:szCs w:val="21"/>
        </w:rPr>
        <w:t>（7）修配车间、车库、副业、综合利用、集体企业、外供及非生产（食堂、宿舍、幼儿园、学校、医院、服务公司和办公室等）的用电。</w:t>
      </w:r>
    </w:p>
    <w:p w14:paraId="3679B187">
      <w:pPr>
        <w:spacing w:line="360" w:lineRule="exact"/>
        <w:ind w:firstLine="420" w:firstLineChars="200"/>
        <w:textAlignment w:val="center"/>
        <w:rPr>
          <w:rFonts w:eastAsia="黑体"/>
          <w:szCs w:val="21"/>
        </w:rPr>
      </w:pPr>
      <w:r>
        <w:rPr>
          <w:rFonts w:eastAsia="黑体"/>
          <w:szCs w:val="21"/>
        </w:rPr>
        <w:t>发电厂用电率</w:t>
      </w:r>
    </w:p>
    <w:p w14:paraId="20406771">
      <w:pPr>
        <w:spacing w:line="360" w:lineRule="exact"/>
        <w:ind w:firstLine="420" w:firstLineChars="200"/>
        <w:textAlignment w:val="center"/>
        <w:rPr>
          <w:szCs w:val="21"/>
        </w:rPr>
      </w:pPr>
      <w:r>
        <w:rPr>
          <w:szCs w:val="21"/>
        </w:rPr>
        <w:t>计算公式：发电厂用电率（%）＝发电厂用电量（万千瓦时）/发电量（万千瓦时）×100%</w:t>
      </w:r>
    </w:p>
    <w:p w14:paraId="1B8DDBEB">
      <w:pPr>
        <w:snapToGrid w:val="0"/>
        <w:spacing w:before="0" w:beforeLines="0" w:after="0" w:afterLines="0" w:line="280" w:lineRule="exact"/>
        <w:ind w:firstLine="420" w:firstLineChars="200"/>
        <w:jc w:val="both"/>
        <w:outlineLvl w:val="9"/>
        <w:rPr>
          <w:rFonts w:hint="default"/>
          <w:sz w:val="18"/>
          <w:szCs w:val="21"/>
          <w:lang w:val="en-US" w:eastAsia="zh-CN"/>
        </w:rPr>
      </w:pPr>
      <w:r>
        <w:rPr>
          <w:szCs w:val="21"/>
        </w:rPr>
        <w:t>发电量、发电厂用电量说明同上。</w:t>
      </w:r>
    </w:p>
    <w:p w14:paraId="5E948A00">
      <w:pPr>
        <w:snapToGrid w:val="0"/>
        <w:spacing w:before="240" w:beforeLines="100" w:after="240" w:afterLines="100"/>
        <w:jc w:val="center"/>
        <w:outlineLvl w:val="1"/>
        <w:rPr>
          <w:rFonts w:eastAsia="黑体"/>
          <w:sz w:val="28"/>
          <w:szCs w:val="28"/>
        </w:rPr>
      </w:pPr>
      <w:r>
        <w:br w:type="page"/>
      </w:r>
      <w:r>
        <w:rPr>
          <w:rFonts w:eastAsia="黑体"/>
          <w:sz w:val="28"/>
          <w:szCs w:val="28"/>
        </w:rPr>
        <w:t>（三）能源生产、销售与库存目录</w:t>
      </w:r>
      <w:r>
        <w:rPr>
          <w:rFonts w:hint="eastAsia" w:eastAsia="黑体"/>
          <w:sz w:val="28"/>
          <w:szCs w:val="28"/>
        </w:rPr>
        <w:t>（</w:t>
      </w:r>
      <w:r>
        <w:rPr>
          <w:rFonts w:eastAsia="黑体"/>
          <w:sz w:val="28"/>
          <w:szCs w:val="28"/>
        </w:rPr>
        <w:t>205-6表</w:t>
      </w:r>
      <w:r>
        <w:rPr>
          <w:rFonts w:hint="eastAsia" w:eastAsia="黑体"/>
          <w:sz w:val="28"/>
          <w:szCs w:val="28"/>
        </w:rPr>
        <w:t>）</w:t>
      </w:r>
    </w:p>
    <w:tbl>
      <w:tblPr>
        <w:tblStyle w:val="20"/>
        <w:tblW w:w="9864" w:type="dxa"/>
        <w:jc w:val="center"/>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fixed"/>
        <w:tblCellMar>
          <w:top w:w="0" w:type="dxa"/>
          <w:left w:w="108" w:type="dxa"/>
          <w:bottom w:w="0" w:type="dxa"/>
          <w:right w:w="108" w:type="dxa"/>
        </w:tblCellMar>
      </w:tblPr>
      <w:tblGrid>
        <w:gridCol w:w="2665"/>
        <w:gridCol w:w="1020"/>
        <w:gridCol w:w="1134"/>
        <w:gridCol w:w="2891"/>
        <w:gridCol w:w="1020"/>
        <w:gridCol w:w="1134"/>
      </w:tblGrid>
      <w:tr w14:paraId="4240CFD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83" w:hRule="atLeast"/>
          <w:jc w:val="center"/>
        </w:trPr>
        <w:tc>
          <w:tcPr>
            <w:tcW w:w="2665" w:type="dxa"/>
            <w:tcBorders>
              <w:top w:val="single" w:color="auto" w:sz="8" w:space="0"/>
              <w:bottom w:val="single" w:color="auto" w:sz="2" w:space="0"/>
            </w:tcBorders>
            <w:shd w:val="clear" w:color="auto" w:fill="auto"/>
            <w:noWrap/>
            <w:tcMar>
              <w:left w:w="28" w:type="dxa"/>
              <w:right w:w="28" w:type="dxa"/>
            </w:tcMar>
            <w:vAlign w:val="center"/>
          </w:tcPr>
          <w:p w14:paraId="5265A944">
            <w:pPr>
              <w:widowControl/>
              <w:spacing w:line="240" w:lineRule="auto"/>
              <w:jc w:val="center"/>
              <w:rPr>
                <w:rFonts w:ascii="宋体" w:hAnsi="宋体"/>
                <w:kern w:val="0"/>
                <w:sz w:val="18"/>
                <w:szCs w:val="18"/>
              </w:rPr>
            </w:pPr>
            <w:r>
              <w:rPr>
                <w:rFonts w:ascii="宋体" w:hAnsi="宋体"/>
                <w:kern w:val="0"/>
                <w:sz w:val="18"/>
                <w:szCs w:val="18"/>
              </w:rPr>
              <w:t>能源名称</w:t>
            </w:r>
          </w:p>
        </w:tc>
        <w:tc>
          <w:tcPr>
            <w:tcW w:w="1020" w:type="dxa"/>
            <w:tcBorders>
              <w:top w:val="single" w:color="auto" w:sz="8" w:space="0"/>
              <w:bottom w:val="single" w:color="auto" w:sz="2" w:space="0"/>
            </w:tcBorders>
            <w:shd w:val="clear" w:color="auto" w:fill="auto"/>
            <w:noWrap/>
            <w:tcMar>
              <w:left w:w="28" w:type="dxa"/>
              <w:right w:w="28" w:type="dxa"/>
            </w:tcMar>
            <w:vAlign w:val="center"/>
          </w:tcPr>
          <w:p w14:paraId="2FC3C1BB">
            <w:pPr>
              <w:widowControl/>
              <w:spacing w:line="240" w:lineRule="auto"/>
              <w:jc w:val="center"/>
              <w:rPr>
                <w:rFonts w:ascii="宋体" w:hAnsi="宋体"/>
                <w:kern w:val="0"/>
                <w:sz w:val="18"/>
                <w:szCs w:val="18"/>
              </w:rPr>
            </w:pPr>
            <w:r>
              <w:rPr>
                <w:rFonts w:ascii="宋体" w:hAnsi="宋体"/>
                <w:kern w:val="0"/>
                <w:sz w:val="18"/>
                <w:szCs w:val="18"/>
              </w:rPr>
              <w:t>计量单位</w:t>
            </w:r>
          </w:p>
        </w:tc>
        <w:tc>
          <w:tcPr>
            <w:tcW w:w="1134" w:type="dxa"/>
            <w:tcBorders>
              <w:top w:val="single" w:color="auto" w:sz="8" w:space="0"/>
              <w:bottom w:val="single" w:color="auto" w:sz="2" w:space="0"/>
              <w:right w:val="double" w:color="auto" w:sz="4" w:space="0"/>
            </w:tcBorders>
            <w:shd w:val="clear" w:color="auto" w:fill="auto"/>
            <w:noWrap/>
            <w:tcMar>
              <w:left w:w="28" w:type="dxa"/>
              <w:right w:w="28" w:type="dxa"/>
            </w:tcMar>
            <w:vAlign w:val="center"/>
          </w:tcPr>
          <w:p w14:paraId="107ECA1F">
            <w:pPr>
              <w:widowControl/>
              <w:spacing w:line="240" w:lineRule="auto"/>
              <w:jc w:val="center"/>
              <w:rPr>
                <w:rFonts w:ascii="宋体" w:hAnsi="宋体"/>
                <w:kern w:val="0"/>
                <w:sz w:val="18"/>
                <w:szCs w:val="18"/>
              </w:rPr>
            </w:pPr>
            <w:r>
              <w:rPr>
                <w:rFonts w:ascii="宋体" w:hAnsi="宋体"/>
                <w:kern w:val="0"/>
                <w:sz w:val="18"/>
                <w:szCs w:val="18"/>
              </w:rPr>
              <w:t>代码</w:t>
            </w:r>
          </w:p>
        </w:tc>
        <w:tc>
          <w:tcPr>
            <w:tcW w:w="2891" w:type="dxa"/>
            <w:tcBorders>
              <w:top w:val="single" w:color="auto" w:sz="8" w:space="0"/>
              <w:left w:val="double" w:color="auto" w:sz="4" w:space="0"/>
              <w:bottom w:val="single" w:color="auto" w:sz="2" w:space="0"/>
            </w:tcBorders>
            <w:vAlign w:val="center"/>
          </w:tcPr>
          <w:p w14:paraId="0DC3CA32">
            <w:pPr>
              <w:widowControl/>
              <w:spacing w:line="240" w:lineRule="auto"/>
              <w:jc w:val="center"/>
              <w:rPr>
                <w:rFonts w:ascii="宋体" w:hAnsi="宋体"/>
                <w:kern w:val="0"/>
                <w:sz w:val="18"/>
                <w:szCs w:val="18"/>
              </w:rPr>
            </w:pPr>
            <w:r>
              <w:rPr>
                <w:rFonts w:ascii="宋体" w:hAnsi="宋体"/>
                <w:kern w:val="0"/>
                <w:sz w:val="18"/>
                <w:szCs w:val="18"/>
              </w:rPr>
              <w:t>能源名称</w:t>
            </w:r>
          </w:p>
        </w:tc>
        <w:tc>
          <w:tcPr>
            <w:tcW w:w="1020" w:type="dxa"/>
            <w:tcBorders>
              <w:top w:val="single" w:color="auto" w:sz="8" w:space="0"/>
              <w:bottom w:val="single" w:color="auto" w:sz="2" w:space="0"/>
            </w:tcBorders>
            <w:vAlign w:val="center"/>
          </w:tcPr>
          <w:p w14:paraId="26A5F877">
            <w:pPr>
              <w:widowControl/>
              <w:spacing w:line="240" w:lineRule="auto"/>
              <w:jc w:val="center"/>
              <w:rPr>
                <w:rFonts w:ascii="宋体" w:hAnsi="宋体"/>
                <w:kern w:val="0"/>
                <w:sz w:val="18"/>
                <w:szCs w:val="18"/>
              </w:rPr>
            </w:pPr>
            <w:r>
              <w:rPr>
                <w:rFonts w:ascii="宋体" w:hAnsi="宋体"/>
                <w:kern w:val="0"/>
                <w:sz w:val="18"/>
                <w:szCs w:val="18"/>
              </w:rPr>
              <w:t>计量单位</w:t>
            </w:r>
          </w:p>
        </w:tc>
        <w:tc>
          <w:tcPr>
            <w:tcW w:w="1134" w:type="dxa"/>
            <w:tcBorders>
              <w:top w:val="single" w:color="auto" w:sz="8" w:space="0"/>
              <w:bottom w:val="single" w:color="auto" w:sz="2" w:space="0"/>
            </w:tcBorders>
            <w:vAlign w:val="center"/>
          </w:tcPr>
          <w:p w14:paraId="47C568DB">
            <w:pPr>
              <w:widowControl/>
              <w:spacing w:line="240" w:lineRule="auto"/>
              <w:jc w:val="center"/>
              <w:rPr>
                <w:rFonts w:ascii="宋体" w:hAnsi="宋体"/>
                <w:kern w:val="0"/>
                <w:sz w:val="18"/>
                <w:szCs w:val="18"/>
              </w:rPr>
            </w:pPr>
            <w:r>
              <w:rPr>
                <w:rFonts w:ascii="宋体" w:hAnsi="宋体"/>
                <w:kern w:val="0"/>
                <w:sz w:val="18"/>
                <w:szCs w:val="18"/>
              </w:rPr>
              <w:t>代码</w:t>
            </w:r>
          </w:p>
        </w:tc>
      </w:tr>
      <w:tr w14:paraId="5A86E9B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tcBorders>
              <w:top w:val="single" w:color="auto" w:sz="2" w:space="0"/>
            </w:tcBorders>
            <w:shd w:val="clear" w:color="auto" w:fill="auto"/>
            <w:noWrap/>
            <w:tcMar>
              <w:left w:w="28" w:type="dxa"/>
              <w:right w:w="28" w:type="dxa"/>
            </w:tcMar>
            <w:vAlign w:val="center"/>
          </w:tcPr>
          <w:p w14:paraId="1A72D561">
            <w:pPr>
              <w:widowControl/>
              <w:spacing w:line="200" w:lineRule="exact"/>
              <w:rPr>
                <w:rFonts w:ascii="宋体" w:hAnsi="宋体"/>
                <w:kern w:val="0"/>
                <w:sz w:val="18"/>
                <w:szCs w:val="18"/>
              </w:rPr>
            </w:pPr>
            <w:r>
              <w:rPr>
                <w:rFonts w:hint="eastAsia" w:ascii="宋体" w:hAnsi="宋体"/>
                <w:sz w:val="18"/>
                <w:szCs w:val="18"/>
              </w:rPr>
              <w:t>煤炭及煤炭制品</w:t>
            </w:r>
          </w:p>
        </w:tc>
        <w:tc>
          <w:tcPr>
            <w:tcW w:w="1020" w:type="dxa"/>
            <w:tcBorders>
              <w:top w:val="single" w:color="auto" w:sz="2" w:space="0"/>
            </w:tcBorders>
            <w:shd w:val="clear" w:color="auto" w:fill="auto"/>
            <w:noWrap/>
            <w:tcMar>
              <w:left w:w="28" w:type="dxa"/>
              <w:right w:w="28" w:type="dxa"/>
            </w:tcMar>
            <w:vAlign w:val="center"/>
          </w:tcPr>
          <w:p w14:paraId="354AD4F3">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top w:val="single" w:color="auto" w:sz="2" w:space="0"/>
              <w:right w:val="double" w:color="auto" w:sz="4" w:space="0"/>
            </w:tcBorders>
            <w:shd w:val="clear" w:color="auto" w:fill="auto"/>
            <w:noWrap/>
            <w:tcMar>
              <w:left w:w="28" w:type="dxa"/>
              <w:right w:w="28" w:type="dxa"/>
            </w:tcMar>
            <w:vAlign w:val="center"/>
          </w:tcPr>
          <w:p w14:paraId="5BB288EB">
            <w:pPr>
              <w:widowControl/>
              <w:spacing w:line="200" w:lineRule="exact"/>
              <w:jc w:val="center"/>
              <w:rPr>
                <w:rFonts w:ascii="宋体" w:hAnsi="宋体"/>
                <w:kern w:val="0"/>
                <w:sz w:val="18"/>
                <w:szCs w:val="18"/>
              </w:rPr>
            </w:pPr>
            <w:r>
              <w:rPr>
                <w:rFonts w:ascii="宋体" w:hAnsi="宋体"/>
                <w:sz w:val="18"/>
                <w:szCs w:val="18"/>
              </w:rPr>
              <w:t>0600000000</w:t>
            </w:r>
          </w:p>
        </w:tc>
        <w:tc>
          <w:tcPr>
            <w:tcW w:w="2891" w:type="dxa"/>
            <w:tcBorders>
              <w:top w:val="single" w:color="auto" w:sz="2" w:space="0"/>
              <w:left w:val="double" w:color="auto" w:sz="4" w:space="0"/>
            </w:tcBorders>
            <w:vAlign w:val="center"/>
          </w:tcPr>
          <w:p w14:paraId="45BCE015">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其他石油制品</w:t>
            </w:r>
          </w:p>
        </w:tc>
        <w:tc>
          <w:tcPr>
            <w:tcW w:w="1020" w:type="dxa"/>
            <w:tcBorders>
              <w:top w:val="single" w:color="auto" w:sz="2" w:space="0"/>
            </w:tcBorders>
            <w:vAlign w:val="center"/>
          </w:tcPr>
          <w:p w14:paraId="3EA539A7">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tcBorders>
              <w:top w:val="single" w:color="auto" w:sz="2" w:space="0"/>
            </w:tcBorders>
            <w:vAlign w:val="center"/>
          </w:tcPr>
          <w:p w14:paraId="2AA38E4D">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2502990000</w:t>
            </w:r>
          </w:p>
        </w:tc>
      </w:tr>
      <w:tr w14:paraId="14EF527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002ED22">
            <w:pPr>
              <w:widowControl/>
              <w:spacing w:line="200" w:lineRule="exact"/>
              <w:ind w:firstLine="180" w:firstLineChars="100"/>
              <w:rPr>
                <w:rFonts w:ascii="宋体" w:hAnsi="宋体"/>
                <w:kern w:val="0"/>
                <w:sz w:val="18"/>
                <w:szCs w:val="18"/>
              </w:rPr>
            </w:pPr>
            <w:r>
              <w:rPr>
                <w:rFonts w:hint="eastAsia" w:ascii="宋体" w:hAnsi="宋体"/>
                <w:sz w:val="18"/>
                <w:szCs w:val="18"/>
              </w:rPr>
              <w:t>原煤</w:t>
            </w:r>
          </w:p>
        </w:tc>
        <w:tc>
          <w:tcPr>
            <w:tcW w:w="1020" w:type="dxa"/>
            <w:shd w:val="clear" w:color="auto" w:fill="auto"/>
            <w:noWrap/>
            <w:tcMar>
              <w:left w:w="28" w:type="dxa"/>
              <w:right w:w="28" w:type="dxa"/>
            </w:tcMar>
            <w:vAlign w:val="center"/>
          </w:tcPr>
          <w:p w14:paraId="34C7EC1F">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CC54269">
            <w:pPr>
              <w:widowControl/>
              <w:spacing w:line="200" w:lineRule="exact"/>
              <w:jc w:val="center"/>
              <w:rPr>
                <w:rFonts w:ascii="宋体" w:hAnsi="宋体"/>
                <w:kern w:val="0"/>
                <w:sz w:val="18"/>
                <w:szCs w:val="18"/>
              </w:rPr>
            </w:pPr>
            <w:r>
              <w:rPr>
                <w:rFonts w:ascii="宋体" w:hAnsi="宋体"/>
                <w:sz w:val="18"/>
                <w:szCs w:val="18"/>
              </w:rPr>
              <w:t>0601000000</w:t>
            </w:r>
          </w:p>
        </w:tc>
        <w:tc>
          <w:tcPr>
            <w:tcW w:w="2891" w:type="dxa"/>
            <w:tcBorders>
              <w:left w:val="double" w:color="auto" w:sz="4" w:space="0"/>
            </w:tcBorders>
            <w:vAlign w:val="center"/>
          </w:tcPr>
          <w:p w14:paraId="6EC7D86A">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生物质能</w:t>
            </w:r>
          </w:p>
        </w:tc>
        <w:tc>
          <w:tcPr>
            <w:tcW w:w="1020" w:type="dxa"/>
            <w:vAlign w:val="center"/>
          </w:tcPr>
          <w:p w14:paraId="7449CD2B">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w:t>
            </w:r>
          </w:p>
        </w:tc>
        <w:tc>
          <w:tcPr>
            <w:tcW w:w="1134" w:type="dxa"/>
            <w:vAlign w:val="center"/>
          </w:tcPr>
          <w:p w14:paraId="37208CA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2540000000</w:t>
            </w:r>
          </w:p>
        </w:tc>
      </w:tr>
      <w:tr w14:paraId="651DA79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AE7511C">
            <w:pPr>
              <w:widowControl/>
              <w:spacing w:line="200" w:lineRule="exact"/>
              <w:rPr>
                <w:rFonts w:ascii="宋体" w:hAnsi="宋体"/>
                <w:kern w:val="0"/>
                <w:sz w:val="18"/>
                <w:szCs w:val="18"/>
              </w:rPr>
            </w:pPr>
            <w:r>
              <w:rPr>
                <w:rFonts w:hint="eastAsia" w:ascii="宋体" w:hAnsi="宋体"/>
                <w:sz w:val="18"/>
                <w:szCs w:val="18"/>
              </w:rPr>
              <w:t xml:space="preserve">    无烟煤</w:t>
            </w:r>
          </w:p>
        </w:tc>
        <w:tc>
          <w:tcPr>
            <w:tcW w:w="1020" w:type="dxa"/>
            <w:shd w:val="clear" w:color="auto" w:fill="auto"/>
            <w:noWrap/>
            <w:tcMar>
              <w:left w:w="28" w:type="dxa"/>
              <w:right w:w="28" w:type="dxa"/>
            </w:tcMar>
            <w:vAlign w:val="center"/>
          </w:tcPr>
          <w:p w14:paraId="37E46C0F">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5F23901A">
            <w:pPr>
              <w:widowControl/>
              <w:spacing w:line="200" w:lineRule="exact"/>
              <w:jc w:val="center"/>
              <w:rPr>
                <w:rFonts w:ascii="宋体" w:hAnsi="宋体"/>
                <w:kern w:val="0"/>
                <w:sz w:val="18"/>
                <w:szCs w:val="18"/>
              </w:rPr>
            </w:pPr>
            <w:r>
              <w:rPr>
                <w:rFonts w:ascii="宋体" w:hAnsi="宋体"/>
                <w:sz w:val="18"/>
                <w:szCs w:val="18"/>
              </w:rPr>
              <w:t>0601010000</w:t>
            </w:r>
          </w:p>
        </w:tc>
        <w:tc>
          <w:tcPr>
            <w:tcW w:w="2891" w:type="dxa"/>
            <w:tcBorders>
              <w:left w:val="double" w:color="auto" w:sz="4" w:space="0"/>
            </w:tcBorders>
            <w:vAlign w:val="center"/>
          </w:tcPr>
          <w:p w14:paraId="5DD435B4">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固态生物燃料</w:t>
            </w:r>
          </w:p>
        </w:tc>
        <w:tc>
          <w:tcPr>
            <w:tcW w:w="1020" w:type="dxa"/>
            <w:vAlign w:val="center"/>
          </w:tcPr>
          <w:p w14:paraId="1372B21F">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6459CAE3">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2542000000</w:t>
            </w:r>
          </w:p>
        </w:tc>
      </w:tr>
      <w:tr w14:paraId="3F225D7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15715CB5">
            <w:pPr>
              <w:widowControl/>
              <w:spacing w:line="200" w:lineRule="exact"/>
              <w:rPr>
                <w:rFonts w:ascii="宋体" w:hAnsi="宋体"/>
                <w:kern w:val="0"/>
                <w:sz w:val="18"/>
                <w:szCs w:val="18"/>
              </w:rPr>
            </w:pPr>
            <w:r>
              <w:rPr>
                <w:rFonts w:hint="eastAsia" w:ascii="宋体" w:hAnsi="宋体"/>
                <w:sz w:val="18"/>
                <w:szCs w:val="18"/>
              </w:rPr>
              <w:t>　  炼焦烟煤</w:t>
            </w:r>
          </w:p>
        </w:tc>
        <w:tc>
          <w:tcPr>
            <w:tcW w:w="1020" w:type="dxa"/>
            <w:shd w:val="clear" w:color="auto" w:fill="auto"/>
            <w:noWrap/>
            <w:tcMar>
              <w:left w:w="28" w:type="dxa"/>
              <w:right w:w="28" w:type="dxa"/>
            </w:tcMar>
            <w:vAlign w:val="center"/>
          </w:tcPr>
          <w:p w14:paraId="61CC007B">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9415CF5">
            <w:pPr>
              <w:widowControl/>
              <w:spacing w:line="200" w:lineRule="exact"/>
              <w:jc w:val="center"/>
              <w:rPr>
                <w:rFonts w:ascii="宋体" w:hAnsi="宋体"/>
                <w:kern w:val="0"/>
                <w:sz w:val="18"/>
                <w:szCs w:val="18"/>
              </w:rPr>
            </w:pPr>
            <w:r>
              <w:rPr>
                <w:rFonts w:ascii="宋体" w:hAnsi="宋体"/>
                <w:sz w:val="18"/>
                <w:szCs w:val="18"/>
              </w:rPr>
              <w:t>0601020100</w:t>
            </w:r>
          </w:p>
        </w:tc>
        <w:tc>
          <w:tcPr>
            <w:tcW w:w="2891" w:type="dxa"/>
            <w:tcBorders>
              <w:left w:val="double" w:color="auto" w:sz="4" w:space="0"/>
            </w:tcBorders>
            <w:vAlign w:val="center"/>
          </w:tcPr>
          <w:p w14:paraId="4F310A07">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液态生物燃料</w:t>
            </w:r>
          </w:p>
        </w:tc>
        <w:tc>
          <w:tcPr>
            <w:tcW w:w="1020" w:type="dxa"/>
            <w:vAlign w:val="center"/>
          </w:tcPr>
          <w:p w14:paraId="2AF36C07">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11488524">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2541000000</w:t>
            </w:r>
          </w:p>
        </w:tc>
      </w:tr>
      <w:tr w14:paraId="4E89E96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66484A4">
            <w:pPr>
              <w:widowControl/>
              <w:spacing w:line="200" w:lineRule="exact"/>
              <w:ind w:firstLine="180" w:firstLineChars="100"/>
              <w:rPr>
                <w:rFonts w:ascii="宋体" w:hAnsi="宋体"/>
                <w:kern w:val="0"/>
                <w:sz w:val="18"/>
                <w:szCs w:val="18"/>
              </w:rPr>
            </w:pPr>
            <w:r>
              <w:rPr>
                <w:rFonts w:hint="eastAsia" w:ascii="宋体" w:hAnsi="宋体"/>
                <w:sz w:val="18"/>
                <w:szCs w:val="18"/>
              </w:rPr>
              <w:t>　一般烟煤</w:t>
            </w:r>
          </w:p>
        </w:tc>
        <w:tc>
          <w:tcPr>
            <w:tcW w:w="1020" w:type="dxa"/>
            <w:shd w:val="clear" w:color="auto" w:fill="auto"/>
            <w:noWrap/>
            <w:tcMar>
              <w:left w:w="28" w:type="dxa"/>
              <w:right w:w="28" w:type="dxa"/>
            </w:tcMar>
            <w:vAlign w:val="center"/>
          </w:tcPr>
          <w:p w14:paraId="63DA92E4">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3B99C92">
            <w:pPr>
              <w:widowControl/>
              <w:spacing w:line="200" w:lineRule="exact"/>
              <w:jc w:val="center"/>
              <w:rPr>
                <w:rFonts w:ascii="宋体" w:hAnsi="宋体"/>
                <w:kern w:val="0"/>
                <w:sz w:val="18"/>
                <w:szCs w:val="18"/>
              </w:rPr>
            </w:pPr>
            <w:r>
              <w:rPr>
                <w:rFonts w:ascii="宋体" w:hAnsi="宋体"/>
                <w:sz w:val="18"/>
                <w:szCs w:val="18"/>
              </w:rPr>
              <w:t>06010202</w:t>
            </w:r>
            <w:r>
              <w:rPr>
                <w:rFonts w:hint="eastAsia" w:ascii="宋体" w:hAnsi="宋体"/>
                <w:sz w:val="18"/>
                <w:szCs w:val="18"/>
                <w:lang w:val="en-US" w:eastAsia="zh-CN"/>
              </w:rPr>
              <w:t>0</w:t>
            </w:r>
            <w:r>
              <w:rPr>
                <w:rFonts w:ascii="宋体" w:hAnsi="宋体"/>
                <w:sz w:val="18"/>
                <w:szCs w:val="18"/>
              </w:rPr>
              <w:t>0</w:t>
            </w:r>
          </w:p>
        </w:tc>
        <w:tc>
          <w:tcPr>
            <w:tcW w:w="2891" w:type="dxa"/>
            <w:tcBorders>
              <w:left w:val="double" w:color="auto" w:sz="4" w:space="0"/>
            </w:tcBorders>
            <w:vAlign w:val="center"/>
          </w:tcPr>
          <w:p w14:paraId="295E94E7">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生物乙醇</w:t>
            </w:r>
          </w:p>
        </w:tc>
        <w:tc>
          <w:tcPr>
            <w:tcW w:w="1020" w:type="dxa"/>
            <w:vAlign w:val="center"/>
          </w:tcPr>
          <w:p w14:paraId="6AF754CE">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74085C16">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1501020300</w:t>
            </w:r>
          </w:p>
        </w:tc>
      </w:tr>
      <w:tr w14:paraId="4BB1F3B2">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53CC0B0">
            <w:pPr>
              <w:widowControl/>
              <w:spacing w:line="200" w:lineRule="exact"/>
              <w:rPr>
                <w:rFonts w:ascii="宋体" w:hAnsi="宋体"/>
                <w:kern w:val="0"/>
                <w:sz w:val="18"/>
                <w:szCs w:val="18"/>
              </w:rPr>
            </w:pPr>
            <w:r>
              <w:rPr>
                <w:rFonts w:hint="eastAsia" w:ascii="宋体" w:hAnsi="宋体"/>
                <w:sz w:val="18"/>
                <w:szCs w:val="18"/>
              </w:rPr>
              <w:t xml:space="preserve">    褐煤</w:t>
            </w:r>
          </w:p>
        </w:tc>
        <w:tc>
          <w:tcPr>
            <w:tcW w:w="1020" w:type="dxa"/>
            <w:shd w:val="clear" w:color="auto" w:fill="auto"/>
            <w:noWrap/>
            <w:tcMar>
              <w:left w:w="28" w:type="dxa"/>
              <w:right w:w="28" w:type="dxa"/>
            </w:tcMar>
            <w:vAlign w:val="center"/>
          </w:tcPr>
          <w:p w14:paraId="4F7C4439">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4D19B08B">
            <w:pPr>
              <w:widowControl/>
              <w:spacing w:line="200" w:lineRule="exact"/>
              <w:jc w:val="center"/>
              <w:rPr>
                <w:rFonts w:ascii="宋体" w:hAnsi="宋体"/>
                <w:kern w:val="0"/>
                <w:sz w:val="18"/>
                <w:szCs w:val="18"/>
              </w:rPr>
            </w:pPr>
            <w:r>
              <w:rPr>
                <w:rFonts w:ascii="宋体" w:hAnsi="宋体"/>
                <w:sz w:val="18"/>
                <w:szCs w:val="18"/>
              </w:rPr>
              <w:t>0601030000</w:t>
            </w:r>
          </w:p>
        </w:tc>
        <w:tc>
          <w:tcPr>
            <w:tcW w:w="2891" w:type="dxa"/>
            <w:tcBorders>
              <w:left w:val="double" w:color="auto" w:sz="4" w:space="0"/>
            </w:tcBorders>
            <w:vAlign w:val="center"/>
          </w:tcPr>
          <w:p w14:paraId="515D55FD">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生物柴油</w:t>
            </w:r>
          </w:p>
        </w:tc>
        <w:tc>
          <w:tcPr>
            <w:tcW w:w="1020" w:type="dxa"/>
            <w:vAlign w:val="center"/>
          </w:tcPr>
          <w:p w14:paraId="79C4F98D">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5B38247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2503030101</w:t>
            </w:r>
          </w:p>
        </w:tc>
      </w:tr>
      <w:tr w14:paraId="1A2A2F3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29C3930">
            <w:pPr>
              <w:widowControl/>
              <w:spacing w:line="200" w:lineRule="exact"/>
              <w:rPr>
                <w:rFonts w:ascii="宋体" w:hAnsi="宋体"/>
                <w:kern w:val="0"/>
                <w:sz w:val="18"/>
                <w:szCs w:val="18"/>
              </w:rPr>
            </w:pPr>
            <w:r>
              <w:rPr>
                <w:rFonts w:hint="eastAsia" w:ascii="宋体" w:hAnsi="宋体"/>
                <w:sz w:val="18"/>
                <w:szCs w:val="18"/>
              </w:rPr>
              <w:t xml:space="preserve">  煤炭制品</w:t>
            </w:r>
          </w:p>
        </w:tc>
        <w:tc>
          <w:tcPr>
            <w:tcW w:w="1020" w:type="dxa"/>
            <w:shd w:val="clear" w:color="auto" w:fill="auto"/>
            <w:noWrap/>
            <w:tcMar>
              <w:left w:w="28" w:type="dxa"/>
              <w:right w:w="28" w:type="dxa"/>
            </w:tcMar>
            <w:vAlign w:val="center"/>
          </w:tcPr>
          <w:p w14:paraId="7AC30AE3">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1C525E37">
            <w:pPr>
              <w:widowControl/>
              <w:spacing w:line="200" w:lineRule="exact"/>
              <w:jc w:val="center"/>
              <w:rPr>
                <w:rFonts w:ascii="宋体" w:hAnsi="宋体"/>
                <w:kern w:val="0"/>
                <w:sz w:val="18"/>
                <w:szCs w:val="18"/>
              </w:rPr>
            </w:pPr>
            <w:r>
              <w:rPr>
                <w:rFonts w:ascii="宋体" w:hAnsi="宋体"/>
                <w:sz w:val="18"/>
                <w:szCs w:val="18"/>
              </w:rPr>
              <w:t>2524000000</w:t>
            </w:r>
          </w:p>
        </w:tc>
        <w:tc>
          <w:tcPr>
            <w:tcW w:w="2891" w:type="dxa"/>
            <w:tcBorders>
              <w:left w:val="double" w:color="auto" w:sz="4" w:space="0"/>
            </w:tcBorders>
            <w:vAlign w:val="center"/>
          </w:tcPr>
          <w:p w14:paraId="7AD2095A">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生物航空煤油</w:t>
            </w:r>
          </w:p>
        </w:tc>
        <w:tc>
          <w:tcPr>
            <w:tcW w:w="1020" w:type="dxa"/>
            <w:vAlign w:val="center"/>
          </w:tcPr>
          <w:p w14:paraId="2D3B80E2">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27E0660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2541030000</w:t>
            </w:r>
          </w:p>
        </w:tc>
      </w:tr>
      <w:tr w14:paraId="11F4C38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6947F41">
            <w:pPr>
              <w:widowControl/>
              <w:spacing w:line="200" w:lineRule="exact"/>
              <w:rPr>
                <w:rFonts w:ascii="宋体" w:hAnsi="宋体"/>
                <w:kern w:val="0"/>
                <w:sz w:val="18"/>
                <w:szCs w:val="18"/>
              </w:rPr>
            </w:pPr>
            <w:r>
              <w:rPr>
                <w:rFonts w:hint="eastAsia" w:ascii="宋体" w:hAnsi="宋体"/>
                <w:sz w:val="18"/>
                <w:szCs w:val="18"/>
              </w:rPr>
              <w:t xml:space="preserve">    洗精煤（用于炼焦）</w:t>
            </w:r>
          </w:p>
        </w:tc>
        <w:tc>
          <w:tcPr>
            <w:tcW w:w="1020" w:type="dxa"/>
            <w:shd w:val="clear" w:color="auto" w:fill="auto"/>
            <w:noWrap/>
            <w:tcMar>
              <w:left w:w="28" w:type="dxa"/>
              <w:right w:w="28" w:type="dxa"/>
            </w:tcMar>
            <w:vAlign w:val="center"/>
          </w:tcPr>
          <w:p w14:paraId="0D5D9D43">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DA26B33">
            <w:pPr>
              <w:widowControl/>
              <w:spacing w:line="200" w:lineRule="exact"/>
              <w:jc w:val="center"/>
              <w:rPr>
                <w:rFonts w:ascii="宋体" w:hAnsi="宋体"/>
                <w:kern w:val="0"/>
                <w:sz w:val="18"/>
                <w:szCs w:val="18"/>
              </w:rPr>
            </w:pPr>
            <w:r>
              <w:rPr>
                <w:rFonts w:ascii="宋体" w:hAnsi="宋体"/>
                <w:sz w:val="18"/>
                <w:szCs w:val="18"/>
              </w:rPr>
              <w:t>0602010000</w:t>
            </w:r>
          </w:p>
        </w:tc>
        <w:tc>
          <w:tcPr>
            <w:tcW w:w="2891" w:type="dxa"/>
            <w:tcBorders>
              <w:left w:val="double" w:color="auto" w:sz="4" w:space="0"/>
            </w:tcBorders>
            <w:vAlign w:val="center"/>
          </w:tcPr>
          <w:p w14:paraId="287D3571">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其他液态生物燃料</w:t>
            </w:r>
          </w:p>
        </w:tc>
        <w:tc>
          <w:tcPr>
            <w:tcW w:w="1020" w:type="dxa"/>
            <w:vAlign w:val="center"/>
          </w:tcPr>
          <w:p w14:paraId="6E04DE8B">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vAlign w:val="center"/>
          </w:tcPr>
          <w:p w14:paraId="27712CBB">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2541040000</w:t>
            </w:r>
          </w:p>
        </w:tc>
      </w:tr>
      <w:tr w14:paraId="6B61A3E3">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59A78A83">
            <w:pPr>
              <w:widowControl/>
              <w:spacing w:line="200" w:lineRule="exact"/>
              <w:rPr>
                <w:rFonts w:ascii="宋体" w:hAnsi="宋体"/>
                <w:kern w:val="0"/>
                <w:sz w:val="18"/>
                <w:szCs w:val="18"/>
              </w:rPr>
            </w:pPr>
            <w:r>
              <w:rPr>
                <w:rFonts w:hint="eastAsia" w:ascii="宋体" w:hAnsi="宋体"/>
                <w:sz w:val="18"/>
                <w:szCs w:val="18"/>
              </w:rPr>
              <w:t xml:space="preserve">    其他洗煤</w:t>
            </w:r>
          </w:p>
        </w:tc>
        <w:tc>
          <w:tcPr>
            <w:tcW w:w="1020" w:type="dxa"/>
            <w:shd w:val="clear" w:color="auto" w:fill="auto"/>
            <w:noWrap/>
            <w:tcMar>
              <w:left w:w="28" w:type="dxa"/>
              <w:right w:w="28" w:type="dxa"/>
            </w:tcMar>
            <w:vAlign w:val="center"/>
          </w:tcPr>
          <w:p w14:paraId="0D8C016B">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2D168371">
            <w:pPr>
              <w:widowControl/>
              <w:spacing w:line="200" w:lineRule="exact"/>
              <w:jc w:val="center"/>
              <w:rPr>
                <w:rFonts w:ascii="宋体" w:hAnsi="宋体"/>
                <w:kern w:val="0"/>
                <w:sz w:val="18"/>
                <w:szCs w:val="18"/>
              </w:rPr>
            </w:pPr>
            <w:r>
              <w:rPr>
                <w:rFonts w:ascii="宋体" w:hAnsi="宋体"/>
                <w:sz w:val="18"/>
                <w:szCs w:val="18"/>
              </w:rPr>
              <w:t>0602070000</w:t>
            </w:r>
          </w:p>
        </w:tc>
        <w:tc>
          <w:tcPr>
            <w:tcW w:w="2891" w:type="dxa"/>
            <w:tcBorders>
              <w:left w:val="double" w:color="auto" w:sz="4" w:space="0"/>
            </w:tcBorders>
            <w:vAlign w:val="center"/>
          </w:tcPr>
          <w:p w14:paraId="66A230B1">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气态生物燃料</w:t>
            </w:r>
          </w:p>
        </w:tc>
        <w:tc>
          <w:tcPr>
            <w:tcW w:w="1020" w:type="dxa"/>
            <w:vAlign w:val="center"/>
          </w:tcPr>
          <w:p w14:paraId="792BFBEF">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万立方米</w:t>
            </w:r>
          </w:p>
        </w:tc>
        <w:tc>
          <w:tcPr>
            <w:tcW w:w="1134" w:type="dxa"/>
            <w:vAlign w:val="center"/>
          </w:tcPr>
          <w:p w14:paraId="60DD8A30">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4520000000</w:t>
            </w:r>
          </w:p>
        </w:tc>
      </w:tr>
      <w:tr w14:paraId="4279134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50B2DE23">
            <w:pPr>
              <w:widowControl/>
              <w:spacing w:line="200" w:lineRule="exact"/>
              <w:rPr>
                <w:rFonts w:ascii="宋体" w:hAnsi="宋体"/>
                <w:kern w:val="0"/>
                <w:sz w:val="18"/>
                <w:szCs w:val="18"/>
              </w:rPr>
            </w:pPr>
            <w:r>
              <w:rPr>
                <w:rFonts w:hint="eastAsia" w:ascii="宋体" w:hAnsi="宋体"/>
                <w:sz w:val="18"/>
                <w:szCs w:val="18"/>
              </w:rPr>
              <w:t xml:space="preserve">    焦炭</w:t>
            </w:r>
          </w:p>
        </w:tc>
        <w:tc>
          <w:tcPr>
            <w:tcW w:w="1020" w:type="dxa"/>
            <w:shd w:val="clear" w:color="auto" w:fill="auto"/>
            <w:noWrap/>
            <w:tcMar>
              <w:left w:w="28" w:type="dxa"/>
              <w:right w:w="28" w:type="dxa"/>
            </w:tcMar>
            <w:vAlign w:val="center"/>
          </w:tcPr>
          <w:p w14:paraId="28E30F48">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2021C36">
            <w:pPr>
              <w:widowControl/>
              <w:spacing w:line="200" w:lineRule="exact"/>
              <w:jc w:val="center"/>
              <w:rPr>
                <w:rFonts w:ascii="宋体" w:hAnsi="宋体"/>
                <w:kern w:val="0"/>
                <w:sz w:val="18"/>
                <w:szCs w:val="18"/>
              </w:rPr>
            </w:pPr>
            <w:r>
              <w:rPr>
                <w:rFonts w:ascii="宋体" w:hAnsi="宋体"/>
                <w:sz w:val="18"/>
                <w:szCs w:val="18"/>
              </w:rPr>
              <w:t>2504011001</w:t>
            </w:r>
          </w:p>
        </w:tc>
        <w:tc>
          <w:tcPr>
            <w:tcW w:w="2891" w:type="dxa"/>
            <w:tcBorders>
              <w:left w:val="double" w:color="auto" w:sz="4" w:space="0"/>
            </w:tcBorders>
            <w:vAlign w:val="center"/>
          </w:tcPr>
          <w:p w14:paraId="124E99DD">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发电量</w:t>
            </w:r>
          </w:p>
        </w:tc>
        <w:tc>
          <w:tcPr>
            <w:tcW w:w="1020" w:type="dxa"/>
            <w:vAlign w:val="center"/>
          </w:tcPr>
          <w:p w14:paraId="6A43F7F8">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3954C0D8">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4401010000</w:t>
            </w:r>
          </w:p>
        </w:tc>
      </w:tr>
      <w:tr w14:paraId="5D42B08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D4BEC25">
            <w:pPr>
              <w:widowControl/>
              <w:spacing w:line="200" w:lineRule="exact"/>
              <w:rPr>
                <w:rFonts w:ascii="宋体" w:hAnsi="宋体"/>
                <w:kern w:val="0"/>
                <w:sz w:val="18"/>
                <w:szCs w:val="18"/>
              </w:rPr>
            </w:pPr>
            <w:r>
              <w:rPr>
                <w:rFonts w:hint="eastAsia" w:ascii="宋体" w:hAnsi="宋体"/>
                <w:sz w:val="18"/>
                <w:szCs w:val="18"/>
              </w:rPr>
              <w:t xml:space="preserve">    型煤及其他煤制品</w:t>
            </w:r>
          </w:p>
        </w:tc>
        <w:tc>
          <w:tcPr>
            <w:tcW w:w="1020" w:type="dxa"/>
            <w:shd w:val="clear" w:color="auto" w:fill="auto"/>
            <w:noWrap/>
            <w:tcMar>
              <w:left w:w="28" w:type="dxa"/>
              <w:right w:w="28" w:type="dxa"/>
            </w:tcMar>
            <w:vAlign w:val="center"/>
          </w:tcPr>
          <w:p w14:paraId="6234FF72">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4449127">
            <w:pPr>
              <w:widowControl/>
              <w:spacing w:line="200" w:lineRule="exact"/>
              <w:jc w:val="center"/>
              <w:rPr>
                <w:rFonts w:ascii="宋体" w:hAnsi="宋体"/>
                <w:kern w:val="0"/>
                <w:sz w:val="18"/>
                <w:szCs w:val="18"/>
              </w:rPr>
            </w:pPr>
            <w:r>
              <w:rPr>
                <w:rFonts w:ascii="宋体" w:hAnsi="宋体"/>
                <w:sz w:val="18"/>
                <w:szCs w:val="18"/>
              </w:rPr>
              <w:t>2524010000</w:t>
            </w:r>
          </w:p>
        </w:tc>
        <w:tc>
          <w:tcPr>
            <w:tcW w:w="2891" w:type="dxa"/>
            <w:tcBorders>
              <w:left w:val="double" w:color="auto" w:sz="4" w:space="0"/>
            </w:tcBorders>
            <w:vAlign w:val="center"/>
          </w:tcPr>
          <w:p w14:paraId="18538596">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火力发电量</w:t>
            </w:r>
          </w:p>
        </w:tc>
        <w:tc>
          <w:tcPr>
            <w:tcW w:w="1020" w:type="dxa"/>
            <w:vAlign w:val="center"/>
          </w:tcPr>
          <w:p w14:paraId="0EBC93A5">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682C88C4">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4401010100</w:t>
            </w:r>
          </w:p>
        </w:tc>
      </w:tr>
      <w:tr w14:paraId="78550BF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471CAB4">
            <w:pPr>
              <w:widowControl/>
              <w:spacing w:line="200" w:lineRule="exact"/>
              <w:ind w:firstLine="180" w:firstLineChars="100"/>
              <w:rPr>
                <w:rFonts w:ascii="宋体" w:hAnsi="宋体"/>
                <w:kern w:val="0"/>
                <w:sz w:val="18"/>
                <w:szCs w:val="18"/>
              </w:rPr>
            </w:pPr>
            <w:r>
              <w:rPr>
                <w:rFonts w:hint="eastAsia" w:ascii="宋体" w:hAnsi="宋体"/>
                <w:sz w:val="18"/>
                <w:szCs w:val="18"/>
              </w:rPr>
              <w:t xml:space="preserve">  煤焦油</w:t>
            </w:r>
          </w:p>
        </w:tc>
        <w:tc>
          <w:tcPr>
            <w:tcW w:w="1020" w:type="dxa"/>
            <w:shd w:val="clear" w:color="auto" w:fill="auto"/>
            <w:noWrap/>
            <w:tcMar>
              <w:left w:w="28" w:type="dxa"/>
              <w:right w:w="28" w:type="dxa"/>
            </w:tcMar>
            <w:vAlign w:val="center"/>
          </w:tcPr>
          <w:p w14:paraId="233B578D">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0C21BD9A">
            <w:pPr>
              <w:widowControl/>
              <w:spacing w:line="200" w:lineRule="exact"/>
              <w:jc w:val="center"/>
              <w:rPr>
                <w:rFonts w:ascii="宋体" w:hAnsi="宋体"/>
                <w:kern w:val="0"/>
                <w:sz w:val="18"/>
                <w:szCs w:val="18"/>
              </w:rPr>
            </w:pPr>
            <w:r>
              <w:rPr>
                <w:rFonts w:ascii="宋体" w:hAnsi="宋体"/>
                <w:sz w:val="18"/>
                <w:szCs w:val="18"/>
              </w:rPr>
              <w:t>2521020000</w:t>
            </w:r>
          </w:p>
        </w:tc>
        <w:tc>
          <w:tcPr>
            <w:tcW w:w="2891" w:type="dxa"/>
            <w:tcBorders>
              <w:left w:val="double" w:color="auto" w:sz="4" w:space="0"/>
            </w:tcBorders>
            <w:vAlign w:val="center"/>
          </w:tcPr>
          <w:p w14:paraId="3FF0E621">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燃煤发电量</w:t>
            </w:r>
          </w:p>
        </w:tc>
        <w:tc>
          <w:tcPr>
            <w:tcW w:w="1020" w:type="dxa"/>
            <w:vAlign w:val="center"/>
          </w:tcPr>
          <w:p w14:paraId="5E8460C6">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51BE10AD">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4401010101</w:t>
            </w:r>
          </w:p>
        </w:tc>
      </w:tr>
      <w:tr w14:paraId="4FE0F6D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F29B44D">
            <w:pPr>
              <w:widowControl/>
              <w:spacing w:line="200" w:lineRule="exact"/>
              <w:ind w:firstLine="180" w:firstLineChars="100"/>
              <w:rPr>
                <w:rFonts w:ascii="宋体" w:hAnsi="宋体"/>
                <w:kern w:val="0"/>
                <w:sz w:val="18"/>
                <w:szCs w:val="18"/>
              </w:rPr>
            </w:pPr>
            <w:r>
              <w:rPr>
                <w:rFonts w:hint="eastAsia" w:ascii="宋体" w:hAnsi="宋体"/>
                <w:sz w:val="18"/>
                <w:szCs w:val="18"/>
              </w:rPr>
              <w:t xml:space="preserve">  煤气</w:t>
            </w:r>
          </w:p>
        </w:tc>
        <w:tc>
          <w:tcPr>
            <w:tcW w:w="1020" w:type="dxa"/>
            <w:shd w:val="clear" w:color="auto" w:fill="auto"/>
            <w:noWrap/>
            <w:tcMar>
              <w:left w:w="28" w:type="dxa"/>
              <w:right w:w="28" w:type="dxa"/>
            </w:tcMar>
            <w:vAlign w:val="center"/>
          </w:tcPr>
          <w:p w14:paraId="3FDD0558">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49C8689C">
            <w:pPr>
              <w:widowControl/>
              <w:spacing w:line="200" w:lineRule="exact"/>
              <w:jc w:val="center"/>
              <w:rPr>
                <w:rFonts w:ascii="宋体" w:hAnsi="宋体"/>
                <w:kern w:val="0"/>
                <w:sz w:val="18"/>
                <w:szCs w:val="18"/>
              </w:rPr>
            </w:pPr>
            <w:r>
              <w:rPr>
                <w:rFonts w:ascii="宋体" w:hAnsi="宋体"/>
                <w:sz w:val="18"/>
                <w:szCs w:val="18"/>
              </w:rPr>
              <w:t>4501000000</w:t>
            </w:r>
          </w:p>
        </w:tc>
        <w:tc>
          <w:tcPr>
            <w:tcW w:w="2891" w:type="dxa"/>
            <w:tcBorders>
              <w:left w:val="double" w:color="auto" w:sz="4" w:space="0"/>
            </w:tcBorders>
            <w:vAlign w:val="center"/>
          </w:tcPr>
          <w:p w14:paraId="32216CC6">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其中：煤矸石发电量</w:t>
            </w:r>
          </w:p>
        </w:tc>
        <w:tc>
          <w:tcPr>
            <w:tcW w:w="1020" w:type="dxa"/>
            <w:vAlign w:val="center"/>
          </w:tcPr>
          <w:p w14:paraId="1A26C1E6">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3A3DAA6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4401010105</w:t>
            </w:r>
          </w:p>
        </w:tc>
      </w:tr>
      <w:tr w14:paraId="3C544C5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2CF4F59">
            <w:pPr>
              <w:widowControl/>
              <w:spacing w:line="200" w:lineRule="exact"/>
              <w:ind w:firstLine="360" w:firstLineChars="200"/>
              <w:rPr>
                <w:rFonts w:ascii="宋体" w:hAnsi="宋体"/>
                <w:kern w:val="0"/>
                <w:sz w:val="18"/>
                <w:szCs w:val="18"/>
              </w:rPr>
            </w:pPr>
            <w:r>
              <w:rPr>
                <w:rFonts w:hint="eastAsia" w:ascii="宋体" w:hAnsi="宋体"/>
                <w:sz w:val="18"/>
                <w:szCs w:val="18"/>
              </w:rPr>
              <w:t xml:space="preserve">  </w:t>
            </w:r>
            <w:r>
              <w:rPr>
                <w:rFonts w:hint="eastAsia" w:ascii="宋体" w:hAnsi="宋体"/>
                <w:sz w:val="18"/>
                <w:szCs w:val="18"/>
                <w:lang w:val="en-US" w:eastAsia="zh-CN"/>
              </w:rPr>
              <w:t>其中：</w:t>
            </w:r>
            <w:r>
              <w:rPr>
                <w:rFonts w:hint="eastAsia" w:ascii="宋体" w:hAnsi="宋体"/>
                <w:sz w:val="18"/>
                <w:szCs w:val="18"/>
              </w:rPr>
              <w:t>焦炉煤气</w:t>
            </w:r>
          </w:p>
        </w:tc>
        <w:tc>
          <w:tcPr>
            <w:tcW w:w="1020" w:type="dxa"/>
            <w:shd w:val="clear" w:color="auto" w:fill="auto"/>
            <w:noWrap/>
            <w:tcMar>
              <w:left w:w="28" w:type="dxa"/>
              <w:right w:w="28" w:type="dxa"/>
            </w:tcMar>
            <w:vAlign w:val="center"/>
          </w:tcPr>
          <w:p w14:paraId="376B6030">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01D8CD82">
            <w:pPr>
              <w:widowControl/>
              <w:spacing w:line="200" w:lineRule="exact"/>
              <w:jc w:val="center"/>
              <w:rPr>
                <w:rFonts w:ascii="宋体" w:hAnsi="宋体"/>
                <w:kern w:val="0"/>
                <w:sz w:val="18"/>
                <w:szCs w:val="18"/>
              </w:rPr>
            </w:pPr>
            <w:r>
              <w:rPr>
                <w:rFonts w:ascii="宋体" w:hAnsi="宋体"/>
                <w:sz w:val="18"/>
                <w:szCs w:val="18"/>
              </w:rPr>
              <w:t>4501010000</w:t>
            </w:r>
          </w:p>
        </w:tc>
        <w:tc>
          <w:tcPr>
            <w:tcW w:w="2891" w:type="dxa"/>
            <w:tcBorders>
              <w:left w:val="double" w:color="auto" w:sz="4" w:space="0"/>
            </w:tcBorders>
            <w:vAlign w:val="center"/>
          </w:tcPr>
          <w:p w14:paraId="74C63B34">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燃油发电量</w:t>
            </w:r>
          </w:p>
        </w:tc>
        <w:tc>
          <w:tcPr>
            <w:tcW w:w="1020" w:type="dxa"/>
            <w:vAlign w:val="center"/>
          </w:tcPr>
          <w:p w14:paraId="6671F4BA">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41F59A89">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4401010102</w:t>
            </w:r>
          </w:p>
        </w:tc>
      </w:tr>
      <w:tr w14:paraId="55C3CCE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5B852F9">
            <w:pPr>
              <w:widowControl/>
              <w:spacing w:line="200" w:lineRule="exact"/>
              <w:ind w:left="525" w:leftChars="250" w:firstLine="360" w:firstLineChars="200"/>
              <w:rPr>
                <w:rFonts w:ascii="宋体" w:hAnsi="宋体"/>
                <w:kern w:val="0"/>
                <w:sz w:val="18"/>
                <w:szCs w:val="18"/>
              </w:rPr>
            </w:pPr>
            <w:r>
              <w:rPr>
                <w:rFonts w:hint="eastAsia" w:ascii="宋体" w:hAnsi="宋体"/>
                <w:sz w:val="18"/>
                <w:szCs w:val="18"/>
              </w:rPr>
              <w:t xml:space="preserve">  </w:t>
            </w:r>
            <w:r>
              <w:rPr>
                <w:rFonts w:hint="eastAsia" w:ascii="宋体" w:hAnsi="宋体"/>
                <w:sz w:val="18"/>
                <w:szCs w:val="18"/>
                <w:lang w:val="en-US" w:eastAsia="zh-CN"/>
              </w:rPr>
              <w:t>高</w:t>
            </w:r>
            <w:r>
              <w:rPr>
                <w:rFonts w:hint="eastAsia" w:ascii="宋体" w:hAnsi="宋体"/>
                <w:sz w:val="18"/>
                <w:szCs w:val="18"/>
              </w:rPr>
              <w:t>炉煤气</w:t>
            </w:r>
          </w:p>
        </w:tc>
        <w:tc>
          <w:tcPr>
            <w:tcW w:w="1020" w:type="dxa"/>
            <w:shd w:val="clear" w:color="auto" w:fill="auto"/>
            <w:noWrap/>
            <w:tcMar>
              <w:left w:w="28" w:type="dxa"/>
              <w:right w:w="28" w:type="dxa"/>
            </w:tcMar>
            <w:vAlign w:val="center"/>
          </w:tcPr>
          <w:p w14:paraId="3DB7367A">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42D8A3B1">
            <w:pPr>
              <w:widowControl/>
              <w:spacing w:line="200" w:lineRule="exact"/>
              <w:jc w:val="center"/>
              <w:rPr>
                <w:rFonts w:ascii="宋体" w:hAnsi="宋体"/>
                <w:kern w:val="0"/>
                <w:sz w:val="18"/>
                <w:szCs w:val="18"/>
              </w:rPr>
            </w:pPr>
            <w:r>
              <w:rPr>
                <w:rFonts w:ascii="宋体" w:hAnsi="宋体"/>
                <w:sz w:val="18"/>
                <w:szCs w:val="18"/>
              </w:rPr>
              <w:t>45010</w:t>
            </w:r>
            <w:r>
              <w:rPr>
                <w:rFonts w:hint="eastAsia" w:ascii="宋体" w:hAnsi="宋体"/>
                <w:sz w:val="18"/>
                <w:szCs w:val="18"/>
                <w:lang w:val="en-US" w:eastAsia="zh-CN"/>
              </w:rPr>
              <w:t>3</w:t>
            </w:r>
            <w:r>
              <w:rPr>
                <w:rFonts w:ascii="宋体" w:hAnsi="宋体"/>
                <w:sz w:val="18"/>
                <w:szCs w:val="18"/>
              </w:rPr>
              <w:t>0000</w:t>
            </w:r>
          </w:p>
        </w:tc>
        <w:tc>
          <w:tcPr>
            <w:tcW w:w="2891" w:type="dxa"/>
            <w:tcBorders>
              <w:left w:val="double" w:color="auto" w:sz="4" w:space="0"/>
            </w:tcBorders>
            <w:vAlign w:val="center"/>
          </w:tcPr>
          <w:p w14:paraId="079BDC0C">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燃气发电量</w:t>
            </w:r>
          </w:p>
        </w:tc>
        <w:tc>
          <w:tcPr>
            <w:tcW w:w="1020" w:type="dxa"/>
            <w:vAlign w:val="center"/>
          </w:tcPr>
          <w:p w14:paraId="52DC1385">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6186BB0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4401010103</w:t>
            </w:r>
          </w:p>
        </w:tc>
      </w:tr>
      <w:tr w14:paraId="6AB65D3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5B84197F">
            <w:pPr>
              <w:widowControl/>
              <w:spacing w:line="200" w:lineRule="exact"/>
              <w:ind w:left="525" w:leftChars="250" w:firstLine="360" w:firstLineChars="200"/>
              <w:rPr>
                <w:rFonts w:ascii="宋体" w:hAnsi="宋体"/>
                <w:kern w:val="0"/>
                <w:sz w:val="18"/>
                <w:szCs w:val="18"/>
              </w:rPr>
            </w:pPr>
            <w:r>
              <w:rPr>
                <w:rFonts w:hint="eastAsia" w:ascii="宋体" w:hAnsi="宋体"/>
                <w:sz w:val="18"/>
                <w:szCs w:val="18"/>
              </w:rPr>
              <w:t xml:space="preserve">  </w:t>
            </w:r>
            <w:r>
              <w:rPr>
                <w:rFonts w:hint="eastAsia" w:ascii="宋体" w:hAnsi="宋体"/>
                <w:sz w:val="18"/>
                <w:szCs w:val="18"/>
                <w:lang w:val="en-US" w:eastAsia="zh-CN"/>
              </w:rPr>
              <w:t>转炉</w:t>
            </w:r>
            <w:r>
              <w:rPr>
                <w:rFonts w:hint="eastAsia" w:ascii="宋体" w:hAnsi="宋体"/>
                <w:sz w:val="18"/>
                <w:szCs w:val="18"/>
              </w:rPr>
              <w:t>煤气</w:t>
            </w:r>
          </w:p>
        </w:tc>
        <w:tc>
          <w:tcPr>
            <w:tcW w:w="1020" w:type="dxa"/>
            <w:shd w:val="clear" w:color="auto" w:fill="auto"/>
            <w:noWrap/>
            <w:tcMar>
              <w:left w:w="28" w:type="dxa"/>
              <w:right w:w="28" w:type="dxa"/>
            </w:tcMar>
            <w:vAlign w:val="center"/>
          </w:tcPr>
          <w:p w14:paraId="1B5073AB">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49F30E5C">
            <w:pPr>
              <w:widowControl/>
              <w:spacing w:line="200" w:lineRule="exact"/>
              <w:jc w:val="center"/>
              <w:rPr>
                <w:rFonts w:ascii="宋体" w:hAnsi="宋体"/>
                <w:kern w:val="0"/>
                <w:sz w:val="18"/>
                <w:szCs w:val="18"/>
              </w:rPr>
            </w:pPr>
            <w:r>
              <w:rPr>
                <w:rFonts w:ascii="宋体" w:hAnsi="宋体"/>
                <w:sz w:val="18"/>
                <w:szCs w:val="18"/>
              </w:rPr>
              <w:t>45010</w:t>
            </w:r>
            <w:r>
              <w:rPr>
                <w:rFonts w:hint="eastAsia" w:ascii="宋体" w:hAnsi="宋体"/>
                <w:sz w:val="18"/>
                <w:szCs w:val="18"/>
                <w:lang w:val="en-US" w:eastAsia="zh-CN"/>
              </w:rPr>
              <w:t>4</w:t>
            </w:r>
            <w:r>
              <w:rPr>
                <w:rFonts w:ascii="宋体" w:hAnsi="宋体"/>
                <w:sz w:val="18"/>
                <w:szCs w:val="18"/>
              </w:rPr>
              <w:t>0000</w:t>
            </w:r>
          </w:p>
        </w:tc>
        <w:tc>
          <w:tcPr>
            <w:tcW w:w="2891" w:type="dxa"/>
            <w:tcBorders>
              <w:left w:val="double" w:color="auto" w:sz="4" w:space="0"/>
            </w:tcBorders>
            <w:vAlign w:val="center"/>
          </w:tcPr>
          <w:p w14:paraId="3775791B">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其中：煤层气发电量  </w:t>
            </w:r>
          </w:p>
        </w:tc>
        <w:tc>
          <w:tcPr>
            <w:tcW w:w="1020" w:type="dxa"/>
            <w:vAlign w:val="center"/>
          </w:tcPr>
          <w:p w14:paraId="4AD8B7E0">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28567E6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4401010106</w:t>
            </w:r>
          </w:p>
        </w:tc>
      </w:tr>
      <w:tr w14:paraId="3B8237B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5B90546">
            <w:pPr>
              <w:widowControl/>
              <w:spacing w:line="200" w:lineRule="exact"/>
              <w:rPr>
                <w:rFonts w:ascii="宋体" w:hAnsi="宋体"/>
                <w:kern w:val="0"/>
                <w:sz w:val="18"/>
                <w:szCs w:val="18"/>
              </w:rPr>
            </w:pPr>
            <w:r>
              <w:rPr>
                <w:rFonts w:hint="eastAsia" w:ascii="宋体" w:hAnsi="宋体"/>
                <w:sz w:val="18"/>
                <w:szCs w:val="18"/>
              </w:rPr>
              <w:t xml:space="preserve">    煤制天然气</w:t>
            </w:r>
          </w:p>
        </w:tc>
        <w:tc>
          <w:tcPr>
            <w:tcW w:w="1020" w:type="dxa"/>
            <w:shd w:val="clear" w:color="auto" w:fill="auto"/>
            <w:noWrap/>
            <w:tcMar>
              <w:left w:w="28" w:type="dxa"/>
              <w:right w:w="28" w:type="dxa"/>
            </w:tcMar>
            <w:vAlign w:val="center"/>
          </w:tcPr>
          <w:p w14:paraId="37103D2F">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2FD3B5FE">
            <w:pPr>
              <w:widowControl/>
              <w:spacing w:line="200" w:lineRule="exact"/>
              <w:jc w:val="center"/>
              <w:rPr>
                <w:rFonts w:ascii="宋体" w:hAnsi="宋体"/>
                <w:kern w:val="0"/>
                <w:sz w:val="18"/>
                <w:szCs w:val="18"/>
              </w:rPr>
            </w:pPr>
            <w:r>
              <w:rPr>
                <w:rFonts w:ascii="宋体" w:hAnsi="宋体"/>
                <w:sz w:val="18"/>
                <w:szCs w:val="18"/>
              </w:rPr>
              <w:t>2522010000</w:t>
            </w:r>
          </w:p>
        </w:tc>
        <w:tc>
          <w:tcPr>
            <w:tcW w:w="2891" w:type="dxa"/>
            <w:tcBorders>
              <w:left w:val="double" w:color="auto" w:sz="4" w:space="0"/>
            </w:tcBorders>
            <w:vAlign w:val="center"/>
          </w:tcPr>
          <w:p w14:paraId="63199E1E">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w:t>
            </w:r>
            <w:r>
              <w:rPr>
                <w:rFonts w:hint="eastAsia" w:ascii="宋体" w:hAnsi="宋体"/>
                <w:spacing w:val="-10"/>
                <w:sz w:val="18"/>
                <w:szCs w:val="18"/>
              </w:rPr>
              <w:t>余热、余压、余气发电量</w:t>
            </w:r>
          </w:p>
        </w:tc>
        <w:tc>
          <w:tcPr>
            <w:tcW w:w="1020" w:type="dxa"/>
            <w:vAlign w:val="center"/>
          </w:tcPr>
          <w:p w14:paraId="7577FDE4">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01E951E1">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4401010104</w:t>
            </w:r>
          </w:p>
        </w:tc>
      </w:tr>
      <w:tr w14:paraId="722CC72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098DD131">
            <w:pPr>
              <w:widowControl/>
              <w:spacing w:line="200" w:lineRule="exact"/>
              <w:rPr>
                <w:rFonts w:ascii="宋体" w:hAnsi="宋体"/>
                <w:kern w:val="0"/>
                <w:sz w:val="18"/>
                <w:szCs w:val="18"/>
              </w:rPr>
            </w:pPr>
            <w:r>
              <w:rPr>
                <w:rFonts w:hint="eastAsia" w:ascii="宋体" w:hAnsi="宋体"/>
                <w:sz w:val="18"/>
                <w:szCs w:val="18"/>
              </w:rPr>
              <w:t xml:space="preserve">  煤制油</w:t>
            </w:r>
          </w:p>
        </w:tc>
        <w:tc>
          <w:tcPr>
            <w:tcW w:w="1020" w:type="dxa"/>
            <w:shd w:val="clear" w:color="auto" w:fill="auto"/>
            <w:noWrap/>
            <w:tcMar>
              <w:left w:w="28" w:type="dxa"/>
              <w:right w:w="28" w:type="dxa"/>
            </w:tcMar>
            <w:vAlign w:val="center"/>
          </w:tcPr>
          <w:p w14:paraId="5A57DF82">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2F02C211">
            <w:pPr>
              <w:widowControl/>
              <w:spacing w:line="200" w:lineRule="exact"/>
              <w:jc w:val="center"/>
              <w:rPr>
                <w:rFonts w:ascii="宋体" w:hAnsi="宋体"/>
                <w:kern w:val="0"/>
                <w:sz w:val="18"/>
                <w:szCs w:val="18"/>
              </w:rPr>
            </w:pPr>
            <w:r>
              <w:rPr>
                <w:rFonts w:ascii="宋体" w:hAnsi="宋体"/>
                <w:sz w:val="18"/>
                <w:szCs w:val="18"/>
              </w:rPr>
              <w:t>2523000000</w:t>
            </w:r>
          </w:p>
        </w:tc>
        <w:tc>
          <w:tcPr>
            <w:tcW w:w="2891" w:type="dxa"/>
            <w:tcBorders>
              <w:left w:val="double" w:color="auto" w:sz="4" w:space="0"/>
            </w:tcBorders>
            <w:vAlign w:val="center"/>
          </w:tcPr>
          <w:p w14:paraId="01884E83">
            <w:pPr>
              <w:widowControl/>
              <w:spacing w:line="200" w:lineRule="exact"/>
              <w:jc w:val="left"/>
              <w:rPr>
                <w:rFonts w:ascii="宋体" w:hAnsi="宋体" w:eastAsia="宋体" w:cs="Times New Roman"/>
                <w:color w:val="auto"/>
                <w:kern w:val="0"/>
                <w:sz w:val="18"/>
                <w:szCs w:val="18"/>
                <w:lang w:val="en-US" w:eastAsia="zh-CN" w:bidi="ar-SA"/>
              </w:rPr>
            </w:pPr>
            <w:r>
              <w:rPr>
                <w:rFonts w:hint="eastAsia" w:ascii="宋体" w:hAnsi="宋体"/>
                <w:color w:val="auto"/>
                <w:sz w:val="18"/>
                <w:szCs w:val="18"/>
              </w:rPr>
              <w:t xml:space="preserve">    生物质发电量</w:t>
            </w:r>
          </w:p>
        </w:tc>
        <w:tc>
          <w:tcPr>
            <w:tcW w:w="1020" w:type="dxa"/>
            <w:vAlign w:val="center"/>
          </w:tcPr>
          <w:p w14:paraId="5EFB4F61">
            <w:pPr>
              <w:widowControl/>
              <w:spacing w:line="200" w:lineRule="exact"/>
              <w:jc w:val="center"/>
              <w:rPr>
                <w:rFonts w:ascii="宋体" w:hAnsi="宋体" w:eastAsia="宋体" w:cs="Times New Roman"/>
                <w:color w:val="auto"/>
                <w:kern w:val="0"/>
                <w:sz w:val="18"/>
                <w:szCs w:val="18"/>
                <w:lang w:val="en-US" w:eastAsia="zh-CN" w:bidi="ar-SA"/>
              </w:rPr>
            </w:pPr>
            <w:r>
              <w:rPr>
                <w:rFonts w:hint="eastAsia" w:ascii="宋体" w:hAnsi="宋体"/>
                <w:color w:val="auto"/>
                <w:sz w:val="18"/>
                <w:szCs w:val="18"/>
              </w:rPr>
              <w:t>万千瓦时</w:t>
            </w:r>
          </w:p>
        </w:tc>
        <w:tc>
          <w:tcPr>
            <w:tcW w:w="1134" w:type="dxa"/>
            <w:vAlign w:val="center"/>
          </w:tcPr>
          <w:p w14:paraId="17B8426F">
            <w:pPr>
              <w:widowControl/>
              <w:spacing w:line="200" w:lineRule="exact"/>
              <w:jc w:val="center"/>
              <w:rPr>
                <w:rFonts w:ascii="宋体" w:hAnsi="宋体" w:eastAsia="宋体" w:cs="Times New Roman"/>
                <w:color w:val="auto"/>
                <w:kern w:val="0"/>
                <w:sz w:val="18"/>
                <w:szCs w:val="18"/>
                <w:lang w:val="en-US" w:eastAsia="zh-CN" w:bidi="ar-SA"/>
              </w:rPr>
            </w:pPr>
            <w:r>
              <w:rPr>
                <w:rFonts w:ascii="宋体" w:hAnsi="宋体"/>
                <w:color w:val="auto"/>
                <w:sz w:val="18"/>
                <w:szCs w:val="18"/>
              </w:rPr>
              <w:t>4401011000</w:t>
            </w:r>
          </w:p>
        </w:tc>
      </w:tr>
      <w:tr w14:paraId="1883170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4FFECE8">
            <w:pPr>
              <w:widowControl/>
              <w:spacing w:line="200" w:lineRule="exact"/>
              <w:rPr>
                <w:rFonts w:ascii="宋体" w:hAnsi="宋体"/>
                <w:kern w:val="0"/>
                <w:sz w:val="18"/>
                <w:szCs w:val="18"/>
              </w:rPr>
            </w:pPr>
            <w:r>
              <w:rPr>
                <w:rFonts w:hint="eastAsia" w:ascii="宋体" w:hAnsi="宋体"/>
                <w:sz w:val="18"/>
                <w:szCs w:val="18"/>
              </w:rPr>
              <w:t xml:space="preserve">    煤制石脑油</w:t>
            </w:r>
          </w:p>
        </w:tc>
        <w:tc>
          <w:tcPr>
            <w:tcW w:w="1020" w:type="dxa"/>
            <w:shd w:val="clear" w:color="auto" w:fill="auto"/>
            <w:noWrap/>
            <w:tcMar>
              <w:left w:w="28" w:type="dxa"/>
              <w:right w:w="28" w:type="dxa"/>
            </w:tcMar>
            <w:vAlign w:val="center"/>
          </w:tcPr>
          <w:p w14:paraId="0ACDAFA6">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29AF31CE">
            <w:pPr>
              <w:widowControl/>
              <w:spacing w:line="200" w:lineRule="exact"/>
              <w:jc w:val="center"/>
              <w:rPr>
                <w:rFonts w:ascii="宋体" w:hAnsi="宋体"/>
                <w:kern w:val="0"/>
                <w:sz w:val="18"/>
                <w:szCs w:val="18"/>
              </w:rPr>
            </w:pPr>
            <w:r>
              <w:rPr>
                <w:rFonts w:ascii="宋体" w:hAnsi="宋体"/>
                <w:sz w:val="18"/>
                <w:szCs w:val="18"/>
              </w:rPr>
              <w:t>2523010000</w:t>
            </w:r>
          </w:p>
        </w:tc>
        <w:tc>
          <w:tcPr>
            <w:tcW w:w="2891" w:type="dxa"/>
            <w:tcBorders>
              <w:left w:val="double" w:color="auto" w:sz="4" w:space="0"/>
            </w:tcBorders>
            <w:vAlign w:val="center"/>
          </w:tcPr>
          <w:p w14:paraId="392CB9DB">
            <w:pPr>
              <w:widowControl/>
              <w:spacing w:line="200" w:lineRule="exact"/>
              <w:jc w:val="left"/>
              <w:rPr>
                <w:rFonts w:ascii="宋体" w:hAnsi="宋体" w:eastAsia="宋体" w:cs="Times New Roman"/>
                <w:color w:val="auto"/>
                <w:kern w:val="0"/>
                <w:sz w:val="18"/>
                <w:szCs w:val="18"/>
                <w:lang w:val="en-US" w:eastAsia="zh-CN" w:bidi="ar-SA"/>
              </w:rPr>
            </w:pPr>
            <w:r>
              <w:rPr>
                <w:rFonts w:hint="eastAsia" w:ascii="宋体" w:hAnsi="宋体"/>
                <w:color w:val="auto"/>
                <w:sz w:val="18"/>
                <w:szCs w:val="18"/>
              </w:rPr>
              <w:t xml:space="preserve">      其中：沼气发电量</w:t>
            </w:r>
          </w:p>
        </w:tc>
        <w:tc>
          <w:tcPr>
            <w:tcW w:w="1020" w:type="dxa"/>
            <w:vAlign w:val="center"/>
          </w:tcPr>
          <w:p w14:paraId="2A450DAF">
            <w:pPr>
              <w:widowControl/>
              <w:spacing w:line="200" w:lineRule="exact"/>
              <w:jc w:val="center"/>
              <w:rPr>
                <w:rFonts w:ascii="宋体" w:hAnsi="宋体" w:eastAsia="宋体" w:cs="Times New Roman"/>
                <w:color w:val="auto"/>
                <w:kern w:val="0"/>
                <w:sz w:val="18"/>
                <w:szCs w:val="18"/>
                <w:lang w:val="en-US" w:eastAsia="zh-CN" w:bidi="ar-SA"/>
              </w:rPr>
            </w:pPr>
            <w:r>
              <w:rPr>
                <w:rFonts w:hint="eastAsia" w:ascii="宋体" w:hAnsi="宋体"/>
                <w:color w:val="auto"/>
                <w:sz w:val="18"/>
                <w:szCs w:val="18"/>
              </w:rPr>
              <w:t>万千瓦时</w:t>
            </w:r>
          </w:p>
        </w:tc>
        <w:tc>
          <w:tcPr>
            <w:tcW w:w="1134" w:type="dxa"/>
            <w:vAlign w:val="center"/>
          </w:tcPr>
          <w:p w14:paraId="4D936BD8">
            <w:pPr>
              <w:widowControl/>
              <w:spacing w:line="200" w:lineRule="exact"/>
              <w:jc w:val="center"/>
              <w:rPr>
                <w:rFonts w:ascii="宋体" w:hAnsi="宋体" w:eastAsia="宋体" w:cs="Times New Roman"/>
                <w:color w:val="auto"/>
                <w:kern w:val="0"/>
                <w:sz w:val="18"/>
                <w:szCs w:val="18"/>
                <w:lang w:val="en-US" w:eastAsia="zh-CN" w:bidi="ar-SA"/>
              </w:rPr>
            </w:pPr>
            <w:r>
              <w:rPr>
                <w:rFonts w:ascii="宋体" w:hAnsi="宋体"/>
                <w:color w:val="auto"/>
                <w:sz w:val="18"/>
                <w:szCs w:val="18"/>
              </w:rPr>
              <w:t>4401010700</w:t>
            </w:r>
          </w:p>
        </w:tc>
      </w:tr>
      <w:tr w14:paraId="3B955F4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02FE468A">
            <w:pPr>
              <w:widowControl/>
              <w:spacing w:line="200" w:lineRule="exact"/>
              <w:rPr>
                <w:rFonts w:ascii="宋体" w:hAnsi="宋体"/>
                <w:kern w:val="0"/>
                <w:sz w:val="18"/>
                <w:szCs w:val="18"/>
              </w:rPr>
            </w:pPr>
            <w:r>
              <w:rPr>
                <w:rFonts w:hint="eastAsia" w:ascii="宋体" w:hAnsi="宋体"/>
                <w:sz w:val="18"/>
                <w:szCs w:val="18"/>
              </w:rPr>
              <w:t xml:space="preserve">    煤制汽油</w:t>
            </w:r>
          </w:p>
        </w:tc>
        <w:tc>
          <w:tcPr>
            <w:tcW w:w="1020" w:type="dxa"/>
            <w:shd w:val="clear" w:color="auto" w:fill="auto"/>
            <w:noWrap/>
            <w:tcMar>
              <w:left w:w="28" w:type="dxa"/>
              <w:right w:w="28" w:type="dxa"/>
            </w:tcMar>
            <w:vAlign w:val="center"/>
          </w:tcPr>
          <w:p w14:paraId="56B0F18F">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2F91119">
            <w:pPr>
              <w:widowControl/>
              <w:spacing w:line="200" w:lineRule="exact"/>
              <w:jc w:val="center"/>
              <w:rPr>
                <w:rFonts w:ascii="宋体" w:hAnsi="宋体"/>
                <w:kern w:val="0"/>
                <w:sz w:val="18"/>
                <w:szCs w:val="18"/>
              </w:rPr>
            </w:pPr>
            <w:r>
              <w:rPr>
                <w:rFonts w:ascii="宋体" w:hAnsi="宋体"/>
                <w:sz w:val="18"/>
                <w:szCs w:val="18"/>
              </w:rPr>
              <w:t>2523020000</w:t>
            </w:r>
          </w:p>
        </w:tc>
        <w:tc>
          <w:tcPr>
            <w:tcW w:w="2891" w:type="dxa"/>
            <w:tcBorders>
              <w:left w:val="double" w:color="auto" w:sz="4" w:space="0"/>
            </w:tcBorders>
            <w:vAlign w:val="center"/>
          </w:tcPr>
          <w:p w14:paraId="53172FD4">
            <w:pPr>
              <w:widowControl/>
              <w:spacing w:line="200" w:lineRule="exact"/>
              <w:ind w:firstLine="1080" w:firstLineChars="600"/>
              <w:jc w:val="left"/>
              <w:rPr>
                <w:rFonts w:ascii="宋体" w:hAnsi="宋体" w:eastAsia="宋体" w:cs="Times New Roman"/>
                <w:color w:val="auto"/>
                <w:kern w:val="0"/>
                <w:sz w:val="18"/>
                <w:szCs w:val="18"/>
                <w:lang w:val="en-US" w:eastAsia="zh-CN" w:bidi="ar-SA"/>
              </w:rPr>
            </w:pPr>
            <w:r>
              <w:rPr>
                <w:rFonts w:hint="eastAsia" w:ascii="宋体" w:hAnsi="宋体"/>
                <w:color w:val="auto"/>
                <w:w w:val="100"/>
                <w:sz w:val="18"/>
                <w:szCs w:val="18"/>
              </w:rPr>
              <w:t>垃圾焚烧发电量</w:t>
            </w:r>
          </w:p>
        </w:tc>
        <w:tc>
          <w:tcPr>
            <w:tcW w:w="1020" w:type="dxa"/>
            <w:vAlign w:val="center"/>
          </w:tcPr>
          <w:p w14:paraId="69D99593">
            <w:pPr>
              <w:widowControl/>
              <w:spacing w:line="200" w:lineRule="exact"/>
              <w:jc w:val="center"/>
              <w:rPr>
                <w:rFonts w:ascii="宋体" w:hAnsi="宋体" w:eastAsia="宋体" w:cs="Times New Roman"/>
                <w:color w:val="auto"/>
                <w:kern w:val="0"/>
                <w:sz w:val="18"/>
                <w:szCs w:val="18"/>
                <w:lang w:val="en-US" w:eastAsia="zh-CN" w:bidi="ar-SA"/>
              </w:rPr>
            </w:pPr>
            <w:r>
              <w:rPr>
                <w:rFonts w:hint="eastAsia" w:ascii="宋体" w:hAnsi="宋体"/>
                <w:color w:val="auto"/>
                <w:sz w:val="18"/>
                <w:szCs w:val="18"/>
              </w:rPr>
              <w:t>万千瓦时</w:t>
            </w:r>
          </w:p>
        </w:tc>
        <w:tc>
          <w:tcPr>
            <w:tcW w:w="1134" w:type="dxa"/>
            <w:vAlign w:val="center"/>
          </w:tcPr>
          <w:p w14:paraId="2321948A">
            <w:pPr>
              <w:widowControl/>
              <w:spacing w:line="200" w:lineRule="exact"/>
              <w:jc w:val="center"/>
              <w:rPr>
                <w:rFonts w:ascii="宋体" w:hAnsi="宋体" w:eastAsia="宋体" w:cs="Times New Roman"/>
                <w:color w:val="auto"/>
                <w:kern w:val="0"/>
                <w:sz w:val="18"/>
                <w:szCs w:val="18"/>
                <w:lang w:val="en-US" w:eastAsia="zh-CN" w:bidi="ar-SA"/>
              </w:rPr>
            </w:pPr>
            <w:r>
              <w:rPr>
                <w:rFonts w:ascii="宋体" w:hAnsi="宋体"/>
                <w:color w:val="auto"/>
                <w:sz w:val="18"/>
                <w:szCs w:val="18"/>
              </w:rPr>
              <w:t>4401010900</w:t>
            </w:r>
          </w:p>
        </w:tc>
      </w:tr>
      <w:tr w14:paraId="34E6BA1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FE82D8C">
            <w:pPr>
              <w:widowControl/>
              <w:spacing w:line="200" w:lineRule="exact"/>
              <w:rPr>
                <w:rFonts w:ascii="宋体" w:hAnsi="宋体"/>
                <w:kern w:val="0"/>
                <w:sz w:val="18"/>
                <w:szCs w:val="18"/>
              </w:rPr>
            </w:pPr>
            <w:r>
              <w:rPr>
                <w:rFonts w:hint="eastAsia" w:ascii="宋体" w:hAnsi="宋体"/>
                <w:sz w:val="18"/>
                <w:szCs w:val="18"/>
              </w:rPr>
              <w:t xml:space="preserve">    煤制柴油</w:t>
            </w:r>
          </w:p>
        </w:tc>
        <w:tc>
          <w:tcPr>
            <w:tcW w:w="1020" w:type="dxa"/>
            <w:shd w:val="clear" w:color="auto" w:fill="auto"/>
            <w:noWrap/>
            <w:tcMar>
              <w:left w:w="28" w:type="dxa"/>
              <w:right w:w="28" w:type="dxa"/>
            </w:tcMar>
            <w:vAlign w:val="center"/>
          </w:tcPr>
          <w:p w14:paraId="4F3C0D79">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C896FA7">
            <w:pPr>
              <w:widowControl/>
              <w:spacing w:line="200" w:lineRule="exact"/>
              <w:jc w:val="center"/>
              <w:rPr>
                <w:rFonts w:ascii="宋体" w:hAnsi="宋体"/>
                <w:kern w:val="0"/>
                <w:sz w:val="18"/>
                <w:szCs w:val="18"/>
              </w:rPr>
            </w:pPr>
            <w:r>
              <w:rPr>
                <w:rFonts w:ascii="宋体" w:hAnsi="宋体"/>
                <w:sz w:val="18"/>
                <w:szCs w:val="18"/>
              </w:rPr>
              <w:t>2523030000</w:t>
            </w:r>
          </w:p>
        </w:tc>
        <w:tc>
          <w:tcPr>
            <w:tcW w:w="2891" w:type="dxa"/>
            <w:tcBorders>
              <w:left w:val="double" w:color="auto" w:sz="4" w:space="0"/>
            </w:tcBorders>
            <w:vAlign w:val="center"/>
          </w:tcPr>
          <w:p w14:paraId="4EC3DF58">
            <w:pPr>
              <w:widowControl/>
              <w:spacing w:line="200" w:lineRule="exact"/>
              <w:jc w:val="left"/>
              <w:rPr>
                <w:rFonts w:ascii="宋体" w:hAnsi="宋体" w:eastAsia="宋体" w:cs="Times New Roman"/>
                <w:spacing w:val="-10"/>
                <w:kern w:val="0"/>
                <w:sz w:val="18"/>
                <w:szCs w:val="18"/>
                <w:lang w:val="en-US" w:eastAsia="zh-CN" w:bidi="ar-SA"/>
              </w:rPr>
            </w:pPr>
            <w:r>
              <w:rPr>
                <w:rFonts w:hint="eastAsia" w:ascii="宋体" w:hAnsi="宋体"/>
                <w:sz w:val="18"/>
                <w:szCs w:val="18"/>
              </w:rPr>
              <w:t xml:space="preserve">  水力发电量</w:t>
            </w:r>
          </w:p>
        </w:tc>
        <w:tc>
          <w:tcPr>
            <w:tcW w:w="1020" w:type="dxa"/>
            <w:vAlign w:val="center"/>
          </w:tcPr>
          <w:p w14:paraId="424A25D6">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2D3452FB">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4401010200</w:t>
            </w:r>
          </w:p>
        </w:tc>
      </w:tr>
      <w:tr w14:paraId="3C40AB0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17B44945">
            <w:pPr>
              <w:widowControl/>
              <w:spacing w:line="200" w:lineRule="exact"/>
              <w:rPr>
                <w:rFonts w:ascii="宋体" w:hAnsi="宋体"/>
                <w:kern w:val="0"/>
                <w:sz w:val="18"/>
                <w:szCs w:val="18"/>
              </w:rPr>
            </w:pPr>
            <w:r>
              <w:rPr>
                <w:rFonts w:hint="eastAsia" w:ascii="宋体" w:hAnsi="宋体"/>
                <w:sz w:val="18"/>
                <w:szCs w:val="18"/>
              </w:rPr>
              <w:t xml:space="preserve">    煤制航空燃料</w:t>
            </w:r>
          </w:p>
        </w:tc>
        <w:tc>
          <w:tcPr>
            <w:tcW w:w="1020" w:type="dxa"/>
            <w:shd w:val="clear" w:color="auto" w:fill="auto"/>
            <w:noWrap/>
            <w:tcMar>
              <w:left w:w="28" w:type="dxa"/>
              <w:right w:w="28" w:type="dxa"/>
            </w:tcMar>
            <w:vAlign w:val="center"/>
          </w:tcPr>
          <w:p w14:paraId="4CD07337">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6898BBE">
            <w:pPr>
              <w:widowControl/>
              <w:spacing w:line="200" w:lineRule="exact"/>
              <w:jc w:val="center"/>
              <w:rPr>
                <w:rFonts w:ascii="宋体" w:hAnsi="宋体"/>
                <w:kern w:val="0"/>
                <w:sz w:val="18"/>
                <w:szCs w:val="18"/>
              </w:rPr>
            </w:pPr>
            <w:r>
              <w:rPr>
                <w:rFonts w:ascii="宋体" w:hAnsi="宋体"/>
                <w:sz w:val="18"/>
                <w:szCs w:val="18"/>
              </w:rPr>
              <w:t>2523040000</w:t>
            </w:r>
          </w:p>
        </w:tc>
        <w:tc>
          <w:tcPr>
            <w:tcW w:w="2891" w:type="dxa"/>
            <w:tcBorders>
              <w:left w:val="double" w:color="auto" w:sz="4" w:space="0"/>
            </w:tcBorders>
            <w:vAlign w:val="center"/>
          </w:tcPr>
          <w:p w14:paraId="05186F73">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其中：抽水蓄能发电量</w:t>
            </w:r>
          </w:p>
        </w:tc>
        <w:tc>
          <w:tcPr>
            <w:tcW w:w="1020" w:type="dxa"/>
            <w:vAlign w:val="center"/>
          </w:tcPr>
          <w:p w14:paraId="0E5FC537">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07C1714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4401010201</w:t>
            </w:r>
          </w:p>
        </w:tc>
      </w:tr>
      <w:tr w14:paraId="25CB26D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10BC2B96">
            <w:pPr>
              <w:widowControl/>
              <w:spacing w:line="200" w:lineRule="exact"/>
              <w:rPr>
                <w:rFonts w:ascii="宋体" w:hAnsi="宋体"/>
                <w:kern w:val="0"/>
                <w:sz w:val="18"/>
                <w:szCs w:val="18"/>
              </w:rPr>
            </w:pPr>
            <w:r>
              <w:rPr>
                <w:rFonts w:hint="eastAsia" w:ascii="宋体" w:hAnsi="宋体"/>
                <w:sz w:val="18"/>
                <w:szCs w:val="18"/>
              </w:rPr>
              <w:t xml:space="preserve">    煤制石蜡</w:t>
            </w:r>
          </w:p>
        </w:tc>
        <w:tc>
          <w:tcPr>
            <w:tcW w:w="1020" w:type="dxa"/>
            <w:shd w:val="clear" w:color="auto" w:fill="auto"/>
            <w:noWrap/>
            <w:tcMar>
              <w:left w:w="28" w:type="dxa"/>
              <w:right w:w="28" w:type="dxa"/>
            </w:tcMar>
            <w:vAlign w:val="center"/>
          </w:tcPr>
          <w:p w14:paraId="51373D44">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F37FB89">
            <w:pPr>
              <w:widowControl/>
              <w:spacing w:line="200" w:lineRule="exact"/>
              <w:jc w:val="center"/>
              <w:rPr>
                <w:rFonts w:ascii="宋体" w:hAnsi="宋体"/>
                <w:kern w:val="0"/>
                <w:sz w:val="18"/>
                <w:szCs w:val="18"/>
              </w:rPr>
            </w:pPr>
            <w:r>
              <w:rPr>
                <w:rFonts w:ascii="宋体" w:hAnsi="宋体"/>
                <w:sz w:val="18"/>
                <w:szCs w:val="18"/>
              </w:rPr>
              <w:t>2523050000</w:t>
            </w:r>
          </w:p>
        </w:tc>
        <w:tc>
          <w:tcPr>
            <w:tcW w:w="2891" w:type="dxa"/>
            <w:tcBorders>
              <w:left w:val="double" w:color="auto" w:sz="4" w:space="0"/>
            </w:tcBorders>
            <w:vAlign w:val="center"/>
          </w:tcPr>
          <w:p w14:paraId="470B00F5">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核能发电量</w:t>
            </w:r>
          </w:p>
        </w:tc>
        <w:tc>
          <w:tcPr>
            <w:tcW w:w="1020" w:type="dxa"/>
            <w:vAlign w:val="center"/>
          </w:tcPr>
          <w:p w14:paraId="0FD5160E">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47A32BCA">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4401010300</w:t>
            </w:r>
          </w:p>
        </w:tc>
      </w:tr>
      <w:tr w14:paraId="24A8886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4358D20">
            <w:pPr>
              <w:widowControl/>
              <w:spacing w:line="200" w:lineRule="exact"/>
              <w:rPr>
                <w:rFonts w:ascii="宋体" w:hAnsi="宋体"/>
                <w:kern w:val="0"/>
                <w:sz w:val="18"/>
                <w:szCs w:val="18"/>
              </w:rPr>
            </w:pPr>
            <w:r>
              <w:rPr>
                <w:rFonts w:hint="eastAsia" w:ascii="宋体" w:hAnsi="宋体"/>
                <w:sz w:val="18"/>
                <w:szCs w:val="18"/>
              </w:rPr>
              <w:t xml:space="preserve">    其他煤制油产品</w:t>
            </w:r>
          </w:p>
        </w:tc>
        <w:tc>
          <w:tcPr>
            <w:tcW w:w="1020" w:type="dxa"/>
            <w:shd w:val="clear" w:color="auto" w:fill="auto"/>
            <w:noWrap/>
            <w:tcMar>
              <w:left w:w="28" w:type="dxa"/>
              <w:right w:w="28" w:type="dxa"/>
            </w:tcMar>
            <w:vAlign w:val="center"/>
          </w:tcPr>
          <w:p w14:paraId="307EBA51">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7A73C45">
            <w:pPr>
              <w:widowControl/>
              <w:spacing w:line="200" w:lineRule="exact"/>
              <w:jc w:val="center"/>
              <w:rPr>
                <w:rFonts w:ascii="宋体" w:hAnsi="宋体"/>
                <w:kern w:val="0"/>
                <w:sz w:val="18"/>
                <w:szCs w:val="18"/>
              </w:rPr>
            </w:pPr>
            <w:r>
              <w:rPr>
                <w:rFonts w:ascii="宋体" w:hAnsi="宋体"/>
                <w:sz w:val="18"/>
                <w:szCs w:val="18"/>
              </w:rPr>
              <w:t>2523060000</w:t>
            </w:r>
          </w:p>
        </w:tc>
        <w:tc>
          <w:tcPr>
            <w:tcW w:w="2891" w:type="dxa"/>
            <w:tcBorders>
              <w:left w:val="double" w:color="auto" w:sz="4" w:space="0"/>
            </w:tcBorders>
            <w:vAlign w:val="center"/>
          </w:tcPr>
          <w:p w14:paraId="65F48099">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风力发电量</w:t>
            </w:r>
          </w:p>
        </w:tc>
        <w:tc>
          <w:tcPr>
            <w:tcW w:w="1020" w:type="dxa"/>
            <w:vAlign w:val="center"/>
          </w:tcPr>
          <w:p w14:paraId="2F4B1291">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22385913">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4401010500</w:t>
            </w:r>
          </w:p>
        </w:tc>
      </w:tr>
      <w:tr w14:paraId="16C54668">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1142AE5">
            <w:pPr>
              <w:widowControl/>
              <w:spacing w:line="200" w:lineRule="exact"/>
              <w:rPr>
                <w:rFonts w:ascii="宋体" w:hAnsi="宋体"/>
                <w:kern w:val="0"/>
                <w:sz w:val="18"/>
                <w:szCs w:val="18"/>
              </w:rPr>
            </w:pPr>
            <w:r>
              <w:rPr>
                <w:rFonts w:hint="eastAsia" w:ascii="宋体" w:hAnsi="宋体"/>
                <w:sz w:val="18"/>
                <w:szCs w:val="18"/>
              </w:rPr>
              <w:t>天然气及天然气加工制品</w:t>
            </w:r>
          </w:p>
        </w:tc>
        <w:tc>
          <w:tcPr>
            <w:tcW w:w="1020" w:type="dxa"/>
            <w:shd w:val="clear" w:color="auto" w:fill="auto"/>
            <w:noWrap/>
            <w:tcMar>
              <w:left w:w="28" w:type="dxa"/>
              <w:right w:w="28" w:type="dxa"/>
            </w:tcMar>
            <w:vAlign w:val="center"/>
          </w:tcPr>
          <w:p w14:paraId="75C5A10A">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5C851175">
            <w:pPr>
              <w:widowControl/>
              <w:spacing w:line="200" w:lineRule="exact"/>
              <w:jc w:val="center"/>
              <w:rPr>
                <w:rFonts w:ascii="宋体" w:hAnsi="宋体"/>
                <w:kern w:val="0"/>
                <w:sz w:val="18"/>
                <w:szCs w:val="18"/>
              </w:rPr>
            </w:pPr>
            <w:r>
              <w:rPr>
                <w:rFonts w:ascii="宋体" w:hAnsi="宋体"/>
                <w:sz w:val="18"/>
                <w:szCs w:val="18"/>
              </w:rPr>
              <w:t>0720000000</w:t>
            </w:r>
          </w:p>
        </w:tc>
        <w:tc>
          <w:tcPr>
            <w:tcW w:w="2891" w:type="dxa"/>
            <w:tcBorders>
              <w:left w:val="double" w:color="auto" w:sz="4" w:space="0"/>
            </w:tcBorders>
            <w:vAlign w:val="center"/>
          </w:tcPr>
          <w:p w14:paraId="4D36881E">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太阳能发电量</w:t>
            </w:r>
          </w:p>
        </w:tc>
        <w:tc>
          <w:tcPr>
            <w:tcW w:w="1020" w:type="dxa"/>
            <w:vAlign w:val="center"/>
          </w:tcPr>
          <w:p w14:paraId="1B760F39">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08F5D044">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4401010400</w:t>
            </w:r>
          </w:p>
        </w:tc>
      </w:tr>
      <w:tr w14:paraId="4B8095D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09EF0812">
            <w:pPr>
              <w:widowControl/>
              <w:spacing w:line="200" w:lineRule="exact"/>
              <w:rPr>
                <w:rFonts w:ascii="宋体" w:hAnsi="宋体"/>
                <w:kern w:val="0"/>
                <w:sz w:val="18"/>
                <w:szCs w:val="18"/>
              </w:rPr>
            </w:pPr>
            <w:r>
              <w:rPr>
                <w:rFonts w:hint="eastAsia" w:ascii="宋体" w:hAnsi="宋体"/>
                <w:sz w:val="18"/>
                <w:szCs w:val="18"/>
              </w:rPr>
              <w:t xml:space="preserve">  天然气</w:t>
            </w:r>
          </w:p>
        </w:tc>
        <w:tc>
          <w:tcPr>
            <w:tcW w:w="1020" w:type="dxa"/>
            <w:shd w:val="clear" w:color="auto" w:fill="auto"/>
            <w:noWrap/>
            <w:tcMar>
              <w:left w:w="28" w:type="dxa"/>
              <w:right w:w="28" w:type="dxa"/>
            </w:tcMar>
            <w:vAlign w:val="center"/>
          </w:tcPr>
          <w:p w14:paraId="062580EA">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55DBC37B">
            <w:pPr>
              <w:widowControl/>
              <w:spacing w:line="200" w:lineRule="exact"/>
              <w:jc w:val="center"/>
              <w:rPr>
                <w:rFonts w:ascii="宋体" w:hAnsi="宋体"/>
                <w:kern w:val="0"/>
                <w:sz w:val="18"/>
                <w:szCs w:val="18"/>
              </w:rPr>
            </w:pPr>
            <w:r>
              <w:rPr>
                <w:rFonts w:ascii="宋体" w:hAnsi="宋体"/>
                <w:sz w:val="18"/>
                <w:szCs w:val="18"/>
              </w:rPr>
              <w:t>0702000000</w:t>
            </w:r>
          </w:p>
        </w:tc>
        <w:tc>
          <w:tcPr>
            <w:tcW w:w="2891" w:type="dxa"/>
            <w:tcBorders>
              <w:left w:val="double" w:color="auto" w:sz="4" w:space="0"/>
            </w:tcBorders>
            <w:vAlign w:val="center"/>
          </w:tcPr>
          <w:p w14:paraId="43367E98">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潮汐能发电量</w:t>
            </w:r>
          </w:p>
        </w:tc>
        <w:tc>
          <w:tcPr>
            <w:tcW w:w="1020" w:type="dxa"/>
            <w:vAlign w:val="center"/>
          </w:tcPr>
          <w:p w14:paraId="6B6A60B3">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2F7C1B78">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4401010600</w:t>
            </w:r>
          </w:p>
        </w:tc>
      </w:tr>
      <w:tr w14:paraId="0553B15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7917E07">
            <w:pPr>
              <w:widowControl/>
              <w:spacing w:line="200" w:lineRule="exact"/>
              <w:rPr>
                <w:rFonts w:ascii="宋体" w:hAnsi="宋体"/>
                <w:kern w:val="0"/>
                <w:sz w:val="18"/>
                <w:szCs w:val="18"/>
              </w:rPr>
            </w:pPr>
            <w:r>
              <w:rPr>
                <w:rFonts w:hint="eastAsia" w:ascii="宋体" w:hAnsi="宋体"/>
                <w:sz w:val="18"/>
                <w:szCs w:val="18"/>
              </w:rPr>
              <w:t xml:space="preserve">    常规天然气</w:t>
            </w:r>
          </w:p>
        </w:tc>
        <w:tc>
          <w:tcPr>
            <w:tcW w:w="1020" w:type="dxa"/>
            <w:shd w:val="clear" w:color="auto" w:fill="auto"/>
            <w:noWrap/>
            <w:tcMar>
              <w:left w:w="28" w:type="dxa"/>
              <w:right w:w="28" w:type="dxa"/>
            </w:tcMar>
            <w:vAlign w:val="center"/>
          </w:tcPr>
          <w:p w14:paraId="465389B4">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1E2A462F">
            <w:pPr>
              <w:widowControl/>
              <w:spacing w:line="200" w:lineRule="exact"/>
              <w:jc w:val="center"/>
              <w:rPr>
                <w:rFonts w:ascii="宋体" w:hAnsi="宋体"/>
                <w:kern w:val="0"/>
                <w:sz w:val="18"/>
                <w:szCs w:val="18"/>
              </w:rPr>
            </w:pPr>
            <w:r>
              <w:rPr>
                <w:rFonts w:ascii="宋体" w:hAnsi="宋体"/>
                <w:sz w:val="18"/>
                <w:szCs w:val="18"/>
              </w:rPr>
              <w:t>0702010000</w:t>
            </w:r>
          </w:p>
        </w:tc>
        <w:tc>
          <w:tcPr>
            <w:tcW w:w="2891" w:type="dxa"/>
            <w:tcBorders>
              <w:left w:val="double" w:color="auto" w:sz="4" w:space="0"/>
            </w:tcBorders>
            <w:vAlign w:val="center"/>
          </w:tcPr>
          <w:p w14:paraId="6832EC92">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地热能发电量</w:t>
            </w:r>
          </w:p>
        </w:tc>
        <w:tc>
          <w:tcPr>
            <w:tcW w:w="1020" w:type="dxa"/>
            <w:vAlign w:val="center"/>
          </w:tcPr>
          <w:p w14:paraId="3075D410">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3ED6C8FE">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4401010800</w:t>
            </w:r>
          </w:p>
        </w:tc>
      </w:tr>
      <w:tr w14:paraId="61FA38F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00082BD3">
            <w:pPr>
              <w:widowControl/>
              <w:spacing w:line="200" w:lineRule="exact"/>
              <w:rPr>
                <w:rFonts w:ascii="宋体" w:hAnsi="宋体"/>
                <w:kern w:val="0"/>
                <w:sz w:val="18"/>
                <w:szCs w:val="18"/>
              </w:rPr>
            </w:pPr>
            <w:r>
              <w:rPr>
                <w:rFonts w:hint="eastAsia" w:ascii="宋体" w:hAnsi="宋体"/>
                <w:sz w:val="18"/>
                <w:szCs w:val="18"/>
              </w:rPr>
              <w:t xml:space="preserve">    非常规天然气</w:t>
            </w:r>
          </w:p>
        </w:tc>
        <w:tc>
          <w:tcPr>
            <w:tcW w:w="1020" w:type="dxa"/>
            <w:shd w:val="clear" w:color="auto" w:fill="auto"/>
            <w:noWrap/>
            <w:tcMar>
              <w:left w:w="28" w:type="dxa"/>
              <w:right w:w="28" w:type="dxa"/>
            </w:tcMar>
            <w:vAlign w:val="center"/>
          </w:tcPr>
          <w:p w14:paraId="06EC926F">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0BC4BFAE">
            <w:pPr>
              <w:widowControl/>
              <w:spacing w:line="200" w:lineRule="exact"/>
              <w:jc w:val="center"/>
              <w:rPr>
                <w:rFonts w:ascii="宋体" w:hAnsi="宋体"/>
                <w:kern w:val="0"/>
                <w:sz w:val="18"/>
                <w:szCs w:val="18"/>
              </w:rPr>
            </w:pPr>
            <w:r>
              <w:rPr>
                <w:rFonts w:ascii="宋体" w:hAnsi="宋体"/>
                <w:sz w:val="18"/>
                <w:szCs w:val="18"/>
              </w:rPr>
              <w:t>070202</w:t>
            </w:r>
            <w:r>
              <w:rPr>
                <w:rFonts w:hint="eastAsia" w:ascii="宋体" w:hAnsi="宋体"/>
                <w:sz w:val="18"/>
                <w:szCs w:val="18"/>
                <w:lang w:val="en-US" w:eastAsia="zh-CN"/>
              </w:rPr>
              <w:t>0</w:t>
            </w:r>
            <w:r>
              <w:rPr>
                <w:rFonts w:ascii="宋体" w:hAnsi="宋体"/>
                <w:sz w:val="18"/>
                <w:szCs w:val="18"/>
              </w:rPr>
              <w:t>000</w:t>
            </w:r>
          </w:p>
        </w:tc>
        <w:tc>
          <w:tcPr>
            <w:tcW w:w="2891" w:type="dxa"/>
            <w:tcBorders>
              <w:left w:val="double" w:color="auto" w:sz="4" w:space="0"/>
            </w:tcBorders>
            <w:vAlign w:val="center"/>
          </w:tcPr>
          <w:p w14:paraId="3BC7BCF8">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其他发电量</w:t>
            </w:r>
          </w:p>
        </w:tc>
        <w:tc>
          <w:tcPr>
            <w:tcW w:w="1020" w:type="dxa"/>
            <w:vAlign w:val="center"/>
          </w:tcPr>
          <w:p w14:paraId="679EB964">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万千瓦时</w:t>
            </w:r>
          </w:p>
        </w:tc>
        <w:tc>
          <w:tcPr>
            <w:tcW w:w="1134" w:type="dxa"/>
            <w:vAlign w:val="center"/>
          </w:tcPr>
          <w:p w14:paraId="49858419">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4401019900</w:t>
            </w:r>
          </w:p>
        </w:tc>
      </w:tr>
      <w:tr w14:paraId="6BEBA50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2DCEE6B">
            <w:pPr>
              <w:widowControl/>
              <w:spacing w:line="200" w:lineRule="exact"/>
              <w:rPr>
                <w:rFonts w:ascii="宋体" w:hAnsi="宋体"/>
                <w:kern w:val="0"/>
                <w:sz w:val="18"/>
                <w:szCs w:val="18"/>
              </w:rPr>
            </w:pPr>
            <w:r>
              <w:rPr>
                <w:rFonts w:hint="eastAsia" w:ascii="宋体" w:hAnsi="宋体"/>
                <w:sz w:val="18"/>
                <w:szCs w:val="18"/>
              </w:rPr>
              <w:t xml:space="preserve">      煤层气</w:t>
            </w:r>
          </w:p>
        </w:tc>
        <w:tc>
          <w:tcPr>
            <w:tcW w:w="1020" w:type="dxa"/>
            <w:shd w:val="clear" w:color="auto" w:fill="auto"/>
            <w:noWrap/>
            <w:tcMar>
              <w:left w:w="28" w:type="dxa"/>
              <w:right w:w="28" w:type="dxa"/>
            </w:tcMar>
            <w:vAlign w:val="center"/>
          </w:tcPr>
          <w:p w14:paraId="189270D5">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07E07C7D">
            <w:pPr>
              <w:widowControl/>
              <w:spacing w:line="200" w:lineRule="exact"/>
              <w:jc w:val="center"/>
              <w:rPr>
                <w:rFonts w:ascii="宋体" w:hAnsi="宋体"/>
                <w:kern w:val="0"/>
                <w:sz w:val="18"/>
                <w:szCs w:val="18"/>
              </w:rPr>
            </w:pPr>
            <w:r>
              <w:rPr>
                <w:rFonts w:ascii="宋体" w:hAnsi="宋体"/>
                <w:sz w:val="18"/>
                <w:szCs w:val="18"/>
              </w:rPr>
              <w:t>0704000000</w:t>
            </w:r>
          </w:p>
        </w:tc>
        <w:tc>
          <w:tcPr>
            <w:tcW w:w="2891" w:type="dxa"/>
            <w:tcBorders>
              <w:left w:val="double" w:color="auto" w:sz="4" w:space="0"/>
            </w:tcBorders>
            <w:vAlign w:val="center"/>
          </w:tcPr>
          <w:p w14:paraId="11B4C3D7">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热力</w:t>
            </w:r>
          </w:p>
        </w:tc>
        <w:tc>
          <w:tcPr>
            <w:tcW w:w="1020" w:type="dxa"/>
            <w:vAlign w:val="center"/>
          </w:tcPr>
          <w:p w14:paraId="5DFCEC33">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29B3381B">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4402010000</w:t>
            </w:r>
          </w:p>
        </w:tc>
      </w:tr>
      <w:tr w14:paraId="7A80578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B2D6802">
            <w:pPr>
              <w:widowControl/>
              <w:spacing w:line="200" w:lineRule="exact"/>
              <w:rPr>
                <w:rFonts w:ascii="宋体" w:hAnsi="宋体"/>
                <w:kern w:val="0"/>
                <w:sz w:val="18"/>
                <w:szCs w:val="18"/>
              </w:rPr>
            </w:pPr>
            <w:r>
              <w:rPr>
                <w:rFonts w:hint="eastAsia" w:ascii="宋体" w:hAnsi="宋体"/>
                <w:sz w:val="18"/>
                <w:szCs w:val="18"/>
              </w:rPr>
              <w:t xml:space="preserve">      页岩气</w:t>
            </w:r>
          </w:p>
        </w:tc>
        <w:tc>
          <w:tcPr>
            <w:tcW w:w="1020" w:type="dxa"/>
            <w:shd w:val="clear" w:color="auto" w:fill="auto"/>
            <w:noWrap/>
            <w:tcMar>
              <w:left w:w="28" w:type="dxa"/>
              <w:right w:w="28" w:type="dxa"/>
            </w:tcMar>
            <w:vAlign w:val="center"/>
          </w:tcPr>
          <w:p w14:paraId="0AED32AE">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2F2F1D0E">
            <w:pPr>
              <w:widowControl/>
              <w:spacing w:line="200" w:lineRule="exact"/>
              <w:jc w:val="center"/>
              <w:rPr>
                <w:rFonts w:ascii="宋体" w:hAnsi="宋体"/>
                <w:kern w:val="0"/>
                <w:sz w:val="18"/>
                <w:szCs w:val="18"/>
              </w:rPr>
            </w:pPr>
            <w:r>
              <w:rPr>
                <w:rFonts w:ascii="宋体" w:hAnsi="宋体"/>
                <w:sz w:val="18"/>
                <w:szCs w:val="18"/>
              </w:rPr>
              <w:t>070202</w:t>
            </w:r>
            <w:r>
              <w:rPr>
                <w:rFonts w:hint="eastAsia" w:ascii="宋体" w:hAnsi="宋体"/>
                <w:sz w:val="18"/>
                <w:szCs w:val="18"/>
                <w:lang w:val="en-US" w:eastAsia="zh-CN"/>
              </w:rPr>
              <w:t>0</w:t>
            </w:r>
            <w:r>
              <w:rPr>
                <w:rFonts w:ascii="宋体" w:hAnsi="宋体"/>
                <w:sz w:val="18"/>
                <w:szCs w:val="18"/>
              </w:rPr>
              <w:t>100</w:t>
            </w:r>
          </w:p>
        </w:tc>
        <w:tc>
          <w:tcPr>
            <w:tcW w:w="2891" w:type="dxa"/>
            <w:tcBorders>
              <w:left w:val="double" w:color="auto" w:sz="4" w:space="0"/>
            </w:tcBorders>
            <w:vAlign w:val="center"/>
          </w:tcPr>
          <w:p w14:paraId="61DBD748">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太阳能供热</w:t>
            </w:r>
          </w:p>
        </w:tc>
        <w:tc>
          <w:tcPr>
            <w:tcW w:w="1020" w:type="dxa"/>
            <w:vAlign w:val="center"/>
          </w:tcPr>
          <w:p w14:paraId="2DA34651">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2EF6A9CE">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4402010100</w:t>
            </w:r>
          </w:p>
        </w:tc>
      </w:tr>
      <w:tr w14:paraId="434622B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4796005">
            <w:pPr>
              <w:widowControl/>
              <w:spacing w:line="200" w:lineRule="exact"/>
              <w:rPr>
                <w:rFonts w:ascii="宋体" w:hAnsi="宋体"/>
                <w:kern w:val="0"/>
                <w:sz w:val="18"/>
                <w:szCs w:val="18"/>
              </w:rPr>
            </w:pPr>
            <w:r>
              <w:rPr>
                <w:rFonts w:hint="eastAsia" w:ascii="宋体" w:hAnsi="宋体"/>
                <w:sz w:val="18"/>
                <w:szCs w:val="18"/>
              </w:rPr>
              <w:t xml:space="preserve">      致密砂岩气</w:t>
            </w:r>
          </w:p>
        </w:tc>
        <w:tc>
          <w:tcPr>
            <w:tcW w:w="1020" w:type="dxa"/>
            <w:shd w:val="clear" w:color="auto" w:fill="auto"/>
            <w:noWrap/>
            <w:tcMar>
              <w:left w:w="28" w:type="dxa"/>
              <w:right w:w="28" w:type="dxa"/>
            </w:tcMar>
            <w:vAlign w:val="center"/>
          </w:tcPr>
          <w:p w14:paraId="2CD8264B">
            <w:pPr>
              <w:widowControl/>
              <w:spacing w:line="200" w:lineRule="exact"/>
              <w:jc w:val="center"/>
              <w:rPr>
                <w:rFonts w:ascii="宋体" w:hAnsi="宋体"/>
                <w:kern w:val="0"/>
                <w:sz w:val="18"/>
                <w:szCs w:val="18"/>
              </w:rPr>
            </w:pPr>
            <w:r>
              <w:rPr>
                <w:rFonts w:hint="eastAsia" w:ascii="宋体" w:hAnsi="宋体"/>
                <w:sz w:val="18"/>
                <w:szCs w:val="18"/>
              </w:rPr>
              <w:t>万立方米</w:t>
            </w:r>
          </w:p>
        </w:tc>
        <w:tc>
          <w:tcPr>
            <w:tcW w:w="1134" w:type="dxa"/>
            <w:tcBorders>
              <w:right w:val="double" w:color="auto" w:sz="4" w:space="0"/>
            </w:tcBorders>
            <w:shd w:val="clear" w:color="auto" w:fill="auto"/>
            <w:noWrap/>
            <w:tcMar>
              <w:left w:w="28" w:type="dxa"/>
              <w:right w:w="28" w:type="dxa"/>
            </w:tcMar>
            <w:vAlign w:val="center"/>
          </w:tcPr>
          <w:p w14:paraId="16C556DF">
            <w:pPr>
              <w:widowControl/>
              <w:spacing w:line="200" w:lineRule="exact"/>
              <w:jc w:val="center"/>
              <w:rPr>
                <w:rFonts w:ascii="宋体" w:hAnsi="宋体"/>
                <w:kern w:val="0"/>
                <w:sz w:val="18"/>
                <w:szCs w:val="18"/>
              </w:rPr>
            </w:pPr>
            <w:r>
              <w:rPr>
                <w:rFonts w:ascii="宋体" w:hAnsi="宋体"/>
                <w:sz w:val="18"/>
                <w:szCs w:val="18"/>
              </w:rPr>
              <w:t>070202</w:t>
            </w:r>
            <w:r>
              <w:rPr>
                <w:rFonts w:hint="eastAsia" w:ascii="宋体" w:hAnsi="宋体"/>
                <w:sz w:val="18"/>
                <w:szCs w:val="18"/>
                <w:lang w:val="en-US" w:eastAsia="zh-CN"/>
              </w:rPr>
              <w:t>0</w:t>
            </w:r>
            <w:r>
              <w:rPr>
                <w:rFonts w:ascii="宋体" w:hAnsi="宋体"/>
                <w:sz w:val="18"/>
                <w:szCs w:val="18"/>
              </w:rPr>
              <w:t>200</w:t>
            </w:r>
          </w:p>
        </w:tc>
        <w:tc>
          <w:tcPr>
            <w:tcW w:w="2891" w:type="dxa"/>
            <w:tcBorders>
              <w:left w:val="double" w:color="auto" w:sz="4" w:space="0"/>
            </w:tcBorders>
            <w:vAlign w:val="center"/>
          </w:tcPr>
          <w:p w14:paraId="108E61CF">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生物质能供热</w:t>
            </w:r>
          </w:p>
        </w:tc>
        <w:tc>
          <w:tcPr>
            <w:tcW w:w="1020" w:type="dxa"/>
            <w:vAlign w:val="center"/>
          </w:tcPr>
          <w:p w14:paraId="4E79A777">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4751DECF">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4402010200</w:t>
            </w:r>
          </w:p>
        </w:tc>
      </w:tr>
      <w:tr w14:paraId="0B1D011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55BA7D4">
            <w:pPr>
              <w:widowControl/>
              <w:spacing w:line="200" w:lineRule="exact"/>
              <w:rPr>
                <w:rFonts w:ascii="宋体" w:hAnsi="宋体"/>
                <w:kern w:val="0"/>
                <w:sz w:val="18"/>
                <w:szCs w:val="18"/>
              </w:rPr>
            </w:pPr>
            <w:r>
              <w:rPr>
                <w:rFonts w:hint="eastAsia" w:ascii="宋体" w:hAnsi="宋体"/>
                <w:sz w:val="18"/>
                <w:szCs w:val="18"/>
              </w:rPr>
              <w:t xml:space="preserve">  天然气加工制品</w:t>
            </w:r>
          </w:p>
        </w:tc>
        <w:tc>
          <w:tcPr>
            <w:tcW w:w="1020" w:type="dxa"/>
            <w:shd w:val="clear" w:color="auto" w:fill="auto"/>
            <w:noWrap/>
            <w:tcMar>
              <w:left w:w="28" w:type="dxa"/>
              <w:right w:w="28" w:type="dxa"/>
            </w:tcMar>
            <w:vAlign w:val="center"/>
          </w:tcPr>
          <w:p w14:paraId="16AB907D">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28131D6A">
            <w:pPr>
              <w:widowControl/>
              <w:spacing w:line="200" w:lineRule="exact"/>
              <w:jc w:val="center"/>
              <w:rPr>
                <w:rFonts w:ascii="宋体" w:hAnsi="宋体"/>
                <w:kern w:val="0"/>
                <w:sz w:val="18"/>
                <w:szCs w:val="18"/>
              </w:rPr>
            </w:pPr>
            <w:r>
              <w:rPr>
                <w:rFonts w:ascii="宋体" w:hAnsi="宋体"/>
                <w:sz w:val="18"/>
                <w:szCs w:val="18"/>
              </w:rPr>
              <w:t>0703100000</w:t>
            </w:r>
          </w:p>
        </w:tc>
        <w:tc>
          <w:tcPr>
            <w:tcW w:w="2891" w:type="dxa"/>
            <w:tcBorders>
              <w:left w:val="double" w:color="auto" w:sz="4" w:space="0"/>
            </w:tcBorders>
            <w:vAlign w:val="center"/>
          </w:tcPr>
          <w:p w14:paraId="607CA6FE">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地热能供热</w:t>
            </w:r>
          </w:p>
        </w:tc>
        <w:tc>
          <w:tcPr>
            <w:tcW w:w="1020" w:type="dxa"/>
            <w:vAlign w:val="center"/>
          </w:tcPr>
          <w:p w14:paraId="641A3EB1">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0D513E0D">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4402010300</w:t>
            </w:r>
          </w:p>
        </w:tc>
      </w:tr>
      <w:tr w14:paraId="037D2C3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8D41934">
            <w:pPr>
              <w:widowControl/>
              <w:spacing w:line="200" w:lineRule="exact"/>
              <w:rPr>
                <w:rFonts w:ascii="宋体" w:hAnsi="宋体"/>
                <w:kern w:val="0"/>
                <w:sz w:val="18"/>
                <w:szCs w:val="18"/>
              </w:rPr>
            </w:pPr>
            <w:r>
              <w:rPr>
                <w:rFonts w:hint="eastAsia" w:ascii="宋体" w:hAnsi="宋体"/>
                <w:sz w:val="18"/>
                <w:szCs w:val="18"/>
              </w:rPr>
              <w:t xml:space="preserve">    液化天然气</w:t>
            </w:r>
          </w:p>
        </w:tc>
        <w:tc>
          <w:tcPr>
            <w:tcW w:w="1020" w:type="dxa"/>
            <w:shd w:val="clear" w:color="auto" w:fill="auto"/>
            <w:noWrap/>
            <w:tcMar>
              <w:left w:w="28" w:type="dxa"/>
              <w:right w:w="28" w:type="dxa"/>
            </w:tcMar>
            <w:vAlign w:val="center"/>
          </w:tcPr>
          <w:p w14:paraId="7AB60B36">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981879D">
            <w:pPr>
              <w:widowControl/>
              <w:spacing w:line="200" w:lineRule="exact"/>
              <w:jc w:val="center"/>
              <w:rPr>
                <w:rFonts w:ascii="宋体" w:hAnsi="宋体"/>
                <w:kern w:val="0"/>
                <w:sz w:val="18"/>
                <w:szCs w:val="18"/>
              </w:rPr>
            </w:pPr>
            <w:r>
              <w:rPr>
                <w:rFonts w:ascii="宋体" w:hAnsi="宋体"/>
                <w:sz w:val="18"/>
                <w:szCs w:val="18"/>
              </w:rPr>
              <w:t>0703000000</w:t>
            </w:r>
          </w:p>
        </w:tc>
        <w:tc>
          <w:tcPr>
            <w:tcW w:w="2891" w:type="dxa"/>
            <w:tcBorders>
              <w:left w:val="double" w:color="auto" w:sz="4" w:space="0"/>
            </w:tcBorders>
            <w:vAlign w:val="center"/>
          </w:tcPr>
          <w:p w14:paraId="610DC66F">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化石燃料供热</w:t>
            </w:r>
          </w:p>
        </w:tc>
        <w:tc>
          <w:tcPr>
            <w:tcW w:w="1020" w:type="dxa"/>
            <w:vAlign w:val="center"/>
          </w:tcPr>
          <w:p w14:paraId="2CFD65AF">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3C17D04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4402010400</w:t>
            </w:r>
          </w:p>
        </w:tc>
      </w:tr>
      <w:tr w14:paraId="1BB8B0C8">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1DB9F53">
            <w:pPr>
              <w:widowControl/>
              <w:spacing w:line="200" w:lineRule="exact"/>
              <w:rPr>
                <w:rFonts w:ascii="宋体" w:hAnsi="宋体"/>
                <w:kern w:val="0"/>
                <w:sz w:val="18"/>
                <w:szCs w:val="18"/>
              </w:rPr>
            </w:pPr>
            <w:r>
              <w:rPr>
                <w:rFonts w:hint="eastAsia" w:ascii="宋体" w:hAnsi="宋体"/>
                <w:sz w:val="18"/>
                <w:szCs w:val="18"/>
              </w:rPr>
              <w:t>石油及石油制品</w:t>
            </w:r>
          </w:p>
        </w:tc>
        <w:tc>
          <w:tcPr>
            <w:tcW w:w="1020" w:type="dxa"/>
            <w:shd w:val="clear" w:color="auto" w:fill="auto"/>
            <w:noWrap/>
            <w:tcMar>
              <w:left w:w="28" w:type="dxa"/>
              <w:right w:w="28" w:type="dxa"/>
            </w:tcMar>
            <w:vAlign w:val="center"/>
          </w:tcPr>
          <w:p w14:paraId="2D384C0F">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05DE79E0">
            <w:pPr>
              <w:widowControl/>
              <w:spacing w:line="200" w:lineRule="exact"/>
              <w:jc w:val="center"/>
              <w:rPr>
                <w:rFonts w:ascii="宋体" w:hAnsi="宋体"/>
                <w:kern w:val="0"/>
                <w:sz w:val="18"/>
                <w:szCs w:val="18"/>
              </w:rPr>
            </w:pPr>
            <w:r>
              <w:rPr>
                <w:rFonts w:ascii="宋体" w:hAnsi="宋体"/>
                <w:sz w:val="18"/>
                <w:szCs w:val="18"/>
              </w:rPr>
              <w:t>0710000000</w:t>
            </w:r>
          </w:p>
        </w:tc>
        <w:tc>
          <w:tcPr>
            <w:tcW w:w="2891" w:type="dxa"/>
            <w:tcBorders>
              <w:left w:val="double" w:color="auto" w:sz="4" w:space="0"/>
            </w:tcBorders>
            <w:vAlign w:val="center"/>
          </w:tcPr>
          <w:p w14:paraId="3790106D">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废料燃烧供热</w:t>
            </w:r>
          </w:p>
        </w:tc>
        <w:tc>
          <w:tcPr>
            <w:tcW w:w="1020" w:type="dxa"/>
            <w:vAlign w:val="center"/>
          </w:tcPr>
          <w:p w14:paraId="0DC37114">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73DAC39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4402010500</w:t>
            </w:r>
          </w:p>
        </w:tc>
      </w:tr>
      <w:tr w14:paraId="0C4F7E2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806FD89">
            <w:pPr>
              <w:widowControl/>
              <w:spacing w:line="200" w:lineRule="exact"/>
              <w:ind w:firstLine="180" w:firstLineChars="100"/>
              <w:rPr>
                <w:rFonts w:ascii="宋体" w:hAnsi="宋体"/>
                <w:kern w:val="0"/>
                <w:sz w:val="18"/>
                <w:szCs w:val="18"/>
              </w:rPr>
            </w:pPr>
            <w:r>
              <w:rPr>
                <w:rFonts w:hint="eastAsia" w:ascii="宋体" w:hAnsi="宋体"/>
                <w:sz w:val="18"/>
                <w:szCs w:val="18"/>
              </w:rPr>
              <w:t>原油</w:t>
            </w:r>
          </w:p>
        </w:tc>
        <w:tc>
          <w:tcPr>
            <w:tcW w:w="1020" w:type="dxa"/>
            <w:shd w:val="clear" w:color="auto" w:fill="auto"/>
            <w:noWrap/>
            <w:tcMar>
              <w:left w:w="28" w:type="dxa"/>
              <w:right w:w="28" w:type="dxa"/>
            </w:tcMar>
            <w:vAlign w:val="center"/>
          </w:tcPr>
          <w:p w14:paraId="40013AE9">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8C27183">
            <w:pPr>
              <w:widowControl/>
              <w:spacing w:line="200" w:lineRule="exact"/>
              <w:jc w:val="center"/>
              <w:rPr>
                <w:rFonts w:ascii="宋体" w:hAnsi="宋体"/>
                <w:kern w:val="0"/>
                <w:sz w:val="18"/>
                <w:szCs w:val="18"/>
              </w:rPr>
            </w:pPr>
            <w:r>
              <w:rPr>
                <w:rFonts w:ascii="宋体" w:hAnsi="宋体"/>
                <w:sz w:val="18"/>
                <w:szCs w:val="18"/>
              </w:rPr>
              <w:t>0701000000</w:t>
            </w:r>
          </w:p>
        </w:tc>
        <w:tc>
          <w:tcPr>
            <w:tcW w:w="2891" w:type="dxa"/>
            <w:tcBorders>
              <w:left w:val="double" w:color="auto" w:sz="4" w:space="0"/>
            </w:tcBorders>
            <w:vAlign w:val="center"/>
          </w:tcPr>
          <w:p w14:paraId="4FFACD8F">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电热锅炉供热</w:t>
            </w:r>
          </w:p>
        </w:tc>
        <w:tc>
          <w:tcPr>
            <w:tcW w:w="1020" w:type="dxa"/>
            <w:vAlign w:val="center"/>
          </w:tcPr>
          <w:p w14:paraId="59AC2430">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573B68CA">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4402010600</w:t>
            </w:r>
          </w:p>
        </w:tc>
      </w:tr>
      <w:tr w14:paraId="4E86F49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23CE1C6">
            <w:pPr>
              <w:widowControl/>
              <w:spacing w:line="200" w:lineRule="exact"/>
              <w:ind w:firstLine="360" w:firstLineChars="200"/>
              <w:rPr>
                <w:rFonts w:ascii="宋体" w:hAnsi="宋体"/>
                <w:kern w:val="0"/>
                <w:sz w:val="18"/>
                <w:szCs w:val="18"/>
              </w:rPr>
            </w:pPr>
            <w:r>
              <w:rPr>
                <w:rFonts w:hint="eastAsia" w:ascii="宋体" w:hAnsi="宋体"/>
                <w:sz w:val="18"/>
                <w:szCs w:val="18"/>
              </w:rPr>
              <w:t>其中：页岩油</w:t>
            </w:r>
          </w:p>
        </w:tc>
        <w:tc>
          <w:tcPr>
            <w:tcW w:w="1020" w:type="dxa"/>
            <w:shd w:val="clear" w:color="auto" w:fill="auto"/>
            <w:noWrap/>
            <w:tcMar>
              <w:left w:w="28" w:type="dxa"/>
              <w:right w:w="28" w:type="dxa"/>
            </w:tcMar>
            <w:vAlign w:val="center"/>
          </w:tcPr>
          <w:p w14:paraId="4CE8AC99">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429A7B45">
            <w:pPr>
              <w:widowControl/>
              <w:spacing w:line="200" w:lineRule="exact"/>
              <w:jc w:val="center"/>
              <w:rPr>
                <w:rFonts w:ascii="宋体" w:hAnsi="宋体"/>
                <w:kern w:val="0"/>
                <w:sz w:val="18"/>
                <w:szCs w:val="18"/>
              </w:rPr>
            </w:pPr>
            <w:r>
              <w:rPr>
                <w:rFonts w:ascii="宋体" w:hAnsi="宋体"/>
                <w:sz w:val="18"/>
                <w:szCs w:val="18"/>
              </w:rPr>
              <w:t>2503010000</w:t>
            </w:r>
          </w:p>
        </w:tc>
        <w:tc>
          <w:tcPr>
            <w:tcW w:w="2891" w:type="dxa"/>
            <w:tcBorders>
              <w:left w:val="double" w:color="auto" w:sz="4" w:space="0"/>
            </w:tcBorders>
            <w:vAlign w:val="center"/>
          </w:tcPr>
          <w:p w14:paraId="4F51DE8B">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热泵供热</w:t>
            </w:r>
          </w:p>
        </w:tc>
        <w:tc>
          <w:tcPr>
            <w:tcW w:w="1020" w:type="dxa"/>
            <w:vAlign w:val="center"/>
          </w:tcPr>
          <w:p w14:paraId="354C1BCE">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7B1C20B3">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4402010700</w:t>
            </w:r>
          </w:p>
        </w:tc>
      </w:tr>
      <w:tr w14:paraId="2DCF2D1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5C9ABED5">
            <w:pPr>
              <w:widowControl/>
              <w:spacing w:line="200" w:lineRule="exact"/>
              <w:ind w:firstLine="180" w:firstLineChars="100"/>
              <w:rPr>
                <w:rFonts w:ascii="宋体" w:hAnsi="宋体"/>
                <w:kern w:val="0"/>
                <w:sz w:val="18"/>
                <w:szCs w:val="18"/>
              </w:rPr>
            </w:pPr>
            <w:r>
              <w:rPr>
                <w:rFonts w:hint="eastAsia" w:ascii="宋体" w:hAnsi="宋体"/>
                <w:sz w:val="18"/>
                <w:szCs w:val="18"/>
              </w:rPr>
              <w:t>原油加工量</w:t>
            </w:r>
          </w:p>
        </w:tc>
        <w:tc>
          <w:tcPr>
            <w:tcW w:w="1020" w:type="dxa"/>
            <w:shd w:val="clear" w:color="auto" w:fill="auto"/>
            <w:noWrap/>
            <w:tcMar>
              <w:left w:w="28" w:type="dxa"/>
              <w:right w:w="28" w:type="dxa"/>
            </w:tcMar>
            <w:vAlign w:val="center"/>
          </w:tcPr>
          <w:p w14:paraId="4E0A2CD6">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FACC916">
            <w:pPr>
              <w:widowControl/>
              <w:spacing w:line="200" w:lineRule="exact"/>
              <w:jc w:val="center"/>
              <w:rPr>
                <w:rFonts w:ascii="宋体" w:hAnsi="宋体"/>
                <w:kern w:val="0"/>
                <w:sz w:val="18"/>
                <w:szCs w:val="18"/>
              </w:rPr>
            </w:pPr>
            <w:r>
              <w:rPr>
                <w:rFonts w:ascii="宋体" w:hAnsi="宋体"/>
                <w:sz w:val="18"/>
                <w:szCs w:val="18"/>
              </w:rPr>
              <w:t>2501000000</w:t>
            </w:r>
          </w:p>
        </w:tc>
        <w:tc>
          <w:tcPr>
            <w:tcW w:w="2891" w:type="dxa"/>
            <w:tcBorders>
              <w:left w:val="double" w:color="auto" w:sz="4" w:space="0"/>
            </w:tcBorders>
            <w:vAlign w:val="center"/>
          </w:tcPr>
          <w:p w14:paraId="66436848">
            <w:pPr>
              <w:widowControl/>
              <w:spacing w:line="200" w:lineRule="exact"/>
              <w:jc w:val="left"/>
              <w:rPr>
                <w:rFonts w:ascii="宋体" w:hAnsi="宋体" w:eastAsia="宋体" w:cs="Times New Roman"/>
                <w:kern w:val="0"/>
                <w:sz w:val="18"/>
                <w:szCs w:val="18"/>
                <w:lang w:val="en-US" w:eastAsia="zh-CN" w:bidi="ar-SA"/>
              </w:rPr>
            </w:pPr>
            <w:r>
              <w:rPr>
                <w:rFonts w:hint="eastAsia" w:ascii="宋体" w:hAnsi="宋体"/>
                <w:sz w:val="18"/>
                <w:szCs w:val="18"/>
              </w:rPr>
              <w:t xml:space="preserve">  余热余压供热</w:t>
            </w:r>
          </w:p>
        </w:tc>
        <w:tc>
          <w:tcPr>
            <w:tcW w:w="1020" w:type="dxa"/>
            <w:vAlign w:val="center"/>
          </w:tcPr>
          <w:p w14:paraId="6C98F4BA">
            <w:pPr>
              <w:widowControl/>
              <w:spacing w:line="200" w:lineRule="exact"/>
              <w:jc w:val="center"/>
              <w:rPr>
                <w:rFonts w:ascii="宋体" w:hAnsi="宋体" w:eastAsia="宋体" w:cs="Times New Roman"/>
                <w:kern w:val="0"/>
                <w:sz w:val="18"/>
                <w:szCs w:val="18"/>
                <w:lang w:val="en-US" w:eastAsia="zh-CN" w:bidi="ar-SA"/>
              </w:rPr>
            </w:pPr>
            <w:r>
              <w:rPr>
                <w:rFonts w:hint="eastAsia" w:ascii="宋体" w:hAnsi="宋体"/>
                <w:sz w:val="18"/>
                <w:szCs w:val="18"/>
              </w:rPr>
              <w:t>百万千焦</w:t>
            </w:r>
          </w:p>
        </w:tc>
        <w:tc>
          <w:tcPr>
            <w:tcW w:w="1134" w:type="dxa"/>
            <w:vAlign w:val="center"/>
          </w:tcPr>
          <w:p w14:paraId="7F21D56A">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4402010800</w:t>
            </w:r>
          </w:p>
        </w:tc>
      </w:tr>
      <w:tr w14:paraId="51B0DC8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8118E77">
            <w:pPr>
              <w:widowControl/>
              <w:spacing w:line="200" w:lineRule="exact"/>
              <w:ind w:firstLine="180" w:firstLineChars="100"/>
              <w:rPr>
                <w:rFonts w:ascii="宋体" w:hAnsi="宋体"/>
                <w:kern w:val="0"/>
                <w:sz w:val="18"/>
                <w:szCs w:val="18"/>
              </w:rPr>
            </w:pPr>
            <w:r>
              <w:rPr>
                <w:rFonts w:hint="eastAsia" w:ascii="宋体" w:hAnsi="宋体"/>
                <w:sz w:val="18"/>
                <w:szCs w:val="18"/>
              </w:rPr>
              <w:t>石油制品</w:t>
            </w:r>
          </w:p>
        </w:tc>
        <w:tc>
          <w:tcPr>
            <w:tcW w:w="1020" w:type="dxa"/>
            <w:shd w:val="clear" w:color="auto" w:fill="auto"/>
            <w:noWrap/>
            <w:tcMar>
              <w:left w:w="28" w:type="dxa"/>
              <w:right w:w="28" w:type="dxa"/>
            </w:tcMar>
            <w:vAlign w:val="center"/>
          </w:tcPr>
          <w:p w14:paraId="442A2930">
            <w:pPr>
              <w:widowControl/>
              <w:spacing w:line="200" w:lineRule="exact"/>
              <w:jc w:val="center"/>
              <w:rPr>
                <w:rFonts w:ascii="宋体" w:hAnsi="宋体"/>
                <w:kern w:val="0"/>
                <w:sz w:val="18"/>
                <w:szCs w:val="18"/>
              </w:rPr>
            </w:pPr>
            <w:r>
              <w:rPr>
                <w:rFonts w:ascii="宋体" w:hAnsi="宋体"/>
                <w:sz w:val="18"/>
                <w:szCs w:val="18"/>
              </w:rPr>
              <w:t>-</w:t>
            </w:r>
          </w:p>
        </w:tc>
        <w:tc>
          <w:tcPr>
            <w:tcW w:w="1134" w:type="dxa"/>
            <w:tcBorders>
              <w:right w:val="double" w:color="auto" w:sz="4" w:space="0"/>
            </w:tcBorders>
            <w:shd w:val="clear" w:color="auto" w:fill="auto"/>
            <w:noWrap/>
            <w:tcMar>
              <w:left w:w="28" w:type="dxa"/>
              <w:right w:w="28" w:type="dxa"/>
            </w:tcMar>
            <w:vAlign w:val="center"/>
          </w:tcPr>
          <w:p w14:paraId="095E39EC">
            <w:pPr>
              <w:widowControl/>
              <w:spacing w:line="200" w:lineRule="exact"/>
              <w:jc w:val="center"/>
              <w:rPr>
                <w:rFonts w:ascii="宋体" w:hAnsi="宋体"/>
                <w:kern w:val="0"/>
                <w:sz w:val="18"/>
                <w:szCs w:val="18"/>
              </w:rPr>
            </w:pPr>
            <w:r>
              <w:rPr>
                <w:rFonts w:ascii="宋体" w:hAnsi="宋体"/>
                <w:sz w:val="18"/>
                <w:szCs w:val="18"/>
              </w:rPr>
              <w:t>2502000000</w:t>
            </w:r>
          </w:p>
        </w:tc>
        <w:tc>
          <w:tcPr>
            <w:tcW w:w="2891" w:type="dxa"/>
            <w:tcBorders>
              <w:left w:val="double" w:color="auto" w:sz="4" w:space="0"/>
            </w:tcBorders>
            <w:vAlign w:val="center"/>
          </w:tcPr>
          <w:p w14:paraId="44C280F0">
            <w:pPr>
              <w:widowControl/>
              <w:spacing w:line="200" w:lineRule="exact"/>
              <w:jc w:val="left"/>
              <w:rPr>
                <w:rFonts w:ascii="宋体" w:hAnsi="宋体" w:eastAsia="宋体" w:cs="Times New Roman"/>
                <w:kern w:val="2"/>
                <w:sz w:val="18"/>
                <w:szCs w:val="18"/>
                <w:lang w:val="en-US" w:eastAsia="zh-CN" w:bidi="ar-SA"/>
              </w:rPr>
            </w:pPr>
            <w:r>
              <w:rPr>
                <w:rFonts w:hint="eastAsia" w:ascii="宋体" w:hAnsi="宋体"/>
                <w:sz w:val="18"/>
                <w:szCs w:val="18"/>
              </w:rPr>
              <w:t xml:space="preserve">  其他能源供热</w:t>
            </w:r>
          </w:p>
        </w:tc>
        <w:tc>
          <w:tcPr>
            <w:tcW w:w="1020" w:type="dxa"/>
            <w:vAlign w:val="center"/>
          </w:tcPr>
          <w:p w14:paraId="04431298">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百万千焦</w:t>
            </w:r>
          </w:p>
        </w:tc>
        <w:tc>
          <w:tcPr>
            <w:tcW w:w="1134" w:type="dxa"/>
            <w:vAlign w:val="center"/>
          </w:tcPr>
          <w:p w14:paraId="0DF8DA8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4402010900</w:t>
            </w:r>
          </w:p>
        </w:tc>
      </w:tr>
      <w:tr w14:paraId="12EAD6E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27EA886E">
            <w:pPr>
              <w:widowControl/>
              <w:spacing w:line="200" w:lineRule="exact"/>
              <w:ind w:firstLine="360" w:firstLineChars="200"/>
              <w:rPr>
                <w:rFonts w:ascii="宋体" w:hAnsi="宋体"/>
                <w:kern w:val="0"/>
                <w:sz w:val="18"/>
                <w:szCs w:val="18"/>
              </w:rPr>
            </w:pPr>
            <w:r>
              <w:rPr>
                <w:rFonts w:hint="eastAsia" w:ascii="宋体" w:hAnsi="宋体"/>
                <w:sz w:val="18"/>
                <w:szCs w:val="18"/>
              </w:rPr>
              <w:t>汽油</w:t>
            </w:r>
          </w:p>
        </w:tc>
        <w:tc>
          <w:tcPr>
            <w:tcW w:w="1020" w:type="dxa"/>
            <w:shd w:val="clear" w:color="auto" w:fill="auto"/>
            <w:noWrap/>
            <w:tcMar>
              <w:left w:w="28" w:type="dxa"/>
              <w:right w:w="28" w:type="dxa"/>
            </w:tcMar>
            <w:vAlign w:val="center"/>
          </w:tcPr>
          <w:p w14:paraId="417536F3">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44184B6C">
            <w:pPr>
              <w:widowControl/>
              <w:spacing w:line="200" w:lineRule="exact"/>
              <w:jc w:val="center"/>
              <w:rPr>
                <w:rFonts w:ascii="宋体" w:hAnsi="宋体"/>
                <w:kern w:val="0"/>
                <w:sz w:val="18"/>
                <w:szCs w:val="18"/>
              </w:rPr>
            </w:pPr>
            <w:r>
              <w:rPr>
                <w:rFonts w:ascii="宋体" w:hAnsi="宋体"/>
                <w:sz w:val="18"/>
                <w:szCs w:val="18"/>
              </w:rPr>
              <w:t>2502010000</w:t>
            </w:r>
          </w:p>
        </w:tc>
        <w:tc>
          <w:tcPr>
            <w:tcW w:w="2891" w:type="dxa"/>
            <w:tcBorders>
              <w:left w:val="double" w:color="auto" w:sz="4" w:space="0"/>
            </w:tcBorders>
            <w:vAlign w:val="center"/>
          </w:tcPr>
          <w:p w14:paraId="56DABA4B">
            <w:pPr>
              <w:widowControl/>
              <w:spacing w:line="200" w:lineRule="exact"/>
              <w:jc w:val="left"/>
              <w:textAlignment w:val="center"/>
              <w:rPr>
                <w:rFonts w:ascii="宋体" w:hAnsi="宋体" w:eastAsia="宋体" w:cs="Times New Roman"/>
                <w:kern w:val="2"/>
                <w:sz w:val="18"/>
                <w:szCs w:val="18"/>
                <w:lang w:val="en-US" w:eastAsia="zh-CN" w:bidi="ar-SA"/>
              </w:rPr>
            </w:pPr>
            <w:r>
              <w:rPr>
                <w:rFonts w:hint="eastAsia" w:hAnsi="宋体"/>
                <w:sz w:val="18"/>
                <w:szCs w:val="18"/>
              </w:rPr>
              <w:t>氢能</w:t>
            </w:r>
          </w:p>
        </w:tc>
        <w:tc>
          <w:tcPr>
            <w:tcW w:w="1020" w:type="dxa"/>
            <w:vAlign w:val="center"/>
          </w:tcPr>
          <w:p w14:paraId="45E26B76">
            <w:pPr>
              <w:widowControl/>
              <w:spacing w:line="200" w:lineRule="exact"/>
              <w:jc w:val="center"/>
              <w:textAlignment w:val="center"/>
              <w:rPr>
                <w:rFonts w:ascii="宋体" w:hAnsi="宋体" w:eastAsia="宋体" w:cs="Times New Roman"/>
                <w:kern w:val="2"/>
                <w:sz w:val="18"/>
                <w:szCs w:val="18"/>
                <w:lang w:val="en-US" w:eastAsia="zh-CN" w:bidi="ar-SA"/>
              </w:rPr>
            </w:pPr>
            <w:r>
              <w:rPr>
                <w:rFonts w:ascii="宋体" w:hAnsi="宋体"/>
                <w:sz w:val="18"/>
                <w:szCs w:val="18"/>
              </w:rPr>
              <w:t>-</w:t>
            </w:r>
          </w:p>
        </w:tc>
        <w:tc>
          <w:tcPr>
            <w:tcW w:w="1134" w:type="dxa"/>
            <w:vAlign w:val="center"/>
          </w:tcPr>
          <w:p w14:paraId="038DF2AE">
            <w:pPr>
              <w:widowControl/>
              <w:spacing w:line="200" w:lineRule="exact"/>
              <w:jc w:val="center"/>
              <w:textAlignment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0000</w:t>
            </w:r>
          </w:p>
        </w:tc>
      </w:tr>
      <w:tr w14:paraId="24E9381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329DCE6">
            <w:pPr>
              <w:widowControl/>
              <w:spacing w:line="200" w:lineRule="exact"/>
              <w:ind w:firstLine="360" w:firstLineChars="200"/>
              <w:rPr>
                <w:rFonts w:ascii="宋体" w:hAnsi="宋体"/>
                <w:kern w:val="0"/>
                <w:sz w:val="18"/>
                <w:szCs w:val="18"/>
              </w:rPr>
            </w:pPr>
            <w:r>
              <w:rPr>
                <w:rFonts w:hint="eastAsia" w:ascii="宋体" w:hAnsi="宋体"/>
                <w:sz w:val="18"/>
                <w:szCs w:val="18"/>
              </w:rPr>
              <w:t>煤油</w:t>
            </w:r>
          </w:p>
        </w:tc>
        <w:tc>
          <w:tcPr>
            <w:tcW w:w="1020" w:type="dxa"/>
            <w:shd w:val="clear" w:color="auto" w:fill="auto"/>
            <w:noWrap/>
            <w:tcMar>
              <w:left w:w="28" w:type="dxa"/>
              <w:right w:w="28" w:type="dxa"/>
            </w:tcMar>
            <w:vAlign w:val="center"/>
          </w:tcPr>
          <w:p w14:paraId="477BD0AA">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6875934">
            <w:pPr>
              <w:widowControl/>
              <w:spacing w:line="200" w:lineRule="exact"/>
              <w:jc w:val="center"/>
              <w:rPr>
                <w:rFonts w:ascii="宋体" w:hAnsi="宋体"/>
                <w:kern w:val="0"/>
                <w:sz w:val="18"/>
                <w:szCs w:val="18"/>
              </w:rPr>
            </w:pPr>
            <w:r>
              <w:rPr>
                <w:rFonts w:ascii="宋体" w:hAnsi="宋体"/>
                <w:sz w:val="18"/>
                <w:szCs w:val="18"/>
              </w:rPr>
              <w:t>250202</w:t>
            </w:r>
            <w:r>
              <w:rPr>
                <w:rFonts w:hint="eastAsia" w:ascii="宋体" w:hAnsi="宋体"/>
                <w:sz w:val="18"/>
                <w:szCs w:val="18"/>
                <w:lang w:val="en-US" w:eastAsia="zh-CN"/>
              </w:rPr>
              <w:t>0</w:t>
            </w:r>
            <w:r>
              <w:rPr>
                <w:rFonts w:ascii="宋体" w:hAnsi="宋体"/>
                <w:sz w:val="18"/>
                <w:szCs w:val="18"/>
              </w:rPr>
              <w:t>000</w:t>
            </w:r>
          </w:p>
        </w:tc>
        <w:tc>
          <w:tcPr>
            <w:tcW w:w="2891" w:type="dxa"/>
            <w:tcBorders>
              <w:left w:val="double" w:color="auto" w:sz="4" w:space="0"/>
            </w:tcBorders>
            <w:vAlign w:val="center"/>
          </w:tcPr>
          <w:p w14:paraId="682BA6C5">
            <w:pPr>
              <w:widowControl/>
              <w:spacing w:line="200" w:lineRule="exact"/>
              <w:ind w:firstLine="180" w:firstLineChars="100"/>
              <w:jc w:val="left"/>
              <w:rPr>
                <w:rFonts w:ascii="宋体" w:hAnsi="宋体" w:eastAsia="宋体" w:cs="Times New Roman"/>
                <w:kern w:val="2"/>
                <w:sz w:val="18"/>
                <w:szCs w:val="18"/>
                <w:lang w:val="en-US" w:eastAsia="zh-CN" w:bidi="ar-SA"/>
              </w:rPr>
            </w:pPr>
            <w:r>
              <w:rPr>
                <w:rFonts w:hint="eastAsia" w:hAnsi="宋体"/>
                <w:sz w:val="18"/>
                <w:szCs w:val="18"/>
              </w:rPr>
              <w:t>氢气</w:t>
            </w:r>
          </w:p>
        </w:tc>
        <w:tc>
          <w:tcPr>
            <w:tcW w:w="1020" w:type="dxa"/>
            <w:vAlign w:val="center"/>
          </w:tcPr>
          <w:p w14:paraId="0EAC44E4">
            <w:pPr>
              <w:widowControl/>
              <w:spacing w:line="200" w:lineRule="exact"/>
              <w:jc w:val="center"/>
              <w:rPr>
                <w:rFonts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3285D76A">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00</w:t>
            </w:r>
          </w:p>
        </w:tc>
      </w:tr>
      <w:tr w14:paraId="4155001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05AD906C">
            <w:pPr>
              <w:widowControl/>
              <w:spacing w:line="200" w:lineRule="exact"/>
              <w:ind w:firstLine="360" w:firstLineChars="200"/>
              <w:rPr>
                <w:rFonts w:ascii="宋体" w:hAnsi="宋体"/>
                <w:kern w:val="0"/>
                <w:sz w:val="18"/>
                <w:szCs w:val="18"/>
              </w:rPr>
            </w:pPr>
            <w:r>
              <w:rPr>
                <w:rFonts w:hint="eastAsia" w:ascii="宋体" w:hAnsi="宋体"/>
                <w:sz w:val="18"/>
                <w:szCs w:val="18"/>
              </w:rPr>
              <w:t>柴油</w:t>
            </w:r>
          </w:p>
        </w:tc>
        <w:tc>
          <w:tcPr>
            <w:tcW w:w="1020" w:type="dxa"/>
            <w:shd w:val="clear" w:color="auto" w:fill="auto"/>
            <w:noWrap/>
            <w:tcMar>
              <w:left w:w="28" w:type="dxa"/>
              <w:right w:w="28" w:type="dxa"/>
            </w:tcMar>
            <w:vAlign w:val="center"/>
          </w:tcPr>
          <w:p w14:paraId="375C238C">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2A18B14D">
            <w:pPr>
              <w:widowControl/>
              <w:spacing w:line="200" w:lineRule="exact"/>
              <w:jc w:val="center"/>
              <w:rPr>
                <w:rFonts w:ascii="宋体" w:hAnsi="宋体"/>
                <w:kern w:val="0"/>
                <w:sz w:val="18"/>
                <w:szCs w:val="18"/>
              </w:rPr>
            </w:pPr>
            <w:r>
              <w:rPr>
                <w:rFonts w:ascii="宋体" w:hAnsi="宋体"/>
                <w:sz w:val="18"/>
                <w:szCs w:val="18"/>
              </w:rPr>
              <w:t>2502030000</w:t>
            </w:r>
          </w:p>
        </w:tc>
        <w:tc>
          <w:tcPr>
            <w:tcW w:w="2891" w:type="dxa"/>
            <w:tcBorders>
              <w:left w:val="double" w:color="auto" w:sz="4" w:space="0"/>
            </w:tcBorders>
            <w:vAlign w:val="center"/>
          </w:tcPr>
          <w:p w14:paraId="05303CFE">
            <w:pPr>
              <w:widowControl/>
              <w:spacing w:line="200" w:lineRule="exact"/>
              <w:ind w:firstLine="360" w:firstLineChars="200"/>
              <w:jc w:val="left"/>
              <w:rPr>
                <w:rFonts w:hint="eastAsia" w:ascii="宋体" w:hAnsi="宋体" w:eastAsia="宋体" w:cs="Times New Roman"/>
                <w:kern w:val="2"/>
                <w:sz w:val="18"/>
                <w:szCs w:val="18"/>
                <w:lang w:val="en-US" w:eastAsia="zh-CN" w:bidi="ar-SA"/>
              </w:rPr>
            </w:pPr>
            <w:r>
              <w:rPr>
                <w:rFonts w:hint="eastAsia" w:hAnsi="宋体"/>
                <w:sz w:val="18"/>
                <w:szCs w:val="18"/>
              </w:rPr>
              <w:t>煤制氢</w:t>
            </w:r>
          </w:p>
        </w:tc>
        <w:tc>
          <w:tcPr>
            <w:tcW w:w="1020" w:type="dxa"/>
            <w:vAlign w:val="center"/>
          </w:tcPr>
          <w:p w14:paraId="3FD52F2D">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7405606E">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rPr>
              <w:t>2522020</w:t>
            </w:r>
            <w:r>
              <w:rPr>
                <w:rFonts w:hint="eastAsia" w:ascii="宋体" w:hAnsi="宋体"/>
                <w:sz w:val="18"/>
                <w:szCs w:val="18"/>
                <w:lang w:val="en-US" w:eastAsia="zh-CN"/>
              </w:rPr>
              <w:t>1</w:t>
            </w:r>
            <w:r>
              <w:rPr>
                <w:rFonts w:hint="eastAsia" w:ascii="宋体" w:hAnsi="宋体"/>
                <w:sz w:val="18"/>
                <w:szCs w:val="18"/>
              </w:rPr>
              <w:t>00</w:t>
            </w:r>
          </w:p>
        </w:tc>
      </w:tr>
      <w:tr w14:paraId="4BBA099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925AE7A">
            <w:pPr>
              <w:widowControl/>
              <w:spacing w:line="200" w:lineRule="exact"/>
              <w:ind w:firstLine="360" w:firstLineChars="200"/>
              <w:rPr>
                <w:rFonts w:hint="eastAsia" w:ascii="宋体" w:hAnsi="宋体"/>
                <w:sz w:val="18"/>
                <w:szCs w:val="18"/>
              </w:rPr>
            </w:pPr>
            <w:r>
              <w:rPr>
                <w:rFonts w:hint="eastAsia" w:ascii="宋体" w:hAnsi="宋体"/>
                <w:sz w:val="18"/>
                <w:szCs w:val="18"/>
              </w:rPr>
              <w:t>润滑油</w:t>
            </w:r>
          </w:p>
        </w:tc>
        <w:tc>
          <w:tcPr>
            <w:tcW w:w="1020" w:type="dxa"/>
            <w:shd w:val="clear" w:color="auto" w:fill="auto"/>
            <w:noWrap/>
            <w:tcMar>
              <w:left w:w="28" w:type="dxa"/>
              <w:right w:w="28" w:type="dxa"/>
            </w:tcMar>
            <w:vAlign w:val="center"/>
          </w:tcPr>
          <w:p w14:paraId="3FEAC167">
            <w:pPr>
              <w:widowControl/>
              <w:spacing w:line="200" w:lineRule="exact"/>
              <w:jc w:val="center"/>
              <w:rPr>
                <w:rFonts w:hint="eastAsia" w:ascii="宋体" w:hAnsi="宋体"/>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17555060">
            <w:pPr>
              <w:widowControl/>
              <w:spacing w:line="200" w:lineRule="exact"/>
              <w:jc w:val="center"/>
              <w:rPr>
                <w:rFonts w:ascii="宋体" w:hAnsi="宋体"/>
                <w:sz w:val="18"/>
                <w:szCs w:val="18"/>
              </w:rPr>
            </w:pPr>
            <w:r>
              <w:rPr>
                <w:rFonts w:ascii="宋体" w:hAnsi="宋体"/>
                <w:sz w:val="18"/>
                <w:szCs w:val="18"/>
              </w:rPr>
              <w:t>2502040000</w:t>
            </w:r>
          </w:p>
        </w:tc>
        <w:tc>
          <w:tcPr>
            <w:tcW w:w="2891" w:type="dxa"/>
            <w:tcBorders>
              <w:left w:val="double" w:color="auto" w:sz="4" w:space="0"/>
            </w:tcBorders>
            <w:vAlign w:val="center"/>
          </w:tcPr>
          <w:p w14:paraId="1B35A4EC">
            <w:pPr>
              <w:widowControl/>
              <w:spacing w:line="200" w:lineRule="exact"/>
              <w:ind w:firstLine="360" w:firstLineChars="200"/>
              <w:jc w:val="left"/>
              <w:rPr>
                <w:rFonts w:hint="eastAsia" w:ascii="宋体" w:hAnsi="宋体" w:eastAsia="宋体" w:cs="Times New Roman"/>
                <w:kern w:val="2"/>
                <w:sz w:val="18"/>
                <w:szCs w:val="18"/>
                <w:lang w:val="en-US" w:eastAsia="zh-CN" w:bidi="ar-SA"/>
              </w:rPr>
            </w:pPr>
            <w:r>
              <w:rPr>
                <w:rFonts w:hint="eastAsia" w:hAnsi="宋体"/>
                <w:sz w:val="18"/>
                <w:szCs w:val="18"/>
              </w:rPr>
              <w:t>天然气制氢</w:t>
            </w:r>
          </w:p>
        </w:tc>
        <w:tc>
          <w:tcPr>
            <w:tcW w:w="1020" w:type="dxa"/>
            <w:vAlign w:val="center"/>
          </w:tcPr>
          <w:p w14:paraId="5E02875C">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729A29A4">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default" w:ascii="宋体" w:hAnsi="宋体"/>
                <w:sz w:val="18"/>
                <w:szCs w:val="18"/>
                <w:lang w:val="en"/>
              </w:rPr>
              <w:t>1</w:t>
            </w:r>
          </w:p>
        </w:tc>
      </w:tr>
      <w:tr w14:paraId="46C489A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EF60533">
            <w:pPr>
              <w:widowControl/>
              <w:spacing w:line="200" w:lineRule="exact"/>
              <w:ind w:firstLine="360" w:firstLineChars="200"/>
              <w:rPr>
                <w:rFonts w:hint="eastAsia" w:ascii="宋体" w:hAnsi="宋体"/>
                <w:sz w:val="18"/>
                <w:szCs w:val="18"/>
              </w:rPr>
            </w:pPr>
            <w:r>
              <w:rPr>
                <w:rFonts w:hint="eastAsia" w:ascii="宋体" w:hAnsi="宋体"/>
                <w:sz w:val="18"/>
                <w:szCs w:val="18"/>
              </w:rPr>
              <w:t>燃料油</w:t>
            </w:r>
          </w:p>
        </w:tc>
        <w:tc>
          <w:tcPr>
            <w:tcW w:w="1020" w:type="dxa"/>
            <w:shd w:val="clear" w:color="auto" w:fill="auto"/>
            <w:noWrap/>
            <w:tcMar>
              <w:left w:w="28" w:type="dxa"/>
              <w:right w:w="28" w:type="dxa"/>
            </w:tcMar>
            <w:vAlign w:val="center"/>
          </w:tcPr>
          <w:p w14:paraId="3DBE5CDC">
            <w:pPr>
              <w:widowControl/>
              <w:spacing w:line="200" w:lineRule="exact"/>
              <w:jc w:val="center"/>
              <w:rPr>
                <w:rFonts w:hint="eastAsia" w:ascii="宋体" w:hAnsi="宋体"/>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5971EA6">
            <w:pPr>
              <w:widowControl/>
              <w:spacing w:line="200" w:lineRule="exact"/>
              <w:jc w:val="center"/>
              <w:rPr>
                <w:rFonts w:ascii="宋体" w:hAnsi="宋体"/>
                <w:sz w:val="18"/>
                <w:szCs w:val="18"/>
              </w:rPr>
            </w:pPr>
            <w:r>
              <w:rPr>
                <w:rFonts w:ascii="宋体" w:hAnsi="宋体"/>
                <w:sz w:val="18"/>
                <w:szCs w:val="18"/>
              </w:rPr>
              <w:t>2502050000</w:t>
            </w:r>
          </w:p>
        </w:tc>
        <w:tc>
          <w:tcPr>
            <w:tcW w:w="2891" w:type="dxa"/>
            <w:tcBorders>
              <w:left w:val="double" w:color="auto" w:sz="4" w:space="0"/>
            </w:tcBorders>
            <w:vAlign w:val="center"/>
          </w:tcPr>
          <w:p w14:paraId="43BB55CE">
            <w:pPr>
              <w:widowControl/>
              <w:spacing w:line="200" w:lineRule="exact"/>
              <w:ind w:firstLine="360" w:firstLineChars="200"/>
              <w:jc w:val="left"/>
              <w:rPr>
                <w:rFonts w:hint="eastAsia" w:ascii="宋体" w:hAnsi="宋体" w:eastAsia="宋体" w:cs="Times New Roman"/>
                <w:kern w:val="2"/>
                <w:sz w:val="18"/>
                <w:szCs w:val="18"/>
                <w:lang w:val="en-US" w:eastAsia="zh-CN" w:bidi="ar-SA"/>
              </w:rPr>
            </w:pPr>
            <w:r>
              <w:rPr>
                <w:rFonts w:hint="eastAsia" w:hAnsi="宋体"/>
                <w:sz w:val="18"/>
                <w:szCs w:val="18"/>
              </w:rPr>
              <w:t>电解水制氢</w:t>
            </w:r>
          </w:p>
        </w:tc>
        <w:tc>
          <w:tcPr>
            <w:tcW w:w="1020" w:type="dxa"/>
            <w:vAlign w:val="center"/>
          </w:tcPr>
          <w:p w14:paraId="5F928BB9">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14A9EF19">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default" w:ascii="宋体" w:hAnsi="宋体"/>
                <w:sz w:val="18"/>
                <w:szCs w:val="18"/>
                <w:lang w:val="en"/>
              </w:rPr>
              <w:t>2</w:t>
            </w:r>
          </w:p>
        </w:tc>
      </w:tr>
      <w:tr w14:paraId="21D129D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22D2A9A">
            <w:pPr>
              <w:widowControl/>
              <w:spacing w:line="200" w:lineRule="exact"/>
              <w:ind w:firstLine="360" w:firstLineChars="200"/>
              <w:rPr>
                <w:rFonts w:hint="eastAsia" w:ascii="宋体" w:hAnsi="宋体"/>
                <w:sz w:val="18"/>
                <w:szCs w:val="18"/>
              </w:rPr>
            </w:pPr>
            <w:r>
              <w:rPr>
                <w:rFonts w:hint="eastAsia" w:ascii="宋体" w:hAnsi="宋体"/>
                <w:sz w:val="18"/>
                <w:szCs w:val="18"/>
              </w:rPr>
              <w:t>石脑油</w:t>
            </w:r>
          </w:p>
        </w:tc>
        <w:tc>
          <w:tcPr>
            <w:tcW w:w="1020" w:type="dxa"/>
            <w:shd w:val="clear" w:color="auto" w:fill="auto"/>
            <w:noWrap/>
            <w:tcMar>
              <w:left w:w="28" w:type="dxa"/>
              <w:right w:w="28" w:type="dxa"/>
            </w:tcMar>
            <w:vAlign w:val="center"/>
          </w:tcPr>
          <w:p w14:paraId="5B3DC4AC">
            <w:pPr>
              <w:widowControl/>
              <w:spacing w:line="200" w:lineRule="exact"/>
              <w:jc w:val="center"/>
              <w:rPr>
                <w:rFonts w:hint="eastAsia" w:ascii="宋体" w:hAnsi="宋体"/>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C011975">
            <w:pPr>
              <w:widowControl/>
              <w:spacing w:line="200" w:lineRule="exact"/>
              <w:jc w:val="center"/>
              <w:rPr>
                <w:rFonts w:ascii="宋体" w:hAnsi="宋体"/>
                <w:sz w:val="18"/>
                <w:szCs w:val="18"/>
              </w:rPr>
            </w:pPr>
            <w:r>
              <w:rPr>
                <w:rFonts w:ascii="宋体" w:hAnsi="宋体"/>
                <w:sz w:val="18"/>
                <w:szCs w:val="18"/>
              </w:rPr>
              <w:t>2502060000</w:t>
            </w:r>
          </w:p>
        </w:tc>
        <w:tc>
          <w:tcPr>
            <w:tcW w:w="2891" w:type="dxa"/>
            <w:tcBorders>
              <w:left w:val="double" w:color="auto" w:sz="4" w:space="0"/>
            </w:tcBorders>
            <w:vAlign w:val="center"/>
          </w:tcPr>
          <w:p w14:paraId="03F633F8">
            <w:pPr>
              <w:widowControl/>
              <w:spacing w:line="200" w:lineRule="exact"/>
              <w:ind w:firstLine="513" w:firstLineChars="300"/>
              <w:jc w:val="left"/>
              <w:rPr>
                <w:rFonts w:hint="eastAsia" w:ascii="宋体" w:hAnsi="宋体" w:eastAsia="宋体" w:cs="Times New Roman"/>
                <w:kern w:val="2"/>
                <w:sz w:val="18"/>
                <w:szCs w:val="18"/>
                <w:lang w:val="en-US" w:eastAsia="zh-CN" w:bidi="ar-SA"/>
              </w:rPr>
            </w:pPr>
            <w:r>
              <w:rPr>
                <w:rFonts w:hint="eastAsia" w:ascii="宋体" w:hAnsi="宋体" w:eastAsia="宋体" w:cs="Times New Roman"/>
                <w:w w:val="95"/>
                <w:kern w:val="2"/>
                <w:sz w:val="18"/>
                <w:szCs w:val="18"/>
                <w:lang w:val="en-US" w:eastAsia="zh-CN" w:bidi="ar-SA"/>
              </w:rPr>
              <w:t>其中：可再生能源电解水制氢</w:t>
            </w:r>
          </w:p>
        </w:tc>
        <w:tc>
          <w:tcPr>
            <w:tcW w:w="1020" w:type="dxa"/>
            <w:vAlign w:val="center"/>
          </w:tcPr>
          <w:p w14:paraId="5D62EBB8">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658F366D">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lang w:val="en-US" w:eastAsia="zh-CN"/>
              </w:rPr>
              <w:t>10</w:t>
            </w:r>
          </w:p>
        </w:tc>
      </w:tr>
      <w:tr w14:paraId="5036709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8426827">
            <w:pPr>
              <w:widowControl/>
              <w:spacing w:line="200" w:lineRule="exact"/>
              <w:ind w:firstLine="360" w:firstLineChars="200"/>
              <w:rPr>
                <w:rFonts w:hint="eastAsia" w:ascii="宋体" w:hAnsi="宋体"/>
                <w:sz w:val="18"/>
                <w:szCs w:val="18"/>
              </w:rPr>
            </w:pPr>
            <w:r>
              <w:rPr>
                <w:rFonts w:hint="eastAsia" w:ascii="宋体" w:hAnsi="宋体"/>
                <w:sz w:val="18"/>
                <w:szCs w:val="18"/>
              </w:rPr>
              <w:t>溶剂油</w:t>
            </w:r>
          </w:p>
        </w:tc>
        <w:tc>
          <w:tcPr>
            <w:tcW w:w="1020" w:type="dxa"/>
            <w:shd w:val="clear" w:color="auto" w:fill="auto"/>
            <w:noWrap/>
            <w:tcMar>
              <w:left w:w="28" w:type="dxa"/>
              <w:right w:w="28" w:type="dxa"/>
            </w:tcMar>
            <w:vAlign w:val="center"/>
          </w:tcPr>
          <w:p w14:paraId="11D60CEA">
            <w:pPr>
              <w:widowControl/>
              <w:spacing w:line="200" w:lineRule="exact"/>
              <w:jc w:val="center"/>
              <w:rPr>
                <w:rFonts w:hint="eastAsia" w:ascii="宋体" w:hAnsi="宋体"/>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02C579A">
            <w:pPr>
              <w:widowControl/>
              <w:spacing w:line="200" w:lineRule="exact"/>
              <w:jc w:val="center"/>
              <w:rPr>
                <w:rFonts w:ascii="宋体" w:hAnsi="宋体"/>
                <w:sz w:val="18"/>
                <w:szCs w:val="18"/>
              </w:rPr>
            </w:pPr>
            <w:r>
              <w:rPr>
                <w:rFonts w:ascii="宋体" w:hAnsi="宋体"/>
                <w:sz w:val="18"/>
                <w:szCs w:val="18"/>
              </w:rPr>
              <w:t>2502070000</w:t>
            </w:r>
          </w:p>
        </w:tc>
        <w:tc>
          <w:tcPr>
            <w:tcW w:w="2891" w:type="dxa"/>
            <w:tcBorders>
              <w:left w:val="double" w:color="auto" w:sz="4" w:space="0"/>
            </w:tcBorders>
            <w:vAlign w:val="center"/>
          </w:tcPr>
          <w:p w14:paraId="15EB6DA0">
            <w:pPr>
              <w:widowControl/>
              <w:spacing w:line="200" w:lineRule="exact"/>
              <w:ind w:firstLine="360" w:firstLineChars="200"/>
              <w:jc w:val="left"/>
              <w:rPr>
                <w:rFonts w:hint="eastAsia" w:ascii="宋体" w:hAnsi="宋体" w:eastAsia="宋体" w:cs="Times New Roman"/>
                <w:kern w:val="2"/>
                <w:sz w:val="18"/>
                <w:szCs w:val="18"/>
                <w:lang w:val="en-US" w:eastAsia="zh-CN" w:bidi="ar-SA"/>
              </w:rPr>
            </w:pPr>
            <w:r>
              <w:rPr>
                <w:rFonts w:hint="eastAsia" w:hAnsi="宋体"/>
                <w:sz w:val="18"/>
                <w:szCs w:val="18"/>
                <w:lang w:eastAsia="zh-CN"/>
              </w:rPr>
              <w:t>混合气体</w:t>
            </w:r>
            <w:r>
              <w:rPr>
                <w:rFonts w:hint="eastAsia" w:hAnsi="宋体"/>
                <w:sz w:val="18"/>
                <w:szCs w:val="18"/>
              </w:rPr>
              <w:t>分离制氢</w:t>
            </w:r>
          </w:p>
        </w:tc>
        <w:tc>
          <w:tcPr>
            <w:tcW w:w="1020" w:type="dxa"/>
            <w:vAlign w:val="center"/>
          </w:tcPr>
          <w:p w14:paraId="5F069186">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7F0EDD14">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3</w:t>
            </w:r>
          </w:p>
        </w:tc>
      </w:tr>
      <w:tr w14:paraId="33A0677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72A6871E">
            <w:pPr>
              <w:widowControl/>
              <w:spacing w:line="200" w:lineRule="exact"/>
              <w:ind w:firstLine="360" w:firstLineChars="200"/>
              <w:rPr>
                <w:rFonts w:hint="eastAsia" w:ascii="宋体" w:hAnsi="宋体"/>
                <w:sz w:val="18"/>
                <w:szCs w:val="18"/>
              </w:rPr>
            </w:pPr>
            <w:r>
              <w:rPr>
                <w:rFonts w:hint="eastAsia" w:ascii="宋体" w:hAnsi="宋体"/>
                <w:sz w:val="18"/>
                <w:szCs w:val="18"/>
              </w:rPr>
              <w:t>石蜡</w:t>
            </w:r>
          </w:p>
        </w:tc>
        <w:tc>
          <w:tcPr>
            <w:tcW w:w="1020" w:type="dxa"/>
            <w:shd w:val="clear" w:color="auto" w:fill="auto"/>
            <w:noWrap/>
            <w:tcMar>
              <w:left w:w="28" w:type="dxa"/>
              <w:right w:w="28" w:type="dxa"/>
            </w:tcMar>
            <w:vAlign w:val="center"/>
          </w:tcPr>
          <w:p w14:paraId="4E423A40">
            <w:pPr>
              <w:widowControl/>
              <w:spacing w:line="200" w:lineRule="exact"/>
              <w:jc w:val="center"/>
              <w:rPr>
                <w:rFonts w:hint="eastAsia" w:ascii="宋体" w:hAnsi="宋体"/>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F7B46C4">
            <w:pPr>
              <w:widowControl/>
              <w:spacing w:line="200" w:lineRule="exact"/>
              <w:jc w:val="center"/>
              <w:rPr>
                <w:rFonts w:ascii="宋体" w:hAnsi="宋体"/>
                <w:sz w:val="18"/>
                <w:szCs w:val="18"/>
              </w:rPr>
            </w:pPr>
            <w:r>
              <w:rPr>
                <w:rFonts w:ascii="宋体" w:hAnsi="宋体"/>
                <w:sz w:val="18"/>
                <w:szCs w:val="18"/>
              </w:rPr>
              <w:t>2502100000</w:t>
            </w:r>
          </w:p>
        </w:tc>
        <w:tc>
          <w:tcPr>
            <w:tcW w:w="2891" w:type="dxa"/>
            <w:tcBorders>
              <w:left w:val="double" w:color="auto" w:sz="4" w:space="0"/>
            </w:tcBorders>
            <w:vAlign w:val="center"/>
          </w:tcPr>
          <w:p w14:paraId="692A2E18">
            <w:pPr>
              <w:widowControl/>
              <w:spacing w:line="200" w:lineRule="exact"/>
              <w:ind w:firstLine="360" w:firstLineChars="200"/>
              <w:jc w:val="left"/>
              <w:rPr>
                <w:rFonts w:hint="eastAsia" w:ascii="宋体" w:hAnsi="宋体" w:eastAsia="宋体" w:cs="Times New Roman"/>
                <w:kern w:val="2"/>
                <w:sz w:val="18"/>
                <w:szCs w:val="18"/>
                <w:lang w:val="en-US" w:eastAsia="zh-CN" w:bidi="ar-SA"/>
              </w:rPr>
            </w:pPr>
            <w:r>
              <w:rPr>
                <w:rFonts w:hint="eastAsia" w:hAnsi="宋体"/>
                <w:sz w:val="18"/>
                <w:szCs w:val="18"/>
              </w:rPr>
              <w:t>石</w:t>
            </w:r>
            <w:r>
              <w:rPr>
                <w:rFonts w:hint="eastAsia" w:hAnsi="宋体"/>
                <w:sz w:val="18"/>
                <w:szCs w:val="18"/>
                <w:lang w:val="en-US" w:eastAsia="zh-CN"/>
              </w:rPr>
              <w:t>油</w:t>
            </w:r>
            <w:r>
              <w:rPr>
                <w:rFonts w:hint="eastAsia" w:hAnsi="宋体"/>
                <w:sz w:val="18"/>
                <w:szCs w:val="18"/>
              </w:rPr>
              <w:t>化</w:t>
            </w:r>
            <w:r>
              <w:rPr>
                <w:rFonts w:hint="eastAsia" w:hAnsi="宋体"/>
                <w:sz w:val="18"/>
                <w:szCs w:val="18"/>
                <w:lang w:val="en-US" w:eastAsia="zh-CN"/>
              </w:rPr>
              <w:t>工</w:t>
            </w:r>
            <w:r>
              <w:rPr>
                <w:rFonts w:hint="eastAsia" w:hAnsi="宋体"/>
                <w:sz w:val="18"/>
                <w:szCs w:val="18"/>
              </w:rPr>
              <w:t>原料制氢</w:t>
            </w:r>
          </w:p>
        </w:tc>
        <w:tc>
          <w:tcPr>
            <w:tcW w:w="1020" w:type="dxa"/>
            <w:vAlign w:val="center"/>
          </w:tcPr>
          <w:p w14:paraId="390E33B7">
            <w:pPr>
              <w:widowControl/>
              <w:spacing w:line="200" w:lineRule="exact"/>
              <w:jc w:val="center"/>
              <w:rPr>
                <w:rFonts w:hint="eastAsia"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0F9A490C">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4</w:t>
            </w:r>
          </w:p>
        </w:tc>
      </w:tr>
      <w:tr w14:paraId="76EED0C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4AB12881">
            <w:pPr>
              <w:widowControl/>
              <w:spacing w:line="200" w:lineRule="exact"/>
              <w:ind w:firstLine="360" w:firstLineChars="200"/>
              <w:rPr>
                <w:rFonts w:ascii="宋体" w:hAnsi="宋体"/>
                <w:kern w:val="0"/>
                <w:sz w:val="18"/>
                <w:szCs w:val="18"/>
              </w:rPr>
            </w:pPr>
            <w:r>
              <w:rPr>
                <w:rFonts w:hint="eastAsia" w:ascii="宋体" w:hAnsi="宋体"/>
                <w:sz w:val="18"/>
                <w:szCs w:val="18"/>
              </w:rPr>
              <w:t>石油焦</w:t>
            </w:r>
          </w:p>
        </w:tc>
        <w:tc>
          <w:tcPr>
            <w:tcW w:w="1020" w:type="dxa"/>
            <w:shd w:val="clear" w:color="auto" w:fill="auto"/>
            <w:noWrap/>
            <w:tcMar>
              <w:left w:w="28" w:type="dxa"/>
              <w:right w:w="28" w:type="dxa"/>
            </w:tcMar>
            <w:vAlign w:val="center"/>
          </w:tcPr>
          <w:p w14:paraId="191C5FE6">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6AD1E8E5">
            <w:pPr>
              <w:widowControl/>
              <w:spacing w:line="200" w:lineRule="exact"/>
              <w:jc w:val="center"/>
              <w:rPr>
                <w:rFonts w:ascii="宋体" w:hAnsi="宋体"/>
                <w:kern w:val="0"/>
                <w:sz w:val="18"/>
                <w:szCs w:val="18"/>
              </w:rPr>
            </w:pPr>
            <w:r>
              <w:rPr>
                <w:rFonts w:ascii="宋体" w:hAnsi="宋体"/>
                <w:sz w:val="18"/>
                <w:szCs w:val="18"/>
              </w:rPr>
              <w:t>2504011002</w:t>
            </w:r>
          </w:p>
        </w:tc>
        <w:tc>
          <w:tcPr>
            <w:tcW w:w="2891" w:type="dxa"/>
            <w:tcBorders>
              <w:left w:val="double" w:color="auto" w:sz="4" w:space="0"/>
            </w:tcBorders>
            <w:vAlign w:val="center"/>
          </w:tcPr>
          <w:p w14:paraId="0FFCEFFB">
            <w:pPr>
              <w:widowControl/>
              <w:spacing w:line="200" w:lineRule="exact"/>
              <w:ind w:firstLine="360" w:firstLineChars="200"/>
              <w:jc w:val="left"/>
              <w:rPr>
                <w:rFonts w:ascii="宋体" w:hAnsi="宋体" w:eastAsia="宋体" w:cs="Times New Roman"/>
                <w:kern w:val="2"/>
                <w:sz w:val="18"/>
                <w:szCs w:val="18"/>
                <w:lang w:val="en-US" w:eastAsia="zh-CN" w:bidi="ar-SA"/>
              </w:rPr>
            </w:pPr>
            <w:r>
              <w:rPr>
                <w:rFonts w:hint="eastAsia" w:hAnsi="宋体"/>
                <w:sz w:val="18"/>
                <w:szCs w:val="18"/>
                <w:lang w:eastAsia="zh-CN"/>
              </w:rPr>
              <w:t>工业副产</w:t>
            </w:r>
            <w:r>
              <w:rPr>
                <w:rFonts w:hint="eastAsia" w:hAnsi="宋体"/>
                <w:sz w:val="18"/>
                <w:szCs w:val="18"/>
              </w:rPr>
              <w:t>氢</w:t>
            </w:r>
          </w:p>
        </w:tc>
        <w:tc>
          <w:tcPr>
            <w:tcW w:w="1020" w:type="dxa"/>
            <w:vAlign w:val="center"/>
          </w:tcPr>
          <w:p w14:paraId="37F09637">
            <w:pPr>
              <w:widowControl/>
              <w:spacing w:line="200" w:lineRule="exact"/>
              <w:jc w:val="center"/>
              <w:rPr>
                <w:rFonts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501C5399">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5</w:t>
            </w:r>
          </w:p>
        </w:tc>
      </w:tr>
      <w:tr w14:paraId="1AF716A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67A924B5">
            <w:pPr>
              <w:widowControl/>
              <w:spacing w:line="200" w:lineRule="exact"/>
              <w:ind w:firstLine="360" w:firstLineChars="200"/>
              <w:rPr>
                <w:rFonts w:ascii="宋体" w:hAnsi="宋体"/>
                <w:kern w:val="0"/>
                <w:sz w:val="18"/>
                <w:szCs w:val="18"/>
              </w:rPr>
            </w:pPr>
            <w:r>
              <w:rPr>
                <w:rFonts w:hint="eastAsia" w:ascii="宋体" w:hAnsi="宋体"/>
                <w:sz w:val="18"/>
                <w:szCs w:val="18"/>
              </w:rPr>
              <w:t>石油沥青</w:t>
            </w:r>
          </w:p>
        </w:tc>
        <w:tc>
          <w:tcPr>
            <w:tcW w:w="1020" w:type="dxa"/>
            <w:shd w:val="clear" w:color="auto" w:fill="auto"/>
            <w:noWrap/>
            <w:tcMar>
              <w:left w:w="28" w:type="dxa"/>
              <w:right w:w="28" w:type="dxa"/>
            </w:tcMar>
            <w:vAlign w:val="center"/>
          </w:tcPr>
          <w:p w14:paraId="080EBEDC">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02B7B11">
            <w:pPr>
              <w:widowControl/>
              <w:spacing w:line="200" w:lineRule="exact"/>
              <w:jc w:val="center"/>
              <w:rPr>
                <w:rFonts w:ascii="宋体" w:hAnsi="宋体"/>
                <w:kern w:val="0"/>
                <w:sz w:val="18"/>
                <w:szCs w:val="18"/>
              </w:rPr>
            </w:pPr>
            <w:r>
              <w:rPr>
                <w:rFonts w:ascii="宋体" w:hAnsi="宋体"/>
                <w:sz w:val="18"/>
                <w:szCs w:val="18"/>
              </w:rPr>
              <w:t>2504011003</w:t>
            </w:r>
          </w:p>
        </w:tc>
        <w:tc>
          <w:tcPr>
            <w:tcW w:w="2891" w:type="dxa"/>
            <w:tcBorders>
              <w:left w:val="double" w:color="auto" w:sz="4" w:space="0"/>
            </w:tcBorders>
            <w:vAlign w:val="center"/>
          </w:tcPr>
          <w:p w14:paraId="01AF42E7">
            <w:pPr>
              <w:widowControl/>
              <w:spacing w:line="200" w:lineRule="exact"/>
              <w:ind w:firstLine="360" w:firstLineChars="200"/>
              <w:jc w:val="left"/>
              <w:rPr>
                <w:rFonts w:ascii="宋体" w:hAnsi="宋体" w:eastAsia="宋体" w:cs="Times New Roman"/>
                <w:kern w:val="2"/>
                <w:sz w:val="18"/>
                <w:szCs w:val="18"/>
                <w:lang w:val="en-US" w:eastAsia="zh-CN" w:bidi="ar-SA"/>
              </w:rPr>
            </w:pPr>
            <w:r>
              <w:rPr>
                <w:rFonts w:hint="eastAsia" w:hAnsi="宋体"/>
                <w:sz w:val="18"/>
                <w:szCs w:val="18"/>
              </w:rPr>
              <w:t>太阳能制氢</w:t>
            </w:r>
          </w:p>
        </w:tc>
        <w:tc>
          <w:tcPr>
            <w:tcW w:w="1020" w:type="dxa"/>
            <w:vAlign w:val="center"/>
          </w:tcPr>
          <w:p w14:paraId="50FEF4C6">
            <w:pPr>
              <w:widowControl/>
              <w:spacing w:line="200" w:lineRule="exact"/>
              <w:jc w:val="center"/>
              <w:rPr>
                <w:rFonts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0F467067">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6</w:t>
            </w:r>
          </w:p>
        </w:tc>
      </w:tr>
      <w:tr w14:paraId="34B113C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41D53C6">
            <w:pPr>
              <w:widowControl/>
              <w:spacing w:line="200" w:lineRule="exact"/>
              <w:ind w:firstLine="360" w:firstLineChars="200"/>
              <w:rPr>
                <w:rFonts w:ascii="宋体" w:hAnsi="宋体"/>
                <w:sz w:val="18"/>
                <w:szCs w:val="18"/>
              </w:rPr>
            </w:pPr>
            <w:r>
              <w:rPr>
                <w:rFonts w:hint="eastAsia" w:ascii="宋体" w:hAnsi="宋体"/>
                <w:sz w:val="18"/>
                <w:szCs w:val="18"/>
              </w:rPr>
              <w:t>燃料气</w:t>
            </w:r>
          </w:p>
        </w:tc>
        <w:tc>
          <w:tcPr>
            <w:tcW w:w="1020" w:type="dxa"/>
            <w:shd w:val="clear" w:color="auto" w:fill="auto"/>
            <w:noWrap/>
            <w:tcMar>
              <w:left w:w="28" w:type="dxa"/>
              <w:right w:w="28" w:type="dxa"/>
            </w:tcMar>
            <w:vAlign w:val="center"/>
          </w:tcPr>
          <w:p w14:paraId="4D0AD4CD">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3ADFB5A2">
            <w:pPr>
              <w:widowControl/>
              <w:spacing w:line="200" w:lineRule="exact"/>
              <w:jc w:val="center"/>
              <w:rPr>
                <w:rFonts w:ascii="宋体" w:hAnsi="宋体"/>
                <w:kern w:val="0"/>
                <w:sz w:val="18"/>
                <w:szCs w:val="18"/>
              </w:rPr>
            </w:pPr>
            <w:r>
              <w:rPr>
                <w:rFonts w:ascii="宋体" w:hAnsi="宋体"/>
                <w:sz w:val="18"/>
                <w:szCs w:val="18"/>
              </w:rPr>
              <w:t>2502110000</w:t>
            </w:r>
          </w:p>
        </w:tc>
        <w:tc>
          <w:tcPr>
            <w:tcW w:w="2891" w:type="dxa"/>
            <w:tcBorders>
              <w:left w:val="double" w:color="auto" w:sz="4" w:space="0"/>
            </w:tcBorders>
            <w:vAlign w:val="center"/>
          </w:tcPr>
          <w:p w14:paraId="54720D47">
            <w:pPr>
              <w:widowControl/>
              <w:spacing w:line="200" w:lineRule="exact"/>
              <w:ind w:firstLine="360" w:firstLineChars="200"/>
              <w:jc w:val="left"/>
              <w:rPr>
                <w:rFonts w:ascii="宋体" w:hAnsi="宋体" w:eastAsia="宋体" w:cs="Times New Roman"/>
                <w:kern w:val="2"/>
                <w:sz w:val="18"/>
                <w:szCs w:val="18"/>
                <w:lang w:val="en-US" w:eastAsia="zh-CN" w:bidi="ar-SA"/>
              </w:rPr>
            </w:pPr>
            <w:r>
              <w:rPr>
                <w:rFonts w:hint="eastAsia" w:hAnsi="宋体"/>
                <w:sz w:val="18"/>
                <w:szCs w:val="18"/>
              </w:rPr>
              <w:t>核能制氢</w:t>
            </w:r>
          </w:p>
        </w:tc>
        <w:tc>
          <w:tcPr>
            <w:tcW w:w="1020" w:type="dxa"/>
            <w:vAlign w:val="center"/>
          </w:tcPr>
          <w:p w14:paraId="77528599">
            <w:pPr>
              <w:widowControl/>
              <w:spacing w:line="200" w:lineRule="exact"/>
              <w:jc w:val="center"/>
              <w:rPr>
                <w:rFonts w:ascii="宋体" w:hAnsi="宋体" w:eastAsia="宋体" w:cs="Times New Roman"/>
                <w:kern w:val="2"/>
                <w:sz w:val="18"/>
                <w:szCs w:val="18"/>
                <w:lang w:val="en-US" w:eastAsia="zh-CN" w:bidi="ar-SA"/>
              </w:rPr>
            </w:pPr>
            <w:r>
              <w:rPr>
                <w:rFonts w:hint="eastAsia" w:hAnsi="宋体"/>
                <w:sz w:val="18"/>
                <w:szCs w:val="18"/>
              </w:rPr>
              <w:t>万立方米</w:t>
            </w:r>
          </w:p>
        </w:tc>
        <w:tc>
          <w:tcPr>
            <w:tcW w:w="1134" w:type="dxa"/>
            <w:vAlign w:val="center"/>
          </w:tcPr>
          <w:p w14:paraId="630BBF49">
            <w:pPr>
              <w:widowControl/>
              <w:spacing w:line="200" w:lineRule="exact"/>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7</w:t>
            </w:r>
          </w:p>
        </w:tc>
      </w:tr>
      <w:tr w14:paraId="3BD0B57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shd w:val="clear" w:color="auto" w:fill="auto"/>
            <w:noWrap/>
            <w:tcMar>
              <w:left w:w="28" w:type="dxa"/>
              <w:right w:w="28" w:type="dxa"/>
            </w:tcMar>
            <w:vAlign w:val="center"/>
          </w:tcPr>
          <w:p w14:paraId="3FBE0ADC">
            <w:pPr>
              <w:widowControl/>
              <w:spacing w:line="200" w:lineRule="exact"/>
              <w:ind w:firstLine="360" w:firstLineChars="200"/>
              <w:rPr>
                <w:rFonts w:ascii="宋体" w:hAnsi="宋体"/>
                <w:sz w:val="18"/>
                <w:szCs w:val="18"/>
              </w:rPr>
            </w:pPr>
            <w:r>
              <w:rPr>
                <w:rFonts w:hint="eastAsia" w:ascii="宋体" w:hAnsi="宋体"/>
                <w:sz w:val="18"/>
                <w:szCs w:val="18"/>
              </w:rPr>
              <w:t xml:space="preserve">  其中：液化石油气</w:t>
            </w:r>
          </w:p>
        </w:tc>
        <w:tc>
          <w:tcPr>
            <w:tcW w:w="1020" w:type="dxa"/>
            <w:shd w:val="clear" w:color="auto" w:fill="auto"/>
            <w:noWrap/>
            <w:tcMar>
              <w:left w:w="28" w:type="dxa"/>
              <w:right w:w="28" w:type="dxa"/>
            </w:tcMar>
            <w:vAlign w:val="center"/>
          </w:tcPr>
          <w:p w14:paraId="53FEF493">
            <w:pPr>
              <w:widowControl/>
              <w:spacing w:line="200" w:lineRule="exact"/>
              <w:jc w:val="center"/>
              <w:rPr>
                <w:rFonts w:ascii="宋体" w:hAnsi="宋体"/>
                <w:kern w:val="0"/>
                <w:sz w:val="18"/>
                <w:szCs w:val="18"/>
              </w:rPr>
            </w:pPr>
            <w:r>
              <w:rPr>
                <w:rFonts w:hint="eastAsia" w:ascii="宋体" w:hAnsi="宋体"/>
                <w:sz w:val="18"/>
                <w:szCs w:val="18"/>
              </w:rPr>
              <w:t>吨</w:t>
            </w:r>
          </w:p>
        </w:tc>
        <w:tc>
          <w:tcPr>
            <w:tcW w:w="1134" w:type="dxa"/>
            <w:tcBorders>
              <w:right w:val="double" w:color="auto" w:sz="4" w:space="0"/>
            </w:tcBorders>
            <w:shd w:val="clear" w:color="auto" w:fill="auto"/>
            <w:noWrap/>
            <w:tcMar>
              <w:left w:w="28" w:type="dxa"/>
              <w:right w:w="28" w:type="dxa"/>
            </w:tcMar>
            <w:vAlign w:val="center"/>
          </w:tcPr>
          <w:p w14:paraId="76C66945">
            <w:pPr>
              <w:widowControl/>
              <w:spacing w:line="200" w:lineRule="exact"/>
              <w:jc w:val="center"/>
              <w:rPr>
                <w:rFonts w:ascii="宋体" w:hAnsi="宋体"/>
                <w:kern w:val="0"/>
                <w:sz w:val="18"/>
                <w:szCs w:val="18"/>
              </w:rPr>
            </w:pPr>
            <w:r>
              <w:rPr>
                <w:rFonts w:ascii="宋体" w:hAnsi="宋体"/>
                <w:sz w:val="18"/>
                <w:szCs w:val="18"/>
              </w:rPr>
              <w:t>2502110100</w:t>
            </w:r>
          </w:p>
        </w:tc>
        <w:tc>
          <w:tcPr>
            <w:tcW w:w="2891" w:type="dxa"/>
            <w:tcBorders>
              <w:left w:val="double" w:color="auto" w:sz="4" w:space="0"/>
            </w:tcBorders>
            <w:vAlign w:val="center"/>
          </w:tcPr>
          <w:p w14:paraId="7EAD4B9F">
            <w:pPr>
              <w:widowControl/>
              <w:spacing w:line="200" w:lineRule="exact"/>
              <w:ind w:firstLine="360" w:firstLineChars="200"/>
              <w:jc w:val="left"/>
              <w:rPr>
                <w:rFonts w:ascii="宋体" w:hAnsi="宋体"/>
                <w:sz w:val="18"/>
                <w:szCs w:val="18"/>
              </w:rPr>
            </w:pPr>
            <w:r>
              <w:rPr>
                <w:rFonts w:hint="eastAsia" w:hAnsi="宋体"/>
                <w:sz w:val="18"/>
                <w:szCs w:val="18"/>
              </w:rPr>
              <w:t>其他方式制氢</w:t>
            </w:r>
          </w:p>
        </w:tc>
        <w:tc>
          <w:tcPr>
            <w:tcW w:w="1020" w:type="dxa"/>
            <w:vAlign w:val="center"/>
          </w:tcPr>
          <w:p w14:paraId="0C69157B">
            <w:pPr>
              <w:widowControl/>
              <w:spacing w:line="200" w:lineRule="exact"/>
              <w:jc w:val="center"/>
              <w:rPr>
                <w:rFonts w:ascii="宋体" w:hAnsi="宋体"/>
                <w:kern w:val="2"/>
                <w:sz w:val="18"/>
                <w:szCs w:val="18"/>
              </w:rPr>
            </w:pPr>
            <w:r>
              <w:rPr>
                <w:rFonts w:hint="eastAsia" w:hAnsi="宋体"/>
                <w:sz w:val="18"/>
                <w:szCs w:val="18"/>
              </w:rPr>
              <w:t>万立方米</w:t>
            </w:r>
          </w:p>
        </w:tc>
        <w:tc>
          <w:tcPr>
            <w:tcW w:w="1134" w:type="dxa"/>
            <w:vAlign w:val="center"/>
          </w:tcPr>
          <w:p w14:paraId="0E4DBF5B">
            <w:pPr>
              <w:widowControl/>
              <w:spacing w:line="200" w:lineRule="exact"/>
              <w:jc w:val="center"/>
              <w:rPr>
                <w:rFonts w:ascii="宋体" w:hAnsi="宋体"/>
                <w:kern w:val="2"/>
                <w:sz w:val="18"/>
                <w:szCs w:val="18"/>
              </w:rPr>
            </w:pPr>
            <w:r>
              <w:rPr>
                <w:rFonts w:hint="eastAsia" w:ascii="宋体" w:hAnsi="宋体"/>
                <w:sz w:val="18"/>
                <w:szCs w:val="18"/>
                <w:lang w:val="en-US" w:eastAsia="zh-CN"/>
              </w:rPr>
              <w:t>2</w:t>
            </w:r>
            <w:r>
              <w:rPr>
                <w:rFonts w:hint="default" w:ascii="宋体" w:hAnsi="宋体"/>
                <w:sz w:val="18"/>
                <w:szCs w:val="18"/>
                <w:lang w:val="en" w:eastAsia="zh-CN"/>
              </w:rPr>
              <w:t>61910</w:t>
            </w:r>
            <w:r>
              <w:rPr>
                <w:rFonts w:hint="eastAsia" w:ascii="宋体" w:hAnsi="宋体"/>
                <w:sz w:val="18"/>
                <w:szCs w:val="18"/>
              </w:rPr>
              <w:t>0</w:t>
            </w:r>
            <w:r>
              <w:rPr>
                <w:rFonts w:hint="default" w:ascii="宋体" w:hAnsi="宋体"/>
                <w:sz w:val="18"/>
                <w:szCs w:val="18"/>
                <w:lang w:val="en"/>
              </w:rPr>
              <w:t>1</w:t>
            </w:r>
            <w:r>
              <w:rPr>
                <w:rFonts w:hint="eastAsia" w:ascii="宋体" w:hAnsi="宋体"/>
                <w:sz w:val="18"/>
                <w:szCs w:val="18"/>
              </w:rPr>
              <w:t>0</w:t>
            </w:r>
            <w:r>
              <w:rPr>
                <w:rFonts w:hint="eastAsia" w:ascii="宋体" w:hAnsi="宋体"/>
                <w:sz w:val="18"/>
                <w:szCs w:val="18"/>
                <w:lang w:val="en-US" w:eastAsia="zh-CN"/>
              </w:rPr>
              <w:t>9</w:t>
            </w:r>
          </w:p>
        </w:tc>
      </w:tr>
      <w:tr w14:paraId="0F4F21B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249" w:hRule="atLeast"/>
          <w:jc w:val="center"/>
        </w:trPr>
        <w:tc>
          <w:tcPr>
            <w:tcW w:w="2665" w:type="dxa"/>
            <w:tcBorders>
              <w:bottom w:val="single" w:color="auto" w:sz="8" w:space="0"/>
            </w:tcBorders>
            <w:shd w:val="clear" w:color="auto" w:fill="auto"/>
            <w:noWrap/>
            <w:tcMar>
              <w:left w:w="28" w:type="dxa"/>
              <w:right w:w="28" w:type="dxa"/>
            </w:tcMar>
            <w:vAlign w:val="center"/>
          </w:tcPr>
          <w:p w14:paraId="3DB92A2F">
            <w:pPr>
              <w:widowControl/>
              <w:spacing w:line="200" w:lineRule="exact"/>
              <w:ind w:firstLine="1080" w:firstLineChars="600"/>
              <w:jc w:val="left"/>
              <w:rPr>
                <w:rFonts w:hint="eastAsia" w:ascii="宋体" w:hAnsi="宋体" w:eastAsia="宋体" w:cs="Times New Roman"/>
                <w:kern w:val="0"/>
                <w:sz w:val="18"/>
                <w:szCs w:val="18"/>
                <w:lang w:val="en-US" w:eastAsia="zh-CN" w:bidi="ar-SA"/>
              </w:rPr>
            </w:pPr>
            <w:r>
              <w:rPr>
                <w:rFonts w:hint="eastAsia" w:ascii="宋体" w:hAnsi="宋体"/>
                <w:sz w:val="18"/>
                <w:szCs w:val="18"/>
              </w:rPr>
              <w:t>炼厂干气</w:t>
            </w:r>
          </w:p>
        </w:tc>
        <w:tc>
          <w:tcPr>
            <w:tcW w:w="1020" w:type="dxa"/>
            <w:tcBorders>
              <w:bottom w:val="single" w:color="auto" w:sz="8" w:space="0"/>
            </w:tcBorders>
            <w:shd w:val="clear" w:color="auto" w:fill="auto"/>
            <w:noWrap/>
            <w:tcMar>
              <w:left w:w="28" w:type="dxa"/>
              <w:right w:w="28" w:type="dxa"/>
            </w:tcMar>
            <w:vAlign w:val="center"/>
          </w:tcPr>
          <w:p w14:paraId="2FDC852D">
            <w:pPr>
              <w:widowControl/>
              <w:spacing w:line="200" w:lineRule="exact"/>
              <w:jc w:val="center"/>
              <w:rPr>
                <w:rFonts w:hint="eastAsia" w:ascii="宋体" w:hAnsi="宋体" w:eastAsia="宋体" w:cs="Times New Roman"/>
                <w:kern w:val="0"/>
                <w:sz w:val="18"/>
                <w:szCs w:val="18"/>
                <w:lang w:val="en-US" w:eastAsia="zh-CN" w:bidi="ar-SA"/>
              </w:rPr>
            </w:pPr>
            <w:r>
              <w:rPr>
                <w:rFonts w:hint="eastAsia" w:ascii="宋体" w:hAnsi="宋体"/>
                <w:sz w:val="18"/>
                <w:szCs w:val="18"/>
              </w:rPr>
              <w:t>吨</w:t>
            </w:r>
          </w:p>
        </w:tc>
        <w:tc>
          <w:tcPr>
            <w:tcW w:w="1134" w:type="dxa"/>
            <w:tcBorders>
              <w:bottom w:val="single" w:color="auto" w:sz="8" w:space="0"/>
              <w:right w:val="double" w:color="auto" w:sz="4" w:space="0"/>
            </w:tcBorders>
            <w:shd w:val="clear" w:color="auto" w:fill="auto"/>
            <w:noWrap/>
            <w:tcMar>
              <w:left w:w="28" w:type="dxa"/>
              <w:right w:w="28" w:type="dxa"/>
            </w:tcMar>
            <w:vAlign w:val="center"/>
          </w:tcPr>
          <w:p w14:paraId="5E5095AC">
            <w:pPr>
              <w:widowControl/>
              <w:spacing w:line="200" w:lineRule="exact"/>
              <w:jc w:val="center"/>
              <w:rPr>
                <w:rFonts w:ascii="宋体" w:hAnsi="宋体" w:eastAsia="宋体" w:cs="Times New Roman"/>
                <w:kern w:val="0"/>
                <w:sz w:val="18"/>
                <w:szCs w:val="18"/>
                <w:lang w:val="en-US" w:eastAsia="zh-CN" w:bidi="ar-SA"/>
              </w:rPr>
            </w:pPr>
            <w:r>
              <w:rPr>
                <w:rFonts w:ascii="宋体" w:hAnsi="宋体"/>
                <w:sz w:val="18"/>
                <w:szCs w:val="18"/>
              </w:rPr>
              <w:t>2502140000</w:t>
            </w:r>
          </w:p>
        </w:tc>
        <w:tc>
          <w:tcPr>
            <w:tcW w:w="2891" w:type="dxa"/>
            <w:tcBorders>
              <w:left w:val="double" w:color="auto" w:sz="4" w:space="0"/>
              <w:bottom w:val="single" w:color="auto" w:sz="8" w:space="0"/>
            </w:tcBorders>
            <w:vAlign w:val="center"/>
          </w:tcPr>
          <w:p w14:paraId="3F0F6DE1">
            <w:pPr>
              <w:widowControl/>
              <w:spacing w:line="200" w:lineRule="exact"/>
              <w:ind w:firstLine="360" w:firstLineChars="200"/>
              <w:jc w:val="left"/>
              <w:rPr>
                <w:rFonts w:hint="eastAsia" w:hAnsi="宋体"/>
                <w:sz w:val="18"/>
                <w:szCs w:val="18"/>
              </w:rPr>
            </w:pPr>
          </w:p>
        </w:tc>
        <w:tc>
          <w:tcPr>
            <w:tcW w:w="1020" w:type="dxa"/>
            <w:tcBorders>
              <w:bottom w:val="single" w:color="auto" w:sz="8" w:space="0"/>
            </w:tcBorders>
            <w:vAlign w:val="center"/>
          </w:tcPr>
          <w:p w14:paraId="18EFFDAB">
            <w:pPr>
              <w:widowControl/>
              <w:spacing w:line="200" w:lineRule="exact"/>
              <w:jc w:val="center"/>
              <w:rPr>
                <w:rFonts w:hint="eastAsia" w:hAnsi="宋体"/>
                <w:sz w:val="18"/>
                <w:szCs w:val="18"/>
              </w:rPr>
            </w:pPr>
          </w:p>
        </w:tc>
        <w:tc>
          <w:tcPr>
            <w:tcW w:w="1134" w:type="dxa"/>
            <w:tcBorders>
              <w:bottom w:val="single" w:color="auto" w:sz="8" w:space="0"/>
            </w:tcBorders>
            <w:vAlign w:val="center"/>
          </w:tcPr>
          <w:p w14:paraId="22C5E19A">
            <w:pPr>
              <w:widowControl/>
              <w:spacing w:line="200" w:lineRule="exact"/>
              <w:jc w:val="center"/>
              <w:rPr>
                <w:rFonts w:hint="eastAsia" w:ascii="宋体" w:hAnsi="宋体"/>
                <w:sz w:val="18"/>
                <w:szCs w:val="18"/>
                <w:lang w:val="en-US" w:eastAsia="zh-CN"/>
              </w:rPr>
            </w:pPr>
          </w:p>
        </w:tc>
      </w:tr>
    </w:tbl>
    <w:p w14:paraId="222A6DC0">
      <w:pPr>
        <w:pStyle w:val="10"/>
        <w:adjustRightInd w:val="0"/>
        <w:spacing w:line="360" w:lineRule="exact"/>
        <w:ind w:firstLine="420" w:firstLineChars="200"/>
        <w:textAlignment w:val="center"/>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填报目录说明：</w:t>
      </w:r>
    </w:p>
    <w:p w14:paraId="0457B277">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原煤</w:t>
      </w:r>
      <w:r>
        <w:rPr>
          <w:rFonts w:eastAsia="黑体"/>
          <w:bCs/>
        </w:rPr>
        <w:t xml:space="preserve">  </w:t>
      </w:r>
      <w:r>
        <w:rPr>
          <w:rFonts w:ascii="Times New Roman" w:hAnsi="Times New Roman" w:cs="Times New Roman"/>
          <w:kern w:val="0"/>
        </w:rPr>
        <w:t>指煤矿生产的、经过验收符合质量标准的原煤。即：从毛煤中选出规定粒度的矸石（包括黄铁矿等杂物）并且绝对干燥灰分在40%以下的原煤。绝对干燥灰分虽在40%以上，但经有关部门批准开采，并有消费需求的劣质煤，亦应计入原煤产量。原煤分为无烟煤、烟煤、褐煤，在烟煤中又分为炼焦烟煤和一般烟煤两种。原煤不包括石煤、泥煤（泥炭）和伴随原煤生产过程而采出的煤矸石。</w:t>
      </w:r>
    </w:p>
    <w:p w14:paraId="3E72F410">
      <w:pPr>
        <w:pStyle w:val="10"/>
        <w:adjustRightInd w:val="0"/>
        <w:spacing w:line="360" w:lineRule="exact"/>
        <w:ind w:firstLine="422" w:firstLineChars="200"/>
        <w:textAlignment w:val="center"/>
        <w:rPr>
          <w:rFonts w:ascii="Times New Roman" w:hAnsi="Times New Roman" w:cs="Times New Roman"/>
          <w:b/>
          <w:bCs/>
        </w:rPr>
      </w:pPr>
      <w:r>
        <w:rPr>
          <w:rFonts w:ascii="Times New Roman" w:hAnsi="Times New Roman" w:cs="Times New Roman"/>
          <w:b/>
          <w:bCs/>
        </w:rPr>
        <w:t>原煤的计量</w:t>
      </w:r>
    </w:p>
    <w:p w14:paraId="713433A8">
      <w:pPr>
        <w:spacing w:line="360" w:lineRule="exact"/>
        <w:ind w:firstLine="420" w:firstLineChars="200"/>
        <w:textAlignment w:val="center"/>
        <w:rPr>
          <w:szCs w:val="21"/>
        </w:rPr>
      </w:pPr>
      <w:r>
        <w:rPr>
          <w:szCs w:val="21"/>
        </w:rPr>
        <w:t>煤炭必须加工拣选，实行选后计量，即拣出粒度大于50毫米以上矸石后，经验收合格的，方可计算原煤产量。凡有选煤</w:t>
      </w:r>
      <w:r>
        <w:rPr>
          <w:rFonts w:hint="eastAsia"/>
          <w:szCs w:val="21"/>
          <w:lang w:eastAsia="zh-CN"/>
        </w:rPr>
        <w:t>环节</w:t>
      </w:r>
      <w:r>
        <w:rPr>
          <w:szCs w:val="21"/>
        </w:rPr>
        <w:t>的矿井，出井的煤必须经过选矸后，才能计量。没有选煤</w:t>
      </w:r>
      <w:r>
        <w:rPr>
          <w:rFonts w:hint="eastAsia"/>
          <w:szCs w:val="21"/>
          <w:lang w:eastAsia="zh-CN"/>
        </w:rPr>
        <w:t>环节</w:t>
      </w:r>
      <w:r>
        <w:rPr>
          <w:szCs w:val="21"/>
        </w:rPr>
        <w:t>的矿井，也应采用简易方法拣选，扣除矸石后，计算原煤产量。</w:t>
      </w:r>
    </w:p>
    <w:p w14:paraId="59BA55B8">
      <w:pPr>
        <w:spacing w:line="360" w:lineRule="exact"/>
        <w:ind w:firstLine="420" w:firstLineChars="200"/>
        <w:textAlignment w:val="center"/>
        <w:rPr>
          <w:szCs w:val="21"/>
        </w:rPr>
      </w:pPr>
      <w:r>
        <w:rPr>
          <w:szCs w:val="21"/>
        </w:rPr>
        <w:t>原煤产量的计算应当以矿井主井口所采用的提升方式来定，但应扣除由井口提出毛煤到原煤筒仓（储煤场）之前拣出的粒度大于50毫米的矸石。</w:t>
      </w:r>
    </w:p>
    <w:p w14:paraId="657FA1C4">
      <w:pPr>
        <w:spacing w:line="360" w:lineRule="exact"/>
        <w:ind w:firstLine="420" w:firstLineChars="200"/>
        <w:textAlignment w:val="center"/>
        <w:rPr>
          <w:szCs w:val="21"/>
        </w:rPr>
      </w:pPr>
      <w:r>
        <w:rPr>
          <w:szCs w:val="21"/>
        </w:rPr>
        <w:t>1.采用皮带运煤时，应以核子秤计量计算原煤产量。</w:t>
      </w:r>
    </w:p>
    <w:p w14:paraId="1E407638">
      <w:pPr>
        <w:spacing w:line="360" w:lineRule="exact"/>
        <w:ind w:firstLine="420" w:firstLineChars="200"/>
        <w:textAlignment w:val="center"/>
        <w:rPr>
          <w:szCs w:val="21"/>
        </w:rPr>
      </w:pPr>
      <w:r>
        <w:rPr>
          <w:szCs w:val="21"/>
        </w:rPr>
        <w:t>2.采用矿车运煤时，矿车计量以实际装载量计算，应扣除车底积煤。</w:t>
      </w:r>
    </w:p>
    <w:p w14:paraId="3F0E4DA2">
      <w:pPr>
        <w:spacing w:line="360" w:lineRule="exact"/>
        <w:ind w:firstLine="420" w:firstLineChars="200"/>
        <w:textAlignment w:val="center"/>
        <w:rPr>
          <w:szCs w:val="21"/>
        </w:rPr>
      </w:pPr>
      <w:r>
        <w:rPr>
          <w:szCs w:val="21"/>
        </w:rPr>
        <w:t>3.箕斗提煤时，罐率或容积比重应每季测定一次，同时要进行全水分检查，全水分超过规定指标时，应从容积比重中扣除其超过部分。</w:t>
      </w:r>
    </w:p>
    <w:p w14:paraId="2C2A2DC1">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对已经验收的原煤产量，因存放日久或保管不善等其他原因而导致变质（如自燃或风化</w:t>
      </w:r>
      <w:r>
        <w:rPr>
          <w:rFonts w:ascii="Times New Roman" w:hAnsi="Times New Roman" w:cs="Times New Roman"/>
          <w:kern w:val="0"/>
        </w:rPr>
        <w:t>）</w:t>
      </w:r>
      <w:r>
        <w:rPr>
          <w:rFonts w:ascii="Times New Roman" w:hAnsi="Times New Roman" w:cs="Times New Roman"/>
        </w:rPr>
        <w:t>的煤炭不算废品，产量亦不扣除。</w:t>
      </w:r>
    </w:p>
    <w:p w14:paraId="672A6D00">
      <w:pPr>
        <w:pStyle w:val="10"/>
        <w:adjustRightInd w:val="0"/>
        <w:spacing w:line="360" w:lineRule="exact"/>
        <w:ind w:firstLine="420" w:firstLineChars="200"/>
        <w:textAlignment w:val="center"/>
        <w:rPr>
          <w:rFonts w:hint="eastAsia" w:ascii="Times New Roman" w:hAnsi="Times New Roman" w:eastAsia="宋体" w:cs="Times New Roman"/>
          <w:kern w:val="0"/>
          <w:lang w:eastAsia="zh-CN"/>
        </w:rPr>
      </w:pPr>
      <w:r>
        <w:rPr>
          <w:rFonts w:ascii="Times New Roman" w:hAnsi="Times New Roman" w:eastAsia="黑体" w:cs="Times New Roman"/>
        </w:rPr>
        <w:t>无烟煤</w:t>
      </w:r>
      <w:r>
        <w:rPr>
          <w:rFonts w:eastAsia="黑体"/>
          <w:bCs/>
        </w:rPr>
        <w:t xml:space="preserve">  </w:t>
      </w:r>
      <w:r>
        <w:rPr>
          <w:rFonts w:ascii="Times New Roman" w:hAnsi="Times New Roman" w:cs="Times New Roman"/>
          <w:kern w:val="0"/>
        </w:rPr>
        <w:t>指煤化程度高的原煤。其特点是挥发分低、密度大、燃点高、碳含量高、无</w:t>
      </w:r>
      <w:r>
        <w:rPr>
          <w:rFonts w:hint="eastAsia" w:ascii="Times New Roman" w:hAnsi="Times New Roman" w:cs="Times New Roman"/>
          <w:kern w:val="0"/>
          <w:lang w:eastAsia="zh-CN"/>
        </w:rPr>
        <w:t>黏</w:t>
      </w:r>
      <w:r>
        <w:rPr>
          <w:rFonts w:ascii="Times New Roman" w:hAnsi="Times New Roman" w:cs="Times New Roman"/>
          <w:kern w:val="0"/>
        </w:rPr>
        <w:t>结性，燃烧时多不冒烟。通常作为民用燃料，也可直接用于小型高炉炼铁等。无烟煤的干燥无灰基挥发分质量分数一般在10%以下。</w:t>
      </w:r>
      <w:r>
        <w:rPr>
          <w:rFonts w:hint="eastAsia" w:ascii="Times New Roman" w:hAnsi="Times New Roman" w:cs="Times New Roman"/>
          <w:kern w:val="0"/>
        </w:rPr>
        <w:t>一般包括《中国煤炭分类》（GB/T 5751-2009）中的无烟煤一号、无烟煤二号和无烟煤三号</w:t>
      </w:r>
      <w:r>
        <w:rPr>
          <w:rFonts w:hint="eastAsia" w:ascii="Times New Roman" w:hAnsi="Times New Roman" w:cs="Times New Roman"/>
          <w:kern w:val="0"/>
          <w:lang w:eastAsia="zh-CN"/>
        </w:rPr>
        <w:t>。</w:t>
      </w:r>
    </w:p>
    <w:p w14:paraId="1967D01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炼焦烟煤</w:t>
      </w:r>
      <w:r>
        <w:rPr>
          <w:rFonts w:eastAsia="黑体"/>
          <w:bCs/>
        </w:rPr>
        <w:t xml:space="preserve">  </w:t>
      </w:r>
      <w:r>
        <w:rPr>
          <w:rFonts w:ascii="Times New Roman" w:hAnsi="Times New Roman" w:cs="Times New Roman"/>
          <w:kern w:val="0"/>
        </w:rPr>
        <w:t>指主要可用于炼焦的烟煤，</w:t>
      </w:r>
      <w:r>
        <w:rPr>
          <w:rFonts w:hint="eastAsia" w:ascii="Times New Roman" w:hAnsi="Times New Roman" w:cs="Times New Roman"/>
          <w:kern w:val="0"/>
          <w:lang w:eastAsia="zh-CN"/>
        </w:rPr>
        <w:t>一般</w:t>
      </w:r>
      <w:r>
        <w:rPr>
          <w:rFonts w:ascii="Times New Roman" w:hAnsi="Times New Roman" w:cs="Times New Roman"/>
          <w:kern w:val="0"/>
        </w:rPr>
        <w:t>包括</w:t>
      </w:r>
      <w:r>
        <w:rPr>
          <w:rFonts w:hint="eastAsia" w:ascii="Times New Roman" w:hAnsi="Times New Roman" w:cs="Times New Roman"/>
          <w:kern w:val="0"/>
        </w:rPr>
        <w:t>《中国煤炭分类》</w:t>
      </w:r>
      <w:r>
        <w:rPr>
          <w:rFonts w:hint="eastAsia" w:ascii="Times New Roman" w:hAnsi="Times New Roman" w:cs="Times New Roman"/>
          <w:kern w:val="0"/>
          <w:lang w:eastAsia="zh-CN"/>
        </w:rPr>
        <w:t>中的</w:t>
      </w:r>
      <w:r>
        <w:rPr>
          <w:rFonts w:ascii="Times New Roman" w:hAnsi="Times New Roman" w:cs="Times New Roman"/>
          <w:kern w:val="0"/>
        </w:rPr>
        <w:t>焦煤、1/3焦煤、肥煤、气肥煤、气煤、瘦煤、贫瘦煤</w:t>
      </w:r>
      <w:r>
        <w:rPr>
          <w:rFonts w:hint="eastAsia" w:ascii="Times New Roman" w:hAnsi="Times New Roman" w:cs="Times New Roman"/>
          <w:kern w:val="0"/>
          <w:lang w:eastAsia="zh-CN"/>
        </w:rPr>
        <w:t>和</w:t>
      </w:r>
      <w:r>
        <w:rPr>
          <w:rFonts w:ascii="Times New Roman" w:hAnsi="Times New Roman" w:cs="Times New Roman"/>
          <w:kern w:val="0"/>
        </w:rPr>
        <w:t>其他炼焦的烟煤。</w:t>
      </w:r>
    </w:p>
    <w:p w14:paraId="04A47DCD">
      <w:pPr>
        <w:pStyle w:val="10"/>
        <w:adjustRightInd w:val="0"/>
        <w:spacing w:line="360" w:lineRule="exact"/>
        <w:ind w:firstLine="420" w:firstLineChars="200"/>
        <w:textAlignment w:val="center"/>
        <w:rPr>
          <w:rFonts w:ascii="Times New Roman" w:hAnsi="Times New Roman" w:cs="Times New Roman"/>
          <w:bCs/>
        </w:rPr>
      </w:pPr>
      <w:r>
        <w:rPr>
          <w:rFonts w:ascii="Times New Roman" w:hAnsi="Times New Roman" w:eastAsia="黑体" w:cs="Times New Roman"/>
        </w:rPr>
        <w:t>一般烟煤</w:t>
      </w:r>
      <w:r>
        <w:rPr>
          <w:rFonts w:eastAsia="黑体"/>
          <w:bCs/>
        </w:rPr>
        <w:t xml:space="preserve">  </w:t>
      </w:r>
      <w:r>
        <w:rPr>
          <w:rFonts w:ascii="Times New Roman" w:hAnsi="Times New Roman" w:cs="Times New Roman"/>
          <w:kern w:val="0"/>
        </w:rPr>
        <w:t>指除炼焦的烟煤以外的烟煤，</w:t>
      </w:r>
      <w:r>
        <w:rPr>
          <w:rFonts w:hint="eastAsia" w:ascii="Times New Roman" w:hAnsi="Times New Roman" w:cs="Times New Roman"/>
          <w:kern w:val="0"/>
          <w:lang w:eastAsia="zh-CN"/>
        </w:rPr>
        <w:t>一般</w:t>
      </w:r>
      <w:r>
        <w:rPr>
          <w:rFonts w:ascii="Times New Roman" w:hAnsi="Times New Roman" w:cs="Times New Roman"/>
          <w:kern w:val="0"/>
        </w:rPr>
        <w:t>包括</w:t>
      </w:r>
      <w:r>
        <w:rPr>
          <w:rFonts w:hint="eastAsia" w:ascii="Times New Roman" w:hAnsi="Times New Roman" w:cs="Times New Roman"/>
          <w:kern w:val="0"/>
        </w:rPr>
        <w:t>《中国煤炭分类》中的</w:t>
      </w:r>
      <w:r>
        <w:rPr>
          <w:rFonts w:ascii="Times New Roman" w:hAnsi="Times New Roman" w:cs="Times New Roman"/>
          <w:kern w:val="0"/>
        </w:rPr>
        <w:t>贫煤、弱</w:t>
      </w:r>
      <w:r>
        <w:rPr>
          <w:rFonts w:hint="eastAsia" w:ascii="Times New Roman" w:hAnsi="Times New Roman" w:cs="Times New Roman"/>
          <w:kern w:val="0"/>
          <w:lang w:eastAsia="zh-CN"/>
        </w:rPr>
        <w:t>黏</w:t>
      </w:r>
      <w:r>
        <w:rPr>
          <w:rFonts w:ascii="Times New Roman" w:hAnsi="Times New Roman" w:cs="Times New Roman"/>
          <w:kern w:val="0"/>
        </w:rPr>
        <w:t>煤、不</w:t>
      </w:r>
      <w:r>
        <w:rPr>
          <w:rFonts w:hint="eastAsia" w:ascii="Times New Roman" w:hAnsi="Times New Roman" w:cs="Times New Roman"/>
          <w:kern w:val="0"/>
          <w:lang w:eastAsia="zh-CN"/>
        </w:rPr>
        <w:t>黏</w:t>
      </w:r>
      <w:r>
        <w:rPr>
          <w:rFonts w:ascii="Times New Roman" w:hAnsi="Times New Roman" w:cs="Times New Roman"/>
          <w:kern w:val="0"/>
        </w:rPr>
        <w:t>煤、长焰煤、1/2中</w:t>
      </w:r>
      <w:r>
        <w:rPr>
          <w:rFonts w:hint="eastAsia" w:ascii="Times New Roman" w:hAnsi="Times New Roman" w:cs="Times New Roman"/>
          <w:kern w:val="0"/>
          <w:lang w:eastAsia="zh-CN"/>
        </w:rPr>
        <w:t>黏</w:t>
      </w:r>
      <w:r>
        <w:rPr>
          <w:rFonts w:ascii="Times New Roman" w:hAnsi="Times New Roman" w:cs="Times New Roman"/>
          <w:kern w:val="0"/>
        </w:rPr>
        <w:t>煤</w:t>
      </w:r>
      <w:r>
        <w:rPr>
          <w:rFonts w:hint="eastAsia" w:ascii="Times New Roman" w:hAnsi="Times New Roman" w:cs="Times New Roman"/>
          <w:kern w:val="0"/>
          <w:lang w:eastAsia="zh-CN"/>
        </w:rPr>
        <w:t>和</w:t>
      </w:r>
      <w:r>
        <w:rPr>
          <w:rFonts w:ascii="Times New Roman" w:hAnsi="Times New Roman" w:cs="Times New Roman"/>
          <w:kern w:val="0"/>
        </w:rPr>
        <w:t>其他一般烟煤。</w:t>
      </w:r>
    </w:p>
    <w:p w14:paraId="6193F330">
      <w:pPr>
        <w:pStyle w:val="10"/>
        <w:adjustRightInd w:val="0"/>
        <w:spacing w:line="360" w:lineRule="exact"/>
        <w:ind w:firstLine="420" w:firstLineChars="200"/>
        <w:textAlignment w:val="center"/>
        <w:rPr>
          <w:rFonts w:hint="eastAsia" w:ascii="Times New Roman" w:hAnsi="Times New Roman" w:eastAsia="宋体" w:cs="Times New Roman"/>
          <w:kern w:val="0"/>
          <w:lang w:eastAsia="zh-CN"/>
        </w:rPr>
      </w:pPr>
      <w:r>
        <w:rPr>
          <w:rFonts w:ascii="Times New Roman" w:hAnsi="Times New Roman" w:eastAsia="黑体" w:cs="Times New Roman"/>
        </w:rPr>
        <w:t>褐煤</w:t>
      </w:r>
      <w:r>
        <w:rPr>
          <w:rFonts w:eastAsia="黑体"/>
          <w:bCs/>
        </w:rPr>
        <w:t xml:space="preserve">  </w:t>
      </w:r>
      <w:r>
        <w:rPr>
          <w:rFonts w:ascii="Times New Roman" w:hAnsi="Times New Roman" w:cs="Times New Roman"/>
          <w:kern w:val="0"/>
        </w:rPr>
        <w:t>指煤化程度低的煤，其外观多呈褐色，光泽暗淡，水分含量高，在空气中易于风化。褐煤的干燥无灰基挥发分质量分数一般在37%以上，透光率小于等于50%。褐煤多作发电燃料，也可作气化原料和锅炉燃料，有的可用来制造磺化煤、活性</w:t>
      </w:r>
      <w:r>
        <w:rPr>
          <w:rFonts w:hint="eastAsia" w:ascii="Times New Roman" w:hAnsi="Times New Roman" w:cs="Times New Roman"/>
          <w:kern w:val="0"/>
          <w:lang w:eastAsia="zh-CN"/>
        </w:rPr>
        <w:t>炭</w:t>
      </w:r>
      <w:r>
        <w:rPr>
          <w:rFonts w:ascii="Times New Roman" w:hAnsi="Times New Roman" w:cs="Times New Roman"/>
          <w:kern w:val="0"/>
        </w:rPr>
        <w:t>、褐煤蜡的原料。</w:t>
      </w:r>
      <w:r>
        <w:rPr>
          <w:rFonts w:hint="eastAsia" w:ascii="Times New Roman" w:hAnsi="Times New Roman" w:cs="Times New Roman"/>
          <w:kern w:val="0"/>
        </w:rPr>
        <w:t>一般包括《中国煤炭分类》中的褐煤一号和褐煤二号</w:t>
      </w:r>
      <w:r>
        <w:rPr>
          <w:rFonts w:hint="eastAsia" w:ascii="Times New Roman" w:hAnsi="Times New Roman" w:cs="Times New Roman"/>
          <w:kern w:val="0"/>
          <w:lang w:eastAsia="zh-CN"/>
        </w:rPr>
        <w:t>。</w:t>
      </w:r>
    </w:p>
    <w:p w14:paraId="69AB8708">
      <w:pPr>
        <w:pStyle w:val="10"/>
        <w:adjustRightInd w:val="0"/>
        <w:spacing w:line="360" w:lineRule="exact"/>
        <w:ind w:firstLine="420" w:firstLineChars="200"/>
        <w:textAlignment w:val="center"/>
        <w:rPr>
          <w:rFonts w:ascii="Times New Roman" w:hAnsi="Times New Roman" w:eastAsia="黑体"/>
        </w:rPr>
      </w:pPr>
      <w:r>
        <w:rPr>
          <w:rFonts w:ascii="Times New Roman" w:hAnsi="Times New Roman" w:eastAsia="黑体"/>
        </w:rPr>
        <w:t>煤炭制品</w:t>
      </w:r>
      <w:r>
        <w:rPr>
          <w:rFonts w:eastAsia="黑体"/>
          <w:bCs/>
        </w:rPr>
        <w:t xml:space="preserve">  </w:t>
      </w:r>
      <w:r>
        <w:rPr>
          <w:rFonts w:hint="eastAsia" w:hAnsi="宋体" w:cs="宋体"/>
          <w:kern w:val="0"/>
        </w:rPr>
        <w:t>指</w:t>
      </w:r>
      <w:r>
        <w:rPr>
          <w:rFonts w:ascii="Times New Roman" w:hAnsi="Times New Roman"/>
          <w:kern w:val="0"/>
        </w:rPr>
        <w:t>以原煤为原料制成的</w:t>
      </w:r>
      <w:r>
        <w:rPr>
          <w:rFonts w:hint="eastAsia" w:hAnsi="宋体" w:cs="宋体"/>
          <w:kern w:val="0"/>
        </w:rPr>
        <w:t>除</w:t>
      </w:r>
      <w:r>
        <w:rPr>
          <w:rFonts w:hAnsi="宋体" w:cs="宋体"/>
          <w:kern w:val="0"/>
        </w:rPr>
        <w:t>煤制油以外</w:t>
      </w:r>
      <w:r>
        <w:rPr>
          <w:rFonts w:hint="eastAsia" w:hAnsi="宋体" w:cs="宋体"/>
          <w:kern w:val="0"/>
        </w:rPr>
        <w:t>的</w:t>
      </w:r>
      <w:r>
        <w:rPr>
          <w:rFonts w:ascii="Times New Roman" w:hAnsi="Times New Roman"/>
          <w:kern w:val="0"/>
        </w:rPr>
        <w:t>各种煤制品</w:t>
      </w:r>
      <w:r>
        <w:rPr>
          <w:rFonts w:hAnsi="宋体" w:cs="宋体"/>
          <w:kern w:val="0"/>
        </w:rPr>
        <w:t>。</w:t>
      </w:r>
      <w:r>
        <w:rPr>
          <w:rFonts w:hint="eastAsia" w:hAnsi="宋体" w:cs="宋体"/>
          <w:kern w:val="0"/>
        </w:rPr>
        <w:t>包括直接或间接由原煤经过洗选</w:t>
      </w:r>
      <w:r>
        <w:rPr>
          <w:rFonts w:hAnsi="宋体" w:cs="宋体"/>
          <w:kern w:val="0"/>
        </w:rPr>
        <w:t>、</w:t>
      </w:r>
      <w:r>
        <w:rPr>
          <w:rFonts w:hint="eastAsia" w:hAnsi="宋体" w:cs="宋体"/>
          <w:kern w:val="0"/>
        </w:rPr>
        <w:t>干馏、裂解或其他化学反应等得到的产品。</w:t>
      </w:r>
    </w:p>
    <w:p w14:paraId="33E19742">
      <w:pPr>
        <w:pStyle w:val="10"/>
        <w:adjustRightInd w:val="0"/>
        <w:spacing w:line="360" w:lineRule="exact"/>
        <w:ind w:firstLine="420" w:firstLineChars="200"/>
        <w:textAlignment w:val="center"/>
        <w:rPr>
          <w:rFonts w:ascii="Times New Roman" w:hAnsi="Times New Roman" w:eastAsia="黑体" w:cs="Times New Roman"/>
        </w:rPr>
      </w:pPr>
      <w:r>
        <w:rPr>
          <w:rFonts w:ascii="Times New Roman" w:hAnsi="Times New Roman" w:eastAsia="黑体" w:cs="Times New Roman"/>
        </w:rPr>
        <w:t xml:space="preserve">洗精煤（用于炼焦） </w:t>
      </w:r>
      <w:r>
        <w:rPr>
          <w:rFonts w:ascii="Times New Roman" w:hAnsi="Times New Roman" w:cs="Times New Roman"/>
          <w:kern w:val="0"/>
        </w:rPr>
        <w:t>指原煤经洗选加工后，灰分较低、热值较高的用于炼焦的洗选煤产品，一般为炼焦选煤厂洗选产出。用于炼焦的洗精煤灰分较低，一般不超过12.5%。</w:t>
      </w:r>
    </w:p>
    <w:p w14:paraId="582952FB">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其他洗煤</w:t>
      </w:r>
      <w:r>
        <w:rPr>
          <w:rFonts w:eastAsia="黑体"/>
          <w:bCs/>
        </w:rPr>
        <w:t xml:space="preserve">  </w:t>
      </w:r>
      <w:r>
        <w:rPr>
          <w:rFonts w:ascii="Times New Roman" w:hAnsi="Times New Roman" w:cs="Times New Roman"/>
          <w:kern w:val="0"/>
        </w:rPr>
        <w:t>指除用于炼焦的洗精煤以外的其他洗选煤产品。</w:t>
      </w:r>
    </w:p>
    <w:p w14:paraId="0AC9D61D">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焦炭</w:t>
      </w:r>
      <w:r>
        <w:rPr>
          <w:rFonts w:eastAsia="黑体"/>
          <w:bCs/>
        </w:rPr>
        <w:t xml:space="preserve">  </w:t>
      </w:r>
      <w:r>
        <w:rPr>
          <w:rFonts w:ascii="Times New Roman" w:hAnsi="Times New Roman"/>
          <w:kern w:val="0"/>
        </w:rPr>
        <w:t>指将各种经过洗选的煤炭按一定比例配合后，在隔绝空气的高温炭化室内经过热解、缩聚、固化、收缩等复杂的物理化学过程形成的固体燃料，呈黑灰色块状、有光泽，燃烧时烟气少，具有不</w:t>
      </w:r>
      <w:r>
        <w:rPr>
          <w:rFonts w:hint="eastAsia" w:ascii="Times New Roman" w:hAnsi="Times New Roman"/>
          <w:kern w:val="0"/>
          <w:lang w:eastAsia="zh-CN"/>
        </w:rPr>
        <w:t>黏</w:t>
      </w:r>
      <w:r>
        <w:rPr>
          <w:rFonts w:ascii="Times New Roman" w:hAnsi="Times New Roman"/>
          <w:kern w:val="0"/>
        </w:rPr>
        <w:t>结、不结块、低硫、低灰、坚硬、耐磨、耐压、富于气孔性等特点，主要用于冶金、化工、铸造等工艺的燃料和原料。它包括各种生产方式生产的焦炭，即包括机械化焦炉、简易焦炉、土焦炉、煤气发生炉等装置生产的所有焦炭和半焦炭。</w:t>
      </w:r>
    </w:p>
    <w:p w14:paraId="387EDC00">
      <w:pPr>
        <w:pStyle w:val="10"/>
        <w:adjustRightInd w:val="0"/>
        <w:spacing w:line="360" w:lineRule="exact"/>
        <w:ind w:firstLine="420" w:firstLineChars="200"/>
        <w:textAlignment w:val="center"/>
        <w:rPr>
          <w:rFonts w:ascii="Times New Roman" w:hAnsi="Times New Roman"/>
          <w:kern w:val="0"/>
        </w:rPr>
      </w:pPr>
      <w:r>
        <w:rPr>
          <w:rFonts w:hint="eastAsia" w:ascii="Times New Roman" w:hAnsi="Times New Roman" w:eastAsia="黑体"/>
        </w:rPr>
        <w:t>型煤及其他煤制品</w:t>
      </w:r>
      <w:r>
        <w:rPr>
          <w:rFonts w:ascii="Times New Roman" w:hAnsi="Times New Roman" w:eastAsia="黑体"/>
        </w:rPr>
        <w:t xml:space="preserve"> </w:t>
      </w:r>
      <w:r>
        <w:rPr>
          <w:rFonts w:eastAsia="黑体"/>
          <w:bCs/>
        </w:rPr>
        <w:t xml:space="preserve"> </w:t>
      </w:r>
      <w:r>
        <w:rPr>
          <w:rFonts w:ascii="Times New Roman" w:hAnsi="Times New Roman"/>
          <w:kern w:val="0"/>
        </w:rPr>
        <w:t>指以原煤为原料制成的各种煤制品，包括水煤浆、型煤、煤粉等。</w:t>
      </w:r>
    </w:p>
    <w:p w14:paraId="1B568B4D">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煤焦油</w:t>
      </w:r>
      <w:r>
        <w:rPr>
          <w:rFonts w:eastAsia="黑体"/>
          <w:bCs/>
        </w:rPr>
        <w:t xml:space="preserve">  </w:t>
      </w:r>
      <w:r>
        <w:rPr>
          <w:rFonts w:hint="eastAsia" w:hAnsi="宋体" w:cs="宋体"/>
          <w:kern w:val="0"/>
        </w:rPr>
        <w:t>指</w:t>
      </w:r>
      <w:r>
        <w:rPr>
          <w:rFonts w:hAnsi="宋体" w:cs="宋体"/>
          <w:kern w:val="0"/>
        </w:rPr>
        <w:t>煤炭</w:t>
      </w:r>
      <w:r>
        <w:fldChar w:fldCharType="begin"/>
      </w:r>
      <w:r>
        <w:instrText xml:space="preserve"> HYPERLINK "https://baike.baidu.com/item/%E5%B9%B2%E9%A6%8F" \t "_blank" </w:instrText>
      </w:r>
      <w:r>
        <w:fldChar w:fldCharType="separate"/>
      </w:r>
      <w:r>
        <w:rPr>
          <w:rFonts w:hAnsi="宋体" w:cs="宋体"/>
          <w:kern w:val="0"/>
        </w:rPr>
        <w:t>干馏</w:t>
      </w:r>
      <w:r>
        <w:rPr>
          <w:rFonts w:hAnsi="宋体" w:cs="宋体"/>
          <w:kern w:val="0"/>
        </w:rPr>
        <w:fldChar w:fldCharType="end"/>
      </w:r>
      <w:r>
        <w:rPr>
          <w:rFonts w:hAnsi="宋体" w:cs="宋体"/>
          <w:kern w:val="0"/>
        </w:rPr>
        <w:t>时生成的具有刺激性臭味的黑色或黑褐色粘稠状液体。煤焦油按干馏温度可分为低温煤焦油、中温煤焦油和高温煤焦油。</w:t>
      </w:r>
      <w:r>
        <w:rPr>
          <w:rFonts w:hint="eastAsia" w:hAnsi="宋体" w:cs="宋体"/>
          <w:kern w:val="0"/>
        </w:rPr>
        <w:t>煤焦油可分馏出各种芳香烃、烷烃、酚类等，也可制取油毡、燃料和炭黑。</w:t>
      </w:r>
    </w:p>
    <w:p w14:paraId="691B281D">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煤气</w:t>
      </w:r>
      <w:r>
        <w:rPr>
          <w:rFonts w:eastAsia="黑体"/>
          <w:bCs/>
        </w:rPr>
        <w:t xml:space="preserve">  </w:t>
      </w:r>
      <w:r>
        <w:rPr>
          <w:rFonts w:ascii="Times New Roman" w:hAnsi="Times New Roman"/>
          <w:kern w:val="0"/>
        </w:rPr>
        <w:t>指煤、焦炭、半焦等固体燃料与燃料油等液体燃料干馏或气化所产生的可燃气体。包括焦炉煤气、高炉煤气、</w:t>
      </w:r>
      <w:r>
        <w:rPr>
          <w:rFonts w:hint="eastAsia" w:ascii="Times New Roman" w:hAnsi="Times New Roman"/>
          <w:kern w:val="0"/>
          <w:lang w:val="en-US" w:eastAsia="zh-CN"/>
        </w:rPr>
        <w:t>转炉煤气、</w:t>
      </w:r>
      <w:r>
        <w:rPr>
          <w:rFonts w:ascii="Times New Roman" w:hAnsi="Times New Roman"/>
          <w:kern w:val="0"/>
        </w:rPr>
        <w:t>发生炉煤气和油煤气等。</w:t>
      </w:r>
    </w:p>
    <w:p w14:paraId="36A67066">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焦炉煤气</w:t>
      </w:r>
      <w:r>
        <w:rPr>
          <w:rFonts w:eastAsia="黑体"/>
          <w:bCs/>
        </w:rPr>
        <w:t xml:space="preserve">  </w:t>
      </w:r>
      <w:r>
        <w:rPr>
          <w:rFonts w:ascii="Times New Roman" w:hAnsi="Times New Roman"/>
          <w:kern w:val="0"/>
        </w:rPr>
        <w:t>指炼焦过程中，煤炭经高温干馏后，在产出焦炭和其他焦化产品的同时产生的可燃性气体，是炼焦产品的副产品。一吨煤在炼焦过程中可产出730</w:t>
      </w:r>
      <w:r>
        <w:rPr>
          <w:rFonts w:hint="eastAsia" w:ascii="Times New Roman" w:hAnsi="Times New Roman"/>
          <w:kern w:val="0"/>
        </w:rPr>
        <w:t>-</w:t>
      </w:r>
      <w:r>
        <w:rPr>
          <w:rFonts w:ascii="Times New Roman" w:hAnsi="Times New Roman"/>
          <w:kern w:val="0"/>
        </w:rPr>
        <w:t>780千克焦炭和300-340立方米焦炉煤气以及35-42千克焦油。焦炉煤气热值高、燃烧快、火焰短、生成废气比重小；主要成分为甲烷、氢和一氧化碳等，可用作燃料和化工原料。</w:t>
      </w:r>
    </w:p>
    <w:p w14:paraId="0D2639E7">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高炉煤气</w:t>
      </w:r>
      <w:r>
        <w:rPr>
          <w:rFonts w:eastAsia="黑体"/>
          <w:bCs/>
        </w:rPr>
        <w:t xml:space="preserve">  </w:t>
      </w:r>
      <w:r>
        <w:rPr>
          <w:rFonts w:ascii="Times New Roman" w:hAnsi="Times New Roman"/>
          <w:kern w:val="0"/>
        </w:rPr>
        <w:t>指炼铁过程中从高炉炉顶逸出的可燃性气体，是炼铁过程的副产品；其理论燃烧温度约为1400-1500</w:t>
      </w:r>
      <w:r>
        <w:rPr>
          <w:rFonts w:hint="eastAsia" w:hAnsi="宋体" w:cs="宋体"/>
          <w:kern w:val="0"/>
        </w:rPr>
        <w:t>℃</w:t>
      </w:r>
      <w:r>
        <w:rPr>
          <w:rFonts w:ascii="Times New Roman" w:hAnsi="Times New Roman"/>
          <w:kern w:val="0"/>
        </w:rPr>
        <w:t>，含有大量粉尘（约60-80克</w:t>
      </w:r>
      <w:r>
        <w:rPr>
          <w:rFonts w:ascii="Times New Roman" w:hAnsi="Times New Roman"/>
          <w:kern w:val="0"/>
          <w:lang w:val="en"/>
        </w:rPr>
        <w:t>/</w:t>
      </w:r>
      <w:r>
        <w:rPr>
          <w:rFonts w:ascii="Times New Roman" w:hAnsi="Times New Roman"/>
          <w:kern w:val="0"/>
        </w:rPr>
        <w:t>立方米），所以需要除尘处理，并在可能的情况下将其和空气预热以提高燃烧温度。据统计，高炉每消耗1吨焦炭约可产出3800-4000立方米高炉煤气（约有60%的燃料转变为高炉煤气）。在冶金联合企业，它主要用于焦炉，以及与焦炉煤气混合用作发电或其他燃料。</w:t>
      </w:r>
    </w:p>
    <w:p w14:paraId="7E71A611">
      <w:pPr>
        <w:pStyle w:val="10"/>
        <w:adjustRightInd w:val="0"/>
        <w:spacing w:line="360" w:lineRule="exact"/>
        <w:ind w:firstLine="420" w:firstLineChars="200"/>
        <w:textAlignment w:val="center"/>
        <w:rPr>
          <w:rFonts w:ascii="Times New Roman" w:hAnsi="Times New Roman"/>
          <w:color w:val="auto"/>
          <w:kern w:val="0"/>
        </w:rPr>
      </w:pPr>
      <w:r>
        <w:rPr>
          <w:rFonts w:hint="eastAsia" w:ascii="黑体" w:hAnsi="黑体" w:eastAsia="黑体" w:cs="黑体"/>
          <w:color w:val="auto"/>
          <w:sz w:val="21"/>
          <w:szCs w:val="21"/>
          <w:u w:val="none"/>
        </w:rPr>
        <w:t>转炉煤气</w:t>
      </w:r>
      <w:r>
        <w:rPr>
          <w:rFonts w:hint="eastAsia" w:ascii="仿宋_GB2312" w:hAnsi="仿宋_GB2312" w:eastAsia="仿宋_GB2312" w:cs="仿宋_GB2312"/>
          <w:color w:val="auto"/>
          <w:sz w:val="21"/>
          <w:szCs w:val="21"/>
          <w:u w:val="none"/>
          <w:lang w:val="en"/>
        </w:rPr>
        <w:t xml:space="preserve">  </w:t>
      </w:r>
      <w:r>
        <w:rPr>
          <w:rFonts w:hint="eastAsia" w:ascii="宋体" w:hAnsi="宋体" w:eastAsia="宋体" w:cs="宋体"/>
          <w:color w:val="auto"/>
          <w:sz w:val="21"/>
          <w:szCs w:val="21"/>
          <w:u w:val="none"/>
        </w:rPr>
        <w:t>指转炉炼钢过程中，铁水中的碳在高温下和吹入的氧生成一氧化碳和少量二氧化碳的混合气体。</w:t>
      </w:r>
    </w:p>
    <w:p w14:paraId="420E1803">
      <w:pPr>
        <w:pStyle w:val="10"/>
        <w:adjustRightInd w:val="0"/>
        <w:spacing w:line="360" w:lineRule="exact"/>
        <w:ind w:firstLine="420" w:firstLineChars="200"/>
        <w:textAlignment w:val="center"/>
        <w:rPr>
          <w:rFonts w:hint="eastAsia" w:ascii="Times New Roman" w:hAnsi="Times New Roman" w:eastAsia="宋体"/>
          <w:kern w:val="0"/>
          <w:lang w:eastAsia="zh-CN"/>
        </w:rPr>
      </w:pPr>
      <w:r>
        <w:rPr>
          <w:rFonts w:ascii="Times New Roman" w:hAnsi="Times New Roman" w:eastAsia="黑体"/>
        </w:rPr>
        <w:t>发生炉煤气</w:t>
      </w:r>
      <w:r>
        <w:rPr>
          <w:rFonts w:eastAsia="黑体"/>
          <w:bCs/>
        </w:rPr>
        <w:t xml:space="preserve">  </w:t>
      </w:r>
      <w:r>
        <w:rPr>
          <w:rFonts w:ascii="Times New Roman" w:hAnsi="Times New Roman"/>
          <w:kern w:val="0"/>
        </w:rPr>
        <w:t>指燃料在煤气发生炉中气化得到的可燃性气体。依据所用气化剂，发生炉煤气分为以下四种</w:t>
      </w:r>
      <w:r>
        <w:rPr>
          <w:rFonts w:hint="eastAsia" w:ascii="Times New Roman" w:hAnsi="Times New Roman"/>
          <w:kern w:val="0"/>
          <w:lang w:eastAsia="zh-CN"/>
        </w:rPr>
        <w:t>。</w:t>
      </w:r>
    </w:p>
    <w:p w14:paraId="5F0D8CD1">
      <w:pPr>
        <w:pStyle w:val="10"/>
        <w:adjustRightInd w:val="0"/>
        <w:spacing w:line="360" w:lineRule="exact"/>
        <w:ind w:firstLine="420" w:firstLineChars="200"/>
        <w:textAlignment w:val="center"/>
        <w:rPr>
          <w:rFonts w:hint="eastAsia" w:ascii="宋体" w:hAnsi="宋体" w:cs="宋体"/>
          <w:kern w:val="0"/>
        </w:rPr>
      </w:pPr>
      <w:r>
        <w:rPr>
          <w:rFonts w:hint="eastAsia" w:ascii="宋体" w:hAnsi="宋体" w:eastAsia="宋体" w:cs="宋体"/>
          <w:lang w:val="en-US" w:eastAsia="zh-CN"/>
        </w:rPr>
        <w:t>1.</w:t>
      </w:r>
      <w:r>
        <w:rPr>
          <w:rFonts w:hint="eastAsia" w:ascii="宋体" w:hAnsi="宋体" w:eastAsia="宋体" w:cs="宋体"/>
        </w:rPr>
        <w:t>空气煤气</w:t>
      </w:r>
      <w:r>
        <w:rPr>
          <w:rFonts w:hint="eastAsia" w:hAnsi="宋体" w:eastAsia="宋体" w:cs="宋体"/>
          <w:bCs/>
          <w:lang w:eastAsia="zh-CN"/>
        </w:rPr>
        <w:t>：</w:t>
      </w:r>
      <w:r>
        <w:rPr>
          <w:rFonts w:hint="eastAsia" w:ascii="宋体" w:hAnsi="宋体" w:cs="宋体"/>
          <w:kern w:val="0"/>
        </w:rPr>
        <w:t>亦称低热值煤气，气化剂为空气；发热量很低，用途不大，目前基本已不采用这种工艺。</w:t>
      </w:r>
    </w:p>
    <w:p w14:paraId="21DEC45A">
      <w:pPr>
        <w:pStyle w:val="10"/>
        <w:adjustRightInd w:val="0"/>
        <w:spacing w:line="360" w:lineRule="exact"/>
        <w:ind w:firstLine="420" w:firstLineChars="200"/>
        <w:textAlignment w:val="center"/>
        <w:rPr>
          <w:rFonts w:hint="eastAsia" w:ascii="宋体" w:hAnsi="宋体" w:cs="宋体"/>
          <w:kern w:val="0"/>
        </w:rPr>
      </w:pPr>
      <w:r>
        <w:rPr>
          <w:rFonts w:hint="eastAsia" w:ascii="宋体" w:hAnsi="宋体" w:eastAsia="宋体" w:cs="宋体"/>
          <w:lang w:val="en-US" w:eastAsia="zh-CN"/>
        </w:rPr>
        <w:t>2.</w:t>
      </w:r>
      <w:r>
        <w:rPr>
          <w:rFonts w:hint="eastAsia" w:ascii="宋体" w:hAnsi="宋体" w:eastAsia="宋体" w:cs="宋体"/>
        </w:rPr>
        <w:t>混合煤气</w:t>
      </w:r>
      <w:r>
        <w:rPr>
          <w:rFonts w:hint="eastAsia" w:hAnsi="宋体" w:eastAsia="宋体" w:cs="宋体"/>
          <w:bCs/>
          <w:lang w:eastAsia="zh-CN"/>
        </w:rPr>
        <w:t>：</w:t>
      </w:r>
      <w:r>
        <w:rPr>
          <w:rFonts w:hint="eastAsia" w:ascii="宋体" w:hAnsi="宋体" w:cs="宋体"/>
          <w:kern w:val="0"/>
        </w:rPr>
        <w:t>气化剂为空气和适量蒸汽的混合物；多用于冶金、机械、建筑材料等工业的熔炉和加热炉。</w:t>
      </w:r>
    </w:p>
    <w:p w14:paraId="35F0066A">
      <w:pPr>
        <w:pStyle w:val="10"/>
        <w:adjustRightInd w:val="0"/>
        <w:spacing w:line="360" w:lineRule="exact"/>
        <w:ind w:firstLine="420" w:firstLineChars="200"/>
        <w:textAlignment w:val="center"/>
        <w:rPr>
          <w:rFonts w:hint="eastAsia" w:ascii="宋体" w:hAnsi="宋体" w:cs="宋体"/>
          <w:kern w:val="0"/>
        </w:rPr>
      </w:pPr>
      <w:r>
        <w:rPr>
          <w:rFonts w:hint="eastAsia" w:ascii="宋体" w:hAnsi="宋体" w:eastAsia="宋体" w:cs="宋体"/>
          <w:lang w:val="en-US" w:eastAsia="zh-CN"/>
        </w:rPr>
        <w:t>3.</w:t>
      </w:r>
      <w:r>
        <w:rPr>
          <w:rFonts w:hint="eastAsia" w:ascii="宋体" w:hAnsi="宋体" w:eastAsia="宋体" w:cs="宋体"/>
        </w:rPr>
        <w:t>水煤气</w:t>
      </w:r>
      <w:r>
        <w:rPr>
          <w:rFonts w:hint="eastAsia" w:hAnsi="宋体" w:eastAsia="宋体" w:cs="宋体"/>
          <w:bCs/>
          <w:lang w:eastAsia="zh-CN"/>
        </w:rPr>
        <w:t>：</w:t>
      </w:r>
      <w:r>
        <w:rPr>
          <w:rFonts w:hint="eastAsia" w:ascii="宋体" w:hAnsi="宋体" w:cs="宋体"/>
          <w:kern w:val="0"/>
        </w:rPr>
        <w:t>气化剂为蒸汽；除用作燃料外，还可用作合成人造液体燃料的原料和有机合成工业的原料。</w:t>
      </w:r>
    </w:p>
    <w:p w14:paraId="56480838">
      <w:pPr>
        <w:pStyle w:val="10"/>
        <w:adjustRightInd w:val="0"/>
        <w:spacing w:line="360" w:lineRule="exact"/>
        <w:ind w:firstLine="420" w:firstLineChars="200"/>
        <w:textAlignment w:val="center"/>
        <w:rPr>
          <w:rFonts w:hint="eastAsia" w:ascii="宋体" w:hAnsi="宋体" w:cs="宋体"/>
          <w:kern w:val="0"/>
        </w:rPr>
      </w:pPr>
      <w:r>
        <w:rPr>
          <w:rFonts w:hint="eastAsia" w:ascii="宋体" w:hAnsi="宋体" w:eastAsia="宋体" w:cs="宋体"/>
          <w:lang w:val="en-US" w:eastAsia="zh-CN"/>
        </w:rPr>
        <w:t>4.</w:t>
      </w:r>
      <w:r>
        <w:rPr>
          <w:rFonts w:hint="eastAsia" w:ascii="宋体" w:hAnsi="宋体" w:eastAsia="宋体" w:cs="宋体"/>
        </w:rPr>
        <w:t>半水煤气</w:t>
      </w:r>
      <w:r>
        <w:rPr>
          <w:rFonts w:hint="eastAsia" w:hAnsi="宋体" w:eastAsia="宋体" w:cs="宋体"/>
          <w:bCs/>
          <w:lang w:eastAsia="zh-CN"/>
        </w:rPr>
        <w:t>：</w:t>
      </w:r>
      <w:r>
        <w:rPr>
          <w:rFonts w:hint="eastAsia" w:ascii="宋体" w:hAnsi="宋体" w:cs="宋体"/>
          <w:kern w:val="0"/>
        </w:rPr>
        <w:t>水煤气与空气煤气的混合气；多用作合成氨的原料。</w:t>
      </w:r>
    </w:p>
    <w:p w14:paraId="696CBA02">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油煤气</w:t>
      </w:r>
      <w:r>
        <w:rPr>
          <w:rFonts w:eastAsia="黑体"/>
          <w:bCs/>
        </w:rPr>
        <w:t xml:space="preserve">  </w:t>
      </w:r>
      <w:r>
        <w:rPr>
          <w:rFonts w:ascii="Times New Roman" w:hAnsi="Times New Roman"/>
          <w:kern w:val="0"/>
        </w:rPr>
        <w:t>指以重油或其</w:t>
      </w:r>
      <w:r>
        <w:rPr>
          <w:rFonts w:hint="eastAsia" w:ascii="Times New Roman" w:hAnsi="Times New Roman"/>
          <w:kern w:val="0"/>
          <w:lang w:eastAsia="zh-CN"/>
        </w:rPr>
        <w:t>他</w:t>
      </w:r>
      <w:r>
        <w:rPr>
          <w:rFonts w:ascii="Times New Roman" w:hAnsi="Times New Roman"/>
          <w:kern w:val="0"/>
        </w:rPr>
        <w:t>石油产品为原料转换而成的煤气。</w:t>
      </w:r>
    </w:p>
    <w:p w14:paraId="6D17DA0A">
      <w:pPr>
        <w:pStyle w:val="10"/>
        <w:adjustRightInd w:val="0"/>
        <w:spacing w:line="360" w:lineRule="exact"/>
        <w:ind w:firstLine="420" w:firstLineChars="200"/>
        <w:textAlignment w:val="center"/>
        <w:rPr>
          <w:rFonts w:ascii="Times New Roman" w:hAnsi="Times New Roman" w:eastAsia="黑体" w:cs="Times New Roman"/>
        </w:rPr>
      </w:pPr>
      <w:r>
        <w:rPr>
          <w:rFonts w:hint="eastAsia" w:ascii="Times New Roman" w:hAnsi="Times New Roman" w:eastAsia="黑体" w:cs="Times New Roman"/>
        </w:rPr>
        <w:t xml:space="preserve">煤制天然气  </w:t>
      </w:r>
      <w:r>
        <w:rPr>
          <w:rFonts w:hint="eastAsia" w:ascii="Times New Roman" w:hAnsi="Times New Roman"/>
          <w:kern w:val="0"/>
        </w:rPr>
        <w:t>指以煤为原料经过加压气化后，脱硫提纯制得的含有可燃组分的气体。</w:t>
      </w:r>
    </w:p>
    <w:p w14:paraId="201EC9E1">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煤制油</w:t>
      </w:r>
      <w:r>
        <w:rPr>
          <w:rFonts w:eastAsia="黑体"/>
          <w:bCs/>
        </w:rPr>
        <w:t xml:space="preserve">  </w:t>
      </w:r>
      <w:r>
        <w:rPr>
          <w:rFonts w:hint="eastAsia" w:hAnsi="宋体" w:cs="宋体"/>
          <w:kern w:val="0"/>
        </w:rPr>
        <w:t>指以</w:t>
      </w:r>
      <w:r>
        <w:rPr>
          <w:rFonts w:hAnsi="宋体" w:cs="宋体"/>
          <w:kern w:val="0"/>
        </w:rPr>
        <w:t>煤炭为原料，通过化学加工过程生产</w:t>
      </w:r>
      <w:r>
        <w:rPr>
          <w:rFonts w:hint="eastAsia" w:hAnsi="宋体" w:cs="宋体"/>
          <w:kern w:val="0"/>
        </w:rPr>
        <w:t>的</w:t>
      </w:r>
      <w:r>
        <w:rPr>
          <w:rFonts w:hAnsi="宋体" w:cs="宋体"/>
          <w:kern w:val="0"/>
        </w:rPr>
        <w:t>油品和石油化工产品</w:t>
      </w:r>
      <w:r>
        <w:rPr>
          <w:rFonts w:hint="eastAsia" w:hAnsi="宋体" w:cs="宋体"/>
          <w:kern w:val="0"/>
        </w:rPr>
        <w:t>，</w:t>
      </w:r>
      <w:r>
        <w:rPr>
          <w:rFonts w:hAnsi="宋体" w:cs="宋体"/>
          <w:kern w:val="0"/>
        </w:rPr>
        <w:t>包含煤直接液化和煤间接液化两种技术路线。煤的直接液化将煤在高温高压条件下，通过</w:t>
      </w:r>
      <w:r>
        <w:fldChar w:fldCharType="begin"/>
      </w:r>
      <w:r>
        <w:instrText xml:space="preserve"> HYPERLINK "https://baike.baidu.com/item/%E5%82%AC%E5%8C%96%E5%8A%A0%E6%B0%A2" \t "_blank" </w:instrText>
      </w:r>
      <w:r>
        <w:fldChar w:fldCharType="separate"/>
      </w:r>
      <w:r>
        <w:rPr>
          <w:rFonts w:hAnsi="宋体" w:cs="宋体"/>
          <w:kern w:val="0"/>
        </w:rPr>
        <w:t>催化加氢</w:t>
      </w:r>
      <w:r>
        <w:rPr>
          <w:rFonts w:hAnsi="宋体" w:cs="宋体"/>
          <w:kern w:val="0"/>
        </w:rPr>
        <w:fldChar w:fldCharType="end"/>
      </w:r>
      <w:r>
        <w:rPr>
          <w:rFonts w:hAnsi="宋体" w:cs="宋体"/>
          <w:kern w:val="0"/>
        </w:rPr>
        <w:t>直接液化合成液态</w:t>
      </w:r>
      <w:r>
        <w:fldChar w:fldCharType="begin"/>
      </w:r>
      <w:r>
        <w:instrText xml:space="preserve"> HYPERLINK "https://baike.baidu.com/item/%E7%83%83%E7%B1%BB%E7%87%83%E6%96%99" \t "_blank" </w:instrText>
      </w:r>
      <w:r>
        <w:fldChar w:fldCharType="separate"/>
      </w:r>
      <w:r>
        <w:rPr>
          <w:rFonts w:hAnsi="宋体" w:cs="宋体"/>
          <w:kern w:val="0"/>
        </w:rPr>
        <w:t>烃类燃料</w:t>
      </w:r>
      <w:r>
        <w:rPr>
          <w:rFonts w:hAnsi="宋体" w:cs="宋体"/>
          <w:kern w:val="0"/>
        </w:rPr>
        <w:fldChar w:fldCharType="end"/>
      </w:r>
      <w:r>
        <w:rPr>
          <w:rFonts w:hAnsi="宋体" w:cs="宋体"/>
          <w:kern w:val="0"/>
        </w:rPr>
        <w:t>，并脱除硫、氮、氧等</w:t>
      </w:r>
      <w:r>
        <w:fldChar w:fldCharType="begin"/>
      </w:r>
      <w:r>
        <w:instrText xml:space="preserve"> HYPERLINK "https://baike.baidu.com/item/%E5%8E%9F%E5%AD%90" \t "_blank" </w:instrText>
      </w:r>
      <w:r>
        <w:fldChar w:fldCharType="separate"/>
      </w:r>
      <w:r>
        <w:rPr>
          <w:rFonts w:hAnsi="宋体" w:cs="宋体"/>
          <w:kern w:val="0"/>
        </w:rPr>
        <w:t>原子</w:t>
      </w:r>
      <w:r>
        <w:rPr>
          <w:rFonts w:hAnsi="宋体" w:cs="宋体"/>
          <w:kern w:val="0"/>
        </w:rPr>
        <w:fldChar w:fldCharType="end"/>
      </w:r>
      <w:r>
        <w:rPr>
          <w:rFonts w:hAnsi="宋体" w:cs="宋体"/>
          <w:kern w:val="0"/>
        </w:rPr>
        <w:t>。煤的间接液化首先把煤气化</w:t>
      </w:r>
      <w:r>
        <w:rPr>
          <w:rFonts w:hint="eastAsia" w:hAnsi="宋体" w:cs="宋体"/>
          <w:kern w:val="0"/>
        </w:rPr>
        <w:t>为</w:t>
      </w:r>
      <w:r>
        <w:rPr>
          <w:rFonts w:hAnsi="宋体" w:cs="宋体"/>
          <w:kern w:val="0"/>
        </w:rPr>
        <w:t>合成气，再通过费托合成转化为烃类燃料</w:t>
      </w:r>
      <w:r>
        <w:rPr>
          <w:rFonts w:hint="eastAsia" w:hAnsi="宋体" w:cs="宋体"/>
          <w:kern w:val="0"/>
        </w:rPr>
        <w:t>。</w:t>
      </w:r>
    </w:p>
    <w:p w14:paraId="5390DC5E">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煤制石脑油</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通过直接液化或间接液化得到的</w:t>
      </w:r>
      <w:r>
        <w:rPr>
          <w:rFonts w:hint="eastAsia" w:hAnsi="宋体" w:cs="宋体"/>
          <w:kern w:val="0"/>
        </w:rPr>
        <w:t>产品</w:t>
      </w:r>
      <w:r>
        <w:rPr>
          <w:rFonts w:hAnsi="宋体" w:cs="宋体"/>
          <w:kern w:val="0"/>
        </w:rPr>
        <w:t>之一，</w:t>
      </w:r>
      <w:r>
        <w:rPr>
          <w:rFonts w:hint="eastAsia" w:hAnsi="宋体" w:cs="宋体"/>
          <w:kern w:val="0"/>
        </w:rPr>
        <w:t>或者</w:t>
      </w:r>
      <w:r>
        <w:rPr>
          <w:rFonts w:hAnsi="宋体" w:cs="宋体"/>
          <w:kern w:val="0"/>
        </w:rPr>
        <w:t>是由煤焦油</w:t>
      </w:r>
      <w:r>
        <w:rPr>
          <w:rFonts w:hint="eastAsia" w:hAnsi="宋体" w:cs="宋体"/>
          <w:kern w:val="0"/>
        </w:rPr>
        <w:t>通过</w:t>
      </w:r>
      <w:r>
        <w:rPr>
          <w:rFonts w:hAnsi="宋体" w:cs="宋体"/>
          <w:kern w:val="0"/>
        </w:rPr>
        <w:t>化学加工得</w:t>
      </w:r>
      <w:r>
        <w:rPr>
          <w:rFonts w:hint="eastAsia" w:hAnsi="宋体" w:cs="宋体"/>
          <w:kern w:val="0"/>
        </w:rPr>
        <w:t>。</w:t>
      </w:r>
      <w:r>
        <w:rPr>
          <w:rFonts w:hAnsi="宋体" w:cs="宋体"/>
          <w:kern w:val="0"/>
        </w:rPr>
        <w:t>主要由芳烃、烷烃等</w:t>
      </w:r>
      <w:r>
        <w:rPr>
          <w:rFonts w:hint="eastAsia" w:hAnsi="宋体" w:cs="宋体"/>
          <w:kern w:val="0"/>
        </w:rPr>
        <w:t>组分组成</w:t>
      </w:r>
      <w:r>
        <w:rPr>
          <w:rFonts w:hAnsi="宋体" w:cs="宋体"/>
          <w:kern w:val="0"/>
        </w:rPr>
        <w:t>。</w:t>
      </w:r>
      <w:r>
        <w:rPr>
          <w:rFonts w:hint="eastAsia" w:hAnsi="宋体" w:cs="宋体"/>
          <w:kern w:val="0"/>
        </w:rPr>
        <w:t>煤制石脑油</w:t>
      </w:r>
      <w:r>
        <w:rPr>
          <w:rFonts w:hAnsi="宋体" w:cs="宋体"/>
          <w:kern w:val="0"/>
        </w:rPr>
        <w:t>与石油基石脑油</w:t>
      </w:r>
      <w:r>
        <w:rPr>
          <w:rFonts w:hint="eastAsia" w:hAnsi="宋体" w:cs="宋体"/>
          <w:kern w:val="0"/>
        </w:rPr>
        <w:t>有一定</w:t>
      </w:r>
      <w:r>
        <w:rPr>
          <w:rFonts w:hAnsi="宋体" w:cs="宋体"/>
          <w:kern w:val="0"/>
        </w:rPr>
        <w:t>区别，</w:t>
      </w:r>
      <w:r>
        <w:rPr>
          <w:rFonts w:hint="eastAsia" w:hAnsi="宋体" w:cs="宋体"/>
          <w:kern w:val="0"/>
        </w:rPr>
        <w:t>纯苯</w:t>
      </w:r>
      <w:r>
        <w:rPr>
          <w:rFonts w:hAnsi="宋体" w:cs="宋体"/>
          <w:kern w:val="0"/>
        </w:rPr>
        <w:t>、甲苯及二甲苯含量</w:t>
      </w:r>
      <w:r>
        <w:rPr>
          <w:rFonts w:hint="eastAsia" w:hAnsi="宋体" w:cs="宋体"/>
          <w:kern w:val="0"/>
        </w:rPr>
        <w:t>较高</w:t>
      </w:r>
      <w:r>
        <w:rPr>
          <w:rFonts w:hAnsi="宋体" w:cs="宋体"/>
          <w:kern w:val="0"/>
        </w:rPr>
        <w:t>，</w:t>
      </w:r>
      <w:r>
        <w:rPr>
          <w:rFonts w:hint="eastAsia" w:hAnsi="宋体" w:cs="宋体"/>
          <w:kern w:val="0"/>
        </w:rPr>
        <w:t>且</w:t>
      </w:r>
      <w:r>
        <w:rPr>
          <w:rFonts w:hAnsi="宋体" w:cs="宋体"/>
          <w:kern w:val="0"/>
        </w:rPr>
        <w:t>含硫量较高</w:t>
      </w:r>
      <w:r>
        <w:rPr>
          <w:rFonts w:hint="eastAsia" w:hAnsi="宋体" w:cs="宋体"/>
          <w:kern w:val="0"/>
        </w:rPr>
        <w:t>。</w:t>
      </w:r>
    </w:p>
    <w:p w14:paraId="4506BCA3">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煤制汽油</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或是</w:t>
      </w:r>
      <w:r>
        <w:rPr>
          <w:rFonts w:hAnsi="宋体" w:cs="宋体"/>
          <w:kern w:val="0"/>
        </w:rPr>
        <w:t>由煤焦油</w:t>
      </w:r>
      <w:r>
        <w:rPr>
          <w:rFonts w:hint="eastAsia" w:hAnsi="宋体" w:cs="宋体"/>
          <w:kern w:val="0"/>
        </w:rPr>
        <w:t>通过</w:t>
      </w:r>
      <w:r>
        <w:rPr>
          <w:rFonts w:hAnsi="宋体" w:cs="宋体"/>
          <w:kern w:val="0"/>
        </w:rPr>
        <w:t>化学加工得到的</w:t>
      </w:r>
      <w:r>
        <w:rPr>
          <w:rFonts w:hint="eastAsia" w:hAnsi="宋体" w:cs="宋体"/>
          <w:kern w:val="0"/>
        </w:rPr>
        <w:t>汽油。</w:t>
      </w:r>
    </w:p>
    <w:p w14:paraId="59655CD1">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 xml:space="preserve">煤制柴油  </w:t>
      </w:r>
      <w:r>
        <w:rPr>
          <w:rFonts w:hint="eastAsia" w:ascii="宋体" w:hAnsi="宋体" w:eastAsia="宋体" w:cs="宋体"/>
          <w:lang w:val="en-US" w:eastAsia="zh-CN"/>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int="eastAsia" w:hAnsi="宋体" w:cs="宋体"/>
          <w:kern w:val="0"/>
          <w:lang w:val="en-US" w:eastAsia="zh-CN"/>
        </w:rPr>
        <w:t>通</w:t>
      </w:r>
      <w:r>
        <w:rPr>
          <w:rFonts w:hAnsi="宋体" w:cs="宋体"/>
          <w:kern w:val="0"/>
        </w:rPr>
        <w:t>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或是</w:t>
      </w:r>
      <w:r>
        <w:rPr>
          <w:rFonts w:hAnsi="宋体" w:cs="宋体"/>
          <w:kern w:val="0"/>
        </w:rPr>
        <w:t>由煤焦油</w:t>
      </w:r>
      <w:r>
        <w:rPr>
          <w:rFonts w:hint="eastAsia" w:hAnsi="宋体" w:cs="宋体"/>
          <w:kern w:val="0"/>
        </w:rPr>
        <w:t>通过</w:t>
      </w:r>
      <w:r>
        <w:rPr>
          <w:rFonts w:hAnsi="宋体" w:cs="宋体"/>
          <w:kern w:val="0"/>
        </w:rPr>
        <w:t>化学加工得到的</w:t>
      </w:r>
      <w:r>
        <w:rPr>
          <w:rFonts w:hint="eastAsia" w:hAnsi="宋体" w:cs="宋体"/>
          <w:kern w:val="0"/>
        </w:rPr>
        <w:t>柴油。</w:t>
      </w:r>
    </w:p>
    <w:p w14:paraId="79DF7200">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煤制航空燃料</w:t>
      </w:r>
      <w:r>
        <w:rPr>
          <w:rFonts w:eastAsia="黑体"/>
          <w:bCs/>
        </w:rPr>
        <w:t xml:space="preserve">  </w:t>
      </w:r>
      <w:r>
        <w:rPr>
          <w:rFonts w:hint="eastAsia" w:hAnsi="宋体" w:cs="宋体"/>
          <w:kern w:val="0"/>
        </w:rPr>
        <w:t>指</w:t>
      </w:r>
      <w:r>
        <w:rPr>
          <w:rFonts w:hAnsi="宋体" w:cs="宋体"/>
          <w:kern w:val="0"/>
        </w:rPr>
        <w:t>以</w:t>
      </w:r>
      <w:r>
        <w:rPr>
          <w:rFonts w:hint="eastAsia" w:hAnsi="宋体" w:cs="宋体"/>
          <w:kern w:val="0"/>
        </w:rPr>
        <w:t>煤炭</w:t>
      </w:r>
      <w:r>
        <w:rPr>
          <w:rFonts w:hAnsi="宋体" w:cs="宋体"/>
          <w:kern w:val="0"/>
        </w:rPr>
        <w:t>为原料</w:t>
      </w:r>
      <w:r>
        <w:rPr>
          <w:rFonts w:hint="eastAsia" w:hAnsi="宋体" w:cs="宋体"/>
          <w:kern w:val="0"/>
        </w:rPr>
        <w:t>，</w:t>
      </w:r>
      <w:r>
        <w:rPr>
          <w:rFonts w:hAnsi="宋体" w:cs="宋体"/>
          <w:kern w:val="0"/>
        </w:rPr>
        <w:t>通过直接液化或间接液化</w:t>
      </w:r>
      <w:r>
        <w:rPr>
          <w:rFonts w:hint="eastAsia" w:hAnsi="宋体" w:cs="宋体"/>
          <w:kern w:val="0"/>
        </w:rPr>
        <w:t>及</w:t>
      </w:r>
      <w:r>
        <w:rPr>
          <w:rFonts w:hAnsi="宋体" w:cs="宋体"/>
          <w:kern w:val="0"/>
        </w:rPr>
        <w:t>催化重整等化学加工过程</w:t>
      </w:r>
      <w:r>
        <w:rPr>
          <w:rFonts w:hint="eastAsia" w:hAnsi="宋体" w:cs="宋体"/>
          <w:kern w:val="0"/>
        </w:rPr>
        <w:t>得到</w:t>
      </w:r>
      <w:r>
        <w:rPr>
          <w:rFonts w:hAnsi="宋体" w:cs="宋体"/>
          <w:kern w:val="0"/>
        </w:rPr>
        <w:t>的航空</w:t>
      </w:r>
      <w:r>
        <w:rPr>
          <w:rFonts w:hint="eastAsia" w:hAnsi="宋体" w:cs="宋体"/>
          <w:kern w:val="0"/>
        </w:rPr>
        <w:t>煤油等</w:t>
      </w:r>
      <w:r>
        <w:rPr>
          <w:rFonts w:hAnsi="宋体" w:cs="宋体"/>
          <w:kern w:val="0"/>
        </w:rPr>
        <w:t>航空燃料。</w:t>
      </w:r>
    </w:p>
    <w:p w14:paraId="42974DE9">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煤制石蜡</w:t>
      </w:r>
      <w:r>
        <w:rPr>
          <w:rFonts w:eastAsia="黑体"/>
          <w:bCs/>
        </w:rPr>
        <w:t xml:space="preserve">  </w:t>
      </w:r>
      <w:r>
        <w:rPr>
          <w:rFonts w:hint="eastAsia" w:hAnsi="宋体" w:cs="宋体"/>
          <w:kern w:val="0"/>
        </w:rPr>
        <w:t>指煤</w:t>
      </w:r>
      <w:r>
        <w:rPr>
          <w:rFonts w:hAnsi="宋体" w:cs="宋体"/>
          <w:kern w:val="0"/>
        </w:rPr>
        <w:t>通过间接液化等化学加工过程</w:t>
      </w:r>
      <w:r>
        <w:rPr>
          <w:rFonts w:hint="eastAsia" w:hAnsi="宋体" w:cs="宋体"/>
          <w:kern w:val="0"/>
        </w:rPr>
        <w:t>得到</w:t>
      </w:r>
      <w:r>
        <w:rPr>
          <w:rFonts w:hAnsi="宋体" w:cs="宋体"/>
          <w:kern w:val="0"/>
        </w:rPr>
        <w:t>的石蜡。</w:t>
      </w:r>
    </w:p>
    <w:p w14:paraId="32D6DB24">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其他煤制油产品</w:t>
      </w:r>
      <w:r>
        <w:rPr>
          <w:rFonts w:eastAsia="黑体"/>
          <w:bCs/>
        </w:rPr>
        <w:t xml:space="preserve">  </w:t>
      </w:r>
      <w:r>
        <w:rPr>
          <w:rFonts w:hint="eastAsia" w:hAnsi="宋体" w:cs="宋体"/>
          <w:kern w:val="0"/>
        </w:rPr>
        <w:t>不属于</w:t>
      </w:r>
      <w:r>
        <w:rPr>
          <w:rFonts w:hAnsi="宋体" w:cs="宋体"/>
          <w:kern w:val="0"/>
        </w:rPr>
        <w:t>上述油品</w:t>
      </w:r>
      <w:r>
        <w:rPr>
          <w:rFonts w:hint="eastAsia" w:hAnsi="宋体" w:cs="宋体"/>
          <w:kern w:val="0"/>
        </w:rPr>
        <w:t>的其他煤制油</w:t>
      </w:r>
      <w:r>
        <w:rPr>
          <w:rFonts w:hAnsi="宋体" w:cs="宋体"/>
          <w:kern w:val="0"/>
        </w:rPr>
        <w:t>产品</w:t>
      </w:r>
      <w:r>
        <w:rPr>
          <w:rFonts w:hint="eastAsia" w:hAnsi="宋体" w:cs="宋体"/>
          <w:kern w:val="0"/>
        </w:rPr>
        <w:t>。</w:t>
      </w:r>
    </w:p>
    <w:p w14:paraId="7E49D475">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天然气</w:t>
      </w:r>
      <w:r>
        <w:rPr>
          <w:rFonts w:eastAsia="黑体"/>
          <w:bCs/>
        </w:rPr>
        <w:t xml:space="preserve">  </w:t>
      </w:r>
      <w:r>
        <w:rPr>
          <w:rFonts w:ascii="Times New Roman" w:hAnsi="Times New Roman" w:cs="Times New Roman"/>
          <w:kern w:val="0"/>
        </w:rPr>
        <w:t>指以气态碳氢化合物为主的各种气体的混合物，由有机物质经生物化学作用分解而成，或与石油共存于岩石的裂缝和空洞中，或以溶解状态存在于地下水中；主要成分为甲烷（约占85%</w:t>
      </w:r>
      <w:r>
        <w:rPr>
          <w:rFonts w:hint="eastAsia" w:ascii="Times New Roman" w:hAnsi="Times New Roman" w:cs="Times New Roman"/>
          <w:kern w:val="0"/>
        </w:rPr>
        <w:t>-</w:t>
      </w:r>
      <w:r>
        <w:rPr>
          <w:rFonts w:ascii="Times New Roman" w:hAnsi="Times New Roman" w:cs="Times New Roman"/>
          <w:kern w:val="0"/>
        </w:rPr>
        <w:t>95%），还有乙烷、丙烷、丁烷等，是一种优质燃料和化工原料。天然气分为常规天然气和非常规天然气。</w:t>
      </w:r>
    </w:p>
    <w:p w14:paraId="266F3D77">
      <w:pPr>
        <w:spacing w:line="360" w:lineRule="exact"/>
        <w:ind w:firstLine="420" w:firstLineChars="200"/>
        <w:textAlignment w:val="center"/>
        <w:rPr>
          <w:kern w:val="0"/>
          <w:szCs w:val="21"/>
        </w:rPr>
      </w:pPr>
      <w:r>
        <w:rPr>
          <w:rFonts w:hint="eastAsia" w:ascii="黑体" w:hAnsi="黑体" w:eastAsia="黑体"/>
          <w:kern w:val="0"/>
          <w:szCs w:val="21"/>
        </w:rPr>
        <w:t xml:space="preserve">常规天然气  </w:t>
      </w:r>
      <w:r>
        <w:rPr>
          <w:kern w:val="0"/>
          <w:szCs w:val="21"/>
        </w:rPr>
        <w:t>包括气田天然气、油田天然气（分为油田气层气、油田伴生溶解气）。</w:t>
      </w:r>
    </w:p>
    <w:p w14:paraId="5DAD17A5">
      <w:pPr>
        <w:spacing w:line="360" w:lineRule="exact"/>
        <w:ind w:firstLine="420" w:firstLineChars="200"/>
        <w:textAlignment w:val="center"/>
        <w:rPr>
          <w:kern w:val="0"/>
          <w:szCs w:val="21"/>
        </w:rPr>
      </w:pPr>
      <w:r>
        <w:rPr>
          <w:rFonts w:hint="eastAsia" w:ascii="黑体" w:hAnsi="黑体" w:eastAsia="黑体"/>
          <w:kern w:val="0"/>
          <w:szCs w:val="21"/>
        </w:rPr>
        <w:t>非常规天然气</w:t>
      </w:r>
      <w:r>
        <w:rPr>
          <w:rFonts w:hint="eastAsia"/>
          <w:kern w:val="0"/>
          <w:szCs w:val="21"/>
        </w:rPr>
        <w:t xml:space="preserve">  </w:t>
      </w:r>
      <w:r>
        <w:rPr>
          <w:kern w:val="0"/>
          <w:szCs w:val="21"/>
        </w:rPr>
        <w:t>包括煤层气、页岩气、致密砂岩气等。</w:t>
      </w:r>
    </w:p>
    <w:p w14:paraId="19E1B7C8">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天然气体积随温度和压力的变化而变化，统计时按标准状态下（压力为760毫米汞柱，温度20℃）的体积计算。</w:t>
      </w:r>
    </w:p>
    <w:p w14:paraId="2E70953E">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天然气产量是指进入集输管网和就地利用的全部气量。</w:t>
      </w:r>
    </w:p>
    <w:p w14:paraId="3FFA2E85">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天然气产量的计算原则：</w:t>
      </w:r>
    </w:p>
    <w:p w14:paraId="2D8EFDE1">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1.气田天然气产量是指从井口产出经过油、气、水分离，进入集输管网和就地利用第一次计量的全部气量。</w:t>
      </w:r>
    </w:p>
    <w:p w14:paraId="358E467D">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2.油田天然气产量是指从油井产出，在油、气、水三相分离分输点，第一次通过仪表连续计量进入管网和就地利用的全部气量。</w:t>
      </w:r>
    </w:p>
    <w:p w14:paraId="5B637D4A">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3.对不具备条件未经油、气、水分离的就地自用气量和边远井产气就地利用气量，仍可按测定消耗定额的办法计算产气量。</w:t>
      </w:r>
    </w:p>
    <w:p w14:paraId="196ECC1C">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4.经过油气水三相分离后的油井气中，可能含有一些凝聚物，应根据测定情况在气量中予以扣除。</w:t>
      </w:r>
    </w:p>
    <w:p w14:paraId="052119C4">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天然气产量计算公式：天然气产量=销售量+企业自用气量+损耗量及输差+期末库存-期初库存</w:t>
      </w:r>
    </w:p>
    <w:p w14:paraId="26842E87">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天然气销售量是指供给本企业以外用户，以及供本企业内部炼油厂、化工厂等部门用气量和其</w:t>
      </w:r>
      <w:r>
        <w:rPr>
          <w:rFonts w:hint="eastAsia" w:ascii="Times New Roman" w:hAnsi="Times New Roman" w:cs="Times New Roman"/>
          <w:lang w:eastAsia="zh-CN"/>
        </w:rPr>
        <w:t>他</w:t>
      </w:r>
      <w:r>
        <w:rPr>
          <w:rFonts w:ascii="Times New Roman" w:hAnsi="Times New Roman" w:cs="Times New Roman"/>
        </w:rPr>
        <w:t>综合利用的气量。</w:t>
      </w:r>
    </w:p>
    <w:p w14:paraId="1BDD2D88">
      <w:pPr>
        <w:pStyle w:val="10"/>
        <w:adjustRightInd w:val="0"/>
        <w:spacing w:line="360" w:lineRule="exact"/>
        <w:ind w:firstLine="428" w:firstLineChars="200"/>
        <w:textAlignment w:val="center"/>
        <w:rPr>
          <w:rFonts w:ascii="Times New Roman" w:hAnsi="Times New Roman" w:cs="Times New Roman"/>
          <w:spacing w:val="2"/>
        </w:rPr>
      </w:pPr>
      <w:r>
        <w:rPr>
          <w:rFonts w:ascii="Times New Roman" w:hAnsi="Times New Roman" w:cs="Times New Roman"/>
          <w:spacing w:val="2"/>
        </w:rPr>
        <w:t>天然气销售量按供气用途分为供大化肥用、供中小化肥用、其他工业用、商业用、城市民用、其他用。</w:t>
      </w:r>
    </w:p>
    <w:p w14:paraId="7AF81740">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销售量中供本企业用气量，主要是指供给本企业内炼油、化工、碳黑、硫磺、化肥、制盐等用气量，这部分气量计入其他工业用气量中。</w:t>
      </w:r>
    </w:p>
    <w:p w14:paraId="0165A7F6">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企业自用气量是指企业内部自用的全部天然气量。它包括生产用气和其他自用气量。</w:t>
      </w:r>
    </w:p>
    <w:p w14:paraId="7678AE7D">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1.生产自用气量，是指围绕油气生产所用的气量。</w:t>
      </w:r>
    </w:p>
    <w:p w14:paraId="4E4A3841">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2.其他自用气量，是指油田所属的文教、卫生、生活福利等部门的用气量。</w:t>
      </w:r>
    </w:p>
    <w:p w14:paraId="4503DE08">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天然气损耗量及输差是指天然气输送过程中的损耗及输差。</w:t>
      </w:r>
    </w:p>
    <w:p w14:paraId="61857F55">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煤层气</w:t>
      </w:r>
      <w:r>
        <w:rPr>
          <w:rFonts w:eastAsia="黑体"/>
          <w:bCs/>
        </w:rPr>
        <w:t xml:space="preserve">  </w:t>
      </w:r>
      <w:r>
        <w:rPr>
          <w:rFonts w:ascii="Times New Roman" w:hAnsi="Times New Roman" w:cs="Times New Roman"/>
          <w:kern w:val="0"/>
        </w:rPr>
        <w:t>指储存在煤层中以甲烷为主要成分、以吸附在煤</w:t>
      </w:r>
      <w:r>
        <w:fldChar w:fldCharType="begin"/>
      </w:r>
      <w:r>
        <w:instrText xml:space="preserve"> HYPERLINK "http://baike.baidu.com/view/3872350.htm" \t "_blank" </w:instrText>
      </w:r>
      <w:r>
        <w:fldChar w:fldCharType="separate"/>
      </w:r>
      <w:r>
        <w:rPr>
          <w:rFonts w:ascii="Times New Roman" w:hAnsi="Times New Roman" w:cs="Times New Roman"/>
          <w:kern w:val="0"/>
        </w:rPr>
        <w:t>基质颗粒</w:t>
      </w:r>
      <w:r>
        <w:rPr>
          <w:rFonts w:ascii="Times New Roman" w:hAnsi="Times New Roman" w:cs="Times New Roman"/>
          <w:kern w:val="0"/>
        </w:rPr>
        <w:fldChar w:fldCharType="end"/>
      </w:r>
      <w:r>
        <w:rPr>
          <w:rFonts w:ascii="Times New Roman" w:hAnsi="Times New Roman" w:cs="Times New Roman"/>
          <w:kern w:val="0"/>
        </w:rPr>
        <w:t>表面为主、部分游离于煤孔隙中或溶解于煤层水中的烃类气体，是煤的伴生矿产资源，属非常规</w:t>
      </w:r>
      <w:r>
        <w:fldChar w:fldCharType="begin"/>
      </w:r>
      <w:r>
        <w:instrText xml:space="preserve"> HYPERLINK "http://baike.baidu.com/view/1093.htm" \t "_blank" </w:instrText>
      </w:r>
      <w:r>
        <w:fldChar w:fldCharType="separate"/>
      </w:r>
      <w:r>
        <w:rPr>
          <w:rFonts w:ascii="Times New Roman" w:hAnsi="Times New Roman" w:cs="Times New Roman"/>
          <w:kern w:val="0"/>
        </w:rPr>
        <w:t>天然气</w:t>
      </w:r>
      <w:r>
        <w:rPr>
          <w:rFonts w:ascii="Times New Roman" w:hAnsi="Times New Roman" w:cs="Times New Roman"/>
          <w:kern w:val="0"/>
        </w:rPr>
        <w:fldChar w:fldCharType="end"/>
      </w:r>
      <w:r>
        <w:rPr>
          <w:rFonts w:ascii="Times New Roman" w:hAnsi="Times New Roman" w:cs="Times New Roman"/>
          <w:kern w:val="0"/>
        </w:rPr>
        <w:t>。</w:t>
      </w:r>
    </w:p>
    <w:p w14:paraId="530326A9">
      <w:pPr>
        <w:spacing w:line="360" w:lineRule="exact"/>
        <w:ind w:firstLine="420" w:firstLineChars="200"/>
        <w:textAlignment w:val="center"/>
        <w:rPr>
          <w:szCs w:val="21"/>
          <w:shd w:val="clear" w:color="auto" w:fill="FFFFFF"/>
        </w:rPr>
      </w:pPr>
      <w:r>
        <w:rPr>
          <w:rFonts w:eastAsia="黑体"/>
          <w:kern w:val="0"/>
          <w:szCs w:val="21"/>
        </w:rPr>
        <w:t>页岩气</w:t>
      </w:r>
      <w:r>
        <w:rPr>
          <w:rFonts w:eastAsia="黑体"/>
          <w:bCs/>
          <w:szCs w:val="21"/>
        </w:rPr>
        <w:t xml:space="preserve"> </w:t>
      </w:r>
      <w:r>
        <w:rPr>
          <w:kern w:val="0"/>
          <w:szCs w:val="21"/>
        </w:rPr>
        <w:t xml:space="preserve"> </w:t>
      </w:r>
      <w:r>
        <w:rPr>
          <w:rFonts w:hint="eastAsia"/>
          <w:kern w:val="0"/>
          <w:szCs w:val="21"/>
        </w:rPr>
        <w:t xml:space="preserve">指赋存于富有机质泥页岩及其夹层中，以吸附或游离状态为主要存在方式的非常规天然气，成分以甲烷为主，是一种清洁、高效能源。 </w:t>
      </w:r>
    </w:p>
    <w:p w14:paraId="7605355B">
      <w:pPr>
        <w:adjustRightInd w:val="0"/>
        <w:spacing w:line="360" w:lineRule="exact"/>
        <w:ind w:firstLine="420" w:firstLineChars="200"/>
        <w:textAlignment w:val="center"/>
        <w:rPr>
          <w:szCs w:val="21"/>
          <w:shd w:val="clear" w:color="auto" w:fill="FFFFFF"/>
        </w:rPr>
      </w:pPr>
      <w:r>
        <w:rPr>
          <w:rFonts w:eastAsia="黑体"/>
          <w:kern w:val="0"/>
          <w:szCs w:val="21"/>
        </w:rPr>
        <w:t>致密砂岩气</w:t>
      </w:r>
      <w:r>
        <w:rPr>
          <w:rFonts w:eastAsia="黑体"/>
          <w:bCs/>
          <w:szCs w:val="21"/>
        </w:rPr>
        <w:t xml:space="preserve">  </w:t>
      </w:r>
      <w:r>
        <w:rPr>
          <w:kern w:val="0"/>
          <w:szCs w:val="21"/>
        </w:rPr>
        <w:t>指</w:t>
      </w:r>
      <w:r>
        <w:rPr>
          <w:rFonts w:hint="eastAsia"/>
          <w:kern w:val="0"/>
          <w:szCs w:val="21"/>
        </w:rPr>
        <w:t>覆压基质渗透率</w:t>
      </w:r>
      <w:r>
        <w:rPr>
          <w:kern w:val="0"/>
          <w:szCs w:val="21"/>
        </w:rPr>
        <w:t>小于或等于0.1×10</w:t>
      </w:r>
      <w:r>
        <w:rPr>
          <w:kern w:val="0"/>
          <w:szCs w:val="21"/>
          <w:vertAlign w:val="superscript"/>
        </w:rPr>
        <w:t>-3</w:t>
      </w:r>
      <w:r>
        <w:rPr>
          <w:kern w:val="0"/>
          <w:szCs w:val="21"/>
        </w:rPr>
        <w:t>μm</w:t>
      </w:r>
      <w:r>
        <w:rPr>
          <w:kern w:val="0"/>
          <w:szCs w:val="21"/>
          <w:vertAlign w:val="superscript"/>
        </w:rPr>
        <w:t>2</w:t>
      </w:r>
      <w:r>
        <w:rPr>
          <w:rFonts w:hint="eastAsia"/>
          <w:kern w:val="0"/>
          <w:szCs w:val="21"/>
        </w:rPr>
        <w:t>的砂岩</w:t>
      </w:r>
      <w:r>
        <w:rPr>
          <w:kern w:val="0"/>
          <w:szCs w:val="21"/>
        </w:rPr>
        <w:t>气层，单井一般无</w:t>
      </w:r>
      <w:r>
        <w:rPr>
          <w:rFonts w:hint="eastAsia"/>
          <w:kern w:val="0"/>
          <w:szCs w:val="21"/>
        </w:rPr>
        <w:t>自然</w:t>
      </w:r>
      <w:r>
        <w:rPr>
          <w:kern w:val="0"/>
          <w:szCs w:val="21"/>
        </w:rPr>
        <w:t>产能</w:t>
      </w:r>
      <w:r>
        <w:rPr>
          <w:rFonts w:hint="eastAsia"/>
          <w:kern w:val="0"/>
          <w:szCs w:val="21"/>
        </w:rPr>
        <w:t>或</w:t>
      </w:r>
      <w:r>
        <w:rPr>
          <w:kern w:val="0"/>
          <w:szCs w:val="21"/>
        </w:rPr>
        <w:t>自然产能低于工业气流下限，</w:t>
      </w:r>
      <w:r>
        <w:rPr>
          <w:rFonts w:hint="eastAsia"/>
          <w:kern w:val="0"/>
          <w:szCs w:val="21"/>
        </w:rPr>
        <w:t>但</w:t>
      </w:r>
      <w:r>
        <w:rPr>
          <w:kern w:val="0"/>
          <w:szCs w:val="21"/>
        </w:rPr>
        <w:t>在一</w:t>
      </w:r>
      <w:r>
        <w:rPr>
          <w:rFonts w:hint="eastAsia"/>
          <w:kern w:val="0"/>
          <w:szCs w:val="21"/>
        </w:rPr>
        <w:t>定</w:t>
      </w:r>
      <w:r>
        <w:rPr>
          <w:kern w:val="0"/>
          <w:szCs w:val="21"/>
        </w:rPr>
        <w:t>经济条件和技术措施下可获得工业天然气产量。</w:t>
      </w:r>
      <w:r>
        <w:rPr>
          <w:rFonts w:hint="eastAsia"/>
          <w:kern w:val="0"/>
          <w:szCs w:val="21"/>
        </w:rPr>
        <w:t>通常</w:t>
      </w:r>
      <w:r>
        <w:rPr>
          <w:kern w:val="0"/>
          <w:szCs w:val="21"/>
        </w:rPr>
        <w:t>情况下，</w:t>
      </w:r>
      <w:r>
        <w:rPr>
          <w:rFonts w:hint="eastAsia"/>
          <w:kern w:val="0"/>
          <w:szCs w:val="21"/>
        </w:rPr>
        <w:t>这些措施</w:t>
      </w:r>
      <w:r>
        <w:rPr>
          <w:kern w:val="0"/>
          <w:szCs w:val="21"/>
        </w:rPr>
        <w:t>包括压裂</w:t>
      </w:r>
      <w:r>
        <w:rPr>
          <w:rFonts w:hint="eastAsia"/>
          <w:kern w:val="0"/>
          <w:szCs w:val="21"/>
        </w:rPr>
        <w:t>、</w:t>
      </w:r>
      <w:r>
        <w:rPr>
          <w:kern w:val="0"/>
          <w:szCs w:val="21"/>
        </w:rPr>
        <w:t>水平井、多分</w:t>
      </w:r>
      <w:r>
        <w:rPr>
          <w:rFonts w:hint="eastAsia"/>
          <w:kern w:val="0"/>
          <w:szCs w:val="21"/>
        </w:rPr>
        <w:t>支</w:t>
      </w:r>
      <w:r>
        <w:rPr>
          <w:kern w:val="0"/>
          <w:szCs w:val="21"/>
        </w:rPr>
        <w:t>井等。</w:t>
      </w:r>
    </w:p>
    <w:p w14:paraId="6E6C28D8">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液化天然气</w:t>
      </w:r>
      <w:r>
        <w:rPr>
          <w:rFonts w:eastAsia="黑体"/>
          <w:bCs/>
        </w:rPr>
        <w:t xml:space="preserve">  </w:t>
      </w:r>
      <w:r>
        <w:rPr>
          <w:rFonts w:ascii="Times New Roman" w:hAnsi="Times New Roman" w:cs="Times New Roman"/>
          <w:kern w:val="0"/>
        </w:rPr>
        <w:t>指液体状态的天然气，由气态天然气在一定温度和压力条件下液化而成，无毒、无色、无味，在-161℃下的密度约为425千克/立方米。天然气在常温、常压状态为气态，占有的体积大，不利于储存，液化后体积只有气态的1/600左右。天然气的主要成分—甲烷的临界温度为</w:t>
      </w:r>
      <w:r>
        <w:rPr>
          <w:rFonts w:hint="eastAsia" w:ascii="Times New Roman" w:hAnsi="Times New Roman" w:cs="Times New Roman"/>
          <w:kern w:val="0"/>
          <w:lang w:val="en-US" w:eastAsia="zh-CN"/>
        </w:rPr>
        <w:t>-</w:t>
      </w:r>
      <w:r>
        <w:rPr>
          <w:rFonts w:ascii="Times New Roman" w:hAnsi="Times New Roman" w:cs="Times New Roman"/>
          <w:kern w:val="0"/>
        </w:rPr>
        <w:t>82℃，故在常温下不可能通过压缩而将其液化。而当将甲烷冷却到-161℃以下时，在常压下即转化为液体，即液化天然气（LNG）。</w:t>
      </w:r>
    </w:p>
    <w:p w14:paraId="40CAC0BB">
      <w:pPr>
        <w:pStyle w:val="10"/>
        <w:adjustRightInd w:val="0"/>
        <w:spacing w:line="360" w:lineRule="exact"/>
        <w:ind w:firstLine="420" w:firstLineChars="200"/>
        <w:textAlignment w:val="center"/>
        <w:rPr>
          <w:rFonts w:ascii="Times New Roman" w:hAnsi="Times New Roman" w:cs="Times New Roman"/>
          <w:spacing w:val="4"/>
          <w:kern w:val="0"/>
        </w:rPr>
      </w:pPr>
      <w:r>
        <w:rPr>
          <w:rFonts w:ascii="Times New Roman" w:hAnsi="Times New Roman" w:eastAsia="黑体" w:cs="Times New Roman"/>
        </w:rPr>
        <w:t>原油</w:t>
      </w:r>
      <w:r>
        <w:rPr>
          <w:rFonts w:eastAsia="黑体"/>
          <w:bCs/>
        </w:rPr>
        <w:t xml:space="preserve">  </w:t>
      </w:r>
      <w:r>
        <w:rPr>
          <w:rFonts w:ascii="Times New Roman" w:hAnsi="Times New Roman" w:cs="Times New Roman"/>
          <w:spacing w:val="4"/>
          <w:kern w:val="0"/>
        </w:rPr>
        <w:t>指各种碳氢化合物的复杂混合物，通常呈暗褐色或者黑色液态，少数呈黄色、淡红色、淡褐色。</w:t>
      </w:r>
    </w:p>
    <w:p w14:paraId="0D9DC8B7">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（一）原油产量的计算原则：</w:t>
      </w:r>
    </w:p>
    <w:p w14:paraId="5E542A88">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1.原油产量按净原油量（即：扣除含水、泥沙后的原油量）计算。</w:t>
      </w:r>
    </w:p>
    <w:p w14:paraId="3996C00B">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2.为了合理开发利用国家地下石油资源，从采油井采出的原油必须进入集输系统，尽量减少进入土油池。</w:t>
      </w:r>
    </w:p>
    <w:p w14:paraId="72F0EA6B">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3.因事故、自然灾害及从探井、报废井、未交采油单位或未具备生产条件的井中产生的落地油，其产量应按已销售、已利用和已回收的油量计算原油产量。</w:t>
      </w:r>
    </w:p>
    <w:p w14:paraId="7395AB79">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4.原油产量中包括从油（气）井井口直接回收或经处理装置回收的凝析油。</w:t>
      </w:r>
    </w:p>
    <w:p w14:paraId="3049145C">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5.油田内部新管线投产后的管线存油，不能作为库存报产量，待管线报废时清除的原油才能计入报告期原油产量中。凡是以前已报过的管线存油，在管线报废后，清除的原油不能再计入本期原油产量。在进行原油平衡时，清除的原油作为增加期初库存处理，并在报表上注明此油量。</w:t>
      </w:r>
    </w:p>
    <w:p w14:paraId="42522433">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6.计算原油产量，必须建立定期盘库制度，通过检尺或流量计准确地计量。</w:t>
      </w:r>
    </w:p>
    <w:p w14:paraId="2D07D3B2">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7.计算原油产量的库存量，必须经化验，符合质量标准。不符合质量标准的原油库存量不能作为计产的盘库范围。</w:t>
      </w:r>
    </w:p>
    <w:p w14:paraId="755C78BF">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（二）原油产量的计算方法：</w:t>
      </w:r>
    </w:p>
    <w:p w14:paraId="5A731586">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原油产量计算方法有两种：正算法和倒算法。</w:t>
      </w:r>
    </w:p>
    <w:p w14:paraId="0FDD0E58">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lang w:eastAsia="zh-CN"/>
        </w:rPr>
        <w:t>“</w:t>
      </w:r>
      <w:r>
        <w:rPr>
          <w:rFonts w:ascii="Times New Roman" w:hAnsi="Times New Roman" w:cs="Times New Roman"/>
        </w:rPr>
        <w:t>正算法</w:t>
      </w:r>
      <w:r>
        <w:rPr>
          <w:rFonts w:hint="eastAsia" w:ascii="Times New Roman" w:hAnsi="Times New Roman" w:cs="Times New Roman"/>
          <w:lang w:eastAsia="zh-CN"/>
        </w:rPr>
        <w:t>”</w:t>
      </w:r>
      <w:r>
        <w:rPr>
          <w:rFonts w:ascii="Times New Roman" w:hAnsi="Times New Roman" w:cs="Times New Roman"/>
        </w:rPr>
        <w:t>是从生产角度出发，按生产工艺过程进行计算原油产量的方法。</w:t>
      </w:r>
    </w:p>
    <w:p w14:paraId="030EC97A">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2.</w:t>
      </w:r>
      <w:r>
        <w:rPr>
          <w:rFonts w:hint="eastAsia" w:ascii="Times New Roman" w:hAnsi="Times New Roman" w:cs="Times New Roman"/>
          <w:lang w:eastAsia="zh-CN"/>
        </w:rPr>
        <w:t>“</w:t>
      </w:r>
      <w:r>
        <w:rPr>
          <w:rFonts w:ascii="Times New Roman" w:hAnsi="Times New Roman" w:cs="Times New Roman"/>
        </w:rPr>
        <w:t>倒算法</w:t>
      </w:r>
      <w:r>
        <w:rPr>
          <w:rFonts w:hint="eastAsia" w:ascii="Times New Roman" w:hAnsi="Times New Roman" w:cs="Times New Roman"/>
          <w:lang w:eastAsia="zh-CN"/>
        </w:rPr>
        <w:t>”</w:t>
      </w:r>
      <w:r>
        <w:rPr>
          <w:rFonts w:ascii="Times New Roman" w:hAnsi="Times New Roman" w:cs="Times New Roman"/>
        </w:rPr>
        <w:t>就是从销售的角度根据销售量，自用量，及期末、期初库存差倒算出原油产量的计算方法。其计算公式如下：</w:t>
      </w:r>
    </w:p>
    <w:p w14:paraId="134B96EA">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原油产量=（期末库存量+销售量+企业自用量-期初库存量）/（1-损耗率</w:t>
      </w:r>
      <w:r>
        <w:rPr>
          <w:rFonts w:ascii="Times New Roman" w:hAnsi="Times New Roman" w:cs="Times New Roman"/>
          <w:kern w:val="0"/>
        </w:rPr>
        <w:t>）</w:t>
      </w:r>
      <w:r>
        <w:rPr>
          <w:rFonts w:ascii="Times New Roman" w:hAnsi="Times New Roman" w:cs="Times New Roman"/>
        </w:rPr>
        <w:t>+国际合作份额油</w:t>
      </w:r>
    </w:p>
    <w:p w14:paraId="5CA3678B">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原油商品量，是指本期生产可供销售的产量。它反映企业为社会提供原油商品的总量，其计算公式如下：</w:t>
      </w:r>
    </w:p>
    <w:p w14:paraId="1E3054DC">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原油商品量=原油产量-生产自用量-原油损耗量</w:t>
      </w:r>
    </w:p>
    <w:p w14:paraId="4289C0F8">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企业原油自用量是指企业内部自用的全部原油量。包括生产自用量、矿区其</w:t>
      </w:r>
      <w:r>
        <w:rPr>
          <w:rFonts w:hint="eastAsia" w:ascii="Times New Roman" w:hAnsi="Times New Roman" w:cs="Times New Roman"/>
          <w:lang w:eastAsia="zh-CN"/>
        </w:rPr>
        <w:t>他</w:t>
      </w:r>
      <w:r>
        <w:rPr>
          <w:rFonts w:ascii="Times New Roman" w:hAnsi="Times New Roman" w:cs="Times New Roman"/>
        </w:rPr>
        <w:t>用量。</w:t>
      </w:r>
    </w:p>
    <w:p w14:paraId="1EEBD84A">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1.生产自用量是指围绕油气生产所用的油量（指在原油生产企业生产、集输、处理、储运过程中耗用的原油量</w:t>
      </w:r>
      <w:r>
        <w:rPr>
          <w:rFonts w:ascii="Times New Roman" w:hAnsi="Times New Roman" w:cs="Times New Roman"/>
          <w:kern w:val="0"/>
        </w:rPr>
        <w:t>）</w:t>
      </w:r>
      <w:r>
        <w:rPr>
          <w:rFonts w:ascii="Times New Roman" w:hAnsi="Times New Roman" w:cs="Times New Roman"/>
        </w:rPr>
        <w:t>。</w:t>
      </w:r>
    </w:p>
    <w:p w14:paraId="00CF0DB3">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2.矿区其</w:t>
      </w:r>
      <w:r>
        <w:rPr>
          <w:rFonts w:hint="eastAsia" w:ascii="Times New Roman" w:hAnsi="Times New Roman" w:cs="Times New Roman"/>
          <w:lang w:eastAsia="zh-CN"/>
        </w:rPr>
        <w:t>他</w:t>
      </w:r>
      <w:r>
        <w:rPr>
          <w:rFonts w:ascii="Times New Roman" w:hAnsi="Times New Roman" w:cs="Times New Roman"/>
        </w:rPr>
        <w:t>用油量是指油气田所属的文教、卫生、生活福利等部门的用油量。</w:t>
      </w:r>
    </w:p>
    <w:p w14:paraId="722757FA">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损耗量是指原油在集输、储存、装卸、脱水、脱盐、脱气等过程中发生的自然损耗以及清罐、事故损失。损耗定额必须定期测定，报有关部门批准执行。实际损耗低于定额的按实际损耗计算，超过定额的按定额损耗计算。如因各阶段损耗难以确定或各时期变化不大时，可按测定的总损耗率计算。</w:t>
      </w:r>
    </w:p>
    <w:p w14:paraId="0D573594">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清罐损耗量是指在油罐底部，因积有大量的泥、沙、杂质等，在清洗过程中发生的损耗，此项损耗可以按实际报损。</w:t>
      </w:r>
    </w:p>
    <w:p w14:paraId="51FD5D24">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事故损耗量是指原油在储输过程中因事故发生的损失。如跑油、溢油、漏油、火灾等事故损失量，计算事故损失量时必须认真核实，将回收部分冲减损耗。</w:t>
      </w:r>
    </w:p>
    <w:p w14:paraId="3D98BED6">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cs="Times New Roman"/>
        </w:rPr>
        <w:t>原油库存量是指全油田集输系统经净化处理符合规定质量标准的（或合同规定的技术条件）所有油罐的库存量之和。要建立定期的原油库存盘点制度，盘库要在规定的统一结算时点同时进行。</w:t>
      </w:r>
    </w:p>
    <w:p w14:paraId="0482D793">
      <w:pPr>
        <w:adjustRightInd w:val="0"/>
        <w:spacing w:line="360" w:lineRule="exact"/>
        <w:ind w:firstLine="420" w:firstLineChars="200"/>
        <w:textAlignment w:val="center"/>
        <w:rPr>
          <w:rFonts w:eastAsia="黑体"/>
          <w:szCs w:val="21"/>
        </w:rPr>
      </w:pPr>
      <w:r>
        <w:rPr>
          <w:rFonts w:eastAsia="黑体"/>
          <w:szCs w:val="21"/>
        </w:rPr>
        <w:t>页岩油</w:t>
      </w:r>
      <w:r>
        <w:rPr>
          <w:rFonts w:eastAsia="黑体"/>
          <w:bCs/>
          <w:szCs w:val="21"/>
        </w:rPr>
        <w:t xml:space="preserve">  </w:t>
      </w:r>
      <w:r>
        <w:rPr>
          <w:szCs w:val="21"/>
        </w:rPr>
        <w:t>指以页岩为主的页岩层系中所含的石油资源。其中包括泥页岩孔隙和裂缝中的石油，以及泥页岩层系中的致密碳酸岩或碎屑岩邻层和夹层中的石油资源。通常有效的开发方式为水平井和分段压裂技术。</w:t>
      </w:r>
    </w:p>
    <w:p w14:paraId="3CC19AC3">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原油加工量</w:t>
      </w:r>
      <w:r>
        <w:rPr>
          <w:rFonts w:eastAsia="黑体"/>
          <w:bCs/>
        </w:rPr>
        <w:t xml:space="preserve">  </w:t>
      </w:r>
      <w:r>
        <w:rPr>
          <w:rFonts w:ascii="Times New Roman" w:hAnsi="Times New Roman" w:cs="Times New Roman"/>
          <w:kern w:val="0"/>
        </w:rPr>
        <w:t>指直接进入蒸馏装置及二次加工装置加工的原油量。该指标是衡量炼化企业生产规模、能力的一项基础指标，也是炼化企业计算各项技术经济指标的重要依据。因此，原油加工量作为一个特殊的指标在产品产量中统计。</w:t>
      </w:r>
    </w:p>
    <w:p w14:paraId="1C6DCCD3">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计算原油加工量必须具有一定的计量手段，一般用流量计计量，在计量表误差较大的情况下，也可以用罐检尺方法计量，但不允许用产出量倒算。</w:t>
      </w:r>
    </w:p>
    <w:p w14:paraId="748D9D9F">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汽油</w:t>
      </w:r>
      <w:r>
        <w:rPr>
          <w:rFonts w:eastAsia="黑体"/>
          <w:bCs/>
        </w:rPr>
        <w:t xml:space="preserve">  </w:t>
      </w:r>
      <w:r>
        <w:rPr>
          <w:rFonts w:ascii="Times New Roman" w:hAnsi="Times New Roman" w:cs="Times New Roman"/>
          <w:kern w:val="0"/>
        </w:rPr>
        <w:t>指直馏汽油和二次加工（如催化裂化、加氢裂化，催化重整和经精制的热裂化、焦化等）汽油，按不同比例调和，加入适量抗氧防胶剂及金属钝化剂，必要时加入适量的抗爆剂（如加入抗爆剂还要加入着色剂）而制成。本品为易燃、易挥发液体，具有良好的抗爆性能和燃烧性能，其蒸发性好，燃烧完全，积炭少，对发动机部件及储油容器无腐蚀性，由于加有抗氧剂，产品具有较好的安定性，不易过早氧化。</w:t>
      </w:r>
    </w:p>
    <w:p w14:paraId="52BAAEBE">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包括航空汽油和车用汽油。</w:t>
      </w:r>
    </w:p>
    <w:p w14:paraId="6308EF2E">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航空汽油</w:t>
      </w:r>
      <w:r>
        <w:rPr>
          <w:rFonts w:ascii="Times New Roman" w:hAnsi="Times New Roman" w:cs="Times New Roman"/>
          <w:kern w:val="0"/>
        </w:rPr>
        <w:t xml:space="preserve">  指按国家规定的鉴定程序所通过的原料及生产工艺条件，由催化裂化、烷基化、催化重整等装置所生产的汽油组分与其他高辛烷值组分（如工业异丙苯、抗爆剂、抗氧剂等）调合而成，主要用于活塞式航空发动机燃料，其质量要求要比车用汽油高，一般加入染色剂以区分。航空汽油有辛烷值和品度值两个质量控制指标。随着喷气内燃机的发展，航空汽油的用量已减少很多，目前主要用于直升飞机和一些小型螺旋桨飞机以及喷气式飞机的启动等。</w:t>
      </w:r>
    </w:p>
    <w:p w14:paraId="31C72806">
      <w:pPr>
        <w:pStyle w:val="10"/>
        <w:adjustRightInd w:val="0"/>
        <w:spacing w:line="360" w:lineRule="exact"/>
        <w:ind w:firstLine="420" w:firstLineChars="200"/>
        <w:textAlignment w:val="center"/>
        <w:rPr>
          <w:rFonts w:ascii="Times New Roman" w:hAnsi="Times New Roman" w:cs="Times New Roman"/>
          <w:b/>
        </w:rPr>
      </w:pPr>
      <w:r>
        <w:rPr>
          <w:rFonts w:ascii="Times New Roman" w:hAnsi="Times New Roman" w:eastAsia="黑体" w:cs="Times New Roman"/>
          <w:kern w:val="0"/>
        </w:rPr>
        <w:t>2.</w:t>
      </w:r>
      <w:r>
        <w:rPr>
          <w:rFonts w:ascii="Times New Roman" w:hAnsi="Times New Roman" w:cs="Times New Roman"/>
          <w:b/>
          <w:kern w:val="0"/>
        </w:rPr>
        <w:t>车用汽油</w:t>
      </w:r>
      <w:r>
        <w:rPr>
          <w:rFonts w:ascii="Times New Roman" w:hAnsi="Times New Roman" w:cs="Times New Roman"/>
          <w:kern w:val="0"/>
        </w:rPr>
        <w:t xml:space="preserve">  指由常减压装置蒸馏产出的直馏汽油组分、二次加工装置产出的汽油组分（如催化汽油、加氢裂化汽油、催化重整汽油、加氢精制后的焦化汽油等）及高辛烷值汽油组分，按一定比例调合后加入适量抗氧防胶剂、金属钝化剂，必要时加入适量的抗爆剂和甲基叔丁基醚（MTBE）等制成。代表汽油质量等级的一个重要指标是抗爆性，辛烷值是表示汽油抗爆性的重要指标。</w:t>
      </w:r>
    </w:p>
    <w:p w14:paraId="2B0A620E">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煤油</w:t>
      </w:r>
      <w:r>
        <w:rPr>
          <w:rFonts w:eastAsia="黑体"/>
          <w:bCs/>
        </w:rPr>
        <w:t xml:space="preserve">  </w:t>
      </w:r>
      <w:r>
        <w:rPr>
          <w:rFonts w:ascii="Times New Roman" w:hAnsi="Times New Roman" w:cs="Times New Roman"/>
          <w:kern w:val="0"/>
        </w:rPr>
        <w:t>包括灯用煤油、航空煤油。</w:t>
      </w:r>
    </w:p>
    <w:p w14:paraId="2DF32DB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灯用煤油</w:t>
      </w:r>
      <w:r>
        <w:rPr>
          <w:rFonts w:ascii="Times New Roman" w:hAnsi="Times New Roman" w:cs="Times New Roman"/>
          <w:kern w:val="0"/>
        </w:rPr>
        <w:t xml:space="preserve">  指由常减压装置蒸馏的直馏煤油或二次加工经加氢精制的不含裂化组分的适宜馏分，主要用于点灯照明和各种燃料器用油。</w:t>
      </w:r>
    </w:p>
    <w:p w14:paraId="103A8CDC">
      <w:pPr>
        <w:pStyle w:val="10"/>
        <w:adjustRightInd w:val="0"/>
        <w:spacing w:line="360" w:lineRule="exact"/>
        <w:ind w:firstLine="420" w:firstLineChars="200"/>
        <w:textAlignment w:val="center"/>
        <w:rPr>
          <w:rFonts w:ascii="Times New Roman" w:hAnsi="Times New Roman" w:cs="Times New Roman"/>
          <w:b/>
          <w:bCs/>
        </w:rPr>
      </w:pPr>
      <w:r>
        <w:rPr>
          <w:rFonts w:ascii="Times New Roman" w:hAnsi="Times New Roman" w:eastAsia="黑体" w:cs="Times New Roman"/>
          <w:kern w:val="0"/>
        </w:rPr>
        <w:t>2.</w:t>
      </w:r>
      <w:r>
        <w:rPr>
          <w:rFonts w:ascii="Times New Roman" w:hAnsi="Times New Roman" w:cs="Times New Roman"/>
          <w:b/>
          <w:kern w:val="0"/>
        </w:rPr>
        <w:t>航空煤油</w:t>
      </w:r>
      <w:r>
        <w:rPr>
          <w:rFonts w:ascii="Times New Roman" w:hAnsi="Times New Roman" w:cs="Times New Roman"/>
          <w:kern w:val="0"/>
        </w:rPr>
        <w:t xml:space="preserve">  按国家规定的鉴定程序所通过的原料及生产工艺条件，由蒸馏装置的直馏煤油或经加氢裂化、加氢精制生产的组分，单独或复合加入必要的、有利于改进与提高航空煤油质量的添加剂制成。主要用于航空涡轮发动机作燃料，根据所适用的工作环境温度及发动机型号分为不同牌号。</w:t>
      </w:r>
    </w:p>
    <w:p w14:paraId="504B3175">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柴油</w:t>
      </w:r>
      <w:r>
        <w:rPr>
          <w:rFonts w:eastAsia="黑体"/>
          <w:bCs/>
        </w:rPr>
        <w:t xml:space="preserve">  </w:t>
      </w:r>
      <w:r>
        <w:rPr>
          <w:rFonts w:ascii="Times New Roman" w:hAnsi="Times New Roman" w:cs="Times New Roman"/>
          <w:kern w:val="0"/>
        </w:rPr>
        <w:t>指直馏柴油和经过精制的二次加工（如催化裂化、加氢裂化、热裂化、加氢精制的焦化的柴油等），以不同比例调和而成的成品油。柴油分为轻柴油、重柴油。</w:t>
      </w:r>
    </w:p>
    <w:p w14:paraId="373B75F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kern w:val="0"/>
        </w:rPr>
        <w:t>1.</w:t>
      </w:r>
      <w:r>
        <w:rPr>
          <w:rFonts w:ascii="Times New Roman" w:hAnsi="Times New Roman" w:cs="Times New Roman"/>
          <w:b/>
          <w:kern w:val="0"/>
        </w:rPr>
        <w:t>轻柴油</w:t>
      </w:r>
      <w:r>
        <w:rPr>
          <w:rFonts w:ascii="Times New Roman" w:hAnsi="Times New Roman" w:cs="Times New Roman"/>
          <w:kern w:val="0"/>
        </w:rPr>
        <w:t xml:space="preserve">  指由常减压装置蒸馏产出的直馏柴油或经过精制的二次加工柴油组分（如催化裂化柴油、加氢裂化柴油、加氢精制后的焦化柴油等）按一定比例调合而成，供转速为每分钟1000转以上的柴油机使用的柴油。按凝固点划分为以下牌号：10号、5号、0号、－10号、－20号、－30号、－35号、－50号等。</w:t>
      </w:r>
    </w:p>
    <w:p w14:paraId="21152C3F">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kern w:val="0"/>
        </w:rPr>
        <w:t>2.</w:t>
      </w:r>
      <w:r>
        <w:rPr>
          <w:rFonts w:ascii="Times New Roman" w:hAnsi="Times New Roman" w:cs="Times New Roman"/>
          <w:b/>
          <w:kern w:val="0"/>
        </w:rPr>
        <w:t>重柴油</w:t>
      </w:r>
      <w:r>
        <w:rPr>
          <w:rFonts w:ascii="Times New Roman" w:hAnsi="Times New Roman" w:cs="Times New Roman"/>
          <w:kern w:val="0"/>
        </w:rPr>
        <w:t xml:space="preserve">  指由常减压装置蒸馏产出的直馏重柴油，或经过精制的二次加工重质柴油组分（如催化裂化柴油、加氢裂化柴油、经加氢精制的焦化柴油等），或与适量轻质柴油组分按不同比例调合而成，供转速为每分钟1000转以下的柴油机使用的柴油。包括以下牌号：10号、20号、30号等。</w:t>
      </w:r>
    </w:p>
    <w:p w14:paraId="70000F93">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润滑油</w:t>
      </w:r>
      <w:r>
        <w:rPr>
          <w:rFonts w:eastAsia="黑体"/>
          <w:bCs/>
        </w:rPr>
        <w:t xml:space="preserve">  </w:t>
      </w:r>
      <w:r>
        <w:rPr>
          <w:rFonts w:ascii="Times New Roman" w:hAnsi="Times New Roman" w:cs="Times New Roman"/>
          <w:kern w:val="0"/>
        </w:rPr>
        <w:t>指以原油经常减压蒸馏装置和二次加工所得的馏分油为原料，经糠醛精制和溶剂脱蜡或压榨脱蜡，再经白土或加氢精制工艺所得的润滑油基础油，加入清净、分散、抗氧、抗腐、抗泡等添加剂调合而成。</w:t>
      </w:r>
    </w:p>
    <w:p w14:paraId="26581E58">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润滑油品种、规格、牌号较多，广泛应用于机械设备上，不同的应用领域要求使用不同的品种，不同的使用环境和条件又要求使用不同的牌号。我国采用国际标准化组织的分类标准，制定了国家标准GB/T7631。目前润滑油分为16类：全损耗系统用油、齿轮用油、压缩机用油、主轴轴承用油、导轨用油、液压系统用油、金属加工用油、电器绝缘用油、防护防蚀用油、汽轮机用油、热处理用油、蒸汽汽缸用油、橡胶填充用油、白油、专用润滑油、热传导液等。</w:t>
      </w:r>
    </w:p>
    <w:p w14:paraId="4E31DFD8">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燃料油</w:t>
      </w:r>
      <w:r>
        <w:rPr>
          <w:rFonts w:eastAsia="黑体"/>
          <w:bCs/>
        </w:rPr>
        <w:t xml:space="preserve">  </w:t>
      </w:r>
      <w:r>
        <w:rPr>
          <w:rFonts w:ascii="Times New Roman" w:hAnsi="Times New Roman" w:cs="Times New Roman"/>
          <w:kern w:val="0"/>
        </w:rPr>
        <w:t>包括船用燃料油、重油或其他燃料油。燃料油分为商品燃料油和自用燃料油。商品燃料油指企业作为商品销售的燃料油；自用燃料油指本企业用作燃料和化肥、化工原料的自用油。</w:t>
      </w:r>
    </w:p>
    <w:p w14:paraId="1D475E32">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b/>
          <w:kern w:val="0"/>
        </w:rPr>
        <w:t xml:space="preserve">船用燃料油 </w:t>
      </w:r>
      <w:r>
        <w:rPr>
          <w:rFonts w:ascii="Times New Roman" w:hAnsi="Times New Roman" w:cs="Times New Roman"/>
          <w:kern w:val="0"/>
        </w:rPr>
        <w:t xml:space="preserve"> 由原油经蒸馏后的常压重油或减压渣油与适量的二次加工柴油组分按不同比例调合而成。主要用于大型低速远洋船舶柴油机（转速低于每分钟150转）作燃料。包括：舰用燃料油、1000秒船用燃料油、1500秒船用燃料油及0号、2号、5号、6号、23号、其他船用燃料油。</w:t>
      </w:r>
    </w:p>
    <w:p w14:paraId="4BE99D2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b/>
          <w:kern w:val="0"/>
        </w:rPr>
        <w:t xml:space="preserve">重油 </w:t>
      </w:r>
      <w:r>
        <w:rPr>
          <w:rFonts w:ascii="Times New Roman" w:hAnsi="Times New Roman" w:cs="Times New Roman"/>
          <w:kern w:val="0"/>
        </w:rPr>
        <w:t xml:space="preserve"> 指原油经常减压装置蒸馏后的减压渣油与二次加工组分油按不同比例调合而成。主要用于各种锅炉或其他工业炉燃料，也可用于重油制氢、生产合成氨和炭黑的原料。一般分为以下牌号：10号、20号、60号、100号、200号及其他重油。</w:t>
      </w:r>
    </w:p>
    <w:p w14:paraId="3304316C">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石脑油</w:t>
      </w:r>
      <w:r>
        <w:rPr>
          <w:rFonts w:eastAsia="黑体"/>
          <w:bCs/>
        </w:rPr>
        <w:t xml:space="preserve">  </w:t>
      </w:r>
      <w:r>
        <w:rPr>
          <w:rFonts w:ascii="Times New Roman" w:hAnsi="Times New Roman" w:cs="Times New Roman"/>
          <w:kern w:val="0"/>
        </w:rPr>
        <w:t>属一部分石油轻馏分的泛称；用途不同，各种馏程亦不同。馏程自初馏点至220℃左右，主要用作重整和化工原料；70</w:t>
      </w:r>
      <w:r>
        <w:rPr>
          <w:rFonts w:hint="eastAsia" w:ascii="Times New Roman" w:hAnsi="Times New Roman" w:cs="Times New Roman"/>
          <w:kern w:val="0"/>
        </w:rPr>
        <w:t>-</w:t>
      </w:r>
      <w:r>
        <w:rPr>
          <w:rFonts w:ascii="Times New Roman" w:hAnsi="Times New Roman" w:cs="Times New Roman"/>
          <w:kern w:val="0"/>
        </w:rPr>
        <w:t>145℃馏分，称轻石脑油，生产芳烃的重整原料；70</w:t>
      </w:r>
      <w:r>
        <w:rPr>
          <w:rFonts w:hint="eastAsia" w:ascii="Times New Roman" w:hAnsi="Times New Roman" w:cs="Times New Roman"/>
          <w:kern w:val="0"/>
        </w:rPr>
        <w:t>-</w:t>
      </w:r>
      <w:r>
        <w:rPr>
          <w:rFonts w:ascii="Times New Roman" w:hAnsi="Times New Roman" w:cs="Times New Roman"/>
          <w:kern w:val="0"/>
        </w:rPr>
        <w:t>180℃馏分，称重石脑油，用作生产高辛烷值汽油。用作溶剂时，称作溶剂石脑油；来自煤焦油的芳香族溶剂油也称作重石脑油或溶剂石脑油。</w:t>
      </w:r>
    </w:p>
    <w:p w14:paraId="6AD28F32">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溶剂油</w:t>
      </w:r>
      <w:r>
        <w:rPr>
          <w:rFonts w:eastAsia="黑体"/>
          <w:bCs/>
        </w:rPr>
        <w:t xml:space="preserve">  </w:t>
      </w:r>
      <w:r>
        <w:rPr>
          <w:rFonts w:ascii="Times New Roman" w:hAnsi="Times New Roman" w:cs="Times New Roman"/>
          <w:kern w:val="0"/>
        </w:rPr>
        <w:t>指以蒸馏装置的直馏汽油组分或催化重整的抽余油为原料，经精制、分馏而制成，按馏分不同分为以下不同牌号：6号抽提溶剂油，用于植物油萃取工艺中作抽提溶剂，也可作合成橡胶工艺中的溶剂、化学试剂、化学溶剂等；70号溶剂油，别名香花溶剂油，用于香花香料及油脂工业作抽提剂；90号溶剂油，别名90号石油醚，用于化学试剂、医药溶剂；120号橡胶溶剂油，用于橡胶工业作溶剂；190号溶剂油，用于机械零件洗涤和工农业生产作溶剂；200号溶剂油，用作油漆工业溶剂和稀释剂；260号溶剂油，为煤油型特种溶剂；300号彩色油墨溶剂油，用于制造高档油墨；航空洗涤油，用于航空机件等精密机件的洗涤，也用作航空涡轮发电机点火燃料。</w:t>
      </w:r>
    </w:p>
    <w:p w14:paraId="56388AB8">
      <w:pPr>
        <w:adjustRightInd w:val="0"/>
        <w:spacing w:line="360" w:lineRule="exact"/>
        <w:ind w:firstLine="420" w:firstLineChars="200"/>
        <w:textAlignment w:val="center"/>
        <w:rPr>
          <w:szCs w:val="21"/>
        </w:rPr>
      </w:pPr>
      <w:r>
        <w:rPr>
          <w:rFonts w:eastAsia="黑体"/>
          <w:szCs w:val="21"/>
        </w:rPr>
        <w:t>石蜡</w:t>
      </w:r>
      <w:r>
        <w:rPr>
          <w:rFonts w:eastAsia="黑体"/>
          <w:bCs/>
          <w:szCs w:val="21"/>
        </w:rPr>
        <w:t xml:space="preserve">  </w:t>
      </w:r>
      <w:r>
        <w:rPr>
          <w:szCs w:val="21"/>
        </w:rPr>
        <w:t>指从石油、页岩油或其他沥青矿物油的某些馏出物中提取出来的烃类混合物，主要成分是固体烷烃，无臭无味，为白色或淡黄色半透明固体。</w:t>
      </w:r>
    </w:p>
    <w:p w14:paraId="3A490EE4">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石油焦</w:t>
      </w:r>
      <w:r>
        <w:rPr>
          <w:rFonts w:eastAsia="黑体"/>
          <w:bCs/>
        </w:rPr>
        <w:t xml:space="preserve">  </w:t>
      </w:r>
      <w:r>
        <w:rPr>
          <w:rFonts w:ascii="Times New Roman" w:hAnsi="Times New Roman" w:cs="Times New Roman"/>
          <w:kern w:val="0"/>
        </w:rPr>
        <w:t>指以原油经常减压装置蒸馏所得的渣油或以重油为原料，经焦化装置生产。产品按用途分为三个牌号，每个牌号按质量分为A、B两类，牌号有1#A、1#B、2#A、2#B、3#A、3#B石油焦等。主要用于制造石墨电极、碳素、碳化硅、碳化钙等产品的原料，也可直接用于冶炼、铸煅工艺作燃料。</w:t>
      </w:r>
    </w:p>
    <w:p w14:paraId="7B92D103">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石油沥青</w:t>
      </w:r>
      <w:r>
        <w:rPr>
          <w:rFonts w:eastAsia="黑体"/>
          <w:bCs/>
        </w:rPr>
        <w:t xml:space="preserve">  </w:t>
      </w:r>
      <w:r>
        <w:rPr>
          <w:rFonts w:ascii="Times New Roman" w:hAnsi="Times New Roman" w:cs="Times New Roman"/>
          <w:kern w:val="0"/>
        </w:rPr>
        <w:t>指由原油经常减压装置蒸馏直接获得的渣油制品，也可以用减压渣油为原料经氧化，溶剂脱出的沥青再经适度氧化或调合而成。是来自原油中的最重的组分，是高度缩合的多环烃类混合物，具有良好的</w:t>
      </w:r>
      <w:r>
        <w:rPr>
          <w:rFonts w:hint="eastAsia" w:ascii="Times New Roman" w:hAnsi="Times New Roman" w:cs="Times New Roman"/>
          <w:kern w:val="0"/>
          <w:lang w:eastAsia="zh-CN"/>
        </w:rPr>
        <w:t>黏</w:t>
      </w:r>
      <w:r>
        <w:rPr>
          <w:rFonts w:ascii="Times New Roman" w:hAnsi="Times New Roman" w:cs="Times New Roman"/>
          <w:kern w:val="0"/>
        </w:rPr>
        <w:t>结性、绝缘性、不渗水性，并能抵抗许多化学药物的侵蚀，广泛用于道路工程、建筑工程、水利工程、防护涂料以及保持水土、改良土壤等领域。沥青性能主要是以软化点、针入度、延伸度来表示的。软化点表示沥青的耐热性能，软化点越高则耐热性能越好。针入度反映沥青的流变性能，为使道路沥青与砂石</w:t>
      </w:r>
      <w:r>
        <w:rPr>
          <w:rFonts w:hint="eastAsia" w:ascii="Times New Roman" w:hAnsi="Times New Roman" w:cs="Times New Roman"/>
          <w:kern w:val="0"/>
          <w:lang w:eastAsia="zh-CN"/>
        </w:rPr>
        <w:t>黏</w:t>
      </w:r>
      <w:r>
        <w:rPr>
          <w:rFonts w:ascii="Times New Roman" w:hAnsi="Times New Roman" w:cs="Times New Roman"/>
          <w:kern w:val="0"/>
        </w:rPr>
        <w:t>结紧密，需要高针入度的沥青；而作为防腐用的专用沥青，则需要低针入度的沥青，防止流失。延伸度表示沥青的抗张性和可塑性，道路沥青要求的延伸度最高，是为了保证在低温下路面不致受车辆碾压而出现裂缝。沥青按用途可分为普通沥青、道路沥青、建筑沥青、专用沥青，其中以道路沥青的用量最大。</w:t>
      </w:r>
    </w:p>
    <w:p w14:paraId="1FC7C2EE">
      <w:pPr>
        <w:pStyle w:val="10"/>
        <w:adjustRightInd w:val="0"/>
        <w:spacing w:line="360" w:lineRule="exact"/>
        <w:ind w:firstLine="420" w:firstLineChars="200"/>
        <w:textAlignment w:val="center"/>
        <w:rPr>
          <w:rFonts w:ascii="Times New Roman" w:hAnsi="Times New Roman" w:eastAsia="黑体"/>
        </w:rPr>
      </w:pPr>
      <w:r>
        <w:rPr>
          <w:rFonts w:ascii="Times New Roman" w:hAnsi="Times New Roman" w:eastAsia="黑体"/>
        </w:rPr>
        <w:t xml:space="preserve">燃料气 </w:t>
      </w:r>
      <w:r>
        <w:rPr>
          <w:rFonts w:eastAsia="黑体"/>
          <w:bCs/>
        </w:rPr>
        <w:t xml:space="preserve"> </w:t>
      </w:r>
      <w:r>
        <w:rPr>
          <w:rFonts w:hint="eastAsia" w:hAnsi="宋体" w:cs="宋体"/>
          <w:kern w:val="0"/>
        </w:rPr>
        <w:t>指</w:t>
      </w:r>
      <w:r>
        <w:rPr>
          <w:rFonts w:hAnsi="宋体" w:cs="宋体"/>
          <w:kern w:val="0"/>
        </w:rPr>
        <w:t>炼油厂在进行原油催化裂解与热裂解时所得到的</w:t>
      </w:r>
      <w:r>
        <w:rPr>
          <w:rFonts w:hint="eastAsia" w:hAnsi="宋体" w:cs="宋体"/>
          <w:kern w:val="0"/>
        </w:rPr>
        <w:t>气体及</w:t>
      </w:r>
      <w:r>
        <w:rPr>
          <w:rFonts w:hAnsi="宋体" w:cs="宋体"/>
          <w:kern w:val="0"/>
        </w:rPr>
        <w:t>由气体</w:t>
      </w:r>
      <w:r>
        <w:rPr>
          <w:rFonts w:hint="eastAsia" w:hAnsi="宋体" w:cs="宋体"/>
          <w:kern w:val="0"/>
        </w:rPr>
        <w:t>加压</w:t>
      </w:r>
      <w:r>
        <w:rPr>
          <w:rFonts w:hAnsi="宋体" w:cs="宋体"/>
          <w:kern w:val="0"/>
        </w:rPr>
        <w:t>液化而成的</w:t>
      </w:r>
      <w:r>
        <w:rPr>
          <w:rFonts w:hint="eastAsia" w:hAnsi="宋体" w:cs="宋体"/>
          <w:kern w:val="0"/>
        </w:rPr>
        <w:t>液态</w:t>
      </w:r>
      <w:r>
        <w:rPr>
          <w:rFonts w:hAnsi="宋体" w:cs="宋体"/>
          <w:kern w:val="0"/>
        </w:rPr>
        <w:t>产品</w:t>
      </w:r>
      <w:r>
        <w:fldChar w:fldCharType="begin"/>
      </w:r>
      <w:r>
        <w:instrText xml:space="preserve"> HYPERLINK "https://baike.baidu.com/item/%E5%89%AF%E4%BA%A7%E5%93%81" \t "_blank" </w:instrText>
      </w:r>
      <w:r>
        <w:fldChar w:fldCharType="separate"/>
      </w:r>
      <w:r>
        <w:fldChar w:fldCharType="end"/>
      </w:r>
      <w:r>
        <w:rPr>
          <w:rFonts w:hint="eastAsia" w:hAnsi="宋体" w:cs="宋体"/>
          <w:kern w:val="0"/>
        </w:rPr>
        <w:t>，包括液化石油气、炼厂干气等。</w:t>
      </w:r>
    </w:p>
    <w:p w14:paraId="38D933A4">
      <w:pPr>
        <w:pStyle w:val="10"/>
        <w:adjustRightInd w:val="0"/>
        <w:spacing w:line="360" w:lineRule="exact"/>
        <w:ind w:firstLine="420" w:firstLineChars="200"/>
        <w:textAlignment w:val="center"/>
        <w:rPr>
          <w:rFonts w:ascii="Times New Roman" w:hAnsi="Times New Roman"/>
          <w:kern w:val="0"/>
        </w:rPr>
      </w:pPr>
      <w:r>
        <w:rPr>
          <w:rFonts w:ascii="Times New Roman" w:hAnsi="Times New Roman" w:eastAsia="黑体"/>
        </w:rPr>
        <w:t>液化石油气</w:t>
      </w:r>
      <w:r>
        <w:rPr>
          <w:rFonts w:eastAsia="黑体"/>
          <w:bCs/>
        </w:rPr>
        <w:t xml:space="preserve">  </w:t>
      </w:r>
      <w:r>
        <w:rPr>
          <w:rFonts w:ascii="Times New Roman" w:hAnsi="Times New Roman"/>
          <w:kern w:val="0"/>
        </w:rPr>
        <w:t>亦称液化气或压缩汽油，是炼油精制过程中产生并回收的气体在常温下经加压而成的液态产品。主要成分是丙烷、丁烷、丙烯、丁烯，主要用作石油化工原料，脱硫后可直接用作燃料。</w:t>
      </w:r>
    </w:p>
    <w:p w14:paraId="6A9D8A3A">
      <w:pPr>
        <w:adjustRightInd w:val="0"/>
        <w:spacing w:line="360" w:lineRule="exact"/>
        <w:ind w:firstLine="420" w:firstLineChars="200"/>
        <w:textAlignment w:val="center"/>
        <w:rPr>
          <w:kern w:val="0"/>
          <w:szCs w:val="21"/>
        </w:rPr>
      </w:pPr>
      <w:r>
        <w:rPr>
          <w:rFonts w:eastAsia="黑体" w:cs="Courier New"/>
          <w:szCs w:val="21"/>
        </w:rPr>
        <w:t>炼厂干气</w:t>
      </w:r>
      <w:r>
        <w:rPr>
          <w:rFonts w:eastAsia="黑体"/>
          <w:bCs/>
          <w:szCs w:val="21"/>
        </w:rPr>
        <w:t xml:space="preserve">  </w:t>
      </w:r>
      <w:r>
        <w:rPr>
          <w:rFonts w:ascii="宋体" w:hAnsi="宋体" w:cs="宋体"/>
          <w:kern w:val="0"/>
          <w:szCs w:val="21"/>
        </w:rPr>
        <w:t>指炼油厂炼油过程中产生并回收的非冷凝气体（也称蒸馏气），主要成分为乙烯、丙烯和甲烷、乙烷、丙烷、丁烷等，主要用作燃料和化工原料。</w:t>
      </w:r>
    </w:p>
    <w:p w14:paraId="32C5AC14">
      <w:pPr>
        <w:adjustRightInd w:val="0"/>
        <w:spacing w:line="360" w:lineRule="exact"/>
        <w:ind w:firstLine="420" w:firstLineChars="200"/>
        <w:textAlignment w:val="center"/>
        <w:rPr>
          <w:szCs w:val="21"/>
        </w:rPr>
      </w:pPr>
      <w:r>
        <w:rPr>
          <w:rFonts w:eastAsia="黑体"/>
          <w:szCs w:val="21"/>
        </w:rPr>
        <w:t>其他石油制品</w:t>
      </w:r>
      <w:r>
        <w:rPr>
          <w:rFonts w:eastAsia="黑体"/>
          <w:bCs/>
          <w:szCs w:val="21"/>
        </w:rPr>
        <w:t xml:space="preserve">  </w:t>
      </w:r>
      <w:r>
        <w:rPr>
          <w:kern w:val="0"/>
          <w:szCs w:val="21"/>
        </w:rPr>
        <w:t>指石油加工过程中除汽油、煤油、柴油、燃料油、液化石油气、炼厂干气、石脑油、润滑油、石蜡、溶剂油、石油焦、石油沥青以外的其他炼油产品。石油制品很多，目录中只列出了上述主要品种，统计时为了简化，把除这些主要品种以外的其他石油产品归并在</w:t>
      </w:r>
      <w:r>
        <w:rPr>
          <w:rFonts w:hint="eastAsia"/>
          <w:kern w:val="0"/>
          <w:szCs w:val="21"/>
          <w:lang w:eastAsia="zh-CN"/>
        </w:rPr>
        <w:t>“</w:t>
      </w:r>
      <w:r>
        <w:rPr>
          <w:kern w:val="0"/>
          <w:szCs w:val="21"/>
        </w:rPr>
        <w:t>其他石油制品</w:t>
      </w:r>
      <w:r>
        <w:rPr>
          <w:rFonts w:hint="eastAsia"/>
          <w:kern w:val="0"/>
          <w:szCs w:val="21"/>
          <w:lang w:eastAsia="zh-CN"/>
        </w:rPr>
        <w:t>”</w:t>
      </w:r>
      <w:r>
        <w:rPr>
          <w:kern w:val="0"/>
          <w:szCs w:val="21"/>
        </w:rPr>
        <w:t>一个目录下一起填报。</w:t>
      </w:r>
    </w:p>
    <w:p w14:paraId="42A7601E">
      <w:pPr>
        <w:pStyle w:val="10"/>
        <w:adjustRightInd w:val="0"/>
        <w:spacing w:line="360" w:lineRule="exact"/>
        <w:ind w:firstLine="420" w:firstLineChars="200"/>
        <w:textAlignment w:val="center"/>
        <w:rPr>
          <w:rFonts w:hAnsi="宋体" w:cs="宋体"/>
          <w:kern w:val="0"/>
        </w:rPr>
      </w:pPr>
      <w:r>
        <w:rPr>
          <w:rFonts w:hint="eastAsia" w:ascii="Times New Roman" w:hAnsi="Times New Roman" w:eastAsia="黑体"/>
        </w:rPr>
        <w:t>生物质</w:t>
      </w:r>
      <w:r>
        <w:rPr>
          <w:rFonts w:ascii="Times New Roman" w:hAnsi="Times New Roman" w:eastAsia="黑体"/>
        </w:rPr>
        <w:t>能</w:t>
      </w:r>
      <w:r>
        <w:rPr>
          <w:rFonts w:eastAsia="黑体"/>
          <w:bCs/>
        </w:rPr>
        <w:t xml:space="preserve">  </w:t>
      </w:r>
      <w:r>
        <w:rPr>
          <w:rFonts w:hint="eastAsia" w:ascii="Times New Roman" w:hAnsi="Times New Roman" w:eastAsia="宋体" w:cs="Times New Roman"/>
          <w:bCs w:val="0"/>
          <w:kern w:val="0"/>
          <w:lang w:eastAsia="zh-CN"/>
        </w:rPr>
        <w:t>指</w:t>
      </w:r>
      <w:r>
        <w:rPr>
          <w:rFonts w:hint="eastAsia" w:ascii="Times New Roman" w:hAnsi="Times New Roman" w:cs="Times New Roman"/>
          <w:kern w:val="0"/>
        </w:rPr>
        <w:t>利用自然界的植物和城乡有机废物通过生物、化学或者物理过程转化成的能源</w:t>
      </w:r>
      <w:r>
        <w:rPr>
          <w:rFonts w:ascii="Times New Roman" w:hAnsi="Times New Roman" w:cs="Times New Roman"/>
          <w:kern w:val="0"/>
          <w:szCs w:val="21"/>
        </w:rPr>
        <w:t>。</w:t>
      </w:r>
    </w:p>
    <w:p w14:paraId="6F98F019">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固态生物燃料</w:t>
      </w:r>
      <w:r>
        <w:rPr>
          <w:rFonts w:eastAsia="黑体"/>
          <w:bCs/>
        </w:rPr>
        <w:t xml:space="preserve">  </w:t>
      </w:r>
      <w:r>
        <w:rPr>
          <w:rFonts w:hint="eastAsia" w:hAnsi="宋体" w:cs="宋体"/>
          <w:kern w:val="0"/>
        </w:rPr>
        <w:t>指</w:t>
      </w:r>
      <w:r>
        <w:rPr>
          <w:rFonts w:hAnsi="宋体" w:cs="宋体"/>
          <w:kern w:val="0"/>
        </w:rPr>
        <w:t>来源于生物质的固态燃料，</w:t>
      </w:r>
      <w:r>
        <w:rPr>
          <w:rFonts w:hint="eastAsia" w:hAnsi="宋体" w:cs="宋体"/>
          <w:kern w:val="0"/>
        </w:rPr>
        <w:t>包括薪柴、木材残渣</w:t>
      </w:r>
      <w:r>
        <w:rPr>
          <w:rFonts w:hAnsi="宋体" w:cs="宋体"/>
          <w:kern w:val="0"/>
        </w:rPr>
        <w:t>、</w:t>
      </w:r>
      <w:r>
        <w:rPr>
          <w:rFonts w:hint="eastAsia" w:hAnsi="宋体" w:cs="宋体"/>
          <w:kern w:val="0"/>
        </w:rPr>
        <w:t>动物废料、植物材料、木炭等。</w:t>
      </w:r>
    </w:p>
    <w:p w14:paraId="39732D97">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液态生物燃料</w:t>
      </w:r>
      <w:r>
        <w:rPr>
          <w:rFonts w:eastAsia="黑体"/>
          <w:bCs/>
        </w:rPr>
        <w:t xml:space="preserve">  </w:t>
      </w:r>
      <w:r>
        <w:rPr>
          <w:rFonts w:hint="eastAsia" w:hAnsi="宋体" w:cs="宋体"/>
          <w:kern w:val="0"/>
        </w:rPr>
        <w:t>指由以</w:t>
      </w:r>
      <w:r>
        <w:rPr>
          <w:rFonts w:hAnsi="宋体" w:cs="宋体"/>
          <w:kern w:val="0"/>
        </w:rPr>
        <w:t>生物质</w:t>
      </w:r>
      <w:r>
        <w:rPr>
          <w:rFonts w:hint="eastAsia" w:hAnsi="宋体" w:cs="宋体"/>
          <w:kern w:val="0"/>
        </w:rPr>
        <w:t>为</w:t>
      </w:r>
      <w:r>
        <w:rPr>
          <w:rFonts w:hAnsi="宋体" w:cs="宋体"/>
          <w:kern w:val="0"/>
        </w:rPr>
        <w:t>原料</w:t>
      </w:r>
      <w:r>
        <w:rPr>
          <w:rFonts w:hint="eastAsia" w:hAnsi="宋体" w:cs="宋体"/>
          <w:kern w:val="0"/>
        </w:rPr>
        <w:t>加工</w:t>
      </w:r>
      <w:r>
        <w:rPr>
          <w:rFonts w:hAnsi="宋体" w:cs="宋体"/>
          <w:kern w:val="0"/>
        </w:rPr>
        <w:t>转换得到的</w:t>
      </w:r>
      <w:r>
        <w:rPr>
          <w:rFonts w:hint="eastAsia" w:hAnsi="宋体" w:cs="宋体"/>
          <w:kern w:val="0"/>
        </w:rPr>
        <w:t>液态</w:t>
      </w:r>
      <w:r>
        <w:rPr>
          <w:rFonts w:hAnsi="宋体" w:cs="宋体"/>
          <w:kern w:val="0"/>
        </w:rPr>
        <w:t>燃料</w:t>
      </w:r>
      <w:r>
        <w:rPr>
          <w:rFonts w:hint="eastAsia" w:hAnsi="宋体" w:cs="宋体"/>
          <w:kern w:val="0"/>
        </w:rPr>
        <w:t>。</w:t>
      </w:r>
    </w:p>
    <w:p w14:paraId="7A611FCF">
      <w:pPr>
        <w:adjustRightInd w:val="0"/>
        <w:spacing w:line="360" w:lineRule="exact"/>
        <w:ind w:firstLine="420" w:firstLineChars="200"/>
        <w:textAlignment w:val="center"/>
        <w:rPr>
          <w:kern w:val="0"/>
          <w:szCs w:val="21"/>
        </w:rPr>
      </w:pPr>
      <w:r>
        <w:rPr>
          <w:rFonts w:eastAsia="黑体"/>
          <w:szCs w:val="21"/>
        </w:rPr>
        <w:t>生物乙醇</w:t>
      </w:r>
      <w:r>
        <w:rPr>
          <w:rFonts w:eastAsia="黑体"/>
          <w:bCs/>
          <w:szCs w:val="21"/>
        </w:rPr>
        <w:t xml:space="preserve">  </w:t>
      </w:r>
      <w:r>
        <w:rPr>
          <w:kern w:val="0"/>
          <w:szCs w:val="21"/>
        </w:rPr>
        <w:t>指以淀粉质、糖质为原料，经发酵、蒸馏制得乙醇，脱水后，再添加变性剂（车用无铅汽油）变性的燃料乙醇，也称为变性燃料乙醇。</w:t>
      </w:r>
    </w:p>
    <w:p w14:paraId="01876080">
      <w:pPr>
        <w:adjustRightInd w:val="0"/>
        <w:spacing w:line="360" w:lineRule="exact"/>
        <w:ind w:firstLine="420" w:firstLineChars="200"/>
        <w:textAlignment w:val="center"/>
        <w:rPr>
          <w:spacing w:val="4"/>
          <w:kern w:val="0"/>
          <w:szCs w:val="21"/>
        </w:rPr>
      </w:pPr>
      <w:r>
        <w:rPr>
          <w:rFonts w:eastAsia="黑体"/>
          <w:szCs w:val="21"/>
        </w:rPr>
        <w:t>生物</w:t>
      </w:r>
      <w:r>
        <w:rPr>
          <w:szCs w:val="21"/>
        </w:rPr>
        <w:fldChar w:fldCharType="begin"/>
      </w:r>
      <w:r>
        <w:rPr>
          <w:szCs w:val="21"/>
        </w:rPr>
        <w:instrText xml:space="preserve"> HYPERLINK "http://baike.baidu.com/view/70396.htm" \t "_blank" </w:instrText>
      </w:r>
      <w:r>
        <w:rPr>
          <w:szCs w:val="21"/>
        </w:rPr>
        <w:fldChar w:fldCharType="separate"/>
      </w:r>
      <w:r>
        <w:rPr>
          <w:rFonts w:eastAsia="黑体"/>
          <w:szCs w:val="21"/>
        </w:rPr>
        <w:t>柴油</w:t>
      </w:r>
      <w:r>
        <w:rPr>
          <w:rFonts w:eastAsia="黑体"/>
          <w:szCs w:val="21"/>
        </w:rPr>
        <w:fldChar w:fldCharType="end"/>
      </w:r>
      <w:r>
        <w:rPr>
          <w:rFonts w:eastAsia="黑体"/>
          <w:bCs/>
          <w:szCs w:val="21"/>
        </w:rPr>
        <w:t xml:space="preserve">  </w:t>
      </w:r>
      <w:r>
        <w:rPr>
          <w:spacing w:val="4"/>
          <w:kern w:val="0"/>
          <w:szCs w:val="21"/>
        </w:rPr>
        <w:t>指以油料作物如大豆、油菜、棉、棕榈等，野生油料植物和工程</w:t>
      </w:r>
      <w:r>
        <w:rPr>
          <w:szCs w:val="21"/>
        </w:rPr>
        <w:fldChar w:fldCharType="begin"/>
      </w:r>
      <w:r>
        <w:rPr>
          <w:szCs w:val="21"/>
        </w:rPr>
        <w:instrText xml:space="preserve"> HYPERLINK "http://baike.baidu.com/view/1115476.htm" \t "_blank" </w:instrText>
      </w:r>
      <w:r>
        <w:rPr>
          <w:szCs w:val="21"/>
        </w:rPr>
        <w:fldChar w:fldCharType="separate"/>
      </w:r>
      <w:r>
        <w:rPr>
          <w:spacing w:val="4"/>
          <w:kern w:val="0"/>
          <w:szCs w:val="21"/>
        </w:rPr>
        <w:t>微藻</w:t>
      </w:r>
      <w:r>
        <w:rPr>
          <w:spacing w:val="4"/>
          <w:kern w:val="0"/>
          <w:szCs w:val="21"/>
        </w:rPr>
        <w:fldChar w:fldCharType="end"/>
      </w:r>
      <w:r>
        <w:rPr>
          <w:spacing w:val="4"/>
          <w:kern w:val="0"/>
          <w:szCs w:val="21"/>
        </w:rPr>
        <w:t>等水生植物油脂以及动物油脂、</w:t>
      </w:r>
      <w:r>
        <w:rPr>
          <w:szCs w:val="21"/>
        </w:rPr>
        <w:fldChar w:fldCharType="begin"/>
      </w:r>
      <w:r>
        <w:rPr>
          <w:szCs w:val="21"/>
        </w:rPr>
        <w:instrText xml:space="preserve"> HYPERLINK "http://baike.baidu.com/view/4515328.htm" \t "_blank" </w:instrText>
      </w:r>
      <w:r>
        <w:rPr>
          <w:szCs w:val="21"/>
        </w:rPr>
        <w:fldChar w:fldCharType="separate"/>
      </w:r>
      <w:r>
        <w:rPr>
          <w:spacing w:val="4"/>
          <w:kern w:val="0"/>
          <w:szCs w:val="21"/>
        </w:rPr>
        <w:t>餐饮垃圾</w:t>
      </w:r>
      <w:r>
        <w:rPr>
          <w:spacing w:val="4"/>
          <w:kern w:val="0"/>
          <w:szCs w:val="21"/>
        </w:rPr>
        <w:fldChar w:fldCharType="end"/>
      </w:r>
      <w:r>
        <w:rPr>
          <w:spacing w:val="4"/>
          <w:kern w:val="0"/>
          <w:szCs w:val="21"/>
        </w:rPr>
        <w:t>油等为原料油通过酯交换或热化学工艺制成的可代替石化柴油的再生性柴油燃料。</w:t>
      </w:r>
    </w:p>
    <w:p w14:paraId="090CEEFF">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生物航空煤油</w:t>
      </w:r>
      <w:r>
        <w:rPr>
          <w:rFonts w:eastAsia="黑体"/>
          <w:bCs/>
        </w:rPr>
        <w:t xml:space="preserve">  </w:t>
      </w:r>
      <w:r>
        <w:rPr>
          <w:rFonts w:hint="eastAsia" w:hAnsi="宋体" w:cs="宋体"/>
          <w:kern w:val="0"/>
        </w:rPr>
        <w:t>指</w:t>
      </w:r>
      <w:r>
        <w:rPr>
          <w:rFonts w:hAnsi="宋体" w:cs="宋体"/>
          <w:kern w:val="0"/>
        </w:rPr>
        <w:t>以废弃动植物油脂</w:t>
      </w:r>
      <w:r>
        <w:rPr>
          <w:rFonts w:hint="eastAsia" w:hAnsi="宋体" w:cs="宋体"/>
          <w:kern w:val="0"/>
        </w:rPr>
        <w:t>（地沟油）</w:t>
      </w:r>
      <w:r>
        <w:rPr>
          <w:rFonts w:hAnsi="宋体" w:cs="宋体"/>
          <w:kern w:val="0"/>
        </w:rPr>
        <w:t>、农林废弃物、油藻</w:t>
      </w:r>
      <w:r>
        <w:rPr>
          <w:rFonts w:hint="eastAsia" w:hAnsi="宋体" w:cs="宋体"/>
          <w:kern w:val="0"/>
        </w:rPr>
        <w:t>、</w:t>
      </w:r>
      <w:r>
        <w:rPr>
          <w:rFonts w:hAnsi="宋体" w:cs="宋体"/>
          <w:kern w:val="0"/>
        </w:rPr>
        <w:t>棕榈油</w:t>
      </w:r>
      <w:r>
        <w:rPr>
          <w:rFonts w:hint="eastAsia" w:hAnsi="宋体" w:cs="宋体"/>
          <w:kern w:val="0"/>
        </w:rPr>
        <w:t>等</w:t>
      </w:r>
      <w:r>
        <w:rPr>
          <w:rFonts w:hAnsi="宋体" w:cs="宋体"/>
          <w:kern w:val="0"/>
        </w:rPr>
        <w:t>为原料</w:t>
      </w:r>
      <w:r>
        <w:rPr>
          <w:rFonts w:hint="eastAsia" w:hAnsi="宋体" w:cs="宋体"/>
          <w:kern w:val="0"/>
        </w:rPr>
        <w:t>通过加氢、</w:t>
      </w:r>
      <w:r>
        <w:rPr>
          <w:rFonts w:hAnsi="宋体" w:cs="宋体"/>
          <w:kern w:val="0"/>
        </w:rPr>
        <w:t>催化等</w:t>
      </w:r>
      <w:r>
        <w:rPr>
          <w:rFonts w:hint="eastAsia" w:hAnsi="宋体" w:cs="宋体"/>
          <w:kern w:val="0"/>
        </w:rPr>
        <w:t>工艺</w:t>
      </w:r>
      <w:r>
        <w:rPr>
          <w:rFonts w:hAnsi="宋体" w:cs="宋体"/>
          <w:kern w:val="0"/>
        </w:rPr>
        <w:t>加工得到的航空煤油。</w:t>
      </w:r>
    </w:p>
    <w:p w14:paraId="7991548C">
      <w:pPr>
        <w:pStyle w:val="10"/>
        <w:adjustRightInd w:val="0"/>
        <w:spacing w:line="360" w:lineRule="exact"/>
        <w:ind w:firstLine="420" w:firstLineChars="200"/>
        <w:textAlignment w:val="center"/>
        <w:rPr>
          <w:rFonts w:ascii="Times New Roman" w:hAnsi="Times New Roman" w:eastAsia="黑体"/>
        </w:rPr>
      </w:pPr>
      <w:r>
        <w:rPr>
          <w:rFonts w:ascii="Times New Roman" w:hAnsi="Times New Roman" w:eastAsia="黑体"/>
        </w:rPr>
        <w:t>其他液态生物燃料</w:t>
      </w:r>
      <w:r>
        <w:rPr>
          <w:rFonts w:eastAsia="黑体"/>
          <w:bCs/>
        </w:rPr>
        <w:t xml:space="preserve">  </w:t>
      </w:r>
      <w:r>
        <w:rPr>
          <w:rFonts w:hint="eastAsia" w:hAnsi="宋体" w:cs="宋体"/>
          <w:kern w:val="0"/>
        </w:rPr>
        <w:t>不属于</w:t>
      </w:r>
      <w:r>
        <w:rPr>
          <w:rFonts w:hAnsi="宋体" w:cs="宋体"/>
          <w:kern w:val="0"/>
        </w:rPr>
        <w:t>上述</w:t>
      </w:r>
      <w:r>
        <w:rPr>
          <w:rFonts w:hint="eastAsia" w:hAnsi="宋体" w:cs="宋体"/>
          <w:kern w:val="0"/>
        </w:rPr>
        <w:t>燃料的其他液态</w:t>
      </w:r>
      <w:r>
        <w:rPr>
          <w:rFonts w:hAnsi="宋体" w:cs="宋体"/>
          <w:kern w:val="0"/>
        </w:rPr>
        <w:t>生物燃料</w:t>
      </w:r>
      <w:r>
        <w:rPr>
          <w:rFonts w:hint="eastAsia" w:hAnsi="宋体" w:cs="宋体"/>
          <w:kern w:val="0"/>
        </w:rPr>
        <w:t>。</w:t>
      </w:r>
    </w:p>
    <w:p w14:paraId="4E6C4CED">
      <w:pPr>
        <w:pStyle w:val="10"/>
        <w:adjustRightInd w:val="0"/>
        <w:spacing w:line="360" w:lineRule="exact"/>
        <w:ind w:firstLine="420" w:firstLineChars="200"/>
        <w:textAlignment w:val="center"/>
        <w:rPr>
          <w:rFonts w:ascii="Times New Roman" w:hAnsi="Times New Roman" w:eastAsia="黑体"/>
        </w:rPr>
      </w:pPr>
      <w:r>
        <w:rPr>
          <w:rFonts w:ascii="Times New Roman" w:hAnsi="Times New Roman" w:eastAsia="黑体"/>
        </w:rPr>
        <w:t>气态生物燃料</w:t>
      </w:r>
      <w:r>
        <w:rPr>
          <w:rFonts w:eastAsia="黑体"/>
          <w:bCs/>
        </w:rPr>
        <w:t xml:space="preserve">  </w:t>
      </w:r>
      <w:r>
        <w:rPr>
          <w:rFonts w:hint="eastAsia" w:hAnsi="宋体" w:cs="宋体"/>
          <w:kern w:val="0"/>
        </w:rPr>
        <w:t>指由</w:t>
      </w:r>
      <w:r>
        <w:rPr>
          <w:rFonts w:hAnsi="宋体" w:cs="宋体"/>
          <w:kern w:val="0"/>
        </w:rPr>
        <w:t>生物质厌氧发酵</w:t>
      </w:r>
      <w:r>
        <w:rPr>
          <w:rFonts w:hint="eastAsia" w:hAnsi="宋体" w:cs="宋体"/>
          <w:kern w:val="0"/>
        </w:rPr>
        <w:t>或</w:t>
      </w:r>
      <w:r>
        <w:rPr>
          <w:rFonts w:hAnsi="宋体" w:cs="宋体"/>
          <w:kern w:val="0"/>
        </w:rPr>
        <w:t>固态生物质气化得到的</w:t>
      </w:r>
      <w:r>
        <w:rPr>
          <w:rFonts w:hint="eastAsia" w:hAnsi="宋体" w:cs="宋体"/>
          <w:kern w:val="0"/>
        </w:rPr>
        <w:t>气体。</w:t>
      </w:r>
      <w:r>
        <w:rPr>
          <w:rFonts w:hAnsi="宋体" w:cs="宋体"/>
          <w:kern w:val="0"/>
        </w:rPr>
        <w:t>厌氧发酵</w:t>
      </w:r>
      <w:r>
        <w:rPr>
          <w:rFonts w:hint="eastAsia" w:hAnsi="宋体" w:cs="宋体"/>
          <w:kern w:val="0"/>
        </w:rPr>
        <w:t>得到</w:t>
      </w:r>
      <w:r>
        <w:rPr>
          <w:rFonts w:hAnsi="宋体" w:cs="宋体"/>
          <w:kern w:val="0"/>
        </w:rPr>
        <w:t>的气态生物燃料主要由甲烷和二氧化碳组成，包括垃圾填埋气体、</w:t>
      </w:r>
      <w:r>
        <w:rPr>
          <w:rFonts w:hint="eastAsia" w:hAnsi="宋体" w:cs="宋体"/>
          <w:kern w:val="0"/>
        </w:rPr>
        <w:t>沼气等</w:t>
      </w:r>
      <w:r>
        <w:rPr>
          <w:rFonts w:hAnsi="宋体" w:cs="宋体"/>
          <w:kern w:val="0"/>
        </w:rPr>
        <w:t>。</w:t>
      </w:r>
      <w:r>
        <w:rPr>
          <w:rFonts w:hint="eastAsia" w:hAnsi="宋体" w:cs="宋体"/>
          <w:kern w:val="0"/>
        </w:rPr>
        <w:t>气态</w:t>
      </w:r>
      <w:r>
        <w:rPr>
          <w:rFonts w:hAnsi="宋体" w:cs="宋体"/>
          <w:kern w:val="0"/>
        </w:rPr>
        <w:t>生物燃料还可以由</w:t>
      </w:r>
      <w:r>
        <w:rPr>
          <w:rFonts w:hint="eastAsia" w:hAnsi="宋体" w:cs="宋体"/>
          <w:kern w:val="0"/>
        </w:rPr>
        <w:t>气化</w:t>
      </w:r>
      <w:r>
        <w:rPr>
          <w:rFonts w:hAnsi="宋体" w:cs="宋体"/>
          <w:kern w:val="0"/>
        </w:rPr>
        <w:t>或热分解生物质得到，得到的气体主要</w:t>
      </w:r>
      <w:r>
        <w:rPr>
          <w:rFonts w:hint="eastAsia" w:hAnsi="宋体" w:cs="宋体"/>
          <w:kern w:val="0"/>
        </w:rPr>
        <w:t>为</w:t>
      </w:r>
      <w:r>
        <w:rPr>
          <w:rFonts w:hAnsi="宋体" w:cs="宋体"/>
          <w:kern w:val="0"/>
        </w:rPr>
        <w:t>氢气、一氧化碳</w:t>
      </w:r>
      <w:r>
        <w:rPr>
          <w:rFonts w:hint="eastAsia" w:hAnsi="宋体" w:cs="宋体"/>
          <w:kern w:val="0"/>
        </w:rPr>
        <w:t>及其他</w:t>
      </w:r>
      <w:r>
        <w:rPr>
          <w:rFonts w:hAnsi="宋体" w:cs="宋体"/>
          <w:kern w:val="0"/>
        </w:rPr>
        <w:t>气体的混合物。</w:t>
      </w:r>
    </w:p>
    <w:p w14:paraId="7F8B05E6">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发电量</w:t>
      </w:r>
      <w:r>
        <w:rPr>
          <w:rFonts w:eastAsia="黑体"/>
          <w:bCs/>
        </w:rPr>
        <w:t xml:space="preserve">  </w:t>
      </w:r>
      <w:r>
        <w:rPr>
          <w:rFonts w:ascii="Times New Roman" w:hAnsi="Times New Roman" w:cs="Times New Roman"/>
          <w:kern w:val="0"/>
        </w:rPr>
        <w:t>指电厂（发电机组）在报告期内生产的电能量。它是发电机组经过对一次能源的加工转换而生产出的有功电能数量，即发电机实际发出的有功功率（千瓦）与发电机实际运行时间的乘积。发电量包括全部电力工业企业、自备电厂的产量。新装发电设备在未正式投入生产以前所发的电量以及发电设备大修或改进后试运转期间所发的电量，凡被本厂或用户利用的，均应计入发电量中，未被利用的，则不应计入。发电量中不包括电动的交直流变换、励磁机和周波变换的电量。</w:t>
      </w:r>
    </w:p>
    <w:p w14:paraId="49F1268D">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火力发电</w:t>
      </w:r>
      <w:r>
        <w:rPr>
          <w:rFonts w:ascii="Times New Roman" w:hAnsi="Times New Roman" w:cs="Times New Roman"/>
          <w:kern w:val="0"/>
        </w:rPr>
        <w:t xml:space="preserve"> 指利用煤炭、燃油、燃气、生物质等燃料燃烧时产生的热能，通过火电动力装置转换成电能的发电方式，包括燃煤发电，燃气发电，燃油发电，余热、余压、余气发电，生物质发电等。</w:t>
      </w:r>
    </w:p>
    <w:p w14:paraId="1CABDBD8">
      <w:pPr>
        <w:adjustRightInd w:val="0"/>
        <w:spacing w:line="360" w:lineRule="exact"/>
        <w:ind w:firstLine="420" w:firstLineChars="200"/>
        <w:textAlignment w:val="center"/>
        <w:rPr>
          <w:kern w:val="0"/>
          <w:szCs w:val="21"/>
        </w:rPr>
      </w:pPr>
      <w:r>
        <w:rPr>
          <w:rFonts w:eastAsia="黑体"/>
          <w:kern w:val="0"/>
          <w:szCs w:val="21"/>
        </w:rPr>
        <w:t>燃煤发电</w:t>
      </w:r>
      <w:r>
        <w:rPr>
          <w:rFonts w:eastAsia="黑体"/>
          <w:bCs/>
          <w:szCs w:val="21"/>
        </w:rPr>
        <w:t xml:space="preserve">  </w:t>
      </w:r>
      <w:r>
        <w:rPr>
          <w:kern w:val="0"/>
          <w:szCs w:val="21"/>
        </w:rPr>
        <w:t>指利用煤炭燃烧时产生的热能，通过火电动力装置转换成电能的发电方式，包括煤矸石发电。</w:t>
      </w:r>
    </w:p>
    <w:p w14:paraId="2509FD7D">
      <w:pPr>
        <w:adjustRightInd w:val="0"/>
        <w:spacing w:line="360" w:lineRule="exact"/>
        <w:ind w:firstLine="420" w:firstLineChars="200"/>
        <w:textAlignment w:val="center"/>
        <w:rPr>
          <w:rFonts w:eastAsia="黑体"/>
          <w:kern w:val="0"/>
          <w:szCs w:val="21"/>
        </w:rPr>
      </w:pPr>
      <w:r>
        <w:rPr>
          <w:rFonts w:eastAsia="黑体"/>
          <w:kern w:val="0"/>
          <w:szCs w:val="21"/>
        </w:rPr>
        <w:t>煤矸石发电</w:t>
      </w:r>
      <w:r>
        <w:rPr>
          <w:rFonts w:eastAsia="黑体"/>
          <w:bCs/>
          <w:szCs w:val="21"/>
        </w:rPr>
        <w:t xml:space="preserve">  </w:t>
      </w:r>
      <w:r>
        <w:rPr>
          <w:kern w:val="0"/>
          <w:szCs w:val="21"/>
        </w:rPr>
        <w:t>指利用采煤和洗煤过程中排放的低热值固体废物（煤矸石）燃烧时产生的热能，通过火电动力装置转换成电能的发电方式。通常需掺烧一定数量的原煤。</w:t>
      </w:r>
    </w:p>
    <w:p w14:paraId="4CE2C6E9">
      <w:pPr>
        <w:adjustRightInd w:val="0"/>
        <w:spacing w:line="360" w:lineRule="exact"/>
        <w:ind w:firstLine="420" w:firstLineChars="200"/>
        <w:textAlignment w:val="center"/>
        <w:rPr>
          <w:kern w:val="0"/>
          <w:szCs w:val="21"/>
        </w:rPr>
      </w:pPr>
      <w:r>
        <w:rPr>
          <w:rFonts w:eastAsia="黑体"/>
          <w:kern w:val="0"/>
          <w:szCs w:val="21"/>
        </w:rPr>
        <w:t>燃气发电</w:t>
      </w:r>
      <w:r>
        <w:rPr>
          <w:rFonts w:eastAsia="黑体"/>
          <w:bCs/>
          <w:szCs w:val="21"/>
        </w:rPr>
        <w:t xml:space="preserve">  </w:t>
      </w:r>
      <w:r>
        <w:rPr>
          <w:kern w:val="0"/>
          <w:szCs w:val="21"/>
        </w:rPr>
        <w:t>指</w:t>
      </w:r>
      <w:r>
        <w:rPr>
          <w:rFonts w:hint="eastAsia"/>
          <w:kern w:val="0"/>
          <w:szCs w:val="21"/>
        </w:rPr>
        <w:t>利用气体燃料如天然气、焦炉煤气、高炉煤气、转炉煤气等，通过燃气轮机转变为机械能，带动发电机发电的发电方式</w:t>
      </w:r>
      <w:r>
        <w:rPr>
          <w:kern w:val="0"/>
          <w:szCs w:val="21"/>
        </w:rPr>
        <w:t>。</w:t>
      </w:r>
    </w:p>
    <w:p w14:paraId="364812D2">
      <w:pPr>
        <w:adjustRightInd w:val="0"/>
        <w:spacing w:line="360" w:lineRule="exact"/>
        <w:ind w:firstLine="420" w:firstLineChars="200"/>
        <w:textAlignment w:val="center"/>
        <w:rPr>
          <w:rFonts w:eastAsia="黑体"/>
          <w:kern w:val="0"/>
          <w:szCs w:val="21"/>
        </w:rPr>
      </w:pPr>
      <w:r>
        <w:rPr>
          <w:rFonts w:eastAsia="黑体"/>
          <w:kern w:val="0"/>
          <w:szCs w:val="21"/>
        </w:rPr>
        <w:t>煤层气发电</w:t>
      </w:r>
      <w:r>
        <w:rPr>
          <w:rFonts w:eastAsia="黑体"/>
          <w:bCs/>
          <w:szCs w:val="21"/>
        </w:rPr>
        <w:t xml:space="preserve">  </w:t>
      </w:r>
      <w:r>
        <w:rPr>
          <w:kern w:val="0"/>
          <w:szCs w:val="21"/>
        </w:rPr>
        <w:t>指利用煤层气燃烧时产生的热能，通过火电动力装置转换成电能的发电方式。</w:t>
      </w:r>
    </w:p>
    <w:p w14:paraId="7A590748">
      <w:pPr>
        <w:adjustRightInd w:val="0"/>
        <w:spacing w:line="360" w:lineRule="exact"/>
        <w:ind w:firstLine="420" w:firstLineChars="200"/>
        <w:textAlignment w:val="center"/>
        <w:rPr>
          <w:kern w:val="0"/>
          <w:szCs w:val="21"/>
        </w:rPr>
      </w:pPr>
      <w:r>
        <w:rPr>
          <w:rFonts w:eastAsia="黑体"/>
          <w:kern w:val="0"/>
          <w:szCs w:val="21"/>
        </w:rPr>
        <w:t>燃油发电</w:t>
      </w:r>
      <w:r>
        <w:rPr>
          <w:rFonts w:eastAsia="黑体"/>
          <w:bCs/>
          <w:szCs w:val="21"/>
        </w:rPr>
        <w:t xml:space="preserve">  </w:t>
      </w:r>
      <w:r>
        <w:rPr>
          <w:kern w:val="0"/>
          <w:szCs w:val="21"/>
        </w:rPr>
        <w:t xml:space="preserve">指将燃油燃烧时产生的热能，通过发电动力装置（电厂锅炉、汽轮机和发电机及其辅助装置等）转换成电能的发电方式。主要包括渣油（重油）发电和柴（汽）油发电。 </w:t>
      </w:r>
    </w:p>
    <w:p w14:paraId="7070D548">
      <w:pPr>
        <w:adjustRightInd w:val="0"/>
        <w:spacing w:line="360" w:lineRule="exact"/>
        <w:ind w:firstLine="420" w:firstLineChars="200"/>
        <w:textAlignment w:val="center"/>
        <w:rPr>
          <w:rFonts w:eastAsia="黑体"/>
          <w:kern w:val="0"/>
          <w:szCs w:val="21"/>
        </w:rPr>
      </w:pPr>
      <w:r>
        <w:rPr>
          <w:rFonts w:eastAsia="黑体"/>
          <w:kern w:val="0"/>
          <w:szCs w:val="21"/>
        </w:rPr>
        <w:t>余热、余压、余气发电</w:t>
      </w:r>
      <w:r>
        <w:rPr>
          <w:rFonts w:eastAsia="黑体"/>
          <w:bCs/>
          <w:szCs w:val="21"/>
        </w:rPr>
        <w:t xml:space="preserve">  </w:t>
      </w:r>
      <w:r>
        <w:rPr>
          <w:kern w:val="0"/>
          <w:szCs w:val="21"/>
        </w:rPr>
        <w:t>指</w:t>
      </w:r>
      <w:r>
        <w:rPr>
          <w:rFonts w:hint="eastAsia"/>
          <w:kern w:val="0"/>
          <w:szCs w:val="21"/>
        </w:rPr>
        <w:t>利用余热、余压、余气如焦炉煤气、高炉煤气、转炉煤气等，通过汽轮机转变为机械能带动发电机发电的发电方式</w:t>
      </w:r>
      <w:r>
        <w:rPr>
          <w:kern w:val="0"/>
          <w:szCs w:val="21"/>
        </w:rPr>
        <w:t>。</w:t>
      </w:r>
    </w:p>
    <w:p w14:paraId="236BECE0">
      <w:pPr>
        <w:adjustRightInd w:val="0"/>
        <w:spacing w:line="360" w:lineRule="exact"/>
        <w:ind w:firstLine="420" w:firstLineChars="200"/>
        <w:textAlignment w:val="center"/>
        <w:rPr>
          <w:kern w:val="0"/>
          <w:szCs w:val="21"/>
        </w:rPr>
      </w:pPr>
      <w:r>
        <w:rPr>
          <w:rFonts w:eastAsia="黑体"/>
          <w:szCs w:val="21"/>
        </w:rPr>
        <w:t>生物质发电</w:t>
      </w:r>
      <w:r>
        <w:rPr>
          <w:rFonts w:eastAsia="黑体"/>
          <w:bCs/>
          <w:szCs w:val="21"/>
        </w:rPr>
        <w:t xml:space="preserve">  </w:t>
      </w:r>
      <w:r>
        <w:rPr>
          <w:kern w:val="0"/>
          <w:szCs w:val="21"/>
        </w:rPr>
        <w:t>指利用生物质所具有的生物质能进行发电的发电方式</w:t>
      </w:r>
      <w:r>
        <w:rPr>
          <w:szCs w:val="21"/>
        </w:rPr>
        <w:t>，包括</w:t>
      </w:r>
      <w:r>
        <w:rPr>
          <w:szCs w:val="21"/>
        </w:rPr>
        <w:fldChar w:fldCharType="begin"/>
      </w:r>
      <w:r>
        <w:rPr>
          <w:szCs w:val="21"/>
        </w:rPr>
        <w:instrText xml:space="preserve"> HYPERLINK "http://baike.baidu.com/subview/11637699/11988541.htm" \t "_blank" </w:instrText>
      </w:r>
      <w:r>
        <w:rPr>
          <w:szCs w:val="21"/>
        </w:rPr>
        <w:fldChar w:fldCharType="separate"/>
      </w:r>
      <w:r>
        <w:rPr>
          <w:szCs w:val="21"/>
        </w:rPr>
        <w:t>农林废弃物</w:t>
      </w:r>
      <w:r>
        <w:rPr>
          <w:szCs w:val="21"/>
        </w:rPr>
        <w:fldChar w:fldCharType="end"/>
      </w:r>
      <w:r>
        <w:rPr>
          <w:szCs w:val="21"/>
        </w:rPr>
        <w:t>直接燃烧发电、</w:t>
      </w:r>
      <w:r>
        <w:rPr>
          <w:szCs w:val="21"/>
        </w:rPr>
        <w:fldChar w:fldCharType="begin"/>
      </w:r>
      <w:r>
        <w:rPr>
          <w:szCs w:val="21"/>
        </w:rPr>
        <w:instrText xml:space="preserve"> HYPERLINK "http://baike.baidu.com/subview/1817765/1817765.htm" \t "_blank" </w:instrText>
      </w:r>
      <w:r>
        <w:rPr>
          <w:szCs w:val="21"/>
        </w:rPr>
        <w:fldChar w:fldCharType="separate"/>
      </w:r>
      <w:r>
        <w:rPr>
          <w:szCs w:val="21"/>
        </w:rPr>
        <w:t>沼气发电</w:t>
      </w:r>
      <w:r>
        <w:rPr>
          <w:szCs w:val="21"/>
        </w:rPr>
        <w:fldChar w:fldCharType="end"/>
      </w:r>
      <w:r>
        <w:rPr>
          <w:rFonts w:hint="eastAsia"/>
          <w:szCs w:val="21"/>
          <w:lang w:eastAsia="zh-CN"/>
        </w:rPr>
        <w:t>、垃圾焚烧发电等</w:t>
      </w:r>
      <w:r>
        <w:rPr>
          <w:kern w:val="0"/>
          <w:szCs w:val="21"/>
        </w:rPr>
        <w:t>。</w:t>
      </w:r>
    </w:p>
    <w:p w14:paraId="2AC9894F">
      <w:pPr>
        <w:adjustRightInd w:val="0"/>
        <w:spacing w:line="360" w:lineRule="exact"/>
        <w:ind w:firstLine="420" w:firstLineChars="200"/>
        <w:textAlignment w:val="center"/>
        <w:rPr>
          <w:kern w:val="0"/>
          <w:szCs w:val="21"/>
        </w:rPr>
      </w:pPr>
      <w:r>
        <w:rPr>
          <w:rFonts w:eastAsia="黑体"/>
          <w:szCs w:val="21"/>
        </w:rPr>
        <w:t>沼气发电</w:t>
      </w:r>
      <w:r>
        <w:rPr>
          <w:rFonts w:eastAsia="黑体"/>
          <w:bCs/>
          <w:szCs w:val="21"/>
        </w:rPr>
        <w:t xml:space="preserve">  </w:t>
      </w:r>
      <w:r>
        <w:rPr>
          <w:kern w:val="0"/>
          <w:szCs w:val="21"/>
        </w:rPr>
        <w:t>指利用厌氧发酵处理产生的沼气进行发电的发电方式，包括农林废弃物气化发电、垃圾填埋气发电。</w:t>
      </w:r>
    </w:p>
    <w:p w14:paraId="1EC6A670">
      <w:pPr>
        <w:adjustRightInd w:val="0"/>
        <w:spacing w:line="360" w:lineRule="exact"/>
        <w:ind w:firstLine="420" w:firstLineChars="200"/>
        <w:textAlignment w:val="center"/>
        <w:rPr>
          <w:kern w:val="0"/>
          <w:szCs w:val="21"/>
        </w:rPr>
      </w:pPr>
      <w:r>
        <w:rPr>
          <w:rFonts w:eastAsia="黑体"/>
          <w:kern w:val="0"/>
          <w:szCs w:val="21"/>
        </w:rPr>
        <w:t>垃圾焚烧发电</w:t>
      </w:r>
      <w:r>
        <w:rPr>
          <w:rFonts w:eastAsia="黑体"/>
          <w:bCs/>
          <w:szCs w:val="21"/>
        </w:rPr>
        <w:t xml:space="preserve">  </w:t>
      </w:r>
      <w:r>
        <w:rPr>
          <w:kern w:val="0"/>
          <w:szCs w:val="21"/>
        </w:rPr>
        <w:t>指把经过分类处理后燃烧值较高的垃圾进行高温焚烧，产生热能通过火电动力装置转换成电能的发电方式。</w:t>
      </w:r>
    </w:p>
    <w:p w14:paraId="3A395EA0">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水力发电</w:t>
      </w:r>
      <w:r>
        <w:rPr>
          <w:rFonts w:eastAsia="黑体"/>
          <w:bCs/>
        </w:rPr>
        <w:t xml:space="preserve">  </w:t>
      </w:r>
      <w:r>
        <w:rPr>
          <w:rFonts w:ascii="Times New Roman" w:hAnsi="Times New Roman" w:cs="Times New Roman"/>
          <w:kern w:val="0"/>
        </w:rPr>
        <w:t>指利用水位落差，配合水轮发电机产生电力的一种发电方式，也就是利用水的势能转为水轮机的机械能，再以机械能推动发电机产生电能，包括抽水蓄能发电。</w:t>
      </w:r>
    </w:p>
    <w:p w14:paraId="2128D16F">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kern w:val="0"/>
        </w:rPr>
        <w:t>抽水蓄能发电</w:t>
      </w:r>
      <w:r>
        <w:rPr>
          <w:rFonts w:eastAsia="黑体"/>
          <w:bCs/>
        </w:rPr>
        <w:t xml:space="preserve">  </w:t>
      </w:r>
      <w:r>
        <w:rPr>
          <w:rFonts w:ascii="Times New Roman" w:hAnsi="Times New Roman" w:cs="Times New Roman"/>
          <w:kern w:val="0"/>
        </w:rPr>
        <w:t>指利用电力系统负荷低谷时的电能抽水至上水库，在电力负荷高峰期再放水至下水库发电的发电方式。</w:t>
      </w:r>
    </w:p>
    <w:p w14:paraId="153EDFA7">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核能发电</w:t>
      </w:r>
      <w:r>
        <w:rPr>
          <w:rFonts w:eastAsia="黑体"/>
          <w:bCs/>
        </w:rPr>
        <w:t xml:space="preserve">  </w:t>
      </w:r>
      <w:r>
        <w:rPr>
          <w:rFonts w:ascii="Times New Roman" w:hAnsi="Times New Roman" w:cs="Times New Roman"/>
          <w:kern w:val="0"/>
        </w:rPr>
        <w:t>指利用原子反应堆中</w:t>
      </w:r>
      <w:r>
        <w:fldChar w:fldCharType="begin"/>
      </w:r>
      <w:r>
        <w:instrText xml:space="preserve"> HYPERLINK "http://zhidao.baidu.com/search?word=%E6%A0%B8%E7%87%83%E6%96%99&amp;fr=qb_search_exp&amp;ie=utf8" </w:instrText>
      </w:r>
      <w:r>
        <w:fldChar w:fldCharType="separate"/>
      </w:r>
      <w:r>
        <w:rPr>
          <w:rFonts w:ascii="Times New Roman" w:hAnsi="Times New Roman" w:cs="Times New Roman"/>
          <w:kern w:val="0"/>
        </w:rPr>
        <w:t>核燃料</w:t>
      </w:r>
      <w:r>
        <w:rPr>
          <w:rFonts w:ascii="Times New Roman" w:hAnsi="Times New Roman" w:cs="Times New Roman"/>
          <w:kern w:val="0"/>
        </w:rPr>
        <w:fldChar w:fldCharType="end"/>
      </w:r>
      <w:r>
        <w:rPr>
          <w:rFonts w:ascii="Times New Roman" w:hAnsi="Times New Roman" w:cs="Times New Roman"/>
          <w:kern w:val="0"/>
        </w:rPr>
        <w:t>(例如铀)缓慢裂变所释放的热能产生蒸汽驱动</w:t>
      </w:r>
      <w:r>
        <w:fldChar w:fldCharType="begin"/>
      </w:r>
      <w:r>
        <w:instrText xml:space="preserve"> HYPERLINK "http://zhidao.baidu.com/search?word=%E6%B1%BD%E8%BD%AE%E6%9C%BA&amp;fr=qb_search_exp&amp;ie=utf8" </w:instrText>
      </w:r>
      <w:r>
        <w:fldChar w:fldCharType="separate"/>
      </w:r>
      <w:r>
        <w:rPr>
          <w:rFonts w:ascii="Times New Roman" w:hAnsi="Times New Roman" w:cs="Times New Roman"/>
          <w:kern w:val="0"/>
        </w:rPr>
        <w:t>汽轮机</w:t>
      </w:r>
      <w:r>
        <w:rPr>
          <w:rFonts w:ascii="Times New Roman" w:hAnsi="Times New Roman" w:cs="Times New Roman"/>
          <w:kern w:val="0"/>
        </w:rPr>
        <w:fldChar w:fldCharType="end"/>
      </w:r>
      <w:r>
        <w:rPr>
          <w:rFonts w:ascii="Times New Roman" w:hAnsi="Times New Roman" w:cs="Times New Roman"/>
          <w:kern w:val="0"/>
        </w:rPr>
        <w:t>再带动发电机发电的一种发电方式。</w:t>
      </w:r>
    </w:p>
    <w:p w14:paraId="461042F7">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风力发电</w:t>
      </w:r>
      <w:r>
        <w:rPr>
          <w:rFonts w:eastAsia="黑体"/>
          <w:bCs/>
        </w:rPr>
        <w:t xml:space="preserve">  </w:t>
      </w:r>
      <w:r>
        <w:rPr>
          <w:rFonts w:ascii="Times New Roman" w:hAnsi="Times New Roman" w:cs="Times New Roman"/>
          <w:kern w:val="0"/>
        </w:rPr>
        <w:t>指把风的动能转变成机械能，再把机械能转化为电能的发电方式。</w:t>
      </w:r>
    </w:p>
    <w:p w14:paraId="3A15105B">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太阳能发电</w:t>
      </w:r>
      <w:r>
        <w:rPr>
          <w:rFonts w:eastAsia="黑体"/>
          <w:bCs/>
        </w:rPr>
        <w:t xml:space="preserve">  </w:t>
      </w:r>
      <w:r>
        <w:rPr>
          <w:rFonts w:ascii="Times New Roman" w:hAnsi="Times New Roman" w:cs="Times New Roman"/>
          <w:kern w:val="0"/>
        </w:rPr>
        <w:t>指先将太阳能转化为热能，再将热能转化成电能或者直接将太阳能转换成电能的发电方式，主要包括太阳能光伏发电和太阳能光热发电。</w:t>
      </w:r>
    </w:p>
    <w:p w14:paraId="78B120B0">
      <w:pPr>
        <w:adjustRightInd w:val="0"/>
        <w:spacing w:line="360" w:lineRule="exact"/>
        <w:ind w:firstLine="420" w:firstLineChars="200"/>
        <w:textAlignment w:val="center"/>
        <w:rPr>
          <w:kern w:val="0"/>
          <w:szCs w:val="21"/>
        </w:rPr>
      </w:pPr>
      <w:r>
        <w:rPr>
          <w:kern w:val="0"/>
          <w:szCs w:val="21"/>
        </w:rPr>
        <w:t>太阳能光伏发电是利用太阳能电池直接将太阳能转换成电能的发电方式。</w:t>
      </w:r>
    </w:p>
    <w:p w14:paraId="4FF35DC0">
      <w:pPr>
        <w:adjustRightInd w:val="0"/>
        <w:spacing w:line="360" w:lineRule="exact"/>
        <w:ind w:firstLine="420" w:firstLineChars="200"/>
        <w:textAlignment w:val="center"/>
        <w:rPr>
          <w:kern w:val="0"/>
          <w:szCs w:val="21"/>
        </w:rPr>
      </w:pPr>
      <w:r>
        <w:rPr>
          <w:kern w:val="0"/>
          <w:szCs w:val="21"/>
        </w:rPr>
        <w:t>太阳能光热发电是指利用大规模阵列抛物或碟形镜面收集太阳热能，通过换热装置提供蒸汽，结合传统汽轮发电机的工艺发电的发电方式。</w:t>
      </w:r>
    </w:p>
    <w:p w14:paraId="52F262C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潮汐能发电</w:t>
      </w:r>
      <w:r>
        <w:rPr>
          <w:rFonts w:eastAsia="黑体"/>
          <w:bCs/>
        </w:rPr>
        <w:t xml:space="preserve">  </w:t>
      </w:r>
      <w:r>
        <w:rPr>
          <w:rFonts w:ascii="Times New Roman" w:hAnsi="Times New Roman" w:cs="Times New Roman"/>
          <w:kern w:val="0"/>
        </w:rPr>
        <w:t>指利用潮汐的动能和势能发电的发电方式。也就是在涨潮时将海水以势能的形式储存在水库内，在落潮时利用高、低潮位之间的落差放出海水，推动水轮机旋转带动发电机发电。</w:t>
      </w:r>
    </w:p>
    <w:p w14:paraId="27B29396">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地热能发电</w:t>
      </w:r>
      <w:r>
        <w:rPr>
          <w:rFonts w:eastAsia="黑体"/>
          <w:bCs/>
        </w:rPr>
        <w:t xml:space="preserve">  </w:t>
      </w:r>
      <w:r>
        <w:rPr>
          <w:rFonts w:ascii="Times New Roman" w:hAnsi="Times New Roman" w:cs="Times New Roman"/>
          <w:kern w:val="0"/>
        </w:rPr>
        <w:t>指利用地下热能转变为机械能，然后再把机械能转变为电能的一种发电方式。能够把地下热能带到地面并用于发电的载热介质主要是天然蒸汽（干蒸汽和湿蒸汽）和地下热水。</w:t>
      </w:r>
    </w:p>
    <w:p w14:paraId="4374B991">
      <w:pPr>
        <w:pStyle w:val="10"/>
        <w:adjustRightInd w:val="0"/>
        <w:spacing w:line="360" w:lineRule="exact"/>
        <w:ind w:firstLine="420" w:firstLineChars="200"/>
        <w:textAlignment w:val="center"/>
        <w:rPr>
          <w:rFonts w:ascii="Times New Roman" w:hAnsi="Times New Roman" w:cs="Times New Roman"/>
          <w:kern w:val="0"/>
        </w:rPr>
      </w:pPr>
      <w:r>
        <w:rPr>
          <w:rFonts w:ascii="Times New Roman" w:hAnsi="Times New Roman" w:eastAsia="黑体" w:cs="Times New Roman"/>
        </w:rPr>
        <w:t>其他发电</w:t>
      </w:r>
      <w:r>
        <w:rPr>
          <w:rFonts w:eastAsia="黑体"/>
          <w:bCs/>
        </w:rPr>
        <w:t xml:space="preserve">  </w:t>
      </w:r>
      <w:r>
        <w:rPr>
          <w:rFonts w:ascii="Times New Roman" w:hAnsi="Times New Roman" w:cs="Times New Roman"/>
          <w:kern w:val="0"/>
        </w:rPr>
        <w:t>指不属于上述各类的发电形式。</w:t>
      </w:r>
    </w:p>
    <w:p w14:paraId="01B4895F">
      <w:pPr>
        <w:pStyle w:val="10"/>
        <w:adjustRightInd w:val="0"/>
        <w:spacing w:line="360" w:lineRule="exact"/>
        <w:ind w:firstLine="420" w:firstLineChars="200"/>
        <w:textAlignment w:val="center"/>
      </w:pPr>
      <w:r>
        <w:rPr>
          <w:rFonts w:ascii="Times New Roman" w:hAnsi="Times New Roman" w:eastAsia="黑体"/>
        </w:rPr>
        <w:t>热力</w:t>
      </w:r>
      <w:r>
        <w:rPr>
          <w:rFonts w:eastAsia="黑体"/>
          <w:bCs/>
        </w:rPr>
        <w:t xml:space="preserve">  </w:t>
      </w:r>
      <w:r>
        <w:t>指</w:t>
      </w:r>
      <w:r>
        <w:rPr>
          <w:rFonts w:hint="eastAsia"/>
        </w:rPr>
        <w:t>企业在报告期内产出的热能。凡被本企业或用户利用的热能，均应计入热力产量中。包括可提供热源的热水、蒸汽和其他生产过程中释放的热能等</w:t>
      </w:r>
      <w:r>
        <w:t>。</w:t>
      </w:r>
    </w:p>
    <w:p w14:paraId="39A990CF">
      <w:pPr>
        <w:pStyle w:val="10"/>
        <w:adjustRightInd w:val="0"/>
        <w:spacing w:line="360" w:lineRule="exact"/>
        <w:ind w:firstLine="420" w:firstLineChars="200"/>
        <w:textAlignment w:val="center"/>
      </w:pPr>
      <w:r>
        <w:t>热力的计算：蒸汽和热水的热力计算，与锅炉出口蒸汽、热水的温度和压力有关，计算方法：</w:t>
      </w:r>
    </w:p>
    <w:p w14:paraId="6895B1B7">
      <w:pPr>
        <w:pStyle w:val="10"/>
        <w:adjustRightInd w:val="0"/>
        <w:spacing w:line="360" w:lineRule="exact"/>
        <w:ind w:firstLine="420" w:firstLineChars="200"/>
        <w:textAlignment w:val="center"/>
      </w:pPr>
      <w:r>
        <w:t>第一步：确定锅炉出口蒸汽和热水的温度和压力，根据温度和压力值，在焓熵图</w:t>
      </w:r>
      <w:r>
        <w:rPr>
          <w:rFonts w:hint="eastAsia"/>
        </w:rPr>
        <w:t>（</w:t>
      </w:r>
      <w:r>
        <w:t>表）查出对应的每千克蒸汽、热水的热焓；</w:t>
      </w:r>
    </w:p>
    <w:p w14:paraId="17A8A1E2">
      <w:pPr>
        <w:pStyle w:val="10"/>
        <w:adjustRightInd w:val="0"/>
        <w:spacing w:line="360" w:lineRule="exact"/>
        <w:ind w:firstLine="420" w:firstLineChars="200"/>
        <w:textAlignment w:val="center"/>
      </w:pPr>
      <w:r>
        <w:t>第二步：确定锅炉给水</w:t>
      </w:r>
      <w:r>
        <w:rPr>
          <w:rFonts w:hint="eastAsia"/>
        </w:rPr>
        <w:t>（</w:t>
      </w:r>
      <w:r>
        <w:t>或回水）的温度和压力，根据温度和压力值，在焓熵图</w:t>
      </w:r>
      <w:r>
        <w:rPr>
          <w:rFonts w:hint="eastAsia"/>
        </w:rPr>
        <w:t>（</w:t>
      </w:r>
      <w:r>
        <w:t>表）查出对应的每千克给水</w:t>
      </w:r>
      <w:r>
        <w:rPr>
          <w:rFonts w:hint="eastAsia"/>
        </w:rPr>
        <w:t>（</w:t>
      </w:r>
      <w:r>
        <w:t>或回水）的热焓；</w:t>
      </w:r>
    </w:p>
    <w:p w14:paraId="3CA77BDE">
      <w:pPr>
        <w:pStyle w:val="10"/>
        <w:adjustRightInd w:val="0"/>
        <w:spacing w:line="360" w:lineRule="exact"/>
        <w:ind w:firstLine="420" w:firstLineChars="200"/>
        <w:textAlignment w:val="center"/>
      </w:pPr>
      <w:r>
        <w:t>第三步：求第一步和第二步查出的热焓之差，再乘以蒸汽或热水的数量</w:t>
      </w:r>
      <w:r>
        <w:rPr>
          <w:rFonts w:hint="eastAsia"/>
        </w:rPr>
        <w:t>（</w:t>
      </w:r>
      <w:r>
        <w:t>按流量表读数计算），所得值即为热力的量。</w:t>
      </w:r>
    </w:p>
    <w:p w14:paraId="5725C49E">
      <w:pPr>
        <w:pStyle w:val="10"/>
        <w:adjustRightInd w:val="0"/>
        <w:spacing w:line="360" w:lineRule="exact"/>
        <w:ind w:firstLine="420" w:firstLineChars="200"/>
        <w:textAlignment w:val="center"/>
      </w:pPr>
      <w:r>
        <w:t>如果企业不具备上述计算热力的条件，可参考下列方法估算：</w:t>
      </w:r>
    </w:p>
    <w:p w14:paraId="7230FD58">
      <w:pPr>
        <w:pStyle w:val="10"/>
        <w:adjustRightInd w:val="0"/>
        <w:spacing w:line="360" w:lineRule="exact"/>
        <w:ind w:firstLine="420" w:firstLineChars="200"/>
        <w:textAlignment w:val="center"/>
      </w:pPr>
      <w:r>
        <w:t>第一步：确定锅炉蒸汽或热水的产量。产量</w:t>
      </w:r>
      <w:r>
        <w:rPr>
          <w:rFonts w:hint="eastAsia"/>
        </w:rPr>
        <w:t>＝</w:t>
      </w:r>
      <w:r>
        <w:t>锅炉的给水量</w:t>
      </w:r>
      <w:r>
        <w:rPr>
          <w:rFonts w:hint="eastAsia"/>
        </w:rPr>
        <w:t>－</w:t>
      </w:r>
      <w:r>
        <w:t>排污等损失量；</w:t>
      </w:r>
    </w:p>
    <w:p w14:paraId="645C950A">
      <w:pPr>
        <w:pStyle w:val="10"/>
        <w:adjustRightInd w:val="0"/>
        <w:spacing w:line="360" w:lineRule="exact"/>
        <w:ind w:firstLine="420" w:firstLineChars="200"/>
        <w:textAlignment w:val="center"/>
      </w:pPr>
      <w:r>
        <w:t>第二步：确定蒸汽或热水的热焓。热焓的确定分以下几种情况：</w:t>
      </w:r>
    </w:p>
    <w:p w14:paraId="51B0A889">
      <w:pPr>
        <w:pStyle w:val="10"/>
        <w:adjustRightInd w:val="0"/>
        <w:spacing w:line="360" w:lineRule="exact"/>
        <w:ind w:firstLine="420" w:firstLineChars="200"/>
        <w:textAlignment w:val="center"/>
      </w:pPr>
      <w:r>
        <w:t>(1)热水：假定出口温度为90</w:t>
      </w:r>
      <w:r>
        <w:rPr>
          <w:rFonts w:hint="eastAsia"/>
        </w:rPr>
        <w:t>℃</w:t>
      </w:r>
      <w:r>
        <w:t>，回水温度为20</w:t>
      </w:r>
      <w:r>
        <w:rPr>
          <w:rFonts w:hint="eastAsia"/>
        </w:rPr>
        <w:t>℃</w:t>
      </w:r>
      <w:r>
        <w:t>的情况下,闭路循环系统每千克热水的热焓按20千卡计算,开路供热系统每千克热水的热焓按70千卡计算。</w:t>
      </w:r>
    </w:p>
    <w:p w14:paraId="5B489CE0">
      <w:pPr>
        <w:pStyle w:val="10"/>
        <w:adjustRightInd w:val="0"/>
        <w:spacing w:line="360" w:lineRule="exact"/>
        <w:ind w:firstLine="420" w:firstLineChars="200"/>
        <w:textAlignment w:val="center"/>
      </w:pPr>
      <w:r>
        <w:t>(2)饱和蒸汽：</w:t>
      </w:r>
    </w:p>
    <w:p w14:paraId="407F3B7D">
      <w:pPr>
        <w:pStyle w:val="10"/>
        <w:adjustRightInd w:val="0"/>
        <w:spacing w:line="360" w:lineRule="exact"/>
        <w:ind w:firstLine="420" w:firstLineChars="200"/>
        <w:textAlignment w:val="center"/>
      </w:pPr>
      <w:r>
        <w:t>压力1-2.5千克/平方厘米，温度127</w:t>
      </w:r>
      <w:r>
        <w:rPr>
          <w:rFonts w:hint="eastAsia"/>
        </w:rPr>
        <w:t>℃</w:t>
      </w:r>
      <w:r>
        <w:t>以下，每千克蒸汽的热焓按620千卡计算；</w:t>
      </w:r>
    </w:p>
    <w:p w14:paraId="67E3B8A6">
      <w:pPr>
        <w:pStyle w:val="10"/>
        <w:adjustRightInd w:val="0"/>
        <w:spacing w:line="360" w:lineRule="exact"/>
        <w:ind w:firstLine="420" w:firstLineChars="200"/>
        <w:textAlignment w:val="center"/>
      </w:pPr>
      <w:r>
        <w:t>压力3-7千克/平方厘米，温度135-165</w:t>
      </w:r>
      <w:r>
        <w:rPr>
          <w:rFonts w:hint="eastAsia"/>
        </w:rPr>
        <w:t>℃</w:t>
      </w:r>
      <w:r>
        <w:t>，每千克蒸汽的热焓按630千卡计算；</w:t>
      </w:r>
    </w:p>
    <w:p w14:paraId="3D5C22B2">
      <w:pPr>
        <w:pStyle w:val="10"/>
        <w:adjustRightInd w:val="0"/>
        <w:spacing w:line="360" w:lineRule="exact"/>
        <w:ind w:firstLine="420" w:firstLineChars="200"/>
        <w:textAlignment w:val="center"/>
      </w:pPr>
      <w:r>
        <w:t>压力8千克/平方厘米，温度170</w:t>
      </w:r>
      <w:r>
        <w:rPr>
          <w:rFonts w:hint="eastAsia"/>
        </w:rPr>
        <w:t>℃</w:t>
      </w:r>
      <w:r>
        <w:t>以上，每千克蒸汽的热焓按640千卡计算。</w:t>
      </w:r>
    </w:p>
    <w:p w14:paraId="7B8CE821">
      <w:pPr>
        <w:pStyle w:val="10"/>
        <w:adjustRightInd w:val="0"/>
        <w:spacing w:line="360" w:lineRule="exact"/>
        <w:ind w:firstLine="420" w:firstLineChars="200"/>
        <w:textAlignment w:val="center"/>
      </w:pPr>
      <w:r>
        <w:t>(3)过热蒸汽：压力150千克/平方厘米</w:t>
      </w:r>
    </w:p>
    <w:p w14:paraId="64277448">
      <w:pPr>
        <w:pStyle w:val="10"/>
        <w:adjustRightInd w:val="0"/>
        <w:spacing w:line="360" w:lineRule="exact"/>
        <w:ind w:firstLine="420" w:firstLineChars="200"/>
        <w:textAlignment w:val="center"/>
      </w:pPr>
      <w:r>
        <w:t>200</w:t>
      </w:r>
      <w:r>
        <w:rPr>
          <w:rFonts w:hint="eastAsia"/>
        </w:rPr>
        <w:t>℃</w:t>
      </w:r>
      <w:r>
        <w:t>以下，每千克蒸汽的热焓按650千卡计算；</w:t>
      </w:r>
    </w:p>
    <w:p w14:paraId="6E6CD198">
      <w:pPr>
        <w:pStyle w:val="10"/>
        <w:adjustRightInd w:val="0"/>
        <w:spacing w:line="360" w:lineRule="exact"/>
        <w:ind w:firstLine="420" w:firstLineChars="200"/>
        <w:textAlignment w:val="center"/>
      </w:pPr>
      <w:r>
        <w:t>220-260</w:t>
      </w:r>
      <w:r>
        <w:rPr>
          <w:rFonts w:hint="eastAsia"/>
        </w:rPr>
        <w:t>℃</w:t>
      </w:r>
      <w:r>
        <w:t>，每千克蒸汽的热焓按680千卡计算；</w:t>
      </w:r>
    </w:p>
    <w:p w14:paraId="4799FE5D">
      <w:pPr>
        <w:pStyle w:val="10"/>
        <w:adjustRightInd w:val="0"/>
        <w:spacing w:line="360" w:lineRule="exact"/>
        <w:ind w:firstLine="420" w:firstLineChars="200"/>
        <w:textAlignment w:val="center"/>
      </w:pPr>
      <w:r>
        <w:t>280-320</w:t>
      </w:r>
      <w:r>
        <w:rPr>
          <w:rFonts w:hint="eastAsia"/>
        </w:rPr>
        <w:t>℃</w:t>
      </w:r>
      <w:r>
        <w:t>，每千克蒸汽的热焓按700千卡计算；</w:t>
      </w:r>
    </w:p>
    <w:p w14:paraId="659423E9">
      <w:pPr>
        <w:pStyle w:val="10"/>
        <w:adjustRightInd w:val="0"/>
        <w:spacing w:line="360" w:lineRule="exact"/>
        <w:ind w:firstLine="420" w:firstLineChars="200"/>
        <w:textAlignment w:val="center"/>
      </w:pPr>
      <w:r>
        <w:t>350-500</w:t>
      </w:r>
      <w:r>
        <w:rPr>
          <w:rFonts w:hint="eastAsia"/>
        </w:rPr>
        <w:t>℃</w:t>
      </w:r>
      <w:r>
        <w:t>，每千克蒸汽的热焓按750千卡计算。</w:t>
      </w:r>
    </w:p>
    <w:p w14:paraId="0ECBA854">
      <w:pPr>
        <w:pStyle w:val="10"/>
        <w:adjustRightInd w:val="0"/>
        <w:spacing w:line="360" w:lineRule="exact"/>
        <w:ind w:firstLine="420" w:firstLineChars="200"/>
        <w:textAlignment w:val="center"/>
      </w:pPr>
      <w:r>
        <w:t>第三步：根据确定的热焓，乘以产量，所得值即为热力的量。</w:t>
      </w:r>
    </w:p>
    <w:p w14:paraId="7A5B2704">
      <w:pPr>
        <w:pStyle w:val="10"/>
        <w:adjustRightInd w:val="0"/>
        <w:spacing w:line="360" w:lineRule="exact"/>
        <w:ind w:firstLine="420" w:firstLineChars="200"/>
        <w:textAlignment w:val="center"/>
      </w:pPr>
      <w:r>
        <w:t>对于中小企业，若以上条件均不具备，如果锅炉的功率在0.7兆瓦左右，1吨/小时的热水或蒸汽按相当于60万千卡的热力计算。</w:t>
      </w:r>
    </w:p>
    <w:p w14:paraId="52444E1A">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太阳能供热</w:t>
      </w:r>
      <w:r>
        <w:rPr>
          <w:rFonts w:eastAsia="黑体"/>
          <w:bCs/>
        </w:rPr>
        <w:t xml:space="preserve">  </w:t>
      </w:r>
      <w:r>
        <w:rPr>
          <w:rFonts w:hint="eastAsia" w:hAnsi="宋体" w:cs="宋体"/>
          <w:kern w:val="0"/>
        </w:rPr>
        <w:t>指利用太阳能集热装置收集太阳辐射并转化为热能进行供热。</w:t>
      </w:r>
    </w:p>
    <w:p w14:paraId="32D192FB">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生物质能供热</w:t>
      </w:r>
      <w:r>
        <w:rPr>
          <w:rFonts w:eastAsia="黑体"/>
          <w:bCs/>
        </w:rPr>
        <w:t xml:space="preserve">  </w:t>
      </w:r>
      <w:r>
        <w:rPr>
          <w:rFonts w:hint="eastAsia" w:hAnsi="宋体" w:cs="宋体"/>
          <w:kern w:val="0"/>
        </w:rPr>
        <w:t>指利用生物质成型燃料、生物质液体燃料等燃烧时产生的热能进行供热。如利用沼气、薪柴、生物乙醇、生物柴油、农林废弃物再利用加工而成的成型燃料等供热都属于生物质能供热</w:t>
      </w:r>
      <w:r>
        <w:rPr>
          <w:rFonts w:hAnsi="宋体" w:cs="宋体"/>
          <w:kern w:val="0"/>
        </w:rPr>
        <w:t>。</w:t>
      </w:r>
    </w:p>
    <w:p w14:paraId="66803E5E">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地热能供热</w:t>
      </w:r>
      <w:r>
        <w:rPr>
          <w:rFonts w:eastAsia="黑体"/>
          <w:bCs/>
        </w:rPr>
        <w:t xml:space="preserve">  </w:t>
      </w:r>
      <w:r>
        <w:rPr>
          <w:rFonts w:hAnsi="宋体" w:cs="宋体"/>
          <w:kern w:val="0"/>
        </w:rPr>
        <w:t>指利用</w:t>
      </w:r>
      <w:r>
        <w:fldChar w:fldCharType="begin"/>
      </w:r>
      <w:r>
        <w:instrText xml:space="preserve"> HYPERLINK "https://baike.baidu.com/item/%E5%9C%B0%E7%83%AD%E8%83%BD" \t "_blank" </w:instrText>
      </w:r>
      <w:r>
        <w:fldChar w:fldCharType="separate"/>
      </w:r>
      <w:r>
        <w:rPr>
          <w:rFonts w:hAnsi="宋体" w:cs="宋体"/>
          <w:kern w:val="0"/>
        </w:rPr>
        <w:t>地热能</w:t>
      </w:r>
      <w:r>
        <w:rPr>
          <w:rFonts w:hAnsi="宋体" w:cs="宋体"/>
          <w:kern w:val="0"/>
        </w:rPr>
        <w:fldChar w:fldCharType="end"/>
      </w:r>
      <w:r>
        <w:rPr>
          <w:rFonts w:hAnsi="宋体" w:cs="宋体"/>
          <w:kern w:val="0"/>
        </w:rPr>
        <w:t>为主要热源</w:t>
      </w:r>
      <w:r>
        <w:rPr>
          <w:rFonts w:hint="eastAsia" w:hAnsi="宋体" w:cs="宋体"/>
          <w:kern w:val="0"/>
        </w:rPr>
        <w:t>进行</w:t>
      </w:r>
      <w:r>
        <w:rPr>
          <w:rFonts w:hAnsi="宋体" w:cs="宋体"/>
          <w:kern w:val="0"/>
        </w:rPr>
        <w:t>供热</w:t>
      </w:r>
      <w:r>
        <w:rPr>
          <w:rFonts w:hint="eastAsia" w:hAnsi="宋体" w:cs="宋体"/>
          <w:kern w:val="0"/>
        </w:rPr>
        <w:t>。地热供热系统按照地热流进入供热系统的方式可分为直接供热和间接供热。直接供热即把地热流直接引入供热系统，间接供热即地热流通过换热器将热能传递给供热系统的循环水，地热流不直接进入供热系统。</w:t>
      </w:r>
      <w:r>
        <w:rPr>
          <w:rFonts w:hAnsi="宋体" w:cs="宋体"/>
          <w:kern w:val="0"/>
        </w:rPr>
        <w:t>热量通常以热水或蒸汽的形式提取出来。</w:t>
      </w:r>
    </w:p>
    <w:p w14:paraId="0DB90796">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化石燃料供热</w:t>
      </w:r>
      <w:r>
        <w:rPr>
          <w:rFonts w:eastAsia="黑体"/>
          <w:bCs/>
        </w:rPr>
        <w:t xml:space="preserve">  </w:t>
      </w:r>
      <w:r>
        <w:rPr>
          <w:rFonts w:hint="eastAsia" w:hAnsi="宋体" w:cs="宋体"/>
          <w:kern w:val="0"/>
        </w:rPr>
        <w:t>指利用煤炭及煤炭制品、石油及石油制品、天然气及天然气加工制品等化石燃料燃烧时产生的热能进行供热。包括回收利用的高炉煤气、转炉煤气等</w:t>
      </w:r>
      <w:r>
        <w:rPr>
          <w:rFonts w:hAnsi="宋体" w:cs="宋体"/>
          <w:kern w:val="0"/>
        </w:rPr>
        <w:t>。</w:t>
      </w:r>
    </w:p>
    <w:p w14:paraId="5719F047">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废料燃烧供热</w:t>
      </w:r>
      <w:r>
        <w:rPr>
          <w:rFonts w:eastAsia="黑体"/>
          <w:bCs/>
        </w:rPr>
        <w:t xml:space="preserve">  </w:t>
      </w:r>
      <w:r>
        <w:rPr>
          <w:rFonts w:hint="eastAsia" w:hAnsi="宋体" w:cs="宋体"/>
          <w:kern w:val="0"/>
        </w:rPr>
        <w:t>指利用工业废料、城市生活垃圾等燃烧时产生的热能进行供热</w:t>
      </w:r>
      <w:r>
        <w:rPr>
          <w:rFonts w:hAnsi="宋体" w:cs="宋体"/>
          <w:kern w:val="0"/>
        </w:rPr>
        <w:t>。</w:t>
      </w:r>
    </w:p>
    <w:p w14:paraId="1A4A44FD">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电热锅炉供热</w:t>
      </w:r>
      <w:r>
        <w:rPr>
          <w:rFonts w:eastAsia="黑体"/>
          <w:bCs/>
        </w:rPr>
        <w:t xml:space="preserve">  </w:t>
      </w:r>
      <w:r>
        <w:rPr>
          <w:rFonts w:hint="eastAsia" w:hAnsi="宋体" w:cs="宋体"/>
          <w:kern w:val="0"/>
        </w:rPr>
        <w:t>指</w:t>
      </w:r>
      <w:r>
        <w:rPr>
          <w:rFonts w:hAnsi="宋体" w:cs="宋体"/>
          <w:kern w:val="0"/>
        </w:rPr>
        <w:t>以电力</w:t>
      </w:r>
      <w:r>
        <w:rPr>
          <w:rFonts w:hint="eastAsia" w:hAnsi="宋体" w:cs="宋体"/>
          <w:kern w:val="0"/>
        </w:rPr>
        <w:t>为</w:t>
      </w:r>
      <w:r>
        <w:rPr>
          <w:rFonts w:hAnsi="宋体" w:cs="宋体"/>
          <w:kern w:val="0"/>
        </w:rPr>
        <w:t>能源并将其转化为</w:t>
      </w:r>
      <w:r>
        <w:rPr>
          <w:rFonts w:hint="eastAsia" w:hAnsi="宋体" w:cs="宋体"/>
          <w:kern w:val="0"/>
        </w:rPr>
        <w:t>热能进行供热。</w:t>
      </w:r>
    </w:p>
    <w:p w14:paraId="5183A47A">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热泵供热</w:t>
      </w:r>
      <w:r>
        <w:rPr>
          <w:rFonts w:eastAsia="黑体"/>
          <w:bCs/>
        </w:rPr>
        <w:t xml:space="preserve">  </w:t>
      </w:r>
      <w:r>
        <w:rPr>
          <w:rFonts w:hint="eastAsia" w:hAnsi="宋体" w:cs="宋体"/>
          <w:kern w:val="0"/>
        </w:rPr>
        <w:t>指通过</w:t>
      </w:r>
      <w:r>
        <w:rPr>
          <w:rFonts w:hAnsi="宋体" w:cs="宋体"/>
          <w:kern w:val="0"/>
        </w:rPr>
        <w:t>将低温热源的热能转移到高温热源的装置来实现</w:t>
      </w:r>
      <w:r>
        <w:rPr>
          <w:rFonts w:hint="eastAsia" w:hAnsi="宋体" w:cs="宋体"/>
          <w:kern w:val="0"/>
        </w:rPr>
        <w:t>供热。包括</w:t>
      </w:r>
      <w:r>
        <w:rPr>
          <w:rFonts w:hAnsi="宋体" w:cs="宋体"/>
          <w:kern w:val="0"/>
        </w:rPr>
        <w:t>地</w:t>
      </w:r>
      <w:r>
        <w:rPr>
          <w:rFonts w:hint="eastAsia" w:hAnsi="宋体" w:cs="宋体"/>
          <w:kern w:val="0"/>
        </w:rPr>
        <w:t>源、</w:t>
      </w:r>
      <w:r>
        <w:rPr>
          <w:rFonts w:hAnsi="宋体" w:cs="宋体"/>
          <w:kern w:val="0"/>
        </w:rPr>
        <w:t>空气</w:t>
      </w:r>
      <w:r>
        <w:rPr>
          <w:rFonts w:hint="eastAsia" w:hAnsi="宋体" w:cs="宋体"/>
          <w:kern w:val="0"/>
        </w:rPr>
        <w:t>源</w:t>
      </w:r>
      <w:r>
        <w:rPr>
          <w:rFonts w:hAnsi="宋体" w:cs="宋体"/>
          <w:kern w:val="0"/>
        </w:rPr>
        <w:t>、水</w:t>
      </w:r>
      <w:r>
        <w:rPr>
          <w:rFonts w:hint="eastAsia" w:hAnsi="宋体" w:cs="宋体"/>
          <w:kern w:val="0"/>
        </w:rPr>
        <w:t>源</w:t>
      </w:r>
      <w:r>
        <w:rPr>
          <w:rFonts w:hAnsi="宋体" w:cs="宋体"/>
          <w:kern w:val="0"/>
        </w:rPr>
        <w:t>热泵等</w:t>
      </w:r>
      <w:r>
        <w:rPr>
          <w:rFonts w:hint="eastAsia" w:hAnsi="宋体" w:cs="宋体"/>
          <w:kern w:val="0"/>
        </w:rPr>
        <w:t>。</w:t>
      </w:r>
    </w:p>
    <w:p w14:paraId="5CE035D5">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余热余压供热</w:t>
      </w:r>
      <w:r>
        <w:rPr>
          <w:rFonts w:eastAsia="黑体"/>
          <w:bCs/>
        </w:rPr>
        <w:t xml:space="preserve">  </w:t>
      </w:r>
      <w:r>
        <w:rPr>
          <w:rFonts w:hint="eastAsia" w:hAnsi="宋体" w:cs="宋体"/>
          <w:kern w:val="0"/>
        </w:rPr>
        <w:t>指对</w:t>
      </w:r>
      <w:r>
        <w:rPr>
          <w:rFonts w:hAnsi="宋体" w:cs="宋体"/>
          <w:kern w:val="0"/>
        </w:rPr>
        <w:t>企业生产过程中释放出</w:t>
      </w:r>
      <w:r>
        <w:rPr>
          <w:rFonts w:hint="eastAsia" w:hAnsi="宋体" w:cs="宋体"/>
          <w:kern w:val="0"/>
        </w:rPr>
        <w:t>多余</w:t>
      </w:r>
      <w:r>
        <w:rPr>
          <w:rFonts w:hAnsi="宋体" w:cs="宋体"/>
          <w:kern w:val="0"/>
        </w:rPr>
        <w:t>的副产热能、压差能</w:t>
      </w:r>
      <w:r>
        <w:rPr>
          <w:rFonts w:hint="eastAsia" w:hAnsi="宋体" w:cs="宋体"/>
          <w:kern w:val="0"/>
        </w:rPr>
        <w:t>通过</w:t>
      </w:r>
      <w:r>
        <w:rPr>
          <w:rFonts w:hAnsi="宋体" w:cs="宋体"/>
          <w:kern w:val="0"/>
        </w:rPr>
        <w:t>热</w:t>
      </w:r>
      <w:r>
        <w:rPr>
          <w:rFonts w:hint="eastAsia" w:hAnsi="宋体" w:cs="宋体"/>
          <w:kern w:val="0"/>
        </w:rPr>
        <w:t>交换</w:t>
      </w:r>
      <w:r>
        <w:rPr>
          <w:rFonts w:hAnsi="宋体" w:cs="宋体"/>
          <w:kern w:val="0"/>
        </w:rPr>
        <w:t>等方式进行供热</w:t>
      </w:r>
      <w:r>
        <w:rPr>
          <w:rFonts w:hint="eastAsia" w:hAnsi="宋体" w:cs="宋体"/>
          <w:kern w:val="0"/>
        </w:rPr>
        <w:t>。</w:t>
      </w:r>
    </w:p>
    <w:p w14:paraId="32FF7784">
      <w:pPr>
        <w:pStyle w:val="10"/>
        <w:adjustRightInd w:val="0"/>
        <w:spacing w:line="360" w:lineRule="exact"/>
        <w:ind w:firstLine="420" w:firstLineChars="200"/>
        <w:textAlignment w:val="center"/>
        <w:rPr>
          <w:rFonts w:hAnsi="宋体" w:cs="宋体"/>
          <w:kern w:val="0"/>
        </w:rPr>
      </w:pPr>
      <w:r>
        <w:rPr>
          <w:rFonts w:ascii="Times New Roman" w:hAnsi="Times New Roman" w:eastAsia="黑体"/>
        </w:rPr>
        <w:t>其他能源供热</w:t>
      </w:r>
      <w:r>
        <w:rPr>
          <w:rFonts w:eastAsia="黑体"/>
          <w:bCs/>
        </w:rPr>
        <w:t xml:space="preserve">  </w:t>
      </w:r>
      <w:r>
        <w:rPr>
          <w:rFonts w:hint="eastAsia" w:hAnsi="宋体" w:cs="宋体"/>
          <w:kern w:val="0"/>
        </w:rPr>
        <w:t>指未包含在制度中明确列示的各类供热方式。包括利用核能等其他形式的能源进行供热</w:t>
      </w:r>
      <w:r>
        <w:rPr>
          <w:rFonts w:hAnsi="宋体" w:cs="宋体"/>
          <w:kern w:val="0"/>
        </w:rPr>
        <w:t>。</w:t>
      </w:r>
    </w:p>
    <w:p w14:paraId="08D28766">
      <w:pPr>
        <w:pStyle w:val="10"/>
        <w:adjustRightInd w:val="0"/>
        <w:spacing w:line="360" w:lineRule="exact"/>
        <w:ind w:firstLine="420" w:firstLineChars="200"/>
        <w:textAlignment w:val="center"/>
        <w:rPr>
          <w:rFonts w:ascii="Times New Roman" w:hAnsi="Times New Roman" w:cs="Times New Roman"/>
          <w:kern w:val="0"/>
        </w:rPr>
      </w:pPr>
      <w:r>
        <w:rPr>
          <w:rFonts w:hint="eastAsia" w:ascii="Times New Roman" w:hAnsi="Times New Roman" w:eastAsia="黑体" w:cs="Times New Roman"/>
          <w:lang w:eastAsia="zh-CN"/>
        </w:rPr>
        <w:t>氢能</w:t>
      </w:r>
      <w:r>
        <w:rPr>
          <w:rFonts w:eastAsia="黑体"/>
          <w:bCs/>
        </w:rPr>
        <w:t xml:space="preserve">  </w:t>
      </w:r>
      <w:r>
        <w:rPr>
          <w:rFonts w:ascii="Times New Roman" w:hAnsi="Times New Roman" w:cs="Times New Roman"/>
          <w:kern w:val="0"/>
        </w:rPr>
        <w:t>指</w:t>
      </w:r>
      <w:r>
        <w:rPr>
          <w:rFonts w:hint="eastAsia" w:ascii="Times New Roman" w:hAnsi="Times New Roman" w:cs="Times New Roman"/>
          <w:kern w:val="0"/>
        </w:rPr>
        <w:t>氢作为能量载体进行化学反应释放出的能源</w:t>
      </w:r>
      <w:r>
        <w:rPr>
          <w:rFonts w:ascii="Times New Roman" w:hAnsi="Times New Roman" w:cs="Times New Roman"/>
          <w:kern w:val="0"/>
        </w:rPr>
        <w:t>。</w:t>
      </w:r>
    </w:p>
    <w:p w14:paraId="5C2A9F62">
      <w:pPr>
        <w:pStyle w:val="10"/>
        <w:adjustRightInd w:val="0"/>
        <w:spacing w:line="360" w:lineRule="exact"/>
        <w:ind w:firstLine="420" w:firstLineChars="200"/>
        <w:textAlignment w:val="center"/>
        <w:rPr>
          <w:rFonts w:hint="eastAsia" w:ascii="Times New Roman" w:hAnsi="Times New Roman" w:cs="Times New Roman"/>
          <w:kern w:val="0"/>
          <w:lang w:eastAsia="zh-CN"/>
        </w:rPr>
      </w:pPr>
      <w:r>
        <w:rPr>
          <w:rFonts w:hint="eastAsia" w:ascii="Times New Roman" w:hAnsi="Times New Roman" w:eastAsia="黑体" w:cs="Times New Roman"/>
          <w:lang w:eastAsia="zh-CN"/>
        </w:rPr>
        <w:t>氢气</w:t>
      </w:r>
      <w:r>
        <w:rPr>
          <w:rFonts w:eastAsia="黑体"/>
          <w:bCs/>
        </w:rPr>
        <w:t xml:space="preserve">  </w:t>
      </w:r>
      <w:r>
        <w:rPr>
          <w:rFonts w:hint="eastAsia" w:ascii="Times New Roman" w:hAnsi="Times New Roman" w:cs="Times New Roman"/>
          <w:kern w:val="0"/>
        </w:rPr>
        <w:t>常温常压下，是一种极易燃烧的气体</w:t>
      </w:r>
      <w:r>
        <w:rPr>
          <w:rFonts w:hint="eastAsia" w:ascii="Times New Roman" w:hAnsi="Times New Roman" w:cs="Times New Roman"/>
          <w:kern w:val="0"/>
          <w:lang w:eastAsia="zh-CN"/>
        </w:rPr>
        <w:t>，</w:t>
      </w:r>
      <w:r>
        <w:rPr>
          <w:rFonts w:hint="eastAsia" w:ascii="Times New Roman" w:hAnsi="Times New Roman" w:cs="Times New Roman"/>
          <w:kern w:val="0"/>
        </w:rPr>
        <w:t>无色透明、无臭无味且难溶于水</w:t>
      </w:r>
      <w:r>
        <w:rPr>
          <w:rFonts w:hint="eastAsia" w:ascii="Times New Roman" w:hAnsi="Times New Roman" w:cs="Times New Roman"/>
          <w:kern w:val="0"/>
          <w:lang w:eastAsia="zh-CN"/>
        </w:rPr>
        <w:t>。</w:t>
      </w:r>
    </w:p>
    <w:p w14:paraId="3F74338B">
      <w:pPr>
        <w:pStyle w:val="10"/>
        <w:adjustRightInd w:val="0"/>
        <w:spacing w:line="360" w:lineRule="exact"/>
        <w:ind w:firstLine="420" w:firstLineChars="200"/>
        <w:textAlignment w:val="center"/>
        <w:rPr>
          <w:rFonts w:hint="eastAsia" w:ascii="Times New Roman" w:hAnsi="Times New Roman" w:cs="Times New Roman"/>
          <w:kern w:val="0"/>
          <w:lang w:eastAsia="zh-CN"/>
        </w:rPr>
      </w:pPr>
      <w:r>
        <w:rPr>
          <w:rFonts w:hint="eastAsia" w:eastAsia="黑体"/>
          <w:bCs/>
          <w:lang w:eastAsia="zh-CN"/>
        </w:rPr>
        <w:t>煤制氢</w:t>
      </w:r>
      <w:r>
        <w:rPr>
          <w:rFonts w:eastAsia="黑体"/>
          <w:bCs/>
        </w:rPr>
        <w:t xml:space="preserve">  </w:t>
      </w:r>
      <w:r>
        <w:rPr>
          <w:rFonts w:hint="eastAsia" w:ascii="Times New Roman" w:hAnsi="Times New Roman" w:cs="Times New Roman"/>
          <w:kern w:val="0"/>
        </w:rPr>
        <w:t>包括煤的焦化制氢和煤气化制氢，以气化制氢为主，指将煤炭或焦炭原料转化为粗合成气，再产生氢气</w:t>
      </w:r>
      <w:r>
        <w:rPr>
          <w:rFonts w:hint="eastAsia" w:ascii="Times New Roman" w:hAnsi="Times New Roman" w:cs="Times New Roman"/>
          <w:kern w:val="0"/>
          <w:lang w:eastAsia="zh-CN"/>
        </w:rPr>
        <w:t>。</w:t>
      </w:r>
    </w:p>
    <w:p w14:paraId="0483E40B">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天然气制氢</w:t>
      </w:r>
      <w:r>
        <w:rPr>
          <w:rFonts w:eastAsia="黑体"/>
          <w:bCs/>
        </w:rPr>
        <w:t xml:space="preserve">  </w:t>
      </w:r>
      <w:r>
        <w:rPr>
          <w:rFonts w:hint="eastAsia" w:hAnsi="宋体" w:cs="仿宋_GB2312"/>
          <w:kern w:val="0"/>
          <w:sz w:val="21"/>
          <w:szCs w:val="21"/>
        </w:rPr>
        <w:t>指利用天然气部分氧化、高温裂解或自热重整等技术生产的氢气</w:t>
      </w:r>
      <w:r>
        <w:rPr>
          <w:rFonts w:hint="eastAsia" w:hAnsi="宋体" w:cs="仿宋_GB2312"/>
          <w:kern w:val="0"/>
          <w:sz w:val="21"/>
          <w:szCs w:val="21"/>
          <w:lang w:eastAsia="zh-CN"/>
        </w:rPr>
        <w:t>。</w:t>
      </w:r>
    </w:p>
    <w:p w14:paraId="08CB09A8">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电解水制氢</w:t>
      </w:r>
      <w:r>
        <w:rPr>
          <w:rFonts w:eastAsia="黑体"/>
          <w:bCs/>
        </w:rPr>
        <w:t xml:space="preserve">  </w:t>
      </w:r>
      <w:r>
        <w:rPr>
          <w:rFonts w:hint="eastAsia" w:hAnsi="宋体" w:cs="仿宋_GB2312"/>
          <w:kern w:val="0"/>
          <w:sz w:val="21"/>
          <w:szCs w:val="21"/>
        </w:rPr>
        <w:t>指以</w:t>
      </w:r>
      <w:r>
        <w:rPr>
          <w:rFonts w:hint="eastAsia" w:hAnsi="宋体" w:cs="仿宋_GB2312"/>
          <w:kern w:val="0"/>
          <w:sz w:val="21"/>
          <w:szCs w:val="21"/>
          <w:lang w:val="en-US" w:eastAsia="zh-CN"/>
        </w:rPr>
        <w:t>生产氢气为目的，以</w:t>
      </w:r>
      <w:r>
        <w:rPr>
          <w:rFonts w:hint="eastAsia" w:hAnsi="宋体" w:cs="仿宋_GB2312"/>
          <w:kern w:val="0"/>
          <w:sz w:val="21"/>
          <w:szCs w:val="21"/>
        </w:rPr>
        <w:t>水为原料，电解制取的氢气</w:t>
      </w:r>
      <w:r>
        <w:rPr>
          <w:rFonts w:hint="eastAsia" w:hAnsi="宋体" w:cs="仿宋_GB2312"/>
          <w:kern w:val="0"/>
          <w:sz w:val="21"/>
          <w:szCs w:val="21"/>
          <w:lang w:eastAsia="zh-CN"/>
        </w:rPr>
        <w:t>。</w:t>
      </w:r>
    </w:p>
    <w:p w14:paraId="20A86AC4">
      <w:pPr>
        <w:pStyle w:val="10"/>
        <w:adjustRightInd w:val="0"/>
        <w:spacing w:line="360" w:lineRule="exact"/>
        <w:ind w:firstLine="420" w:firstLineChars="200"/>
        <w:textAlignment w:val="center"/>
        <w:rPr>
          <w:rFonts w:hint="eastAsia" w:hAnsi="宋体" w:cs="仿宋_GB2312"/>
          <w:color w:val="auto"/>
          <w:kern w:val="0"/>
          <w:sz w:val="21"/>
          <w:szCs w:val="21"/>
          <w:lang w:eastAsia="zh-CN"/>
        </w:rPr>
      </w:pPr>
      <w:r>
        <w:rPr>
          <w:rFonts w:hint="eastAsia" w:ascii="黑体" w:hAnsi="黑体" w:eastAsia="黑体" w:cs="黑体"/>
          <w:color w:val="auto"/>
          <w:sz w:val="21"/>
          <w:szCs w:val="21"/>
          <w:u w:val="none"/>
          <w:lang w:val="en"/>
        </w:rPr>
        <w:t>可再生能源电解水制氢</w:t>
      </w:r>
      <w:r>
        <w:rPr>
          <w:rFonts w:hint="eastAsia" w:ascii="仿宋_GB2312" w:hAnsi="仿宋_GB2312" w:eastAsia="仿宋_GB2312" w:cs="仿宋_GB2312"/>
          <w:color w:val="auto"/>
          <w:sz w:val="21"/>
          <w:szCs w:val="21"/>
          <w:u w:val="none"/>
          <w:lang w:val="en"/>
        </w:rPr>
        <w:t xml:space="preserve">  </w:t>
      </w:r>
      <w:r>
        <w:rPr>
          <w:rFonts w:hint="eastAsia" w:ascii="宋体" w:hAnsi="宋体" w:eastAsia="宋体" w:cs="宋体"/>
          <w:color w:val="auto"/>
          <w:sz w:val="21"/>
          <w:szCs w:val="21"/>
          <w:u w:val="none"/>
          <w:lang w:val="en"/>
        </w:rPr>
        <w:t>指利用水力发电、风力发电、太阳能发电、</w:t>
      </w:r>
      <w:r>
        <w:rPr>
          <w:rFonts w:hint="eastAsia" w:ascii="宋体" w:hAnsi="宋体" w:eastAsia="宋体" w:cs="宋体"/>
          <w:color w:val="auto"/>
          <w:sz w:val="21"/>
          <w:szCs w:val="21"/>
          <w:highlight w:val="none"/>
          <w:u w:val="none"/>
          <w:lang w:val="en"/>
        </w:rPr>
        <w:t>生物质发电、</w:t>
      </w:r>
      <w:r>
        <w:rPr>
          <w:rFonts w:hint="eastAsia" w:ascii="宋体" w:hAnsi="宋体" w:eastAsia="宋体" w:cs="宋体"/>
          <w:color w:val="auto"/>
          <w:sz w:val="21"/>
          <w:szCs w:val="21"/>
          <w:u w:val="none"/>
          <w:lang w:val="en"/>
        </w:rPr>
        <w:t>地热能发电等可再生能源电力电解水制取的氢气。</w:t>
      </w:r>
    </w:p>
    <w:p w14:paraId="38F1E7C6">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混合气体分离制氢</w:t>
      </w:r>
      <w:r>
        <w:rPr>
          <w:rFonts w:eastAsia="黑体"/>
          <w:bCs/>
        </w:rPr>
        <w:t xml:space="preserve">  </w:t>
      </w:r>
      <w:r>
        <w:rPr>
          <w:rFonts w:hint="eastAsia" w:hAnsi="宋体" w:cs="仿宋_GB2312"/>
          <w:kern w:val="0"/>
          <w:sz w:val="21"/>
          <w:szCs w:val="21"/>
        </w:rPr>
        <w:t>指利用气体沸点不同，通过制冷加压分离提纯的氢气，多见于焦炉煤气逐步提纯为氢气和一氧化碳</w:t>
      </w:r>
      <w:r>
        <w:rPr>
          <w:rFonts w:hint="eastAsia" w:hAnsi="宋体" w:cs="仿宋_GB2312"/>
          <w:kern w:val="0"/>
          <w:sz w:val="21"/>
          <w:szCs w:val="21"/>
          <w:lang w:eastAsia="zh-CN"/>
        </w:rPr>
        <w:t>。</w:t>
      </w:r>
    </w:p>
    <w:p w14:paraId="0B863DA3">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石</w:t>
      </w:r>
      <w:r>
        <w:rPr>
          <w:rFonts w:hint="eastAsia" w:eastAsia="黑体"/>
          <w:bCs/>
          <w:lang w:val="en-US" w:eastAsia="zh-CN"/>
        </w:rPr>
        <w:t>油</w:t>
      </w:r>
      <w:r>
        <w:rPr>
          <w:rFonts w:hint="eastAsia" w:eastAsia="黑体"/>
          <w:bCs/>
          <w:lang w:eastAsia="zh-CN"/>
        </w:rPr>
        <w:t>化</w:t>
      </w:r>
      <w:r>
        <w:rPr>
          <w:rFonts w:hint="eastAsia" w:eastAsia="黑体"/>
          <w:bCs/>
          <w:lang w:val="en-US" w:eastAsia="zh-CN"/>
        </w:rPr>
        <w:t>工</w:t>
      </w:r>
      <w:r>
        <w:rPr>
          <w:rFonts w:hint="eastAsia" w:eastAsia="黑体"/>
          <w:bCs/>
          <w:lang w:eastAsia="zh-CN"/>
        </w:rPr>
        <w:t>原料制氢</w:t>
      </w:r>
      <w:r>
        <w:rPr>
          <w:rFonts w:eastAsia="黑体"/>
          <w:bCs/>
        </w:rPr>
        <w:t xml:space="preserve">  </w:t>
      </w:r>
      <w:r>
        <w:rPr>
          <w:rFonts w:hint="eastAsia" w:hAnsi="宋体" w:cs="仿宋_GB2312"/>
          <w:kern w:val="0"/>
          <w:sz w:val="21"/>
          <w:szCs w:val="21"/>
        </w:rPr>
        <w:t>指通过石油裂解或甲醇、乙醇、液氨等化工原料裂解生产的氢气</w:t>
      </w:r>
      <w:r>
        <w:rPr>
          <w:rFonts w:hint="eastAsia" w:hAnsi="宋体" w:cs="仿宋_GB2312"/>
          <w:kern w:val="0"/>
          <w:sz w:val="21"/>
          <w:szCs w:val="21"/>
          <w:lang w:eastAsia="zh-CN"/>
        </w:rPr>
        <w:t>。</w:t>
      </w:r>
    </w:p>
    <w:p w14:paraId="6C4481BD">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工业副产氢</w:t>
      </w:r>
      <w:r>
        <w:rPr>
          <w:rFonts w:eastAsia="黑体"/>
          <w:bCs/>
        </w:rPr>
        <w:t xml:space="preserve">  </w:t>
      </w:r>
      <w:r>
        <w:rPr>
          <w:rFonts w:hint="eastAsia" w:hAnsi="宋体" w:cs="仿宋_GB2312"/>
          <w:kern w:val="0"/>
          <w:sz w:val="21"/>
          <w:szCs w:val="21"/>
        </w:rPr>
        <w:t>指以氯碱工业、酿造工业为主的工业生产过程中，</w:t>
      </w:r>
      <w:r>
        <w:rPr>
          <w:rFonts w:hint="eastAsia" w:hAnsi="宋体" w:cs="仿宋_GB2312"/>
          <w:kern w:val="0"/>
          <w:sz w:val="21"/>
          <w:szCs w:val="21"/>
          <w:lang w:val="en-US" w:eastAsia="zh-CN"/>
        </w:rPr>
        <w:t>伴随主要工业产品（如烧碱等）产出</w:t>
      </w:r>
      <w:r>
        <w:rPr>
          <w:rFonts w:hint="eastAsia" w:hAnsi="宋体" w:cs="仿宋_GB2312"/>
          <w:kern w:val="0"/>
          <w:sz w:val="21"/>
          <w:szCs w:val="21"/>
        </w:rPr>
        <w:t>的氢气</w:t>
      </w:r>
      <w:r>
        <w:rPr>
          <w:rFonts w:hint="eastAsia" w:hAnsi="宋体" w:cs="仿宋_GB2312"/>
          <w:kern w:val="0"/>
          <w:sz w:val="21"/>
          <w:szCs w:val="21"/>
          <w:lang w:eastAsia="zh-CN"/>
        </w:rPr>
        <w:t>。</w:t>
      </w:r>
    </w:p>
    <w:p w14:paraId="587862D2">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太阳能制氢</w:t>
      </w:r>
      <w:r>
        <w:rPr>
          <w:rFonts w:eastAsia="黑体"/>
          <w:bCs/>
        </w:rPr>
        <w:t xml:space="preserve">  </w:t>
      </w:r>
      <w:r>
        <w:rPr>
          <w:rFonts w:hint="eastAsia" w:hAnsi="宋体" w:cs="仿宋_GB2312"/>
          <w:kern w:val="0"/>
          <w:sz w:val="21"/>
          <w:szCs w:val="21"/>
        </w:rPr>
        <w:t>包括太阳能热化学制氢和太阳能光解水制氢，指利用太阳能的热量与热化学耦合生产氢气，或利用太阳光的能量通过光催化、光电化学或光生物学等过程分解水生产氢气</w:t>
      </w:r>
      <w:r>
        <w:rPr>
          <w:rFonts w:hint="eastAsia" w:hAnsi="宋体" w:cs="仿宋_GB2312"/>
          <w:kern w:val="0"/>
          <w:sz w:val="21"/>
          <w:szCs w:val="21"/>
          <w:lang w:eastAsia="zh-CN"/>
        </w:rPr>
        <w:t>。</w:t>
      </w:r>
    </w:p>
    <w:p w14:paraId="561BA054">
      <w:pPr>
        <w:pStyle w:val="10"/>
        <w:adjustRightInd w:val="0"/>
        <w:spacing w:line="360" w:lineRule="exact"/>
        <w:ind w:firstLine="420" w:firstLineChars="200"/>
        <w:textAlignment w:val="center"/>
        <w:rPr>
          <w:rFonts w:hint="eastAsia" w:hAnsi="宋体" w:cs="仿宋_GB2312"/>
          <w:kern w:val="0"/>
          <w:sz w:val="21"/>
          <w:szCs w:val="21"/>
          <w:lang w:eastAsia="zh-CN"/>
        </w:rPr>
      </w:pPr>
      <w:r>
        <w:rPr>
          <w:rFonts w:hint="eastAsia" w:eastAsia="黑体"/>
          <w:bCs/>
          <w:lang w:eastAsia="zh-CN"/>
        </w:rPr>
        <w:t>核能制氢</w:t>
      </w:r>
      <w:r>
        <w:rPr>
          <w:rFonts w:eastAsia="黑体"/>
          <w:bCs/>
        </w:rPr>
        <w:t xml:space="preserve">  </w:t>
      </w:r>
      <w:r>
        <w:rPr>
          <w:rFonts w:hint="eastAsia" w:hAnsi="宋体" w:cs="仿宋_GB2312"/>
          <w:kern w:val="0"/>
          <w:sz w:val="21"/>
          <w:szCs w:val="21"/>
          <w:lang w:eastAsia="zh-CN"/>
        </w:rPr>
        <w:t>指利用核能的热量与热化学反应耦合生产的氢气。</w:t>
      </w:r>
    </w:p>
    <w:p w14:paraId="5D4DBB4D">
      <w:pPr>
        <w:snapToGrid w:val="0"/>
        <w:spacing w:before="0" w:beforeLines="0" w:after="0" w:afterLines="0" w:line="360" w:lineRule="exact"/>
        <w:ind w:firstLine="420" w:firstLineChars="200"/>
        <w:jc w:val="both"/>
        <w:textAlignment w:val="center"/>
        <w:outlineLvl w:val="9"/>
      </w:pPr>
      <w:r>
        <w:rPr>
          <w:rFonts w:hint="eastAsia" w:eastAsia="黑体"/>
          <w:bCs/>
          <w:lang w:eastAsia="zh-CN"/>
        </w:rPr>
        <w:t>其他方式制氢</w:t>
      </w:r>
      <w:r>
        <w:rPr>
          <w:rFonts w:eastAsia="黑体"/>
          <w:bCs/>
        </w:rPr>
        <w:t xml:space="preserve">  </w:t>
      </w:r>
      <w:r>
        <w:rPr>
          <w:rFonts w:hint="eastAsia" w:hAnsi="宋体" w:cs="仿宋_GB2312"/>
          <w:kern w:val="0"/>
          <w:sz w:val="21"/>
          <w:szCs w:val="21"/>
          <w:lang w:eastAsia="zh-CN"/>
        </w:rPr>
        <w:t>指制度中未明确列示的其他制取氢气的方法，如生物质热解制氢、生物制氢、热化学制氢等。</w:t>
      </w:r>
    </w:p>
    <w:p w14:paraId="7377E7D7">
      <w:pPr>
        <w:snapToGrid w:val="0"/>
        <w:spacing w:before="240" w:beforeLines="100" w:after="240" w:afterLines="100" w:line="360" w:lineRule="exact"/>
        <w:jc w:val="center"/>
        <w:textAlignment w:val="center"/>
        <w:outlineLvl w:val="1"/>
        <w:rPr>
          <w:rFonts w:eastAsia="黑体"/>
          <w:sz w:val="28"/>
          <w:szCs w:val="28"/>
        </w:rPr>
      </w:pPr>
      <w:r>
        <w:br w:type="page"/>
      </w:r>
      <w:r>
        <w:rPr>
          <w:rFonts w:eastAsia="黑体"/>
          <w:sz w:val="28"/>
          <w:szCs w:val="28"/>
        </w:rPr>
        <w:t>（四）分行业能源消费量目录（P303-2表、P303-3表、P303-5表）</w:t>
      </w:r>
    </w:p>
    <w:tbl>
      <w:tblPr>
        <w:tblStyle w:val="20"/>
        <w:tblW w:w="9412" w:type="dxa"/>
        <w:tblInd w:w="0" w:type="dxa"/>
        <w:tblBorders>
          <w:top w:val="single" w:color="auto" w:sz="8" w:space="0"/>
          <w:left w:val="none" w:color="auto" w:sz="0" w:space="0"/>
          <w:bottom w:val="single" w:color="auto" w:sz="8" w:space="0"/>
          <w:right w:val="none" w:color="auto" w:sz="0" w:space="0"/>
          <w:insideH w:val="double" w:color="auto" w:sz="4" w:space="0"/>
          <w:insideV w:val="double" w:color="auto" w:sz="4" w:space="0"/>
        </w:tblBorders>
        <w:tblLayout w:type="fixed"/>
        <w:tblCellMar>
          <w:top w:w="0" w:type="dxa"/>
          <w:left w:w="28" w:type="dxa"/>
          <w:bottom w:w="0" w:type="dxa"/>
          <w:right w:w="28" w:type="dxa"/>
        </w:tblCellMar>
      </w:tblPr>
      <w:tblGrid>
        <w:gridCol w:w="4706"/>
        <w:gridCol w:w="4706"/>
      </w:tblGrid>
      <w:tr w14:paraId="683DC506">
        <w:tblPrEx>
          <w:tblBorders>
            <w:top w:val="single" w:color="auto" w:sz="8" w:space="0"/>
            <w:left w:val="none" w:color="auto" w:sz="0" w:space="0"/>
            <w:bottom w:val="single" w:color="auto" w:sz="8" w:space="0"/>
            <w:right w:val="none" w:color="auto" w:sz="0" w:space="0"/>
            <w:insideH w:val="double" w:color="auto" w:sz="4" w:space="0"/>
            <w:insideV w:val="double" w:color="auto" w:sz="4" w:space="0"/>
          </w:tblBorders>
          <w:tblCellMar>
            <w:top w:w="0" w:type="dxa"/>
            <w:left w:w="28" w:type="dxa"/>
            <w:bottom w:w="0" w:type="dxa"/>
            <w:right w:w="28" w:type="dxa"/>
          </w:tblCellMar>
        </w:tblPrEx>
        <w:trPr>
          <w:trHeight w:val="7945" w:hRule="atLeast"/>
        </w:trPr>
        <w:tc>
          <w:tcPr>
            <w:tcW w:w="4706" w:type="dxa"/>
          </w:tcPr>
          <w:p w14:paraId="4EDC7CD5">
            <w:pPr>
              <w:spacing w:line="320" w:lineRule="exact"/>
              <w:ind w:right="-57"/>
              <w:rPr>
                <w:spacing w:val="-4"/>
                <w:sz w:val="18"/>
                <w:szCs w:val="18"/>
              </w:rPr>
            </w:pPr>
            <w:r>
              <w:rPr>
                <w:spacing w:val="-4"/>
                <w:sz w:val="18"/>
                <w:szCs w:val="18"/>
              </w:rPr>
              <w:t>消费合计</w:t>
            </w:r>
          </w:p>
          <w:p w14:paraId="666B6FD9">
            <w:pPr>
              <w:spacing w:line="320" w:lineRule="exact"/>
              <w:ind w:right="-57"/>
              <w:rPr>
                <w:spacing w:val="-4"/>
                <w:sz w:val="18"/>
                <w:szCs w:val="18"/>
              </w:rPr>
            </w:pPr>
            <w:r>
              <w:rPr>
                <w:spacing w:val="-4"/>
                <w:sz w:val="18"/>
                <w:szCs w:val="18"/>
              </w:rPr>
              <w:t>A.农、林、牧、渔业</w:t>
            </w:r>
          </w:p>
          <w:p w14:paraId="78E5CEC0">
            <w:pPr>
              <w:spacing w:line="320" w:lineRule="exact"/>
              <w:ind w:right="-57"/>
              <w:rPr>
                <w:spacing w:val="-4"/>
                <w:sz w:val="18"/>
                <w:szCs w:val="18"/>
              </w:rPr>
            </w:pPr>
            <w:r>
              <w:rPr>
                <w:sz w:val="18"/>
                <w:szCs w:val="18"/>
              </w:rPr>
              <w:t>B.</w:t>
            </w:r>
            <w:r>
              <w:rPr>
                <w:spacing w:val="-4"/>
                <w:sz w:val="18"/>
                <w:szCs w:val="18"/>
              </w:rPr>
              <w:t>采矿业</w:t>
            </w:r>
          </w:p>
          <w:p w14:paraId="5974B13A">
            <w:pPr>
              <w:spacing w:line="320" w:lineRule="exact"/>
              <w:ind w:firstLine="344" w:firstLineChars="200"/>
              <w:rPr>
                <w:spacing w:val="-4"/>
                <w:sz w:val="18"/>
                <w:szCs w:val="18"/>
              </w:rPr>
            </w:pPr>
            <w:r>
              <w:rPr>
                <w:spacing w:val="-4"/>
                <w:sz w:val="18"/>
                <w:szCs w:val="18"/>
              </w:rPr>
              <w:t>06煤炭开采和洗选业</w:t>
            </w:r>
          </w:p>
          <w:p w14:paraId="7AE52C05">
            <w:pPr>
              <w:spacing w:line="320" w:lineRule="exact"/>
              <w:ind w:firstLine="344" w:firstLineChars="200"/>
              <w:rPr>
                <w:spacing w:val="-4"/>
                <w:sz w:val="18"/>
                <w:szCs w:val="18"/>
              </w:rPr>
            </w:pPr>
            <w:r>
              <w:rPr>
                <w:spacing w:val="-4"/>
                <w:sz w:val="18"/>
                <w:szCs w:val="18"/>
              </w:rPr>
              <w:t>07石油和天然气开采业</w:t>
            </w:r>
          </w:p>
          <w:p w14:paraId="2A8808B3">
            <w:pPr>
              <w:spacing w:line="320" w:lineRule="exact"/>
              <w:ind w:firstLine="344" w:firstLineChars="200"/>
              <w:rPr>
                <w:spacing w:val="-4"/>
                <w:sz w:val="18"/>
                <w:szCs w:val="18"/>
              </w:rPr>
            </w:pPr>
            <w:r>
              <w:rPr>
                <w:spacing w:val="-4"/>
                <w:sz w:val="18"/>
                <w:szCs w:val="18"/>
              </w:rPr>
              <w:t>08黑色金属矿采选业</w:t>
            </w:r>
          </w:p>
          <w:p w14:paraId="76F52D1F">
            <w:pPr>
              <w:spacing w:line="320" w:lineRule="exact"/>
              <w:ind w:firstLine="344" w:firstLineChars="200"/>
              <w:rPr>
                <w:spacing w:val="-4"/>
                <w:sz w:val="18"/>
                <w:szCs w:val="18"/>
              </w:rPr>
            </w:pPr>
            <w:r>
              <w:rPr>
                <w:spacing w:val="-4"/>
                <w:sz w:val="18"/>
                <w:szCs w:val="18"/>
              </w:rPr>
              <w:t>09有色金属矿采选业</w:t>
            </w:r>
          </w:p>
          <w:p w14:paraId="53986638">
            <w:pPr>
              <w:spacing w:line="320" w:lineRule="exact"/>
              <w:ind w:firstLine="344" w:firstLineChars="200"/>
              <w:rPr>
                <w:spacing w:val="-4"/>
                <w:sz w:val="18"/>
                <w:szCs w:val="18"/>
              </w:rPr>
            </w:pPr>
            <w:r>
              <w:rPr>
                <w:spacing w:val="-4"/>
                <w:sz w:val="18"/>
                <w:szCs w:val="18"/>
              </w:rPr>
              <w:t>10非金属矿采选业</w:t>
            </w:r>
          </w:p>
          <w:p w14:paraId="3025C0EC">
            <w:pPr>
              <w:spacing w:line="320" w:lineRule="exact"/>
              <w:ind w:firstLine="344" w:firstLineChars="200"/>
              <w:rPr>
                <w:spacing w:val="-4"/>
                <w:sz w:val="18"/>
                <w:szCs w:val="18"/>
              </w:rPr>
            </w:pPr>
            <w:r>
              <w:rPr>
                <w:spacing w:val="-4"/>
                <w:sz w:val="18"/>
                <w:szCs w:val="18"/>
              </w:rPr>
              <w:t>11开采</w:t>
            </w:r>
            <w:r>
              <w:rPr>
                <w:rFonts w:hint="eastAsia"/>
                <w:spacing w:val="-4"/>
                <w:sz w:val="18"/>
                <w:szCs w:val="18"/>
              </w:rPr>
              <w:t>专业</w:t>
            </w:r>
            <w:r>
              <w:rPr>
                <w:spacing w:val="-4"/>
                <w:sz w:val="18"/>
                <w:szCs w:val="18"/>
              </w:rPr>
              <w:t>及辅助</w:t>
            </w:r>
            <w:r>
              <w:rPr>
                <w:rFonts w:hint="eastAsia"/>
                <w:spacing w:val="-4"/>
                <w:sz w:val="18"/>
                <w:szCs w:val="18"/>
              </w:rPr>
              <w:t>性</w:t>
            </w:r>
            <w:r>
              <w:rPr>
                <w:spacing w:val="-4"/>
                <w:sz w:val="18"/>
                <w:szCs w:val="18"/>
              </w:rPr>
              <w:t>活动</w:t>
            </w:r>
          </w:p>
          <w:p w14:paraId="76315E07">
            <w:pPr>
              <w:spacing w:line="320" w:lineRule="exact"/>
              <w:ind w:firstLine="344" w:firstLineChars="200"/>
              <w:rPr>
                <w:spacing w:val="-4"/>
                <w:sz w:val="18"/>
                <w:szCs w:val="18"/>
              </w:rPr>
            </w:pPr>
            <w:r>
              <w:rPr>
                <w:spacing w:val="-4"/>
                <w:sz w:val="18"/>
                <w:szCs w:val="18"/>
              </w:rPr>
              <w:t>12其他采矿业</w:t>
            </w:r>
          </w:p>
          <w:p w14:paraId="5778F7DF">
            <w:pPr>
              <w:spacing w:line="320" w:lineRule="exact"/>
              <w:ind w:right="-57"/>
              <w:rPr>
                <w:spacing w:val="-4"/>
                <w:sz w:val="18"/>
                <w:szCs w:val="18"/>
              </w:rPr>
            </w:pPr>
            <w:r>
              <w:rPr>
                <w:spacing w:val="-4"/>
                <w:sz w:val="18"/>
                <w:szCs w:val="18"/>
              </w:rPr>
              <w:t>C.制造业</w:t>
            </w:r>
          </w:p>
          <w:p w14:paraId="0E4AECBF">
            <w:pPr>
              <w:spacing w:line="320" w:lineRule="exact"/>
              <w:ind w:firstLine="344" w:firstLineChars="200"/>
              <w:rPr>
                <w:spacing w:val="-4"/>
                <w:sz w:val="18"/>
                <w:szCs w:val="18"/>
              </w:rPr>
            </w:pPr>
            <w:r>
              <w:rPr>
                <w:spacing w:val="-4"/>
                <w:sz w:val="18"/>
                <w:szCs w:val="18"/>
              </w:rPr>
              <w:t>13农副食品加工业</w:t>
            </w:r>
          </w:p>
          <w:p w14:paraId="27AC9C35">
            <w:pPr>
              <w:spacing w:line="320" w:lineRule="exact"/>
              <w:ind w:firstLine="344" w:firstLineChars="200"/>
              <w:rPr>
                <w:spacing w:val="-4"/>
                <w:sz w:val="18"/>
                <w:szCs w:val="18"/>
              </w:rPr>
            </w:pPr>
            <w:r>
              <w:rPr>
                <w:spacing w:val="-4"/>
                <w:sz w:val="18"/>
                <w:szCs w:val="18"/>
              </w:rPr>
              <w:t>14食品制造业</w:t>
            </w:r>
          </w:p>
          <w:p w14:paraId="6E3057E2">
            <w:pPr>
              <w:spacing w:line="320" w:lineRule="exact"/>
              <w:ind w:firstLine="344" w:firstLineChars="200"/>
              <w:rPr>
                <w:spacing w:val="-4"/>
                <w:sz w:val="18"/>
                <w:szCs w:val="18"/>
              </w:rPr>
            </w:pPr>
            <w:r>
              <w:rPr>
                <w:spacing w:val="-4"/>
                <w:sz w:val="18"/>
                <w:szCs w:val="18"/>
              </w:rPr>
              <w:t>15酒、饮料和精制茶制造业</w:t>
            </w:r>
          </w:p>
          <w:p w14:paraId="2064AD4D">
            <w:pPr>
              <w:spacing w:line="320" w:lineRule="exact"/>
              <w:ind w:firstLine="344" w:firstLineChars="200"/>
              <w:rPr>
                <w:spacing w:val="-4"/>
                <w:sz w:val="18"/>
                <w:szCs w:val="18"/>
              </w:rPr>
            </w:pPr>
            <w:r>
              <w:rPr>
                <w:spacing w:val="-4"/>
                <w:sz w:val="18"/>
                <w:szCs w:val="18"/>
              </w:rPr>
              <w:t>16烟草制品业</w:t>
            </w:r>
          </w:p>
          <w:p w14:paraId="6AE5AF24">
            <w:pPr>
              <w:spacing w:line="320" w:lineRule="exact"/>
              <w:ind w:firstLine="344" w:firstLineChars="200"/>
              <w:rPr>
                <w:spacing w:val="-4"/>
                <w:sz w:val="18"/>
                <w:szCs w:val="18"/>
              </w:rPr>
            </w:pPr>
            <w:r>
              <w:rPr>
                <w:spacing w:val="-4"/>
                <w:sz w:val="18"/>
                <w:szCs w:val="18"/>
              </w:rPr>
              <w:t>17纺织业</w:t>
            </w:r>
          </w:p>
          <w:p w14:paraId="43012559">
            <w:pPr>
              <w:spacing w:line="320" w:lineRule="exact"/>
              <w:ind w:firstLine="344" w:firstLineChars="200"/>
              <w:rPr>
                <w:spacing w:val="-4"/>
                <w:sz w:val="18"/>
                <w:szCs w:val="18"/>
              </w:rPr>
            </w:pPr>
            <w:r>
              <w:rPr>
                <w:spacing w:val="-4"/>
                <w:sz w:val="18"/>
                <w:szCs w:val="18"/>
              </w:rPr>
              <w:t>18纺织服装、服饰业</w:t>
            </w:r>
          </w:p>
          <w:p w14:paraId="123FC398">
            <w:pPr>
              <w:spacing w:line="320" w:lineRule="exact"/>
              <w:ind w:firstLine="344" w:firstLineChars="200"/>
              <w:rPr>
                <w:spacing w:val="-4"/>
                <w:sz w:val="18"/>
                <w:szCs w:val="18"/>
              </w:rPr>
            </w:pPr>
            <w:r>
              <w:rPr>
                <w:spacing w:val="-4"/>
                <w:sz w:val="18"/>
                <w:szCs w:val="18"/>
              </w:rPr>
              <w:t>19皮革、毛皮、羽毛及其制品和制鞋业</w:t>
            </w:r>
          </w:p>
          <w:p w14:paraId="13FA3EBC">
            <w:pPr>
              <w:spacing w:line="320" w:lineRule="exact"/>
              <w:ind w:firstLine="344" w:firstLineChars="200"/>
              <w:rPr>
                <w:spacing w:val="-8"/>
                <w:sz w:val="18"/>
                <w:szCs w:val="18"/>
              </w:rPr>
            </w:pPr>
            <w:r>
              <w:rPr>
                <w:spacing w:val="-4"/>
                <w:sz w:val="18"/>
                <w:szCs w:val="18"/>
              </w:rPr>
              <w:t>20</w:t>
            </w:r>
            <w:r>
              <w:rPr>
                <w:spacing w:val="-8"/>
                <w:sz w:val="18"/>
                <w:szCs w:val="18"/>
              </w:rPr>
              <w:t>木材加工</w:t>
            </w:r>
            <w:r>
              <w:rPr>
                <w:rFonts w:hint="eastAsia"/>
                <w:spacing w:val="-8"/>
                <w:sz w:val="18"/>
                <w:szCs w:val="18"/>
                <w:lang w:eastAsia="zh-CN"/>
              </w:rPr>
              <w:t>和</w:t>
            </w:r>
            <w:r>
              <w:rPr>
                <w:spacing w:val="-8"/>
                <w:sz w:val="18"/>
                <w:szCs w:val="18"/>
              </w:rPr>
              <w:t>木、竹、藤、棕、草制品业</w:t>
            </w:r>
          </w:p>
          <w:p w14:paraId="40F60034">
            <w:pPr>
              <w:spacing w:line="320" w:lineRule="exact"/>
              <w:ind w:firstLine="344" w:firstLineChars="200"/>
              <w:rPr>
                <w:spacing w:val="-4"/>
                <w:sz w:val="18"/>
                <w:szCs w:val="18"/>
              </w:rPr>
            </w:pPr>
            <w:r>
              <w:rPr>
                <w:spacing w:val="-4"/>
                <w:sz w:val="18"/>
                <w:szCs w:val="18"/>
              </w:rPr>
              <w:t>21家具制造业</w:t>
            </w:r>
          </w:p>
          <w:p w14:paraId="2C17CD5B">
            <w:pPr>
              <w:spacing w:line="320" w:lineRule="exact"/>
              <w:ind w:firstLine="344" w:firstLineChars="200"/>
              <w:rPr>
                <w:spacing w:val="-4"/>
                <w:sz w:val="18"/>
                <w:szCs w:val="18"/>
              </w:rPr>
            </w:pPr>
            <w:r>
              <w:rPr>
                <w:spacing w:val="-4"/>
                <w:sz w:val="18"/>
                <w:szCs w:val="18"/>
              </w:rPr>
              <w:t>22造纸和纸制品业</w:t>
            </w:r>
          </w:p>
          <w:p w14:paraId="17D5864F">
            <w:pPr>
              <w:spacing w:line="320" w:lineRule="exact"/>
              <w:ind w:firstLine="344" w:firstLineChars="200"/>
              <w:rPr>
                <w:spacing w:val="-4"/>
                <w:sz w:val="18"/>
                <w:szCs w:val="18"/>
              </w:rPr>
            </w:pPr>
            <w:r>
              <w:rPr>
                <w:spacing w:val="-4"/>
                <w:sz w:val="18"/>
                <w:szCs w:val="18"/>
              </w:rPr>
              <w:t>23印刷和记录媒介复制</w:t>
            </w:r>
            <w:r>
              <w:rPr>
                <w:rFonts w:hint="eastAsia"/>
                <w:spacing w:val="-4"/>
                <w:sz w:val="18"/>
                <w:szCs w:val="18"/>
              </w:rPr>
              <w:t>业</w:t>
            </w:r>
          </w:p>
          <w:p w14:paraId="0DA1083F">
            <w:pPr>
              <w:spacing w:line="320" w:lineRule="exact"/>
              <w:ind w:firstLine="344" w:firstLineChars="200"/>
              <w:rPr>
                <w:spacing w:val="-4"/>
                <w:sz w:val="18"/>
                <w:szCs w:val="18"/>
              </w:rPr>
            </w:pPr>
            <w:r>
              <w:rPr>
                <w:spacing w:val="-4"/>
                <w:sz w:val="18"/>
                <w:szCs w:val="18"/>
              </w:rPr>
              <w:t>24文教、工美、体育和娱乐用品制造业</w:t>
            </w:r>
          </w:p>
          <w:p w14:paraId="1880A790">
            <w:pPr>
              <w:spacing w:line="320" w:lineRule="exact"/>
              <w:ind w:firstLine="344" w:firstLineChars="200"/>
              <w:rPr>
                <w:spacing w:val="-4"/>
                <w:sz w:val="18"/>
                <w:szCs w:val="18"/>
              </w:rPr>
            </w:pPr>
            <w:r>
              <w:rPr>
                <w:spacing w:val="-4"/>
                <w:sz w:val="18"/>
                <w:szCs w:val="18"/>
              </w:rPr>
              <w:t>25石油</w:t>
            </w:r>
            <w:r>
              <w:rPr>
                <w:rFonts w:hint="eastAsia"/>
                <w:spacing w:val="-4"/>
                <w:sz w:val="18"/>
                <w:szCs w:val="18"/>
              </w:rPr>
              <w:t>、</w:t>
            </w:r>
            <w:r>
              <w:rPr>
                <w:spacing w:val="-4"/>
                <w:sz w:val="18"/>
                <w:szCs w:val="18"/>
              </w:rPr>
              <w:t>煤炭</w:t>
            </w:r>
            <w:r>
              <w:rPr>
                <w:rFonts w:hint="eastAsia"/>
                <w:spacing w:val="-4"/>
                <w:sz w:val="18"/>
                <w:szCs w:val="18"/>
              </w:rPr>
              <w:t>及其他燃料</w:t>
            </w:r>
            <w:r>
              <w:rPr>
                <w:spacing w:val="-4"/>
                <w:sz w:val="18"/>
                <w:szCs w:val="18"/>
              </w:rPr>
              <w:t>加工业</w:t>
            </w:r>
          </w:p>
          <w:p w14:paraId="757121E8">
            <w:pPr>
              <w:spacing w:line="320" w:lineRule="exact"/>
              <w:ind w:firstLine="344" w:firstLineChars="200"/>
              <w:rPr>
                <w:spacing w:val="-4"/>
                <w:sz w:val="18"/>
                <w:szCs w:val="18"/>
              </w:rPr>
            </w:pPr>
            <w:r>
              <w:rPr>
                <w:spacing w:val="-4"/>
                <w:sz w:val="18"/>
                <w:szCs w:val="18"/>
              </w:rPr>
              <w:t>26化学原料和化学制品制造业</w:t>
            </w:r>
          </w:p>
          <w:p w14:paraId="6E63EE5D">
            <w:pPr>
              <w:spacing w:line="320" w:lineRule="exact"/>
              <w:ind w:firstLine="344" w:firstLineChars="200"/>
              <w:rPr>
                <w:spacing w:val="-4"/>
                <w:sz w:val="18"/>
                <w:szCs w:val="18"/>
              </w:rPr>
            </w:pPr>
            <w:r>
              <w:rPr>
                <w:spacing w:val="-4"/>
                <w:sz w:val="18"/>
                <w:szCs w:val="18"/>
              </w:rPr>
              <w:t>27医药制造业</w:t>
            </w:r>
          </w:p>
          <w:p w14:paraId="5CC9145D">
            <w:pPr>
              <w:spacing w:line="320" w:lineRule="exact"/>
              <w:ind w:firstLine="344" w:firstLineChars="200"/>
              <w:rPr>
                <w:spacing w:val="-4"/>
                <w:sz w:val="18"/>
                <w:szCs w:val="18"/>
              </w:rPr>
            </w:pPr>
            <w:r>
              <w:rPr>
                <w:spacing w:val="-4"/>
                <w:sz w:val="18"/>
                <w:szCs w:val="18"/>
              </w:rPr>
              <w:t>28化学纤维制造业</w:t>
            </w:r>
          </w:p>
          <w:p w14:paraId="4E359CC1">
            <w:pPr>
              <w:spacing w:line="320" w:lineRule="exact"/>
              <w:ind w:firstLine="344" w:firstLineChars="200"/>
              <w:rPr>
                <w:spacing w:val="-4"/>
                <w:sz w:val="18"/>
                <w:szCs w:val="18"/>
              </w:rPr>
            </w:pPr>
            <w:r>
              <w:rPr>
                <w:spacing w:val="-4"/>
                <w:sz w:val="18"/>
                <w:szCs w:val="18"/>
              </w:rPr>
              <w:t>29橡胶和塑料制品业</w:t>
            </w:r>
          </w:p>
          <w:p w14:paraId="133FEBB6">
            <w:pPr>
              <w:spacing w:line="320" w:lineRule="exact"/>
              <w:ind w:firstLine="344" w:firstLineChars="200"/>
              <w:rPr>
                <w:spacing w:val="-4"/>
                <w:sz w:val="18"/>
                <w:szCs w:val="18"/>
              </w:rPr>
            </w:pPr>
            <w:r>
              <w:rPr>
                <w:spacing w:val="-4"/>
                <w:sz w:val="18"/>
                <w:szCs w:val="18"/>
              </w:rPr>
              <w:t>30非金属矿物制品业</w:t>
            </w:r>
          </w:p>
          <w:p w14:paraId="06A6991C">
            <w:pPr>
              <w:spacing w:line="320" w:lineRule="exact"/>
              <w:ind w:firstLine="344" w:firstLineChars="200"/>
              <w:rPr>
                <w:spacing w:val="-4"/>
                <w:sz w:val="18"/>
                <w:szCs w:val="18"/>
              </w:rPr>
            </w:pPr>
            <w:r>
              <w:rPr>
                <w:spacing w:val="-4"/>
                <w:sz w:val="18"/>
                <w:szCs w:val="18"/>
              </w:rPr>
              <w:t>31黑色金属冶炼和压延加工业</w:t>
            </w:r>
          </w:p>
          <w:p w14:paraId="17A54D7B">
            <w:pPr>
              <w:spacing w:line="320" w:lineRule="exact"/>
              <w:ind w:firstLine="344" w:firstLineChars="200"/>
              <w:rPr>
                <w:spacing w:val="-4"/>
                <w:sz w:val="18"/>
                <w:szCs w:val="18"/>
              </w:rPr>
            </w:pPr>
            <w:r>
              <w:rPr>
                <w:spacing w:val="-4"/>
                <w:sz w:val="18"/>
                <w:szCs w:val="18"/>
              </w:rPr>
              <w:t>32有色金属冶炼和压延加工业</w:t>
            </w:r>
          </w:p>
          <w:p w14:paraId="4828A83C">
            <w:pPr>
              <w:spacing w:line="320" w:lineRule="exact"/>
              <w:ind w:firstLine="344" w:firstLineChars="200"/>
              <w:rPr>
                <w:spacing w:val="-4"/>
                <w:sz w:val="18"/>
                <w:szCs w:val="18"/>
              </w:rPr>
            </w:pPr>
            <w:r>
              <w:rPr>
                <w:spacing w:val="-4"/>
                <w:sz w:val="18"/>
                <w:szCs w:val="18"/>
              </w:rPr>
              <w:t>33金属制品业</w:t>
            </w:r>
          </w:p>
        </w:tc>
        <w:tc>
          <w:tcPr>
            <w:tcW w:w="4706" w:type="dxa"/>
          </w:tcPr>
          <w:p w14:paraId="1DA482A2">
            <w:pPr>
              <w:spacing w:line="320" w:lineRule="exact"/>
              <w:ind w:right="-108" w:firstLine="285" w:firstLineChars="166"/>
              <w:rPr>
                <w:spacing w:val="-4"/>
                <w:sz w:val="18"/>
                <w:szCs w:val="18"/>
              </w:rPr>
            </w:pPr>
            <w:r>
              <w:rPr>
                <w:spacing w:val="-4"/>
                <w:sz w:val="18"/>
                <w:szCs w:val="18"/>
              </w:rPr>
              <w:t>34通用设备制造业</w:t>
            </w:r>
          </w:p>
          <w:p w14:paraId="4487749F">
            <w:pPr>
              <w:spacing w:line="320" w:lineRule="exact"/>
              <w:ind w:right="-108" w:firstLine="285" w:firstLineChars="166"/>
              <w:rPr>
                <w:spacing w:val="-4"/>
                <w:sz w:val="18"/>
                <w:szCs w:val="18"/>
              </w:rPr>
            </w:pPr>
            <w:r>
              <w:rPr>
                <w:spacing w:val="-4"/>
                <w:sz w:val="18"/>
                <w:szCs w:val="18"/>
              </w:rPr>
              <w:t>35专用设备制造业</w:t>
            </w:r>
          </w:p>
          <w:p w14:paraId="2E8F553A">
            <w:pPr>
              <w:spacing w:line="320" w:lineRule="exact"/>
              <w:ind w:right="-108" w:firstLine="285" w:firstLineChars="166"/>
              <w:rPr>
                <w:spacing w:val="-4"/>
                <w:sz w:val="18"/>
                <w:szCs w:val="18"/>
              </w:rPr>
            </w:pPr>
            <w:r>
              <w:rPr>
                <w:spacing w:val="-4"/>
                <w:sz w:val="18"/>
                <w:szCs w:val="18"/>
              </w:rPr>
              <w:t>36汽车制造业</w:t>
            </w:r>
          </w:p>
          <w:p w14:paraId="31DCFFC1">
            <w:pPr>
              <w:spacing w:line="320" w:lineRule="exact"/>
              <w:ind w:right="-108" w:firstLine="285" w:firstLineChars="166"/>
              <w:rPr>
                <w:spacing w:val="-4"/>
                <w:sz w:val="18"/>
                <w:szCs w:val="18"/>
              </w:rPr>
            </w:pPr>
            <w:r>
              <w:rPr>
                <w:spacing w:val="-4"/>
                <w:sz w:val="18"/>
                <w:szCs w:val="18"/>
              </w:rPr>
              <w:t>37铁路、船舶、航空航天和其他运输设备制造业</w:t>
            </w:r>
          </w:p>
          <w:p w14:paraId="3CB8B0DD">
            <w:pPr>
              <w:spacing w:line="320" w:lineRule="exact"/>
              <w:ind w:right="-108" w:firstLine="285" w:firstLineChars="166"/>
              <w:rPr>
                <w:spacing w:val="-4"/>
                <w:sz w:val="18"/>
                <w:szCs w:val="18"/>
              </w:rPr>
            </w:pPr>
            <w:r>
              <w:rPr>
                <w:spacing w:val="-4"/>
                <w:sz w:val="18"/>
                <w:szCs w:val="18"/>
              </w:rPr>
              <w:t>38电气机械和器材制造业</w:t>
            </w:r>
          </w:p>
          <w:p w14:paraId="4B4CF173">
            <w:pPr>
              <w:spacing w:line="320" w:lineRule="exact"/>
              <w:ind w:right="-108" w:firstLine="285" w:firstLineChars="166"/>
              <w:rPr>
                <w:spacing w:val="-4"/>
                <w:sz w:val="18"/>
                <w:szCs w:val="18"/>
              </w:rPr>
            </w:pPr>
            <w:r>
              <w:rPr>
                <w:spacing w:val="-4"/>
                <w:sz w:val="18"/>
                <w:szCs w:val="18"/>
              </w:rPr>
              <w:t>39计算机、通信和其他电子设备制造业</w:t>
            </w:r>
          </w:p>
          <w:p w14:paraId="64CB04CA">
            <w:pPr>
              <w:spacing w:line="320" w:lineRule="exact"/>
              <w:ind w:firstLine="285" w:firstLineChars="166"/>
              <w:rPr>
                <w:spacing w:val="-4"/>
                <w:sz w:val="18"/>
                <w:szCs w:val="18"/>
              </w:rPr>
            </w:pPr>
            <w:r>
              <w:rPr>
                <w:spacing w:val="-4"/>
                <w:sz w:val="18"/>
                <w:szCs w:val="18"/>
              </w:rPr>
              <w:t>40仪器仪表制造业</w:t>
            </w:r>
          </w:p>
          <w:p w14:paraId="71A4074C">
            <w:pPr>
              <w:spacing w:line="320" w:lineRule="exact"/>
              <w:ind w:right="-108" w:firstLine="285" w:firstLineChars="166"/>
              <w:rPr>
                <w:spacing w:val="-4"/>
                <w:sz w:val="18"/>
                <w:szCs w:val="18"/>
              </w:rPr>
            </w:pPr>
            <w:r>
              <w:rPr>
                <w:spacing w:val="-4"/>
                <w:sz w:val="18"/>
                <w:szCs w:val="18"/>
              </w:rPr>
              <w:t>41其他制造业</w:t>
            </w:r>
          </w:p>
          <w:p w14:paraId="626BE0A6">
            <w:pPr>
              <w:spacing w:line="320" w:lineRule="exact"/>
              <w:ind w:right="-108" w:firstLine="285" w:firstLineChars="166"/>
              <w:rPr>
                <w:spacing w:val="-4"/>
                <w:sz w:val="18"/>
                <w:szCs w:val="18"/>
              </w:rPr>
            </w:pPr>
            <w:r>
              <w:rPr>
                <w:spacing w:val="-4"/>
                <w:sz w:val="18"/>
                <w:szCs w:val="18"/>
              </w:rPr>
              <w:t>42废弃资源综合利用业</w:t>
            </w:r>
          </w:p>
          <w:p w14:paraId="703C63FD">
            <w:pPr>
              <w:spacing w:line="320" w:lineRule="exact"/>
              <w:ind w:right="-108" w:firstLine="285" w:firstLineChars="166"/>
              <w:rPr>
                <w:spacing w:val="-4"/>
                <w:sz w:val="18"/>
                <w:szCs w:val="18"/>
              </w:rPr>
            </w:pPr>
            <w:r>
              <w:rPr>
                <w:spacing w:val="-4"/>
                <w:sz w:val="18"/>
                <w:szCs w:val="18"/>
              </w:rPr>
              <w:t>43金属制品、机械和设备修理业</w:t>
            </w:r>
          </w:p>
          <w:p w14:paraId="3C4489ED">
            <w:pPr>
              <w:spacing w:line="320" w:lineRule="exact"/>
              <w:ind w:left="105" w:leftChars="50" w:right="-108"/>
              <w:rPr>
                <w:spacing w:val="-4"/>
                <w:sz w:val="18"/>
                <w:szCs w:val="18"/>
              </w:rPr>
            </w:pPr>
            <w:r>
              <w:rPr>
                <w:spacing w:val="-4"/>
                <w:sz w:val="18"/>
                <w:szCs w:val="18"/>
              </w:rPr>
              <w:t>D.电力、热力、燃气及水生产和供应业</w:t>
            </w:r>
          </w:p>
          <w:p w14:paraId="7C49E322">
            <w:pPr>
              <w:spacing w:line="320" w:lineRule="exact"/>
              <w:ind w:right="-108" w:firstLine="344" w:firstLineChars="200"/>
              <w:rPr>
                <w:spacing w:val="-4"/>
                <w:sz w:val="18"/>
                <w:szCs w:val="18"/>
              </w:rPr>
            </w:pPr>
            <w:r>
              <w:rPr>
                <w:spacing w:val="-4"/>
                <w:sz w:val="18"/>
                <w:szCs w:val="18"/>
              </w:rPr>
              <w:t>44电力、热力生产和供应业</w:t>
            </w:r>
          </w:p>
          <w:p w14:paraId="135D14B7">
            <w:pPr>
              <w:spacing w:line="320" w:lineRule="exact"/>
              <w:ind w:right="-108" w:firstLine="344" w:firstLineChars="200"/>
              <w:rPr>
                <w:spacing w:val="-4"/>
                <w:sz w:val="18"/>
                <w:szCs w:val="18"/>
              </w:rPr>
            </w:pPr>
            <w:r>
              <w:rPr>
                <w:spacing w:val="-4"/>
                <w:sz w:val="18"/>
                <w:szCs w:val="18"/>
              </w:rPr>
              <w:t>45燃气生产和供应业</w:t>
            </w:r>
          </w:p>
          <w:p w14:paraId="247D599D">
            <w:pPr>
              <w:spacing w:line="320" w:lineRule="exact"/>
              <w:ind w:right="-108" w:firstLine="344" w:firstLineChars="200"/>
              <w:rPr>
                <w:spacing w:val="-4"/>
                <w:sz w:val="18"/>
                <w:szCs w:val="18"/>
              </w:rPr>
            </w:pPr>
            <w:r>
              <w:rPr>
                <w:spacing w:val="-4"/>
                <w:sz w:val="18"/>
                <w:szCs w:val="18"/>
              </w:rPr>
              <w:t>46水的生产和供应业</w:t>
            </w:r>
          </w:p>
          <w:p w14:paraId="44947824">
            <w:pPr>
              <w:spacing w:line="320" w:lineRule="exact"/>
              <w:ind w:left="105" w:leftChars="50" w:right="-108"/>
              <w:rPr>
                <w:spacing w:val="-4"/>
                <w:sz w:val="18"/>
                <w:szCs w:val="18"/>
              </w:rPr>
            </w:pPr>
            <w:r>
              <w:rPr>
                <w:spacing w:val="-4"/>
                <w:sz w:val="18"/>
                <w:szCs w:val="18"/>
              </w:rPr>
              <w:t>E.建筑业</w:t>
            </w:r>
          </w:p>
          <w:p w14:paraId="58C0E58A">
            <w:pPr>
              <w:spacing w:line="320" w:lineRule="exact"/>
              <w:ind w:right="-108" w:firstLine="344" w:firstLineChars="200"/>
              <w:rPr>
                <w:spacing w:val="-4"/>
                <w:sz w:val="18"/>
                <w:szCs w:val="18"/>
              </w:rPr>
            </w:pPr>
            <w:r>
              <w:rPr>
                <w:spacing w:val="-4"/>
                <w:sz w:val="18"/>
                <w:szCs w:val="18"/>
              </w:rPr>
              <w:t>47房屋建筑业</w:t>
            </w:r>
          </w:p>
          <w:p w14:paraId="1E2728B8">
            <w:pPr>
              <w:spacing w:line="320" w:lineRule="exact"/>
              <w:ind w:right="-108" w:firstLine="344" w:firstLineChars="200"/>
              <w:rPr>
                <w:spacing w:val="-4"/>
                <w:sz w:val="18"/>
                <w:szCs w:val="18"/>
              </w:rPr>
            </w:pPr>
            <w:r>
              <w:rPr>
                <w:spacing w:val="-4"/>
                <w:sz w:val="18"/>
                <w:szCs w:val="18"/>
              </w:rPr>
              <w:t>48土木工程建筑业</w:t>
            </w:r>
          </w:p>
          <w:p w14:paraId="75CD8803">
            <w:pPr>
              <w:spacing w:line="320" w:lineRule="exact"/>
              <w:ind w:right="-108" w:firstLine="344" w:firstLineChars="200"/>
              <w:rPr>
                <w:spacing w:val="-4"/>
                <w:sz w:val="18"/>
                <w:szCs w:val="18"/>
              </w:rPr>
            </w:pPr>
            <w:r>
              <w:rPr>
                <w:spacing w:val="-4"/>
                <w:sz w:val="18"/>
                <w:szCs w:val="18"/>
              </w:rPr>
              <w:t>49建筑安装业</w:t>
            </w:r>
          </w:p>
          <w:p w14:paraId="099E17BF">
            <w:pPr>
              <w:spacing w:line="320" w:lineRule="exact"/>
              <w:ind w:right="-108" w:firstLine="344" w:firstLineChars="200"/>
              <w:rPr>
                <w:spacing w:val="-4"/>
                <w:sz w:val="18"/>
                <w:szCs w:val="18"/>
              </w:rPr>
            </w:pPr>
            <w:r>
              <w:rPr>
                <w:spacing w:val="-4"/>
                <w:sz w:val="18"/>
                <w:szCs w:val="18"/>
              </w:rPr>
              <w:t>50建筑装饰</w:t>
            </w:r>
            <w:r>
              <w:rPr>
                <w:rFonts w:hint="eastAsia"/>
                <w:spacing w:val="-4"/>
                <w:sz w:val="18"/>
                <w:szCs w:val="18"/>
              </w:rPr>
              <w:t>、</w:t>
            </w:r>
            <w:r>
              <w:rPr>
                <w:spacing w:val="-4"/>
                <w:sz w:val="18"/>
                <w:szCs w:val="18"/>
              </w:rPr>
              <w:t>装修和其他建筑业</w:t>
            </w:r>
          </w:p>
          <w:p w14:paraId="20D03481">
            <w:pPr>
              <w:spacing w:line="320" w:lineRule="exact"/>
              <w:ind w:left="105" w:leftChars="50" w:right="-108"/>
              <w:rPr>
                <w:spacing w:val="-4"/>
                <w:sz w:val="18"/>
                <w:szCs w:val="18"/>
              </w:rPr>
            </w:pPr>
            <w:r>
              <w:rPr>
                <w:spacing w:val="-4"/>
                <w:sz w:val="18"/>
                <w:szCs w:val="18"/>
              </w:rPr>
              <w:t>F.批发和零售业</w:t>
            </w:r>
          </w:p>
          <w:p w14:paraId="05A82BB1">
            <w:pPr>
              <w:spacing w:line="320" w:lineRule="exact"/>
              <w:ind w:left="105" w:leftChars="50" w:right="-108"/>
              <w:rPr>
                <w:spacing w:val="-4"/>
                <w:sz w:val="18"/>
                <w:szCs w:val="18"/>
              </w:rPr>
            </w:pPr>
            <w:r>
              <w:rPr>
                <w:spacing w:val="-4"/>
                <w:sz w:val="18"/>
                <w:szCs w:val="18"/>
              </w:rPr>
              <w:t>G.交通运输、仓储和邮政业</w:t>
            </w:r>
          </w:p>
          <w:p w14:paraId="2A10E70D">
            <w:pPr>
              <w:spacing w:line="320" w:lineRule="exact"/>
              <w:ind w:right="-108" w:firstLine="344" w:firstLineChars="200"/>
              <w:rPr>
                <w:spacing w:val="-4"/>
                <w:sz w:val="18"/>
                <w:szCs w:val="18"/>
              </w:rPr>
            </w:pPr>
            <w:r>
              <w:rPr>
                <w:spacing w:val="-4"/>
                <w:sz w:val="18"/>
                <w:szCs w:val="18"/>
              </w:rPr>
              <w:t>53铁路运输业</w:t>
            </w:r>
          </w:p>
          <w:p w14:paraId="2BC44693">
            <w:pPr>
              <w:spacing w:line="320" w:lineRule="exact"/>
              <w:ind w:right="-108" w:firstLine="344" w:firstLineChars="200"/>
              <w:rPr>
                <w:spacing w:val="-4"/>
                <w:sz w:val="18"/>
                <w:szCs w:val="18"/>
              </w:rPr>
            </w:pPr>
            <w:r>
              <w:rPr>
                <w:spacing w:val="-4"/>
                <w:sz w:val="18"/>
                <w:szCs w:val="18"/>
              </w:rPr>
              <w:t>54道路运输业</w:t>
            </w:r>
          </w:p>
          <w:p w14:paraId="46CF1E22">
            <w:pPr>
              <w:spacing w:line="320" w:lineRule="exact"/>
              <w:ind w:right="-108" w:firstLine="344" w:firstLineChars="200"/>
              <w:rPr>
                <w:spacing w:val="-4"/>
                <w:sz w:val="18"/>
                <w:szCs w:val="18"/>
              </w:rPr>
            </w:pPr>
            <w:r>
              <w:rPr>
                <w:spacing w:val="-4"/>
                <w:sz w:val="18"/>
                <w:szCs w:val="18"/>
              </w:rPr>
              <w:t>55水上运输业</w:t>
            </w:r>
          </w:p>
          <w:p w14:paraId="6F4221E4">
            <w:pPr>
              <w:spacing w:line="320" w:lineRule="exact"/>
              <w:ind w:right="-108" w:firstLine="344" w:firstLineChars="200"/>
              <w:rPr>
                <w:spacing w:val="-4"/>
                <w:sz w:val="18"/>
                <w:szCs w:val="18"/>
              </w:rPr>
            </w:pPr>
            <w:r>
              <w:rPr>
                <w:spacing w:val="-4"/>
                <w:sz w:val="18"/>
                <w:szCs w:val="18"/>
              </w:rPr>
              <w:t>56航空运输业</w:t>
            </w:r>
          </w:p>
          <w:p w14:paraId="20CA6A85">
            <w:pPr>
              <w:spacing w:line="320" w:lineRule="exact"/>
              <w:ind w:right="-108" w:firstLine="344" w:firstLineChars="200"/>
              <w:rPr>
                <w:spacing w:val="-4"/>
                <w:sz w:val="18"/>
                <w:szCs w:val="18"/>
              </w:rPr>
            </w:pPr>
            <w:r>
              <w:rPr>
                <w:spacing w:val="-4"/>
                <w:sz w:val="18"/>
                <w:szCs w:val="18"/>
              </w:rPr>
              <w:t>57管道运输业</w:t>
            </w:r>
          </w:p>
          <w:p w14:paraId="657DF790">
            <w:pPr>
              <w:spacing w:line="320" w:lineRule="exact"/>
              <w:ind w:right="-108" w:firstLine="344" w:firstLineChars="200"/>
              <w:rPr>
                <w:spacing w:val="-4"/>
                <w:sz w:val="18"/>
                <w:szCs w:val="18"/>
              </w:rPr>
            </w:pPr>
            <w:r>
              <w:rPr>
                <w:spacing w:val="-4"/>
                <w:sz w:val="18"/>
                <w:szCs w:val="18"/>
              </w:rPr>
              <w:t>58</w:t>
            </w:r>
            <w:r>
              <w:rPr>
                <w:rFonts w:hint="eastAsia"/>
                <w:spacing w:val="-4"/>
                <w:sz w:val="18"/>
                <w:szCs w:val="18"/>
              </w:rPr>
              <w:t>多</w:t>
            </w:r>
            <w:r>
              <w:rPr>
                <w:spacing w:val="-4"/>
                <w:sz w:val="18"/>
                <w:szCs w:val="18"/>
              </w:rPr>
              <w:t>式</w:t>
            </w:r>
            <w:r>
              <w:rPr>
                <w:rFonts w:hint="eastAsia"/>
                <w:spacing w:val="-4"/>
                <w:sz w:val="18"/>
                <w:szCs w:val="18"/>
              </w:rPr>
              <w:t>联运</w:t>
            </w:r>
            <w:r>
              <w:rPr>
                <w:spacing w:val="-4"/>
                <w:sz w:val="18"/>
                <w:szCs w:val="18"/>
              </w:rPr>
              <w:t>和运输代理业</w:t>
            </w:r>
          </w:p>
          <w:p w14:paraId="54AA859E">
            <w:pPr>
              <w:spacing w:line="320" w:lineRule="exact"/>
              <w:ind w:right="-108" w:firstLine="344" w:firstLineChars="200"/>
              <w:rPr>
                <w:spacing w:val="-4"/>
                <w:sz w:val="18"/>
                <w:szCs w:val="18"/>
              </w:rPr>
            </w:pPr>
            <w:r>
              <w:rPr>
                <w:spacing w:val="-4"/>
                <w:sz w:val="18"/>
                <w:szCs w:val="18"/>
              </w:rPr>
              <w:t>59</w:t>
            </w:r>
            <w:r>
              <w:rPr>
                <w:rFonts w:hint="eastAsia"/>
                <w:spacing w:val="-4"/>
                <w:sz w:val="18"/>
                <w:szCs w:val="18"/>
              </w:rPr>
              <w:t>装卸</w:t>
            </w:r>
            <w:r>
              <w:rPr>
                <w:spacing w:val="-4"/>
                <w:sz w:val="18"/>
                <w:szCs w:val="18"/>
              </w:rPr>
              <w:t>搬运和仓储业</w:t>
            </w:r>
          </w:p>
          <w:p w14:paraId="07924FA4">
            <w:pPr>
              <w:spacing w:line="320" w:lineRule="exact"/>
              <w:ind w:right="-28" w:firstLine="344" w:firstLineChars="200"/>
              <w:rPr>
                <w:spacing w:val="-4"/>
                <w:sz w:val="18"/>
                <w:szCs w:val="18"/>
              </w:rPr>
            </w:pPr>
            <w:r>
              <w:rPr>
                <w:spacing w:val="-4"/>
                <w:sz w:val="18"/>
                <w:szCs w:val="18"/>
              </w:rPr>
              <w:t>60邮政业</w:t>
            </w:r>
          </w:p>
          <w:p w14:paraId="66F689D5">
            <w:pPr>
              <w:spacing w:line="320" w:lineRule="exact"/>
              <w:ind w:left="105" w:leftChars="50" w:right="-108"/>
              <w:rPr>
                <w:spacing w:val="-4"/>
                <w:sz w:val="18"/>
                <w:szCs w:val="18"/>
              </w:rPr>
            </w:pPr>
            <w:r>
              <w:rPr>
                <w:spacing w:val="-4"/>
                <w:sz w:val="18"/>
                <w:szCs w:val="18"/>
              </w:rPr>
              <w:t>H.住宿和餐饮业</w:t>
            </w:r>
          </w:p>
          <w:p w14:paraId="450D72D1">
            <w:pPr>
              <w:spacing w:line="320" w:lineRule="exact"/>
              <w:ind w:left="105" w:leftChars="50" w:right="-108"/>
              <w:rPr>
                <w:spacing w:val="-4"/>
                <w:sz w:val="18"/>
                <w:szCs w:val="18"/>
              </w:rPr>
            </w:pPr>
            <w:r>
              <w:rPr>
                <w:spacing w:val="-4"/>
                <w:sz w:val="18"/>
                <w:szCs w:val="18"/>
              </w:rPr>
              <w:t>Y.其他</w:t>
            </w:r>
          </w:p>
          <w:p w14:paraId="298671E4">
            <w:pPr>
              <w:spacing w:line="320" w:lineRule="exact"/>
              <w:ind w:left="105" w:leftChars="50" w:right="-108"/>
              <w:rPr>
                <w:spacing w:val="-4"/>
                <w:sz w:val="18"/>
                <w:szCs w:val="18"/>
              </w:rPr>
            </w:pPr>
            <w:r>
              <w:rPr>
                <w:spacing w:val="-4"/>
                <w:sz w:val="18"/>
                <w:szCs w:val="18"/>
              </w:rPr>
              <w:t>Z.居民生活</w:t>
            </w:r>
          </w:p>
        </w:tc>
      </w:tr>
    </w:tbl>
    <w:p w14:paraId="046FF9CE">
      <w:pPr>
        <w:spacing w:line="240" w:lineRule="exact"/>
        <w:rPr>
          <w:sz w:val="18"/>
          <w:szCs w:val="18"/>
        </w:rPr>
      </w:pPr>
    </w:p>
    <w:p w14:paraId="1AFB4DF1">
      <w:pPr>
        <w:spacing w:line="240" w:lineRule="exact"/>
        <w:rPr>
          <w:b/>
          <w:bCs/>
          <w:sz w:val="18"/>
          <w:szCs w:val="18"/>
        </w:rPr>
      </w:pPr>
      <w:r>
        <w:rPr>
          <w:sz w:val="18"/>
          <w:szCs w:val="18"/>
        </w:rPr>
        <w:t>说明：1.消费合计=A+B+C+D+E+F+G+H+Y+Z</w:t>
      </w:r>
    </w:p>
    <w:p w14:paraId="0AFE4D90">
      <w:pPr>
        <w:spacing w:line="240" w:lineRule="exact"/>
        <w:ind w:left="546" w:leftChars="260"/>
        <w:rPr>
          <w:spacing w:val="-4"/>
          <w:sz w:val="18"/>
        </w:rPr>
      </w:pPr>
      <w:r>
        <w:rPr>
          <w:sz w:val="18"/>
          <w:szCs w:val="18"/>
        </w:rPr>
        <w:t>2</w:t>
      </w:r>
      <w:r>
        <w:rPr>
          <w:spacing w:val="-4"/>
          <w:sz w:val="18"/>
        </w:rPr>
        <w:t>.采矿业B=06+…+12</w:t>
      </w:r>
    </w:p>
    <w:p w14:paraId="3E4402E1">
      <w:pPr>
        <w:spacing w:line="240" w:lineRule="exact"/>
        <w:ind w:left="546" w:leftChars="260"/>
        <w:rPr>
          <w:spacing w:val="-4"/>
          <w:sz w:val="18"/>
        </w:rPr>
      </w:pPr>
      <w:r>
        <w:rPr>
          <w:spacing w:val="-4"/>
          <w:sz w:val="18"/>
        </w:rPr>
        <w:t>3.制造业C=13+…+43</w:t>
      </w:r>
    </w:p>
    <w:p w14:paraId="6166ECD8">
      <w:pPr>
        <w:spacing w:line="240" w:lineRule="exact"/>
        <w:ind w:left="546" w:leftChars="260"/>
        <w:rPr>
          <w:spacing w:val="-4"/>
          <w:sz w:val="18"/>
        </w:rPr>
      </w:pPr>
      <w:r>
        <w:rPr>
          <w:spacing w:val="-4"/>
          <w:sz w:val="18"/>
        </w:rPr>
        <w:t>4.电力、热力、燃气及水生产和供应业D=44+45+46</w:t>
      </w:r>
    </w:p>
    <w:p w14:paraId="0B3B570D">
      <w:pPr>
        <w:spacing w:line="240" w:lineRule="exact"/>
        <w:ind w:left="546" w:leftChars="260"/>
        <w:rPr>
          <w:spacing w:val="-4"/>
          <w:sz w:val="18"/>
        </w:rPr>
      </w:pPr>
      <w:r>
        <w:rPr>
          <w:spacing w:val="-4"/>
          <w:sz w:val="18"/>
        </w:rPr>
        <w:t>5.建筑业E=47+…+50</w:t>
      </w:r>
    </w:p>
    <w:p w14:paraId="4AF2DC57">
      <w:pPr>
        <w:spacing w:line="240" w:lineRule="exact"/>
        <w:ind w:left="546" w:leftChars="260"/>
        <w:rPr>
          <w:sz w:val="18"/>
          <w:szCs w:val="18"/>
        </w:rPr>
      </w:pPr>
      <w:r>
        <w:rPr>
          <w:spacing w:val="-4"/>
          <w:sz w:val="18"/>
        </w:rPr>
        <w:t>6.交通运输、仓储和邮政业G=53+…+60</w:t>
      </w:r>
    </w:p>
    <w:p w14:paraId="4581C16D">
      <w:pPr>
        <w:spacing w:line="240" w:lineRule="exact"/>
        <w:ind w:left="546" w:leftChars="260"/>
        <w:rPr>
          <w:spacing w:val="-4"/>
          <w:sz w:val="18"/>
        </w:rPr>
      </w:pPr>
      <w:r>
        <w:rPr>
          <w:spacing w:val="-4"/>
          <w:sz w:val="18"/>
        </w:rPr>
        <w:t>7.P303-2表的消费合计=P303-1表的消费合计</w:t>
      </w:r>
    </w:p>
    <w:p w14:paraId="54312B53">
      <w:pPr>
        <w:spacing w:line="240" w:lineRule="exact"/>
        <w:ind w:left="546" w:leftChars="260"/>
        <w:rPr>
          <w:spacing w:val="-4"/>
          <w:sz w:val="18"/>
        </w:rPr>
      </w:pPr>
      <w:r>
        <w:rPr>
          <w:spacing w:val="-4"/>
          <w:sz w:val="18"/>
        </w:rPr>
        <w:t>8.P303-3表的消费合计=P303-1表的终端消费量</w:t>
      </w:r>
    </w:p>
    <w:p w14:paraId="034933A6">
      <w:pPr>
        <w:spacing w:line="240" w:lineRule="exact"/>
        <w:ind w:left="546" w:leftChars="260"/>
        <w:rPr>
          <w:spacing w:val="-4"/>
          <w:sz w:val="18"/>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pPr>
      <w:r>
        <w:rPr>
          <w:spacing w:val="-4"/>
          <w:sz w:val="18"/>
        </w:rPr>
        <w:t>9.P303-5表的消费合计=P303-4表的终端消费量</w:t>
      </w:r>
    </w:p>
    <w:p w14:paraId="171D265B">
      <w:pPr>
        <w:snapToGrid w:val="0"/>
        <w:jc w:val="center"/>
        <w:outlineLvl w:val="1"/>
        <w:rPr>
          <w:rFonts w:eastAsia="黑体"/>
          <w:sz w:val="28"/>
          <w:szCs w:val="28"/>
        </w:rPr>
      </w:pPr>
      <w:r>
        <w:rPr>
          <w:rFonts w:eastAsia="黑体"/>
          <w:sz w:val="28"/>
          <w:szCs w:val="28"/>
        </w:rPr>
        <w:t>（五）全社会用电量情况目录（P407表）</w:t>
      </w:r>
    </w:p>
    <w:tbl>
      <w:tblPr>
        <w:tblStyle w:val="20"/>
        <w:tblW w:w="0" w:type="auto"/>
        <w:tblInd w:w="108" w:type="dxa"/>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autofit"/>
        <w:tblCellMar>
          <w:top w:w="0" w:type="dxa"/>
          <w:left w:w="108" w:type="dxa"/>
          <w:bottom w:w="0" w:type="dxa"/>
          <w:right w:w="108" w:type="dxa"/>
        </w:tblCellMar>
      </w:tblPr>
      <w:tblGrid>
        <w:gridCol w:w="4025"/>
        <w:gridCol w:w="680"/>
        <w:gridCol w:w="4025"/>
        <w:gridCol w:w="680"/>
      </w:tblGrid>
      <w:tr w14:paraId="1541943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340" w:hRule="exact"/>
        </w:trPr>
        <w:tc>
          <w:tcPr>
            <w:tcW w:w="4025" w:type="dxa"/>
            <w:tcBorders>
              <w:top w:val="single" w:color="auto" w:sz="8" w:space="0"/>
              <w:bottom w:val="single" w:color="auto" w:sz="2" w:space="0"/>
            </w:tcBorders>
            <w:vAlign w:val="center"/>
          </w:tcPr>
          <w:p w14:paraId="342C7134">
            <w:pPr>
              <w:widowControl/>
              <w:jc w:val="center"/>
              <w:rPr>
                <w:kern w:val="0"/>
                <w:sz w:val="18"/>
                <w:szCs w:val="18"/>
              </w:rPr>
            </w:pPr>
            <w:r>
              <w:rPr>
                <w:rFonts w:hint="eastAsia"/>
                <w:kern w:val="0"/>
                <w:sz w:val="18"/>
                <w:szCs w:val="18"/>
              </w:rPr>
              <w:t>指标内容</w:t>
            </w:r>
          </w:p>
        </w:tc>
        <w:tc>
          <w:tcPr>
            <w:tcW w:w="680" w:type="dxa"/>
            <w:tcBorders>
              <w:top w:val="single" w:color="auto" w:sz="8" w:space="0"/>
              <w:bottom w:val="single" w:color="auto" w:sz="2" w:space="0"/>
              <w:right w:val="double" w:color="auto" w:sz="4" w:space="0"/>
            </w:tcBorders>
            <w:vAlign w:val="center"/>
          </w:tcPr>
          <w:p w14:paraId="14B5D822">
            <w:pPr>
              <w:widowControl/>
              <w:jc w:val="center"/>
              <w:rPr>
                <w:kern w:val="0"/>
                <w:sz w:val="18"/>
                <w:szCs w:val="18"/>
              </w:rPr>
            </w:pPr>
            <w:r>
              <w:rPr>
                <w:rFonts w:hint="eastAsia"/>
                <w:kern w:val="0"/>
                <w:sz w:val="18"/>
                <w:szCs w:val="18"/>
              </w:rPr>
              <w:t>代码</w:t>
            </w:r>
          </w:p>
        </w:tc>
        <w:tc>
          <w:tcPr>
            <w:tcW w:w="4025" w:type="dxa"/>
            <w:tcBorders>
              <w:top w:val="single" w:color="auto" w:sz="8" w:space="0"/>
              <w:left w:val="double" w:color="auto" w:sz="4" w:space="0"/>
              <w:bottom w:val="single" w:color="auto" w:sz="2" w:space="0"/>
            </w:tcBorders>
            <w:vAlign w:val="center"/>
          </w:tcPr>
          <w:p w14:paraId="2665AEC7">
            <w:pPr>
              <w:widowControl/>
              <w:jc w:val="center"/>
              <w:rPr>
                <w:kern w:val="0"/>
                <w:sz w:val="18"/>
                <w:szCs w:val="18"/>
              </w:rPr>
            </w:pPr>
            <w:r>
              <w:rPr>
                <w:rFonts w:hint="eastAsia"/>
                <w:kern w:val="0"/>
                <w:sz w:val="18"/>
                <w:szCs w:val="18"/>
              </w:rPr>
              <w:t>指标内容</w:t>
            </w:r>
          </w:p>
        </w:tc>
        <w:tc>
          <w:tcPr>
            <w:tcW w:w="680" w:type="dxa"/>
            <w:tcBorders>
              <w:top w:val="single" w:color="auto" w:sz="8" w:space="0"/>
              <w:bottom w:val="single" w:color="auto" w:sz="2" w:space="0"/>
            </w:tcBorders>
            <w:vAlign w:val="center"/>
          </w:tcPr>
          <w:p w14:paraId="61EA352F">
            <w:pPr>
              <w:widowControl/>
              <w:jc w:val="center"/>
              <w:rPr>
                <w:kern w:val="0"/>
                <w:sz w:val="18"/>
                <w:szCs w:val="18"/>
              </w:rPr>
            </w:pPr>
            <w:r>
              <w:rPr>
                <w:rFonts w:hint="eastAsia"/>
                <w:kern w:val="0"/>
                <w:sz w:val="18"/>
                <w:szCs w:val="18"/>
              </w:rPr>
              <w:t>代码</w:t>
            </w:r>
          </w:p>
        </w:tc>
      </w:tr>
      <w:tr w14:paraId="526BA91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tcBorders>
              <w:top w:val="single" w:color="auto" w:sz="2" w:space="0"/>
            </w:tcBorders>
            <w:vAlign w:val="center"/>
          </w:tcPr>
          <w:p w14:paraId="54388C48">
            <w:pPr>
              <w:widowControl/>
              <w:spacing w:line="220" w:lineRule="atLeast"/>
              <w:jc w:val="left"/>
              <w:textAlignment w:val="center"/>
              <w:rPr>
                <w:kern w:val="0"/>
                <w:sz w:val="16"/>
                <w:szCs w:val="16"/>
              </w:rPr>
            </w:pPr>
            <w:r>
              <w:rPr>
                <w:rFonts w:hint="eastAsia"/>
                <w:kern w:val="0"/>
                <w:sz w:val="16"/>
                <w:szCs w:val="16"/>
              </w:rPr>
              <w:t>全社会用电总计</w:t>
            </w:r>
          </w:p>
        </w:tc>
        <w:tc>
          <w:tcPr>
            <w:tcW w:w="680" w:type="dxa"/>
            <w:tcBorders>
              <w:top w:val="single" w:color="auto" w:sz="2" w:space="0"/>
              <w:right w:val="double" w:color="auto" w:sz="4" w:space="0"/>
            </w:tcBorders>
            <w:vAlign w:val="center"/>
          </w:tcPr>
          <w:p w14:paraId="480A7ED4">
            <w:pPr>
              <w:widowControl/>
              <w:spacing w:line="220" w:lineRule="atLeast"/>
              <w:jc w:val="center"/>
              <w:textAlignment w:val="center"/>
              <w:rPr>
                <w:kern w:val="0"/>
                <w:sz w:val="16"/>
                <w:szCs w:val="16"/>
              </w:rPr>
            </w:pPr>
            <w:r>
              <w:rPr>
                <w:kern w:val="0"/>
                <w:sz w:val="16"/>
                <w:szCs w:val="16"/>
              </w:rPr>
              <w:t>01</w:t>
            </w:r>
          </w:p>
        </w:tc>
        <w:tc>
          <w:tcPr>
            <w:tcW w:w="4025" w:type="dxa"/>
            <w:tcBorders>
              <w:top w:val="single" w:color="auto" w:sz="2" w:space="0"/>
              <w:left w:val="double" w:color="auto" w:sz="4" w:space="0"/>
            </w:tcBorders>
            <w:vAlign w:val="center"/>
          </w:tcPr>
          <w:p w14:paraId="515FA4B8">
            <w:pPr>
              <w:widowControl/>
              <w:spacing w:line="220" w:lineRule="atLeast"/>
              <w:jc w:val="left"/>
              <w:textAlignment w:val="center"/>
              <w:rPr>
                <w:kern w:val="0"/>
                <w:sz w:val="16"/>
                <w:szCs w:val="16"/>
              </w:rPr>
            </w:pPr>
            <w:r>
              <w:rPr>
                <w:kern w:val="0"/>
                <w:sz w:val="16"/>
                <w:szCs w:val="16"/>
              </w:rPr>
              <w:t xml:space="preserve">    23.</w:t>
            </w:r>
            <w:r>
              <w:rPr>
                <w:rFonts w:hint="eastAsia"/>
                <w:kern w:val="0"/>
                <w:sz w:val="16"/>
                <w:szCs w:val="16"/>
              </w:rPr>
              <w:t>专用设备制造业</w:t>
            </w:r>
          </w:p>
        </w:tc>
        <w:tc>
          <w:tcPr>
            <w:tcW w:w="680" w:type="dxa"/>
            <w:tcBorders>
              <w:top w:val="single" w:color="auto" w:sz="2" w:space="0"/>
            </w:tcBorders>
            <w:vAlign w:val="center"/>
          </w:tcPr>
          <w:p w14:paraId="59CE3DEA">
            <w:pPr>
              <w:widowControl/>
              <w:spacing w:line="220" w:lineRule="atLeast"/>
              <w:jc w:val="center"/>
              <w:textAlignment w:val="center"/>
              <w:rPr>
                <w:kern w:val="0"/>
                <w:sz w:val="16"/>
                <w:szCs w:val="16"/>
              </w:rPr>
            </w:pPr>
            <w:r>
              <w:rPr>
                <w:kern w:val="0"/>
                <w:sz w:val="16"/>
                <w:szCs w:val="16"/>
              </w:rPr>
              <w:t>69</w:t>
            </w:r>
          </w:p>
        </w:tc>
      </w:tr>
      <w:tr w14:paraId="60A1E2A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6AD7AD1">
            <w:pPr>
              <w:widowControl/>
              <w:spacing w:line="220" w:lineRule="atLeast"/>
              <w:ind w:firstLine="80" w:firstLineChars="50"/>
              <w:jc w:val="left"/>
              <w:textAlignment w:val="center"/>
              <w:rPr>
                <w:kern w:val="0"/>
                <w:sz w:val="16"/>
                <w:szCs w:val="16"/>
              </w:rPr>
            </w:pPr>
            <w:r>
              <w:rPr>
                <w:kern w:val="0"/>
                <w:sz w:val="16"/>
                <w:szCs w:val="16"/>
              </w:rPr>
              <w:t>A</w:t>
            </w:r>
            <w:r>
              <w:rPr>
                <w:rFonts w:hint="eastAsia"/>
                <w:kern w:val="0"/>
                <w:sz w:val="16"/>
                <w:szCs w:val="16"/>
              </w:rPr>
              <w:t>、全行业用电合计</w:t>
            </w:r>
          </w:p>
        </w:tc>
        <w:tc>
          <w:tcPr>
            <w:tcW w:w="680" w:type="dxa"/>
            <w:tcBorders>
              <w:right w:val="double" w:color="auto" w:sz="4" w:space="0"/>
            </w:tcBorders>
            <w:vAlign w:val="center"/>
          </w:tcPr>
          <w:p w14:paraId="2BF7BFF0">
            <w:pPr>
              <w:widowControl/>
              <w:spacing w:line="220" w:lineRule="atLeast"/>
              <w:jc w:val="center"/>
              <w:textAlignment w:val="center"/>
              <w:rPr>
                <w:kern w:val="0"/>
                <w:sz w:val="16"/>
                <w:szCs w:val="16"/>
              </w:rPr>
            </w:pPr>
            <w:r>
              <w:rPr>
                <w:kern w:val="0"/>
                <w:sz w:val="16"/>
                <w:szCs w:val="16"/>
              </w:rPr>
              <w:t>02</w:t>
            </w:r>
          </w:p>
        </w:tc>
        <w:tc>
          <w:tcPr>
            <w:tcW w:w="4025" w:type="dxa"/>
            <w:tcBorders>
              <w:left w:val="double" w:color="auto" w:sz="4" w:space="0"/>
            </w:tcBorders>
            <w:vAlign w:val="center"/>
          </w:tcPr>
          <w:p w14:paraId="29105425">
            <w:pPr>
              <w:widowControl/>
              <w:spacing w:line="220" w:lineRule="atLeast"/>
              <w:jc w:val="left"/>
              <w:textAlignment w:val="center"/>
              <w:rPr>
                <w:kern w:val="0"/>
                <w:sz w:val="16"/>
                <w:szCs w:val="16"/>
              </w:rPr>
            </w:pPr>
            <w:r>
              <w:rPr>
                <w:rFonts w:hint="eastAsia"/>
                <w:kern w:val="0"/>
                <w:sz w:val="16"/>
                <w:szCs w:val="16"/>
              </w:rPr>
              <w:t xml:space="preserve">     其中：医疗仪器设备及器械制造</w:t>
            </w:r>
          </w:p>
        </w:tc>
        <w:tc>
          <w:tcPr>
            <w:tcW w:w="680" w:type="dxa"/>
            <w:vAlign w:val="center"/>
          </w:tcPr>
          <w:p w14:paraId="7F451A10">
            <w:pPr>
              <w:widowControl/>
              <w:spacing w:line="220" w:lineRule="atLeast"/>
              <w:jc w:val="center"/>
              <w:textAlignment w:val="center"/>
              <w:rPr>
                <w:kern w:val="0"/>
                <w:sz w:val="16"/>
                <w:szCs w:val="16"/>
              </w:rPr>
            </w:pPr>
            <w:r>
              <w:rPr>
                <w:kern w:val="0"/>
                <w:sz w:val="16"/>
                <w:szCs w:val="16"/>
              </w:rPr>
              <w:t>70</w:t>
            </w:r>
          </w:p>
        </w:tc>
      </w:tr>
      <w:tr w14:paraId="0155810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B6484D0">
            <w:pPr>
              <w:widowControl/>
              <w:spacing w:line="220" w:lineRule="atLeast"/>
              <w:ind w:firstLine="160" w:firstLineChars="100"/>
              <w:jc w:val="left"/>
              <w:textAlignment w:val="center"/>
              <w:rPr>
                <w:kern w:val="0"/>
                <w:sz w:val="16"/>
                <w:szCs w:val="16"/>
              </w:rPr>
            </w:pPr>
            <w:r>
              <w:rPr>
                <w:rFonts w:hint="eastAsia"/>
                <w:kern w:val="0"/>
                <w:sz w:val="16"/>
                <w:szCs w:val="16"/>
              </w:rPr>
              <w:t>第一产业</w:t>
            </w:r>
          </w:p>
        </w:tc>
        <w:tc>
          <w:tcPr>
            <w:tcW w:w="680" w:type="dxa"/>
            <w:tcBorders>
              <w:right w:val="double" w:color="auto" w:sz="4" w:space="0"/>
            </w:tcBorders>
            <w:vAlign w:val="center"/>
          </w:tcPr>
          <w:p w14:paraId="54CA2492">
            <w:pPr>
              <w:widowControl/>
              <w:spacing w:line="220" w:lineRule="atLeast"/>
              <w:jc w:val="center"/>
              <w:textAlignment w:val="center"/>
              <w:rPr>
                <w:kern w:val="0"/>
                <w:sz w:val="16"/>
                <w:szCs w:val="16"/>
              </w:rPr>
            </w:pPr>
            <w:r>
              <w:rPr>
                <w:kern w:val="0"/>
                <w:sz w:val="16"/>
                <w:szCs w:val="16"/>
              </w:rPr>
              <w:t>03</w:t>
            </w:r>
          </w:p>
        </w:tc>
        <w:tc>
          <w:tcPr>
            <w:tcW w:w="4025" w:type="dxa"/>
            <w:tcBorders>
              <w:left w:val="double" w:color="auto" w:sz="4" w:space="0"/>
            </w:tcBorders>
            <w:vAlign w:val="center"/>
          </w:tcPr>
          <w:p w14:paraId="55A4A050">
            <w:pPr>
              <w:widowControl/>
              <w:spacing w:line="220" w:lineRule="atLeast"/>
              <w:jc w:val="left"/>
              <w:textAlignment w:val="center"/>
              <w:rPr>
                <w:kern w:val="0"/>
                <w:sz w:val="16"/>
                <w:szCs w:val="16"/>
              </w:rPr>
            </w:pPr>
            <w:r>
              <w:rPr>
                <w:kern w:val="0"/>
                <w:sz w:val="16"/>
                <w:szCs w:val="16"/>
              </w:rPr>
              <w:t xml:space="preserve">    24.</w:t>
            </w:r>
            <w:r>
              <w:rPr>
                <w:rFonts w:hint="eastAsia"/>
                <w:kern w:val="0"/>
                <w:sz w:val="16"/>
                <w:szCs w:val="16"/>
              </w:rPr>
              <w:t>汽车制造业</w:t>
            </w:r>
          </w:p>
        </w:tc>
        <w:tc>
          <w:tcPr>
            <w:tcW w:w="680" w:type="dxa"/>
            <w:vAlign w:val="center"/>
          </w:tcPr>
          <w:p w14:paraId="54942DFC">
            <w:pPr>
              <w:widowControl/>
              <w:spacing w:line="220" w:lineRule="atLeast"/>
              <w:jc w:val="center"/>
              <w:textAlignment w:val="center"/>
              <w:rPr>
                <w:kern w:val="0"/>
                <w:sz w:val="16"/>
                <w:szCs w:val="16"/>
              </w:rPr>
            </w:pPr>
            <w:r>
              <w:rPr>
                <w:kern w:val="0"/>
                <w:sz w:val="16"/>
                <w:szCs w:val="16"/>
              </w:rPr>
              <w:t>71</w:t>
            </w:r>
          </w:p>
        </w:tc>
      </w:tr>
      <w:tr w14:paraId="44C0404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14DDF39">
            <w:pPr>
              <w:widowControl/>
              <w:spacing w:line="220" w:lineRule="atLeast"/>
              <w:ind w:firstLine="160" w:firstLineChars="100"/>
              <w:jc w:val="left"/>
              <w:textAlignment w:val="center"/>
              <w:rPr>
                <w:kern w:val="0"/>
                <w:sz w:val="16"/>
                <w:szCs w:val="16"/>
              </w:rPr>
            </w:pPr>
            <w:r>
              <w:rPr>
                <w:rFonts w:hint="eastAsia"/>
                <w:kern w:val="0"/>
                <w:sz w:val="16"/>
                <w:szCs w:val="16"/>
              </w:rPr>
              <w:t>第二产业</w:t>
            </w:r>
          </w:p>
        </w:tc>
        <w:tc>
          <w:tcPr>
            <w:tcW w:w="680" w:type="dxa"/>
            <w:tcBorders>
              <w:right w:val="double" w:color="auto" w:sz="4" w:space="0"/>
            </w:tcBorders>
            <w:vAlign w:val="center"/>
          </w:tcPr>
          <w:p w14:paraId="27549702">
            <w:pPr>
              <w:widowControl/>
              <w:spacing w:line="220" w:lineRule="atLeast"/>
              <w:jc w:val="center"/>
              <w:textAlignment w:val="center"/>
              <w:rPr>
                <w:kern w:val="0"/>
                <w:sz w:val="16"/>
                <w:szCs w:val="16"/>
              </w:rPr>
            </w:pPr>
            <w:r>
              <w:rPr>
                <w:kern w:val="0"/>
                <w:sz w:val="16"/>
                <w:szCs w:val="16"/>
              </w:rPr>
              <w:t>04</w:t>
            </w:r>
          </w:p>
        </w:tc>
        <w:tc>
          <w:tcPr>
            <w:tcW w:w="4025" w:type="dxa"/>
            <w:tcBorders>
              <w:left w:val="double" w:color="auto" w:sz="4" w:space="0"/>
            </w:tcBorders>
            <w:vAlign w:val="center"/>
          </w:tcPr>
          <w:p w14:paraId="7F6D0FDA">
            <w:pPr>
              <w:widowControl/>
              <w:spacing w:line="220" w:lineRule="atLeast"/>
              <w:jc w:val="left"/>
              <w:textAlignment w:val="center"/>
              <w:rPr>
                <w:kern w:val="0"/>
                <w:sz w:val="16"/>
                <w:szCs w:val="16"/>
              </w:rPr>
            </w:pPr>
            <w:r>
              <w:rPr>
                <w:rFonts w:hint="eastAsia"/>
                <w:kern w:val="0"/>
                <w:sz w:val="16"/>
                <w:szCs w:val="16"/>
              </w:rPr>
              <w:t xml:space="preserve">     其中：新能源车整车制造</w:t>
            </w:r>
          </w:p>
        </w:tc>
        <w:tc>
          <w:tcPr>
            <w:tcW w:w="680" w:type="dxa"/>
            <w:vAlign w:val="center"/>
          </w:tcPr>
          <w:p w14:paraId="187975EC">
            <w:pPr>
              <w:widowControl/>
              <w:spacing w:line="220" w:lineRule="atLeast"/>
              <w:jc w:val="center"/>
              <w:textAlignment w:val="center"/>
              <w:rPr>
                <w:kern w:val="0"/>
                <w:sz w:val="16"/>
                <w:szCs w:val="16"/>
              </w:rPr>
            </w:pPr>
            <w:r>
              <w:rPr>
                <w:kern w:val="0"/>
                <w:sz w:val="16"/>
                <w:szCs w:val="16"/>
              </w:rPr>
              <w:t>72</w:t>
            </w:r>
          </w:p>
        </w:tc>
      </w:tr>
      <w:tr w14:paraId="0B4277A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56226EB">
            <w:pPr>
              <w:widowControl/>
              <w:spacing w:line="220" w:lineRule="atLeast"/>
              <w:ind w:firstLine="160" w:firstLineChars="100"/>
              <w:jc w:val="left"/>
              <w:textAlignment w:val="center"/>
              <w:rPr>
                <w:kern w:val="0"/>
                <w:sz w:val="16"/>
                <w:szCs w:val="16"/>
              </w:rPr>
            </w:pPr>
            <w:r>
              <w:rPr>
                <w:rFonts w:hint="eastAsia"/>
                <w:kern w:val="0"/>
                <w:sz w:val="16"/>
                <w:szCs w:val="16"/>
              </w:rPr>
              <w:t>第三产业</w:t>
            </w:r>
          </w:p>
        </w:tc>
        <w:tc>
          <w:tcPr>
            <w:tcW w:w="680" w:type="dxa"/>
            <w:tcBorders>
              <w:right w:val="double" w:color="auto" w:sz="4" w:space="0"/>
            </w:tcBorders>
            <w:vAlign w:val="center"/>
          </w:tcPr>
          <w:p w14:paraId="02FE0B13">
            <w:pPr>
              <w:widowControl/>
              <w:spacing w:line="220" w:lineRule="atLeast"/>
              <w:jc w:val="center"/>
              <w:textAlignment w:val="center"/>
              <w:rPr>
                <w:kern w:val="0"/>
                <w:sz w:val="16"/>
                <w:szCs w:val="16"/>
              </w:rPr>
            </w:pPr>
            <w:r>
              <w:rPr>
                <w:kern w:val="0"/>
                <w:sz w:val="16"/>
                <w:szCs w:val="16"/>
              </w:rPr>
              <w:t>05</w:t>
            </w:r>
          </w:p>
        </w:tc>
        <w:tc>
          <w:tcPr>
            <w:tcW w:w="4025" w:type="dxa"/>
            <w:tcBorders>
              <w:left w:val="double" w:color="auto" w:sz="4" w:space="0"/>
            </w:tcBorders>
            <w:vAlign w:val="center"/>
          </w:tcPr>
          <w:p w14:paraId="386B1319">
            <w:pPr>
              <w:widowControl/>
              <w:spacing w:line="220" w:lineRule="atLeast"/>
              <w:jc w:val="left"/>
              <w:textAlignment w:val="center"/>
              <w:rPr>
                <w:kern w:val="0"/>
                <w:sz w:val="16"/>
                <w:szCs w:val="16"/>
              </w:rPr>
            </w:pPr>
            <w:r>
              <w:rPr>
                <w:kern w:val="0"/>
                <w:sz w:val="16"/>
                <w:szCs w:val="16"/>
              </w:rPr>
              <w:t xml:space="preserve">    25.</w:t>
            </w:r>
            <w:r>
              <w:rPr>
                <w:rFonts w:hint="eastAsia"/>
                <w:kern w:val="0"/>
                <w:sz w:val="16"/>
                <w:szCs w:val="16"/>
              </w:rPr>
              <w:t>铁路、船舶、航空航天和其他运输设备制造业</w:t>
            </w:r>
          </w:p>
        </w:tc>
        <w:tc>
          <w:tcPr>
            <w:tcW w:w="680" w:type="dxa"/>
            <w:vAlign w:val="center"/>
          </w:tcPr>
          <w:p w14:paraId="72A08669">
            <w:pPr>
              <w:widowControl/>
              <w:spacing w:line="220" w:lineRule="atLeast"/>
              <w:jc w:val="center"/>
              <w:textAlignment w:val="center"/>
              <w:rPr>
                <w:kern w:val="0"/>
                <w:sz w:val="16"/>
                <w:szCs w:val="16"/>
              </w:rPr>
            </w:pPr>
            <w:r>
              <w:rPr>
                <w:kern w:val="0"/>
                <w:sz w:val="16"/>
                <w:szCs w:val="16"/>
              </w:rPr>
              <w:t>73</w:t>
            </w:r>
          </w:p>
        </w:tc>
      </w:tr>
      <w:tr w14:paraId="07C2EA7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A3F0D23">
            <w:pPr>
              <w:widowControl/>
              <w:spacing w:line="220" w:lineRule="atLeast"/>
              <w:ind w:firstLine="80" w:firstLineChars="50"/>
              <w:jc w:val="left"/>
              <w:textAlignment w:val="center"/>
              <w:rPr>
                <w:kern w:val="0"/>
                <w:sz w:val="16"/>
                <w:szCs w:val="16"/>
              </w:rPr>
            </w:pPr>
            <w:r>
              <w:rPr>
                <w:kern w:val="0"/>
                <w:sz w:val="16"/>
                <w:szCs w:val="16"/>
              </w:rPr>
              <w:t>B</w:t>
            </w:r>
            <w:r>
              <w:rPr>
                <w:rFonts w:hint="eastAsia"/>
                <w:kern w:val="0"/>
                <w:sz w:val="16"/>
                <w:szCs w:val="16"/>
              </w:rPr>
              <w:t>、城乡居民生活用电合计</w:t>
            </w:r>
          </w:p>
        </w:tc>
        <w:tc>
          <w:tcPr>
            <w:tcW w:w="680" w:type="dxa"/>
            <w:tcBorders>
              <w:right w:val="double" w:color="auto" w:sz="4" w:space="0"/>
            </w:tcBorders>
            <w:vAlign w:val="center"/>
          </w:tcPr>
          <w:p w14:paraId="10FFDC57">
            <w:pPr>
              <w:widowControl/>
              <w:spacing w:line="220" w:lineRule="atLeast"/>
              <w:jc w:val="center"/>
              <w:textAlignment w:val="center"/>
              <w:rPr>
                <w:kern w:val="0"/>
                <w:sz w:val="16"/>
                <w:szCs w:val="16"/>
              </w:rPr>
            </w:pPr>
            <w:r>
              <w:rPr>
                <w:kern w:val="0"/>
                <w:sz w:val="16"/>
                <w:szCs w:val="16"/>
              </w:rPr>
              <w:t>06</w:t>
            </w:r>
          </w:p>
        </w:tc>
        <w:tc>
          <w:tcPr>
            <w:tcW w:w="4025" w:type="dxa"/>
            <w:tcBorders>
              <w:left w:val="double" w:color="auto" w:sz="4" w:space="0"/>
            </w:tcBorders>
            <w:vAlign w:val="center"/>
          </w:tcPr>
          <w:p w14:paraId="56E0FDF2">
            <w:pPr>
              <w:widowControl/>
              <w:spacing w:line="220" w:lineRule="atLeast"/>
              <w:jc w:val="left"/>
              <w:textAlignment w:val="center"/>
              <w:rPr>
                <w:kern w:val="0"/>
                <w:sz w:val="16"/>
                <w:szCs w:val="16"/>
              </w:rPr>
            </w:pPr>
            <w:r>
              <w:rPr>
                <w:rFonts w:hint="eastAsia"/>
                <w:kern w:val="0"/>
                <w:sz w:val="16"/>
                <w:szCs w:val="16"/>
              </w:rPr>
              <w:t xml:space="preserve">     其中：铁路运输设备制造</w:t>
            </w:r>
          </w:p>
        </w:tc>
        <w:tc>
          <w:tcPr>
            <w:tcW w:w="680" w:type="dxa"/>
            <w:vAlign w:val="center"/>
          </w:tcPr>
          <w:p w14:paraId="496CEE26">
            <w:pPr>
              <w:widowControl/>
              <w:spacing w:line="220" w:lineRule="atLeast"/>
              <w:jc w:val="center"/>
              <w:textAlignment w:val="center"/>
              <w:rPr>
                <w:kern w:val="0"/>
                <w:sz w:val="16"/>
                <w:szCs w:val="16"/>
              </w:rPr>
            </w:pPr>
            <w:r>
              <w:rPr>
                <w:kern w:val="0"/>
                <w:sz w:val="16"/>
                <w:szCs w:val="16"/>
              </w:rPr>
              <w:t>74</w:t>
            </w:r>
          </w:p>
        </w:tc>
      </w:tr>
      <w:tr w14:paraId="6CBAB67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0F3E1BF">
            <w:pPr>
              <w:widowControl/>
              <w:spacing w:line="220" w:lineRule="atLeast"/>
              <w:ind w:firstLine="160" w:firstLineChars="100"/>
              <w:jc w:val="left"/>
              <w:textAlignment w:val="center"/>
              <w:rPr>
                <w:kern w:val="0"/>
                <w:sz w:val="16"/>
                <w:szCs w:val="16"/>
              </w:rPr>
            </w:pPr>
            <w:r>
              <w:rPr>
                <w:rFonts w:hint="eastAsia"/>
                <w:kern w:val="0"/>
                <w:sz w:val="16"/>
                <w:szCs w:val="16"/>
              </w:rPr>
              <w:t>城镇居民</w:t>
            </w:r>
          </w:p>
        </w:tc>
        <w:tc>
          <w:tcPr>
            <w:tcW w:w="680" w:type="dxa"/>
            <w:tcBorders>
              <w:right w:val="double" w:color="auto" w:sz="4" w:space="0"/>
            </w:tcBorders>
            <w:vAlign w:val="center"/>
          </w:tcPr>
          <w:p w14:paraId="7A6BD93A">
            <w:pPr>
              <w:widowControl/>
              <w:spacing w:line="220" w:lineRule="atLeast"/>
              <w:jc w:val="center"/>
              <w:textAlignment w:val="center"/>
              <w:rPr>
                <w:kern w:val="0"/>
                <w:sz w:val="16"/>
                <w:szCs w:val="16"/>
              </w:rPr>
            </w:pPr>
            <w:r>
              <w:rPr>
                <w:kern w:val="0"/>
                <w:sz w:val="16"/>
                <w:szCs w:val="16"/>
              </w:rPr>
              <w:t>07</w:t>
            </w:r>
          </w:p>
        </w:tc>
        <w:tc>
          <w:tcPr>
            <w:tcW w:w="4025" w:type="dxa"/>
            <w:tcBorders>
              <w:left w:val="double" w:color="auto" w:sz="4" w:space="0"/>
            </w:tcBorders>
            <w:vAlign w:val="center"/>
          </w:tcPr>
          <w:p w14:paraId="61FB034A">
            <w:pPr>
              <w:widowControl/>
              <w:spacing w:line="220" w:lineRule="atLeast"/>
              <w:jc w:val="left"/>
              <w:textAlignment w:val="center"/>
              <w:rPr>
                <w:kern w:val="0"/>
                <w:sz w:val="16"/>
                <w:szCs w:val="16"/>
              </w:rPr>
            </w:pPr>
            <w:r>
              <w:rPr>
                <w:rFonts w:hint="eastAsia"/>
                <w:kern w:val="0"/>
                <w:sz w:val="16"/>
                <w:szCs w:val="16"/>
              </w:rPr>
              <w:t xml:space="preserve">           城市轨道交通设备制造</w:t>
            </w:r>
          </w:p>
        </w:tc>
        <w:tc>
          <w:tcPr>
            <w:tcW w:w="680" w:type="dxa"/>
            <w:vAlign w:val="center"/>
          </w:tcPr>
          <w:p w14:paraId="2A7C991A">
            <w:pPr>
              <w:widowControl/>
              <w:spacing w:line="220" w:lineRule="atLeast"/>
              <w:jc w:val="center"/>
              <w:textAlignment w:val="center"/>
              <w:rPr>
                <w:kern w:val="0"/>
                <w:sz w:val="16"/>
                <w:szCs w:val="16"/>
              </w:rPr>
            </w:pPr>
            <w:r>
              <w:rPr>
                <w:kern w:val="0"/>
                <w:sz w:val="16"/>
                <w:szCs w:val="16"/>
              </w:rPr>
              <w:t>75</w:t>
            </w:r>
          </w:p>
        </w:tc>
      </w:tr>
      <w:tr w14:paraId="4A67F6E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21CEE39">
            <w:pPr>
              <w:widowControl/>
              <w:spacing w:line="220" w:lineRule="atLeast"/>
              <w:ind w:firstLine="160" w:firstLineChars="100"/>
              <w:jc w:val="left"/>
              <w:textAlignment w:val="center"/>
              <w:rPr>
                <w:kern w:val="0"/>
                <w:sz w:val="16"/>
                <w:szCs w:val="16"/>
              </w:rPr>
            </w:pPr>
            <w:r>
              <w:rPr>
                <w:rFonts w:hint="eastAsia"/>
                <w:kern w:val="0"/>
                <w:sz w:val="16"/>
                <w:szCs w:val="16"/>
              </w:rPr>
              <w:t>乡村居民</w:t>
            </w:r>
          </w:p>
        </w:tc>
        <w:tc>
          <w:tcPr>
            <w:tcW w:w="680" w:type="dxa"/>
            <w:tcBorders>
              <w:right w:val="double" w:color="auto" w:sz="4" w:space="0"/>
            </w:tcBorders>
            <w:vAlign w:val="center"/>
          </w:tcPr>
          <w:p w14:paraId="0EF29CF7">
            <w:pPr>
              <w:widowControl/>
              <w:spacing w:line="220" w:lineRule="atLeast"/>
              <w:jc w:val="center"/>
              <w:textAlignment w:val="center"/>
              <w:rPr>
                <w:kern w:val="0"/>
                <w:sz w:val="16"/>
                <w:szCs w:val="16"/>
              </w:rPr>
            </w:pPr>
            <w:r>
              <w:rPr>
                <w:kern w:val="0"/>
                <w:sz w:val="16"/>
                <w:szCs w:val="16"/>
              </w:rPr>
              <w:t>08</w:t>
            </w:r>
          </w:p>
        </w:tc>
        <w:tc>
          <w:tcPr>
            <w:tcW w:w="4025" w:type="dxa"/>
            <w:tcBorders>
              <w:left w:val="double" w:color="auto" w:sz="4" w:space="0"/>
            </w:tcBorders>
            <w:vAlign w:val="center"/>
          </w:tcPr>
          <w:p w14:paraId="11C8DC79">
            <w:pPr>
              <w:widowControl/>
              <w:spacing w:line="220" w:lineRule="atLeast"/>
              <w:jc w:val="left"/>
              <w:textAlignment w:val="center"/>
              <w:rPr>
                <w:kern w:val="0"/>
                <w:sz w:val="16"/>
                <w:szCs w:val="16"/>
              </w:rPr>
            </w:pPr>
            <w:r>
              <w:rPr>
                <w:rFonts w:hint="eastAsia"/>
                <w:kern w:val="0"/>
                <w:sz w:val="16"/>
                <w:szCs w:val="16"/>
              </w:rPr>
              <w:t xml:space="preserve">           航空、航天器及设备制造</w:t>
            </w:r>
          </w:p>
        </w:tc>
        <w:tc>
          <w:tcPr>
            <w:tcW w:w="680" w:type="dxa"/>
            <w:vAlign w:val="center"/>
          </w:tcPr>
          <w:p w14:paraId="67F091D8">
            <w:pPr>
              <w:widowControl/>
              <w:spacing w:line="220" w:lineRule="atLeast"/>
              <w:jc w:val="center"/>
              <w:textAlignment w:val="center"/>
              <w:rPr>
                <w:kern w:val="0"/>
                <w:sz w:val="16"/>
                <w:szCs w:val="16"/>
              </w:rPr>
            </w:pPr>
            <w:r>
              <w:rPr>
                <w:kern w:val="0"/>
                <w:sz w:val="16"/>
                <w:szCs w:val="16"/>
              </w:rPr>
              <w:t>76</w:t>
            </w:r>
          </w:p>
        </w:tc>
      </w:tr>
      <w:tr w14:paraId="54B3EE5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5F25FC9">
            <w:pPr>
              <w:widowControl/>
              <w:spacing w:line="220" w:lineRule="atLeast"/>
              <w:jc w:val="left"/>
              <w:textAlignment w:val="center"/>
              <w:rPr>
                <w:kern w:val="0"/>
                <w:sz w:val="16"/>
                <w:szCs w:val="16"/>
              </w:rPr>
            </w:pPr>
            <w:r>
              <w:rPr>
                <w:rFonts w:hint="eastAsia"/>
                <w:kern w:val="0"/>
                <w:sz w:val="16"/>
                <w:szCs w:val="16"/>
              </w:rPr>
              <w:t>全行业用电分类</w:t>
            </w:r>
          </w:p>
        </w:tc>
        <w:tc>
          <w:tcPr>
            <w:tcW w:w="680" w:type="dxa"/>
            <w:tcBorders>
              <w:right w:val="double" w:color="auto" w:sz="4" w:space="0"/>
            </w:tcBorders>
            <w:vAlign w:val="center"/>
          </w:tcPr>
          <w:p w14:paraId="78565189">
            <w:pPr>
              <w:widowControl/>
              <w:spacing w:line="220" w:lineRule="atLeast"/>
              <w:jc w:val="center"/>
              <w:textAlignment w:val="center"/>
              <w:rPr>
                <w:kern w:val="0"/>
                <w:sz w:val="16"/>
                <w:szCs w:val="16"/>
              </w:rPr>
            </w:pPr>
            <w:r>
              <w:rPr>
                <w:kern w:val="0"/>
                <w:sz w:val="16"/>
                <w:szCs w:val="16"/>
              </w:rPr>
              <w:t>09</w:t>
            </w:r>
          </w:p>
        </w:tc>
        <w:tc>
          <w:tcPr>
            <w:tcW w:w="4025" w:type="dxa"/>
            <w:tcBorders>
              <w:left w:val="double" w:color="auto" w:sz="4" w:space="0"/>
            </w:tcBorders>
            <w:vAlign w:val="center"/>
          </w:tcPr>
          <w:p w14:paraId="3A49FAC4">
            <w:pPr>
              <w:widowControl/>
              <w:spacing w:line="220" w:lineRule="atLeast"/>
              <w:jc w:val="left"/>
              <w:textAlignment w:val="center"/>
              <w:rPr>
                <w:kern w:val="0"/>
                <w:sz w:val="16"/>
                <w:szCs w:val="16"/>
              </w:rPr>
            </w:pPr>
            <w:r>
              <w:rPr>
                <w:kern w:val="0"/>
                <w:sz w:val="16"/>
                <w:szCs w:val="16"/>
              </w:rPr>
              <w:t xml:space="preserve">    26.</w:t>
            </w:r>
            <w:r>
              <w:rPr>
                <w:rFonts w:hint="eastAsia"/>
                <w:kern w:val="0"/>
                <w:sz w:val="16"/>
                <w:szCs w:val="16"/>
              </w:rPr>
              <w:t>电气机械和器材制造业</w:t>
            </w:r>
          </w:p>
        </w:tc>
        <w:tc>
          <w:tcPr>
            <w:tcW w:w="680" w:type="dxa"/>
            <w:vAlign w:val="center"/>
          </w:tcPr>
          <w:p w14:paraId="359598CD">
            <w:pPr>
              <w:widowControl/>
              <w:spacing w:line="220" w:lineRule="atLeast"/>
              <w:jc w:val="center"/>
              <w:textAlignment w:val="center"/>
              <w:rPr>
                <w:kern w:val="0"/>
                <w:sz w:val="16"/>
                <w:szCs w:val="16"/>
              </w:rPr>
            </w:pPr>
            <w:r>
              <w:rPr>
                <w:kern w:val="0"/>
                <w:sz w:val="16"/>
                <w:szCs w:val="16"/>
              </w:rPr>
              <w:t>77</w:t>
            </w:r>
          </w:p>
        </w:tc>
      </w:tr>
      <w:tr w14:paraId="7E275CFC">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EDE993A">
            <w:pPr>
              <w:widowControl/>
              <w:spacing w:line="220" w:lineRule="atLeast"/>
              <w:ind w:firstLine="160" w:firstLineChars="100"/>
              <w:jc w:val="left"/>
              <w:textAlignment w:val="center"/>
              <w:rPr>
                <w:kern w:val="0"/>
                <w:sz w:val="16"/>
                <w:szCs w:val="16"/>
              </w:rPr>
            </w:pPr>
            <w:r>
              <w:rPr>
                <w:rFonts w:hint="eastAsia"/>
                <w:kern w:val="0"/>
                <w:sz w:val="16"/>
                <w:szCs w:val="16"/>
              </w:rPr>
              <w:t>一、农、林、牧、渔业</w:t>
            </w:r>
          </w:p>
        </w:tc>
        <w:tc>
          <w:tcPr>
            <w:tcW w:w="680" w:type="dxa"/>
            <w:tcBorders>
              <w:right w:val="double" w:color="auto" w:sz="4" w:space="0"/>
            </w:tcBorders>
            <w:vAlign w:val="center"/>
          </w:tcPr>
          <w:p w14:paraId="511FF721">
            <w:pPr>
              <w:widowControl/>
              <w:spacing w:line="220" w:lineRule="atLeast"/>
              <w:jc w:val="center"/>
              <w:textAlignment w:val="center"/>
              <w:rPr>
                <w:kern w:val="0"/>
                <w:sz w:val="16"/>
                <w:szCs w:val="16"/>
              </w:rPr>
            </w:pPr>
            <w:r>
              <w:rPr>
                <w:kern w:val="0"/>
                <w:sz w:val="16"/>
                <w:szCs w:val="16"/>
              </w:rPr>
              <w:t>10</w:t>
            </w:r>
          </w:p>
        </w:tc>
        <w:tc>
          <w:tcPr>
            <w:tcW w:w="4025" w:type="dxa"/>
            <w:tcBorders>
              <w:left w:val="double" w:color="auto" w:sz="4" w:space="0"/>
            </w:tcBorders>
            <w:vAlign w:val="center"/>
          </w:tcPr>
          <w:p w14:paraId="1615426B">
            <w:pPr>
              <w:widowControl/>
              <w:spacing w:line="220" w:lineRule="atLeast"/>
              <w:jc w:val="left"/>
              <w:textAlignment w:val="center"/>
              <w:rPr>
                <w:kern w:val="0"/>
                <w:sz w:val="16"/>
                <w:szCs w:val="16"/>
              </w:rPr>
            </w:pPr>
            <w:r>
              <w:rPr>
                <w:rFonts w:hint="eastAsia"/>
                <w:kern w:val="0"/>
                <w:sz w:val="16"/>
                <w:szCs w:val="16"/>
              </w:rPr>
              <w:t xml:space="preserve">     其中：光伏设备及元器件制造</w:t>
            </w:r>
          </w:p>
        </w:tc>
        <w:tc>
          <w:tcPr>
            <w:tcW w:w="680" w:type="dxa"/>
            <w:vAlign w:val="center"/>
          </w:tcPr>
          <w:p w14:paraId="43D81D32">
            <w:pPr>
              <w:widowControl/>
              <w:spacing w:line="220" w:lineRule="atLeast"/>
              <w:jc w:val="center"/>
              <w:textAlignment w:val="center"/>
              <w:rPr>
                <w:kern w:val="0"/>
                <w:sz w:val="16"/>
                <w:szCs w:val="16"/>
              </w:rPr>
            </w:pPr>
            <w:r>
              <w:rPr>
                <w:kern w:val="0"/>
                <w:sz w:val="16"/>
                <w:szCs w:val="16"/>
              </w:rPr>
              <w:t>78</w:t>
            </w:r>
          </w:p>
        </w:tc>
      </w:tr>
      <w:tr w14:paraId="0EB4C56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2B827E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农业</w:t>
            </w:r>
          </w:p>
        </w:tc>
        <w:tc>
          <w:tcPr>
            <w:tcW w:w="680" w:type="dxa"/>
            <w:tcBorders>
              <w:right w:val="double" w:color="auto" w:sz="4" w:space="0"/>
            </w:tcBorders>
            <w:vAlign w:val="center"/>
          </w:tcPr>
          <w:p w14:paraId="6165C2EC">
            <w:pPr>
              <w:widowControl/>
              <w:spacing w:line="220" w:lineRule="atLeast"/>
              <w:jc w:val="center"/>
              <w:textAlignment w:val="center"/>
              <w:rPr>
                <w:kern w:val="0"/>
                <w:sz w:val="16"/>
                <w:szCs w:val="16"/>
              </w:rPr>
            </w:pPr>
            <w:r>
              <w:rPr>
                <w:kern w:val="0"/>
                <w:sz w:val="16"/>
                <w:szCs w:val="16"/>
              </w:rPr>
              <w:t>11</w:t>
            </w:r>
          </w:p>
        </w:tc>
        <w:tc>
          <w:tcPr>
            <w:tcW w:w="4025" w:type="dxa"/>
            <w:tcBorders>
              <w:left w:val="double" w:color="auto" w:sz="4" w:space="0"/>
            </w:tcBorders>
            <w:vAlign w:val="center"/>
          </w:tcPr>
          <w:p w14:paraId="38E29FC3">
            <w:pPr>
              <w:widowControl/>
              <w:spacing w:line="220" w:lineRule="atLeast"/>
              <w:jc w:val="left"/>
              <w:textAlignment w:val="center"/>
              <w:rPr>
                <w:kern w:val="0"/>
                <w:sz w:val="16"/>
                <w:szCs w:val="16"/>
              </w:rPr>
            </w:pPr>
            <w:r>
              <w:rPr>
                <w:kern w:val="0"/>
                <w:sz w:val="16"/>
                <w:szCs w:val="16"/>
              </w:rPr>
              <w:t xml:space="preserve">    27.</w:t>
            </w:r>
            <w:r>
              <w:rPr>
                <w:rFonts w:hint="eastAsia"/>
                <w:kern w:val="0"/>
                <w:sz w:val="16"/>
                <w:szCs w:val="16"/>
              </w:rPr>
              <w:t>计算机、通信和其他电子设备制造业</w:t>
            </w:r>
          </w:p>
        </w:tc>
        <w:tc>
          <w:tcPr>
            <w:tcW w:w="680" w:type="dxa"/>
            <w:vAlign w:val="center"/>
          </w:tcPr>
          <w:p w14:paraId="36A032E8">
            <w:pPr>
              <w:widowControl/>
              <w:spacing w:line="220" w:lineRule="atLeast"/>
              <w:jc w:val="center"/>
              <w:textAlignment w:val="center"/>
              <w:rPr>
                <w:kern w:val="0"/>
                <w:sz w:val="16"/>
                <w:szCs w:val="16"/>
              </w:rPr>
            </w:pPr>
            <w:r>
              <w:rPr>
                <w:kern w:val="0"/>
                <w:sz w:val="16"/>
                <w:szCs w:val="16"/>
              </w:rPr>
              <w:t>79</w:t>
            </w:r>
          </w:p>
        </w:tc>
      </w:tr>
      <w:tr w14:paraId="5BE43BD2">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58D4F0E">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林业</w:t>
            </w:r>
          </w:p>
        </w:tc>
        <w:tc>
          <w:tcPr>
            <w:tcW w:w="680" w:type="dxa"/>
            <w:tcBorders>
              <w:right w:val="double" w:color="auto" w:sz="4" w:space="0"/>
            </w:tcBorders>
            <w:vAlign w:val="center"/>
          </w:tcPr>
          <w:p w14:paraId="28FF8B47">
            <w:pPr>
              <w:widowControl/>
              <w:spacing w:line="220" w:lineRule="atLeast"/>
              <w:jc w:val="center"/>
              <w:textAlignment w:val="center"/>
              <w:rPr>
                <w:kern w:val="0"/>
                <w:sz w:val="16"/>
                <w:szCs w:val="16"/>
              </w:rPr>
            </w:pPr>
            <w:r>
              <w:rPr>
                <w:kern w:val="0"/>
                <w:sz w:val="16"/>
                <w:szCs w:val="16"/>
              </w:rPr>
              <w:t>12</w:t>
            </w:r>
          </w:p>
        </w:tc>
        <w:tc>
          <w:tcPr>
            <w:tcW w:w="4025" w:type="dxa"/>
            <w:tcBorders>
              <w:left w:val="double" w:color="auto" w:sz="4" w:space="0"/>
            </w:tcBorders>
            <w:vAlign w:val="center"/>
          </w:tcPr>
          <w:p w14:paraId="06CB25A7">
            <w:pPr>
              <w:widowControl/>
              <w:spacing w:line="220" w:lineRule="atLeast"/>
              <w:jc w:val="left"/>
              <w:textAlignment w:val="center"/>
              <w:rPr>
                <w:kern w:val="0"/>
                <w:sz w:val="16"/>
                <w:szCs w:val="16"/>
              </w:rPr>
            </w:pPr>
            <w:r>
              <w:rPr>
                <w:rFonts w:hint="eastAsia"/>
                <w:kern w:val="0"/>
                <w:sz w:val="16"/>
                <w:szCs w:val="16"/>
              </w:rPr>
              <w:t xml:space="preserve">     其中：计算机制造</w:t>
            </w:r>
          </w:p>
        </w:tc>
        <w:tc>
          <w:tcPr>
            <w:tcW w:w="680" w:type="dxa"/>
            <w:vAlign w:val="center"/>
          </w:tcPr>
          <w:p w14:paraId="2FC3F2D3">
            <w:pPr>
              <w:widowControl/>
              <w:spacing w:line="220" w:lineRule="atLeast"/>
              <w:jc w:val="center"/>
              <w:textAlignment w:val="center"/>
              <w:rPr>
                <w:kern w:val="0"/>
                <w:sz w:val="16"/>
                <w:szCs w:val="16"/>
              </w:rPr>
            </w:pPr>
            <w:r>
              <w:rPr>
                <w:kern w:val="0"/>
                <w:sz w:val="16"/>
                <w:szCs w:val="16"/>
              </w:rPr>
              <w:t>80</w:t>
            </w:r>
          </w:p>
        </w:tc>
      </w:tr>
      <w:tr w14:paraId="4AFFAB2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58E2C7A">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畜牧业</w:t>
            </w:r>
          </w:p>
        </w:tc>
        <w:tc>
          <w:tcPr>
            <w:tcW w:w="680" w:type="dxa"/>
            <w:tcBorders>
              <w:right w:val="double" w:color="auto" w:sz="4" w:space="0"/>
            </w:tcBorders>
            <w:vAlign w:val="center"/>
          </w:tcPr>
          <w:p w14:paraId="78BA4B37">
            <w:pPr>
              <w:widowControl/>
              <w:spacing w:line="220" w:lineRule="atLeast"/>
              <w:jc w:val="center"/>
              <w:textAlignment w:val="center"/>
              <w:rPr>
                <w:kern w:val="0"/>
                <w:sz w:val="16"/>
                <w:szCs w:val="16"/>
              </w:rPr>
            </w:pPr>
            <w:r>
              <w:rPr>
                <w:kern w:val="0"/>
                <w:sz w:val="16"/>
                <w:szCs w:val="16"/>
              </w:rPr>
              <w:t>13</w:t>
            </w:r>
          </w:p>
        </w:tc>
        <w:tc>
          <w:tcPr>
            <w:tcW w:w="4025" w:type="dxa"/>
            <w:tcBorders>
              <w:left w:val="double" w:color="auto" w:sz="4" w:space="0"/>
            </w:tcBorders>
            <w:vAlign w:val="center"/>
          </w:tcPr>
          <w:p w14:paraId="25568C9B">
            <w:pPr>
              <w:widowControl/>
              <w:spacing w:line="220" w:lineRule="atLeast"/>
              <w:jc w:val="left"/>
              <w:textAlignment w:val="center"/>
              <w:rPr>
                <w:kern w:val="0"/>
                <w:sz w:val="16"/>
                <w:szCs w:val="16"/>
              </w:rPr>
            </w:pPr>
            <w:r>
              <w:rPr>
                <w:rFonts w:hint="eastAsia"/>
                <w:kern w:val="0"/>
                <w:sz w:val="16"/>
                <w:szCs w:val="16"/>
              </w:rPr>
              <w:t xml:space="preserve">           通信设备制造</w:t>
            </w:r>
          </w:p>
        </w:tc>
        <w:tc>
          <w:tcPr>
            <w:tcW w:w="680" w:type="dxa"/>
            <w:vAlign w:val="center"/>
          </w:tcPr>
          <w:p w14:paraId="53737D6E">
            <w:pPr>
              <w:widowControl/>
              <w:spacing w:line="220" w:lineRule="atLeast"/>
              <w:jc w:val="center"/>
              <w:textAlignment w:val="center"/>
              <w:rPr>
                <w:kern w:val="0"/>
                <w:sz w:val="16"/>
                <w:szCs w:val="16"/>
              </w:rPr>
            </w:pPr>
            <w:r>
              <w:rPr>
                <w:kern w:val="0"/>
                <w:sz w:val="16"/>
                <w:szCs w:val="16"/>
              </w:rPr>
              <w:t>81</w:t>
            </w:r>
          </w:p>
        </w:tc>
      </w:tr>
      <w:tr w14:paraId="4DE435F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7BA0906">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4.</w:t>
            </w:r>
            <w:r>
              <w:rPr>
                <w:rFonts w:hint="eastAsia"/>
                <w:kern w:val="0"/>
                <w:sz w:val="16"/>
                <w:szCs w:val="16"/>
              </w:rPr>
              <w:t>渔业</w:t>
            </w:r>
          </w:p>
        </w:tc>
        <w:tc>
          <w:tcPr>
            <w:tcW w:w="680" w:type="dxa"/>
            <w:tcBorders>
              <w:right w:val="double" w:color="auto" w:sz="4" w:space="0"/>
            </w:tcBorders>
            <w:vAlign w:val="center"/>
          </w:tcPr>
          <w:p w14:paraId="2F5C4D8B">
            <w:pPr>
              <w:widowControl/>
              <w:spacing w:line="220" w:lineRule="atLeast"/>
              <w:jc w:val="center"/>
              <w:textAlignment w:val="center"/>
              <w:rPr>
                <w:kern w:val="0"/>
                <w:sz w:val="16"/>
                <w:szCs w:val="16"/>
              </w:rPr>
            </w:pPr>
            <w:r>
              <w:rPr>
                <w:kern w:val="0"/>
                <w:sz w:val="16"/>
                <w:szCs w:val="16"/>
              </w:rPr>
              <w:t>14</w:t>
            </w:r>
          </w:p>
        </w:tc>
        <w:tc>
          <w:tcPr>
            <w:tcW w:w="4025" w:type="dxa"/>
            <w:tcBorders>
              <w:left w:val="double" w:color="auto" w:sz="4" w:space="0"/>
            </w:tcBorders>
            <w:vAlign w:val="center"/>
          </w:tcPr>
          <w:p w14:paraId="229D4034">
            <w:pPr>
              <w:widowControl/>
              <w:spacing w:line="220" w:lineRule="atLeast"/>
              <w:jc w:val="left"/>
              <w:textAlignment w:val="center"/>
              <w:rPr>
                <w:kern w:val="0"/>
                <w:sz w:val="16"/>
                <w:szCs w:val="16"/>
              </w:rPr>
            </w:pPr>
            <w:r>
              <w:rPr>
                <w:kern w:val="0"/>
                <w:sz w:val="16"/>
                <w:szCs w:val="16"/>
              </w:rPr>
              <w:t xml:space="preserve">    28.</w:t>
            </w:r>
            <w:r>
              <w:rPr>
                <w:rFonts w:hint="eastAsia"/>
                <w:kern w:val="0"/>
                <w:sz w:val="16"/>
                <w:szCs w:val="16"/>
              </w:rPr>
              <w:t>仪器仪表制造业</w:t>
            </w:r>
          </w:p>
        </w:tc>
        <w:tc>
          <w:tcPr>
            <w:tcW w:w="680" w:type="dxa"/>
            <w:vAlign w:val="center"/>
          </w:tcPr>
          <w:p w14:paraId="7EC8B50A">
            <w:pPr>
              <w:widowControl/>
              <w:spacing w:line="220" w:lineRule="atLeast"/>
              <w:jc w:val="center"/>
              <w:textAlignment w:val="center"/>
              <w:rPr>
                <w:kern w:val="0"/>
                <w:sz w:val="16"/>
                <w:szCs w:val="16"/>
              </w:rPr>
            </w:pPr>
            <w:r>
              <w:rPr>
                <w:kern w:val="0"/>
                <w:sz w:val="16"/>
                <w:szCs w:val="16"/>
              </w:rPr>
              <w:t>82</w:t>
            </w:r>
          </w:p>
        </w:tc>
      </w:tr>
      <w:tr w14:paraId="053EBBD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9A85BCF">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5.</w:t>
            </w:r>
            <w:r>
              <w:rPr>
                <w:rFonts w:hint="eastAsia"/>
                <w:kern w:val="0"/>
                <w:sz w:val="16"/>
                <w:szCs w:val="16"/>
              </w:rPr>
              <w:t>农、林、牧、渔专业及辅助性活动</w:t>
            </w:r>
          </w:p>
        </w:tc>
        <w:tc>
          <w:tcPr>
            <w:tcW w:w="680" w:type="dxa"/>
            <w:tcBorders>
              <w:right w:val="double" w:color="auto" w:sz="4" w:space="0"/>
            </w:tcBorders>
            <w:vAlign w:val="center"/>
          </w:tcPr>
          <w:p w14:paraId="1150FFF3">
            <w:pPr>
              <w:widowControl/>
              <w:spacing w:line="220" w:lineRule="atLeast"/>
              <w:jc w:val="center"/>
              <w:textAlignment w:val="center"/>
              <w:rPr>
                <w:kern w:val="0"/>
                <w:sz w:val="16"/>
                <w:szCs w:val="16"/>
              </w:rPr>
            </w:pPr>
            <w:r>
              <w:rPr>
                <w:kern w:val="0"/>
                <w:sz w:val="16"/>
                <w:szCs w:val="16"/>
              </w:rPr>
              <w:t>15</w:t>
            </w:r>
          </w:p>
        </w:tc>
        <w:tc>
          <w:tcPr>
            <w:tcW w:w="4025" w:type="dxa"/>
            <w:tcBorders>
              <w:left w:val="double" w:color="auto" w:sz="4" w:space="0"/>
            </w:tcBorders>
            <w:vAlign w:val="center"/>
          </w:tcPr>
          <w:p w14:paraId="76B71645">
            <w:pPr>
              <w:widowControl/>
              <w:spacing w:line="220" w:lineRule="atLeast"/>
              <w:jc w:val="left"/>
              <w:textAlignment w:val="center"/>
              <w:rPr>
                <w:kern w:val="0"/>
                <w:sz w:val="16"/>
                <w:szCs w:val="16"/>
              </w:rPr>
            </w:pPr>
            <w:r>
              <w:rPr>
                <w:kern w:val="0"/>
                <w:sz w:val="16"/>
                <w:szCs w:val="16"/>
              </w:rPr>
              <w:t xml:space="preserve">    29.</w:t>
            </w:r>
            <w:r>
              <w:rPr>
                <w:rFonts w:hint="eastAsia"/>
                <w:kern w:val="0"/>
                <w:sz w:val="16"/>
                <w:szCs w:val="16"/>
              </w:rPr>
              <w:t>其他制造业</w:t>
            </w:r>
          </w:p>
        </w:tc>
        <w:tc>
          <w:tcPr>
            <w:tcW w:w="680" w:type="dxa"/>
            <w:vAlign w:val="center"/>
          </w:tcPr>
          <w:p w14:paraId="31435E25">
            <w:pPr>
              <w:widowControl/>
              <w:spacing w:line="220" w:lineRule="atLeast"/>
              <w:jc w:val="center"/>
              <w:textAlignment w:val="center"/>
              <w:rPr>
                <w:kern w:val="0"/>
                <w:sz w:val="16"/>
                <w:szCs w:val="16"/>
              </w:rPr>
            </w:pPr>
            <w:r>
              <w:rPr>
                <w:kern w:val="0"/>
                <w:sz w:val="16"/>
                <w:szCs w:val="16"/>
              </w:rPr>
              <w:t>83</w:t>
            </w:r>
          </w:p>
        </w:tc>
      </w:tr>
      <w:tr w14:paraId="3BF97339">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D629360">
            <w:pPr>
              <w:widowControl/>
              <w:spacing w:line="220" w:lineRule="atLeast"/>
              <w:ind w:firstLine="320" w:firstLineChars="200"/>
              <w:jc w:val="left"/>
              <w:textAlignment w:val="center"/>
              <w:rPr>
                <w:kern w:val="0"/>
                <w:sz w:val="16"/>
                <w:szCs w:val="16"/>
              </w:rPr>
            </w:pPr>
            <w:r>
              <w:rPr>
                <w:rFonts w:hint="eastAsia"/>
                <w:kern w:val="0"/>
                <w:sz w:val="16"/>
                <w:szCs w:val="16"/>
              </w:rPr>
              <w:t xml:space="preserve"> 其中：排灌</w:t>
            </w:r>
          </w:p>
        </w:tc>
        <w:tc>
          <w:tcPr>
            <w:tcW w:w="680" w:type="dxa"/>
            <w:tcBorders>
              <w:right w:val="double" w:color="auto" w:sz="4" w:space="0"/>
            </w:tcBorders>
            <w:vAlign w:val="center"/>
          </w:tcPr>
          <w:p w14:paraId="75FE4197">
            <w:pPr>
              <w:widowControl/>
              <w:spacing w:line="220" w:lineRule="atLeast"/>
              <w:jc w:val="center"/>
              <w:textAlignment w:val="center"/>
              <w:rPr>
                <w:kern w:val="0"/>
                <w:sz w:val="16"/>
                <w:szCs w:val="16"/>
              </w:rPr>
            </w:pPr>
            <w:r>
              <w:rPr>
                <w:kern w:val="0"/>
                <w:sz w:val="16"/>
                <w:szCs w:val="16"/>
              </w:rPr>
              <w:t>16</w:t>
            </w:r>
          </w:p>
        </w:tc>
        <w:tc>
          <w:tcPr>
            <w:tcW w:w="4025" w:type="dxa"/>
            <w:tcBorders>
              <w:left w:val="double" w:color="auto" w:sz="4" w:space="0"/>
            </w:tcBorders>
            <w:vAlign w:val="center"/>
          </w:tcPr>
          <w:p w14:paraId="01948991">
            <w:pPr>
              <w:widowControl/>
              <w:spacing w:line="220" w:lineRule="atLeast"/>
              <w:jc w:val="left"/>
              <w:textAlignment w:val="center"/>
              <w:rPr>
                <w:kern w:val="0"/>
                <w:sz w:val="16"/>
                <w:szCs w:val="16"/>
              </w:rPr>
            </w:pPr>
            <w:r>
              <w:rPr>
                <w:kern w:val="0"/>
                <w:sz w:val="16"/>
                <w:szCs w:val="16"/>
              </w:rPr>
              <w:t xml:space="preserve">    30.</w:t>
            </w:r>
            <w:r>
              <w:rPr>
                <w:rFonts w:hint="eastAsia"/>
                <w:kern w:val="0"/>
                <w:sz w:val="16"/>
                <w:szCs w:val="16"/>
              </w:rPr>
              <w:t>废弃资源综合利用业</w:t>
            </w:r>
          </w:p>
        </w:tc>
        <w:tc>
          <w:tcPr>
            <w:tcW w:w="680" w:type="dxa"/>
            <w:vAlign w:val="center"/>
          </w:tcPr>
          <w:p w14:paraId="1499A3AA">
            <w:pPr>
              <w:widowControl/>
              <w:spacing w:line="220" w:lineRule="atLeast"/>
              <w:jc w:val="center"/>
              <w:textAlignment w:val="center"/>
              <w:rPr>
                <w:kern w:val="0"/>
                <w:sz w:val="16"/>
                <w:szCs w:val="16"/>
              </w:rPr>
            </w:pPr>
            <w:r>
              <w:rPr>
                <w:kern w:val="0"/>
                <w:sz w:val="16"/>
                <w:szCs w:val="16"/>
              </w:rPr>
              <w:t>84</w:t>
            </w:r>
          </w:p>
        </w:tc>
      </w:tr>
      <w:tr w14:paraId="5181A693">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5545BC3">
            <w:pPr>
              <w:widowControl/>
              <w:spacing w:line="220" w:lineRule="atLeast"/>
              <w:ind w:firstLine="160" w:firstLineChars="100"/>
              <w:jc w:val="left"/>
              <w:textAlignment w:val="center"/>
              <w:rPr>
                <w:kern w:val="0"/>
                <w:sz w:val="16"/>
                <w:szCs w:val="16"/>
              </w:rPr>
            </w:pPr>
            <w:r>
              <w:rPr>
                <w:rFonts w:hint="eastAsia"/>
                <w:kern w:val="0"/>
                <w:sz w:val="16"/>
                <w:szCs w:val="16"/>
              </w:rPr>
              <w:t>二、工业</w:t>
            </w:r>
          </w:p>
        </w:tc>
        <w:tc>
          <w:tcPr>
            <w:tcW w:w="680" w:type="dxa"/>
            <w:tcBorders>
              <w:right w:val="double" w:color="auto" w:sz="4" w:space="0"/>
            </w:tcBorders>
            <w:vAlign w:val="center"/>
          </w:tcPr>
          <w:p w14:paraId="07D3198F">
            <w:pPr>
              <w:widowControl/>
              <w:spacing w:line="220" w:lineRule="atLeast"/>
              <w:jc w:val="center"/>
              <w:textAlignment w:val="center"/>
              <w:rPr>
                <w:kern w:val="0"/>
                <w:sz w:val="16"/>
                <w:szCs w:val="16"/>
              </w:rPr>
            </w:pPr>
            <w:r>
              <w:rPr>
                <w:kern w:val="0"/>
                <w:sz w:val="16"/>
                <w:szCs w:val="16"/>
              </w:rPr>
              <w:t>17</w:t>
            </w:r>
          </w:p>
        </w:tc>
        <w:tc>
          <w:tcPr>
            <w:tcW w:w="4025" w:type="dxa"/>
            <w:tcBorders>
              <w:left w:val="double" w:color="auto" w:sz="4" w:space="0"/>
            </w:tcBorders>
            <w:vAlign w:val="center"/>
          </w:tcPr>
          <w:p w14:paraId="2717C7C1">
            <w:pPr>
              <w:widowControl/>
              <w:spacing w:line="220" w:lineRule="atLeast"/>
              <w:jc w:val="left"/>
              <w:textAlignment w:val="center"/>
              <w:rPr>
                <w:kern w:val="0"/>
                <w:sz w:val="16"/>
                <w:szCs w:val="16"/>
              </w:rPr>
            </w:pPr>
            <w:r>
              <w:rPr>
                <w:kern w:val="0"/>
                <w:sz w:val="16"/>
                <w:szCs w:val="16"/>
              </w:rPr>
              <w:t xml:space="preserve">    31.</w:t>
            </w:r>
            <w:r>
              <w:rPr>
                <w:rFonts w:hint="eastAsia"/>
                <w:kern w:val="0"/>
                <w:sz w:val="16"/>
                <w:szCs w:val="16"/>
              </w:rPr>
              <w:t>金属制品、机械和设备修理业</w:t>
            </w:r>
          </w:p>
        </w:tc>
        <w:tc>
          <w:tcPr>
            <w:tcW w:w="680" w:type="dxa"/>
            <w:vAlign w:val="center"/>
          </w:tcPr>
          <w:p w14:paraId="64EA42AE">
            <w:pPr>
              <w:widowControl/>
              <w:spacing w:line="220" w:lineRule="atLeast"/>
              <w:jc w:val="center"/>
              <w:textAlignment w:val="center"/>
              <w:rPr>
                <w:kern w:val="0"/>
                <w:sz w:val="16"/>
                <w:szCs w:val="16"/>
              </w:rPr>
            </w:pPr>
            <w:r>
              <w:rPr>
                <w:kern w:val="0"/>
                <w:sz w:val="16"/>
                <w:szCs w:val="16"/>
              </w:rPr>
              <w:t>85</w:t>
            </w:r>
          </w:p>
        </w:tc>
      </w:tr>
      <w:tr w14:paraId="039CCE69">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E071DD2">
            <w:pPr>
              <w:widowControl/>
              <w:spacing w:line="220" w:lineRule="atLeast"/>
              <w:ind w:firstLine="160" w:firstLineChars="100"/>
              <w:jc w:val="left"/>
              <w:textAlignment w:val="center"/>
              <w:rPr>
                <w:kern w:val="0"/>
                <w:sz w:val="16"/>
                <w:szCs w:val="16"/>
              </w:rPr>
            </w:pPr>
            <w:r>
              <w:rPr>
                <w:rFonts w:hint="eastAsia"/>
                <w:kern w:val="0"/>
                <w:sz w:val="16"/>
                <w:szCs w:val="16"/>
              </w:rPr>
              <w:t>（一）采矿业</w:t>
            </w:r>
          </w:p>
        </w:tc>
        <w:tc>
          <w:tcPr>
            <w:tcW w:w="680" w:type="dxa"/>
            <w:tcBorders>
              <w:right w:val="double" w:color="auto" w:sz="4" w:space="0"/>
            </w:tcBorders>
            <w:vAlign w:val="center"/>
          </w:tcPr>
          <w:p w14:paraId="5C94D1C7">
            <w:pPr>
              <w:widowControl/>
              <w:spacing w:line="220" w:lineRule="atLeast"/>
              <w:jc w:val="center"/>
              <w:textAlignment w:val="center"/>
              <w:rPr>
                <w:kern w:val="0"/>
                <w:sz w:val="16"/>
                <w:szCs w:val="16"/>
              </w:rPr>
            </w:pPr>
            <w:r>
              <w:rPr>
                <w:kern w:val="0"/>
                <w:sz w:val="16"/>
                <w:szCs w:val="16"/>
              </w:rPr>
              <w:t>18</w:t>
            </w:r>
          </w:p>
        </w:tc>
        <w:tc>
          <w:tcPr>
            <w:tcW w:w="4025" w:type="dxa"/>
            <w:tcBorders>
              <w:left w:val="double" w:color="auto" w:sz="4" w:space="0"/>
            </w:tcBorders>
            <w:vAlign w:val="center"/>
          </w:tcPr>
          <w:p w14:paraId="3F3437D6">
            <w:pPr>
              <w:widowControl/>
              <w:spacing w:line="220" w:lineRule="atLeast"/>
              <w:jc w:val="left"/>
              <w:textAlignment w:val="center"/>
              <w:rPr>
                <w:kern w:val="0"/>
                <w:sz w:val="16"/>
                <w:szCs w:val="16"/>
              </w:rPr>
            </w:pPr>
            <w:r>
              <w:rPr>
                <w:rFonts w:hint="eastAsia"/>
                <w:kern w:val="0"/>
                <w:sz w:val="16"/>
                <w:szCs w:val="16"/>
              </w:rPr>
              <w:t xml:space="preserve"> （三）电力、热力、燃气及水生产和供应业</w:t>
            </w:r>
          </w:p>
        </w:tc>
        <w:tc>
          <w:tcPr>
            <w:tcW w:w="680" w:type="dxa"/>
            <w:vAlign w:val="center"/>
          </w:tcPr>
          <w:p w14:paraId="17DB9C76">
            <w:pPr>
              <w:widowControl/>
              <w:spacing w:line="220" w:lineRule="atLeast"/>
              <w:jc w:val="center"/>
              <w:textAlignment w:val="center"/>
              <w:rPr>
                <w:kern w:val="0"/>
                <w:sz w:val="16"/>
                <w:szCs w:val="16"/>
              </w:rPr>
            </w:pPr>
            <w:r>
              <w:rPr>
                <w:kern w:val="0"/>
                <w:sz w:val="16"/>
                <w:szCs w:val="16"/>
              </w:rPr>
              <w:t>86</w:t>
            </w:r>
          </w:p>
        </w:tc>
      </w:tr>
      <w:tr w14:paraId="36E6591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802D342">
            <w:pPr>
              <w:widowControl/>
              <w:spacing w:line="220" w:lineRule="atLeast"/>
              <w:jc w:val="left"/>
              <w:textAlignment w:val="center"/>
              <w:rPr>
                <w:kern w:val="0"/>
                <w:sz w:val="16"/>
                <w:szCs w:val="16"/>
              </w:rPr>
            </w:pPr>
            <w:r>
              <w:rPr>
                <w:kern w:val="0"/>
                <w:sz w:val="16"/>
                <w:szCs w:val="16"/>
              </w:rPr>
              <w:t xml:space="preserve">    1.</w:t>
            </w:r>
            <w:r>
              <w:rPr>
                <w:rFonts w:hint="eastAsia"/>
                <w:kern w:val="0"/>
                <w:sz w:val="16"/>
                <w:szCs w:val="16"/>
              </w:rPr>
              <w:t>煤炭开采和洗选业</w:t>
            </w:r>
          </w:p>
        </w:tc>
        <w:tc>
          <w:tcPr>
            <w:tcW w:w="680" w:type="dxa"/>
            <w:tcBorders>
              <w:right w:val="double" w:color="auto" w:sz="4" w:space="0"/>
            </w:tcBorders>
            <w:vAlign w:val="center"/>
          </w:tcPr>
          <w:p w14:paraId="796FCF96">
            <w:pPr>
              <w:widowControl/>
              <w:spacing w:line="220" w:lineRule="atLeast"/>
              <w:jc w:val="center"/>
              <w:textAlignment w:val="center"/>
              <w:rPr>
                <w:kern w:val="0"/>
                <w:sz w:val="16"/>
                <w:szCs w:val="16"/>
              </w:rPr>
            </w:pPr>
            <w:r>
              <w:rPr>
                <w:kern w:val="0"/>
                <w:sz w:val="16"/>
                <w:szCs w:val="16"/>
              </w:rPr>
              <w:t>19</w:t>
            </w:r>
          </w:p>
        </w:tc>
        <w:tc>
          <w:tcPr>
            <w:tcW w:w="4025" w:type="dxa"/>
            <w:tcBorders>
              <w:left w:val="double" w:color="auto" w:sz="4" w:space="0"/>
            </w:tcBorders>
            <w:vAlign w:val="center"/>
          </w:tcPr>
          <w:p w14:paraId="62023109">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电力、热力生产和供应业</w:t>
            </w:r>
          </w:p>
        </w:tc>
        <w:tc>
          <w:tcPr>
            <w:tcW w:w="680" w:type="dxa"/>
            <w:vAlign w:val="center"/>
          </w:tcPr>
          <w:p w14:paraId="470F8843">
            <w:pPr>
              <w:widowControl/>
              <w:spacing w:line="220" w:lineRule="atLeast"/>
              <w:jc w:val="center"/>
              <w:textAlignment w:val="center"/>
              <w:rPr>
                <w:kern w:val="0"/>
                <w:sz w:val="16"/>
                <w:szCs w:val="16"/>
              </w:rPr>
            </w:pPr>
            <w:r>
              <w:rPr>
                <w:kern w:val="0"/>
                <w:sz w:val="16"/>
                <w:szCs w:val="16"/>
              </w:rPr>
              <w:t>87</w:t>
            </w:r>
          </w:p>
        </w:tc>
      </w:tr>
      <w:tr w14:paraId="091CDC3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7C69C46B">
            <w:pPr>
              <w:widowControl/>
              <w:spacing w:line="220" w:lineRule="atLeast"/>
              <w:jc w:val="left"/>
              <w:textAlignment w:val="center"/>
              <w:rPr>
                <w:kern w:val="0"/>
                <w:sz w:val="16"/>
                <w:szCs w:val="16"/>
              </w:rPr>
            </w:pPr>
            <w:r>
              <w:rPr>
                <w:kern w:val="0"/>
                <w:sz w:val="16"/>
                <w:szCs w:val="16"/>
              </w:rPr>
              <w:t xml:space="preserve">    2.</w:t>
            </w:r>
            <w:r>
              <w:rPr>
                <w:rFonts w:hint="eastAsia"/>
                <w:kern w:val="0"/>
                <w:sz w:val="16"/>
                <w:szCs w:val="16"/>
              </w:rPr>
              <w:t>石油和天然气开采业</w:t>
            </w:r>
          </w:p>
        </w:tc>
        <w:tc>
          <w:tcPr>
            <w:tcW w:w="680" w:type="dxa"/>
            <w:tcBorders>
              <w:right w:val="double" w:color="auto" w:sz="4" w:space="0"/>
            </w:tcBorders>
            <w:vAlign w:val="center"/>
          </w:tcPr>
          <w:p w14:paraId="16D5A12B">
            <w:pPr>
              <w:widowControl/>
              <w:spacing w:line="220" w:lineRule="atLeast"/>
              <w:jc w:val="center"/>
              <w:textAlignment w:val="center"/>
              <w:rPr>
                <w:kern w:val="0"/>
                <w:sz w:val="16"/>
                <w:szCs w:val="16"/>
              </w:rPr>
            </w:pPr>
            <w:r>
              <w:rPr>
                <w:kern w:val="0"/>
                <w:sz w:val="16"/>
                <w:szCs w:val="16"/>
              </w:rPr>
              <w:t>20</w:t>
            </w:r>
          </w:p>
        </w:tc>
        <w:tc>
          <w:tcPr>
            <w:tcW w:w="4025" w:type="dxa"/>
            <w:tcBorders>
              <w:left w:val="double" w:color="auto" w:sz="4" w:space="0"/>
            </w:tcBorders>
            <w:vAlign w:val="center"/>
          </w:tcPr>
          <w:p w14:paraId="1E0A547C">
            <w:pPr>
              <w:widowControl/>
              <w:spacing w:line="220" w:lineRule="atLeast"/>
              <w:jc w:val="left"/>
              <w:textAlignment w:val="center"/>
              <w:rPr>
                <w:kern w:val="0"/>
                <w:sz w:val="16"/>
                <w:szCs w:val="16"/>
              </w:rPr>
            </w:pPr>
            <w:r>
              <w:rPr>
                <w:rFonts w:hint="eastAsia"/>
                <w:kern w:val="0"/>
                <w:sz w:val="16"/>
                <w:szCs w:val="16"/>
              </w:rPr>
              <w:t xml:space="preserve">     其中：电厂生产全部耗用电量</w:t>
            </w:r>
          </w:p>
        </w:tc>
        <w:tc>
          <w:tcPr>
            <w:tcW w:w="680" w:type="dxa"/>
            <w:vAlign w:val="center"/>
          </w:tcPr>
          <w:p w14:paraId="7A8A7F9E">
            <w:pPr>
              <w:widowControl/>
              <w:spacing w:line="220" w:lineRule="atLeast"/>
              <w:jc w:val="center"/>
              <w:textAlignment w:val="center"/>
              <w:rPr>
                <w:kern w:val="0"/>
                <w:sz w:val="16"/>
                <w:szCs w:val="16"/>
              </w:rPr>
            </w:pPr>
            <w:r>
              <w:rPr>
                <w:kern w:val="0"/>
                <w:sz w:val="16"/>
                <w:szCs w:val="16"/>
              </w:rPr>
              <w:t>88</w:t>
            </w:r>
          </w:p>
        </w:tc>
      </w:tr>
      <w:tr w14:paraId="0E7FFC6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8A82E62">
            <w:pPr>
              <w:widowControl/>
              <w:spacing w:line="220" w:lineRule="atLeast"/>
              <w:jc w:val="left"/>
              <w:textAlignment w:val="center"/>
              <w:rPr>
                <w:kern w:val="0"/>
                <w:sz w:val="16"/>
                <w:szCs w:val="16"/>
              </w:rPr>
            </w:pPr>
            <w:r>
              <w:rPr>
                <w:kern w:val="0"/>
                <w:sz w:val="16"/>
                <w:szCs w:val="16"/>
              </w:rPr>
              <w:t xml:space="preserve">    3.</w:t>
            </w:r>
            <w:r>
              <w:rPr>
                <w:rFonts w:hint="eastAsia"/>
                <w:kern w:val="0"/>
                <w:sz w:val="16"/>
                <w:szCs w:val="16"/>
              </w:rPr>
              <w:t>黑色金属矿采选业</w:t>
            </w:r>
          </w:p>
        </w:tc>
        <w:tc>
          <w:tcPr>
            <w:tcW w:w="680" w:type="dxa"/>
            <w:tcBorders>
              <w:right w:val="double" w:color="auto" w:sz="4" w:space="0"/>
            </w:tcBorders>
            <w:vAlign w:val="center"/>
          </w:tcPr>
          <w:p w14:paraId="1145C598">
            <w:pPr>
              <w:widowControl/>
              <w:spacing w:line="220" w:lineRule="atLeast"/>
              <w:jc w:val="center"/>
              <w:textAlignment w:val="center"/>
              <w:rPr>
                <w:kern w:val="0"/>
                <w:sz w:val="16"/>
                <w:szCs w:val="16"/>
              </w:rPr>
            </w:pPr>
            <w:r>
              <w:rPr>
                <w:kern w:val="0"/>
                <w:sz w:val="16"/>
                <w:szCs w:val="16"/>
              </w:rPr>
              <w:t>21</w:t>
            </w:r>
          </w:p>
        </w:tc>
        <w:tc>
          <w:tcPr>
            <w:tcW w:w="4025" w:type="dxa"/>
            <w:tcBorders>
              <w:left w:val="double" w:color="auto" w:sz="4" w:space="0"/>
            </w:tcBorders>
            <w:vAlign w:val="center"/>
          </w:tcPr>
          <w:p w14:paraId="248E55CF">
            <w:pPr>
              <w:widowControl/>
              <w:spacing w:line="220" w:lineRule="atLeast"/>
              <w:jc w:val="left"/>
              <w:textAlignment w:val="center"/>
              <w:rPr>
                <w:kern w:val="0"/>
                <w:sz w:val="16"/>
                <w:szCs w:val="16"/>
              </w:rPr>
            </w:pPr>
            <w:r>
              <w:rPr>
                <w:rFonts w:hint="eastAsia"/>
                <w:kern w:val="0"/>
                <w:sz w:val="16"/>
                <w:szCs w:val="16"/>
              </w:rPr>
              <w:t xml:space="preserve">           线路损失电量</w:t>
            </w:r>
          </w:p>
        </w:tc>
        <w:tc>
          <w:tcPr>
            <w:tcW w:w="680" w:type="dxa"/>
            <w:vAlign w:val="center"/>
          </w:tcPr>
          <w:p w14:paraId="4C6ADD7E">
            <w:pPr>
              <w:widowControl/>
              <w:spacing w:line="220" w:lineRule="atLeast"/>
              <w:jc w:val="center"/>
              <w:textAlignment w:val="center"/>
              <w:rPr>
                <w:kern w:val="0"/>
                <w:sz w:val="16"/>
                <w:szCs w:val="16"/>
              </w:rPr>
            </w:pPr>
            <w:r>
              <w:rPr>
                <w:kern w:val="0"/>
                <w:sz w:val="16"/>
                <w:szCs w:val="16"/>
              </w:rPr>
              <w:t>89</w:t>
            </w:r>
          </w:p>
        </w:tc>
      </w:tr>
      <w:tr w14:paraId="7766090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C79490C">
            <w:pPr>
              <w:widowControl/>
              <w:spacing w:line="220" w:lineRule="atLeast"/>
              <w:jc w:val="left"/>
              <w:textAlignment w:val="center"/>
              <w:rPr>
                <w:kern w:val="0"/>
                <w:sz w:val="16"/>
                <w:szCs w:val="16"/>
              </w:rPr>
            </w:pPr>
            <w:r>
              <w:rPr>
                <w:kern w:val="0"/>
                <w:sz w:val="16"/>
                <w:szCs w:val="16"/>
              </w:rPr>
              <w:t xml:space="preserve">    4.</w:t>
            </w:r>
            <w:r>
              <w:rPr>
                <w:rFonts w:hint="eastAsia"/>
                <w:kern w:val="0"/>
                <w:sz w:val="16"/>
                <w:szCs w:val="16"/>
              </w:rPr>
              <w:t>有色金属矿采选业</w:t>
            </w:r>
          </w:p>
        </w:tc>
        <w:tc>
          <w:tcPr>
            <w:tcW w:w="680" w:type="dxa"/>
            <w:tcBorders>
              <w:right w:val="double" w:color="auto" w:sz="4" w:space="0"/>
            </w:tcBorders>
            <w:vAlign w:val="center"/>
          </w:tcPr>
          <w:p w14:paraId="1951FA5A">
            <w:pPr>
              <w:widowControl/>
              <w:spacing w:line="220" w:lineRule="atLeast"/>
              <w:jc w:val="center"/>
              <w:textAlignment w:val="center"/>
              <w:rPr>
                <w:kern w:val="0"/>
                <w:sz w:val="16"/>
                <w:szCs w:val="16"/>
              </w:rPr>
            </w:pPr>
            <w:r>
              <w:rPr>
                <w:kern w:val="0"/>
                <w:sz w:val="16"/>
                <w:szCs w:val="16"/>
              </w:rPr>
              <w:t>22</w:t>
            </w:r>
          </w:p>
        </w:tc>
        <w:tc>
          <w:tcPr>
            <w:tcW w:w="4025" w:type="dxa"/>
            <w:tcBorders>
              <w:left w:val="double" w:color="auto" w:sz="4" w:space="0"/>
            </w:tcBorders>
            <w:vAlign w:val="center"/>
          </w:tcPr>
          <w:p w14:paraId="4B576976">
            <w:pPr>
              <w:widowControl/>
              <w:spacing w:line="220" w:lineRule="atLeast"/>
              <w:jc w:val="left"/>
              <w:textAlignment w:val="center"/>
              <w:rPr>
                <w:kern w:val="0"/>
                <w:sz w:val="16"/>
                <w:szCs w:val="16"/>
              </w:rPr>
            </w:pPr>
            <w:r>
              <w:rPr>
                <w:rFonts w:hint="eastAsia"/>
                <w:kern w:val="0"/>
                <w:sz w:val="16"/>
                <w:szCs w:val="16"/>
              </w:rPr>
              <w:t xml:space="preserve">           抽水蓄能抽水耗用电量</w:t>
            </w:r>
          </w:p>
        </w:tc>
        <w:tc>
          <w:tcPr>
            <w:tcW w:w="680" w:type="dxa"/>
            <w:vAlign w:val="center"/>
          </w:tcPr>
          <w:p w14:paraId="6D0E5F5F">
            <w:pPr>
              <w:widowControl/>
              <w:spacing w:line="220" w:lineRule="atLeast"/>
              <w:jc w:val="center"/>
              <w:textAlignment w:val="center"/>
              <w:rPr>
                <w:kern w:val="0"/>
                <w:sz w:val="16"/>
                <w:szCs w:val="16"/>
              </w:rPr>
            </w:pPr>
            <w:r>
              <w:rPr>
                <w:kern w:val="0"/>
                <w:sz w:val="16"/>
                <w:szCs w:val="16"/>
              </w:rPr>
              <w:t>90</w:t>
            </w:r>
          </w:p>
        </w:tc>
      </w:tr>
      <w:tr w14:paraId="4006C9B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B307134">
            <w:pPr>
              <w:widowControl/>
              <w:spacing w:line="220" w:lineRule="atLeast"/>
              <w:jc w:val="left"/>
              <w:textAlignment w:val="center"/>
              <w:rPr>
                <w:kern w:val="0"/>
                <w:sz w:val="16"/>
                <w:szCs w:val="16"/>
              </w:rPr>
            </w:pPr>
            <w:r>
              <w:rPr>
                <w:kern w:val="0"/>
                <w:sz w:val="16"/>
                <w:szCs w:val="16"/>
              </w:rPr>
              <w:t xml:space="preserve">    5.</w:t>
            </w:r>
            <w:r>
              <w:rPr>
                <w:rFonts w:hint="eastAsia"/>
                <w:kern w:val="0"/>
                <w:sz w:val="16"/>
                <w:szCs w:val="16"/>
              </w:rPr>
              <w:t>非金属矿采选业</w:t>
            </w:r>
          </w:p>
        </w:tc>
        <w:tc>
          <w:tcPr>
            <w:tcW w:w="680" w:type="dxa"/>
            <w:tcBorders>
              <w:right w:val="double" w:color="auto" w:sz="4" w:space="0"/>
            </w:tcBorders>
            <w:vAlign w:val="center"/>
          </w:tcPr>
          <w:p w14:paraId="50AF7337">
            <w:pPr>
              <w:widowControl/>
              <w:spacing w:line="220" w:lineRule="atLeast"/>
              <w:jc w:val="center"/>
              <w:textAlignment w:val="center"/>
              <w:rPr>
                <w:kern w:val="0"/>
                <w:sz w:val="16"/>
                <w:szCs w:val="16"/>
              </w:rPr>
            </w:pPr>
            <w:r>
              <w:rPr>
                <w:kern w:val="0"/>
                <w:sz w:val="16"/>
                <w:szCs w:val="16"/>
              </w:rPr>
              <w:t>23</w:t>
            </w:r>
          </w:p>
        </w:tc>
        <w:tc>
          <w:tcPr>
            <w:tcW w:w="4025" w:type="dxa"/>
            <w:tcBorders>
              <w:left w:val="double" w:color="auto" w:sz="4" w:space="0"/>
            </w:tcBorders>
            <w:vAlign w:val="center"/>
          </w:tcPr>
          <w:p w14:paraId="7E3C58E3">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燃气生产和供应业</w:t>
            </w:r>
          </w:p>
        </w:tc>
        <w:tc>
          <w:tcPr>
            <w:tcW w:w="680" w:type="dxa"/>
            <w:vAlign w:val="center"/>
          </w:tcPr>
          <w:p w14:paraId="3624FCA4">
            <w:pPr>
              <w:widowControl/>
              <w:spacing w:line="220" w:lineRule="atLeast"/>
              <w:jc w:val="center"/>
              <w:textAlignment w:val="center"/>
              <w:rPr>
                <w:kern w:val="0"/>
                <w:sz w:val="16"/>
                <w:szCs w:val="16"/>
              </w:rPr>
            </w:pPr>
            <w:r>
              <w:rPr>
                <w:kern w:val="0"/>
                <w:sz w:val="16"/>
                <w:szCs w:val="16"/>
              </w:rPr>
              <w:t>91</w:t>
            </w:r>
          </w:p>
        </w:tc>
      </w:tr>
      <w:tr w14:paraId="43E1F4E3">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B8FBDB8">
            <w:pPr>
              <w:widowControl/>
              <w:spacing w:line="220" w:lineRule="atLeast"/>
              <w:jc w:val="left"/>
              <w:textAlignment w:val="center"/>
              <w:rPr>
                <w:kern w:val="0"/>
                <w:sz w:val="16"/>
                <w:szCs w:val="16"/>
              </w:rPr>
            </w:pPr>
            <w:r>
              <w:rPr>
                <w:kern w:val="0"/>
                <w:sz w:val="16"/>
                <w:szCs w:val="16"/>
              </w:rPr>
              <w:t xml:space="preserve">    6.</w:t>
            </w:r>
            <w:r>
              <w:rPr>
                <w:rFonts w:hint="eastAsia"/>
                <w:kern w:val="0"/>
                <w:sz w:val="16"/>
                <w:szCs w:val="16"/>
              </w:rPr>
              <w:t>其他采矿业</w:t>
            </w:r>
          </w:p>
        </w:tc>
        <w:tc>
          <w:tcPr>
            <w:tcW w:w="680" w:type="dxa"/>
            <w:tcBorders>
              <w:right w:val="double" w:color="auto" w:sz="4" w:space="0"/>
            </w:tcBorders>
            <w:vAlign w:val="center"/>
          </w:tcPr>
          <w:p w14:paraId="46FB429B">
            <w:pPr>
              <w:widowControl/>
              <w:spacing w:line="220" w:lineRule="atLeast"/>
              <w:jc w:val="center"/>
              <w:textAlignment w:val="center"/>
              <w:rPr>
                <w:kern w:val="0"/>
                <w:sz w:val="16"/>
                <w:szCs w:val="16"/>
              </w:rPr>
            </w:pPr>
            <w:r>
              <w:rPr>
                <w:kern w:val="0"/>
                <w:sz w:val="16"/>
                <w:szCs w:val="16"/>
              </w:rPr>
              <w:t>24</w:t>
            </w:r>
          </w:p>
        </w:tc>
        <w:tc>
          <w:tcPr>
            <w:tcW w:w="4025" w:type="dxa"/>
            <w:tcBorders>
              <w:left w:val="double" w:color="auto" w:sz="4" w:space="0"/>
            </w:tcBorders>
            <w:vAlign w:val="center"/>
          </w:tcPr>
          <w:p w14:paraId="6FCF156E">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水的生产和供应业</w:t>
            </w:r>
          </w:p>
        </w:tc>
        <w:tc>
          <w:tcPr>
            <w:tcW w:w="680" w:type="dxa"/>
            <w:vAlign w:val="center"/>
          </w:tcPr>
          <w:p w14:paraId="5331628E">
            <w:pPr>
              <w:widowControl/>
              <w:spacing w:line="220" w:lineRule="atLeast"/>
              <w:jc w:val="center"/>
              <w:textAlignment w:val="center"/>
              <w:rPr>
                <w:kern w:val="0"/>
                <w:sz w:val="16"/>
                <w:szCs w:val="16"/>
              </w:rPr>
            </w:pPr>
            <w:r>
              <w:rPr>
                <w:kern w:val="0"/>
                <w:sz w:val="16"/>
                <w:szCs w:val="16"/>
              </w:rPr>
              <w:t>92</w:t>
            </w:r>
          </w:p>
        </w:tc>
      </w:tr>
      <w:tr w14:paraId="367A089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0C48CD3">
            <w:pPr>
              <w:widowControl/>
              <w:spacing w:line="220" w:lineRule="atLeast"/>
              <w:ind w:firstLine="160" w:firstLineChars="100"/>
              <w:jc w:val="left"/>
              <w:textAlignment w:val="center"/>
              <w:rPr>
                <w:kern w:val="0"/>
                <w:sz w:val="16"/>
                <w:szCs w:val="16"/>
              </w:rPr>
            </w:pPr>
            <w:r>
              <w:rPr>
                <w:rFonts w:hint="eastAsia"/>
                <w:kern w:val="0"/>
                <w:sz w:val="16"/>
                <w:szCs w:val="16"/>
              </w:rPr>
              <w:t>（二）制造业</w:t>
            </w:r>
          </w:p>
        </w:tc>
        <w:tc>
          <w:tcPr>
            <w:tcW w:w="680" w:type="dxa"/>
            <w:tcBorders>
              <w:right w:val="double" w:color="auto" w:sz="4" w:space="0"/>
            </w:tcBorders>
            <w:vAlign w:val="center"/>
          </w:tcPr>
          <w:p w14:paraId="3453D7D9">
            <w:pPr>
              <w:widowControl/>
              <w:spacing w:line="220" w:lineRule="atLeast"/>
              <w:jc w:val="center"/>
              <w:textAlignment w:val="center"/>
              <w:rPr>
                <w:kern w:val="0"/>
                <w:sz w:val="16"/>
                <w:szCs w:val="16"/>
              </w:rPr>
            </w:pPr>
            <w:r>
              <w:rPr>
                <w:kern w:val="0"/>
                <w:sz w:val="16"/>
                <w:szCs w:val="16"/>
              </w:rPr>
              <w:t>25</w:t>
            </w:r>
          </w:p>
        </w:tc>
        <w:tc>
          <w:tcPr>
            <w:tcW w:w="4025" w:type="dxa"/>
            <w:tcBorders>
              <w:left w:val="double" w:color="auto" w:sz="4" w:space="0"/>
            </w:tcBorders>
            <w:vAlign w:val="center"/>
          </w:tcPr>
          <w:p w14:paraId="5C52E88E">
            <w:pPr>
              <w:widowControl/>
              <w:spacing w:line="220" w:lineRule="atLeast"/>
              <w:jc w:val="left"/>
              <w:textAlignment w:val="center"/>
              <w:rPr>
                <w:kern w:val="0"/>
                <w:sz w:val="16"/>
                <w:szCs w:val="16"/>
              </w:rPr>
            </w:pPr>
            <w:r>
              <w:rPr>
                <w:rFonts w:hint="eastAsia"/>
                <w:kern w:val="0"/>
                <w:sz w:val="16"/>
                <w:szCs w:val="16"/>
              </w:rPr>
              <w:t xml:space="preserve">  三、建筑业</w:t>
            </w:r>
          </w:p>
        </w:tc>
        <w:tc>
          <w:tcPr>
            <w:tcW w:w="680" w:type="dxa"/>
            <w:vAlign w:val="center"/>
          </w:tcPr>
          <w:p w14:paraId="756A45BF">
            <w:pPr>
              <w:widowControl/>
              <w:spacing w:line="220" w:lineRule="atLeast"/>
              <w:jc w:val="center"/>
              <w:textAlignment w:val="center"/>
              <w:rPr>
                <w:kern w:val="0"/>
                <w:sz w:val="16"/>
                <w:szCs w:val="16"/>
              </w:rPr>
            </w:pPr>
            <w:r>
              <w:rPr>
                <w:kern w:val="0"/>
                <w:sz w:val="16"/>
                <w:szCs w:val="16"/>
              </w:rPr>
              <w:t>93</w:t>
            </w:r>
          </w:p>
        </w:tc>
      </w:tr>
      <w:tr w14:paraId="56120D7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DB29D77">
            <w:pPr>
              <w:widowControl/>
              <w:spacing w:line="220" w:lineRule="atLeast"/>
              <w:jc w:val="left"/>
              <w:textAlignment w:val="center"/>
              <w:rPr>
                <w:kern w:val="0"/>
                <w:sz w:val="16"/>
                <w:szCs w:val="16"/>
              </w:rPr>
            </w:pPr>
            <w:r>
              <w:rPr>
                <w:kern w:val="0"/>
                <w:sz w:val="16"/>
                <w:szCs w:val="16"/>
              </w:rPr>
              <w:t xml:space="preserve">    1.</w:t>
            </w:r>
            <w:r>
              <w:rPr>
                <w:rFonts w:hint="eastAsia"/>
                <w:kern w:val="0"/>
                <w:sz w:val="16"/>
                <w:szCs w:val="16"/>
              </w:rPr>
              <w:t>农副食品加工业</w:t>
            </w:r>
          </w:p>
        </w:tc>
        <w:tc>
          <w:tcPr>
            <w:tcW w:w="680" w:type="dxa"/>
            <w:tcBorders>
              <w:right w:val="double" w:color="auto" w:sz="4" w:space="0"/>
            </w:tcBorders>
            <w:vAlign w:val="center"/>
          </w:tcPr>
          <w:p w14:paraId="67418167">
            <w:pPr>
              <w:widowControl/>
              <w:spacing w:line="220" w:lineRule="atLeast"/>
              <w:jc w:val="center"/>
              <w:textAlignment w:val="center"/>
              <w:rPr>
                <w:kern w:val="0"/>
                <w:sz w:val="16"/>
                <w:szCs w:val="16"/>
              </w:rPr>
            </w:pPr>
            <w:r>
              <w:rPr>
                <w:kern w:val="0"/>
                <w:sz w:val="16"/>
                <w:szCs w:val="16"/>
              </w:rPr>
              <w:t>26</w:t>
            </w:r>
          </w:p>
        </w:tc>
        <w:tc>
          <w:tcPr>
            <w:tcW w:w="4025" w:type="dxa"/>
            <w:tcBorders>
              <w:left w:val="double" w:color="auto" w:sz="4" w:space="0"/>
            </w:tcBorders>
            <w:vAlign w:val="center"/>
          </w:tcPr>
          <w:p w14:paraId="52CE06EA">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房屋建筑业</w:t>
            </w:r>
          </w:p>
        </w:tc>
        <w:tc>
          <w:tcPr>
            <w:tcW w:w="680" w:type="dxa"/>
            <w:vAlign w:val="center"/>
          </w:tcPr>
          <w:p w14:paraId="67DE953F">
            <w:pPr>
              <w:widowControl/>
              <w:spacing w:line="220" w:lineRule="atLeast"/>
              <w:jc w:val="center"/>
              <w:textAlignment w:val="center"/>
              <w:rPr>
                <w:kern w:val="0"/>
                <w:sz w:val="16"/>
                <w:szCs w:val="16"/>
              </w:rPr>
            </w:pPr>
            <w:r>
              <w:rPr>
                <w:kern w:val="0"/>
                <w:sz w:val="16"/>
                <w:szCs w:val="16"/>
              </w:rPr>
              <w:t>94</w:t>
            </w:r>
          </w:p>
        </w:tc>
      </w:tr>
      <w:tr w14:paraId="0FAF66A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724D45E5">
            <w:pPr>
              <w:widowControl/>
              <w:spacing w:line="220" w:lineRule="atLeast"/>
              <w:ind w:firstLine="320" w:firstLineChars="200"/>
              <w:jc w:val="left"/>
              <w:textAlignment w:val="center"/>
              <w:rPr>
                <w:kern w:val="0"/>
                <w:sz w:val="16"/>
                <w:szCs w:val="16"/>
              </w:rPr>
            </w:pPr>
            <w:r>
              <w:rPr>
                <w:kern w:val="0"/>
                <w:sz w:val="16"/>
                <w:szCs w:val="16"/>
              </w:rPr>
              <w:t>2.</w:t>
            </w:r>
            <w:r>
              <w:rPr>
                <w:rFonts w:hint="eastAsia"/>
                <w:kern w:val="0"/>
                <w:sz w:val="16"/>
                <w:szCs w:val="16"/>
              </w:rPr>
              <w:t>食品制造业</w:t>
            </w:r>
          </w:p>
        </w:tc>
        <w:tc>
          <w:tcPr>
            <w:tcW w:w="680" w:type="dxa"/>
            <w:tcBorders>
              <w:right w:val="double" w:color="auto" w:sz="4" w:space="0"/>
            </w:tcBorders>
            <w:vAlign w:val="center"/>
          </w:tcPr>
          <w:p w14:paraId="46CDA844">
            <w:pPr>
              <w:widowControl/>
              <w:spacing w:line="220" w:lineRule="atLeast"/>
              <w:jc w:val="center"/>
              <w:textAlignment w:val="center"/>
              <w:rPr>
                <w:kern w:val="0"/>
                <w:sz w:val="16"/>
                <w:szCs w:val="16"/>
              </w:rPr>
            </w:pPr>
            <w:r>
              <w:rPr>
                <w:kern w:val="0"/>
                <w:sz w:val="16"/>
                <w:szCs w:val="16"/>
              </w:rPr>
              <w:t>27</w:t>
            </w:r>
          </w:p>
        </w:tc>
        <w:tc>
          <w:tcPr>
            <w:tcW w:w="4025" w:type="dxa"/>
            <w:tcBorders>
              <w:left w:val="double" w:color="auto" w:sz="4" w:space="0"/>
            </w:tcBorders>
            <w:vAlign w:val="center"/>
          </w:tcPr>
          <w:p w14:paraId="061FA531">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土木工程建筑业</w:t>
            </w:r>
          </w:p>
        </w:tc>
        <w:tc>
          <w:tcPr>
            <w:tcW w:w="680" w:type="dxa"/>
            <w:vAlign w:val="center"/>
          </w:tcPr>
          <w:p w14:paraId="5F0F70D7">
            <w:pPr>
              <w:widowControl/>
              <w:spacing w:line="220" w:lineRule="atLeast"/>
              <w:jc w:val="center"/>
              <w:textAlignment w:val="center"/>
              <w:rPr>
                <w:kern w:val="0"/>
                <w:sz w:val="16"/>
                <w:szCs w:val="16"/>
              </w:rPr>
            </w:pPr>
            <w:r>
              <w:rPr>
                <w:kern w:val="0"/>
                <w:sz w:val="16"/>
                <w:szCs w:val="16"/>
              </w:rPr>
              <w:t>95</w:t>
            </w:r>
          </w:p>
        </w:tc>
      </w:tr>
      <w:tr w14:paraId="6EB5702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41CE711">
            <w:pPr>
              <w:widowControl/>
              <w:spacing w:line="220" w:lineRule="atLeast"/>
              <w:ind w:firstLine="320" w:firstLineChars="200"/>
              <w:jc w:val="left"/>
              <w:textAlignment w:val="center"/>
              <w:rPr>
                <w:kern w:val="0"/>
                <w:sz w:val="16"/>
                <w:szCs w:val="16"/>
              </w:rPr>
            </w:pPr>
            <w:r>
              <w:rPr>
                <w:kern w:val="0"/>
                <w:sz w:val="16"/>
                <w:szCs w:val="16"/>
              </w:rPr>
              <w:t>3.</w:t>
            </w:r>
            <w:r>
              <w:rPr>
                <w:rFonts w:hint="eastAsia"/>
                <w:kern w:val="0"/>
                <w:sz w:val="16"/>
                <w:szCs w:val="16"/>
              </w:rPr>
              <w:t>酒、饮料及精制茶制造业</w:t>
            </w:r>
          </w:p>
        </w:tc>
        <w:tc>
          <w:tcPr>
            <w:tcW w:w="680" w:type="dxa"/>
            <w:tcBorders>
              <w:right w:val="double" w:color="auto" w:sz="4" w:space="0"/>
            </w:tcBorders>
            <w:vAlign w:val="center"/>
          </w:tcPr>
          <w:p w14:paraId="636758E4">
            <w:pPr>
              <w:widowControl/>
              <w:spacing w:line="220" w:lineRule="atLeast"/>
              <w:jc w:val="center"/>
              <w:textAlignment w:val="center"/>
              <w:rPr>
                <w:kern w:val="0"/>
                <w:sz w:val="16"/>
                <w:szCs w:val="16"/>
              </w:rPr>
            </w:pPr>
            <w:r>
              <w:rPr>
                <w:kern w:val="0"/>
                <w:sz w:val="16"/>
                <w:szCs w:val="16"/>
              </w:rPr>
              <w:t>28</w:t>
            </w:r>
          </w:p>
        </w:tc>
        <w:tc>
          <w:tcPr>
            <w:tcW w:w="4025" w:type="dxa"/>
            <w:tcBorders>
              <w:left w:val="double" w:color="auto" w:sz="4" w:space="0"/>
            </w:tcBorders>
            <w:vAlign w:val="center"/>
          </w:tcPr>
          <w:p w14:paraId="316E2500">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建筑安装业</w:t>
            </w:r>
          </w:p>
        </w:tc>
        <w:tc>
          <w:tcPr>
            <w:tcW w:w="680" w:type="dxa"/>
            <w:vAlign w:val="center"/>
          </w:tcPr>
          <w:p w14:paraId="000CAA7B">
            <w:pPr>
              <w:widowControl/>
              <w:spacing w:line="220" w:lineRule="atLeast"/>
              <w:jc w:val="center"/>
              <w:textAlignment w:val="center"/>
              <w:rPr>
                <w:kern w:val="0"/>
                <w:sz w:val="16"/>
                <w:szCs w:val="16"/>
              </w:rPr>
            </w:pPr>
            <w:r>
              <w:rPr>
                <w:kern w:val="0"/>
                <w:sz w:val="16"/>
                <w:szCs w:val="16"/>
              </w:rPr>
              <w:t>96</w:t>
            </w:r>
          </w:p>
        </w:tc>
      </w:tr>
      <w:tr w14:paraId="4ACDDE9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A935EE6">
            <w:pPr>
              <w:widowControl/>
              <w:spacing w:line="220" w:lineRule="atLeast"/>
              <w:ind w:firstLine="320" w:firstLineChars="200"/>
              <w:jc w:val="left"/>
              <w:textAlignment w:val="center"/>
              <w:rPr>
                <w:kern w:val="0"/>
                <w:sz w:val="16"/>
                <w:szCs w:val="16"/>
              </w:rPr>
            </w:pPr>
            <w:r>
              <w:rPr>
                <w:kern w:val="0"/>
                <w:sz w:val="16"/>
                <w:szCs w:val="16"/>
              </w:rPr>
              <w:t>4.</w:t>
            </w:r>
            <w:r>
              <w:rPr>
                <w:rFonts w:hint="eastAsia"/>
                <w:kern w:val="0"/>
                <w:sz w:val="16"/>
                <w:szCs w:val="16"/>
              </w:rPr>
              <w:t>烟草制品业</w:t>
            </w:r>
          </w:p>
        </w:tc>
        <w:tc>
          <w:tcPr>
            <w:tcW w:w="680" w:type="dxa"/>
            <w:tcBorders>
              <w:right w:val="double" w:color="auto" w:sz="4" w:space="0"/>
            </w:tcBorders>
            <w:vAlign w:val="center"/>
          </w:tcPr>
          <w:p w14:paraId="405B7A0E">
            <w:pPr>
              <w:widowControl/>
              <w:spacing w:line="220" w:lineRule="atLeast"/>
              <w:jc w:val="center"/>
              <w:textAlignment w:val="center"/>
              <w:rPr>
                <w:kern w:val="0"/>
                <w:sz w:val="16"/>
                <w:szCs w:val="16"/>
              </w:rPr>
            </w:pPr>
            <w:r>
              <w:rPr>
                <w:kern w:val="0"/>
                <w:sz w:val="16"/>
                <w:szCs w:val="16"/>
              </w:rPr>
              <w:t>29</w:t>
            </w:r>
          </w:p>
        </w:tc>
        <w:tc>
          <w:tcPr>
            <w:tcW w:w="4025" w:type="dxa"/>
            <w:tcBorders>
              <w:left w:val="double" w:color="auto" w:sz="4" w:space="0"/>
            </w:tcBorders>
            <w:vAlign w:val="center"/>
          </w:tcPr>
          <w:p w14:paraId="2D79981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4.</w:t>
            </w:r>
            <w:r>
              <w:rPr>
                <w:rFonts w:hint="eastAsia"/>
                <w:kern w:val="0"/>
                <w:sz w:val="16"/>
                <w:szCs w:val="16"/>
              </w:rPr>
              <w:t>建筑装饰、装修和其他建筑业</w:t>
            </w:r>
          </w:p>
        </w:tc>
        <w:tc>
          <w:tcPr>
            <w:tcW w:w="680" w:type="dxa"/>
            <w:vAlign w:val="center"/>
          </w:tcPr>
          <w:p w14:paraId="525D9CD4">
            <w:pPr>
              <w:widowControl/>
              <w:spacing w:line="220" w:lineRule="atLeast"/>
              <w:jc w:val="center"/>
              <w:textAlignment w:val="center"/>
              <w:rPr>
                <w:kern w:val="0"/>
                <w:sz w:val="16"/>
                <w:szCs w:val="16"/>
              </w:rPr>
            </w:pPr>
            <w:r>
              <w:rPr>
                <w:kern w:val="0"/>
                <w:sz w:val="16"/>
                <w:szCs w:val="16"/>
              </w:rPr>
              <w:t>97</w:t>
            </w:r>
          </w:p>
        </w:tc>
      </w:tr>
      <w:tr w14:paraId="5942A72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DC1D900">
            <w:pPr>
              <w:widowControl/>
              <w:spacing w:line="220" w:lineRule="atLeast"/>
              <w:jc w:val="left"/>
              <w:textAlignment w:val="center"/>
              <w:rPr>
                <w:kern w:val="0"/>
                <w:sz w:val="16"/>
                <w:szCs w:val="16"/>
              </w:rPr>
            </w:pPr>
            <w:r>
              <w:rPr>
                <w:kern w:val="0"/>
                <w:sz w:val="16"/>
                <w:szCs w:val="16"/>
              </w:rPr>
              <w:t xml:space="preserve">    5.</w:t>
            </w:r>
            <w:r>
              <w:rPr>
                <w:rFonts w:hint="eastAsia"/>
                <w:kern w:val="0"/>
                <w:sz w:val="16"/>
                <w:szCs w:val="16"/>
              </w:rPr>
              <w:t>纺织业</w:t>
            </w:r>
          </w:p>
        </w:tc>
        <w:tc>
          <w:tcPr>
            <w:tcW w:w="680" w:type="dxa"/>
            <w:tcBorders>
              <w:right w:val="double" w:color="auto" w:sz="4" w:space="0"/>
            </w:tcBorders>
            <w:vAlign w:val="center"/>
          </w:tcPr>
          <w:p w14:paraId="75BA7845">
            <w:pPr>
              <w:widowControl/>
              <w:spacing w:line="220" w:lineRule="atLeast"/>
              <w:jc w:val="center"/>
              <w:textAlignment w:val="center"/>
              <w:rPr>
                <w:kern w:val="0"/>
                <w:sz w:val="16"/>
                <w:szCs w:val="16"/>
              </w:rPr>
            </w:pPr>
            <w:r>
              <w:rPr>
                <w:kern w:val="0"/>
                <w:sz w:val="16"/>
                <w:szCs w:val="16"/>
              </w:rPr>
              <w:t>30</w:t>
            </w:r>
          </w:p>
        </w:tc>
        <w:tc>
          <w:tcPr>
            <w:tcW w:w="4025" w:type="dxa"/>
            <w:tcBorders>
              <w:left w:val="double" w:color="auto" w:sz="4" w:space="0"/>
            </w:tcBorders>
            <w:vAlign w:val="center"/>
          </w:tcPr>
          <w:p w14:paraId="0B1F6801">
            <w:pPr>
              <w:widowControl/>
              <w:spacing w:line="220" w:lineRule="atLeast"/>
              <w:jc w:val="left"/>
              <w:textAlignment w:val="center"/>
              <w:rPr>
                <w:kern w:val="0"/>
                <w:sz w:val="16"/>
                <w:szCs w:val="16"/>
              </w:rPr>
            </w:pPr>
            <w:r>
              <w:rPr>
                <w:rFonts w:hint="eastAsia"/>
                <w:kern w:val="0"/>
                <w:sz w:val="16"/>
                <w:szCs w:val="16"/>
              </w:rPr>
              <w:t xml:space="preserve">  四、交通运输、仓储和邮政业</w:t>
            </w:r>
          </w:p>
        </w:tc>
        <w:tc>
          <w:tcPr>
            <w:tcW w:w="680" w:type="dxa"/>
            <w:vAlign w:val="center"/>
          </w:tcPr>
          <w:p w14:paraId="4E8C9BD5">
            <w:pPr>
              <w:widowControl/>
              <w:spacing w:line="220" w:lineRule="atLeast"/>
              <w:jc w:val="center"/>
              <w:textAlignment w:val="center"/>
              <w:rPr>
                <w:kern w:val="0"/>
                <w:sz w:val="16"/>
                <w:szCs w:val="16"/>
              </w:rPr>
            </w:pPr>
            <w:r>
              <w:rPr>
                <w:kern w:val="0"/>
                <w:sz w:val="16"/>
                <w:szCs w:val="16"/>
              </w:rPr>
              <w:t>98</w:t>
            </w:r>
          </w:p>
        </w:tc>
      </w:tr>
      <w:tr w14:paraId="152658E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47528A0">
            <w:pPr>
              <w:widowControl/>
              <w:spacing w:line="220" w:lineRule="atLeast"/>
              <w:jc w:val="left"/>
              <w:textAlignment w:val="center"/>
              <w:rPr>
                <w:kern w:val="0"/>
                <w:sz w:val="16"/>
                <w:szCs w:val="16"/>
              </w:rPr>
            </w:pPr>
            <w:r>
              <w:rPr>
                <w:kern w:val="0"/>
                <w:sz w:val="16"/>
                <w:szCs w:val="16"/>
              </w:rPr>
              <w:t xml:space="preserve">    6.</w:t>
            </w:r>
            <w:r>
              <w:rPr>
                <w:rFonts w:hint="eastAsia"/>
                <w:kern w:val="0"/>
                <w:sz w:val="16"/>
                <w:szCs w:val="16"/>
              </w:rPr>
              <w:t>纺织服装、服饰业</w:t>
            </w:r>
          </w:p>
        </w:tc>
        <w:tc>
          <w:tcPr>
            <w:tcW w:w="680" w:type="dxa"/>
            <w:tcBorders>
              <w:right w:val="double" w:color="auto" w:sz="4" w:space="0"/>
            </w:tcBorders>
            <w:vAlign w:val="center"/>
          </w:tcPr>
          <w:p w14:paraId="7BB1BA2F">
            <w:pPr>
              <w:widowControl/>
              <w:spacing w:line="220" w:lineRule="atLeast"/>
              <w:jc w:val="center"/>
              <w:textAlignment w:val="center"/>
              <w:rPr>
                <w:kern w:val="0"/>
                <w:sz w:val="16"/>
                <w:szCs w:val="16"/>
              </w:rPr>
            </w:pPr>
            <w:r>
              <w:rPr>
                <w:kern w:val="0"/>
                <w:sz w:val="16"/>
                <w:szCs w:val="16"/>
              </w:rPr>
              <w:t>31</w:t>
            </w:r>
          </w:p>
        </w:tc>
        <w:tc>
          <w:tcPr>
            <w:tcW w:w="4025" w:type="dxa"/>
            <w:tcBorders>
              <w:left w:val="double" w:color="auto" w:sz="4" w:space="0"/>
            </w:tcBorders>
            <w:vAlign w:val="center"/>
          </w:tcPr>
          <w:p w14:paraId="1789FADF">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1.</w:t>
            </w:r>
            <w:r>
              <w:rPr>
                <w:rFonts w:hint="eastAsia"/>
                <w:kern w:val="0"/>
                <w:sz w:val="16"/>
                <w:szCs w:val="16"/>
              </w:rPr>
              <w:t>铁路运输业</w:t>
            </w:r>
          </w:p>
        </w:tc>
        <w:tc>
          <w:tcPr>
            <w:tcW w:w="680" w:type="dxa"/>
            <w:vAlign w:val="center"/>
          </w:tcPr>
          <w:p w14:paraId="7B22F7C4">
            <w:pPr>
              <w:widowControl/>
              <w:spacing w:line="220" w:lineRule="atLeast"/>
              <w:jc w:val="center"/>
              <w:textAlignment w:val="center"/>
              <w:rPr>
                <w:kern w:val="0"/>
                <w:sz w:val="16"/>
                <w:szCs w:val="16"/>
              </w:rPr>
            </w:pPr>
            <w:r>
              <w:rPr>
                <w:kern w:val="0"/>
                <w:sz w:val="16"/>
                <w:szCs w:val="16"/>
              </w:rPr>
              <w:t>99</w:t>
            </w:r>
          </w:p>
        </w:tc>
      </w:tr>
      <w:tr w14:paraId="7F7377E2">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537127F">
            <w:pPr>
              <w:widowControl/>
              <w:spacing w:line="220" w:lineRule="atLeast"/>
              <w:jc w:val="left"/>
              <w:textAlignment w:val="center"/>
              <w:rPr>
                <w:kern w:val="0"/>
                <w:sz w:val="16"/>
                <w:szCs w:val="16"/>
              </w:rPr>
            </w:pPr>
            <w:r>
              <w:rPr>
                <w:kern w:val="0"/>
                <w:sz w:val="16"/>
                <w:szCs w:val="16"/>
              </w:rPr>
              <w:t xml:space="preserve">    7.</w:t>
            </w:r>
            <w:r>
              <w:rPr>
                <w:rFonts w:hint="eastAsia"/>
                <w:kern w:val="0"/>
                <w:sz w:val="16"/>
                <w:szCs w:val="16"/>
              </w:rPr>
              <w:t>皮革、毛皮、羽毛及其制品和制鞋业</w:t>
            </w:r>
          </w:p>
        </w:tc>
        <w:tc>
          <w:tcPr>
            <w:tcW w:w="680" w:type="dxa"/>
            <w:tcBorders>
              <w:right w:val="double" w:color="auto" w:sz="4" w:space="0"/>
            </w:tcBorders>
            <w:vAlign w:val="center"/>
          </w:tcPr>
          <w:p w14:paraId="1EC845A7">
            <w:pPr>
              <w:widowControl/>
              <w:spacing w:line="220" w:lineRule="atLeast"/>
              <w:jc w:val="center"/>
              <w:textAlignment w:val="center"/>
              <w:rPr>
                <w:kern w:val="0"/>
                <w:sz w:val="16"/>
                <w:szCs w:val="16"/>
              </w:rPr>
            </w:pPr>
            <w:r>
              <w:rPr>
                <w:kern w:val="0"/>
                <w:sz w:val="16"/>
                <w:szCs w:val="16"/>
              </w:rPr>
              <w:t>32</w:t>
            </w:r>
          </w:p>
        </w:tc>
        <w:tc>
          <w:tcPr>
            <w:tcW w:w="4025" w:type="dxa"/>
            <w:tcBorders>
              <w:left w:val="double" w:color="auto" w:sz="4" w:space="0"/>
            </w:tcBorders>
            <w:vAlign w:val="center"/>
          </w:tcPr>
          <w:p w14:paraId="58C47A4A">
            <w:pPr>
              <w:widowControl/>
              <w:spacing w:line="220" w:lineRule="atLeast"/>
              <w:jc w:val="left"/>
              <w:textAlignment w:val="center"/>
              <w:rPr>
                <w:kern w:val="0"/>
                <w:sz w:val="16"/>
                <w:szCs w:val="16"/>
              </w:rPr>
            </w:pPr>
            <w:r>
              <w:rPr>
                <w:rFonts w:hint="eastAsia"/>
                <w:kern w:val="0"/>
                <w:sz w:val="16"/>
                <w:szCs w:val="16"/>
              </w:rPr>
              <w:t xml:space="preserve">     其中：电气化铁路</w:t>
            </w:r>
          </w:p>
        </w:tc>
        <w:tc>
          <w:tcPr>
            <w:tcW w:w="680" w:type="dxa"/>
            <w:vAlign w:val="center"/>
          </w:tcPr>
          <w:p w14:paraId="319A1CDC">
            <w:pPr>
              <w:widowControl/>
              <w:spacing w:line="220" w:lineRule="atLeast"/>
              <w:jc w:val="center"/>
              <w:textAlignment w:val="center"/>
              <w:rPr>
                <w:kern w:val="0"/>
                <w:sz w:val="16"/>
                <w:szCs w:val="16"/>
              </w:rPr>
            </w:pPr>
            <w:r>
              <w:rPr>
                <w:kern w:val="0"/>
                <w:sz w:val="16"/>
                <w:szCs w:val="16"/>
              </w:rPr>
              <w:t>100</w:t>
            </w:r>
          </w:p>
        </w:tc>
      </w:tr>
      <w:tr w14:paraId="687B097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5E1FE2A">
            <w:pPr>
              <w:widowControl/>
              <w:spacing w:line="220" w:lineRule="atLeast"/>
              <w:jc w:val="left"/>
              <w:textAlignment w:val="center"/>
              <w:rPr>
                <w:kern w:val="0"/>
                <w:sz w:val="16"/>
                <w:szCs w:val="16"/>
              </w:rPr>
            </w:pPr>
            <w:r>
              <w:rPr>
                <w:kern w:val="0"/>
                <w:sz w:val="16"/>
                <w:szCs w:val="16"/>
              </w:rPr>
              <w:t xml:space="preserve">    8.</w:t>
            </w:r>
            <w:r>
              <w:rPr>
                <w:rFonts w:hint="eastAsia"/>
                <w:kern w:val="0"/>
                <w:sz w:val="16"/>
                <w:szCs w:val="16"/>
              </w:rPr>
              <w:t>木材加工和木、竹、藤、棕、草制品业</w:t>
            </w:r>
          </w:p>
        </w:tc>
        <w:tc>
          <w:tcPr>
            <w:tcW w:w="680" w:type="dxa"/>
            <w:tcBorders>
              <w:right w:val="double" w:color="auto" w:sz="4" w:space="0"/>
            </w:tcBorders>
            <w:vAlign w:val="center"/>
          </w:tcPr>
          <w:p w14:paraId="60E13097">
            <w:pPr>
              <w:widowControl/>
              <w:spacing w:line="220" w:lineRule="atLeast"/>
              <w:jc w:val="center"/>
              <w:textAlignment w:val="center"/>
              <w:rPr>
                <w:kern w:val="0"/>
                <w:sz w:val="16"/>
                <w:szCs w:val="16"/>
              </w:rPr>
            </w:pPr>
            <w:r>
              <w:rPr>
                <w:kern w:val="0"/>
                <w:sz w:val="16"/>
                <w:szCs w:val="16"/>
              </w:rPr>
              <w:t>33</w:t>
            </w:r>
          </w:p>
        </w:tc>
        <w:tc>
          <w:tcPr>
            <w:tcW w:w="4025" w:type="dxa"/>
            <w:tcBorders>
              <w:left w:val="double" w:color="auto" w:sz="4" w:space="0"/>
            </w:tcBorders>
            <w:vAlign w:val="center"/>
          </w:tcPr>
          <w:p w14:paraId="2222A0DC">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道路运输业</w:t>
            </w:r>
          </w:p>
        </w:tc>
        <w:tc>
          <w:tcPr>
            <w:tcW w:w="680" w:type="dxa"/>
            <w:vAlign w:val="center"/>
          </w:tcPr>
          <w:p w14:paraId="68F2C211">
            <w:pPr>
              <w:widowControl/>
              <w:spacing w:line="220" w:lineRule="atLeast"/>
              <w:jc w:val="center"/>
              <w:textAlignment w:val="center"/>
              <w:rPr>
                <w:kern w:val="0"/>
                <w:sz w:val="16"/>
                <w:szCs w:val="16"/>
              </w:rPr>
            </w:pPr>
            <w:r>
              <w:rPr>
                <w:kern w:val="0"/>
                <w:sz w:val="16"/>
                <w:szCs w:val="16"/>
              </w:rPr>
              <w:t>101</w:t>
            </w:r>
          </w:p>
        </w:tc>
      </w:tr>
      <w:tr w14:paraId="70BFAF0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7CB33F15">
            <w:pPr>
              <w:widowControl/>
              <w:spacing w:line="220" w:lineRule="atLeast"/>
              <w:jc w:val="left"/>
              <w:textAlignment w:val="center"/>
              <w:rPr>
                <w:kern w:val="0"/>
                <w:sz w:val="16"/>
                <w:szCs w:val="16"/>
              </w:rPr>
            </w:pPr>
            <w:r>
              <w:rPr>
                <w:kern w:val="0"/>
                <w:sz w:val="16"/>
                <w:szCs w:val="16"/>
              </w:rPr>
              <w:t xml:space="preserve">    9.</w:t>
            </w:r>
            <w:r>
              <w:rPr>
                <w:rFonts w:hint="eastAsia"/>
                <w:kern w:val="0"/>
                <w:sz w:val="16"/>
                <w:szCs w:val="16"/>
              </w:rPr>
              <w:t>家具制造业</w:t>
            </w:r>
          </w:p>
        </w:tc>
        <w:tc>
          <w:tcPr>
            <w:tcW w:w="680" w:type="dxa"/>
            <w:tcBorders>
              <w:right w:val="double" w:color="auto" w:sz="4" w:space="0"/>
            </w:tcBorders>
            <w:vAlign w:val="center"/>
          </w:tcPr>
          <w:p w14:paraId="49650821">
            <w:pPr>
              <w:widowControl/>
              <w:spacing w:line="220" w:lineRule="atLeast"/>
              <w:jc w:val="center"/>
              <w:textAlignment w:val="center"/>
              <w:rPr>
                <w:kern w:val="0"/>
                <w:sz w:val="16"/>
                <w:szCs w:val="16"/>
              </w:rPr>
            </w:pPr>
            <w:r>
              <w:rPr>
                <w:kern w:val="0"/>
                <w:sz w:val="16"/>
                <w:szCs w:val="16"/>
              </w:rPr>
              <w:t>34</w:t>
            </w:r>
          </w:p>
        </w:tc>
        <w:tc>
          <w:tcPr>
            <w:tcW w:w="4025" w:type="dxa"/>
            <w:tcBorders>
              <w:left w:val="double" w:color="auto" w:sz="4" w:space="0"/>
            </w:tcBorders>
            <w:vAlign w:val="center"/>
          </w:tcPr>
          <w:p w14:paraId="1E8A7C94">
            <w:pPr>
              <w:widowControl/>
              <w:spacing w:line="220" w:lineRule="atLeast"/>
              <w:jc w:val="left"/>
              <w:textAlignment w:val="center"/>
              <w:rPr>
                <w:kern w:val="0"/>
                <w:sz w:val="16"/>
                <w:szCs w:val="16"/>
              </w:rPr>
            </w:pPr>
            <w:r>
              <w:rPr>
                <w:rFonts w:hint="eastAsia"/>
                <w:kern w:val="0"/>
                <w:sz w:val="16"/>
                <w:szCs w:val="16"/>
              </w:rPr>
              <w:t xml:space="preserve">     其中：城市公共交通运输</w:t>
            </w:r>
          </w:p>
        </w:tc>
        <w:tc>
          <w:tcPr>
            <w:tcW w:w="680" w:type="dxa"/>
            <w:vAlign w:val="center"/>
          </w:tcPr>
          <w:p w14:paraId="28628BFD">
            <w:pPr>
              <w:widowControl/>
              <w:spacing w:line="220" w:lineRule="atLeast"/>
              <w:jc w:val="center"/>
              <w:textAlignment w:val="center"/>
              <w:rPr>
                <w:kern w:val="0"/>
                <w:sz w:val="16"/>
                <w:szCs w:val="16"/>
              </w:rPr>
            </w:pPr>
            <w:r>
              <w:rPr>
                <w:kern w:val="0"/>
                <w:sz w:val="16"/>
                <w:szCs w:val="16"/>
              </w:rPr>
              <w:t>102</w:t>
            </w:r>
          </w:p>
        </w:tc>
      </w:tr>
      <w:tr w14:paraId="7032FF2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37A47D5">
            <w:pPr>
              <w:widowControl/>
              <w:spacing w:line="220" w:lineRule="atLeast"/>
              <w:jc w:val="left"/>
              <w:textAlignment w:val="center"/>
              <w:rPr>
                <w:kern w:val="0"/>
                <w:sz w:val="16"/>
                <w:szCs w:val="16"/>
              </w:rPr>
            </w:pPr>
            <w:r>
              <w:rPr>
                <w:kern w:val="0"/>
                <w:sz w:val="16"/>
                <w:szCs w:val="16"/>
              </w:rPr>
              <w:t xml:space="preserve">    10.</w:t>
            </w:r>
            <w:r>
              <w:rPr>
                <w:rFonts w:hint="eastAsia"/>
                <w:kern w:val="0"/>
                <w:sz w:val="16"/>
                <w:szCs w:val="16"/>
              </w:rPr>
              <w:t>造纸和纸制品业</w:t>
            </w:r>
          </w:p>
        </w:tc>
        <w:tc>
          <w:tcPr>
            <w:tcW w:w="680" w:type="dxa"/>
            <w:tcBorders>
              <w:right w:val="double" w:color="auto" w:sz="4" w:space="0"/>
            </w:tcBorders>
            <w:vAlign w:val="center"/>
          </w:tcPr>
          <w:p w14:paraId="757AABC4">
            <w:pPr>
              <w:widowControl/>
              <w:spacing w:line="220" w:lineRule="atLeast"/>
              <w:jc w:val="center"/>
              <w:textAlignment w:val="center"/>
              <w:rPr>
                <w:kern w:val="0"/>
                <w:sz w:val="16"/>
                <w:szCs w:val="16"/>
              </w:rPr>
            </w:pPr>
            <w:r>
              <w:rPr>
                <w:kern w:val="0"/>
                <w:sz w:val="16"/>
                <w:szCs w:val="16"/>
              </w:rPr>
              <w:t>35</w:t>
            </w:r>
          </w:p>
        </w:tc>
        <w:tc>
          <w:tcPr>
            <w:tcW w:w="4025" w:type="dxa"/>
            <w:tcBorders>
              <w:left w:val="double" w:color="auto" w:sz="4" w:space="0"/>
            </w:tcBorders>
            <w:vAlign w:val="center"/>
          </w:tcPr>
          <w:p w14:paraId="1B41D2EC">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水上运输业</w:t>
            </w:r>
          </w:p>
        </w:tc>
        <w:tc>
          <w:tcPr>
            <w:tcW w:w="680" w:type="dxa"/>
            <w:vAlign w:val="center"/>
          </w:tcPr>
          <w:p w14:paraId="2FB2DF35">
            <w:pPr>
              <w:widowControl/>
              <w:spacing w:line="220" w:lineRule="atLeast"/>
              <w:jc w:val="center"/>
              <w:textAlignment w:val="center"/>
              <w:rPr>
                <w:kern w:val="0"/>
                <w:sz w:val="16"/>
                <w:szCs w:val="16"/>
              </w:rPr>
            </w:pPr>
            <w:r>
              <w:rPr>
                <w:kern w:val="0"/>
                <w:sz w:val="16"/>
                <w:szCs w:val="16"/>
              </w:rPr>
              <w:t>103</w:t>
            </w:r>
          </w:p>
        </w:tc>
      </w:tr>
      <w:tr w14:paraId="0133580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F8C3E2F">
            <w:pPr>
              <w:widowControl/>
              <w:spacing w:line="220" w:lineRule="atLeast"/>
              <w:jc w:val="left"/>
              <w:textAlignment w:val="center"/>
              <w:rPr>
                <w:kern w:val="0"/>
                <w:sz w:val="16"/>
                <w:szCs w:val="16"/>
              </w:rPr>
            </w:pPr>
            <w:r>
              <w:rPr>
                <w:kern w:val="0"/>
                <w:sz w:val="16"/>
                <w:szCs w:val="16"/>
              </w:rPr>
              <w:t xml:space="preserve">    11.</w:t>
            </w:r>
            <w:r>
              <w:rPr>
                <w:rFonts w:hint="eastAsia"/>
                <w:kern w:val="0"/>
                <w:sz w:val="16"/>
                <w:szCs w:val="16"/>
              </w:rPr>
              <w:t>印刷和记录媒介复制业</w:t>
            </w:r>
          </w:p>
        </w:tc>
        <w:tc>
          <w:tcPr>
            <w:tcW w:w="680" w:type="dxa"/>
            <w:tcBorders>
              <w:right w:val="double" w:color="auto" w:sz="4" w:space="0"/>
            </w:tcBorders>
            <w:vAlign w:val="center"/>
          </w:tcPr>
          <w:p w14:paraId="466F4A70">
            <w:pPr>
              <w:widowControl/>
              <w:spacing w:line="220" w:lineRule="atLeast"/>
              <w:jc w:val="center"/>
              <w:textAlignment w:val="center"/>
              <w:rPr>
                <w:kern w:val="0"/>
                <w:sz w:val="16"/>
                <w:szCs w:val="16"/>
              </w:rPr>
            </w:pPr>
            <w:r>
              <w:rPr>
                <w:kern w:val="0"/>
                <w:sz w:val="16"/>
                <w:szCs w:val="16"/>
              </w:rPr>
              <w:t>36</w:t>
            </w:r>
          </w:p>
        </w:tc>
        <w:tc>
          <w:tcPr>
            <w:tcW w:w="4025" w:type="dxa"/>
            <w:tcBorders>
              <w:left w:val="double" w:color="auto" w:sz="4" w:space="0"/>
            </w:tcBorders>
            <w:vAlign w:val="center"/>
          </w:tcPr>
          <w:p w14:paraId="211183BD">
            <w:pPr>
              <w:widowControl/>
              <w:spacing w:line="220" w:lineRule="atLeast"/>
              <w:jc w:val="left"/>
              <w:textAlignment w:val="center"/>
              <w:rPr>
                <w:kern w:val="0"/>
                <w:sz w:val="16"/>
                <w:szCs w:val="16"/>
              </w:rPr>
            </w:pPr>
            <w:r>
              <w:rPr>
                <w:rFonts w:hint="eastAsia"/>
                <w:kern w:val="0"/>
                <w:sz w:val="16"/>
                <w:szCs w:val="16"/>
              </w:rPr>
              <w:t xml:space="preserve">     其中：港口岸电</w:t>
            </w:r>
          </w:p>
        </w:tc>
        <w:tc>
          <w:tcPr>
            <w:tcW w:w="680" w:type="dxa"/>
            <w:vAlign w:val="center"/>
          </w:tcPr>
          <w:p w14:paraId="2518ED3D">
            <w:pPr>
              <w:widowControl/>
              <w:spacing w:line="220" w:lineRule="atLeast"/>
              <w:jc w:val="center"/>
              <w:textAlignment w:val="center"/>
              <w:rPr>
                <w:kern w:val="0"/>
                <w:sz w:val="16"/>
                <w:szCs w:val="16"/>
              </w:rPr>
            </w:pPr>
            <w:r>
              <w:rPr>
                <w:kern w:val="0"/>
                <w:sz w:val="16"/>
                <w:szCs w:val="16"/>
              </w:rPr>
              <w:t>104</w:t>
            </w:r>
          </w:p>
        </w:tc>
      </w:tr>
      <w:tr w14:paraId="5EFBE3C2">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0988818">
            <w:pPr>
              <w:widowControl/>
              <w:spacing w:line="220" w:lineRule="atLeast"/>
              <w:jc w:val="left"/>
              <w:textAlignment w:val="center"/>
              <w:rPr>
                <w:kern w:val="0"/>
                <w:sz w:val="16"/>
                <w:szCs w:val="16"/>
              </w:rPr>
            </w:pPr>
            <w:r>
              <w:rPr>
                <w:kern w:val="0"/>
                <w:sz w:val="16"/>
                <w:szCs w:val="16"/>
              </w:rPr>
              <w:t xml:space="preserve">    12.</w:t>
            </w:r>
            <w:r>
              <w:rPr>
                <w:rFonts w:hint="eastAsia"/>
                <w:kern w:val="0"/>
                <w:sz w:val="16"/>
                <w:szCs w:val="16"/>
              </w:rPr>
              <w:t>文教、工美、体育和娱乐用品制造业</w:t>
            </w:r>
          </w:p>
        </w:tc>
        <w:tc>
          <w:tcPr>
            <w:tcW w:w="680" w:type="dxa"/>
            <w:tcBorders>
              <w:right w:val="double" w:color="auto" w:sz="4" w:space="0"/>
            </w:tcBorders>
            <w:vAlign w:val="center"/>
          </w:tcPr>
          <w:p w14:paraId="78F7C28A">
            <w:pPr>
              <w:widowControl/>
              <w:spacing w:line="220" w:lineRule="atLeast"/>
              <w:jc w:val="center"/>
              <w:textAlignment w:val="center"/>
              <w:rPr>
                <w:kern w:val="0"/>
                <w:sz w:val="16"/>
                <w:szCs w:val="16"/>
              </w:rPr>
            </w:pPr>
            <w:r>
              <w:rPr>
                <w:kern w:val="0"/>
                <w:sz w:val="16"/>
                <w:szCs w:val="16"/>
              </w:rPr>
              <w:t>37</w:t>
            </w:r>
          </w:p>
        </w:tc>
        <w:tc>
          <w:tcPr>
            <w:tcW w:w="4025" w:type="dxa"/>
            <w:tcBorders>
              <w:left w:val="double" w:color="auto" w:sz="4" w:space="0"/>
            </w:tcBorders>
            <w:vAlign w:val="center"/>
          </w:tcPr>
          <w:p w14:paraId="746449F7">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4.</w:t>
            </w:r>
            <w:r>
              <w:rPr>
                <w:rFonts w:hint="eastAsia"/>
                <w:kern w:val="0"/>
                <w:sz w:val="16"/>
                <w:szCs w:val="16"/>
              </w:rPr>
              <w:t>航空运输业</w:t>
            </w:r>
          </w:p>
        </w:tc>
        <w:tc>
          <w:tcPr>
            <w:tcW w:w="680" w:type="dxa"/>
            <w:vAlign w:val="center"/>
          </w:tcPr>
          <w:p w14:paraId="04B572CA">
            <w:pPr>
              <w:widowControl/>
              <w:spacing w:line="220" w:lineRule="atLeast"/>
              <w:jc w:val="center"/>
              <w:textAlignment w:val="center"/>
              <w:rPr>
                <w:kern w:val="0"/>
                <w:sz w:val="16"/>
                <w:szCs w:val="16"/>
              </w:rPr>
            </w:pPr>
            <w:r>
              <w:rPr>
                <w:kern w:val="0"/>
                <w:sz w:val="16"/>
                <w:szCs w:val="16"/>
              </w:rPr>
              <w:t>105</w:t>
            </w:r>
          </w:p>
        </w:tc>
      </w:tr>
      <w:tr w14:paraId="40BC5EC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2B85C2E">
            <w:pPr>
              <w:widowControl/>
              <w:spacing w:line="220" w:lineRule="atLeast"/>
              <w:ind w:firstLine="400" w:firstLineChars="250"/>
              <w:jc w:val="left"/>
              <w:textAlignment w:val="center"/>
              <w:rPr>
                <w:kern w:val="0"/>
                <w:sz w:val="16"/>
                <w:szCs w:val="16"/>
              </w:rPr>
            </w:pPr>
            <w:r>
              <w:rPr>
                <w:rFonts w:hint="eastAsia"/>
                <w:kern w:val="0"/>
                <w:sz w:val="16"/>
                <w:szCs w:val="16"/>
              </w:rPr>
              <w:t>其中：体育用品制造</w:t>
            </w:r>
          </w:p>
        </w:tc>
        <w:tc>
          <w:tcPr>
            <w:tcW w:w="680" w:type="dxa"/>
            <w:tcBorders>
              <w:right w:val="double" w:color="auto" w:sz="4" w:space="0"/>
            </w:tcBorders>
            <w:vAlign w:val="center"/>
          </w:tcPr>
          <w:p w14:paraId="372B620F">
            <w:pPr>
              <w:widowControl/>
              <w:spacing w:line="220" w:lineRule="atLeast"/>
              <w:jc w:val="center"/>
              <w:textAlignment w:val="center"/>
              <w:rPr>
                <w:kern w:val="0"/>
                <w:sz w:val="16"/>
                <w:szCs w:val="16"/>
              </w:rPr>
            </w:pPr>
            <w:r>
              <w:rPr>
                <w:kern w:val="0"/>
                <w:sz w:val="16"/>
                <w:szCs w:val="16"/>
              </w:rPr>
              <w:t>38</w:t>
            </w:r>
          </w:p>
        </w:tc>
        <w:tc>
          <w:tcPr>
            <w:tcW w:w="4025" w:type="dxa"/>
            <w:tcBorders>
              <w:left w:val="double" w:color="auto" w:sz="4" w:space="0"/>
            </w:tcBorders>
            <w:vAlign w:val="center"/>
          </w:tcPr>
          <w:p w14:paraId="287E5A32">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5.</w:t>
            </w:r>
            <w:r>
              <w:rPr>
                <w:rFonts w:hint="eastAsia"/>
                <w:kern w:val="0"/>
                <w:sz w:val="16"/>
                <w:szCs w:val="16"/>
              </w:rPr>
              <w:t>管道运输业</w:t>
            </w:r>
          </w:p>
        </w:tc>
        <w:tc>
          <w:tcPr>
            <w:tcW w:w="680" w:type="dxa"/>
            <w:vAlign w:val="center"/>
          </w:tcPr>
          <w:p w14:paraId="62F714BC">
            <w:pPr>
              <w:widowControl/>
              <w:spacing w:line="220" w:lineRule="atLeast"/>
              <w:jc w:val="center"/>
              <w:textAlignment w:val="center"/>
              <w:rPr>
                <w:kern w:val="0"/>
                <w:sz w:val="16"/>
                <w:szCs w:val="16"/>
              </w:rPr>
            </w:pPr>
            <w:r>
              <w:rPr>
                <w:kern w:val="0"/>
                <w:sz w:val="16"/>
                <w:szCs w:val="16"/>
              </w:rPr>
              <w:t>106</w:t>
            </w:r>
          </w:p>
        </w:tc>
      </w:tr>
      <w:tr w14:paraId="5B84093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D5BE9D0">
            <w:pPr>
              <w:widowControl/>
              <w:spacing w:line="220" w:lineRule="atLeast"/>
              <w:jc w:val="left"/>
              <w:textAlignment w:val="center"/>
              <w:rPr>
                <w:kern w:val="0"/>
                <w:sz w:val="16"/>
                <w:szCs w:val="16"/>
              </w:rPr>
            </w:pPr>
            <w:r>
              <w:rPr>
                <w:kern w:val="0"/>
                <w:sz w:val="16"/>
                <w:szCs w:val="16"/>
              </w:rPr>
              <w:t xml:space="preserve">    13.</w:t>
            </w:r>
            <w:r>
              <w:rPr>
                <w:rFonts w:hint="eastAsia"/>
                <w:kern w:val="0"/>
                <w:sz w:val="16"/>
                <w:szCs w:val="16"/>
              </w:rPr>
              <w:t>石油、煤炭及其他燃料加工业</w:t>
            </w:r>
          </w:p>
        </w:tc>
        <w:tc>
          <w:tcPr>
            <w:tcW w:w="680" w:type="dxa"/>
            <w:tcBorders>
              <w:right w:val="double" w:color="auto" w:sz="4" w:space="0"/>
            </w:tcBorders>
            <w:vAlign w:val="center"/>
          </w:tcPr>
          <w:p w14:paraId="2480792E">
            <w:pPr>
              <w:widowControl/>
              <w:spacing w:line="220" w:lineRule="atLeast"/>
              <w:jc w:val="center"/>
              <w:textAlignment w:val="center"/>
              <w:rPr>
                <w:kern w:val="0"/>
                <w:sz w:val="16"/>
                <w:szCs w:val="16"/>
              </w:rPr>
            </w:pPr>
            <w:r>
              <w:rPr>
                <w:kern w:val="0"/>
                <w:sz w:val="16"/>
                <w:szCs w:val="16"/>
              </w:rPr>
              <w:t>39</w:t>
            </w:r>
          </w:p>
        </w:tc>
        <w:tc>
          <w:tcPr>
            <w:tcW w:w="4025" w:type="dxa"/>
            <w:tcBorders>
              <w:left w:val="double" w:color="auto" w:sz="4" w:space="0"/>
            </w:tcBorders>
            <w:vAlign w:val="center"/>
          </w:tcPr>
          <w:p w14:paraId="679F36C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6.</w:t>
            </w:r>
            <w:r>
              <w:rPr>
                <w:rFonts w:hint="eastAsia"/>
                <w:kern w:val="0"/>
                <w:sz w:val="16"/>
                <w:szCs w:val="16"/>
              </w:rPr>
              <w:t>多式联运和运输代理业</w:t>
            </w:r>
          </w:p>
        </w:tc>
        <w:tc>
          <w:tcPr>
            <w:tcW w:w="680" w:type="dxa"/>
            <w:vAlign w:val="center"/>
          </w:tcPr>
          <w:p w14:paraId="22ECD00D">
            <w:pPr>
              <w:widowControl/>
              <w:spacing w:line="220" w:lineRule="atLeast"/>
              <w:jc w:val="center"/>
              <w:textAlignment w:val="center"/>
              <w:rPr>
                <w:kern w:val="0"/>
                <w:sz w:val="16"/>
                <w:szCs w:val="16"/>
              </w:rPr>
            </w:pPr>
            <w:r>
              <w:rPr>
                <w:kern w:val="0"/>
                <w:sz w:val="16"/>
                <w:szCs w:val="16"/>
              </w:rPr>
              <w:t>107</w:t>
            </w:r>
          </w:p>
        </w:tc>
      </w:tr>
      <w:tr w14:paraId="54AB9E1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16325E1">
            <w:pPr>
              <w:widowControl/>
              <w:spacing w:line="220" w:lineRule="atLeast"/>
              <w:ind w:firstLine="400" w:firstLineChars="250"/>
              <w:jc w:val="left"/>
              <w:textAlignment w:val="center"/>
              <w:rPr>
                <w:kern w:val="0"/>
                <w:sz w:val="16"/>
                <w:szCs w:val="16"/>
              </w:rPr>
            </w:pPr>
            <w:r>
              <w:rPr>
                <w:rFonts w:hint="eastAsia"/>
                <w:kern w:val="0"/>
                <w:sz w:val="16"/>
                <w:szCs w:val="16"/>
              </w:rPr>
              <w:t>其中：煤化工</w:t>
            </w:r>
          </w:p>
        </w:tc>
        <w:tc>
          <w:tcPr>
            <w:tcW w:w="680" w:type="dxa"/>
            <w:tcBorders>
              <w:right w:val="double" w:color="auto" w:sz="4" w:space="0"/>
            </w:tcBorders>
            <w:vAlign w:val="center"/>
          </w:tcPr>
          <w:p w14:paraId="127CDDD3">
            <w:pPr>
              <w:widowControl/>
              <w:spacing w:line="220" w:lineRule="atLeast"/>
              <w:jc w:val="center"/>
              <w:textAlignment w:val="center"/>
              <w:rPr>
                <w:kern w:val="0"/>
                <w:sz w:val="16"/>
                <w:szCs w:val="16"/>
              </w:rPr>
            </w:pPr>
            <w:r>
              <w:rPr>
                <w:kern w:val="0"/>
                <w:sz w:val="16"/>
                <w:szCs w:val="16"/>
              </w:rPr>
              <w:t>40</w:t>
            </w:r>
          </w:p>
        </w:tc>
        <w:tc>
          <w:tcPr>
            <w:tcW w:w="4025" w:type="dxa"/>
            <w:tcBorders>
              <w:left w:val="double" w:color="auto" w:sz="4" w:space="0"/>
            </w:tcBorders>
            <w:vAlign w:val="center"/>
          </w:tcPr>
          <w:p w14:paraId="5DCFF12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7.</w:t>
            </w:r>
            <w:r>
              <w:rPr>
                <w:rFonts w:hint="eastAsia"/>
                <w:kern w:val="0"/>
                <w:sz w:val="16"/>
                <w:szCs w:val="16"/>
              </w:rPr>
              <w:t>装卸搬运和仓储业</w:t>
            </w:r>
          </w:p>
        </w:tc>
        <w:tc>
          <w:tcPr>
            <w:tcW w:w="680" w:type="dxa"/>
            <w:vAlign w:val="center"/>
          </w:tcPr>
          <w:p w14:paraId="1EDDCF76">
            <w:pPr>
              <w:widowControl/>
              <w:spacing w:line="220" w:lineRule="atLeast"/>
              <w:jc w:val="center"/>
              <w:textAlignment w:val="center"/>
              <w:rPr>
                <w:kern w:val="0"/>
                <w:sz w:val="16"/>
                <w:szCs w:val="16"/>
              </w:rPr>
            </w:pPr>
            <w:r>
              <w:rPr>
                <w:kern w:val="0"/>
                <w:sz w:val="16"/>
                <w:szCs w:val="16"/>
              </w:rPr>
              <w:t>108</w:t>
            </w:r>
          </w:p>
        </w:tc>
      </w:tr>
      <w:tr w14:paraId="31D30F38">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955274B">
            <w:pPr>
              <w:widowControl/>
              <w:spacing w:line="220" w:lineRule="atLeast"/>
              <w:jc w:val="left"/>
              <w:textAlignment w:val="center"/>
              <w:rPr>
                <w:kern w:val="0"/>
                <w:sz w:val="16"/>
                <w:szCs w:val="16"/>
              </w:rPr>
            </w:pPr>
            <w:r>
              <w:rPr>
                <w:kern w:val="0"/>
                <w:sz w:val="16"/>
                <w:szCs w:val="16"/>
              </w:rPr>
              <w:t xml:space="preserve">    14.</w:t>
            </w:r>
            <w:r>
              <w:rPr>
                <w:rFonts w:hint="eastAsia"/>
                <w:kern w:val="0"/>
                <w:sz w:val="16"/>
                <w:szCs w:val="16"/>
              </w:rPr>
              <w:t>化学原料和化学制品制造业</w:t>
            </w:r>
          </w:p>
        </w:tc>
        <w:tc>
          <w:tcPr>
            <w:tcW w:w="680" w:type="dxa"/>
            <w:tcBorders>
              <w:right w:val="double" w:color="auto" w:sz="4" w:space="0"/>
            </w:tcBorders>
            <w:vAlign w:val="center"/>
          </w:tcPr>
          <w:p w14:paraId="543D3138">
            <w:pPr>
              <w:widowControl/>
              <w:spacing w:line="220" w:lineRule="atLeast"/>
              <w:jc w:val="center"/>
              <w:textAlignment w:val="center"/>
              <w:rPr>
                <w:kern w:val="0"/>
                <w:sz w:val="16"/>
                <w:szCs w:val="16"/>
              </w:rPr>
            </w:pPr>
            <w:r>
              <w:rPr>
                <w:kern w:val="0"/>
                <w:sz w:val="16"/>
                <w:szCs w:val="16"/>
              </w:rPr>
              <w:t>41</w:t>
            </w:r>
          </w:p>
        </w:tc>
        <w:tc>
          <w:tcPr>
            <w:tcW w:w="4025" w:type="dxa"/>
            <w:tcBorders>
              <w:left w:val="double" w:color="auto" w:sz="4" w:space="0"/>
            </w:tcBorders>
            <w:vAlign w:val="center"/>
          </w:tcPr>
          <w:p w14:paraId="06D96882">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8.</w:t>
            </w:r>
            <w:r>
              <w:rPr>
                <w:rFonts w:hint="eastAsia"/>
                <w:kern w:val="0"/>
                <w:sz w:val="16"/>
                <w:szCs w:val="16"/>
              </w:rPr>
              <w:t>邮政业</w:t>
            </w:r>
          </w:p>
        </w:tc>
        <w:tc>
          <w:tcPr>
            <w:tcW w:w="680" w:type="dxa"/>
            <w:vAlign w:val="center"/>
          </w:tcPr>
          <w:p w14:paraId="6D137BA0">
            <w:pPr>
              <w:widowControl/>
              <w:spacing w:line="220" w:lineRule="atLeast"/>
              <w:jc w:val="center"/>
              <w:textAlignment w:val="center"/>
              <w:rPr>
                <w:kern w:val="0"/>
                <w:sz w:val="16"/>
                <w:szCs w:val="16"/>
              </w:rPr>
            </w:pPr>
            <w:r>
              <w:rPr>
                <w:kern w:val="0"/>
                <w:sz w:val="16"/>
                <w:szCs w:val="16"/>
              </w:rPr>
              <w:t>109</w:t>
            </w:r>
          </w:p>
        </w:tc>
      </w:tr>
      <w:tr w14:paraId="072D3EF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831695C">
            <w:pPr>
              <w:widowControl/>
              <w:spacing w:line="220" w:lineRule="atLeast"/>
              <w:ind w:firstLine="400" w:firstLineChars="250"/>
              <w:jc w:val="left"/>
              <w:textAlignment w:val="center"/>
              <w:rPr>
                <w:kern w:val="0"/>
                <w:sz w:val="16"/>
                <w:szCs w:val="16"/>
              </w:rPr>
            </w:pPr>
            <w:r>
              <w:rPr>
                <w:rFonts w:hint="eastAsia"/>
                <w:kern w:val="0"/>
                <w:sz w:val="16"/>
                <w:szCs w:val="16"/>
              </w:rPr>
              <w:t>其中：氯碱</w:t>
            </w:r>
          </w:p>
        </w:tc>
        <w:tc>
          <w:tcPr>
            <w:tcW w:w="680" w:type="dxa"/>
            <w:tcBorders>
              <w:right w:val="double" w:color="auto" w:sz="4" w:space="0"/>
            </w:tcBorders>
            <w:vAlign w:val="center"/>
          </w:tcPr>
          <w:p w14:paraId="60F9DDF7">
            <w:pPr>
              <w:widowControl/>
              <w:spacing w:line="220" w:lineRule="atLeast"/>
              <w:jc w:val="center"/>
              <w:textAlignment w:val="center"/>
              <w:rPr>
                <w:kern w:val="0"/>
                <w:sz w:val="16"/>
                <w:szCs w:val="16"/>
              </w:rPr>
            </w:pPr>
            <w:r>
              <w:rPr>
                <w:kern w:val="0"/>
                <w:sz w:val="16"/>
                <w:szCs w:val="16"/>
              </w:rPr>
              <w:t>42</w:t>
            </w:r>
          </w:p>
        </w:tc>
        <w:tc>
          <w:tcPr>
            <w:tcW w:w="4025" w:type="dxa"/>
            <w:tcBorders>
              <w:left w:val="double" w:color="auto" w:sz="4" w:space="0"/>
            </w:tcBorders>
            <w:vAlign w:val="center"/>
          </w:tcPr>
          <w:p w14:paraId="2042E5BE">
            <w:pPr>
              <w:widowControl/>
              <w:spacing w:line="220" w:lineRule="atLeast"/>
              <w:jc w:val="left"/>
              <w:textAlignment w:val="center"/>
              <w:rPr>
                <w:kern w:val="0"/>
                <w:sz w:val="16"/>
                <w:szCs w:val="16"/>
              </w:rPr>
            </w:pPr>
            <w:r>
              <w:rPr>
                <w:rFonts w:hint="eastAsia"/>
                <w:kern w:val="0"/>
                <w:sz w:val="16"/>
                <w:szCs w:val="16"/>
              </w:rPr>
              <w:t xml:space="preserve">  五、信息传输、软件和信息技术服务业</w:t>
            </w:r>
          </w:p>
        </w:tc>
        <w:tc>
          <w:tcPr>
            <w:tcW w:w="680" w:type="dxa"/>
            <w:vAlign w:val="center"/>
          </w:tcPr>
          <w:p w14:paraId="72D88061">
            <w:pPr>
              <w:widowControl/>
              <w:spacing w:line="220" w:lineRule="atLeast"/>
              <w:jc w:val="center"/>
              <w:textAlignment w:val="center"/>
              <w:rPr>
                <w:kern w:val="0"/>
                <w:sz w:val="16"/>
                <w:szCs w:val="16"/>
              </w:rPr>
            </w:pPr>
            <w:r>
              <w:rPr>
                <w:kern w:val="0"/>
                <w:sz w:val="16"/>
                <w:szCs w:val="16"/>
              </w:rPr>
              <w:t>110</w:t>
            </w:r>
          </w:p>
        </w:tc>
      </w:tr>
      <w:tr w14:paraId="545CDBF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12ED8C6">
            <w:pPr>
              <w:widowControl/>
              <w:spacing w:line="220" w:lineRule="atLeast"/>
              <w:ind w:firstLine="880" w:firstLineChars="550"/>
              <w:jc w:val="left"/>
              <w:textAlignment w:val="center"/>
              <w:rPr>
                <w:kern w:val="0"/>
                <w:sz w:val="16"/>
                <w:szCs w:val="16"/>
              </w:rPr>
            </w:pPr>
            <w:r>
              <w:rPr>
                <w:rFonts w:hint="eastAsia"/>
                <w:kern w:val="0"/>
                <w:sz w:val="16"/>
                <w:szCs w:val="16"/>
              </w:rPr>
              <w:t>电石</w:t>
            </w:r>
          </w:p>
        </w:tc>
        <w:tc>
          <w:tcPr>
            <w:tcW w:w="680" w:type="dxa"/>
            <w:tcBorders>
              <w:right w:val="double" w:color="auto" w:sz="4" w:space="0"/>
            </w:tcBorders>
            <w:vAlign w:val="center"/>
          </w:tcPr>
          <w:p w14:paraId="4A888E65">
            <w:pPr>
              <w:widowControl/>
              <w:spacing w:line="220" w:lineRule="atLeast"/>
              <w:jc w:val="center"/>
              <w:textAlignment w:val="center"/>
              <w:rPr>
                <w:kern w:val="0"/>
                <w:sz w:val="16"/>
                <w:szCs w:val="16"/>
              </w:rPr>
            </w:pPr>
            <w:r>
              <w:rPr>
                <w:kern w:val="0"/>
                <w:sz w:val="16"/>
                <w:szCs w:val="16"/>
              </w:rPr>
              <w:t>43</w:t>
            </w:r>
          </w:p>
        </w:tc>
        <w:tc>
          <w:tcPr>
            <w:tcW w:w="4025" w:type="dxa"/>
            <w:tcBorders>
              <w:left w:val="double" w:color="auto" w:sz="4" w:space="0"/>
            </w:tcBorders>
            <w:vAlign w:val="center"/>
          </w:tcPr>
          <w:p w14:paraId="2452EFE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电信、广播电视和卫星传输服务</w:t>
            </w:r>
          </w:p>
        </w:tc>
        <w:tc>
          <w:tcPr>
            <w:tcW w:w="680" w:type="dxa"/>
            <w:vAlign w:val="center"/>
          </w:tcPr>
          <w:p w14:paraId="7F9103C5">
            <w:pPr>
              <w:widowControl/>
              <w:spacing w:line="220" w:lineRule="atLeast"/>
              <w:jc w:val="center"/>
              <w:textAlignment w:val="center"/>
              <w:rPr>
                <w:kern w:val="0"/>
                <w:sz w:val="16"/>
                <w:szCs w:val="16"/>
              </w:rPr>
            </w:pPr>
            <w:r>
              <w:rPr>
                <w:kern w:val="0"/>
                <w:sz w:val="16"/>
                <w:szCs w:val="16"/>
              </w:rPr>
              <w:t>111</w:t>
            </w:r>
          </w:p>
        </w:tc>
      </w:tr>
      <w:tr w14:paraId="01557D9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0DAA123">
            <w:pPr>
              <w:widowControl/>
              <w:spacing w:line="220" w:lineRule="atLeast"/>
              <w:ind w:firstLine="880" w:firstLineChars="550"/>
              <w:jc w:val="left"/>
              <w:textAlignment w:val="center"/>
              <w:rPr>
                <w:kern w:val="0"/>
                <w:sz w:val="16"/>
                <w:szCs w:val="16"/>
              </w:rPr>
            </w:pPr>
            <w:r>
              <w:rPr>
                <w:rFonts w:hint="eastAsia"/>
                <w:kern w:val="0"/>
                <w:sz w:val="16"/>
                <w:szCs w:val="16"/>
              </w:rPr>
              <w:t>黄磷</w:t>
            </w:r>
          </w:p>
        </w:tc>
        <w:tc>
          <w:tcPr>
            <w:tcW w:w="680" w:type="dxa"/>
            <w:tcBorders>
              <w:right w:val="double" w:color="auto" w:sz="4" w:space="0"/>
            </w:tcBorders>
            <w:vAlign w:val="center"/>
          </w:tcPr>
          <w:p w14:paraId="142840A7">
            <w:pPr>
              <w:widowControl/>
              <w:spacing w:line="220" w:lineRule="atLeast"/>
              <w:jc w:val="center"/>
              <w:textAlignment w:val="center"/>
              <w:rPr>
                <w:kern w:val="0"/>
                <w:sz w:val="16"/>
                <w:szCs w:val="16"/>
              </w:rPr>
            </w:pPr>
            <w:r>
              <w:rPr>
                <w:kern w:val="0"/>
                <w:sz w:val="16"/>
                <w:szCs w:val="16"/>
              </w:rPr>
              <w:t>44</w:t>
            </w:r>
          </w:p>
        </w:tc>
        <w:tc>
          <w:tcPr>
            <w:tcW w:w="4025" w:type="dxa"/>
            <w:tcBorders>
              <w:left w:val="double" w:color="auto" w:sz="4" w:space="0"/>
            </w:tcBorders>
            <w:vAlign w:val="center"/>
          </w:tcPr>
          <w:p w14:paraId="2286919E">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2.</w:t>
            </w:r>
            <w:r>
              <w:rPr>
                <w:rFonts w:hint="eastAsia"/>
                <w:kern w:val="0"/>
                <w:sz w:val="16"/>
                <w:szCs w:val="16"/>
              </w:rPr>
              <w:t>互联网和相关服务</w:t>
            </w:r>
          </w:p>
        </w:tc>
        <w:tc>
          <w:tcPr>
            <w:tcW w:w="680" w:type="dxa"/>
            <w:vAlign w:val="center"/>
          </w:tcPr>
          <w:p w14:paraId="6F9B84A1">
            <w:pPr>
              <w:widowControl/>
              <w:spacing w:line="220" w:lineRule="atLeast"/>
              <w:jc w:val="center"/>
              <w:textAlignment w:val="center"/>
              <w:rPr>
                <w:kern w:val="0"/>
                <w:sz w:val="16"/>
                <w:szCs w:val="16"/>
              </w:rPr>
            </w:pPr>
            <w:r>
              <w:rPr>
                <w:kern w:val="0"/>
                <w:sz w:val="16"/>
                <w:szCs w:val="16"/>
              </w:rPr>
              <w:t>112</w:t>
            </w:r>
          </w:p>
        </w:tc>
      </w:tr>
      <w:tr w14:paraId="4B3E3098">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03E8F68">
            <w:pPr>
              <w:widowControl/>
              <w:spacing w:line="220" w:lineRule="atLeast"/>
              <w:ind w:firstLine="880" w:firstLineChars="550"/>
              <w:jc w:val="left"/>
              <w:textAlignment w:val="center"/>
              <w:rPr>
                <w:kern w:val="0"/>
                <w:sz w:val="16"/>
                <w:szCs w:val="16"/>
              </w:rPr>
            </w:pPr>
            <w:r>
              <w:rPr>
                <w:rFonts w:hint="eastAsia"/>
                <w:kern w:val="0"/>
                <w:sz w:val="16"/>
                <w:szCs w:val="16"/>
              </w:rPr>
              <w:t>肥料制造</w:t>
            </w:r>
          </w:p>
        </w:tc>
        <w:tc>
          <w:tcPr>
            <w:tcW w:w="680" w:type="dxa"/>
            <w:tcBorders>
              <w:right w:val="double" w:color="auto" w:sz="4" w:space="0"/>
            </w:tcBorders>
            <w:vAlign w:val="center"/>
          </w:tcPr>
          <w:p w14:paraId="6723B54D">
            <w:pPr>
              <w:widowControl/>
              <w:spacing w:line="220" w:lineRule="atLeast"/>
              <w:jc w:val="center"/>
              <w:textAlignment w:val="center"/>
              <w:rPr>
                <w:kern w:val="0"/>
                <w:sz w:val="16"/>
                <w:szCs w:val="16"/>
              </w:rPr>
            </w:pPr>
            <w:r>
              <w:rPr>
                <w:kern w:val="0"/>
                <w:sz w:val="16"/>
                <w:szCs w:val="16"/>
              </w:rPr>
              <w:t>45</w:t>
            </w:r>
          </w:p>
        </w:tc>
        <w:tc>
          <w:tcPr>
            <w:tcW w:w="4025" w:type="dxa"/>
            <w:tcBorders>
              <w:left w:val="double" w:color="auto" w:sz="4" w:space="0"/>
            </w:tcBorders>
            <w:vAlign w:val="center"/>
          </w:tcPr>
          <w:p w14:paraId="4D32416D">
            <w:pPr>
              <w:widowControl/>
              <w:spacing w:line="220" w:lineRule="atLeast"/>
              <w:jc w:val="left"/>
              <w:textAlignment w:val="center"/>
              <w:rPr>
                <w:kern w:val="0"/>
                <w:sz w:val="16"/>
                <w:szCs w:val="16"/>
              </w:rPr>
            </w:pPr>
            <w:r>
              <w:rPr>
                <w:rFonts w:hint="eastAsia"/>
                <w:kern w:val="0"/>
                <w:sz w:val="16"/>
                <w:szCs w:val="16"/>
              </w:rPr>
              <w:t xml:space="preserve">     其中：互联网数据服务</w:t>
            </w:r>
          </w:p>
        </w:tc>
        <w:tc>
          <w:tcPr>
            <w:tcW w:w="680" w:type="dxa"/>
            <w:vAlign w:val="center"/>
          </w:tcPr>
          <w:p w14:paraId="3882F1AB">
            <w:pPr>
              <w:widowControl/>
              <w:spacing w:line="220" w:lineRule="atLeast"/>
              <w:jc w:val="center"/>
              <w:textAlignment w:val="center"/>
              <w:rPr>
                <w:kern w:val="0"/>
                <w:sz w:val="16"/>
                <w:szCs w:val="16"/>
              </w:rPr>
            </w:pPr>
            <w:r>
              <w:rPr>
                <w:kern w:val="0"/>
                <w:sz w:val="16"/>
                <w:szCs w:val="16"/>
              </w:rPr>
              <w:t>113</w:t>
            </w:r>
          </w:p>
        </w:tc>
      </w:tr>
      <w:tr w14:paraId="6E43EA4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9ED7569">
            <w:pPr>
              <w:widowControl/>
              <w:spacing w:line="220" w:lineRule="atLeast"/>
              <w:jc w:val="left"/>
              <w:textAlignment w:val="center"/>
              <w:rPr>
                <w:kern w:val="0"/>
                <w:sz w:val="16"/>
                <w:szCs w:val="16"/>
              </w:rPr>
            </w:pPr>
            <w:r>
              <w:rPr>
                <w:kern w:val="0"/>
                <w:sz w:val="16"/>
                <w:szCs w:val="16"/>
              </w:rPr>
              <w:t xml:space="preserve">    15.</w:t>
            </w:r>
            <w:r>
              <w:rPr>
                <w:rFonts w:hint="eastAsia"/>
                <w:kern w:val="0"/>
                <w:sz w:val="16"/>
                <w:szCs w:val="16"/>
              </w:rPr>
              <w:t>医药制造业</w:t>
            </w:r>
          </w:p>
        </w:tc>
        <w:tc>
          <w:tcPr>
            <w:tcW w:w="680" w:type="dxa"/>
            <w:tcBorders>
              <w:right w:val="double" w:color="auto" w:sz="4" w:space="0"/>
            </w:tcBorders>
            <w:vAlign w:val="center"/>
          </w:tcPr>
          <w:p w14:paraId="72B48BEE">
            <w:pPr>
              <w:widowControl/>
              <w:spacing w:line="220" w:lineRule="atLeast"/>
              <w:jc w:val="center"/>
              <w:textAlignment w:val="center"/>
              <w:rPr>
                <w:kern w:val="0"/>
                <w:sz w:val="16"/>
                <w:szCs w:val="16"/>
              </w:rPr>
            </w:pPr>
            <w:r>
              <w:rPr>
                <w:kern w:val="0"/>
                <w:sz w:val="16"/>
                <w:szCs w:val="16"/>
              </w:rPr>
              <w:t>46</w:t>
            </w:r>
          </w:p>
        </w:tc>
        <w:tc>
          <w:tcPr>
            <w:tcW w:w="4025" w:type="dxa"/>
            <w:tcBorders>
              <w:left w:val="double" w:color="auto" w:sz="4" w:space="0"/>
            </w:tcBorders>
            <w:vAlign w:val="center"/>
          </w:tcPr>
          <w:p w14:paraId="4303BF45">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3.</w:t>
            </w:r>
            <w:r>
              <w:rPr>
                <w:rFonts w:hint="eastAsia"/>
                <w:kern w:val="0"/>
                <w:sz w:val="16"/>
                <w:szCs w:val="16"/>
              </w:rPr>
              <w:t>软件和信息技术服务业</w:t>
            </w:r>
          </w:p>
        </w:tc>
        <w:tc>
          <w:tcPr>
            <w:tcW w:w="680" w:type="dxa"/>
            <w:vAlign w:val="center"/>
          </w:tcPr>
          <w:p w14:paraId="1FA7B601">
            <w:pPr>
              <w:widowControl/>
              <w:spacing w:line="220" w:lineRule="atLeast"/>
              <w:jc w:val="center"/>
              <w:textAlignment w:val="center"/>
              <w:rPr>
                <w:kern w:val="0"/>
                <w:sz w:val="16"/>
                <w:szCs w:val="16"/>
              </w:rPr>
            </w:pPr>
            <w:r>
              <w:rPr>
                <w:kern w:val="0"/>
                <w:sz w:val="16"/>
                <w:szCs w:val="16"/>
              </w:rPr>
              <w:t>114</w:t>
            </w:r>
          </w:p>
        </w:tc>
      </w:tr>
      <w:tr w14:paraId="7EAB54B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73EDAD06">
            <w:pPr>
              <w:widowControl/>
              <w:spacing w:line="220" w:lineRule="atLeast"/>
              <w:ind w:firstLine="400" w:firstLineChars="250"/>
              <w:jc w:val="left"/>
              <w:textAlignment w:val="center"/>
              <w:rPr>
                <w:kern w:val="0"/>
                <w:sz w:val="16"/>
                <w:szCs w:val="16"/>
              </w:rPr>
            </w:pPr>
            <w:r>
              <w:rPr>
                <w:rFonts w:hint="eastAsia"/>
                <w:kern w:val="0"/>
                <w:sz w:val="16"/>
                <w:szCs w:val="16"/>
              </w:rPr>
              <w:t>其中：中成药生产</w:t>
            </w:r>
          </w:p>
        </w:tc>
        <w:tc>
          <w:tcPr>
            <w:tcW w:w="680" w:type="dxa"/>
            <w:tcBorders>
              <w:right w:val="double" w:color="auto" w:sz="4" w:space="0"/>
            </w:tcBorders>
            <w:vAlign w:val="center"/>
          </w:tcPr>
          <w:p w14:paraId="49D92C82">
            <w:pPr>
              <w:widowControl/>
              <w:spacing w:line="220" w:lineRule="atLeast"/>
              <w:jc w:val="center"/>
              <w:textAlignment w:val="center"/>
              <w:rPr>
                <w:kern w:val="0"/>
                <w:sz w:val="16"/>
                <w:szCs w:val="16"/>
              </w:rPr>
            </w:pPr>
            <w:r>
              <w:rPr>
                <w:kern w:val="0"/>
                <w:sz w:val="16"/>
                <w:szCs w:val="16"/>
              </w:rPr>
              <w:t>47</w:t>
            </w:r>
          </w:p>
        </w:tc>
        <w:tc>
          <w:tcPr>
            <w:tcW w:w="4025" w:type="dxa"/>
            <w:tcBorders>
              <w:left w:val="double" w:color="auto" w:sz="4" w:space="0"/>
            </w:tcBorders>
            <w:vAlign w:val="center"/>
          </w:tcPr>
          <w:p w14:paraId="0E536EAE">
            <w:pPr>
              <w:widowControl/>
              <w:spacing w:line="220" w:lineRule="atLeast"/>
              <w:jc w:val="left"/>
              <w:textAlignment w:val="center"/>
              <w:rPr>
                <w:kern w:val="0"/>
                <w:sz w:val="16"/>
                <w:szCs w:val="16"/>
              </w:rPr>
            </w:pPr>
            <w:r>
              <w:rPr>
                <w:rFonts w:hint="eastAsia"/>
                <w:kern w:val="0"/>
                <w:sz w:val="16"/>
                <w:szCs w:val="16"/>
              </w:rPr>
              <w:t xml:space="preserve">  六、批发和零售业</w:t>
            </w:r>
          </w:p>
        </w:tc>
        <w:tc>
          <w:tcPr>
            <w:tcW w:w="680" w:type="dxa"/>
            <w:vAlign w:val="center"/>
          </w:tcPr>
          <w:p w14:paraId="41B893B7">
            <w:pPr>
              <w:widowControl/>
              <w:spacing w:line="220" w:lineRule="atLeast"/>
              <w:jc w:val="center"/>
              <w:textAlignment w:val="center"/>
              <w:rPr>
                <w:kern w:val="0"/>
                <w:sz w:val="16"/>
                <w:szCs w:val="16"/>
              </w:rPr>
            </w:pPr>
            <w:r>
              <w:rPr>
                <w:kern w:val="0"/>
                <w:sz w:val="16"/>
                <w:szCs w:val="16"/>
              </w:rPr>
              <w:t>115</w:t>
            </w:r>
          </w:p>
        </w:tc>
      </w:tr>
      <w:tr w14:paraId="78BAA55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C0EE050">
            <w:pPr>
              <w:widowControl/>
              <w:spacing w:line="220" w:lineRule="atLeast"/>
              <w:ind w:firstLine="880" w:firstLineChars="550"/>
              <w:jc w:val="left"/>
              <w:textAlignment w:val="center"/>
              <w:rPr>
                <w:kern w:val="0"/>
                <w:sz w:val="16"/>
                <w:szCs w:val="16"/>
              </w:rPr>
            </w:pPr>
            <w:r>
              <w:rPr>
                <w:rFonts w:hint="eastAsia"/>
                <w:kern w:val="0"/>
                <w:sz w:val="16"/>
                <w:szCs w:val="16"/>
              </w:rPr>
              <w:t>生物药品制品制造</w:t>
            </w:r>
          </w:p>
        </w:tc>
        <w:tc>
          <w:tcPr>
            <w:tcW w:w="680" w:type="dxa"/>
            <w:tcBorders>
              <w:right w:val="double" w:color="auto" w:sz="4" w:space="0"/>
            </w:tcBorders>
            <w:vAlign w:val="center"/>
          </w:tcPr>
          <w:p w14:paraId="57421B43">
            <w:pPr>
              <w:widowControl/>
              <w:spacing w:line="220" w:lineRule="atLeast"/>
              <w:jc w:val="center"/>
              <w:textAlignment w:val="center"/>
              <w:rPr>
                <w:kern w:val="0"/>
                <w:sz w:val="16"/>
                <w:szCs w:val="16"/>
              </w:rPr>
            </w:pPr>
            <w:r>
              <w:rPr>
                <w:kern w:val="0"/>
                <w:sz w:val="16"/>
                <w:szCs w:val="16"/>
              </w:rPr>
              <w:t>48</w:t>
            </w:r>
          </w:p>
        </w:tc>
        <w:tc>
          <w:tcPr>
            <w:tcW w:w="4025" w:type="dxa"/>
            <w:tcBorders>
              <w:left w:val="double" w:color="auto" w:sz="4" w:space="0"/>
            </w:tcBorders>
            <w:vAlign w:val="center"/>
          </w:tcPr>
          <w:p w14:paraId="26E3F0D7">
            <w:pPr>
              <w:widowControl/>
              <w:spacing w:line="220" w:lineRule="atLeast"/>
              <w:jc w:val="left"/>
              <w:textAlignment w:val="center"/>
              <w:rPr>
                <w:kern w:val="0"/>
                <w:sz w:val="16"/>
                <w:szCs w:val="16"/>
              </w:rPr>
            </w:pPr>
            <w:r>
              <w:rPr>
                <w:rFonts w:hint="eastAsia"/>
                <w:kern w:val="0"/>
                <w:sz w:val="16"/>
                <w:szCs w:val="16"/>
              </w:rPr>
              <w:t xml:space="preserve">     其中：充换电服务业</w:t>
            </w:r>
          </w:p>
        </w:tc>
        <w:tc>
          <w:tcPr>
            <w:tcW w:w="680" w:type="dxa"/>
            <w:vAlign w:val="center"/>
          </w:tcPr>
          <w:p w14:paraId="0C75CD89">
            <w:pPr>
              <w:widowControl/>
              <w:spacing w:line="220" w:lineRule="atLeast"/>
              <w:jc w:val="center"/>
              <w:textAlignment w:val="center"/>
              <w:rPr>
                <w:kern w:val="0"/>
                <w:sz w:val="16"/>
                <w:szCs w:val="16"/>
              </w:rPr>
            </w:pPr>
            <w:r>
              <w:rPr>
                <w:kern w:val="0"/>
                <w:sz w:val="16"/>
                <w:szCs w:val="16"/>
              </w:rPr>
              <w:t>116</w:t>
            </w:r>
          </w:p>
        </w:tc>
      </w:tr>
      <w:tr w14:paraId="63939088">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A020BB6">
            <w:pPr>
              <w:widowControl/>
              <w:spacing w:line="220" w:lineRule="atLeast"/>
              <w:jc w:val="left"/>
              <w:textAlignment w:val="center"/>
              <w:rPr>
                <w:kern w:val="0"/>
                <w:sz w:val="16"/>
                <w:szCs w:val="16"/>
              </w:rPr>
            </w:pPr>
            <w:r>
              <w:rPr>
                <w:kern w:val="0"/>
                <w:sz w:val="16"/>
                <w:szCs w:val="16"/>
              </w:rPr>
              <w:t xml:space="preserve">    16.</w:t>
            </w:r>
            <w:r>
              <w:rPr>
                <w:rFonts w:hint="eastAsia"/>
                <w:kern w:val="0"/>
                <w:sz w:val="16"/>
                <w:szCs w:val="16"/>
              </w:rPr>
              <w:t>化学纤维制造业</w:t>
            </w:r>
          </w:p>
        </w:tc>
        <w:tc>
          <w:tcPr>
            <w:tcW w:w="680" w:type="dxa"/>
            <w:tcBorders>
              <w:right w:val="double" w:color="auto" w:sz="4" w:space="0"/>
            </w:tcBorders>
            <w:vAlign w:val="center"/>
          </w:tcPr>
          <w:p w14:paraId="62340D2E">
            <w:pPr>
              <w:widowControl/>
              <w:spacing w:line="220" w:lineRule="atLeast"/>
              <w:jc w:val="center"/>
              <w:textAlignment w:val="center"/>
              <w:rPr>
                <w:kern w:val="0"/>
                <w:sz w:val="16"/>
                <w:szCs w:val="16"/>
              </w:rPr>
            </w:pPr>
            <w:r>
              <w:rPr>
                <w:kern w:val="0"/>
                <w:sz w:val="16"/>
                <w:szCs w:val="16"/>
              </w:rPr>
              <w:t>49</w:t>
            </w:r>
          </w:p>
        </w:tc>
        <w:tc>
          <w:tcPr>
            <w:tcW w:w="4025" w:type="dxa"/>
            <w:tcBorders>
              <w:left w:val="double" w:color="auto" w:sz="4" w:space="0"/>
            </w:tcBorders>
            <w:vAlign w:val="center"/>
          </w:tcPr>
          <w:p w14:paraId="4844670D">
            <w:pPr>
              <w:widowControl/>
              <w:spacing w:line="220" w:lineRule="atLeast"/>
              <w:jc w:val="left"/>
              <w:textAlignment w:val="center"/>
              <w:rPr>
                <w:kern w:val="0"/>
                <w:sz w:val="16"/>
                <w:szCs w:val="16"/>
              </w:rPr>
            </w:pPr>
            <w:r>
              <w:rPr>
                <w:rFonts w:hint="eastAsia"/>
                <w:kern w:val="0"/>
                <w:sz w:val="16"/>
                <w:szCs w:val="16"/>
              </w:rPr>
              <w:t xml:space="preserve">  七、住宿和餐饮业</w:t>
            </w:r>
          </w:p>
        </w:tc>
        <w:tc>
          <w:tcPr>
            <w:tcW w:w="680" w:type="dxa"/>
            <w:vAlign w:val="center"/>
          </w:tcPr>
          <w:p w14:paraId="35C3A94B">
            <w:pPr>
              <w:widowControl/>
              <w:spacing w:line="220" w:lineRule="atLeast"/>
              <w:jc w:val="center"/>
              <w:textAlignment w:val="center"/>
              <w:rPr>
                <w:kern w:val="0"/>
                <w:sz w:val="16"/>
                <w:szCs w:val="16"/>
              </w:rPr>
            </w:pPr>
            <w:r>
              <w:rPr>
                <w:kern w:val="0"/>
                <w:sz w:val="16"/>
                <w:szCs w:val="16"/>
              </w:rPr>
              <w:t>117</w:t>
            </w:r>
          </w:p>
        </w:tc>
      </w:tr>
      <w:tr w14:paraId="2E0F127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A2D2F6A">
            <w:pPr>
              <w:widowControl/>
              <w:spacing w:line="220" w:lineRule="atLeast"/>
              <w:jc w:val="left"/>
              <w:textAlignment w:val="center"/>
              <w:rPr>
                <w:kern w:val="0"/>
                <w:sz w:val="16"/>
                <w:szCs w:val="16"/>
              </w:rPr>
            </w:pPr>
            <w:r>
              <w:rPr>
                <w:kern w:val="0"/>
                <w:sz w:val="16"/>
                <w:szCs w:val="16"/>
              </w:rPr>
              <w:t xml:space="preserve">    17.</w:t>
            </w:r>
            <w:r>
              <w:rPr>
                <w:rFonts w:hint="eastAsia"/>
                <w:kern w:val="0"/>
                <w:sz w:val="16"/>
                <w:szCs w:val="16"/>
              </w:rPr>
              <w:t>橡胶和塑料制品业</w:t>
            </w:r>
          </w:p>
        </w:tc>
        <w:tc>
          <w:tcPr>
            <w:tcW w:w="680" w:type="dxa"/>
            <w:tcBorders>
              <w:right w:val="double" w:color="auto" w:sz="4" w:space="0"/>
            </w:tcBorders>
            <w:vAlign w:val="center"/>
          </w:tcPr>
          <w:p w14:paraId="5EB44B65">
            <w:pPr>
              <w:widowControl/>
              <w:spacing w:line="220" w:lineRule="atLeast"/>
              <w:jc w:val="center"/>
              <w:textAlignment w:val="center"/>
              <w:rPr>
                <w:kern w:val="0"/>
                <w:sz w:val="16"/>
                <w:szCs w:val="16"/>
              </w:rPr>
            </w:pPr>
            <w:r>
              <w:rPr>
                <w:kern w:val="0"/>
                <w:sz w:val="16"/>
                <w:szCs w:val="16"/>
              </w:rPr>
              <w:t>50</w:t>
            </w:r>
          </w:p>
        </w:tc>
        <w:tc>
          <w:tcPr>
            <w:tcW w:w="4025" w:type="dxa"/>
            <w:tcBorders>
              <w:left w:val="double" w:color="auto" w:sz="4" w:space="0"/>
            </w:tcBorders>
            <w:vAlign w:val="center"/>
          </w:tcPr>
          <w:p w14:paraId="530A5F39">
            <w:pPr>
              <w:widowControl/>
              <w:spacing w:line="220" w:lineRule="atLeast"/>
              <w:jc w:val="left"/>
              <w:textAlignment w:val="center"/>
              <w:rPr>
                <w:kern w:val="0"/>
                <w:sz w:val="16"/>
                <w:szCs w:val="16"/>
              </w:rPr>
            </w:pPr>
            <w:r>
              <w:rPr>
                <w:rFonts w:hint="eastAsia"/>
                <w:kern w:val="0"/>
                <w:sz w:val="16"/>
                <w:szCs w:val="16"/>
              </w:rPr>
              <w:t xml:space="preserve">  八、金融业</w:t>
            </w:r>
          </w:p>
        </w:tc>
        <w:tc>
          <w:tcPr>
            <w:tcW w:w="680" w:type="dxa"/>
            <w:vAlign w:val="center"/>
          </w:tcPr>
          <w:p w14:paraId="5858DAFE">
            <w:pPr>
              <w:widowControl/>
              <w:spacing w:line="220" w:lineRule="atLeast"/>
              <w:jc w:val="center"/>
              <w:textAlignment w:val="center"/>
              <w:rPr>
                <w:kern w:val="0"/>
                <w:sz w:val="16"/>
                <w:szCs w:val="16"/>
              </w:rPr>
            </w:pPr>
            <w:r>
              <w:rPr>
                <w:kern w:val="0"/>
                <w:sz w:val="16"/>
                <w:szCs w:val="16"/>
              </w:rPr>
              <w:t>118</w:t>
            </w:r>
          </w:p>
        </w:tc>
      </w:tr>
      <w:tr w14:paraId="682CE54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D2FD3A0">
            <w:pPr>
              <w:widowControl/>
              <w:spacing w:line="220" w:lineRule="atLeast"/>
              <w:jc w:val="left"/>
              <w:textAlignment w:val="center"/>
              <w:rPr>
                <w:kern w:val="0"/>
                <w:sz w:val="16"/>
                <w:szCs w:val="16"/>
              </w:rPr>
            </w:pPr>
            <w:r>
              <w:rPr>
                <w:rFonts w:hint="eastAsia"/>
                <w:kern w:val="0"/>
                <w:sz w:val="16"/>
                <w:szCs w:val="16"/>
              </w:rPr>
              <w:t xml:space="preserve">     其中：橡胶制品业</w:t>
            </w:r>
          </w:p>
        </w:tc>
        <w:tc>
          <w:tcPr>
            <w:tcW w:w="680" w:type="dxa"/>
            <w:tcBorders>
              <w:right w:val="double" w:color="auto" w:sz="4" w:space="0"/>
            </w:tcBorders>
            <w:vAlign w:val="center"/>
          </w:tcPr>
          <w:p w14:paraId="59699F51">
            <w:pPr>
              <w:widowControl/>
              <w:spacing w:line="220" w:lineRule="atLeast"/>
              <w:jc w:val="center"/>
              <w:textAlignment w:val="center"/>
              <w:rPr>
                <w:kern w:val="0"/>
                <w:sz w:val="16"/>
                <w:szCs w:val="16"/>
              </w:rPr>
            </w:pPr>
            <w:r>
              <w:rPr>
                <w:kern w:val="0"/>
                <w:sz w:val="16"/>
                <w:szCs w:val="16"/>
              </w:rPr>
              <w:t>51</w:t>
            </w:r>
          </w:p>
        </w:tc>
        <w:tc>
          <w:tcPr>
            <w:tcW w:w="4025" w:type="dxa"/>
            <w:tcBorders>
              <w:left w:val="double" w:color="auto" w:sz="4" w:space="0"/>
            </w:tcBorders>
            <w:vAlign w:val="center"/>
          </w:tcPr>
          <w:p w14:paraId="1F826851">
            <w:pPr>
              <w:widowControl/>
              <w:spacing w:line="220" w:lineRule="atLeast"/>
              <w:jc w:val="left"/>
              <w:textAlignment w:val="center"/>
              <w:rPr>
                <w:kern w:val="0"/>
                <w:sz w:val="16"/>
                <w:szCs w:val="16"/>
              </w:rPr>
            </w:pPr>
            <w:r>
              <w:rPr>
                <w:rFonts w:hint="eastAsia"/>
                <w:kern w:val="0"/>
                <w:sz w:val="16"/>
                <w:szCs w:val="16"/>
              </w:rPr>
              <w:t xml:space="preserve">  九、房地产业</w:t>
            </w:r>
          </w:p>
        </w:tc>
        <w:tc>
          <w:tcPr>
            <w:tcW w:w="680" w:type="dxa"/>
            <w:vAlign w:val="center"/>
          </w:tcPr>
          <w:p w14:paraId="6B06AA40">
            <w:pPr>
              <w:widowControl/>
              <w:spacing w:line="220" w:lineRule="atLeast"/>
              <w:jc w:val="center"/>
              <w:textAlignment w:val="center"/>
              <w:rPr>
                <w:kern w:val="0"/>
                <w:sz w:val="16"/>
                <w:szCs w:val="16"/>
              </w:rPr>
            </w:pPr>
            <w:r>
              <w:rPr>
                <w:kern w:val="0"/>
                <w:sz w:val="16"/>
                <w:szCs w:val="16"/>
              </w:rPr>
              <w:t>119</w:t>
            </w:r>
          </w:p>
        </w:tc>
      </w:tr>
      <w:tr w14:paraId="3D4CC65B">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078DD74">
            <w:pPr>
              <w:widowControl/>
              <w:spacing w:line="220" w:lineRule="atLeast"/>
              <w:jc w:val="left"/>
              <w:textAlignment w:val="center"/>
              <w:rPr>
                <w:kern w:val="0"/>
                <w:sz w:val="16"/>
                <w:szCs w:val="16"/>
              </w:rPr>
            </w:pPr>
            <w:r>
              <w:rPr>
                <w:rFonts w:hint="eastAsia"/>
                <w:kern w:val="0"/>
                <w:sz w:val="16"/>
                <w:szCs w:val="16"/>
              </w:rPr>
              <w:t xml:space="preserve">           塑料制品业</w:t>
            </w:r>
          </w:p>
        </w:tc>
        <w:tc>
          <w:tcPr>
            <w:tcW w:w="680" w:type="dxa"/>
            <w:tcBorders>
              <w:right w:val="double" w:color="auto" w:sz="4" w:space="0"/>
            </w:tcBorders>
            <w:vAlign w:val="center"/>
          </w:tcPr>
          <w:p w14:paraId="5E54B36F">
            <w:pPr>
              <w:widowControl/>
              <w:spacing w:line="220" w:lineRule="atLeast"/>
              <w:jc w:val="center"/>
              <w:textAlignment w:val="center"/>
              <w:rPr>
                <w:kern w:val="0"/>
                <w:sz w:val="16"/>
                <w:szCs w:val="16"/>
              </w:rPr>
            </w:pPr>
            <w:r>
              <w:rPr>
                <w:kern w:val="0"/>
                <w:sz w:val="16"/>
                <w:szCs w:val="16"/>
              </w:rPr>
              <w:t>52</w:t>
            </w:r>
          </w:p>
        </w:tc>
        <w:tc>
          <w:tcPr>
            <w:tcW w:w="4025" w:type="dxa"/>
            <w:tcBorders>
              <w:left w:val="double" w:color="auto" w:sz="4" w:space="0"/>
            </w:tcBorders>
            <w:vAlign w:val="center"/>
          </w:tcPr>
          <w:p w14:paraId="50375672">
            <w:pPr>
              <w:widowControl/>
              <w:spacing w:line="220" w:lineRule="atLeast"/>
              <w:jc w:val="left"/>
              <w:textAlignment w:val="center"/>
              <w:rPr>
                <w:kern w:val="0"/>
                <w:sz w:val="16"/>
                <w:szCs w:val="16"/>
              </w:rPr>
            </w:pPr>
            <w:r>
              <w:rPr>
                <w:rFonts w:hint="eastAsia"/>
                <w:kern w:val="0"/>
                <w:sz w:val="16"/>
                <w:szCs w:val="16"/>
              </w:rPr>
              <w:t xml:space="preserve">  十、租赁和商务服务业</w:t>
            </w:r>
          </w:p>
        </w:tc>
        <w:tc>
          <w:tcPr>
            <w:tcW w:w="680" w:type="dxa"/>
            <w:vAlign w:val="center"/>
          </w:tcPr>
          <w:p w14:paraId="498320EF">
            <w:pPr>
              <w:widowControl/>
              <w:spacing w:line="220" w:lineRule="atLeast"/>
              <w:jc w:val="center"/>
              <w:textAlignment w:val="center"/>
              <w:rPr>
                <w:kern w:val="0"/>
                <w:sz w:val="16"/>
                <w:szCs w:val="16"/>
              </w:rPr>
            </w:pPr>
            <w:r>
              <w:rPr>
                <w:kern w:val="0"/>
                <w:sz w:val="16"/>
                <w:szCs w:val="16"/>
              </w:rPr>
              <w:t>120</w:t>
            </w:r>
          </w:p>
        </w:tc>
      </w:tr>
      <w:tr w14:paraId="248D83D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F5D497E">
            <w:pPr>
              <w:widowControl/>
              <w:spacing w:line="220" w:lineRule="atLeast"/>
              <w:jc w:val="left"/>
              <w:textAlignment w:val="center"/>
              <w:rPr>
                <w:kern w:val="0"/>
                <w:sz w:val="16"/>
                <w:szCs w:val="16"/>
              </w:rPr>
            </w:pPr>
            <w:r>
              <w:rPr>
                <w:kern w:val="0"/>
                <w:sz w:val="16"/>
                <w:szCs w:val="16"/>
              </w:rPr>
              <w:t xml:space="preserve">    18.</w:t>
            </w:r>
            <w:r>
              <w:rPr>
                <w:rFonts w:hint="eastAsia"/>
                <w:kern w:val="0"/>
                <w:sz w:val="16"/>
                <w:szCs w:val="16"/>
              </w:rPr>
              <w:t>非金属矿物制品业</w:t>
            </w:r>
          </w:p>
        </w:tc>
        <w:tc>
          <w:tcPr>
            <w:tcW w:w="680" w:type="dxa"/>
            <w:tcBorders>
              <w:right w:val="double" w:color="auto" w:sz="4" w:space="0"/>
            </w:tcBorders>
            <w:vAlign w:val="center"/>
          </w:tcPr>
          <w:p w14:paraId="477A07AD">
            <w:pPr>
              <w:widowControl/>
              <w:spacing w:line="220" w:lineRule="atLeast"/>
              <w:jc w:val="center"/>
              <w:textAlignment w:val="center"/>
              <w:rPr>
                <w:kern w:val="0"/>
                <w:sz w:val="16"/>
                <w:szCs w:val="16"/>
              </w:rPr>
            </w:pPr>
            <w:r>
              <w:rPr>
                <w:kern w:val="0"/>
                <w:sz w:val="16"/>
                <w:szCs w:val="16"/>
              </w:rPr>
              <w:t>53</w:t>
            </w:r>
          </w:p>
        </w:tc>
        <w:tc>
          <w:tcPr>
            <w:tcW w:w="4025" w:type="dxa"/>
            <w:tcBorders>
              <w:left w:val="double" w:color="auto" w:sz="4" w:space="0"/>
            </w:tcBorders>
            <w:vAlign w:val="center"/>
          </w:tcPr>
          <w:p w14:paraId="159006BC">
            <w:pPr>
              <w:widowControl/>
              <w:spacing w:line="220" w:lineRule="atLeast"/>
              <w:jc w:val="left"/>
              <w:textAlignment w:val="center"/>
              <w:rPr>
                <w:kern w:val="0"/>
                <w:sz w:val="16"/>
                <w:szCs w:val="16"/>
              </w:rPr>
            </w:pPr>
            <w:r>
              <w:rPr>
                <w:rFonts w:hint="eastAsia"/>
                <w:kern w:val="0"/>
                <w:sz w:val="16"/>
                <w:szCs w:val="16"/>
              </w:rPr>
              <w:t xml:space="preserve">     其中：租赁业</w:t>
            </w:r>
          </w:p>
        </w:tc>
        <w:tc>
          <w:tcPr>
            <w:tcW w:w="680" w:type="dxa"/>
            <w:vAlign w:val="center"/>
          </w:tcPr>
          <w:p w14:paraId="1262C0F0">
            <w:pPr>
              <w:widowControl/>
              <w:spacing w:line="220" w:lineRule="atLeast"/>
              <w:jc w:val="center"/>
              <w:textAlignment w:val="center"/>
              <w:rPr>
                <w:kern w:val="0"/>
                <w:sz w:val="16"/>
                <w:szCs w:val="16"/>
              </w:rPr>
            </w:pPr>
            <w:r>
              <w:rPr>
                <w:kern w:val="0"/>
                <w:sz w:val="16"/>
                <w:szCs w:val="16"/>
              </w:rPr>
              <w:t>121</w:t>
            </w:r>
          </w:p>
        </w:tc>
      </w:tr>
      <w:tr w14:paraId="17C477A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189A3C49">
            <w:pPr>
              <w:widowControl/>
              <w:spacing w:line="220" w:lineRule="atLeast"/>
              <w:jc w:val="left"/>
              <w:textAlignment w:val="center"/>
              <w:rPr>
                <w:kern w:val="0"/>
                <w:sz w:val="16"/>
                <w:szCs w:val="16"/>
              </w:rPr>
            </w:pPr>
            <w:r>
              <w:rPr>
                <w:rFonts w:hint="eastAsia"/>
                <w:kern w:val="0"/>
                <w:sz w:val="16"/>
                <w:szCs w:val="16"/>
              </w:rPr>
              <w:t xml:space="preserve">     其中：水泥制造</w:t>
            </w:r>
          </w:p>
        </w:tc>
        <w:tc>
          <w:tcPr>
            <w:tcW w:w="680" w:type="dxa"/>
            <w:tcBorders>
              <w:right w:val="double" w:color="auto" w:sz="4" w:space="0"/>
            </w:tcBorders>
            <w:vAlign w:val="center"/>
          </w:tcPr>
          <w:p w14:paraId="612B3BD2">
            <w:pPr>
              <w:widowControl/>
              <w:spacing w:line="220" w:lineRule="atLeast"/>
              <w:jc w:val="center"/>
              <w:textAlignment w:val="center"/>
              <w:rPr>
                <w:kern w:val="0"/>
                <w:sz w:val="16"/>
                <w:szCs w:val="16"/>
              </w:rPr>
            </w:pPr>
            <w:r>
              <w:rPr>
                <w:kern w:val="0"/>
                <w:sz w:val="16"/>
                <w:szCs w:val="16"/>
              </w:rPr>
              <w:t>54</w:t>
            </w:r>
          </w:p>
        </w:tc>
        <w:tc>
          <w:tcPr>
            <w:tcW w:w="4025" w:type="dxa"/>
            <w:tcBorders>
              <w:left w:val="double" w:color="auto" w:sz="4" w:space="0"/>
            </w:tcBorders>
            <w:vAlign w:val="center"/>
          </w:tcPr>
          <w:p w14:paraId="79DCC864">
            <w:pPr>
              <w:widowControl/>
              <w:spacing w:line="220" w:lineRule="atLeast"/>
              <w:jc w:val="left"/>
              <w:textAlignment w:val="center"/>
              <w:rPr>
                <w:kern w:val="0"/>
                <w:sz w:val="16"/>
                <w:szCs w:val="16"/>
              </w:rPr>
            </w:pPr>
            <w:r>
              <w:rPr>
                <w:rFonts w:hint="eastAsia"/>
                <w:kern w:val="0"/>
                <w:sz w:val="16"/>
                <w:szCs w:val="16"/>
              </w:rPr>
              <w:t xml:space="preserve">  十一、公共服务及管理组织</w:t>
            </w:r>
          </w:p>
        </w:tc>
        <w:tc>
          <w:tcPr>
            <w:tcW w:w="680" w:type="dxa"/>
            <w:vAlign w:val="center"/>
          </w:tcPr>
          <w:p w14:paraId="63828319">
            <w:pPr>
              <w:widowControl/>
              <w:spacing w:line="220" w:lineRule="atLeast"/>
              <w:jc w:val="center"/>
              <w:textAlignment w:val="center"/>
              <w:rPr>
                <w:kern w:val="0"/>
                <w:sz w:val="16"/>
                <w:szCs w:val="16"/>
              </w:rPr>
            </w:pPr>
            <w:r>
              <w:rPr>
                <w:kern w:val="0"/>
                <w:sz w:val="16"/>
                <w:szCs w:val="16"/>
              </w:rPr>
              <w:t>122</w:t>
            </w:r>
          </w:p>
        </w:tc>
      </w:tr>
      <w:tr w14:paraId="1804F9A3">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DE08616">
            <w:pPr>
              <w:widowControl/>
              <w:spacing w:line="220" w:lineRule="atLeast"/>
              <w:jc w:val="left"/>
              <w:textAlignment w:val="center"/>
              <w:rPr>
                <w:kern w:val="0"/>
                <w:sz w:val="16"/>
                <w:szCs w:val="16"/>
              </w:rPr>
            </w:pPr>
            <w:r>
              <w:rPr>
                <w:rFonts w:hint="eastAsia"/>
                <w:kern w:val="0"/>
                <w:sz w:val="16"/>
                <w:szCs w:val="16"/>
              </w:rPr>
              <w:t xml:space="preserve">           玻璃制造</w:t>
            </w:r>
          </w:p>
        </w:tc>
        <w:tc>
          <w:tcPr>
            <w:tcW w:w="680" w:type="dxa"/>
            <w:tcBorders>
              <w:right w:val="double" w:color="auto" w:sz="4" w:space="0"/>
            </w:tcBorders>
            <w:vAlign w:val="center"/>
          </w:tcPr>
          <w:p w14:paraId="39852B42">
            <w:pPr>
              <w:widowControl/>
              <w:spacing w:line="220" w:lineRule="atLeast"/>
              <w:jc w:val="center"/>
              <w:textAlignment w:val="center"/>
              <w:rPr>
                <w:kern w:val="0"/>
                <w:sz w:val="16"/>
                <w:szCs w:val="16"/>
              </w:rPr>
            </w:pPr>
            <w:r>
              <w:rPr>
                <w:kern w:val="0"/>
                <w:sz w:val="16"/>
                <w:szCs w:val="16"/>
              </w:rPr>
              <w:t>55</w:t>
            </w:r>
          </w:p>
        </w:tc>
        <w:tc>
          <w:tcPr>
            <w:tcW w:w="4025" w:type="dxa"/>
            <w:tcBorders>
              <w:left w:val="double" w:color="auto" w:sz="4" w:space="0"/>
            </w:tcBorders>
            <w:vAlign w:val="center"/>
          </w:tcPr>
          <w:p w14:paraId="1D8F19BA">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1.</w:t>
            </w:r>
            <w:r>
              <w:rPr>
                <w:rFonts w:hint="eastAsia"/>
                <w:kern w:val="0"/>
                <w:sz w:val="16"/>
                <w:szCs w:val="16"/>
              </w:rPr>
              <w:t>科学研究和技术服务业</w:t>
            </w:r>
          </w:p>
        </w:tc>
        <w:tc>
          <w:tcPr>
            <w:tcW w:w="680" w:type="dxa"/>
            <w:vAlign w:val="center"/>
          </w:tcPr>
          <w:p w14:paraId="0527253C">
            <w:pPr>
              <w:widowControl/>
              <w:spacing w:line="220" w:lineRule="atLeast"/>
              <w:jc w:val="center"/>
              <w:textAlignment w:val="center"/>
              <w:rPr>
                <w:kern w:val="0"/>
                <w:sz w:val="16"/>
                <w:szCs w:val="16"/>
              </w:rPr>
            </w:pPr>
            <w:r>
              <w:rPr>
                <w:kern w:val="0"/>
                <w:sz w:val="16"/>
                <w:szCs w:val="16"/>
              </w:rPr>
              <w:t>123</w:t>
            </w:r>
          </w:p>
        </w:tc>
      </w:tr>
      <w:tr w14:paraId="5D8AAAF5">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593D9F3">
            <w:pPr>
              <w:widowControl/>
              <w:spacing w:line="220" w:lineRule="atLeast"/>
              <w:jc w:val="left"/>
              <w:textAlignment w:val="center"/>
              <w:rPr>
                <w:kern w:val="0"/>
                <w:sz w:val="16"/>
                <w:szCs w:val="16"/>
              </w:rPr>
            </w:pPr>
            <w:r>
              <w:rPr>
                <w:rFonts w:hint="eastAsia"/>
                <w:kern w:val="0"/>
                <w:sz w:val="16"/>
                <w:szCs w:val="16"/>
              </w:rPr>
              <w:t xml:space="preserve">           陶瓷制品制造</w:t>
            </w:r>
          </w:p>
        </w:tc>
        <w:tc>
          <w:tcPr>
            <w:tcW w:w="680" w:type="dxa"/>
            <w:tcBorders>
              <w:right w:val="double" w:color="auto" w:sz="4" w:space="0"/>
            </w:tcBorders>
            <w:vAlign w:val="center"/>
          </w:tcPr>
          <w:p w14:paraId="5B2B3F86">
            <w:pPr>
              <w:widowControl/>
              <w:spacing w:line="220" w:lineRule="atLeast"/>
              <w:jc w:val="center"/>
              <w:textAlignment w:val="center"/>
              <w:rPr>
                <w:kern w:val="0"/>
                <w:sz w:val="16"/>
                <w:szCs w:val="16"/>
              </w:rPr>
            </w:pPr>
            <w:r>
              <w:rPr>
                <w:kern w:val="0"/>
                <w:sz w:val="16"/>
                <w:szCs w:val="16"/>
              </w:rPr>
              <w:t>56</w:t>
            </w:r>
          </w:p>
        </w:tc>
        <w:tc>
          <w:tcPr>
            <w:tcW w:w="4025" w:type="dxa"/>
            <w:tcBorders>
              <w:left w:val="double" w:color="auto" w:sz="4" w:space="0"/>
            </w:tcBorders>
            <w:vAlign w:val="center"/>
          </w:tcPr>
          <w:p w14:paraId="29503E45">
            <w:pPr>
              <w:widowControl/>
              <w:spacing w:line="220" w:lineRule="atLeast"/>
              <w:jc w:val="left"/>
              <w:textAlignment w:val="center"/>
              <w:rPr>
                <w:kern w:val="0"/>
                <w:sz w:val="16"/>
                <w:szCs w:val="16"/>
              </w:rPr>
            </w:pPr>
            <w:r>
              <w:rPr>
                <w:rFonts w:hint="eastAsia"/>
                <w:kern w:val="0"/>
                <w:sz w:val="16"/>
                <w:szCs w:val="16"/>
              </w:rPr>
              <w:t xml:space="preserve">     其中：地质勘查</w:t>
            </w:r>
          </w:p>
        </w:tc>
        <w:tc>
          <w:tcPr>
            <w:tcW w:w="680" w:type="dxa"/>
            <w:vAlign w:val="center"/>
          </w:tcPr>
          <w:p w14:paraId="0DBAD4A0">
            <w:pPr>
              <w:widowControl/>
              <w:spacing w:line="220" w:lineRule="atLeast"/>
              <w:jc w:val="center"/>
              <w:textAlignment w:val="center"/>
              <w:rPr>
                <w:kern w:val="0"/>
                <w:sz w:val="16"/>
                <w:szCs w:val="16"/>
              </w:rPr>
            </w:pPr>
            <w:r>
              <w:rPr>
                <w:kern w:val="0"/>
                <w:sz w:val="16"/>
                <w:szCs w:val="16"/>
              </w:rPr>
              <w:t>124</w:t>
            </w:r>
          </w:p>
        </w:tc>
      </w:tr>
      <w:tr w14:paraId="261E2B37">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A7DFBB0">
            <w:pPr>
              <w:widowControl/>
              <w:spacing w:line="220" w:lineRule="atLeast"/>
              <w:jc w:val="left"/>
              <w:textAlignment w:val="center"/>
              <w:rPr>
                <w:kern w:val="0"/>
                <w:sz w:val="16"/>
                <w:szCs w:val="16"/>
              </w:rPr>
            </w:pPr>
            <w:r>
              <w:rPr>
                <w:rFonts w:hint="eastAsia"/>
                <w:kern w:val="0"/>
                <w:sz w:val="16"/>
                <w:szCs w:val="16"/>
              </w:rPr>
              <w:t xml:space="preserve">           碳化硅</w:t>
            </w:r>
          </w:p>
        </w:tc>
        <w:tc>
          <w:tcPr>
            <w:tcW w:w="680" w:type="dxa"/>
            <w:tcBorders>
              <w:right w:val="double" w:color="auto" w:sz="4" w:space="0"/>
            </w:tcBorders>
            <w:vAlign w:val="center"/>
          </w:tcPr>
          <w:p w14:paraId="39C699F8">
            <w:pPr>
              <w:widowControl/>
              <w:spacing w:line="220" w:lineRule="atLeast"/>
              <w:jc w:val="center"/>
              <w:textAlignment w:val="center"/>
              <w:rPr>
                <w:kern w:val="0"/>
                <w:sz w:val="16"/>
                <w:szCs w:val="16"/>
              </w:rPr>
            </w:pPr>
            <w:r>
              <w:rPr>
                <w:kern w:val="0"/>
                <w:sz w:val="16"/>
                <w:szCs w:val="16"/>
              </w:rPr>
              <w:t>57</w:t>
            </w:r>
          </w:p>
        </w:tc>
        <w:tc>
          <w:tcPr>
            <w:tcW w:w="4025" w:type="dxa"/>
            <w:tcBorders>
              <w:left w:val="double" w:color="auto" w:sz="4" w:space="0"/>
            </w:tcBorders>
            <w:vAlign w:val="center"/>
          </w:tcPr>
          <w:p w14:paraId="46B0E3FA">
            <w:pPr>
              <w:widowControl/>
              <w:spacing w:line="220" w:lineRule="atLeast"/>
              <w:jc w:val="left"/>
              <w:textAlignment w:val="center"/>
              <w:rPr>
                <w:kern w:val="0"/>
                <w:sz w:val="16"/>
                <w:szCs w:val="16"/>
              </w:rPr>
            </w:pPr>
            <w:r>
              <w:rPr>
                <w:rFonts w:hint="eastAsia"/>
                <w:kern w:val="0"/>
                <w:sz w:val="16"/>
                <w:szCs w:val="16"/>
              </w:rPr>
              <w:t xml:space="preserve">     其中：科技推广和应用服务业</w:t>
            </w:r>
          </w:p>
        </w:tc>
        <w:tc>
          <w:tcPr>
            <w:tcW w:w="680" w:type="dxa"/>
            <w:vAlign w:val="center"/>
          </w:tcPr>
          <w:p w14:paraId="55B8A698">
            <w:pPr>
              <w:widowControl/>
              <w:spacing w:line="220" w:lineRule="atLeast"/>
              <w:jc w:val="center"/>
              <w:textAlignment w:val="center"/>
              <w:rPr>
                <w:kern w:val="0"/>
                <w:sz w:val="16"/>
                <w:szCs w:val="16"/>
              </w:rPr>
            </w:pPr>
            <w:r>
              <w:rPr>
                <w:kern w:val="0"/>
                <w:sz w:val="16"/>
                <w:szCs w:val="16"/>
              </w:rPr>
              <w:t>125</w:t>
            </w:r>
          </w:p>
        </w:tc>
      </w:tr>
      <w:tr w14:paraId="6D47F88F">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03065E0">
            <w:pPr>
              <w:widowControl/>
              <w:spacing w:line="220" w:lineRule="atLeast"/>
              <w:jc w:val="left"/>
              <w:textAlignment w:val="center"/>
              <w:rPr>
                <w:kern w:val="0"/>
                <w:sz w:val="16"/>
                <w:szCs w:val="16"/>
              </w:rPr>
            </w:pPr>
            <w:r>
              <w:rPr>
                <w:kern w:val="0"/>
                <w:sz w:val="16"/>
                <w:szCs w:val="16"/>
              </w:rPr>
              <w:t xml:space="preserve">    19.</w:t>
            </w:r>
            <w:r>
              <w:rPr>
                <w:rFonts w:hint="eastAsia"/>
                <w:kern w:val="0"/>
                <w:sz w:val="16"/>
                <w:szCs w:val="16"/>
              </w:rPr>
              <w:t>黑色金属冶炼和压延加工业</w:t>
            </w:r>
          </w:p>
        </w:tc>
        <w:tc>
          <w:tcPr>
            <w:tcW w:w="680" w:type="dxa"/>
            <w:tcBorders>
              <w:right w:val="double" w:color="auto" w:sz="4" w:space="0"/>
            </w:tcBorders>
            <w:vAlign w:val="center"/>
          </w:tcPr>
          <w:p w14:paraId="6E708835">
            <w:pPr>
              <w:widowControl/>
              <w:spacing w:line="220" w:lineRule="atLeast"/>
              <w:jc w:val="center"/>
              <w:textAlignment w:val="center"/>
              <w:rPr>
                <w:kern w:val="0"/>
                <w:sz w:val="16"/>
                <w:szCs w:val="16"/>
              </w:rPr>
            </w:pPr>
            <w:r>
              <w:rPr>
                <w:kern w:val="0"/>
                <w:sz w:val="16"/>
                <w:szCs w:val="16"/>
              </w:rPr>
              <w:t>58</w:t>
            </w:r>
          </w:p>
        </w:tc>
        <w:tc>
          <w:tcPr>
            <w:tcW w:w="4025" w:type="dxa"/>
            <w:tcBorders>
              <w:left w:val="double" w:color="auto" w:sz="4" w:space="0"/>
            </w:tcBorders>
            <w:vAlign w:val="center"/>
          </w:tcPr>
          <w:p w14:paraId="121339E4">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2.</w:t>
            </w:r>
            <w:r>
              <w:rPr>
                <w:rFonts w:hint="eastAsia"/>
                <w:kern w:val="0"/>
                <w:sz w:val="16"/>
                <w:szCs w:val="16"/>
              </w:rPr>
              <w:t>水利、环境和公共设施管理业</w:t>
            </w:r>
          </w:p>
        </w:tc>
        <w:tc>
          <w:tcPr>
            <w:tcW w:w="680" w:type="dxa"/>
            <w:vAlign w:val="center"/>
          </w:tcPr>
          <w:p w14:paraId="6AD89CAC">
            <w:pPr>
              <w:widowControl/>
              <w:spacing w:line="220" w:lineRule="atLeast"/>
              <w:jc w:val="center"/>
              <w:textAlignment w:val="center"/>
              <w:rPr>
                <w:kern w:val="0"/>
                <w:sz w:val="16"/>
                <w:szCs w:val="16"/>
              </w:rPr>
            </w:pPr>
            <w:r>
              <w:rPr>
                <w:kern w:val="0"/>
                <w:sz w:val="16"/>
                <w:szCs w:val="16"/>
              </w:rPr>
              <w:t>126</w:t>
            </w:r>
          </w:p>
        </w:tc>
      </w:tr>
      <w:tr w14:paraId="04E0785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7B32EA43">
            <w:pPr>
              <w:widowControl/>
              <w:spacing w:line="220" w:lineRule="atLeast"/>
              <w:jc w:val="left"/>
              <w:textAlignment w:val="center"/>
              <w:rPr>
                <w:kern w:val="0"/>
                <w:sz w:val="16"/>
                <w:szCs w:val="16"/>
              </w:rPr>
            </w:pPr>
            <w:r>
              <w:rPr>
                <w:rFonts w:hint="eastAsia"/>
                <w:kern w:val="0"/>
                <w:sz w:val="16"/>
                <w:szCs w:val="16"/>
              </w:rPr>
              <w:t xml:space="preserve">     其中：钢铁</w:t>
            </w:r>
          </w:p>
        </w:tc>
        <w:tc>
          <w:tcPr>
            <w:tcW w:w="680" w:type="dxa"/>
            <w:tcBorders>
              <w:right w:val="double" w:color="auto" w:sz="4" w:space="0"/>
            </w:tcBorders>
            <w:vAlign w:val="center"/>
          </w:tcPr>
          <w:p w14:paraId="06F509D3">
            <w:pPr>
              <w:widowControl/>
              <w:spacing w:line="220" w:lineRule="atLeast"/>
              <w:jc w:val="center"/>
              <w:textAlignment w:val="center"/>
              <w:rPr>
                <w:kern w:val="0"/>
                <w:sz w:val="16"/>
                <w:szCs w:val="16"/>
              </w:rPr>
            </w:pPr>
            <w:r>
              <w:rPr>
                <w:kern w:val="0"/>
                <w:sz w:val="16"/>
                <w:szCs w:val="16"/>
              </w:rPr>
              <w:t>59</w:t>
            </w:r>
          </w:p>
        </w:tc>
        <w:tc>
          <w:tcPr>
            <w:tcW w:w="4025" w:type="dxa"/>
            <w:tcBorders>
              <w:left w:val="double" w:color="auto" w:sz="4" w:space="0"/>
            </w:tcBorders>
            <w:vAlign w:val="center"/>
          </w:tcPr>
          <w:p w14:paraId="1CCE189F">
            <w:pPr>
              <w:widowControl/>
              <w:spacing w:line="220" w:lineRule="atLeast"/>
              <w:jc w:val="left"/>
              <w:textAlignment w:val="center"/>
              <w:rPr>
                <w:kern w:val="0"/>
                <w:sz w:val="16"/>
                <w:szCs w:val="16"/>
              </w:rPr>
            </w:pPr>
            <w:r>
              <w:rPr>
                <w:rFonts w:hint="eastAsia"/>
                <w:kern w:val="0"/>
                <w:sz w:val="16"/>
                <w:szCs w:val="16"/>
              </w:rPr>
              <w:t xml:space="preserve">     其中：水利管理业</w:t>
            </w:r>
          </w:p>
        </w:tc>
        <w:tc>
          <w:tcPr>
            <w:tcW w:w="680" w:type="dxa"/>
            <w:vAlign w:val="center"/>
          </w:tcPr>
          <w:p w14:paraId="515C3507">
            <w:pPr>
              <w:widowControl/>
              <w:spacing w:line="220" w:lineRule="atLeast"/>
              <w:jc w:val="center"/>
              <w:textAlignment w:val="center"/>
              <w:rPr>
                <w:kern w:val="0"/>
                <w:sz w:val="16"/>
                <w:szCs w:val="16"/>
              </w:rPr>
            </w:pPr>
            <w:r>
              <w:rPr>
                <w:kern w:val="0"/>
                <w:sz w:val="16"/>
                <w:szCs w:val="16"/>
              </w:rPr>
              <w:t>127</w:t>
            </w:r>
          </w:p>
        </w:tc>
      </w:tr>
      <w:tr w14:paraId="0E669B3A">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815BA9B">
            <w:pPr>
              <w:widowControl/>
              <w:spacing w:line="220" w:lineRule="atLeast"/>
              <w:jc w:val="left"/>
              <w:textAlignment w:val="center"/>
              <w:rPr>
                <w:kern w:val="0"/>
                <w:sz w:val="16"/>
                <w:szCs w:val="16"/>
              </w:rPr>
            </w:pPr>
            <w:r>
              <w:rPr>
                <w:rFonts w:hint="eastAsia"/>
                <w:kern w:val="0"/>
                <w:sz w:val="16"/>
                <w:szCs w:val="16"/>
              </w:rPr>
              <w:t xml:space="preserve">           铁合金冶炼</w:t>
            </w:r>
          </w:p>
        </w:tc>
        <w:tc>
          <w:tcPr>
            <w:tcW w:w="680" w:type="dxa"/>
            <w:tcBorders>
              <w:right w:val="double" w:color="auto" w:sz="4" w:space="0"/>
            </w:tcBorders>
            <w:vAlign w:val="center"/>
          </w:tcPr>
          <w:p w14:paraId="0761CAFB">
            <w:pPr>
              <w:widowControl/>
              <w:spacing w:line="220" w:lineRule="atLeast"/>
              <w:jc w:val="center"/>
              <w:textAlignment w:val="center"/>
              <w:rPr>
                <w:kern w:val="0"/>
                <w:sz w:val="16"/>
                <w:szCs w:val="16"/>
              </w:rPr>
            </w:pPr>
            <w:r>
              <w:rPr>
                <w:kern w:val="0"/>
                <w:sz w:val="16"/>
                <w:szCs w:val="16"/>
              </w:rPr>
              <w:t>60</w:t>
            </w:r>
          </w:p>
        </w:tc>
        <w:tc>
          <w:tcPr>
            <w:tcW w:w="4025" w:type="dxa"/>
            <w:tcBorders>
              <w:left w:val="double" w:color="auto" w:sz="4" w:space="0"/>
            </w:tcBorders>
            <w:vAlign w:val="center"/>
          </w:tcPr>
          <w:p w14:paraId="597D0303">
            <w:pPr>
              <w:widowControl/>
              <w:spacing w:line="220" w:lineRule="atLeast"/>
              <w:jc w:val="left"/>
              <w:textAlignment w:val="center"/>
              <w:rPr>
                <w:kern w:val="0"/>
                <w:sz w:val="16"/>
                <w:szCs w:val="16"/>
              </w:rPr>
            </w:pPr>
            <w:r>
              <w:rPr>
                <w:rFonts w:hint="eastAsia"/>
                <w:kern w:val="0"/>
                <w:sz w:val="16"/>
                <w:szCs w:val="16"/>
              </w:rPr>
              <w:t xml:space="preserve">     其中：公共照明</w:t>
            </w:r>
          </w:p>
        </w:tc>
        <w:tc>
          <w:tcPr>
            <w:tcW w:w="680" w:type="dxa"/>
            <w:vAlign w:val="center"/>
          </w:tcPr>
          <w:p w14:paraId="33B1A0CD">
            <w:pPr>
              <w:widowControl/>
              <w:spacing w:line="220" w:lineRule="atLeast"/>
              <w:jc w:val="center"/>
              <w:textAlignment w:val="center"/>
              <w:rPr>
                <w:kern w:val="0"/>
                <w:sz w:val="16"/>
                <w:szCs w:val="16"/>
              </w:rPr>
            </w:pPr>
            <w:r>
              <w:rPr>
                <w:kern w:val="0"/>
                <w:sz w:val="16"/>
                <w:szCs w:val="16"/>
              </w:rPr>
              <w:t>128</w:t>
            </w:r>
          </w:p>
        </w:tc>
      </w:tr>
      <w:tr w14:paraId="55C43022">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2E87A408">
            <w:pPr>
              <w:widowControl/>
              <w:spacing w:line="220" w:lineRule="atLeast"/>
              <w:jc w:val="left"/>
              <w:textAlignment w:val="center"/>
              <w:rPr>
                <w:kern w:val="0"/>
                <w:sz w:val="16"/>
                <w:szCs w:val="16"/>
              </w:rPr>
            </w:pPr>
            <w:r>
              <w:rPr>
                <w:kern w:val="0"/>
                <w:sz w:val="16"/>
                <w:szCs w:val="16"/>
              </w:rPr>
              <w:t xml:space="preserve">    20.</w:t>
            </w:r>
            <w:r>
              <w:rPr>
                <w:rFonts w:hint="eastAsia"/>
                <w:kern w:val="0"/>
                <w:sz w:val="16"/>
                <w:szCs w:val="16"/>
              </w:rPr>
              <w:t>有色金属冶炼和压延加工业</w:t>
            </w:r>
          </w:p>
        </w:tc>
        <w:tc>
          <w:tcPr>
            <w:tcW w:w="680" w:type="dxa"/>
            <w:tcBorders>
              <w:right w:val="double" w:color="auto" w:sz="4" w:space="0"/>
            </w:tcBorders>
            <w:vAlign w:val="center"/>
          </w:tcPr>
          <w:p w14:paraId="2DBDEE25">
            <w:pPr>
              <w:widowControl/>
              <w:spacing w:line="220" w:lineRule="atLeast"/>
              <w:jc w:val="center"/>
              <w:textAlignment w:val="center"/>
              <w:rPr>
                <w:kern w:val="0"/>
                <w:sz w:val="16"/>
                <w:szCs w:val="16"/>
              </w:rPr>
            </w:pPr>
            <w:r>
              <w:rPr>
                <w:kern w:val="0"/>
                <w:sz w:val="16"/>
                <w:szCs w:val="16"/>
              </w:rPr>
              <w:t>61</w:t>
            </w:r>
          </w:p>
        </w:tc>
        <w:tc>
          <w:tcPr>
            <w:tcW w:w="4025" w:type="dxa"/>
            <w:tcBorders>
              <w:left w:val="double" w:color="auto" w:sz="4" w:space="0"/>
            </w:tcBorders>
            <w:vAlign w:val="center"/>
          </w:tcPr>
          <w:p w14:paraId="12DBA250">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3.</w:t>
            </w:r>
            <w:r>
              <w:rPr>
                <w:rFonts w:hint="eastAsia"/>
                <w:kern w:val="0"/>
                <w:sz w:val="16"/>
                <w:szCs w:val="16"/>
              </w:rPr>
              <w:t>居民服务、修理和其他服务业</w:t>
            </w:r>
          </w:p>
        </w:tc>
        <w:tc>
          <w:tcPr>
            <w:tcW w:w="680" w:type="dxa"/>
            <w:vAlign w:val="center"/>
          </w:tcPr>
          <w:p w14:paraId="712941A7">
            <w:pPr>
              <w:widowControl/>
              <w:spacing w:line="220" w:lineRule="atLeast"/>
              <w:jc w:val="center"/>
              <w:textAlignment w:val="center"/>
              <w:rPr>
                <w:kern w:val="0"/>
                <w:sz w:val="16"/>
                <w:szCs w:val="16"/>
              </w:rPr>
            </w:pPr>
            <w:r>
              <w:rPr>
                <w:kern w:val="0"/>
                <w:sz w:val="16"/>
                <w:szCs w:val="16"/>
              </w:rPr>
              <w:t>129</w:t>
            </w:r>
          </w:p>
        </w:tc>
      </w:tr>
      <w:tr w14:paraId="317B1476">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5CDE197">
            <w:pPr>
              <w:widowControl/>
              <w:spacing w:line="220" w:lineRule="atLeast"/>
              <w:jc w:val="left"/>
              <w:textAlignment w:val="center"/>
              <w:rPr>
                <w:kern w:val="0"/>
                <w:sz w:val="16"/>
                <w:szCs w:val="16"/>
              </w:rPr>
            </w:pPr>
            <w:r>
              <w:rPr>
                <w:rFonts w:hint="eastAsia"/>
                <w:kern w:val="0"/>
                <w:sz w:val="16"/>
                <w:szCs w:val="16"/>
              </w:rPr>
              <w:t xml:space="preserve">     其中：铝冶炼</w:t>
            </w:r>
          </w:p>
        </w:tc>
        <w:tc>
          <w:tcPr>
            <w:tcW w:w="680" w:type="dxa"/>
            <w:tcBorders>
              <w:right w:val="double" w:color="auto" w:sz="4" w:space="0"/>
            </w:tcBorders>
            <w:vAlign w:val="center"/>
          </w:tcPr>
          <w:p w14:paraId="349571CE">
            <w:pPr>
              <w:widowControl/>
              <w:spacing w:line="220" w:lineRule="atLeast"/>
              <w:jc w:val="center"/>
              <w:textAlignment w:val="center"/>
              <w:rPr>
                <w:kern w:val="0"/>
                <w:sz w:val="16"/>
                <w:szCs w:val="16"/>
              </w:rPr>
            </w:pPr>
            <w:r>
              <w:rPr>
                <w:kern w:val="0"/>
                <w:sz w:val="16"/>
                <w:szCs w:val="16"/>
              </w:rPr>
              <w:t>62</w:t>
            </w:r>
          </w:p>
        </w:tc>
        <w:tc>
          <w:tcPr>
            <w:tcW w:w="4025" w:type="dxa"/>
            <w:tcBorders>
              <w:left w:val="double" w:color="auto" w:sz="4" w:space="0"/>
            </w:tcBorders>
            <w:vAlign w:val="center"/>
          </w:tcPr>
          <w:p w14:paraId="687CCE4B">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4.</w:t>
            </w:r>
            <w:r>
              <w:rPr>
                <w:rFonts w:hint="eastAsia"/>
                <w:kern w:val="0"/>
                <w:sz w:val="16"/>
                <w:szCs w:val="16"/>
              </w:rPr>
              <w:t>教育、文化、体育和娱乐业</w:t>
            </w:r>
          </w:p>
        </w:tc>
        <w:tc>
          <w:tcPr>
            <w:tcW w:w="680" w:type="dxa"/>
            <w:vAlign w:val="center"/>
          </w:tcPr>
          <w:p w14:paraId="4D9EF222">
            <w:pPr>
              <w:widowControl/>
              <w:spacing w:line="220" w:lineRule="atLeast"/>
              <w:jc w:val="center"/>
              <w:textAlignment w:val="center"/>
              <w:rPr>
                <w:kern w:val="0"/>
                <w:sz w:val="16"/>
                <w:szCs w:val="16"/>
              </w:rPr>
            </w:pPr>
            <w:r>
              <w:rPr>
                <w:kern w:val="0"/>
                <w:sz w:val="16"/>
                <w:szCs w:val="16"/>
              </w:rPr>
              <w:t>130</w:t>
            </w:r>
          </w:p>
        </w:tc>
      </w:tr>
      <w:tr w14:paraId="1997AC24">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604D13D">
            <w:pPr>
              <w:widowControl/>
              <w:spacing w:line="220" w:lineRule="atLeast"/>
              <w:jc w:val="left"/>
              <w:textAlignment w:val="center"/>
              <w:rPr>
                <w:kern w:val="0"/>
                <w:sz w:val="16"/>
                <w:szCs w:val="16"/>
              </w:rPr>
            </w:pPr>
            <w:r>
              <w:rPr>
                <w:rFonts w:hint="eastAsia"/>
                <w:kern w:val="0"/>
                <w:sz w:val="16"/>
                <w:szCs w:val="16"/>
              </w:rPr>
              <w:t xml:space="preserve">           铅锌冶炼</w:t>
            </w:r>
          </w:p>
        </w:tc>
        <w:tc>
          <w:tcPr>
            <w:tcW w:w="680" w:type="dxa"/>
            <w:tcBorders>
              <w:right w:val="double" w:color="auto" w:sz="4" w:space="0"/>
            </w:tcBorders>
            <w:vAlign w:val="center"/>
          </w:tcPr>
          <w:p w14:paraId="02A83051">
            <w:pPr>
              <w:widowControl/>
              <w:spacing w:line="220" w:lineRule="atLeast"/>
              <w:jc w:val="center"/>
              <w:textAlignment w:val="center"/>
              <w:rPr>
                <w:kern w:val="0"/>
                <w:sz w:val="16"/>
                <w:szCs w:val="16"/>
              </w:rPr>
            </w:pPr>
            <w:r>
              <w:rPr>
                <w:kern w:val="0"/>
                <w:sz w:val="16"/>
                <w:szCs w:val="16"/>
              </w:rPr>
              <w:t>63</w:t>
            </w:r>
          </w:p>
        </w:tc>
        <w:tc>
          <w:tcPr>
            <w:tcW w:w="4025" w:type="dxa"/>
            <w:tcBorders>
              <w:left w:val="double" w:color="auto" w:sz="4" w:space="0"/>
            </w:tcBorders>
            <w:vAlign w:val="center"/>
          </w:tcPr>
          <w:p w14:paraId="44CFB130">
            <w:pPr>
              <w:widowControl/>
              <w:spacing w:line="220" w:lineRule="atLeast"/>
              <w:jc w:val="left"/>
              <w:textAlignment w:val="center"/>
              <w:rPr>
                <w:kern w:val="0"/>
                <w:sz w:val="16"/>
                <w:szCs w:val="16"/>
              </w:rPr>
            </w:pPr>
            <w:r>
              <w:rPr>
                <w:rFonts w:hint="eastAsia"/>
                <w:kern w:val="0"/>
                <w:sz w:val="16"/>
                <w:szCs w:val="16"/>
              </w:rPr>
              <w:t xml:space="preserve">     其中：教育</w:t>
            </w:r>
          </w:p>
        </w:tc>
        <w:tc>
          <w:tcPr>
            <w:tcW w:w="680" w:type="dxa"/>
            <w:vAlign w:val="center"/>
          </w:tcPr>
          <w:p w14:paraId="19DF2398">
            <w:pPr>
              <w:widowControl/>
              <w:spacing w:line="220" w:lineRule="atLeast"/>
              <w:jc w:val="center"/>
              <w:textAlignment w:val="center"/>
              <w:rPr>
                <w:kern w:val="0"/>
                <w:sz w:val="16"/>
                <w:szCs w:val="16"/>
              </w:rPr>
            </w:pPr>
            <w:r>
              <w:rPr>
                <w:kern w:val="0"/>
                <w:sz w:val="16"/>
                <w:szCs w:val="16"/>
              </w:rPr>
              <w:t>131</w:t>
            </w:r>
          </w:p>
        </w:tc>
      </w:tr>
      <w:tr w14:paraId="08FEE0BD">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543AD905">
            <w:pPr>
              <w:widowControl/>
              <w:spacing w:line="220" w:lineRule="atLeast"/>
              <w:jc w:val="left"/>
              <w:textAlignment w:val="center"/>
              <w:rPr>
                <w:kern w:val="0"/>
                <w:sz w:val="16"/>
                <w:szCs w:val="16"/>
              </w:rPr>
            </w:pPr>
            <w:r>
              <w:rPr>
                <w:rFonts w:hint="eastAsia"/>
                <w:kern w:val="0"/>
                <w:sz w:val="16"/>
                <w:szCs w:val="16"/>
              </w:rPr>
              <w:t xml:space="preserve">           稀有稀土金属冶炼</w:t>
            </w:r>
          </w:p>
        </w:tc>
        <w:tc>
          <w:tcPr>
            <w:tcW w:w="680" w:type="dxa"/>
            <w:tcBorders>
              <w:right w:val="double" w:color="auto" w:sz="4" w:space="0"/>
            </w:tcBorders>
            <w:vAlign w:val="center"/>
          </w:tcPr>
          <w:p w14:paraId="759A0F67">
            <w:pPr>
              <w:widowControl/>
              <w:spacing w:line="220" w:lineRule="atLeast"/>
              <w:jc w:val="center"/>
              <w:textAlignment w:val="center"/>
              <w:rPr>
                <w:kern w:val="0"/>
                <w:sz w:val="16"/>
                <w:szCs w:val="16"/>
              </w:rPr>
            </w:pPr>
            <w:r>
              <w:rPr>
                <w:kern w:val="0"/>
                <w:sz w:val="16"/>
                <w:szCs w:val="16"/>
              </w:rPr>
              <w:t>64</w:t>
            </w:r>
          </w:p>
        </w:tc>
        <w:tc>
          <w:tcPr>
            <w:tcW w:w="4025" w:type="dxa"/>
            <w:tcBorders>
              <w:left w:val="double" w:color="auto" w:sz="4" w:space="0"/>
            </w:tcBorders>
            <w:vAlign w:val="center"/>
          </w:tcPr>
          <w:p w14:paraId="35F8DDBC">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5.</w:t>
            </w:r>
            <w:r>
              <w:rPr>
                <w:rFonts w:hint="eastAsia"/>
                <w:kern w:val="0"/>
                <w:sz w:val="16"/>
                <w:szCs w:val="16"/>
              </w:rPr>
              <w:t>卫生和社会工作</w:t>
            </w:r>
          </w:p>
        </w:tc>
        <w:tc>
          <w:tcPr>
            <w:tcW w:w="680" w:type="dxa"/>
            <w:vAlign w:val="center"/>
          </w:tcPr>
          <w:p w14:paraId="15F4E780">
            <w:pPr>
              <w:widowControl/>
              <w:spacing w:line="220" w:lineRule="atLeast"/>
              <w:jc w:val="center"/>
              <w:textAlignment w:val="center"/>
              <w:rPr>
                <w:kern w:val="0"/>
                <w:sz w:val="16"/>
                <w:szCs w:val="16"/>
              </w:rPr>
            </w:pPr>
            <w:r>
              <w:rPr>
                <w:kern w:val="0"/>
                <w:sz w:val="16"/>
                <w:szCs w:val="16"/>
              </w:rPr>
              <w:t>132</w:t>
            </w:r>
          </w:p>
        </w:tc>
      </w:tr>
      <w:tr w14:paraId="15EDFFD1">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49C38D2B">
            <w:pPr>
              <w:widowControl/>
              <w:spacing w:line="220" w:lineRule="atLeast"/>
              <w:jc w:val="left"/>
              <w:textAlignment w:val="center"/>
              <w:rPr>
                <w:kern w:val="0"/>
                <w:sz w:val="16"/>
                <w:szCs w:val="16"/>
              </w:rPr>
            </w:pPr>
            <w:r>
              <w:rPr>
                <w:kern w:val="0"/>
                <w:sz w:val="16"/>
                <w:szCs w:val="16"/>
              </w:rPr>
              <w:t xml:space="preserve">    21.</w:t>
            </w:r>
            <w:r>
              <w:rPr>
                <w:rFonts w:hint="eastAsia"/>
                <w:kern w:val="0"/>
                <w:sz w:val="16"/>
                <w:szCs w:val="16"/>
              </w:rPr>
              <w:t>金属制品业</w:t>
            </w:r>
          </w:p>
        </w:tc>
        <w:tc>
          <w:tcPr>
            <w:tcW w:w="680" w:type="dxa"/>
            <w:tcBorders>
              <w:right w:val="double" w:color="auto" w:sz="4" w:space="0"/>
            </w:tcBorders>
            <w:vAlign w:val="center"/>
          </w:tcPr>
          <w:p w14:paraId="08B23B9E">
            <w:pPr>
              <w:widowControl/>
              <w:spacing w:line="220" w:lineRule="atLeast"/>
              <w:jc w:val="center"/>
              <w:textAlignment w:val="center"/>
              <w:rPr>
                <w:kern w:val="0"/>
                <w:sz w:val="16"/>
                <w:szCs w:val="16"/>
              </w:rPr>
            </w:pPr>
            <w:r>
              <w:rPr>
                <w:kern w:val="0"/>
                <w:sz w:val="16"/>
                <w:szCs w:val="16"/>
              </w:rPr>
              <w:t>65</w:t>
            </w:r>
          </w:p>
        </w:tc>
        <w:tc>
          <w:tcPr>
            <w:tcW w:w="4025" w:type="dxa"/>
            <w:tcBorders>
              <w:left w:val="double" w:color="auto" w:sz="4" w:space="0"/>
            </w:tcBorders>
            <w:vAlign w:val="center"/>
          </w:tcPr>
          <w:p w14:paraId="0944B7DA">
            <w:pPr>
              <w:widowControl/>
              <w:spacing w:line="220" w:lineRule="atLeast"/>
              <w:jc w:val="left"/>
              <w:textAlignment w:val="center"/>
              <w:rPr>
                <w:kern w:val="0"/>
                <w:sz w:val="16"/>
                <w:szCs w:val="16"/>
              </w:rPr>
            </w:pPr>
            <w:r>
              <w:rPr>
                <w:kern w:val="0"/>
                <w:sz w:val="16"/>
                <w:szCs w:val="16"/>
              </w:rPr>
              <w:t xml:space="preserve">  </w:t>
            </w:r>
            <w:r>
              <w:rPr>
                <w:rFonts w:hint="eastAsia"/>
                <w:kern w:val="0"/>
                <w:sz w:val="16"/>
                <w:szCs w:val="16"/>
              </w:rPr>
              <w:t xml:space="preserve"> </w:t>
            </w:r>
            <w:r>
              <w:rPr>
                <w:kern w:val="0"/>
                <w:sz w:val="16"/>
                <w:szCs w:val="16"/>
              </w:rPr>
              <w:t xml:space="preserve"> 6.</w:t>
            </w:r>
            <w:r>
              <w:rPr>
                <w:rFonts w:hint="eastAsia"/>
                <w:kern w:val="0"/>
                <w:sz w:val="16"/>
                <w:szCs w:val="16"/>
              </w:rPr>
              <w:t>公共管理和社会组织、国际组织</w:t>
            </w:r>
          </w:p>
        </w:tc>
        <w:tc>
          <w:tcPr>
            <w:tcW w:w="680" w:type="dxa"/>
            <w:vAlign w:val="center"/>
          </w:tcPr>
          <w:p w14:paraId="0671BA24">
            <w:pPr>
              <w:widowControl/>
              <w:spacing w:line="220" w:lineRule="atLeast"/>
              <w:jc w:val="center"/>
              <w:textAlignment w:val="center"/>
              <w:rPr>
                <w:kern w:val="0"/>
                <w:sz w:val="16"/>
                <w:szCs w:val="16"/>
              </w:rPr>
            </w:pPr>
            <w:r>
              <w:rPr>
                <w:kern w:val="0"/>
                <w:sz w:val="16"/>
                <w:szCs w:val="16"/>
              </w:rPr>
              <w:t>133</w:t>
            </w:r>
          </w:p>
        </w:tc>
      </w:tr>
      <w:tr w14:paraId="30C273A0">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0F296D15">
            <w:pPr>
              <w:widowControl/>
              <w:spacing w:line="220" w:lineRule="atLeast"/>
              <w:jc w:val="left"/>
              <w:textAlignment w:val="center"/>
              <w:rPr>
                <w:kern w:val="0"/>
                <w:sz w:val="16"/>
                <w:szCs w:val="16"/>
              </w:rPr>
            </w:pPr>
            <w:r>
              <w:rPr>
                <w:rFonts w:hint="eastAsia"/>
                <w:kern w:val="0"/>
                <w:sz w:val="16"/>
                <w:szCs w:val="16"/>
              </w:rPr>
              <w:t xml:space="preserve">     其中：结构性金属制品制造</w:t>
            </w:r>
          </w:p>
        </w:tc>
        <w:tc>
          <w:tcPr>
            <w:tcW w:w="680" w:type="dxa"/>
            <w:tcBorders>
              <w:right w:val="double" w:color="auto" w:sz="4" w:space="0"/>
            </w:tcBorders>
            <w:vAlign w:val="center"/>
          </w:tcPr>
          <w:p w14:paraId="653C1C40">
            <w:pPr>
              <w:widowControl/>
              <w:spacing w:line="220" w:lineRule="atLeast"/>
              <w:jc w:val="center"/>
              <w:textAlignment w:val="center"/>
              <w:rPr>
                <w:kern w:val="0"/>
                <w:sz w:val="16"/>
                <w:szCs w:val="16"/>
              </w:rPr>
            </w:pPr>
            <w:r>
              <w:rPr>
                <w:kern w:val="0"/>
                <w:sz w:val="16"/>
                <w:szCs w:val="16"/>
              </w:rPr>
              <w:t>66</w:t>
            </w:r>
          </w:p>
        </w:tc>
        <w:tc>
          <w:tcPr>
            <w:tcW w:w="4025" w:type="dxa"/>
            <w:tcBorders>
              <w:left w:val="double" w:color="auto" w:sz="4" w:space="0"/>
            </w:tcBorders>
            <w:vAlign w:val="center"/>
          </w:tcPr>
          <w:p w14:paraId="17C85765">
            <w:pPr>
              <w:widowControl/>
              <w:spacing w:line="220" w:lineRule="atLeast"/>
              <w:jc w:val="left"/>
              <w:textAlignment w:val="center"/>
              <w:rPr>
                <w:kern w:val="0"/>
                <w:sz w:val="16"/>
                <w:szCs w:val="16"/>
              </w:rPr>
            </w:pPr>
          </w:p>
        </w:tc>
        <w:tc>
          <w:tcPr>
            <w:tcW w:w="680" w:type="dxa"/>
            <w:vAlign w:val="center"/>
          </w:tcPr>
          <w:p w14:paraId="1C0D8490">
            <w:pPr>
              <w:widowControl/>
              <w:spacing w:line="220" w:lineRule="atLeast"/>
              <w:jc w:val="left"/>
              <w:textAlignment w:val="center"/>
              <w:rPr>
                <w:kern w:val="0"/>
                <w:sz w:val="16"/>
                <w:szCs w:val="16"/>
              </w:rPr>
            </w:pPr>
            <w:r>
              <w:rPr>
                <w:rFonts w:hint="eastAsia"/>
                <w:kern w:val="0"/>
                <w:sz w:val="16"/>
                <w:szCs w:val="16"/>
              </w:rPr>
              <w:t>　</w:t>
            </w:r>
          </w:p>
        </w:tc>
      </w:tr>
      <w:tr w14:paraId="3964B829">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3312313A">
            <w:pPr>
              <w:widowControl/>
              <w:spacing w:line="220" w:lineRule="atLeast"/>
              <w:jc w:val="left"/>
              <w:textAlignment w:val="center"/>
              <w:rPr>
                <w:kern w:val="0"/>
                <w:sz w:val="16"/>
                <w:szCs w:val="16"/>
              </w:rPr>
            </w:pPr>
            <w:r>
              <w:rPr>
                <w:kern w:val="0"/>
                <w:sz w:val="16"/>
                <w:szCs w:val="16"/>
              </w:rPr>
              <w:t xml:space="preserve">    22.</w:t>
            </w:r>
            <w:r>
              <w:rPr>
                <w:rFonts w:hint="eastAsia"/>
                <w:kern w:val="0"/>
                <w:sz w:val="16"/>
                <w:szCs w:val="16"/>
              </w:rPr>
              <w:t>通用设备制造业</w:t>
            </w:r>
          </w:p>
        </w:tc>
        <w:tc>
          <w:tcPr>
            <w:tcW w:w="680" w:type="dxa"/>
            <w:tcBorders>
              <w:right w:val="double" w:color="auto" w:sz="4" w:space="0"/>
            </w:tcBorders>
            <w:vAlign w:val="center"/>
          </w:tcPr>
          <w:p w14:paraId="2799F0B6">
            <w:pPr>
              <w:widowControl/>
              <w:spacing w:line="220" w:lineRule="atLeast"/>
              <w:jc w:val="center"/>
              <w:textAlignment w:val="center"/>
              <w:rPr>
                <w:kern w:val="0"/>
                <w:sz w:val="16"/>
                <w:szCs w:val="16"/>
              </w:rPr>
            </w:pPr>
            <w:r>
              <w:rPr>
                <w:kern w:val="0"/>
                <w:sz w:val="16"/>
                <w:szCs w:val="16"/>
              </w:rPr>
              <w:t>67</w:t>
            </w:r>
          </w:p>
        </w:tc>
        <w:tc>
          <w:tcPr>
            <w:tcW w:w="4025" w:type="dxa"/>
            <w:tcBorders>
              <w:left w:val="double" w:color="auto" w:sz="4" w:space="0"/>
            </w:tcBorders>
            <w:vAlign w:val="center"/>
          </w:tcPr>
          <w:p w14:paraId="212DB596">
            <w:pPr>
              <w:widowControl/>
              <w:spacing w:line="220" w:lineRule="atLeast"/>
              <w:jc w:val="left"/>
              <w:textAlignment w:val="center"/>
              <w:rPr>
                <w:kern w:val="0"/>
                <w:sz w:val="16"/>
                <w:szCs w:val="16"/>
              </w:rPr>
            </w:pPr>
          </w:p>
        </w:tc>
        <w:tc>
          <w:tcPr>
            <w:tcW w:w="680" w:type="dxa"/>
            <w:vAlign w:val="center"/>
          </w:tcPr>
          <w:p w14:paraId="55ACC437">
            <w:pPr>
              <w:widowControl/>
              <w:spacing w:line="220" w:lineRule="atLeast"/>
              <w:jc w:val="left"/>
              <w:textAlignment w:val="center"/>
              <w:rPr>
                <w:kern w:val="0"/>
                <w:sz w:val="16"/>
                <w:szCs w:val="16"/>
              </w:rPr>
            </w:pPr>
            <w:r>
              <w:rPr>
                <w:rFonts w:hint="eastAsia"/>
                <w:kern w:val="0"/>
                <w:sz w:val="16"/>
                <w:szCs w:val="16"/>
              </w:rPr>
              <w:t>　</w:t>
            </w:r>
          </w:p>
        </w:tc>
      </w:tr>
      <w:tr w14:paraId="45167BFE">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193" w:hRule="exact"/>
        </w:trPr>
        <w:tc>
          <w:tcPr>
            <w:tcW w:w="4025" w:type="dxa"/>
            <w:vAlign w:val="center"/>
          </w:tcPr>
          <w:p w14:paraId="65966478">
            <w:pPr>
              <w:widowControl/>
              <w:spacing w:line="220" w:lineRule="atLeast"/>
              <w:jc w:val="left"/>
              <w:textAlignment w:val="center"/>
              <w:rPr>
                <w:kern w:val="0"/>
                <w:sz w:val="16"/>
                <w:szCs w:val="16"/>
              </w:rPr>
            </w:pPr>
            <w:r>
              <w:rPr>
                <w:rFonts w:hint="eastAsia"/>
                <w:kern w:val="0"/>
                <w:sz w:val="16"/>
                <w:szCs w:val="16"/>
              </w:rPr>
              <w:t xml:space="preserve">     其中：风能原动设备制造</w:t>
            </w:r>
          </w:p>
        </w:tc>
        <w:tc>
          <w:tcPr>
            <w:tcW w:w="680" w:type="dxa"/>
            <w:tcBorders>
              <w:bottom w:val="single" w:color="auto" w:sz="8" w:space="0"/>
              <w:right w:val="double" w:color="auto" w:sz="4" w:space="0"/>
            </w:tcBorders>
            <w:vAlign w:val="center"/>
          </w:tcPr>
          <w:p w14:paraId="516FB83F">
            <w:pPr>
              <w:widowControl/>
              <w:spacing w:line="220" w:lineRule="atLeast"/>
              <w:jc w:val="center"/>
              <w:textAlignment w:val="center"/>
              <w:rPr>
                <w:kern w:val="0"/>
                <w:sz w:val="16"/>
                <w:szCs w:val="16"/>
              </w:rPr>
            </w:pPr>
            <w:r>
              <w:rPr>
                <w:kern w:val="0"/>
                <w:sz w:val="16"/>
                <w:szCs w:val="16"/>
              </w:rPr>
              <w:t>68</w:t>
            </w:r>
          </w:p>
        </w:tc>
        <w:tc>
          <w:tcPr>
            <w:tcW w:w="4025" w:type="dxa"/>
            <w:tcBorders>
              <w:left w:val="double" w:color="auto" w:sz="4" w:space="0"/>
            </w:tcBorders>
            <w:vAlign w:val="center"/>
          </w:tcPr>
          <w:p w14:paraId="54D48DCF">
            <w:pPr>
              <w:widowControl/>
              <w:spacing w:line="220" w:lineRule="atLeast"/>
              <w:jc w:val="left"/>
              <w:textAlignment w:val="center"/>
              <w:rPr>
                <w:kern w:val="0"/>
                <w:sz w:val="16"/>
                <w:szCs w:val="16"/>
              </w:rPr>
            </w:pPr>
            <w:r>
              <w:rPr>
                <w:rFonts w:hint="eastAsia"/>
                <w:kern w:val="0"/>
                <w:sz w:val="16"/>
                <w:szCs w:val="16"/>
              </w:rPr>
              <w:t>　</w:t>
            </w:r>
          </w:p>
        </w:tc>
        <w:tc>
          <w:tcPr>
            <w:tcW w:w="680" w:type="dxa"/>
            <w:vAlign w:val="center"/>
          </w:tcPr>
          <w:p w14:paraId="0A6BE1AD">
            <w:pPr>
              <w:widowControl/>
              <w:spacing w:line="220" w:lineRule="atLeast"/>
              <w:jc w:val="left"/>
              <w:textAlignment w:val="center"/>
              <w:rPr>
                <w:kern w:val="0"/>
                <w:sz w:val="16"/>
                <w:szCs w:val="16"/>
              </w:rPr>
            </w:pPr>
            <w:r>
              <w:rPr>
                <w:rFonts w:hint="eastAsia"/>
                <w:kern w:val="0"/>
                <w:sz w:val="16"/>
                <w:szCs w:val="16"/>
              </w:rPr>
              <w:t>　</w:t>
            </w:r>
          </w:p>
        </w:tc>
      </w:tr>
    </w:tbl>
    <w:p w14:paraId="747D17DE">
      <w:pPr>
        <w:ind w:right="-38"/>
        <w:rPr>
          <w:sz w:val="18"/>
          <w:szCs w:val="18"/>
        </w:rPr>
      </w:pPr>
    </w:p>
    <w:p w14:paraId="3C2E8F59">
      <w:pPr>
        <w:pStyle w:val="3"/>
        <w:snapToGrid w:val="0"/>
        <w:spacing w:before="720" w:beforeLines="300" w:after="240" w:afterLines="100" w:line="240" w:lineRule="auto"/>
        <w:jc w:val="center"/>
        <w:rPr>
          <w:rFonts w:eastAsia="黑体"/>
          <w:b w:val="0"/>
          <w:sz w:val="32"/>
          <w:szCs w:val="32"/>
        </w:rPr>
      </w:pPr>
      <w:r>
        <w:rPr>
          <w:rFonts w:eastAsia="黑体"/>
          <w:b w:val="0"/>
          <w:sz w:val="32"/>
          <w:szCs w:val="32"/>
        </w:rPr>
        <w:t>五、主要指标解释</w:t>
      </w:r>
    </w:p>
    <w:p w14:paraId="15DFE7E5">
      <w:pPr>
        <w:snapToGrid w:val="0"/>
        <w:spacing w:before="480" w:beforeLines="200" w:after="240" w:afterLines="100"/>
        <w:jc w:val="center"/>
        <w:outlineLvl w:val="1"/>
        <w:rPr>
          <w:rFonts w:eastAsia="黑体"/>
          <w:sz w:val="28"/>
          <w:szCs w:val="28"/>
        </w:rPr>
      </w:pPr>
      <w:r>
        <w:rPr>
          <w:rFonts w:eastAsia="黑体"/>
          <w:sz w:val="28"/>
          <w:szCs w:val="28"/>
        </w:rPr>
        <w:t>（一）能源购进、消费与库存（205-1表）</w:t>
      </w:r>
    </w:p>
    <w:p w14:paraId="5482FE05">
      <w:pPr>
        <w:spacing w:line="360" w:lineRule="exact"/>
        <w:ind w:right="0" w:firstLine="420" w:firstLineChars="200"/>
        <w:textAlignment w:val="center"/>
        <w:rPr>
          <w:szCs w:val="21"/>
        </w:rPr>
      </w:pPr>
      <w:r>
        <w:rPr>
          <w:rFonts w:hint="eastAsia" w:ascii="黑体" w:hAnsi="黑体" w:eastAsia="黑体"/>
          <w:bCs/>
          <w:szCs w:val="21"/>
        </w:rPr>
        <w:t>★</w:t>
      </w:r>
      <w:r>
        <w:rPr>
          <w:rStyle w:val="27"/>
          <w:rFonts w:eastAsia="黑体"/>
          <w:bCs/>
          <w:szCs w:val="21"/>
        </w:rPr>
        <w:footnoteReference w:id="0"/>
      </w:r>
      <w:r>
        <w:rPr>
          <w:rFonts w:eastAsia="黑体"/>
          <w:bCs/>
          <w:szCs w:val="21"/>
        </w:rPr>
        <w:t xml:space="preserve">能源库存量  </w:t>
      </w:r>
      <w:r>
        <w:rPr>
          <w:bCs/>
          <w:szCs w:val="21"/>
        </w:rPr>
        <w:t>指</w:t>
      </w:r>
      <w:r>
        <w:rPr>
          <w:szCs w:val="21"/>
        </w:rPr>
        <w:t>能源使用企业（单位）在报告期的某时间点所拥有的、</w:t>
      </w:r>
      <w:r>
        <w:rPr>
          <w:bCs/>
          <w:szCs w:val="21"/>
        </w:rPr>
        <w:t>用于企业（单位）消费或转卖（不包括本企业自己生产）</w:t>
      </w:r>
      <w:r>
        <w:rPr>
          <w:szCs w:val="21"/>
        </w:rPr>
        <w:t>的各种能源的库存量。</w:t>
      </w:r>
    </w:p>
    <w:p w14:paraId="55F7A1B7">
      <w:pPr>
        <w:spacing w:line="360" w:lineRule="exact"/>
        <w:ind w:right="0" w:firstLine="420" w:firstLineChars="200"/>
        <w:textAlignment w:val="center"/>
        <w:rPr>
          <w:szCs w:val="21"/>
        </w:rPr>
      </w:pPr>
      <w:r>
        <w:rPr>
          <w:szCs w:val="21"/>
        </w:rPr>
        <w:t>（1）库存量的核算原则：</w:t>
      </w:r>
    </w:p>
    <w:p w14:paraId="37B1D1D8">
      <w:pPr>
        <w:spacing w:line="360" w:lineRule="exact"/>
        <w:ind w:right="0" w:firstLine="420" w:firstLineChars="200"/>
        <w:textAlignment w:val="center"/>
        <w:rPr>
          <w:szCs w:val="21"/>
        </w:rPr>
      </w:pPr>
      <w:r>
        <w:rPr>
          <w:szCs w:val="21"/>
        </w:rPr>
        <w:t>①时点性原则。库存量是指企业在报告期的某时间点所拥有的各种能源数量，所以必须按照制度所规定的时间点盘点库存，不得提前或推后。</w:t>
      </w:r>
    </w:p>
    <w:p w14:paraId="69FC188C">
      <w:pPr>
        <w:spacing w:line="360" w:lineRule="exact"/>
        <w:ind w:right="0" w:firstLine="420" w:firstLineChars="200"/>
        <w:textAlignment w:val="center"/>
        <w:rPr>
          <w:szCs w:val="21"/>
        </w:rPr>
      </w:pPr>
      <w:r>
        <w:rPr>
          <w:szCs w:val="21"/>
        </w:rPr>
        <w:t>②实际数量原则。企业在库存盘点后，可能出现账面数量与实际库存数量不一致的现象，在这种情况下，应以盘点数量为准来调整账面数量，差额作盘盈或盘亏处理。</w:t>
      </w:r>
    </w:p>
    <w:p w14:paraId="44307EBD">
      <w:pPr>
        <w:spacing w:line="360" w:lineRule="exact"/>
        <w:ind w:right="0" w:firstLine="420" w:firstLineChars="200"/>
        <w:textAlignment w:val="center"/>
        <w:rPr>
          <w:szCs w:val="21"/>
        </w:rPr>
      </w:pPr>
      <w:r>
        <w:rPr>
          <w:szCs w:val="21"/>
        </w:rPr>
        <w:t>③库存量的核算，以验收合格、办理完入库手续为准，未经验收或不合格的，不能计入库存。</w:t>
      </w:r>
    </w:p>
    <w:p w14:paraId="3073C927">
      <w:pPr>
        <w:spacing w:line="360" w:lineRule="exact"/>
        <w:ind w:right="0" w:firstLine="420" w:firstLineChars="200"/>
        <w:textAlignment w:val="center"/>
        <w:rPr>
          <w:szCs w:val="21"/>
        </w:rPr>
      </w:pPr>
      <w:r>
        <w:rPr>
          <w:szCs w:val="21"/>
        </w:rPr>
        <w:t>④能源使用企业（单位）用于消费的能源库存按照能源的使用权原则统计。</w:t>
      </w:r>
    </w:p>
    <w:p w14:paraId="27C17D73">
      <w:pPr>
        <w:spacing w:line="360" w:lineRule="exact"/>
        <w:ind w:right="0" w:firstLine="420" w:firstLineChars="200"/>
        <w:textAlignment w:val="center"/>
        <w:rPr>
          <w:szCs w:val="21"/>
        </w:rPr>
      </w:pPr>
      <w:r>
        <w:rPr>
          <w:szCs w:val="21"/>
        </w:rPr>
        <w:t>（2）库存量的统计范围：</w:t>
      </w:r>
    </w:p>
    <w:p w14:paraId="64043697">
      <w:pPr>
        <w:spacing w:line="360" w:lineRule="exact"/>
        <w:ind w:right="0" w:firstLine="420" w:firstLineChars="200"/>
        <w:textAlignment w:val="center"/>
        <w:rPr>
          <w:szCs w:val="21"/>
        </w:rPr>
      </w:pPr>
      <w:r>
        <w:rPr>
          <w:szCs w:val="21"/>
        </w:rPr>
        <w:t>能源使用企业（单位）的能源库存统计范围，</w:t>
      </w:r>
      <w:r>
        <w:rPr>
          <w:strike/>
          <w:szCs w:val="21"/>
        </w:rPr>
        <w:t>是</w:t>
      </w:r>
      <w:r>
        <w:rPr>
          <w:szCs w:val="21"/>
        </w:rPr>
        <w:t>企业购进和调入（加工来料和借入）的、在报告期某一时点尚未消费或转卖、存放在原材料、能源供应仓库（或场地）、车间、工地中的各种能源，主要包括：</w:t>
      </w:r>
    </w:p>
    <w:p w14:paraId="67107A0D">
      <w:pPr>
        <w:spacing w:line="360" w:lineRule="exact"/>
        <w:ind w:right="0" w:firstLine="420" w:firstLineChars="200"/>
        <w:textAlignment w:val="center"/>
        <w:rPr>
          <w:szCs w:val="21"/>
        </w:rPr>
      </w:pPr>
      <w:r>
        <w:rPr>
          <w:szCs w:val="21"/>
        </w:rPr>
        <w:t>①凡是本单位有权支配的，不论来源（自行采购的、借用的、外单位拨来的等），也不论存放在什么地方（总库、分库、车间、工地、本单位之外的其他地方等），均应统计在本单位的库存量中；</w:t>
      </w:r>
    </w:p>
    <w:p w14:paraId="60741DFF">
      <w:pPr>
        <w:spacing w:line="360" w:lineRule="exact"/>
        <w:ind w:right="0" w:firstLine="420" w:firstLineChars="200"/>
        <w:textAlignment w:val="center"/>
        <w:rPr>
          <w:szCs w:val="21"/>
        </w:rPr>
      </w:pPr>
      <w:r>
        <w:rPr>
          <w:szCs w:val="21"/>
        </w:rPr>
        <w:t>②在统计时点上尚未投入消费的，包括车间、工地、班组从仓库已领取但尚未投入第一道生产工序的（应办理假退料手续）；</w:t>
      </w:r>
    </w:p>
    <w:p w14:paraId="7A5E4FDD">
      <w:pPr>
        <w:spacing w:line="360" w:lineRule="exact"/>
        <w:ind w:right="0" w:firstLine="420" w:firstLineChars="200"/>
        <w:textAlignment w:val="center"/>
        <w:rPr>
          <w:szCs w:val="21"/>
        </w:rPr>
      </w:pPr>
      <w:r>
        <w:rPr>
          <w:szCs w:val="21"/>
        </w:rPr>
        <w:t>③外单位来料加工或自外单位借入的，在报告期末尚未消费的；</w:t>
      </w:r>
    </w:p>
    <w:p w14:paraId="25F11E34">
      <w:pPr>
        <w:spacing w:line="360" w:lineRule="exact"/>
        <w:ind w:right="0" w:firstLine="420" w:firstLineChars="200"/>
        <w:textAlignment w:val="center"/>
        <w:rPr>
          <w:szCs w:val="21"/>
        </w:rPr>
      </w:pPr>
      <w:r>
        <w:rPr>
          <w:szCs w:val="21"/>
        </w:rPr>
        <w:t>④已决定外调（卖出、借出、捐赠等），但尚未办理出库手续的；</w:t>
      </w:r>
    </w:p>
    <w:p w14:paraId="304036C0">
      <w:pPr>
        <w:spacing w:line="360" w:lineRule="exact"/>
        <w:ind w:right="0" w:firstLine="420" w:firstLineChars="200"/>
        <w:textAlignment w:val="center"/>
        <w:rPr>
          <w:szCs w:val="21"/>
        </w:rPr>
      </w:pPr>
      <w:r>
        <w:rPr>
          <w:szCs w:val="21"/>
        </w:rPr>
        <w:t>⑤委托外单位代保管的；</w:t>
      </w:r>
    </w:p>
    <w:p w14:paraId="579B51A5">
      <w:pPr>
        <w:spacing w:line="360" w:lineRule="exact"/>
        <w:ind w:right="0" w:firstLine="420" w:firstLineChars="200"/>
        <w:textAlignment w:val="center"/>
        <w:rPr>
          <w:szCs w:val="21"/>
        </w:rPr>
      </w:pPr>
      <w:r>
        <w:rPr>
          <w:szCs w:val="21"/>
        </w:rPr>
        <w:t>⑥不属于正常周转库存的超出积压或特准储备、战略储备；</w:t>
      </w:r>
    </w:p>
    <w:p w14:paraId="218626A7">
      <w:pPr>
        <w:spacing w:line="360" w:lineRule="exact"/>
        <w:ind w:right="0" w:firstLine="420" w:firstLineChars="200"/>
        <w:textAlignment w:val="center"/>
        <w:rPr>
          <w:szCs w:val="21"/>
        </w:rPr>
      </w:pPr>
      <w:r>
        <w:rPr>
          <w:szCs w:val="21"/>
        </w:rPr>
        <w:t>⑦清点盘库时查出属于账外的。</w:t>
      </w:r>
    </w:p>
    <w:p w14:paraId="1F282213">
      <w:pPr>
        <w:spacing w:line="360" w:lineRule="exact"/>
        <w:ind w:right="0" w:firstLine="420" w:firstLineChars="200"/>
        <w:textAlignment w:val="center"/>
        <w:rPr>
          <w:szCs w:val="21"/>
        </w:rPr>
      </w:pPr>
      <w:r>
        <w:rPr>
          <w:szCs w:val="21"/>
        </w:rPr>
        <w:t>不包括：</w:t>
      </w:r>
    </w:p>
    <w:p w14:paraId="2DF625F6">
      <w:pPr>
        <w:spacing w:line="360" w:lineRule="exact"/>
        <w:ind w:right="0" w:firstLine="420" w:firstLineChars="200"/>
        <w:textAlignment w:val="center"/>
        <w:rPr>
          <w:szCs w:val="21"/>
        </w:rPr>
      </w:pPr>
      <w:r>
        <w:rPr>
          <w:szCs w:val="21"/>
        </w:rPr>
        <w:t>①已拨交外单位委托加工的；</w:t>
      </w:r>
    </w:p>
    <w:p w14:paraId="0552F826">
      <w:pPr>
        <w:spacing w:line="360" w:lineRule="exact"/>
        <w:ind w:right="0" w:firstLine="420" w:firstLineChars="200"/>
        <w:textAlignment w:val="center"/>
        <w:rPr>
          <w:szCs w:val="21"/>
        </w:rPr>
      </w:pPr>
      <w:r>
        <w:rPr>
          <w:szCs w:val="21"/>
        </w:rPr>
        <w:t>②已外调（借出、捐赠等），已经办理出库手续的；</w:t>
      </w:r>
    </w:p>
    <w:p w14:paraId="27831B14">
      <w:pPr>
        <w:spacing w:line="360" w:lineRule="exact"/>
        <w:ind w:right="0" w:firstLine="420" w:firstLineChars="200"/>
        <w:textAlignment w:val="center"/>
        <w:rPr>
          <w:szCs w:val="21"/>
        </w:rPr>
      </w:pPr>
      <w:r>
        <w:rPr>
          <w:szCs w:val="21"/>
        </w:rPr>
        <w:t>③供货单位错发到本单位的；</w:t>
      </w:r>
    </w:p>
    <w:p w14:paraId="6FCAD741">
      <w:pPr>
        <w:spacing w:line="360" w:lineRule="exact"/>
        <w:ind w:right="0" w:firstLine="420" w:firstLineChars="200"/>
        <w:textAlignment w:val="center"/>
        <w:rPr>
          <w:szCs w:val="21"/>
        </w:rPr>
      </w:pPr>
      <w:r>
        <w:rPr>
          <w:szCs w:val="21"/>
        </w:rPr>
        <w:t>④代外单位保管的；</w:t>
      </w:r>
    </w:p>
    <w:p w14:paraId="56C31318">
      <w:pPr>
        <w:spacing w:line="360" w:lineRule="exact"/>
        <w:ind w:right="0" w:firstLine="420" w:firstLineChars="200"/>
        <w:textAlignment w:val="center"/>
        <w:rPr>
          <w:szCs w:val="21"/>
        </w:rPr>
      </w:pPr>
      <w:r>
        <w:rPr>
          <w:szCs w:val="21"/>
        </w:rPr>
        <w:t>⑤已查实确属损失或丢失的；</w:t>
      </w:r>
    </w:p>
    <w:p w14:paraId="7E0A0A69">
      <w:pPr>
        <w:spacing w:line="360" w:lineRule="exact"/>
        <w:ind w:right="0" w:firstLine="420" w:firstLineChars="200"/>
        <w:textAlignment w:val="center"/>
        <w:rPr>
          <w:szCs w:val="21"/>
        </w:rPr>
      </w:pPr>
      <w:r>
        <w:rPr>
          <w:szCs w:val="21"/>
        </w:rPr>
        <w:t>⑥已付货款，但还在运输途中的；</w:t>
      </w:r>
    </w:p>
    <w:p w14:paraId="6083A17A">
      <w:pPr>
        <w:spacing w:line="360" w:lineRule="exact"/>
        <w:ind w:right="0" w:firstLine="420" w:firstLineChars="200"/>
        <w:textAlignment w:val="center"/>
        <w:rPr>
          <w:szCs w:val="21"/>
        </w:rPr>
      </w:pPr>
      <w:r>
        <w:rPr>
          <w:szCs w:val="21"/>
        </w:rPr>
        <w:t>⑦已运到本单位，但尚未办理或尚未办完验收入库手续的</w:t>
      </w:r>
      <w:r>
        <w:rPr>
          <w:rFonts w:hint="eastAsia"/>
          <w:szCs w:val="21"/>
        </w:rPr>
        <w:t>；</w:t>
      </w:r>
    </w:p>
    <w:p w14:paraId="6758010D">
      <w:pPr>
        <w:spacing w:line="360" w:lineRule="exact"/>
        <w:ind w:right="0" w:firstLine="420" w:firstLineChars="200"/>
        <w:textAlignment w:val="center"/>
        <w:rPr>
          <w:szCs w:val="21"/>
        </w:rPr>
      </w:pPr>
      <w:r>
        <w:rPr>
          <w:szCs w:val="21"/>
        </w:rPr>
        <w:t>⑧能源生产企业的产成品库存。</w:t>
      </w:r>
    </w:p>
    <w:p w14:paraId="6AE19ED7">
      <w:pPr>
        <w:spacing w:line="360" w:lineRule="exact"/>
        <w:ind w:right="0" w:firstLine="420" w:firstLineChars="200"/>
        <w:textAlignment w:val="center"/>
        <w:rPr>
          <w:szCs w:val="21"/>
        </w:rPr>
      </w:pPr>
      <w:r>
        <w:rPr>
          <w:rFonts w:hint="eastAsia" w:ascii="黑体" w:hAnsi="黑体" w:eastAsia="黑体"/>
          <w:bCs/>
          <w:szCs w:val="21"/>
        </w:rPr>
        <w:t>★</w:t>
      </w:r>
      <w:r>
        <w:rPr>
          <w:rFonts w:eastAsia="黑体"/>
          <w:bCs/>
          <w:szCs w:val="21"/>
        </w:rPr>
        <w:t xml:space="preserve">能源购进量 </w:t>
      </w:r>
      <w:r>
        <w:rPr>
          <w:bCs/>
          <w:szCs w:val="21"/>
        </w:rPr>
        <w:t xml:space="preserve"> 指能源使用企业（单位）在报告期购进的各种能源数量。</w:t>
      </w:r>
      <w:r>
        <w:rPr>
          <w:szCs w:val="21"/>
        </w:rPr>
        <w:t>购进量的核算原则：</w:t>
      </w:r>
    </w:p>
    <w:p w14:paraId="335C2608">
      <w:pPr>
        <w:spacing w:line="360" w:lineRule="exact"/>
        <w:ind w:right="0" w:firstLine="420" w:firstLineChars="200"/>
        <w:textAlignment w:val="center"/>
        <w:rPr>
          <w:szCs w:val="21"/>
        </w:rPr>
      </w:pPr>
      <w:r>
        <w:rPr>
          <w:szCs w:val="21"/>
        </w:rPr>
        <w:t>（1）计算购进量的能源必须具备以下三个条件：</w:t>
      </w:r>
    </w:p>
    <w:p w14:paraId="7EB20A09">
      <w:pPr>
        <w:spacing w:line="360" w:lineRule="exact"/>
        <w:ind w:right="0" w:firstLine="420" w:firstLineChars="200"/>
        <w:textAlignment w:val="center"/>
        <w:rPr>
          <w:szCs w:val="21"/>
        </w:rPr>
      </w:pPr>
      <w:r>
        <w:rPr>
          <w:szCs w:val="21"/>
        </w:rPr>
        <w:t>一是已实际到达本单位；</w:t>
      </w:r>
    </w:p>
    <w:p w14:paraId="079B1BE3">
      <w:pPr>
        <w:spacing w:line="360" w:lineRule="exact"/>
        <w:ind w:right="0" w:firstLine="420" w:firstLineChars="200"/>
        <w:textAlignment w:val="center"/>
        <w:rPr>
          <w:szCs w:val="21"/>
        </w:rPr>
      </w:pPr>
      <w:r>
        <w:rPr>
          <w:szCs w:val="21"/>
        </w:rPr>
        <w:t>二是经过验收、检验；</w:t>
      </w:r>
    </w:p>
    <w:p w14:paraId="769DDE16">
      <w:pPr>
        <w:spacing w:line="360" w:lineRule="exact"/>
        <w:ind w:right="0" w:firstLine="420" w:firstLineChars="200"/>
        <w:textAlignment w:val="center"/>
        <w:rPr>
          <w:szCs w:val="21"/>
        </w:rPr>
      </w:pPr>
      <w:r>
        <w:rPr>
          <w:szCs w:val="21"/>
        </w:rPr>
        <w:t>三是办理完入库手续。但是，在未办理完入库手续前已经投入使用，要计算在购进量中；使用多少，计算多少。</w:t>
      </w:r>
    </w:p>
    <w:p w14:paraId="12240612">
      <w:pPr>
        <w:spacing w:line="360" w:lineRule="exact"/>
        <w:ind w:right="0" w:firstLine="420" w:firstLineChars="200"/>
        <w:textAlignment w:val="center"/>
        <w:rPr>
          <w:szCs w:val="21"/>
        </w:rPr>
      </w:pPr>
      <w:r>
        <w:rPr>
          <w:szCs w:val="21"/>
        </w:rPr>
        <w:t>（2）</w:t>
      </w:r>
      <w:r>
        <w:rPr>
          <w:rFonts w:hint="eastAsia"/>
          <w:szCs w:val="21"/>
          <w:lang w:eastAsia="zh-CN"/>
        </w:rPr>
        <w:t>“</w:t>
      </w:r>
      <w:r>
        <w:rPr>
          <w:szCs w:val="21"/>
        </w:rPr>
        <w:t>谁购进，谁统计</w:t>
      </w:r>
      <w:r>
        <w:rPr>
          <w:rFonts w:hint="eastAsia"/>
          <w:szCs w:val="21"/>
          <w:lang w:eastAsia="zh-CN"/>
        </w:rPr>
        <w:t>”</w:t>
      </w:r>
      <w:r>
        <w:rPr>
          <w:szCs w:val="21"/>
        </w:rPr>
        <w:t>。</w:t>
      </w:r>
    </w:p>
    <w:p w14:paraId="636F682C">
      <w:pPr>
        <w:spacing w:line="360" w:lineRule="exact"/>
        <w:ind w:right="0" w:firstLine="420" w:firstLineChars="200"/>
        <w:textAlignment w:val="center"/>
        <w:rPr>
          <w:szCs w:val="21"/>
        </w:rPr>
      </w:pPr>
      <w:r>
        <w:rPr>
          <w:szCs w:val="21"/>
        </w:rPr>
        <w:t>凡属本单位实际购进的，符合上述原则，不论从何处购进，均应计算在内，包括作价的加工来料。</w:t>
      </w:r>
    </w:p>
    <w:p w14:paraId="2F750885">
      <w:pPr>
        <w:spacing w:line="360" w:lineRule="exact"/>
        <w:ind w:right="0" w:firstLine="420" w:firstLineChars="200"/>
        <w:textAlignment w:val="center"/>
        <w:rPr>
          <w:szCs w:val="21"/>
        </w:rPr>
      </w:pPr>
      <w:r>
        <w:rPr>
          <w:szCs w:val="21"/>
        </w:rPr>
        <w:t>凡属本报告期实际购进的，办理完入库手续，即计算购进量；什么时间办理入库手续，什么时间计算购进量。</w:t>
      </w:r>
    </w:p>
    <w:p w14:paraId="4E0AD69B">
      <w:pPr>
        <w:spacing w:line="360" w:lineRule="exact"/>
        <w:ind w:right="0" w:firstLine="420" w:firstLineChars="200"/>
        <w:textAlignment w:val="center"/>
        <w:rPr>
          <w:szCs w:val="21"/>
        </w:rPr>
      </w:pPr>
      <w:r>
        <w:rPr>
          <w:szCs w:val="21"/>
        </w:rPr>
        <w:t>根据以上原则，下述情况不能计算在购进量内：</w:t>
      </w:r>
    </w:p>
    <w:p w14:paraId="26ED19A2">
      <w:pPr>
        <w:spacing w:line="360" w:lineRule="exact"/>
        <w:ind w:right="0" w:firstLine="420" w:firstLineChars="200"/>
        <w:textAlignment w:val="center"/>
        <w:rPr>
          <w:szCs w:val="21"/>
        </w:rPr>
      </w:pPr>
      <w:r>
        <w:rPr>
          <w:szCs w:val="21"/>
        </w:rPr>
        <w:t>（1）供货单位已发货，但尚未运到本单位，即使已经付款；</w:t>
      </w:r>
    </w:p>
    <w:p w14:paraId="51852F4B">
      <w:pPr>
        <w:spacing w:line="360" w:lineRule="exact"/>
        <w:ind w:right="0" w:firstLine="420" w:firstLineChars="200"/>
        <w:textAlignment w:val="center"/>
        <w:rPr>
          <w:szCs w:val="21"/>
        </w:rPr>
      </w:pPr>
      <w:r>
        <w:rPr>
          <w:szCs w:val="21"/>
        </w:rPr>
        <w:t>（2）货已运到本单位，但尚未办理验收、入库手续；</w:t>
      </w:r>
    </w:p>
    <w:p w14:paraId="1E1437BA">
      <w:pPr>
        <w:spacing w:line="360" w:lineRule="exact"/>
        <w:ind w:right="0" w:firstLine="420" w:firstLineChars="200"/>
        <w:textAlignment w:val="center"/>
        <w:rPr>
          <w:szCs w:val="21"/>
        </w:rPr>
      </w:pPr>
      <w:r>
        <w:rPr>
          <w:szCs w:val="21"/>
        </w:rPr>
        <w:t>（3）经验收发现的亏吨（按验收后的实际数量计算购进量）；</w:t>
      </w:r>
    </w:p>
    <w:p w14:paraId="7F587FFA">
      <w:pPr>
        <w:spacing w:line="360" w:lineRule="exact"/>
        <w:ind w:right="0" w:firstLine="420" w:firstLineChars="200"/>
        <w:textAlignment w:val="center"/>
        <w:rPr>
          <w:szCs w:val="21"/>
        </w:rPr>
      </w:pPr>
      <w:r>
        <w:rPr>
          <w:szCs w:val="21"/>
        </w:rPr>
        <w:t>（4）借入的，自产自用的，车间、工地上年领用今年退回的，以及加工来料（作价的除外）。</w:t>
      </w:r>
    </w:p>
    <w:p w14:paraId="087FD7F0">
      <w:pPr>
        <w:spacing w:line="360" w:lineRule="exact"/>
        <w:ind w:right="0" w:firstLine="420" w:firstLineChars="200"/>
        <w:textAlignment w:val="center"/>
        <w:rPr>
          <w:szCs w:val="21"/>
        </w:rPr>
      </w:pPr>
      <w:r>
        <w:rPr>
          <w:bCs/>
          <w:szCs w:val="21"/>
        </w:rPr>
        <w:t>能源购进量按照实物量填报。</w:t>
      </w:r>
      <w:r>
        <w:rPr>
          <w:szCs w:val="21"/>
        </w:rPr>
        <w:t>各种能源的</w:t>
      </w:r>
      <w:r>
        <w:rPr>
          <w:bCs/>
          <w:szCs w:val="21"/>
        </w:rPr>
        <w:t>能源购进实物量</w:t>
      </w:r>
      <w:r>
        <w:rPr>
          <w:szCs w:val="21"/>
        </w:rPr>
        <w:t>分别按照报表规定的、体现物质形态属性的计量单位（如：吨、立方米）计算的能源购进量。</w:t>
      </w:r>
    </w:p>
    <w:p w14:paraId="064C432F">
      <w:pPr>
        <w:spacing w:line="360" w:lineRule="exact"/>
        <w:ind w:right="0" w:firstLine="420" w:firstLineChars="200"/>
        <w:textAlignment w:val="center"/>
        <w:rPr>
          <w:szCs w:val="21"/>
        </w:rPr>
      </w:pPr>
      <w:r>
        <w:rPr>
          <w:rFonts w:hint="eastAsia" w:ascii="黑体" w:hAnsi="黑体" w:eastAsia="黑体"/>
          <w:bCs/>
          <w:szCs w:val="21"/>
        </w:rPr>
        <w:t>★</w:t>
      </w:r>
      <w:r>
        <w:rPr>
          <w:rFonts w:eastAsia="黑体"/>
          <w:bCs/>
          <w:szCs w:val="21"/>
        </w:rPr>
        <w:t xml:space="preserve">购自省外  </w:t>
      </w:r>
      <w:r>
        <w:rPr>
          <w:rFonts w:hint="eastAsia"/>
          <w:szCs w:val="21"/>
        </w:rPr>
        <w:t>指企业在报告期内从本省（自治区、直辖市）以外（包括进口）购进的能源产品数量。</w:t>
      </w:r>
    </w:p>
    <w:p w14:paraId="4304607F">
      <w:pPr>
        <w:spacing w:line="360" w:lineRule="exact"/>
        <w:ind w:right="0" w:firstLine="420" w:firstLineChars="200"/>
        <w:textAlignment w:val="center"/>
        <w:rPr>
          <w:rFonts w:ascii="宋体" w:hAnsi="宋体"/>
          <w:szCs w:val="21"/>
        </w:rPr>
      </w:pPr>
      <w:r>
        <w:rPr>
          <w:rFonts w:hint="eastAsia" w:ascii="黑体" w:eastAsia="黑体"/>
          <w:bCs/>
          <w:szCs w:val="21"/>
        </w:rPr>
        <w:t xml:space="preserve">★能源购进金额  </w:t>
      </w:r>
      <w:r>
        <w:rPr>
          <w:rFonts w:hint="eastAsia" w:ascii="宋体" w:hAnsi="宋体"/>
          <w:bCs/>
          <w:szCs w:val="21"/>
        </w:rPr>
        <w:t>指各种能源按照购进价格计算的</w:t>
      </w:r>
      <w:r>
        <w:rPr>
          <w:rFonts w:hint="eastAsia" w:ascii="宋体" w:hAnsi="宋体"/>
          <w:szCs w:val="21"/>
        </w:rPr>
        <w:t>能源购进量，以价值量（金额）表示，含增值税。计算能源购进金额时要注意：</w:t>
      </w:r>
    </w:p>
    <w:p w14:paraId="1446C005">
      <w:pPr>
        <w:spacing w:line="360" w:lineRule="exact"/>
        <w:ind w:right="0" w:firstLine="420" w:firstLineChars="200"/>
        <w:textAlignment w:val="center"/>
        <w:rPr>
          <w:rFonts w:ascii="宋体" w:hAnsi="宋体"/>
          <w:szCs w:val="21"/>
        </w:rPr>
      </w:pPr>
      <w:r>
        <w:rPr>
          <w:rFonts w:hint="eastAsia" w:ascii="宋体" w:hAnsi="宋体"/>
          <w:szCs w:val="21"/>
        </w:rPr>
        <w:t>（1）价值量指标要与实物量指标相一致，即计算实物量的，亦计算价值量，反之亦然；</w:t>
      </w:r>
    </w:p>
    <w:p w14:paraId="5BD4912E">
      <w:pPr>
        <w:spacing w:line="360" w:lineRule="exact"/>
        <w:ind w:right="0" w:firstLine="420" w:firstLineChars="200"/>
        <w:textAlignment w:val="center"/>
        <w:rPr>
          <w:rFonts w:ascii="宋体" w:hAnsi="宋体"/>
          <w:szCs w:val="21"/>
        </w:rPr>
      </w:pPr>
      <w:r>
        <w:rPr>
          <w:rFonts w:hint="eastAsia" w:ascii="宋体" w:hAnsi="宋体"/>
          <w:szCs w:val="21"/>
        </w:rPr>
        <w:t>（2）已验收入库尚未结算，购货发票未到，购进量以实际验收数量计算，购进金额以货物的上期平均价或合同价格乘购进量计算，待结算后再作调整。</w:t>
      </w:r>
    </w:p>
    <w:p w14:paraId="36F1874A">
      <w:pPr>
        <w:spacing w:line="360" w:lineRule="exact"/>
        <w:ind w:right="0" w:firstLine="420" w:firstLineChars="200"/>
        <w:textAlignment w:val="center"/>
        <w:rPr>
          <w:szCs w:val="21"/>
        </w:rPr>
      </w:pPr>
      <w:r>
        <w:rPr>
          <w:rFonts w:hint="eastAsia" w:ascii="宋体" w:hAnsi="宋体"/>
          <w:szCs w:val="21"/>
        </w:rPr>
        <w:t>（</w:t>
      </w:r>
      <w:r>
        <w:rPr>
          <w:rFonts w:ascii="宋体" w:hAnsi="宋体"/>
          <w:szCs w:val="21"/>
        </w:rPr>
        <w:t>3</w:t>
      </w:r>
      <w:r>
        <w:rPr>
          <w:rFonts w:hint="eastAsia" w:ascii="宋体" w:hAnsi="宋体"/>
          <w:szCs w:val="21"/>
        </w:rPr>
        <w:t>）能源购进金额不包括运输、装卸费用。</w:t>
      </w:r>
    </w:p>
    <w:p w14:paraId="5C1EA6FA">
      <w:pPr>
        <w:spacing w:line="360" w:lineRule="exact"/>
        <w:ind w:right="0" w:firstLine="420" w:firstLineChars="200"/>
        <w:textAlignment w:val="center"/>
        <w:rPr>
          <w:szCs w:val="21"/>
        </w:rPr>
      </w:pPr>
      <w:r>
        <w:rPr>
          <w:rFonts w:eastAsia="黑体"/>
          <w:bCs/>
          <w:szCs w:val="21"/>
        </w:rPr>
        <w:t xml:space="preserve">能源消费量  </w:t>
      </w:r>
      <w:r>
        <w:rPr>
          <w:szCs w:val="21"/>
        </w:rPr>
        <w:t>指能源使用企业（单位）在报告期内实际消费的各种能源的数量。能源消费量分实物量和标准量两种。能源消费实物量是按照报表规定的、体现物质形态属性的计量单位（如：吨、立方米）计算的能源消费量；能源消费标准量是按照能源标准计量单位（如：吨标准煤）计算的能源消费量。</w:t>
      </w:r>
    </w:p>
    <w:p w14:paraId="1885699B">
      <w:pPr>
        <w:spacing w:line="360" w:lineRule="exact"/>
        <w:ind w:right="0" w:firstLine="420" w:firstLineChars="200"/>
        <w:textAlignment w:val="center"/>
        <w:rPr>
          <w:szCs w:val="21"/>
        </w:rPr>
      </w:pPr>
      <w:r>
        <w:rPr>
          <w:szCs w:val="21"/>
        </w:rPr>
        <w:t>能源消费量的统计原则：</w:t>
      </w:r>
    </w:p>
    <w:p w14:paraId="6D374CDB">
      <w:pPr>
        <w:spacing w:line="360" w:lineRule="exact"/>
        <w:ind w:right="0" w:firstLine="420" w:firstLineChars="200"/>
        <w:textAlignment w:val="center"/>
        <w:rPr>
          <w:szCs w:val="21"/>
        </w:rPr>
      </w:pPr>
      <w:r>
        <w:rPr>
          <w:szCs w:val="21"/>
        </w:rPr>
        <w:t>（1）谁消费、谁统计。即不论其所有权的归属，由哪个单位消费，就由哪个单位统计其消费量。</w:t>
      </w:r>
    </w:p>
    <w:p w14:paraId="6AABEBC6">
      <w:pPr>
        <w:spacing w:line="360" w:lineRule="exact"/>
        <w:ind w:right="0" w:firstLine="420" w:firstLineChars="200"/>
        <w:textAlignment w:val="center"/>
        <w:rPr>
          <w:szCs w:val="21"/>
        </w:rPr>
      </w:pPr>
      <w:r>
        <w:rPr>
          <w:szCs w:val="21"/>
        </w:rPr>
        <w:t>（2）何时投入使用，何时计算消费量。企业的能源消费，在时间、工艺界限上，以投入第一道生产工序为标志，即投入第一道生产工序即计算消费；何时投入第一道生产工序，何时计算消费量。</w:t>
      </w:r>
    </w:p>
    <w:p w14:paraId="753067C2">
      <w:pPr>
        <w:spacing w:line="360" w:lineRule="exact"/>
        <w:ind w:right="0" w:firstLine="420" w:firstLineChars="200"/>
        <w:textAlignment w:val="center"/>
        <w:rPr>
          <w:szCs w:val="21"/>
        </w:rPr>
      </w:pPr>
      <w:r>
        <w:rPr>
          <w:szCs w:val="21"/>
        </w:rPr>
        <w:t>（3）在计算企业（单位）的综合能源消费量时，不得重复计算，要扣除二次能源的产出量和余热、余能的回收利用量。</w:t>
      </w:r>
    </w:p>
    <w:p w14:paraId="6C7494F3">
      <w:pPr>
        <w:spacing w:line="360" w:lineRule="exact"/>
        <w:ind w:right="0" w:firstLine="420" w:firstLineChars="200"/>
        <w:textAlignment w:val="center"/>
        <w:rPr>
          <w:szCs w:val="21"/>
        </w:rPr>
      </w:pPr>
      <w:r>
        <w:rPr>
          <w:szCs w:val="21"/>
        </w:rPr>
        <w:t>（4）耗能工质（如水、氧气、压缩空气等），不论是外购的还是自产自用的，均不统计在能源消费量中（计算单位产品能耗时是否包括耗能工质，视统计指标的具体规定而定）。</w:t>
      </w:r>
    </w:p>
    <w:p w14:paraId="40E69A7E">
      <w:pPr>
        <w:spacing w:line="360" w:lineRule="exact"/>
        <w:ind w:right="0" w:firstLine="420" w:firstLineChars="200"/>
        <w:textAlignment w:val="center"/>
        <w:rPr>
          <w:szCs w:val="21"/>
        </w:rPr>
      </w:pPr>
      <w:r>
        <w:rPr>
          <w:szCs w:val="21"/>
        </w:rPr>
        <w:t>（5）企业自产的能源，作为企业生产另一种产品的原料或燃料，是否计算消费量，视以下两种情况而定：一是自产的能源如果计算产量，消费时则计算消费量，二是自产的能源如果不计算产量，消费时则不计算消费量，视同产品生产过程中的半成品和中间产品。原则是：计算产量，则计算消费；不计算产量，则不计算消费。</w:t>
      </w:r>
    </w:p>
    <w:p w14:paraId="179A7E83">
      <w:pPr>
        <w:spacing w:line="360" w:lineRule="exact"/>
        <w:ind w:right="0" w:firstLine="420" w:firstLineChars="200"/>
        <w:textAlignment w:val="center"/>
        <w:rPr>
          <w:szCs w:val="21"/>
        </w:rPr>
      </w:pPr>
      <w:r>
        <w:rPr>
          <w:rFonts w:hint="eastAsia" w:ascii="黑体" w:hAnsi="黑体" w:eastAsia="黑体"/>
          <w:bCs/>
          <w:szCs w:val="21"/>
        </w:rPr>
        <w:t>★</w:t>
      </w:r>
      <w:r>
        <w:rPr>
          <w:rFonts w:eastAsia="黑体"/>
          <w:bCs/>
          <w:szCs w:val="21"/>
        </w:rPr>
        <w:t xml:space="preserve">工业生产能源消费量  </w:t>
      </w:r>
      <w:r>
        <w:rPr>
          <w:szCs w:val="21"/>
        </w:rPr>
        <w:t>指工业企业为进行工业生产活动所消费的能源。主要包括：</w:t>
      </w:r>
    </w:p>
    <w:p w14:paraId="5A21E642">
      <w:pPr>
        <w:spacing w:line="360" w:lineRule="exact"/>
        <w:ind w:right="0" w:firstLine="420" w:firstLineChars="200"/>
        <w:textAlignment w:val="center"/>
        <w:rPr>
          <w:szCs w:val="21"/>
        </w:rPr>
      </w:pPr>
      <w:r>
        <w:rPr>
          <w:szCs w:val="21"/>
        </w:rPr>
        <w:t>（1）用于本企业产品生产、工业性作业的能源，包括用作原料、材料、燃料、动力的能源；作为能源加工转换企业，还包括用作加工转换的能源（这部分能源不能理解为用作原材料，用作原材料的概念见后面的解释）</w:t>
      </w:r>
      <w:r>
        <w:rPr>
          <w:rFonts w:hint="eastAsia"/>
          <w:szCs w:val="21"/>
        </w:rPr>
        <w:t>；</w:t>
      </w:r>
    </w:p>
    <w:p w14:paraId="343118AD">
      <w:pPr>
        <w:spacing w:line="360" w:lineRule="exact"/>
        <w:ind w:right="0" w:firstLine="420" w:firstLineChars="200"/>
        <w:textAlignment w:val="center"/>
        <w:rPr>
          <w:szCs w:val="21"/>
        </w:rPr>
      </w:pPr>
      <w:r>
        <w:rPr>
          <w:szCs w:val="21"/>
        </w:rPr>
        <w:t>（2）产品生产过程中作为辅助材料使用的能源</w:t>
      </w:r>
      <w:r>
        <w:rPr>
          <w:rFonts w:hint="eastAsia"/>
          <w:szCs w:val="21"/>
        </w:rPr>
        <w:t>；</w:t>
      </w:r>
    </w:p>
    <w:p w14:paraId="438E6AAE">
      <w:pPr>
        <w:spacing w:line="360" w:lineRule="exact"/>
        <w:ind w:right="0" w:firstLine="420" w:firstLineChars="200"/>
        <w:textAlignment w:val="center"/>
        <w:rPr>
          <w:szCs w:val="21"/>
        </w:rPr>
      </w:pPr>
      <w:r>
        <w:rPr>
          <w:szCs w:val="21"/>
        </w:rPr>
        <w:t>（3）生产工艺过程使用的能源</w:t>
      </w:r>
      <w:r>
        <w:rPr>
          <w:rFonts w:hint="eastAsia"/>
          <w:szCs w:val="21"/>
        </w:rPr>
        <w:t>；</w:t>
      </w:r>
    </w:p>
    <w:p w14:paraId="4A884A72">
      <w:pPr>
        <w:spacing w:line="360" w:lineRule="exact"/>
        <w:ind w:right="0" w:firstLine="420" w:firstLineChars="200"/>
        <w:textAlignment w:val="center"/>
        <w:rPr>
          <w:szCs w:val="21"/>
        </w:rPr>
      </w:pPr>
      <w:r>
        <w:rPr>
          <w:szCs w:val="21"/>
        </w:rPr>
        <w:t>（4）新技术研究、新产品试制、科学试验使用的能源</w:t>
      </w:r>
      <w:r>
        <w:rPr>
          <w:rFonts w:hint="eastAsia"/>
          <w:szCs w:val="21"/>
        </w:rPr>
        <w:t>；</w:t>
      </w:r>
    </w:p>
    <w:p w14:paraId="1B0D9CD7">
      <w:pPr>
        <w:spacing w:line="360" w:lineRule="exact"/>
        <w:ind w:right="0" w:firstLine="420" w:firstLineChars="200"/>
        <w:textAlignment w:val="center"/>
        <w:rPr>
          <w:szCs w:val="21"/>
        </w:rPr>
      </w:pPr>
      <w:r>
        <w:rPr>
          <w:szCs w:val="21"/>
        </w:rPr>
        <w:t>（5）为了工业生产活动而在进行的各种修理过程中使用的能源</w:t>
      </w:r>
      <w:r>
        <w:rPr>
          <w:rFonts w:hint="eastAsia"/>
          <w:szCs w:val="21"/>
        </w:rPr>
        <w:t>；</w:t>
      </w:r>
    </w:p>
    <w:p w14:paraId="0A957F09">
      <w:pPr>
        <w:spacing w:line="360" w:lineRule="exact"/>
        <w:ind w:right="0" w:firstLine="420" w:firstLineChars="200"/>
        <w:textAlignment w:val="center"/>
        <w:rPr>
          <w:rFonts w:hint="eastAsia" w:eastAsia="宋体"/>
          <w:szCs w:val="21"/>
          <w:lang w:eastAsia="zh-CN"/>
        </w:rPr>
      </w:pPr>
      <w:r>
        <w:rPr>
          <w:szCs w:val="21"/>
        </w:rPr>
        <w:t>（6）生产区内的劳动保护用能等</w:t>
      </w:r>
      <w:r>
        <w:rPr>
          <w:rFonts w:hint="eastAsia"/>
          <w:szCs w:val="21"/>
          <w:lang w:eastAsia="zh-CN"/>
        </w:rPr>
        <w:t>；</w:t>
      </w:r>
    </w:p>
    <w:p w14:paraId="32C10119">
      <w:pPr>
        <w:pStyle w:val="2"/>
        <w:spacing w:line="360" w:lineRule="exact"/>
        <w:ind w:firstLineChars="200"/>
        <w:rPr>
          <w:rFonts w:hint="eastAsia" w:eastAsia="宋体"/>
          <w:color w:val="auto"/>
          <w:lang w:eastAsia="zh-CN"/>
        </w:rPr>
      </w:pPr>
      <w:r>
        <w:rPr>
          <w:rFonts w:hint="eastAsia"/>
          <w:szCs w:val="21"/>
          <w:lang w:eastAsia="zh-CN"/>
        </w:rPr>
        <w:t>（</w:t>
      </w:r>
      <w:r>
        <w:rPr>
          <w:rFonts w:hint="default" w:ascii="Times New Roman" w:hAnsi="Times New Roman"/>
          <w:szCs w:val="21"/>
          <w:lang w:val="en-US" w:eastAsia="zh-CN"/>
        </w:rPr>
        <w:t>7</w:t>
      </w:r>
      <w:r>
        <w:rPr>
          <w:rFonts w:hint="eastAsia"/>
          <w:color w:val="auto"/>
          <w:szCs w:val="21"/>
          <w:lang w:eastAsia="zh-CN"/>
        </w:rPr>
        <w:t>）</w:t>
      </w:r>
      <w:r>
        <w:rPr>
          <w:rFonts w:hint="eastAsia" w:ascii="宋体" w:hAnsi="宋体" w:eastAsia="宋体" w:cs="宋体"/>
          <w:color w:val="auto"/>
          <w:kern w:val="0"/>
          <w:sz w:val="21"/>
          <w:szCs w:val="21"/>
          <w:u w:val="none"/>
          <w:lang w:bidi="ar"/>
        </w:rPr>
        <w:t>辅助工业生产的能源消费，如企业厂部、管理办公楼消费的能源、天然气输配装置消费的能源等。</w:t>
      </w:r>
    </w:p>
    <w:p w14:paraId="54DD24D0">
      <w:pPr>
        <w:spacing w:line="360" w:lineRule="exact"/>
        <w:ind w:right="0" w:firstLine="420" w:firstLineChars="200"/>
        <w:textAlignment w:val="center"/>
        <w:rPr>
          <w:szCs w:val="21"/>
        </w:rPr>
      </w:pPr>
      <w:r>
        <w:rPr>
          <w:rFonts w:hint="eastAsia" w:ascii="黑体" w:hAnsi="黑体" w:eastAsia="黑体"/>
          <w:bCs/>
          <w:szCs w:val="21"/>
        </w:rPr>
        <w:t>★</w:t>
      </w:r>
      <w:r>
        <w:rPr>
          <w:rFonts w:eastAsia="黑体"/>
          <w:bCs/>
          <w:szCs w:val="21"/>
        </w:rPr>
        <w:t xml:space="preserve">用于原材料的能源消费量  </w:t>
      </w:r>
      <w:r>
        <w:rPr>
          <w:szCs w:val="21"/>
        </w:rPr>
        <w:t>指能源产品不作能源使用，即不作燃料、动力使用，而作为生产另外一种产品（非能源产品）的原料或作为辅助材料使用，作原料使用时通常构成这种产品的实体。它与用作加工转换的区别是：用作加工转换，投入的是能源，产出的主要产品</w:t>
      </w:r>
      <w:r>
        <w:rPr>
          <w:rFonts w:hint="eastAsia"/>
          <w:szCs w:val="21"/>
          <w:lang w:eastAsia="zh-CN"/>
        </w:rPr>
        <w:t>还</w:t>
      </w:r>
      <w:r>
        <w:rPr>
          <w:szCs w:val="21"/>
        </w:rPr>
        <w:t>是能源</w:t>
      </w:r>
      <w:r>
        <w:rPr>
          <w:rFonts w:hint="eastAsia"/>
          <w:szCs w:val="21"/>
          <w:lang w:eastAsia="zh-CN"/>
        </w:rPr>
        <w:t>；</w:t>
      </w:r>
      <w:r>
        <w:rPr>
          <w:szCs w:val="21"/>
        </w:rPr>
        <w:t>而用作原材料时，投入的是能源，产出的主要产品</w:t>
      </w:r>
      <w:r>
        <w:rPr>
          <w:rFonts w:hint="eastAsia"/>
          <w:szCs w:val="21"/>
          <w:lang w:val="en-US" w:eastAsia="zh-CN"/>
        </w:rPr>
        <w:t>却</w:t>
      </w:r>
      <w:r>
        <w:rPr>
          <w:szCs w:val="21"/>
        </w:rPr>
        <w:t>是能源范畴以外的产品，包括产出的某种产品在广义上可以用作能源（比如可以燃烧以提供热量），但通常意义上不作能源使用的产品。</w:t>
      </w:r>
    </w:p>
    <w:p w14:paraId="422BC2AA">
      <w:pPr>
        <w:spacing w:line="360" w:lineRule="exact"/>
        <w:ind w:right="0" w:firstLine="420" w:firstLineChars="200"/>
        <w:textAlignment w:val="center"/>
        <w:rPr>
          <w:spacing w:val="4"/>
          <w:szCs w:val="21"/>
        </w:rPr>
      </w:pPr>
      <w:r>
        <w:rPr>
          <w:rFonts w:hint="eastAsia" w:ascii="黑体" w:hAnsi="黑体" w:eastAsia="黑体"/>
          <w:bCs/>
          <w:szCs w:val="21"/>
        </w:rPr>
        <w:t>★</w:t>
      </w:r>
      <w:r>
        <w:rPr>
          <w:rFonts w:eastAsia="黑体"/>
          <w:bCs/>
          <w:szCs w:val="21"/>
        </w:rPr>
        <w:t xml:space="preserve">运输工具能源消费量  </w:t>
      </w:r>
      <w:r>
        <w:rPr>
          <w:spacing w:val="4"/>
          <w:szCs w:val="21"/>
        </w:rPr>
        <w:t>指</w:t>
      </w:r>
      <w:r>
        <w:rPr>
          <w:rFonts w:hint="eastAsia"/>
          <w:spacing w:val="4"/>
          <w:szCs w:val="21"/>
        </w:rPr>
        <w:t>工业企业所属运输工具在厂区内、外为工业生产活动进行运输所消费的能源。用途为非运输性质的叉车、铲车、装载机、挖掘机等不计入运输工具能源消费量，但需计入工业生产能源消费量；生产运输工具的企业（如造船厂、汽车制造厂、工程车制造厂），向成品的轮船、汽车、工程车等中添加动力用油，不计入运输工具能源消费量和工业生产能源消费量</w:t>
      </w:r>
      <w:r>
        <w:rPr>
          <w:spacing w:val="4"/>
          <w:szCs w:val="21"/>
        </w:rPr>
        <w:t>。</w:t>
      </w:r>
    </w:p>
    <w:p w14:paraId="3E9D3F9C">
      <w:pPr>
        <w:spacing w:line="360" w:lineRule="exact"/>
        <w:ind w:right="0" w:firstLine="420" w:firstLineChars="200"/>
        <w:textAlignment w:val="center"/>
        <w:rPr>
          <w:szCs w:val="21"/>
        </w:rPr>
      </w:pPr>
      <w:r>
        <w:rPr>
          <w:rFonts w:hint="eastAsia" w:ascii="黑体" w:hAnsi="黑体" w:eastAsia="黑体" w:cs="黑体"/>
          <w:szCs w:val="21"/>
        </w:rPr>
        <w:t>★能源折标系数</w:t>
      </w:r>
      <w:r>
        <w:rPr>
          <w:rFonts w:hint="eastAsia"/>
          <w:szCs w:val="21"/>
        </w:rPr>
        <w:t xml:space="preserve">  指将能源品种的实物量转换为标准量的折算系数。分能源品种参考折标系数具体见</w:t>
      </w:r>
      <w:r>
        <w:t>《能源购进、消费与库存》</w:t>
      </w:r>
      <w:r>
        <w:rPr>
          <w:rFonts w:hint="eastAsia"/>
          <w:lang w:eastAsia="zh-CN"/>
        </w:rPr>
        <w:t>（</w:t>
      </w:r>
      <w:r>
        <w:rPr>
          <w:rFonts w:hint="eastAsia"/>
          <w:szCs w:val="21"/>
        </w:rPr>
        <w:t>205-1表</w:t>
      </w:r>
      <w:r>
        <w:rPr>
          <w:rFonts w:hint="eastAsia"/>
          <w:lang w:eastAsia="zh-CN"/>
        </w:rPr>
        <w:t>）</w:t>
      </w:r>
      <w:r>
        <w:rPr>
          <w:rFonts w:hint="eastAsia"/>
          <w:szCs w:val="21"/>
        </w:rPr>
        <w:t>和</w:t>
      </w:r>
      <w:r>
        <w:rPr>
          <w:rFonts w:hint="eastAsia"/>
          <w:szCs w:val="21"/>
          <w:lang w:eastAsia="zh-CN"/>
        </w:rPr>
        <w:t>《能源加工转换与回收利用》（</w:t>
      </w:r>
      <w:r>
        <w:rPr>
          <w:rFonts w:hint="eastAsia"/>
          <w:szCs w:val="21"/>
        </w:rPr>
        <w:t>205-2表</w:t>
      </w:r>
      <w:r>
        <w:rPr>
          <w:rFonts w:hint="eastAsia"/>
          <w:szCs w:val="21"/>
          <w:lang w:eastAsia="zh-CN"/>
        </w:rPr>
        <w:t>）</w:t>
      </w:r>
      <w:r>
        <w:rPr>
          <w:rFonts w:hint="eastAsia"/>
          <w:szCs w:val="21"/>
        </w:rPr>
        <w:t>填报目录。</w:t>
      </w:r>
    </w:p>
    <w:p w14:paraId="27CFC964">
      <w:pPr>
        <w:spacing w:line="360" w:lineRule="exact"/>
        <w:ind w:firstLine="420" w:firstLineChars="200"/>
        <w:textAlignment w:val="center"/>
      </w:pPr>
      <w:r>
        <w:rPr>
          <w:rFonts w:hint="eastAsia" w:ascii="黑体" w:hAnsi="黑体" w:eastAsia="黑体"/>
          <w:bCs/>
        </w:rPr>
        <w:t>★</w:t>
      </w:r>
      <w:r>
        <w:rPr>
          <w:rFonts w:eastAsia="黑体"/>
          <w:bCs/>
        </w:rPr>
        <w:t xml:space="preserve">综合能源消费量  </w:t>
      </w:r>
      <w:r>
        <w:t>指企业（单位）在报告期内工业生产实际消费的各种能源（扣除能源加工转换</w:t>
      </w:r>
      <w:r>
        <w:rPr>
          <w:rFonts w:hint="eastAsia"/>
          <w:lang w:eastAsia="zh-CN"/>
        </w:rPr>
        <w:t>产出</w:t>
      </w:r>
      <w:r>
        <w:t>和能源回收利用等重复因素）的总和。计算综合能源消费量时，</w:t>
      </w:r>
      <w:r>
        <w:rPr>
          <w:rFonts w:hint="eastAsia"/>
          <w:lang w:val="en-US" w:eastAsia="zh-CN"/>
        </w:rPr>
        <w:t>一是</w:t>
      </w:r>
      <w:r>
        <w:t>需要将各种能源品种的消费量换算成按照标准计量单位（吨标准煤）计量的消费量</w:t>
      </w:r>
      <w:r>
        <w:rPr>
          <w:rFonts w:hint="eastAsia"/>
          <w:lang w:eastAsia="zh-CN"/>
        </w:rPr>
        <w:t>；二是不计算原煤入洗损耗。</w:t>
      </w:r>
      <w:r>
        <w:t>不同工业法人单位的计算方法见《能源购进、消费与库存》（205-1表）</w:t>
      </w:r>
      <w:r>
        <w:rPr>
          <w:rFonts w:hint="eastAsia"/>
          <w:lang w:val="en-US" w:eastAsia="zh-CN"/>
        </w:rPr>
        <w:t>表底</w:t>
      </w:r>
      <w:r>
        <w:t>说明。</w:t>
      </w:r>
    </w:p>
    <w:p w14:paraId="45719A34">
      <w:pPr>
        <w:snapToGrid w:val="0"/>
        <w:spacing w:before="480" w:beforeLines="200" w:after="240" w:afterLines="100"/>
        <w:jc w:val="center"/>
        <w:textAlignment w:val="center"/>
        <w:outlineLvl w:val="1"/>
        <w:rPr>
          <w:rFonts w:eastAsia="黑体"/>
          <w:sz w:val="28"/>
          <w:szCs w:val="28"/>
        </w:rPr>
      </w:pPr>
      <w:r>
        <w:rPr>
          <w:rFonts w:eastAsia="黑体"/>
          <w:sz w:val="28"/>
          <w:szCs w:val="28"/>
        </w:rPr>
        <w:t>（二）能源加工转换与回收利用（205-2表）</w:t>
      </w:r>
    </w:p>
    <w:p w14:paraId="6B66840C">
      <w:pPr>
        <w:spacing w:line="360" w:lineRule="exact"/>
        <w:ind w:right="0" w:firstLine="420" w:firstLineChars="200"/>
        <w:textAlignment w:val="center"/>
        <w:rPr>
          <w:szCs w:val="21"/>
        </w:rPr>
      </w:pPr>
      <w:r>
        <w:rPr>
          <w:rFonts w:eastAsia="黑体"/>
          <w:bCs/>
          <w:szCs w:val="21"/>
        </w:rPr>
        <w:t xml:space="preserve">能源加工转换投入  </w:t>
      </w:r>
      <w:r>
        <w:rPr>
          <w:szCs w:val="21"/>
        </w:rPr>
        <w:t>能源加工转换，指为了特定的用途，将一种能源（一般为一次能源），经过一定的工艺，加工或转换成另外一种能源（二次能源）。</w:t>
      </w:r>
    </w:p>
    <w:p w14:paraId="6EE8373C">
      <w:pPr>
        <w:spacing w:line="360" w:lineRule="exact"/>
        <w:ind w:right="0" w:firstLine="420" w:firstLineChars="200"/>
        <w:textAlignment w:val="center"/>
        <w:rPr>
          <w:szCs w:val="21"/>
        </w:rPr>
      </w:pPr>
      <w:r>
        <w:rPr>
          <w:szCs w:val="21"/>
        </w:rPr>
        <w:t>能源加工，是能源的物理形态的变化，比如用蒸馏的方式将原油炼制成汽油、煤油、柴油等石油制品；用筛选、水洗的方式将原煤洗选成洗煤；以焦化的方式将煤炭高温干馏成焦炭；以气化的方式将煤炭气化成煤气，等等。这些方法在加工前后能源均未发生质的变化。</w:t>
      </w:r>
    </w:p>
    <w:p w14:paraId="1EB04884">
      <w:pPr>
        <w:spacing w:line="360" w:lineRule="exact"/>
        <w:ind w:right="0" w:firstLine="420" w:firstLineChars="200"/>
        <w:textAlignment w:val="center"/>
        <w:rPr>
          <w:szCs w:val="21"/>
        </w:rPr>
      </w:pPr>
      <w:r>
        <w:rPr>
          <w:szCs w:val="21"/>
        </w:rPr>
        <w:t>能源转换，是能源的能量形态和化学形态的变化，比如经过一定的工艺过程，将煤炭、重油等转换为电力和热力，将热能转换为机械能，将机械能转换为电能，将电能转换为热能等；又比如，经过裂化，将重质石油转换成轻质石油（转换前、后的物质具有不同的化学结构和化学性质）。</w:t>
      </w:r>
    </w:p>
    <w:p w14:paraId="5616B413">
      <w:pPr>
        <w:spacing w:line="360" w:lineRule="exact"/>
        <w:ind w:right="0" w:firstLine="420" w:firstLineChars="200"/>
        <w:textAlignment w:val="center"/>
        <w:rPr>
          <w:szCs w:val="21"/>
        </w:rPr>
      </w:pPr>
      <w:r>
        <w:rPr>
          <w:szCs w:val="21"/>
        </w:rPr>
        <w:t>能源加工转换投入量，指以生产二次能源产品为目的而投入能源加工转换生产装置的能源（一般为一次能源）的数量。</w:t>
      </w:r>
    </w:p>
    <w:p w14:paraId="31D816CC">
      <w:pPr>
        <w:spacing w:line="360" w:lineRule="exact"/>
        <w:ind w:right="0" w:firstLine="420" w:firstLineChars="200"/>
        <w:textAlignment w:val="center"/>
        <w:rPr>
          <w:szCs w:val="21"/>
        </w:rPr>
      </w:pPr>
      <w:r>
        <w:rPr>
          <w:szCs w:val="21"/>
        </w:rPr>
        <w:t>用作能源加工转换的能源不能算作用于原材料。两者的区别是：用作加工转换，投入的是能源，产出的主要产品还是能源</w:t>
      </w:r>
      <w:r>
        <w:rPr>
          <w:rFonts w:hint="eastAsia"/>
          <w:szCs w:val="21"/>
          <w:lang w:eastAsia="zh-CN"/>
        </w:rPr>
        <w:t>；</w:t>
      </w:r>
      <w:r>
        <w:rPr>
          <w:szCs w:val="21"/>
        </w:rPr>
        <w:t>而用作原材料时，投入的是能源，产出的主要产品却是能源范畴以外的产品，包括产出的某种产品在广义上可以用作能源（比如可以燃烧以提供热量），但通常意义上不作能源使用的产品。</w:t>
      </w:r>
    </w:p>
    <w:p w14:paraId="1D7B9E19">
      <w:pPr>
        <w:spacing w:line="360" w:lineRule="exact"/>
        <w:ind w:right="0" w:firstLine="420" w:firstLineChars="200"/>
        <w:textAlignment w:val="center"/>
        <w:rPr>
          <w:szCs w:val="21"/>
        </w:rPr>
      </w:pPr>
      <w:r>
        <w:rPr>
          <w:szCs w:val="21"/>
        </w:rPr>
        <w:t>能源加工转换企业的能源投入量不包括：</w:t>
      </w:r>
    </w:p>
    <w:p w14:paraId="10040719">
      <w:pPr>
        <w:spacing w:line="360" w:lineRule="exact"/>
        <w:ind w:right="0" w:firstLine="420" w:firstLineChars="200"/>
        <w:textAlignment w:val="center"/>
        <w:rPr>
          <w:szCs w:val="21"/>
        </w:rPr>
      </w:pPr>
      <w:r>
        <w:rPr>
          <w:szCs w:val="21"/>
        </w:rPr>
        <w:t>（1）加工转换本身的工艺用能，如发电厂的发电装置的电机用电、点火用燃料、车间通风设备用电及其他厂用电；炼焦厂的焦炉原料预热用的焦炉煤气、设备运转用电等</w:t>
      </w:r>
      <w:r>
        <w:rPr>
          <w:rFonts w:hint="eastAsia"/>
          <w:szCs w:val="21"/>
        </w:rPr>
        <w:t>；</w:t>
      </w:r>
    </w:p>
    <w:p w14:paraId="70EBFC38">
      <w:pPr>
        <w:spacing w:line="360" w:lineRule="exact"/>
        <w:ind w:right="0" w:firstLine="420" w:firstLineChars="200"/>
        <w:textAlignment w:val="center"/>
        <w:rPr>
          <w:szCs w:val="21"/>
        </w:rPr>
      </w:pPr>
      <w:r>
        <w:rPr>
          <w:szCs w:val="21"/>
        </w:rPr>
        <w:t>（2）车间用能</w:t>
      </w:r>
      <w:r>
        <w:rPr>
          <w:rFonts w:hint="eastAsia"/>
          <w:szCs w:val="21"/>
        </w:rPr>
        <w:t>；</w:t>
      </w:r>
    </w:p>
    <w:p w14:paraId="72AFD62B">
      <w:pPr>
        <w:spacing w:line="360" w:lineRule="exact"/>
        <w:ind w:right="0" w:firstLine="420" w:firstLineChars="200"/>
        <w:textAlignment w:val="center"/>
        <w:rPr>
          <w:szCs w:val="21"/>
        </w:rPr>
      </w:pPr>
      <w:r>
        <w:rPr>
          <w:szCs w:val="21"/>
        </w:rPr>
        <w:t>（3）辅助生产系统用能</w:t>
      </w:r>
      <w:r>
        <w:rPr>
          <w:rFonts w:hint="eastAsia"/>
          <w:szCs w:val="21"/>
        </w:rPr>
        <w:t>；</w:t>
      </w:r>
    </w:p>
    <w:p w14:paraId="0B1A2CDA">
      <w:pPr>
        <w:spacing w:line="360" w:lineRule="exact"/>
        <w:ind w:right="0" w:firstLine="420" w:firstLineChars="200"/>
        <w:textAlignment w:val="center"/>
        <w:rPr>
          <w:szCs w:val="21"/>
        </w:rPr>
      </w:pPr>
      <w:r>
        <w:rPr>
          <w:szCs w:val="21"/>
        </w:rPr>
        <w:t>（4）经营管理用能</w:t>
      </w:r>
      <w:r>
        <w:rPr>
          <w:rFonts w:hint="eastAsia"/>
          <w:szCs w:val="21"/>
        </w:rPr>
        <w:t>；</w:t>
      </w:r>
    </w:p>
    <w:p w14:paraId="44D93D17">
      <w:pPr>
        <w:spacing w:line="360" w:lineRule="exact"/>
        <w:ind w:right="0" w:firstLine="420" w:firstLineChars="200"/>
        <w:textAlignment w:val="center"/>
        <w:rPr>
          <w:szCs w:val="21"/>
        </w:rPr>
      </w:pPr>
      <w:r>
        <w:rPr>
          <w:szCs w:val="21"/>
        </w:rPr>
        <w:t>（5）除上述项目以外的其他生产用能。</w:t>
      </w:r>
    </w:p>
    <w:p w14:paraId="4FA43F7F">
      <w:pPr>
        <w:spacing w:line="360" w:lineRule="exact"/>
        <w:ind w:firstLine="420" w:firstLineChars="200"/>
        <w:textAlignment w:val="center"/>
        <w:rPr>
          <w:spacing w:val="-4"/>
          <w:szCs w:val="21"/>
        </w:rPr>
      </w:pPr>
      <w:r>
        <w:rPr>
          <w:rFonts w:eastAsia="黑体"/>
          <w:kern w:val="0"/>
          <w:szCs w:val="21"/>
        </w:rPr>
        <w:t xml:space="preserve">火力发电的加工转换投入  </w:t>
      </w:r>
      <w:r>
        <w:rPr>
          <w:spacing w:val="-4"/>
          <w:kern w:val="0"/>
          <w:szCs w:val="21"/>
        </w:rPr>
        <w:t>指火力发</w:t>
      </w:r>
      <w:r>
        <w:rPr>
          <w:spacing w:val="-4"/>
          <w:szCs w:val="21"/>
        </w:rPr>
        <w:t>电企业为发电而投入发电锅炉燃烧室的燃料数量。通常燃料主要有：煤炭、燃料油、天然气、焦炉煤气、高炉煤气、转炉煤气、生物质燃料、可燃废弃物和可燃垃圾等。</w:t>
      </w:r>
    </w:p>
    <w:p w14:paraId="37E1BDD8">
      <w:pPr>
        <w:spacing w:line="360" w:lineRule="exact"/>
        <w:ind w:firstLine="420" w:firstLineChars="200"/>
        <w:textAlignment w:val="center"/>
        <w:rPr>
          <w:szCs w:val="21"/>
        </w:rPr>
      </w:pPr>
      <w:r>
        <w:rPr>
          <w:rFonts w:eastAsia="黑体"/>
          <w:kern w:val="0"/>
          <w:szCs w:val="21"/>
        </w:rPr>
        <w:t>供热的加工转换投入</w:t>
      </w:r>
      <w:r>
        <w:rPr>
          <w:kern w:val="0"/>
          <w:szCs w:val="21"/>
        </w:rPr>
        <w:t xml:space="preserve">  </w:t>
      </w:r>
      <w:r>
        <w:rPr>
          <w:szCs w:val="21"/>
        </w:rPr>
        <w:t>指热力生产企业为生产热力而投入供热锅炉燃烧室的燃料数量，以及热电联产机组</w:t>
      </w:r>
      <w:r>
        <w:rPr>
          <w:rFonts w:hint="eastAsia"/>
          <w:szCs w:val="21"/>
        </w:rPr>
        <w:t>用于供热的</w:t>
      </w:r>
      <w:r>
        <w:rPr>
          <w:szCs w:val="21"/>
        </w:rPr>
        <w:t>燃料投入量。</w:t>
      </w:r>
    </w:p>
    <w:p w14:paraId="6E931DC6">
      <w:pPr>
        <w:spacing w:line="360" w:lineRule="exact"/>
        <w:ind w:firstLine="420" w:firstLineChars="200"/>
        <w:textAlignment w:val="center"/>
        <w:rPr>
          <w:szCs w:val="21"/>
        </w:rPr>
      </w:pPr>
      <w:r>
        <w:rPr>
          <w:rFonts w:eastAsia="黑体"/>
          <w:kern w:val="0"/>
          <w:szCs w:val="21"/>
        </w:rPr>
        <w:t>原煤入洗的加工转换投入</w:t>
      </w:r>
      <w:r>
        <w:rPr>
          <w:kern w:val="0"/>
          <w:szCs w:val="21"/>
        </w:rPr>
        <w:t xml:space="preserve">  </w:t>
      </w:r>
      <w:r>
        <w:rPr>
          <w:szCs w:val="21"/>
        </w:rPr>
        <w:t>指洗煤企业为生产洗煤而投入煤炭洗选生产装置的原煤数量。</w:t>
      </w:r>
    </w:p>
    <w:p w14:paraId="75266583">
      <w:pPr>
        <w:spacing w:line="360" w:lineRule="exact"/>
        <w:ind w:firstLine="420" w:firstLineChars="200"/>
        <w:textAlignment w:val="center"/>
        <w:rPr>
          <w:szCs w:val="21"/>
        </w:rPr>
      </w:pPr>
      <w:r>
        <w:rPr>
          <w:rFonts w:eastAsia="黑体"/>
          <w:szCs w:val="21"/>
        </w:rPr>
        <w:t xml:space="preserve">炼焦的加工转换投入  </w:t>
      </w:r>
      <w:r>
        <w:rPr>
          <w:szCs w:val="21"/>
        </w:rPr>
        <w:t>指焦化企业为生产焦化产品而投入炼焦生产设备的煤炭（原煤、洗煤）数量。</w:t>
      </w:r>
    </w:p>
    <w:p w14:paraId="17E9E14D">
      <w:pPr>
        <w:spacing w:line="360" w:lineRule="exact"/>
        <w:ind w:right="0" w:firstLine="420" w:firstLineChars="200"/>
        <w:textAlignment w:val="center"/>
        <w:rPr>
          <w:szCs w:val="21"/>
        </w:rPr>
      </w:pPr>
      <w:r>
        <w:rPr>
          <w:rFonts w:eastAsia="黑体"/>
          <w:kern w:val="0"/>
          <w:szCs w:val="21"/>
        </w:rPr>
        <w:t>炼油及煤制油的加工转换投入</w:t>
      </w:r>
      <w:r>
        <w:rPr>
          <w:kern w:val="0"/>
          <w:szCs w:val="21"/>
        </w:rPr>
        <w:t xml:space="preserve">  </w:t>
      </w:r>
      <w:r>
        <w:rPr>
          <w:rFonts w:hint="eastAsia"/>
          <w:kern w:val="0"/>
          <w:szCs w:val="21"/>
        </w:rPr>
        <w:t>炼油加工转换投入是</w:t>
      </w:r>
      <w:r>
        <w:rPr>
          <w:kern w:val="0"/>
          <w:szCs w:val="21"/>
        </w:rPr>
        <w:t>指炼油厂为生产成品油和其他石油制品而投入炼油生产装置的原油或其他原料油数量。</w:t>
      </w:r>
      <w:r>
        <w:rPr>
          <w:szCs w:val="21"/>
        </w:rPr>
        <w:t>煤制油</w:t>
      </w:r>
      <w:r>
        <w:rPr>
          <w:kern w:val="0"/>
          <w:szCs w:val="21"/>
        </w:rPr>
        <w:t>加工转换</w:t>
      </w:r>
      <w:r>
        <w:rPr>
          <w:szCs w:val="21"/>
        </w:rPr>
        <w:t>投入是指煤化工企业以生产成品油为目的而投入煤制油化工生产装置的煤炭（原煤、洗煤）数量。煤制油是以煤炭为原料，通过化学加工过程生产成品油的一项技术，包含煤直接液化和煤间接液化两种技术路线。煤的直接液化</w:t>
      </w:r>
      <w:r>
        <w:rPr>
          <w:rFonts w:hint="eastAsia"/>
          <w:szCs w:val="21"/>
        </w:rPr>
        <w:t>是指</w:t>
      </w:r>
      <w:r>
        <w:rPr>
          <w:szCs w:val="21"/>
        </w:rPr>
        <w:t>将煤在高温高压条件下，通过催化加氢直接液化合成液态烃类燃料，并脱除硫、氮、氧等原子。煤的间接液化</w:t>
      </w:r>
      <w:r>
        <w:rPr>
          <w:rFonts w:hint="eastAsia"/>
          <w:szCs w:val="21"/>
        </w:rPr>
        <w:t>是</w:t>
      </w:r>
      <w:r>
        <w:rPr>
          <w:szCs w:val="21"/>
        </w:rPr>
        <w:t>首先把煤气化，再通过费托合成转化为烃类燃料。</w:t>
      </w:r>
    </w:p>
    <w:p w14:paraId="357666ED">
      <w:pPr>
        <w:spacing w:line="360" w:lineRule="exact"/>
        <w:ind w:right="0" w:firstLine="420" w:firstLineChars="200"/>
        <w:textAlignment w:val="center"/>
        <w:rPr>
          <w:szCs w:val="21"/>
        </w:rPr>
      </w:pPr>
      <w:r>
        <w:rPr>
          <w:rFonts w:eastAsia="黑体"/>
          <w:kern w:val="0"/>
          <w:szCs w:val="21"/>
        </w:rPr>
        <w:t>制气的加工转换投入</w:t>
      </w:r>
      <w:r>
        <w:rPr>
          <w:kern w:val="0"/>
          <w:szCs w:val="21"/>
        </w:rPr>
        <w:t xml:space="preserve">  指</w:t>
      </w:r>
      <w:r>
        <w:rPr>
          <w:szCs w:val="21"/>
        </w:rPr>
        <w:t>煤气生产</w:t>
      </w:r>
      <w:r>
        <w:rPr>
          <w:rFonts w:hint="eastAsia"/>
          <w:szCs w:val="21"/>
        </w:rPr>
        <w:t>、天然气和</w:t>
      </w:r>
      <w:r>
        <w:rPr>
          <w:szCs w:val="21"/>
        </w:rPr>
        <w:t>氢气制备企业为生产</w:t>
      </w:r>
      <w:r>
        <w:rPr>
          <w:rFonts w:hint="eastAsia"/>
          <w:szCs w:val="21"/>
        </w:rPr>
        <w:t>煤气</w:t>
      </w:r>
      <w:r>
        <w:rPr>
          <w:szCs w:val="21"/>
        </w:rPr>
        <w:t>、</w:t>
      </w:r>
      <w:r>
        <w:rPr>
          <w:rFonts w:hint="eastAsia"/>
          <w:szCs w:val="21"/>
        </w:rPr>
        <w:t>制取</w:t>
      </w:r>
      <w:r>
        <w:rPr>
          <w:szCs w:val="21"/>
        </w:rPr>
        <w:t>天然</w:t>
      </w:r>
      <w:r>
        <w:rPr>
          <w:rFonts w:hint="eastAsia"/>
          <w:szCs w:val="21"/>
        </w:rPr>
        <w:t>气和</w:t>
      </w:r>
      <w:r>
        <w:rPr>
          <w:szCs w:val="21"/>
        </w:rPr>
        <w:t>氢气而投入生产装置的煤炭、焦炭、燃料油</w:t>
      </w:r>
      <w:r>
        <w:rPr>
          <w:rFonts w:hint="eastAsia"/>
          <w:szCs w:val="21"/>
        </w:rPr>
        <w:t>、</w:t>
      </w:r>
      <w:r>
        <w:rPr>
          <w:szCs w:val="21"/>
        </w:rPr>
        <w:t>天然气等能源产品数量。</w:t>
      </w:r>
    </w:p>
    <w:p w14:paraId="0C7E3336">
      <w:pPr>
        <w:spacing w:line="360" w:lineRule="exact"/>
        <w:ind w:right="0" w:firstLine="420" w:firstLineChars="200"/>
        <w:textAlignment w:val="center"/>
        <w:rPr>
          <w:szCs w:val="21"/>
        </w:rPr>
      </w:pPr>
      <w:r>
        <w:rPr>
          <w:rFonts w:eastAsia="黑体"/>
          <w:kern w:val="0"/>
          <w:szCs w:val="21"/>
        </w:rPr>
        <w:t>天然气液化的加工转换投入</w:t>
      </w:r>
      <w:r>
        <w:rPr>
          <w:kern w:val="0"/>
          <w:szCs w:val="21"/>
        </w:rPr>
        <w:t xml:space="preserve">  </w:t>
      </w:r>
      <w:r>
        <w:rPr>
          <w:szCs w:val="21"/>
        </w:rPr>
        <w:t>指天然气液化企业为生产液态天然气而投入天然气液化装置的天然气数量。</w:t>
      </w:r>
    </w:p>
    <w:p w14:paraId="05B6A47B">
      <w:pPr>
        <w:spacing w:line="360" w:lineRule="exact"/>
        <w:ind w:right="0" w:firstLine="420" w:firstLineChars="200"/>
        <w:textAlignment w:val="center"/>
        <w:rPr>
          <w:kern w:val="0"/>
          <w:szCs w:val="21"/>
        </w:rPr>
      </w:pPr>
      <w:r>
        <w:rPr>
          <w:rFonts w:eastAsia="黑体"/>
          <w:kern w:val="0"/>
          <w:szCs w:val="21"/>
        </w:rPr>
        <w:t>煤制品加工的加工转换投入</w:t>
      </w:r>
      <w:r>
        <w:rPr>
          <w:kern w:val="0"/>
          <w:szCs w:val="21"/>
        </w:rPr>
        <w:t xml:space="preserve">  指煤制品生产企业，在不改变煤炭基本属性的情况下，为生产型煤（煤球、煤饼、蜂窝煤）、煤粉、水煤浆等煤制品而使用的原煤或其他煤炭产品的数量。</w:t>
      </w:r>
    </w:p>
    <w:p w14:paraId="612BAA97">
      <w:pPr>
        <w:spacing w:line="360" w:lineRule="exact"/>
        <w:ind w:right="0" w:firstLine="420" w:firstLineChars="200"/>
        <w:textAlignment w:val="center"/>
        <w:rPr>
          <w:szCs w:val="21"/>
        </w:rPr>
      </w:pPr>
      <w:r>
        <w:rPr>
          <w:rFonts w:eastAsia="黑体"/>
          <w:bCs/>
          <w:szCs w:val="21"/>
        </w:rPr>
        <w:t xml:space="preserve">能源加工转换产出量  </w:t>
      </w:r>
      <w:r>
        <w:rPr>
          <w:szCs w:val="21"/>
        </w:rPr>
        <w:t>指一次能源经过加工转换产出的二次能源产品（包括不作能源使用的其他副产品和联产品）的数量，比如火力发电产出的电力，热电联产同时产出的电力、蒸汽、热水，原煤</w:t>
      </w:r>
      <w:r>
        <w:rPr>
          <w:rFonts w:hint="eastAsia"/>
          <w:szCs w:val="21"/>
        </w:rPr>
        <w:t>入洗</w:t>
      </w:r>
      <w:r>
        <w:rPr>
          <w:szCs w:val="21"/>
        </w:rPr>
        <w:t>产出的洗精煤、洗中煤、洗煤泥等，炼焦产出的焦炭、焦炉煤气和其他焦化产品（煤焦油、粗苯等），炼油和煤制油产出的汽油、煤油、柴油、燃料油、液化石油气、炼厂干气、石脑油、润滑油、石蜡、溶剂油、石油焦、石油沥青等，制气产出的发生炉煤气、其他焦化产品（煤焦油、粗苯等）</w:t>
      </w:r>
      <w:r>
        <w:rPr>
          <w:rFonts w:hint="eastAsia"/>
          <w:szCs w:val="21"/>
        </w:rPr>
        <w:t>、天然气和氢气</w:t>
      </w:r>
      <w:r>
        <w:rPr>
          <w:szCs w:val="21"/>
        </w:rPr>
        <w:t>等。</w:t>
      </w:r>
    </w:p>
    <w:p w14:paraId="774A0BE0">
      <w:pPr>
        <w:spacing w:line="360" w:lineRule="exact"/>
        <w:ind w:right="0" w:firstLine="420" w:firstLineChars="200"/>
        <w:textAlignment w:val="center"/>
      </w:pPr>
      <w:r>
        <w:rPr>
          <w:rFonts w:eastAsia="黑体"/>
          <w:bCs/>
        </w:rPr>
        <w:t>能源加工转换损失量</w:t>
      </w:r>
      <w:r>
        <w:rPr>
          <w:rFonts w:eastAsia="黑体"/>
          <w:b/>
          <w:bCs/>
        </w:rPr>
        <w:t xml:space="preserve">  </w:t>
      </w:r>
      <w:r>
        <w:t>指能源在加工、转换过程中的各种损失量，计算</w:t>
      </w:r>
      <w:r>
        <w:rPr>
          <w:rFonts w:hint="eastAsia"/>
        </w:rPr>
        <w:t>公</w:t>
      </w:r>
      <w:r>
        <w:t>式如下：</w:t>
      </w:r>
    </w:p>
    <w:p w14:paraId="5C5DC49A">
      <w:pPr>
        <w:spacing w:line="360" w:lineRule="exact"/>
        <w:ind w:right="0" w:firstLine="420" w:firstLineChars="200"/>
        <w:textAlignment w:val="center"/>
      </w:pPr>
      <w:r>
        <w:t>能源加工转换损失量</w:t>
      </w:r>
      <w:r>
        <w:rPr>
          <w:rFonts w:hint="eastAsia"/>
          <w:szCs w:val="21"/>
        </w:rPr>
        <w:t>＝</w:t>
      </w:r>
      <w:r>
        <w:t>能源加工、转换过程中投入的能源数量</w:t>
      </w:r>
      <w:r>
        <w:rPr>
          <w:rFonts w:hint="eastAsia"/>
        </w:rPr>
        <w:t>－</w:t>
      </w:r>
      <w:r>
        <w:t>产出的能源数量</w:t>
      </w:r>
    </w:p>
    <w:p w14:paraId="0E2176BC">
      <w:pPr>
        <w:spacing w:line="360" w:lineRule="exact"/>
        <w:ind w:right="0" w:firstLine="420" w:firstLineChars="200"/>
        <w:textAlignment w:val="center"/>
        <w:rPr>
          <w:rFonts w:eastAsia="黑体"/>
          <w:b/>
          <w:bCs/>
        </w:rPr>
      </w:pPr>
      <w:r>
        <w:t>在计算能源加工、转换损失量时，需要将加工、转换的投入量和产出量分别折算为标准燃料，如标准煤。</w:t>
      </w:r>
    </w:p>
    <w:p w14:paraId="730FF625">
      <w:pPr>
        <w:pStyle w:val="10"/>
        <w:adjustRightInd w:val="0"/>
        <w:spacing w:line="360" w:lineRule="exact"/>
        <w:ind w:firstLine="420" w:firstLineChars="200"/>
        <w:textAlignment w:val="center"/>
        <w:rPr>
          <w:rFonts w:ascii="Times New Roman" w:hAnsi="Times New Roman" w:cs="Times New Roman"/>
        </w:rPr>
      </w:pPr>
      <w:r>
        <w:rPr>
          <w:rFonts w:ascii="Times New Roman" w:hAnsi="Times New Roman" w:eastAsia="黑体" w:cs="Times New Roman"/>
          <w:bCs/>
        </w:rPr>
        <w:t xml:space="preserve">工业企业回收能利用  </w:t>
      </w:r>
      <w:r>
        <w:rPr>
          <w:rFonts w:ascii="Times New Roman" w:hAnsi="Times New Roman" w:cs="Times New Roman"/>
        </w:rPr>
        <w:t>指企业将废气、废液、废渣及其余热，产品和工艺生产介质余热，工艺温差、压差，以及其他非直接投入的能量形态和能量物质，作为能源进行使用的数量。目前工业企业回收的能量，绝大部分来自企业曾经投入使用的能源物质，很小部分来自其他物质在生产工艺过程中释放的能量（比如非能源物质的化学反应热）。所以，目前企业回收能利用量，只在报表中的</w:t>
      </w:r>
      <w:r>
        <w:rPr>
          <w:rFonts w:hint="eastAsia" w:ascii="Times New Roman" w:hAnsi="Times New Roman" w:cs="Times New Roman"/>
          <w:lang w:eastAsia="zh-CN"/>
        </w:rPr>
        <w:t>氢气、</w:t>
      </w:r>
      <w:r>
        <w:rPr>
          <w:rFonts w:ascii="Times New Roman" w:hAnsi="Times New Roman" w:cs="Times New Roman"/>
        </w:rPr>
        <w:t>高炉煤气、转炉煤气和余热余压目录中填报</w:t>
      </w:r>
      <w:r>
        <w:rPr>
          <w:rFonts w:hint="eastAsia" w:ascii="Times New Roman" w:hAnsi="Times New Roman" w:cs="Times New Roman"/>
          <w:lang w:eastAsia="zh-CN"/>
        </w:rPr>
        <w:t>，</w:t>
      </w:r>
      <w:r>
        <w:rPr>
          <w:rFonts w:ascii="Times New Roman" w:hAnsi="Times New Roman" w:cs="Times New Roman"/>
        </w:rPr>
        <w:t>其他目录</w:t>
      </w:r>
      <w:r>
        <w:rPr>
          <w:rFonts w:hint="eastAsia" w:ascii="Times New Roman" w:hAnsi="Times New Roman" w:cs="Times New Roman"/>
          <w:lang w:eastAsia="zh-CN"/>
        </w:rPr>
        <w:t>原则上</w:t>
      </w:r>
      <w:r>
        <w:rPr>
          <w:rFonts w:ascii="Times New Roman" w:hAnsi="Times New Roman" w:cs="Times New Roman"/>
        </w:rPr>
        <w:t>不得填报；企业的综合能源消费量</w:t>
      </w:r>
      <w:r>
        <w:rPr>
          <w:rFonts w:hint="eastAsia" w:ascii="Times New Roman" w:hAnsi="Times New Roman" w:cs="Times New Roman"/>
          <w:lang w:eastAsia="zh-CN"/>
        </w:rPr>
        <w:t>原则上</w:t>
      </w:r>
      <w:r>
        <w:rPr>
          <w:rFonts w:ascii="Times New Roman" w:hAnsi="Times New Roman" w:cs="Times New Roman"/>
        </w:rPr>
        <w:t>不得出现负值。</w:t>
      </w:r>
    </w:p>
    <w:p w14:paraId="3E7702F2">
      <w:pPr>
        <w:snapToGrid w:val="0"/>
        <w:spacing w:before="480" w:beforeLines="200" w:after="240" w:afterLines="100"/>
        <w:jc w:val="center"/>
        <w:outlineLvl w:val="1"/>
        <w:rPr>
          <w:rFonts w:eastAsia="黑体"/>
          <w:sz w:val="28"/>
          <w:szCs w:val="28"/>
        </w:rPr>
      </w:pPr>
      <w:r>
        <w:rPr>
          <w:rFonts w:eastAsia="黑体"/>
          <w:sz w:val="28"/>
          <w:szCs w:val="28"/>
        </w:rPr>
        <w:t>（</w:t>
      </w:r>
      <w:r>
        <w:rPr>
          <w:rFonts w:hint="eastAsia" w:eastAsia="黑体"/>
          <w:sz w:val="28"/>
          <w:szCs w:val="28"/>
          <w:lang w:val="en-US" w:eastAsia="zh-CN"/>
        </w:rPr>
        <w:t>三</w:t>
      </w:r>
      <w:r>
        <w:rPr>
          <w:rFonts w:eastAsia="黑体"/>
          <w:sz w:val="28"/>
          <w:szCs w:val="28"/>
        </w:rPr>
        <w:t>）工业企业用水情况（205-4表）</w:t>
      </w:r>
    </w:p>
    <w:p w14:paraId="5AAAB107">
      <w:pPr>
        <w:spacing w:line="360" w:lineRule="exact"/>
        <w:ind w:firstLine="420" w:firstLineChars="200"/>
        <w:textAlignment w:val="center"/>
        <w:rPr>
          <w:szCs w:val="21"/>
        </w:rPr>
      </w:pPr>
      <w:r>
        <w:rPr>
          <w:rFonts w:eastAsia="黑体"/>
          <w:szCs w:val="21"/>
        </w:rPr>
        <w:t>取水量</w:t>
      </w:r>
      <w:r>
        <w:rPr>
          <w:rFonts w:eastAsia="仿宋_GB2312"/>
          <w:szCs w:val="21"/>
        </w:rPr>
        <w:t xml:space="preserve">  </w:t>
      </w:r>
      <w:r>
        <w:rPr>
          <w:szCs w:val="21"/>
        </w:rPr>
        <w:t>指企业从各种水源直接提取或者从市场购买的用于厂区、办公区内工业生产活动的水量，以实际获得的新水量为准。</w:t>
      </w:r>
    </w:p>
    <w:p w14:paraId="19C2ADF9">
      <w:pPr>
        <w:spacing w:line="360" w:lineRule="exact"/>
        <w:ind w:firstLine="420" w:firstLineChars="200"/>
        <w:textAlignment w:val="center"/>
        <w:rPr>
          <w:szCs w:val="21"/>
        </w:rPr>
      </w:pPr>
      <w:r>
        <w:rPr>
          <w:szCs w:val="21"/>
        </w:rPr>
        <w:t>用于工业生产活动的水量，包括主要生产用水、辅助生产用水（如机修、运输、空压站等）和附属生产用水（如绿化、办公室、浴室、食堂、厕所、保健站等），不包括非工业生产单位的用水量（如基建用水、厂内居民家庭用水和企业附属幼儿园、学校、对外营业的浴室、游泳池等的用水量）和居民生活用水量。</w:t>
      </w:r>
    </w:p>
    <w:p w14:paraId="3A970986">
      <w:pPr>
        <w:spacing w:line="360" w:lineRule="exact"/>
        <w:ind w:firstLine="420" w:firstLineChars="200"/>
        <w:textAlignment w:val="center"/>
        <w:rPr>
          <w:szCs w:val="21"/>
        </w:rPr>
      </w:pPr>
      <w:r>
        <w:rPr>
          <w:szCs w:val="21"/>
        </w:rPr>
        <w:t>取水量包括企业取自地表、地下、城镇供水工程的水，外购的再生水</w:t>
      </w:r>
      <w:r>
        <w:rPr>
          <w:rFonts w:hint="eastAsia"/>
          <w:szCs w:val="21"/>
        </w:rPr>
        <w:t>（</w:t>
      </w:r>
      <w:r>
        <w:rPr>
          <w:szCs w:val="21"/>
        </w:rPr>
        <w:t>中水</w:t>
      </w:r>
      <w:r>
        <w:rPr>
          <w:rFonts w:hint="eastAsia"/>
          <w:szCs w:val="21"/>
        </w:rPr>
        <w:t>）</w:t>
      </w:r>
      <w:r>
        <w:rPr>
          <w:szCs w:val="21"/>
        </w:rPr>
        <w:t>、其他水或水的产品，以及企业为生产外供水或水产品而取用的水。不包括重复用水量、直流冷却水量、未利用直接排放的矿井水和雨水量、</w:t>
      </w:r>
      <w:r>
        <w:rPr>
          <w:rFonts w:hint="eastAsia"/>
          <w:szCs w:val="21"/>
        </w:rPr>
        <w:t>有</w:t>
      </w:r>
      <w:r>
        <w:rPr>
          <w:szCs w:val="21"/>
        </w:rPr>
        <w:t>污水处理</w:t>
      </w:r>
      <w:r>
        <w:rPr>
          <w:rFonts w:hint="eastAsia"/>
          <w:szCs w:val="21"/>
        </w:rPr>
        <w:t>设备的</w:t>
      </w:r>
      <w:r>
        <w:rPr>
          <w:szCs w:val="21"/>
        </w:rPr>
        <w:t>企业处理的污（废）水量、水力发电动力用水量。</w:t>
      </w:r>
      <w:r>
        <w:rPr>
          <w:rFonts w:hint="eastAsia"/>
          <w:szCs w:val="21"/>
        </w:rPr>
        <w:t>不包括为转供给其他企业、居民等而取的自来水。</w:t>
      </w:r>
    </w:p>
    <w:p w14:paraId="44A00A7B">
      <w:pPr>
        <w:spacing w:line="360" w:lineRule="exact"/>
        <w:ind w:firstLine="420" w:firstLineChars="200"/>
        <w:textAlignment w:val="center"/>
        <w:rPr>
          <w:szCs w:val="21"/>
        </w:rPr>
      </w:pPr>
      <w:r>
        <w:rPr>
          <w:rFonts w:eastAsia="黑体"/>
          <w:szCs w:val="21"/>
        </w:rPr>
        <w:t>外供水量</w:t>
      </w:r>
      <w:r>
        <w:rPr>
          <w:rFonts w:eastAsia="仿宋_GB2312"/>
          <w:szCs w:val="21"/>
        </w:rPr>
        <w:t xml:space="preserve"> </w:t>
      </w:r>
      <w:r>
        <w:rPr>
          <w:szCs w:val="21"/>
        </w:rPr>
        <w:t xml:space="preserve"> 指企业外供给其他单位的水或水产品的量，以离厂水量为准。包括外供给其他企业或市场的原水、自来水、海水淡化水、矿泉水、纯净水等。不包括直流冷却水量、再生水（中水）、未利用直接排放的矿井水和雨水量、北方地区供暖企业供给城镇热力网内循环的热水量、进入城镇污水管网和直接排到自然环境中的水量。</w:t>
      </w:r>
      <w:r>
        <w:rPr>
          <w:rFonts w:hint="eastAsia"/>
          <w:szCs w:val="21"/>
        </w:rPr>
        <w:t>不包括取来直接转供给其他企业、居民等的自来水。</w:t>
      </w:r>
    </w:p>
    <w:p w14:paraId="50106F8D">
      <w:pPr>
        <w:spacing w:line="360" w:lineRule="exact"/>
        <w:ind w:firstLine="420" w:firstLineChars="200"/>
        <w:textAlignment w:val="center"/>
        <w:rPr>
          <w:szCs w:val="21"/>
        </w:rPr>
      </w:pPr>
      <w:r>
        <w:rPr>
          <w:rFonts w:eastAsia="黑体"/>
          <w:szCs w:val="21"/>
        </w:rPr>
        <w:t>地表淡水</w:t>
      </w:r>
      <w:r>
        <w:rPr>
          <w:rFonts w:eastAsia="仿宋_GB2312"/>
          <w:szCs w:val="21"/>
        </w:rPr>
        <w:t xml:space="preserve"> </w:t>
      </w:r>
      <w:r>
        <w:rPr>
          <w:szCs w:val="21"/>
        </w:rPr>
        <w:t xml:space="preserve"> 指陆地表面形成的径流及地表贮存的淡水。包括江、河、淡水湖、水库等。</w:t>
      </w:r>
    </w:p>
    <w:p w14:paraId="6937E269">
      <w:pPr>
        <w:spacing w:line="360" w:lineRule="exact"/>
        <w:ind w:firstLine="420" w:firstLineChars="200"/>
        <w:textAlignment w:val="center"/>
        <w:rPr>
          <w:rFonts w:eastAsia="仿宋_GB2312"/>
          <w:szCs w:val="21"/>
        </w:rPr>
      </w:pPr>
      <w:r>
        <w:rPr>
          <w:rFonts w:eastAsia="黑体"/>
          <w:szCs w:val="21"/>
        </w:rPr>
        <w:t>地下淡水</w:t>
      </w:r>
      <w:r>
        <w:rPr>
          <w:rFonts w:eastAsia="仿宋_GB2312"/>
          <w:szCs w:val="21"/>
        </w:rPr>
        <w:t xml:space="preserve">  </w:t>
      </w:r>
      <w:r>
        <w:rPr>
          <w:szCs w:val="21"/>
        </w:rPr>
        <w:t>指地下径流或埋藏于地下的，经过提取可被利用的淡水。包括井水、地热水等。</w:t>
      </w:r>
    </w:p>
    <w:p w14:paraId="13C49E8F">
      <w:pPr>
        <w:spacing w:line="360" w:lineRule="exact"/>
        <w:ind w:firstLine="420" w:firstLineChars="200"/>
        <w:textAlignment w:val="center"/>
        <w:rPr>
          <w:szCs w:val="21"/>
        </w:rPr>
      </w:pPr>
      <w:r>
        <w:rPr>
          <w:rFonts w:eastAsia="黑体"/>
          <w:szCs w:val="21"/>
        </w:rPr>
        <w:t>自来水</w:t>
      </w:r>
      <w:r>
        <w:rPr>
          <w:rFonts w:eastAsia="仿宋_GB2312"/>
          <w:szCs w:val="21"/>
        </w:rPr>
        <w:t xml:space="preserve">  </w:t>
      </w:r>
      <w:r>
        <w:rPr>
          <w:szCs w:val="21"/>
        </w:rPr>
        <w:t>指自来水厂将地表淡水、地下淡水经过</w:t>
      </w:r>
      <w:r>
        <w:rPr>
          <w:rFonts w:hint="eastAsia"/>
          <w:szCs w:val="21"/>
          <w:lang w:eastAsia="zh-CN"/>
        </w:rPr>
        <w:t>“</w:t>
      </w:r>
      <w:r>
        <w:rPr>
          <w:szCs w:val="21"/>
        </w:rPr>
        <w:t>混凝、沉淀、过滤、消毒</w:t>
      </w:r>
      <w:r>
        <w:rPr>
          <w:rFonts w:hint="eastAsia"/>
          <w:szCs w:val="21"/>
          <w:lang w:eastAsia="zh-CN"/>
        </w:rPr>
        <w:t>”</w:t>
      </w:r>
      <w:r>
        <w:rPr>
          <w:szCs w:val="21"/>
        </w:rPr>
        <w:t>等净水工序，达到国家饮用水标准，通过城镇自来水管网供给工业生产、居民生活使用的水。</w:t>
      </w:r>
    </w:p>
    <w:p w14:paraId="2DDF008E">
      <w:pPr>
        <w:spacing w:line="360" w:lineRule="exact"/>
        <w:ind w:firstLine="420" w:firstLineChars="200"/>
        <w:textAlignment w:val="center"/>
        <w:rPr>
          <w:szCs w:val="21"/>
        </w:rPr>
      </w:pPr>
      <w:r>
        <w:rPr>
          <w:rFonts w:eastAsia="黑体"/>
          <w:szCs w:val="21"/>
        </w:rPr>
        <w:t>海水</w:t>
      </w:r>
      <w:r>
        <w:rPr>
          <w:rFonts w:eastAsia="仿宋_GB2312"/>
          <w:szCs w:val="21"/>
        </w:rPr>
        <w:t xml:space="preserve">  </w:t>
      </w:r>
      <w:r>
        <w:rPr>
          <w:szCs w:val="21"/>
        </w:rPr>
        <w:t>指海洋的水。海水的取水量包括企业用来淡化、制盐、化工生产等海水资源利用所提取的海水量，以及用于海水循环冷却补充水、脱硫、洗涤、除尘、冲渣、印染等的海水直接利用量，不包括海水直流冷却水量。</w:t>
      </w:r>
    </w:p>
    <w:p w14:paraId="03D123F0">
      <w:pPr>
        <w:spacing w:line="360" w:lineRule="exact"/>
        <w:ind w:firstLine="420" w:firstLineChars="200"/>
        <w:textAlignment w:val="center"/>
        <w:rPr>
          <w:szCs w:val="21"/>
        </w:rPr>
      </w:pPr>
      <w:r>
        <w:rPr>
          <w:rFonts w:eastAsia="黑体"/>
          <w:szCs w:val="21"/>
        </w:rPr>
        <w:t>陆地苦咸水</w:t>
      </w:r>
      <w:r>
        <w:rPr>
          <w:rFonts w:eastAsia="仿宋_GB2312"/>
          <w:szCs w:val="21"/>
        </w:rPr>
        <w:t xml:space="preserve"> </w:t>
      </w:r>
      <w:r>
        <w:rPr>
          <w:szCs w:val="21"/>
        </w:rPr>
        <w:t xml:space="preserve"> 指存在于陆地地表或地下，含盐量大于1克/升的水。包括微咸水、咸水湖和地下的咸水。不包括海水。</w:t>
      </w:r>
    </w:p>
    <w:p w14:paraId="2C15290F">
      <w:pPr>
        <w:spacing w:line="360" w:lineRule="exact"/>
        <w:ind w:firstLine="420" w:firstLineChars="200"/>
        <w:textAlignment w:val="center"/>
        <w:rPr>
          <w:szCs w:val="21"/>
        </w:rPr>
      </w:pPr>
      <w:r>
        <w:rPr>
          <w:rFonts w:eastAsia="黑体"/>
          <w:szCs w:val="21"/>
        </w:rPr>
        <w:t>矿井水</w:t>
      </w:r>
      <w:r>
        <w:rPr>
          <w:rFonts w:eastAsia="仿宋_GB2312"/>
          <w:szCs w:val="21"/>
        </w:rPr>
        <w:t xml:space="preserve">  </w:t>
      </w:r>
      <w:r>
        <w:rPr>
          <w:szCs w:val="21"/>
        </w:rPr>
        <w:t>指在采矿过程中，由于矿床开采破坏了地下水原始赋存状态而产生导水裂隙，使周围水沿着原有的和新的裂隙渗入井下采掘空间进而形成的矿井涌水。收集、处理并已利用的矿井水填报取水量，未利用直接排放的矿井水不填报取水量、外供水量、外排水量。</w:t>
      </w:r>
    </w:p>
    <w:p w14:paraId="19C8B82C">
      <w:pPr>
        <w:spacing w:line="360" w:lineRule="exact"/>
        <w:ind w:firstLine="420" w:firstLineChars="200"/>
        <w:textAlignment w:val="center"/>
        <w:rPr>
          <w:szCs w:val="21"/>
        </w:rPr>
      </w:pPr>
      <w:r>
        <w:rPr>
          <w:rFonts w:eastAsia="黑体"/>
          <w:szCs w:val="21"/>
        </w:rPr>
        <w:t>雨水</w:t>
      </w:r>
      <w:r>
        <w:rPr>
          <w:rFonts w:eastAsia="仿宋_GB2312"/>
          <w:szCs w:val="21"/>
        </w:rPr>
        <w:t xml:space="preserve">  </w:t>
      </w:r>
      <w:r>
        <w:rPr>
          <w:szCs w:val="21"/>
        </w:rPr>
        <w:t>指通过集雨工程积蓄处理后被工业利用的雨水。雨水的取水量不包括天降雨、雪后流到江河、湖泊、水库中的水，以及未经利用通过厂区内排水管道直接排放的雨水。</w:t>
      </w:r>
    </w:p>
    <w:p w14:paraId="64F73148">
      <w:pPr>
        <w:spacing w:line="360" w:lineRule="exact"/>
        <w:ind w:firstLine="420" w:firstLineChars="200"/>
        <w:textAlignment w:val="center"/>
        <w:rPr>
          <w:szCs w:val="21"/>
        </w:rPr>
      </w:pPr>
      <w:r>
        <w:rPr>
          <w:rFonts w:eastAsia="黑体"/>
          <w:szCs w:val="21"/>
        </w:rPr>
        <w:t>再生水（中水）</w:t>
      </w:r>
      <w:r>
        <w:rPr>
          <w:rFonts w:eastAsia="仿宋_GB2312"/>
          <w:szCs w:val="21"/>
        </w:rPr>
        <w:t xml:space="preserve"> </w:t>
      </w:r>
      <w:r>
        <w:rPr>
          <w:szCs w:val="21"/>
        </w:rPr>
        <w:t xml:space="preserve"> 指以污（废）水为水源，经再生工艺净化处理后水质达到再利用标准的水。再生水（中水）不填报外供量。有再生水（中水）取水的单位填报再生水（中水）的取水量。</w:t>
      </w:r>
    </w:p>
    <w:p w14:paraId="72DE3883">
      <w:pPr>
        <w:spacing w:line="360" w:lineRule="exact"/>
        <w:ind w:firstLine="420" w:firstLineChars="200"/>
        <w:textAlignment w:val="center"/>
        <w:rPr>
          <w:rFonts w:eastAsia="仿宋_GB2312"/>
          <w:szCs w:val="21"/>
        </w:rPr>
      </w:pPr>
      <w:r>
        <w:rPr>
          <w:rFonts w:eastAsia="黑体"/>
          <w:szCs w:val="21"/>
        </w:rPr>
        <w:t>海水淡化水</w:t>
      </w:r>
      <w:r>
        <w:rPr>
          <w:szCs w:val="21"/>
        </w:rPr>
        <w:t xml:space="preserve">  指经过特定生产工艺去除海水中的盐分后得到的淡化水。</w:t>
      </w:r>
    </w:p>
    <w:p w14:paraId="77CD630D">
      <w:pPr>
        <w:spacing w:line="360" w:lineRule="exact"/>
        <w:ind w:firstLine="420" w:firstLineChars="200"/>
        <w:textAlignment w:val="center"/>
        <w:rPr>
          <w:szCs w:val="21"/>
        </w:rPr>
      </w:pPr>
      <w:r>
        <w:rPr>
          <w:rFonts w:eastAsia="黑体"/>
          <w:szCs w:val="21"/>
        </w:rPr>
        <w:t>其他水</w:t>
      </w:r>
      <w:r>
        <w:rPr>
          <w:rFonts w:eastAsia="仿宋_GB2312"/>
          <w:szCs w:val="21"/>
        </w:rPr>
        <w:t xml:space="preserve">  </w:t>
      </w:r>
      <w:r>
        <w:rPr>
          <w:szCs w:val="21"/>
        </w:rPr>
        <w:t>指上述水资源品种没有涵盖的，或者界定不清的水及水的产品。包括软化水、除盐水、蒸汽（需折算成同等质量的水）、蒸汽冷凝水、管道供应的热水（不含北方地区城镇热力网内循环的热水）、瓶（桶）装纯净水、矿泉水、经过初步处理未达到自来水标准的水。不包括地热水、碳酸饮料、茶饮料、果汁饮料、酒类、污（废）水。</w:t>
      </w:r>
    </w:p>
    <w:p w14:paraId="540D7D74">
      <w:pPr>
        <w:spacing w:line="360" w:lineRule="exact"/>
        <w:ind w:firstLine="420" w:firstLineChars="200"/>
        <w:textAlignment w:val="center"/>
        <w:rPr>
          <w:szCs w:val="21"/>
        </w:rPr>
      </w:pPr>
      <w:r>
        <w:rPr>
          <w:rFonts w:eastAsia="黑体"/>
          <w:szCs w:val="21"/>
        </w:rPr>
        <w:t>外排水量</w:t>
      </w:r>
      <w:r>
        <w:rPr>
          <w:rFonts w:eastAsia="仿宋_GB2312"/>
          <w:szCs w:val="21"/>
        </w:rPr>
        <w:t xml:space="preserve"> </w:t>
      </w:r>
      <w:r>
        <w:rPr>
          <w:szCs w:val="21"/>
        </w:rPr>
        <w:t xml:space="preserve"> 指完成生产过程和生产活动之后，经过企业厂区、办公区所有排水口排到企业外部的水量。包括进入城镇污水管网的污（废）水量、直接排到自然环境中的水量。不包括外供水量、直流冷却水量、未利用就直接排放的矿井水量。</w:t>
      </w:r>
    </w:p>
    <w:p w14:paraId="1866601F">
      <w:pPr>
        <w:spacing w:line="360" w:lineRule="exact"/>
        <w:ind w:firstLine="420" w:firstLineChars="200"/>
        <w:textAlignment w:val="center"/>
        <w:rPr>
          <w:szCs w:val="21"/>
        </w:rPr>
      </w:pPr>
      <w:r>
        <w:rPr>
          <w:szCs w:val="21"/>
        </w:rPr>
        <w:t>外排水量计算方法：</w:t>
      </w:r>
    </w:p>
    <w:p w14:paraId="0A9996E5">
      <w:pPr>
        <w:spacing w:line="360" w:lineRule="exact"/>
        <w:ind w:firstLine="420" w:firstLineChars="200"/>
        <w:textAlignment w:val="center"/>
        <w:rPr>
          <w:szCs w:val="21"/>
        </w:rPr>
      </w:pPr>
      <w:r>
        <w:rPr>
          <w:szCs w:val="21"/>
        </w:rPr>
        <w:t>1.实测法</w:t>
      </w:r>
    </w:p>
    <w:p w14:paraId="514803CA">
      <w:pPr>
        <w:spacing w:line="360" w:lineRule="exact"/>
        <w:ind w:firstLine="420" w:firstLineChars="200"/>
        <w:textAlignment w:val="center"/>
        <w:rPr>
          <w:szCs w:val="21"/>
        </w:rPr>
      </w:pPr>
      <w:r>
        <w:rPr>
          <w:szCs w:val="21"/>
        </w:rPr>
        <w:t>企业排水口有计量装置，按照计量装置的计量数据计算外排水量。</w:t>
      </w:r>
    </w:p>
    <w:p w14:paraId="0AE38142">
      <w:pPr>
        <w:spacing w:line="360" w:lineRule="exact"/>
        <w:ind w:firstLine="420" w:firstLineChars="200"/>
        <w:textAlignment w:val="center"/>
        <w:rPr>
          <w:szCs w:val="21"/>
        </w:rPr>
      </w:pPr>
      <w:r>
        <w:rPr>
          <w:szCs w:val="21"/>
        </w:rPr>
        <w:t>2.排放系数法</w:t>
      </w:r>
    </w:p>
    <w:p w14:paraId="0A12D499">
      <w:pPr>
        <w:spacing w:line="360" w:lineRule="exact"/>
        <w:ind w:firstLine="420" w:firstLineChars="200"/>
        <w:textAlignment w:val="center"/>
        <w:rPr>
          <w:szCs w:val="21"/>
        </w:rPr>
      </w:pPr>
      <w:r>
        <w:rPr>
          <w:szCs w:val="21"/>
        </w:rPr>
        <w:t>外排水量＝（取水量合计－外供水量合计）×排放系数。</w:t>
      </w:r>
    </w:p>
    <w:p w14:paraId="1E1D5C77">
      <w:pPr>
        <w:spacing w:line="360" w:lineRule="exact"/>
        <w:ind w:firstLine="420" w:firstLineChars="200"/>
        <w:textAlignment w:val="center"/>
        <w:rPr>
          <w:szCs w:val="21"/>
        </w:rPr>
      </w:pPr>
      <w:r>
        <w:rPr>
          <w:szCs w:val="21"/>
        </w:rPr>
        <w:t>不同类型的工业企业排放系数数值有所不同，一般在0.6至0.9范围内取值。</w:t>
      </w:r>
    </w:p>
    <w:p w14:paraId="010FBC16">
      <w:pPr>
        <w:spacing w:line="360" w:lineRule="exact"/>
        <w:ind w:firstLine="420" w:firstLineChars="200"/>
        <w:textAlignment w:val="center"/>
        <w:rPr>
          <w:szCs w:val="21"/>
        </w:rPr>
      </w:pPr>
      <w:r>
        <w:rPr>
          <w:szCs w:val="21"/>
        </w:rPr>
        <w:t>3.物料衡算法</w:t>
      </w:r>
    </w:p>
    <w:p w14:paraId="63F91778">
      <w:pPr>
        <w:spacing w:line="360" w:lineRule="exact"/>
        <w:ind w:firstLine="420" w:firstLineChars="200"/>
        <w:textAlignment w:val="center"/>
        <w:rPr>
          <w:szCs w:val="21"/>
        </w:rPr>
      </w:pPr>
      <w:r>
        <w:rPr>
          <w:szCs w:val="21"/>
        </w:rPr>
        <w:t>外排水量＝（取水量合计－外供水量合计）－（产品带走水量＋漏失水量＋蒸发水量＋其他损失量）。</w:t>
      </w:r>
    </w:p>
    <w:p w14:paraId="3B9FD826">
      <w:pPr>
        <w:spacing w:line="360" w:lineRule="exact"/>
        <w:ind w:firstLine="420" w:firstLineChars="200"/>
        <w:textAlignment w:val="center"/>
        <w:rPr>
          <w:szCs w:val="21"/>
        </w:rPr>
      </w:pPr>
      <w:r>
        <w:rPr>
          <w:szCs w:val="21"/>
        </w:rPr>
        <w:t>企业排水口有计量装置，按照实测法计算外排水量。企业排水口无计量装置，按照排放系数法或者物料衡算法计算外排水量。</w:t>
      </w:r>
    </w:p>
    <w:p w14:paraId="03B8D310">
      <w:pPr>
        <w:spacing w:line="360" w:lineRule="exact"/>
        <w:ind w:firstLine="420" w:firstLineChars="200"/>
        <w:textAlignment w:val="center"/>
        <w:rPr>
          <w:szCs w:val="21"/>
        </w:rPr>
      </w:pPr>
      <w:r>
        <w:rPr>
          <w:rFonts w:eastAsia="黑体"/>
          <w:szCs w:val="21"/>
        </w:rPr>
        <w:t>重复用水量</w:t>
      </w:r>
      <w:r>
        <w:rPr>
          <w:rFonts w:eastAsia="仿宋_GB2312"/>
          <w:szCs w:val="21"/>
        </w:rPr>
        <w:t xml:space="preserve"> </w:t>
      </w:r>
      <w:r>
        <w:rPr>
          <w:szCs w:val="21"/>
        </w:rPr>
        <w:t xml:space="preserve"> 指在确定的用水单元或系统内，所有未经处理和处理后又重复使用的水量总和。</w:t>
      </w:r>
    </w:p>
    <w:p w14:paraId="73745C39">
      <w:pPr>
        <w:spacing w:line="360" w:lineRule="exact"/>
        <w:ind w:firstLine="420" w:firstLineChars="200"/>
        <w:textAlignment w:val="center"/>
        <w:rPr>
          <w:szCs w:val="21"/>
        </w:rPr>
      </w:pPr>
      <w:r>
        <w:rPr>
          <w:szCs w:val="21"/>
        </w:rPr>
        <w:t>满足下列任意一种情况，即可视为重复用水：</w:t>
      </w:r>
    </w:p>
    <w:p w14:paraId="3DAD4C87">
      <w:pPr>
        <w:spacing w:line="360" w:lineRule="exact"/>
        <w:ind w:firstLine="420" w:firstLineChars="200"/>
        <w:textAlignment w:val="center"/>
        <w:rPr>
          <w:szCs w:val="21"/>
        </w:rPr>
      </w:pPr>
      <w:r>
        <w:rPr>
          <w:szCs w:val="21"/>
        </w:rPr>
        <w:t>1.循环水：指在确定的用水单元或系统内，生产过程中已用过、再循环用于同一过程的水。例如火力发电企业的循环冷却水。循环水量循环使用一次计算一次，根据循环水泵的流量乘以工作时间计算。</w:t>
      </w:r>
    </w:p>
    <w:p w14:paraId="02874F00">
      <w:pPr>
        <w:spacing w:line="360" w:lineRule="exact"/>
        <w:ind w:firstLine="420" w:firstLineChars="200"/>
        <w:textAlignment w:val="center"/>
        <w:rPr>
          <w:szCs w:val="21"/>
        </w:rPr>
      </w:pPr>
      <w:r>
        <w:rPr>
          <w:szCs w:val="21"/>
        </w:rPr>
        <w:t>2.串联水：指在确定的用水单元或系统，由生产过程中产生的或使用后、再用于另一单元或系统的水。例如先用于冷却再用于洗涤的水；生产过程中产生的，用于烟气脱硫、冲渣（灰）的水。串联水量重复使用一次计算一次。</w:t>
      </w:r>
    </w:p>
    <w:p w14:paraId="11989DD8">
      <w:pPr>
        <w:spacing w:line="360" w:lineRule="exact"/>
        <w:ind w:firstLine="420" w:firstLineChars="200"/>
        <w:textAlignment w:val="center"/>
        <w:rPr>
          <w:szCs w:val="21"/>
        </w:rPr>
      </w:pPr>
      <w:r>
        <w:rPr>
          <w:szCs w:val="21"/>
        </w:rPr>
        <w:t>3.回用水：指企业产生的，没有排放而是直接或经处理后再利用于某一用水单元或系统的水。例如收集回用的蒸汽冷凝水，生产活动产生的、净化后回用的污（废）水，自来水厂冲洗沉淀池、滤池再处理后回用的水。回用水量回用一次计算一次。</w:t>
      </w:r>
    </w:p>
    <w:p w14:paraId="45693A3B">
      <w:pPr>
        <w:spacing w:line="360" w:lineRule="exact"/>
        <w:ind w:firstLine="420" w:firstLineChars="200"/>
        <w:textAlignment w:val="center"/>
        <w:rPr>
          <w:szCs w:val="21"/>
        </w:rPr>
      </w:pPr>
      <w:r>
        <w:rPr>
          <w:szCs w:val="21"/>
        </w:rPr>
        <w:t>重复用水量不包括北方地区城镇热力网内循环的热水、火力发电设备内进行汽水循环的除盐水。</w:t>
      </w:r>
    </w:p>
    <w:p w14:paraId="2162EC25">
      <w:pPr>
        <w:spacing w:line="360" w:lineRule="exact"/>
        <w:ind w:firstLine="420" w:firstLineChars="200"/>
        <w:textAlignment w:val="center"/>
        <w:rPr>
          <w:szCs w:val="21"/>
        </w:rPr>
      </w:pPr>
      <w:r>
        <w:rPr>
          <w:rFonts w:eastAsia="黑体"/>
          <w:szCs w:val="21"/>
        </w:rPr>
        <w:t>直流冷却水量</w:t>
      </w:r>
      <w:r>
        <w:rPr>
          <w:rFonts w:eastAsia="仿宋_GB2312"/>
          <w:szCs w:val="21"/>
        </w:rPr>
        <w:t xml:space="preserve">  </w:t>
      </w:r>
      <w:r>
        <w:rPr>
          <w:szCs w:val="21"/>
        </w:rPr>
        <w:t>指企业取自河流、水库、湖泊、海洋，经一次使用后，直接排放回河流、水库、湖泊、海洋的冷却水量，多见于火（核）电企业。直流冷却水不填报取水量、外供水量、外排水量。企业从直流冷却水系统中取水用</w:t>
      </w:r>
      <w:r>
        <w:rPr>
          <w:rFonts w:hint="eastAsia"/>
          <w:szCs w:val="21"/>
          <w:lang w:eastAsia="zh-CN"/>
        </w:rPr>
        <w:t>作</w:t>
      </w:r>
      <w:r>
        <w:rPr>
          <w:szCs w:val="21"/>
        </w:rPr>
        <w:t>其他用途，则该部分应计入取水量。</w:t>
      </w:r>
    </w:p>
    <w:p w14:paraId="24B8CC22">
      <w:pPr>
        <w:spacing w:line="360" w:lineRule="exact"/>
        <w:ind w:firstLine="420" w:firstLineChars="200"/>
        <w:textAlignment w:val="center"/>
        <w:rPr>
          <w:szCs w:val="21"/>
        </w:rPr>
      </w:pPr>
      <w:r>
        <w:rPr>
          <w:szCs w:val="21"/>
        </w:rPr>
        <w:t>利用河、湖、水库等的淡水进行直流冷却填报直流冷却水量（河湖水），利用海水进行直流冷却填报直流冷却水量（海水）。</w:t>
      </w:r>
    </w:p>
    <w:p w14:paraId="6FC8B141">
      <w:pPr>
        <w:spacing w:line="360" w:lineRule="exact"/>
        <w:ind w:firstLine="420" w:firstLineChars="200"/>
        <w:textAlignment w:val="center"/>
        <w:rPr>
          <w:rFonts w:eastAsia="黑体"/>
          <w:b/>
          <w:bCs/>
        </w:rPr>
      </w:pPr>
      <w:r>
        <w:rPr>
          <w:rFonts w:eastAsia="黑体"/>
          <w:szCs w:val="21"/>
        </w:rPr>
        <w:t>污水处理量</w:t>
      </w:r>
      <w:r>
        <w:rPr>
          <w:rFonts w:eastAsia="仿宋_GB2312"/>
          <w:szCs w:val="21"/>
        </w:rPr>
        <w:t xml:space="preserve"> </w:t>
      </w:r>
      <w:r>
        <w:rPr>
          <w:szCs w:val="21"/>
        </w:rPr>
        <w:t xml:space="preserve"> </w:t>
      </w:r>
      <w:ins w:id="518" w:author="kylin" w:date="2025-10-22T08:54:50Z">
        <w:r>
          <w:rPr>
            <w:rFonts w:hint="eastAsia"/>
            <w:szCs w:val="21"/>
          </w:rPr>
          <w:t>指污水处理厂（或污水处理装置）实际处理的污水量。包括物理处理量、生物处理量和化学处理量。统计污水处理量时，应包括取自企业外部和本企业产生的污（废）水</w:t>
        </w:r>
      </w:ins>
      <w:del w:id="519" w:author="kylin" w:date="2025-10-22T08:54:50Z">
        <w:r>
          <w:rPr>
            <w:rFonts w:hint="eastAsia"/>
            <w:szCs w:val="21"/>
          </w:rPr>
          <w:delText>指有污水处理设备的企业实际处理的污（废）水量，包括取自企业外部和本企业产生的污（废）水</w:delText>
        </w:r>
      </w:del>
      <w:r>
        <w:rPr>
          <w:rFonts w:hint="eastAsia"/>
          <w:szCs w:val="21"/>
        </w:rPr>
        <w:t>。</w:t>
      </w:r>
    </w:p>
    <w:p w14:paraId="2029A78C">
      <w:pPr>
        <w:snapToGrid w:val="0"/>
        <w:spacing w:before="480" w:beforeLines="200" w:after="240" w:afterLines="100"/>
        <w:jc w:val="center"/>
        <w:outlineLvl w:val="1"/>
        <w:rPr>
          <w:rFonts w:eastAsia="黑体"/>
          <w:sz w:val="28"/>
          <w:szCs w:val="28"/>
        </w:rPr>
      </w:pPr>
      <w:r>
        <w:rPr>
          <w:rFonts w:eastAsia="黑体"/>
          <w:sz w:val="28"/>
          <w:szCs w:val="28"/>
        </w:rPr>
        <w:t>（</w:t>
      </w:r>
      <w:r>
        <w:rPr>
          <w:rFonts w:hint="eastAsia" w:eastAsia="黑体"/>
          <w:sz w:val="28"/>
          <w:szCs w:val="28"/>
          <w:lang w:val="en-US" w:eastAsia="zh-CN"/>
        </w:rPr>
        <w:t>四</w:t>
      </w:r>
      <w:r>
        <w:rPr>
          <w:rFonts w:eastAsia="黑体"/>
          <w:sz w:val="28"/>
          <w:szCs w:val="28"/>
        </w:rPr>
        <w:t>）非工业重点耗能单位能源消费情况（205-5表）</w:t>
      </w:r>
    </w:p>
    <w:p w14:paraId="054C7F10">
      <w:pPr>
        <w:spacing w:line="360" w:lineRule="exact"/>
        <w:ind w:right="0" w:firstLine="420" w:firstLineChars="200"/>
        <w:textAlignment w:val="center"/>
        <w:rPr>
          <w:szCs w:val="21"/>
        </w:rPr>
      </w:pPr>
      <w:r>
        <w:rPr>
          <w:rFonts w:eastAsia="黑体"/>
          <w:bCs/>
          <w:szCs w:val="21"/>
        </w:rPr>
        <w:t>非工业企业能源消费量</w:t>
      </w:r>
      <w:r>
        <w:rPr>
          <w:bCs/>
          <w:szCs w:val="21"/>
        </w:rPr>
        <w:t xml:space="preserve">  指不是工业企业的法人单位所消费的各种能源，</w:t>
      </w:r>
      <w:r>
        <w:rPr>
          <w:szCs w:val="21"/>
        </w:rPr>
        <w:t>具体指建筑业和</w:t>
      </w:r>
      <w:r>
        <w:rPr>
          <w:rFonts w:hint="eastAsia"/>
          <w:szCs w:val="21"/>
        </w:rPr>
        <w:t>服务业</w:t>
      </w:r>
      <w:r>
        <w:rPr>
          <w:szCs w:val="21"/>
        </w:rPr>
        <w:t>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14:paraId="1BF121D4">
      <w:pPr>
        <w:spacing w:line="360" w:lineRule="exact"/>
        <w:ind w:right="0" w:firstLine="420" w:firstLineChars="200"/>
        <w:textAlignment w:val="center"/>
        <w:rPr>
          <w:szCs w:val="21"/>
        </w:rPr>
      </w:pPr>
      <w:r>
        <w:rPr>
          <w:szCs w:val="21"/>
        </w:rPr>
        <w:t>非工业企业法人单位的能源消费合计＝∑（某能源品种的消费量×某能源品种的折标准煤系数）。</w:t>
      </w:r>
    </w:p>
    <w:p w14:paraId="249029E2">
      <w:pPr>
        <w:spacing w:line="360" w:lineRule="exact"/>
        <w:ind w:right="0" w:firstLine="420" w:firstLineChars="200"/>
        <w:textAlignment w:val="center"/>
        <w:rPr>
          <w:spacing w:val="2"/>
          <w:szCs w:val="21"/>
        </w:rPr>
      </w:pPr>
      <w:r>
        <w:rPr>
          <w:rFonts w:hint="eastAsia"/>
          <w:szCs w:val="21"/>
          <w:lang w:val="en-US" w:eastAsia="zh-CN"/>
        </w:rPr>
        <w:t>“</w:t>
      </w:r>
      <w:r>
        <w:rPr>
          <w:szCs w:val="21"/>
        </w:rPr>
        <w:t>非工业重点耗能单位能源消费情况</w:t>
      </w:r>
      <w:r>
        <w:rPr>
          <w:rFonts w:hint="eastAsia"/>
          <w:szCs w:val="21"/>
          <w:lang w:eastAsia="zh-CN"/>
        </w:rPr>
        <w:t>”</w:t>
      </w:r>
      <w:r>
        <w:rPr>
          <w:szCs w:val="21"/>
        </w:rPr>
        <w:t>（205-5表）的能源消费合计（吨标准煤）＝电力消费量（千瓦时）×0.1229/1000＋煤炭消费量（吨）×0.7143＋焦炭消费量（吨）×0.9714＋煤气消费量（立方米）×0.5714/1000＋天然气消费量（立方米）×1.33/1000＋</w:t>
      </w:r>
      <w:r>
        <w:rPr>
          <w:spacing w:val="2"/>
          <w:szCs w:val="21"/>
        </w:rPr>
        <w:t>液化石油气消费量（吨）×1.7143＋汽油消费量（吨）×1.4714＋煤油消费量（吨）×1.4714＋柴油消费量（吨）×1.4571＋燃料油消费量（吨）×1.4286＋外购热力消费量（百万千焦）×0.0341。计算时，各能源品种的计量单位必须与上述公式中的计量单位保持一致。部分能源品种换算关系如下：汽油1升</w:t>
      </w:r>
      <w:r>
        <w:rPr>
          <w:rFonts w:hint="default"/>
          <w:sz w:val="18"/>
          <w:lang w:val="en" w:eastAsia="zh-CN"/>
        </w:rPr>
        <w:t>≈</w:t>
      </w:r>
      <w:r>
        <w:rPr>
          <w:spacing w:val="2"/>
          <w:szCs w:val="21"/>
        </w:rPr>
        <w:t>0.73千克</w:t>
      </w:r>
      <w:r>
        <w:rPr>
          <w:rFonts w:hint="default"/>
          <w:sz w:val="18"/>
          <w:lang w:val="en" w:eastAsia="zh-CN"/>
        </w:rPr>
        <w:t>≈</w:t>
      </w:r>
      <w:r>
        <w:rPr>
          <w:spacing w:val="2"/>
          <w:szCs w:val="21"/>
        </w:rPr>
        <w:t>0.00073吨，轻柴油1升</w:t>
      </w:r>
      <w:r>
        <w:rPr>
          <w:rFonts w:hint="default"/>
          <w:sz w:val="18"/>
          <w:lang w:val="en" w:eastAsia="zh-CN"/>
        </w:rPr>
        <w:t>≈</w:t>
      </w:r>
      <w:r>
        <w:rPr>
          <w:spacing w:val="2"/>
          <w:szCs w:val="21"/>
        </w:rPr>
        <w:t>0.86千克</w:t>
      </w:r>
      <w:r>
        <w:rPr>
          <w:rFonts w:hint="default"/>
          <w:sz w:val="18"/>
          <w:lang w:val="en" w:eastAsia="zh-CN"/>
        </w:rPr>
        <w:t>≈</w:t>
      </w:r>
      <w:r>
        <w:rPr>
          <w:spacing w:val="2"/>
          <w:szCs w:val="21"/>
        </w:rPr>
        <w:t>0.00086吨，重柴油1升</w:t>
      </w:r>
      <w:r>
        <w:rPr>
          <w:rFonts w:hint="default"/>
          <w:sz w:val="18"/>
          <w:lang w:val="en" w:eastAsia="zh-CN"/>
        </w:rPr>
        <w:t>≈</w:t>
      </w:r>
      <w:r>
        <w:rPr>
          <w:spacing w:val="2"/>
          <w:szCs w:val="21"/>
        </w:rPr>
        <w:t>0.92千克</w:t>
      </w:r>
      <w:r>
        <w:rPr>
          <w:rFonts w:hint="default"/>
          <w:sz w:val="18"/>
          <w:lang w:val="en" w:eastAsia="zh-CN"/>
        </w:rPr>
        <w:t>≈</w:t>
      </w:r>
      <w:r>
        <w:rPr>
          <w:spacing w:val="2"/>
          <w:szCs w:val="21"/>
        </w:rPr>
        <w:t>0.00092吨，煤油1升</w:t>
      </w:r>
      <w:r>
        <w:rPr>
          <w:rFonts w:hint="default"/>
          <w:sz w:val="18"/>
          <w:lang w:val="en" w:eastAsia="zh-CN"/>
        </w:rPr>
        <w:t>≈</w:t>
      </w:r>
      <w:r>
        <w:rPr>
          <w:spacing w:val="2"/>
          <w:szCs w:val="21"/>
        </w:rPr>
        <w:t>0.82千克</w:t>
      </w:r>
      <w:r>
        <w:rPr>
          <w:rFonts w:hint="default"/>
          <w:sz w:val="18"/>
          <w:lang w:val="en" w:eastAsia="zh-CN"/>
        </w:rPr>
        <w:t>≈</w:t>
      </w:r>
      <w:r>
        <w:rPr>
          <w:spacing w:val="2"/>
          <w:szCs w:val="21"/>
        </w:rPr>
        <w:t>0.00082吨，燃料油1升</w:t>
      </w:r>
      <w:r>
        <w:rPr>
          <w:rFonts w:hint="default"/>
          <w:sz w:val="18"/>
          <w:lang w:val="en" w:eastAsia="zh-CN"/>
        </w:rPr>
        <w:t>≈</w:t>
      </w:r>
      <w:r>
        <w:rPr>
          <w:spacing w:val="2"/>
          <w:szCs w:val="21"/>
        </w:rPr>
        <w:t>0.91千克</w:t>
      </w:r>
      <w:r>
        <w:rPr>
          <w:rFonts w:hint="default"/>
          <w:sz w:val="18"/>
          <w:lang w:val="en" w:eastAsia="zh-CN"/>
        </w:rPr>
        <w:t>≈</w:t>
      </w:r>
      <w:r>
        <w:rPr>
          <w:spacing w:val="2"/>
          <w:szCs w:val="21"/>
        </w:rPr>
        <w:t>0.00091吨。</w:t>
      </w:r>
    </w:p>
    <w:p w14:paraId="4AE44C3C">
      <w:pPr>
        <w:snapToGrid w:val="0"/>
        <w:spacing w:before="480" w:beforeLines="200" w:after="240" w:afterLines="100"/>
        <w:jc w:val="center"/>
        <w:outlineLvl w:val="1"/>
        <w:rPr>
          <w:rFonts w:eastAsia="黑体"/>
          <w:sz w:val="28"/>
          <w:szCs w:val="28"/>
        </w:rPr>
      </w:pPr>
      <w:r>
        <w:rPr>
          <w:rFonts w:eastAsia="黑体"/>
          <w:sz w:val="28"/>
          <w:szCs w:val="28"/>
        </w:rPr>
        <w:t>（</w:t>
      </w:r>
      <w:r>
        <w:rPr>
          <w:rFonts w:hint="eastAsia" w:eastAsia="黑体"/>
          <w:sz w:val="28"/>
          <w:szCs w:val="28"/>
          <w:lang w:val="en-US" w:eastAsia="zh-CN"/>
        </w:rPr>
        <w:t>五</w:t>
      </w:r>
      <w:r>
        <w:rPr>
          <w:rFonts w:eastAsia="黑体"/>
          <w:sz w:val="28"/>
          <w:szCs w:val="28"/>
        </w:rPr>
        <w:t>）能源生产、销售与库存（205-6表）</w:t>
      </w:r>
    </w:p>
    <w:p w14:paraId="3D1A9879">
      <w:pPr>
        <w:spacing w:line="360" w:lineRule="exact"/>
        <w:ind w:firstLine="420" w:firstLineChars="200"/>
        <w:textAlignment w:val="center"/>
        <w:rPr>
          <w:rFonts w:eastAsia="仿宋_GB2312"/>
          <w:szCs w:val="21"/>
        </w:rPr>
      </w:pPr>
      <w:r>
        <w:rPr>
          <w:rFonts w:eastAsia="黑体"/>
          <w:szCs w:val="21"/>
        </w:rPr>
        <w:t xml:space="preserve">产成品库存量  </w:t>
      </w:r>
      <w:r>
        <w:rPr>
          <w:szCs w:val="21"/>
        </w:rPr>
        <w:t>指企业在期初、期末时点上，由本企业生产、办理了入库手续而暂未售出的产品的实物数量。</w:t>
      </w:r>
    </w:p>
    <w:p w14:paraId="2CF65515">
      <w:pPr>
        <w:spacing w:line="360" w:lineRule="exact"/>
        <w:ind w:firstLine="420" w:firstLineChars="200"/>
        <w:textAlignment w:val="center"/>
        <w:rPr>
          <w:rFonts w:hint="eastAsia" w:eastAsia="宋体"/>
          <w:szCs w:val="21"/>
          <w:lang w:eastAsia="zh-CN"/>
        </w:rPr>
      </w:pPr>
      <w:r>
        <w:rPr>
          <w:szCs w:val="21"/>
        </w:rPr>
        <w:t>（1）产品库存量计算应遵循的原则</w:t>
      </w:r>
      <w:r>
        <w:rPr>
          <w:rFonts w:hint="eastAsia"/>
          <w:szCs w:val="21"/>
          <w:lang w:eastAsia="zh-CN"/>
        </w:rPr>
        <w:t>：</w:t>
      </w:r>
    </w:p>
    <w:p w14:paraId="0463FABA">
      <w:pPr>
        <w:snapToGrid w:val="0"/>
        <w:spacing w:line="360" w:lineRule="exact"/>
        <w:ind w:firstLine="420" w:firstLineChars="200"/>
        <w:textAlignment w:val="center"/>
        <w:rPr>
          <w:szCs w:val="21"/>
        </w:rPr>
      </w:pPr>
      <w:r>
        <w:rPr>
          <w:szCs w:val="21"/>
        </w:rPr>
        <w:t>①产品库存必须是处于</w:t>
      </w:r>
      <w:r>
        <w:rPr>
          <w:rFonts w:hint="eastAsia"/>
          <w:szCs w:val="21"/>
          <w:lang w:eastAsia="zh-CN"/>
        </w:rPr>
        <w:t>“</w:t>
      </w:r>
      <w:r>
        <w:rPr>
          <w:szCs w:val="21"/>
        </w:rPr>
        <w:t>实际库存</w:t>
      </w:r>
      <w:r>
        <w:rPr>
          <w:rFonts w:hint="eastAsia"/>
          <w:szCs w:val="21"/>
          <w:lang w:eastAsia="zh-CN"/>
        </w:rPr>
        <w:t>”</w:t>
      </w:r>
      <w:r>
        <w:rPr>
          <w:szCs w:val="21"/>
        </w:rPr>
        <w:t>状态的产品，即产品生产出来经过检验合格并办</w:t>
      </w:r>
      <w:r>
        <w:rPr>
          <w:rFonts w:hint="eastAsia"/>
          <w:szCs w:val="21"/>
        </w:rPr>
        <w:t>理</w:t>
      </w:r>
      <w:r>
        <w:rPr>
          <w:szCs w:val="21"/>
        </w:rPr>
        <w:t>入库手续的产品。有的产品虽已结束了生产过程，但还没有验收合格，还没有办理入库手续，不能作为产品库存统计。有的产品已经售出，但按提货制要求还没有办妥货款结算手续的，或按送货制要求未办理承运手续的，仍应作为本企业的产品库存量统计，而不能作为产品销售量统计。</w:t>
      </w:r>
    </w:p>
    <w:p w14:paraId="39EC179A">
      <w:pPr>
        <w:snapToGrid w:val="0"/>
        <w:spacing w:line="360" w:lineRule="exact"/>
        <w:ind w:firstLine="420" w:firstLineChars="200"/>
        <w:textAlignment w:val="center"/>
        <w:rPr>
          <w:szCs w:val="21"/>
        </w:rPr>
      </w:pPr>
      <w:r>
        <w:rPr>
          <w:szCs w:val="21"/>
        </w:rPr>
        <w:t>②计入产品库存量的产品，必须是本企业有权销售的产品，对于已经销售并已办妥各项手续，但尚未提货的产品，本企业无权支配，这种产品虽然仍存在本企业仓库中，但不应统计为库存量。凡企业有权销售的产品，不论存放在什么地方，均应统计。</w:t>
      </w:r>
    </w:p>
    <w:p w14:paraId="294A58B1">
      <w:pPr>
        <w:snapToGrid w:val="0"/>
        <w:spacing w:line="360" w:lineRule="exact"/>
        <w:ind w:firstLine="420" w:firstLineChars="200"/>
        <w:textAlignment w:val="center"/>
        <w:rPr>
          <w:szCs w:val="21"/>
        </w:rPr>
      </w:pPr>
      <w:r>
        <w:rPr>
          <w:szCs w:val="21"/>
        </w:rPr>
        <w:t>③产品库存量不能出现负数。如果产品还没有入库就已售出，应将售出的这部分产品补填入库和出库凭证，并相应计入产品产量中。</w:t>
      </w:r>
    </w:p>
    <w:p w14:paraId="252B9C2D">
      <w:pPr>
        <w:snapToGrid w:val="0"/>
        <w:spacing w:line="360" w:lineRule="exact"/>
        <w:ind w:firstLine="420" w:firstLineChars="200"/>
        <w:textAlignment w:val="center"/>
        <w:rPr>
          <w:rFonts w:hint="eastAsia" w:eastAsia="宋体"/>
          <w:szCs w:val="21"/>
          <w:lang w:eastAsia="zh-CN"/>
        </w:rPr>
      </w:pPr>
      <w:r>
        <w:rPr>
          <w:szCs w:val="21"/>
        </w:rPr>
        <w:t>（2）产品库存量包括的内容</w:t>
      </w:r>
      <w:r>
        <w:rPr>
          <w:rFonts w:hint="eastAsia"/>
          <w:szCs w:val="21"/>
          <w:lang w:eastAsia="zh-CN"/>
        </w:rPr>
        <w:t>：</w:t>
      </w:r>
    </w:p>
    <w:p w14:paraId="6A53AB50">
      <w:pPr>
        <w:snapToGrid w:val="0"/>
        <w:spacing w:line="360" w:lineRule="exact"/>
        <w:ind w:firstLine="420" w:firstLineChars="200"/>
        <w:textAlignment w:val="center"/>
        <w:rPr>
          <w:szCs w:val="21"/>
        </w:rPr>
      </w:pPr>
      <w:r>
        <w:rPr>
          <w:szCs w:val="21"/>
        </w:rPr>
        <w:t>①本企业生产的，报告期内经检验合格入库的产品。</w:t>
      </w:r>
    </w:p>
    <w:p w14:paraId="7E4238F1">
      <w:pPr>
        <w:snapToGrid w:val="0"/>
        <w:spacing w:line="360" w:lineRule="exact"/>
        <w:ind w:firstLine="420" w:firstLineChars="200"/>
        <w:textAlignment w:val="center"/>
        <w:rPr>
          <w:szCs w:val="21"/>
        </w:rPr>
      </w:pPr>
      <w:r>
        <w:rPr>
          <w:szCs w:val="21"/>
        </w:rPr>
        <w:t>②库存产品虽有销售对象，但尚未发货的。</w:t>
      </w:r>
    </w:p>
    <w:p w14:paraId="3A599128">
      <w:pPr>
        <w:snapToGrid w:val="0"/>
        <w:spacing w:line="360" w:lineRule="exact"/>
        <w:ind w:firstLine="420" w:firstLineChars="200"/>
        <w:textAlignment w:val="center"/>
        <w:rPr>
          <w:szCs w:val="21"/>
        </w:rPr>
      </w:pPr>
      <w:r>
        <w:rPr>
          <w:szCs w:val="21"/>
        </w:rPr>
        <w:t>③非工业企业和境外订货者来料加工产品尚未拨出的。</w:t>
      </w:r>
    </w:p>
    <w:p w14:paraId="109180AD">
      <w:pPr>
        <w:snapToGrid w:val="0"/>
        <w:spacing w:line="360" w:lineRule="exact"/>
        <w:ind w:firstLine="420" w:firstLineChars="200"/>
        <w:textAlignment w:val="center"/>
        <w:rPr>
          <w:szCs w:val="21"/>
        </w:rPr>
      </w:pPr>
      <w:r>
        <w:rPr>
          <w:szCs w:val="21"/>
        </w:rPr>
        <w:t>④盘点中的账外产品。</w:t>
      </w:r>
    </w:p>
    <w:p w14:paraId="5EAD1379">
      <w:pPr>
        <w:snapToGrid w:val="0"/>
        <w:spacing w:line="360" w:lineRule="exact"/>
        <w:ind w:firstLine="420" w:firstLineChars="200"/>
        <w:textAlignment w:val="center"/>
        <w:rPr>
          <w:szCs w:val="21"/>
        </w:rPr>
      </w:pPr>
      <w:r>
        <w:rPr>
          <w:szCs w:val="21"/>
        </w:rPr>
        <w:t>⑤产品入库后发现有质量问题，但未办理退库手续的产品。</w:t>
      </w:r>
    </w:p>
    <w:p w14:paraId="0A4F383B">
      <w:pPr>
        <w:snapToGrid w:val="0"/>
        <w:spacing w:line="360" w:lineRule="exact"/>
        <w:ind w:firstLine="420" w:firstLineChars="200"/>
        <w:textAlignment w:val="center"/>
        <w:rPr>
          <w:rFonts w:hint="eastAsia" w:eastAsia="宋体"/>
          <w:szCs w:val="21"/>
          <w:lang w:eastAsia="zh-CN"/>
        </w:rPr>
      </w:pPr>
      <w:r>
        <w:rPr>
          <w:szCs w:val="21"/>
        </w:rPr>
        <w:t>（3）产品库存量不应包括的内容</w:t>
      </w:r>
      <w:r>
        <w:rPr>
          <w:rFonts w:hint="eastAsia"/>
          <w:szCs w:val="21"/>
          <w:lang w:eastAsia="zh-CN"/>
        </w:rPr>
        <w:t>：</w:t>
      </w:r>
    </w:p>
    <w:p w14:paraId="39452AEC">
      <w:pPr>
        <w:snapToGrid w:val="0"/>
        <w:spacing w:line="360" w:lineRule="exact"/>
        <w:ind w:firstLine="420" w:firstLineChars="200"/>
        <w:textAlignment w:val="center"/>
        <w:rPr>
          <w:szCs w:val="21"/>
        </w:rPr>
      </w:pPr>
      <w:r>
        <w:rPr>
          <w:szCs w:val="21"/>
        </w:rPr>
        <w:t>①属于提货制销售的产品，已办理货款结算和开出提货单，但用户尚未提走的产品。</w:t>
      </w:r>
    </w:p>
    <w:p w14:paraId="65483248">
      <w:pPr>
        <w:snapToGrid w:val="0"/>
        <w:spacing w:line="360" w:lineRule="exact"/>
        <w:ind w:firstLine="420" w:firstLineChars="200"/>
        <w:textAlignment w:val="center"/>
        <w:rPr>
          <w:szCs w:val="21"/>
        </w:rPr>
      </w:pPr>
      <w:r>
        <w:rPr>
          <w:szCs w:val="21"/>
        </w:rPr>
        <w:t>②代外单位保管的产品。</w:t>
      </w:r>
    </w:p>
    <w:p w14:paraId="2789D670">
      <w:pPr>
        <w:snapToGrid w:val="0"/>
        <w:spacing w:line="360" w:lineRule="exact"/>
        <w:ind w:firstLine="420" w:firstLineChars="200"/>
        <w:textAlignment w:val="center"/>
        <w:rPr>
          <w:szCs w:val="21"/>
        </w:rPr>
      </w:pPr>
      <w:r>
        <w:rPr>
          <w:szCs w:val="21"/>
        </w:rPr>
        <w:t>③已结束生产过程但尚未办理入库手续的产品。</w:t>
      </w:r>
    </w:p>
    <w:p w14:paraId="142F301F">
      <w:pPr>
        <w:snapToGrid w:val="0"/>
        <w:spacing w:line="360" w:lineRule="exact"/>
        <w:ind w:firstLine="420" w:firstLineChars="200"/>
        <w:textAlignment w:val="center"/>
        <w:rPr>
          <w:szCs w:val="21"/>
        </w:rPr>
      </w:pPr>
      <w:r>
        <w:rPr>
          <w:rFonts w:eastAsia="黑体"/>
          <w:szCs w:val="21"/>
        </w:rPr>
        <w:t>生产量</w:t>
      </w:r>
      <w:r>
        <w:rPr>
          <w:rFonts w:eastAsia="仿宋_GB2312"/>
          <w:szCs w:val="21"/>
        </w:rPr>
        <w:t xml:space="preserve">  </w:t>
      </w:r>
      <w:r>
        <w:rPr>
          <w:szCs w:val="21"/>
        </w:rPr>
        <w:t>指企业在报告期内生产的并符合产品质量要求的实物数量，包括商品量和自用量两部分。</w:t>
      </w:r>
    </w:p>
    <w:p w14:paraId="41E05BC2">
      <w:pPr>
        <w:spacing w:line="360" w:lineRule="exact"/>
        <w:ind w:firstLine="420" w:firstLineChars="200"/>
        <w:textAlignment w:val="center"/>
        <w:rPr>
          <w:rFonts w:hint="eastAsia" w:eastAsia="宋体"/>
          <w:szCs w:val="21"/>
          <w:lang w:eastAsia="zh-CN"/>
        </w:rPr>
      </w:pPr>
      <w:r>
        <w:rPr>
          <w:szCs w:val="21"/>
        </w:rPr>
        <w:t>（1）产品生产量计算应遵循的原则</w:t>
      </w:r>
      <w:r>
        <w:rPr>
          <w:rFonts w:hint="eastAsia"/>
          <w:szCs w:val="21"/>
          <w:lang w:eastAsia="zh-CN"/>
        </w:rPr>
        <w:t>：</w:t>
      </w:r>
    </w:p>
    <w:p w14:paraId="2EFED51F">
      <w:pPr>
        <w:spacing w:line="360" w:lineRule="exact"/>
        <w:ind w:firstLine="420" w:firstLineChars="200"/>
        <w:textAlignment w:val="center"/>
        <w:rPr>
          <w:szCs w:val="21"/>
        </w:rPr>
      </w:pPr>
      <w:r>
        <w:rPr>
          <w:szCs w:val="21"/>
        </w:rPr>
        <w:t>①产品质量标准：产品必须符合规定的质量标准或订货合同规定的技术条件，才可统计生产量。产品质量标准一律按国家标准或部颁标准执行。没有国家标准或部颁标准的产品，应按企业主管机关的标准或订货合同规定的技术条件执行，不得擅自更改标准或降低标准，不合格的产品不能计算生产量。</w:t>
      </w:r>
    </w:p>
    <w:p w14:paraId="1CFA7EA9">
      <w:pPr>
        <w:spacing w:line="360" w:lineRule="exact"/>
        <w:ind w:firstLine="420" w:firstLineChars="200"/>
        <w:textAlignment w:val="center"/>
        <w:rPr>
          <w:szCs w:val="21"/>
        </w:rPr>
      </w:pPr>
      <w:r>
        <w:rPr>
          <w:szCs w:val="21"/>
        </w:rPr>
        <w:t>②统计时间：产品生产量反映的是报告期内的</w:t>
      </w:r>
      <w:r>
        <w:rPr>
          <w:rFonts w:hint="eastAsia"/>
          <w:szCs w:val="21"/>
        </w:rPr>
        <w:t>企业</w:t>
      </w:r>
      <w:r>
        <w:rPr>
          <w:szCs w:val="21"/>
        </w:rPr>
        <w:t>生产成果，凡报告期内生产的产品都应计算在内，即截</w:t>
      </w:r>
      <w:r>
        <w:rPr>
          <w:rFonts w:hint="eastAsia"/>
          <w:szCs w:val="21"/>
          <w:lang w:eastAsia="zh-CN"/>
        </w:rPr>
        <w:t>至</w:t>
      </w:r>
      <w:r>
        <w:rPr>
          <w:szCs w:val="21"/>
        </w:rPr>
        <w:t>报告期最后一天检验合格并办理了入库手续的产品，其中规定要求包装的产品必须包装好才能计算其生产量。至于报告期最后一天以哪一个班次作为截止计算产量的班次则由企业主管机关规定，并应与会计核算的结算时间一致。结算时间一经确定，就要严格执行，不得随意提前或移后。</w:t>
      </w:r>
    </w:p>
    <w:p w14:paraId="1959BB66">
      <w:pPr>
        <w:spacing w:line="360" w:lineRule="exact"/>
        <w:ind w:firstLine="420" w:firstLineChars="200"/>
        <w:textAlignment w:val="center"/>
        <w:rPr>
          <w:szCs w:val="21"/>
        </w:rPr>
      </w:pPr>
      <w:r>
        <w:rPr>
          <w:szCs w:val="21"/>
        </w:rPr>
        <w:t>③准确度量：准确度量是计算产品产量的重要一环，企业应配备必要的计量设备，对产量进行实际度量，不得随意估算，对确有困难不得不推算的某些产品，一定要按照主管部门规定的推算方法计算，使之尽量接近实际。</w:t>
      </w:r>
    </w:p>
    <w:p w14:paraId="2BA58E1B">
      <w:pPr>
        <w:spacing w:line="360" w:lineRule="exact"/>
        <w:ind w:firstLine="420" w:firstLineChars="200"/>
        <w:textAlignment w:val="center"/>
        <w:rPr>
          <w:rFonts w:hint="eastAsia" w:eastAsia="宋体"/>
          <w:szCs w:val="21"/>
          <w:lang w:eastAsia="zh-CN"/>
        </w:rPr>
      </w:pPr>
      <w:r>
        <w:rPr>
          <w:szCs w:val="21"/>
        </w:rPr>
        <w:t>（2）产品生产量包括的内容</w:t>
      </w:r>
      <w:r>
        <w:rPr>
          <w:rFonts w:hint="eastAsia"/>
          <w:szCs w:val="21"/>
          <w:lang w:eastAsia="zh-CN"/>
        </w:rPr>
        <w:t>：</w:t>
      </w:r>
    </w:p>
    <w:p w14:paraId="77F55ACC">
      <w:pPr>
        <w:spacing w:line="360" w:lineRule="exact"/>
        <w:ind w:firstLine="420" w:firstLineChars="200"/>
        <w:textAlignment w:val="center"/>
        <w:rPr>
          <w:szCs w:val="21"/>
        </w:rPr>
      </w:pPr>
      <w:r>
        <w:rPr>
          <w:szCs w:val="21"/>
        </w:rPr>
        <w:t>①企业各车间（主要车间、辅助车间、附属品车间及副产品车间）用自备原材料生产的全部产品产量，不论是要销售的商品量还是本企业的自用量，均应统计生产量。</w:t>
      </w:r>
    </w:p>
    <w:p w14:paraId="538459FD">
      <w:pPr>
        <w:spacing w:line="360" w:lineRule="exact"/>
        <w:ind w:firstLine="420" w:firstLineChars="200"/>
        <w:textAlignment w:val="center"/>
        <w:rPr>
          <w:szCs w:val="21"/>
        </w:rPr>
      </w:pPr>
      <w:r>
        <w:rPr>
          <w:szCs w:val="21"/>
        </w:rPr>
        <w:t>②凡用订货者来料加工生产的产品，并且加工企业只收取加工费的，如果订货者是境内非工业企业和境外企业，其产品生产量由加工企业统计；如果订货者是境内工业企业，产品生产量由委托企业（即发包企业）统计，加工企业（即承包企业）不统计。</w:t>
      </w:r>
    </w:p>
    <w:p w14:paraId="77FB0E65">
      <w:pPr>
        <w:spacing w:line="360" w:lineRule="exact"/>
        <w:ind w:firstLine="420" w:firstLineChars="200"/>
        <w:textAlignment w:val="center"/>
        <w:rPr>
          <w:szCs w:val="21"/>
        </w:rPr>
      </w:pPr>
      <w:r>
        <w:rPr>
          <w:szCs w:val="21"/>
        </w:rPr>
        <w:t>③经正式鉴定合格的新产品、自产自用的生产设备、未正式投入生产以前试生产的合格品以及基本建设附产的合格品，都应包括在产品生产量中。</w:t>
      </w:r>
    </w:p>
    <w:p w14:paraId="5DC25C17">
      <w:pPr>
        <w:spacing w:line="360" w:lineRule="exact"/>
        <w:ind w:firstLine="420" w:firstLineChars="200"/>
        <w:textAlignment w:val="center"/>
        <w:rPr>
          <w:szCs w:val="21"/>
        </w:rPr>
      </w:pPr>
      <w:r>
        <w:rPr>
          <w:szCs w:val="21"/>
        </w:rPr>
        <w:t>④用进口原材料或关键零件生产的产品，或用进口整套散装零件及用进口组装件加工、装配的产品，不论是在国内销售还是外商经销，生产量均统计在国内同种产品生产量中。</w:t>
      </w:r>
    </w:p>
    <w:p w14:paraId="6FB62552">
      <w:pPr>
        <w:spacing w:line="360" w:lineRule="exact"/>
        <w:ind w:firstLine="420" w:firstLineChars="200"/>
        <w:textAlignment w:val="center"/>
        <w:rPr>
          <w:szCs w:val="21"/>
        </w:rPr>
      </w:pPr>
      <w:r>
        <w:rPr>
          <w:szCs w:val="21"/>
        </w:rPr>
        <w:t>⑤在我国国土范围内的外商投资和港、澳、台商投资企业生产的产品，其生产量全部统计在国内同种产品生产量中。</w:t>
      </w:r>
    </w:p>
    <w:p w14:paraId="19A1014E">
      <w:pPr>
        <w:spacing w:line="360" w:lineRule="exact"/>
        <w:ind w:firstLine="420" w:firstLineChars="200"/>
        <w:textAlignment w:val="center"/>
        <w:rPr>
          <w:szCs w:val="21"/>
        </w:rPr>
      </w:pPr>
      <w:r>
        <w:rPr>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14:paraId="27E1F98C">
      <w:pPr>
        <w:spacing w:line="360" w:lineRule="exact"/>
        <w:ind w:firstLine="420" w:firstLineChars="200"/>
        <w:textAlignment w:val="center"/>
        <w:rPr>
          <w:rFonts w:hint="eastAsia" w:eastAsia="宋体"/>
          <w:szCs w:val="21"/>
          <w:lang w:eastAsia="zh-CN"/>
        </w:rPr>
      </w:pPr>
      <w:r>
        <w:rPr>
          <w:szCs w:val="21"/>
        </w:rPr>
        <w:t>（3）产品生产量不应包括的内容</w:t>
      </w:r>
      <w:r>
        <w:rPr>
          <w:rFonts w:hint="eastAsia"/>
          <w:szCs w:val="21"/>
          <w:lang w:eastAsia="zh-CN"/>
        </w:rPr>
        <w:t>：</w:t>
      </w:r>
    </w:p>
    <w:p w14:paraId="1E6C6180">
      <w:pPr>
        <w:spacing w:line="360" w:lineRule="exact"/>
        <w:ind w:firstLine="420" w:firstLineChars="200"/>
        <w:textAlignment w:val="center"/>
        <w:rPr>
          <w:szCs w:val="21"/>
        </w:rPr>
      </w:pPr>
      <w:r>
        <w:rPr>
          <w:szCs w:val="21"/>
        </w:rPr>
        <w:t>①在生产产品的同时，产生的下脚余料或废料，不应统计为产品生产量。</w:t>
      </w:r>
    </w:p>
    <w:p w14:paraId="65E9E184">
      <w:pPr>
        <w:spacing w:line="360" w:lineRule="exact"/>
        <w:ind w:firstLine="420" w:firstLineChars="200"/>
        <w:textAlignment w:val="center"/>
        <w:rPr>
          <w:szCs w:val="21"/>
        </w:rPr>
      </w:pPr>
      <w:r>
        <w:rPr>
          <w:szCs w:val="21"/>
        </w:rPr>
        <w:t>②投入生产过程中的原材料没有完全消耗掉，而加以回收、提浓，再供本企业自用的，如机械工业回收的润滑油等都不计算产品生产量。</w:t>
      </w:r>
    </w:p>
    <w:p w14:paraId="27088E0A">
      <w:pPr>
        <w:spacing w:line="360" w:lineRule="exact"/>
        <w:ind w:firstLine="420" w:firstLineChars="200"/>
        <w:textAlignment w:val="center"/>
        <w:rPr>
          <w:szCs w:val="21"/>
        </w:rPr>
      </w:pPr>
      <w:r>
        <w:rPr>
          <w:szCs w:val="21"/>
        </w:rPr>
        <w:t>③企业从外购进的，未经本企业任何加工的，不得作为本企业的产品生产量统计。</w:t>
      </w:r>
    </w:p>
    <w:p w14:paraId="2A0BACE2">
      <w:pPr>
        <w:spacing w:line="360" w:lineRule="exact"/>
        <w:ind w:firstLine="420" w:firstLineChars="200"/>
        <w:textAlignment w:val="center"/>
        <w:rPr>
          <w:szCs w:val="21"/>
        </w:rPr>
      </w:pPr>
      <w:r>
        <w:rPr>
          <w:szCs w:val="21"/>
        </w:rPr>
        <w:t>④某些产品在检验产品质量时，需做破坏性试验，这些用作试验的产品，不计算在产品生产量中。</w:t>
      </w:r>
    </w:p>
    <w:p w14:paraId="3796C73C">
      <w:pPr>
        <w:spacing w:line="360" w:lineRule="exact"/>
        <w:ind w:firstLine="420" w:firstLineChars="200"/>
        <w:textAlignment w:val="center"/>
        <w:rPr>
          <w:szCs w:val="21"/>
        </w:rPr>
      </w:pPr>
      <w:r>
        <w:rPr>
          <w:rFonts w:eastAsia="黑体"/>
          <w:szCs w:val="21"/>
        </w:rPr>
        <w:t>销售量</w:t>
      </w:r>
      <w:r>
        <w:rPr>
          <w:rFonts w:eastAsia="仿宋_GB2312"/>
          <w:szCs w:val="21"/>
        </w:rPr>
        <w:t xml:space="preserve">  </w:t>
      </w:r>
      <w:r>
        <w:rPr>
          <w:szCs w:val="21"/>
        </w:rPr>
        <w:t>指报告期内企业实际销售的由本企业生产（包括本期生产和非本期生产）的符合规定的质量标准或</w:t>
      </w:r>
      <w:r>
        <w:rPr>
          <w:rFonts w:hint="eastAsia"/>
          <w:szCs w:val="21"/>
          <w:lang w:eastAsia="zh-CN"/>
        </w:rPr>
        <w:t>订</w:t>
      </w:r>
      <w:r>
        <w:rPr>
          <w:szCs w:val="21"/>
        </w:rPr>
        <w:t>货合同规定的技术条件的产品的实物数量。凡用订货者来料加工生产的产品，并且加工企业只收取加工费的，如果订货者是境内非工业企业和境外企业，其产品销售量由加工企业（即承包企业）统计；如果订货者是境内工业企业，产品销售量由委托企业（即发包企业）统计，加工企业不统计。</w:t>
      </w:r>
    </w:p>
    <w:p w14:paraId="19B926F0">
      <w:pPr>
        <w:spacing w:line="360" w:lineRule="exact"/>
        <w:ind w:firstLine="420" w:firstLineChars="200"/>
        <w:textAlignment w:val="center"/>
        <w:rPr>
          <w:szCs w:val="21"/>
        </w:rPr>
      </w:pPr>
      <w:r>
        <w:rPr>
          <w:szCs w:val="21"/>
        </w:rPr>
        <w:t>区分来料加工与自备原材料生产的依据同产品产量中的规定。</w:t>
      </w:r>
    </w:p>
    <w:p w14:paraId="23ABD6C7">
      <w:pPr>
        <w:spacing w:line="360" w:lineRule="exact"/>
        <w:ind w:firstLine="420" w:firstLineChars="200"/>
        <w:textAlignment w:val="center"/>
        <w:rPr>
          <w:szCs w:val="21"/>
        </w:rPr>
      </w:pPr>
      <w:r>
        <w:rPr>
          <w:szCs w:val="21"/>
        </w:rPr>
        <w:t>（1）产品销售量的核算原则：产品销售量以产品销售实现为核算原则，即在产品已发出，货款已经收到或者得到了收取货款的凭据时作为销售实现，统计产品销售量。按照企业销售方式的不同，产品销售量统计遵从以下几种规定：</w:t>
      </w:r>
    </w:p>
    <w:p w14:paraId="3A4CD9EA">
      <w:pPr>
        <w:spacing w:line="360" w:lineRule="exact"/>
        <w:ind w:firstLine="420" w:firstLineChars="200"/>
        <w:textAlignment w:val="center"/>
        <w:rPr>
          <w:szCs w:val="21"/>
        </w:rPr>
      </w:pPr>
      <w:r>
        <w:rPr>
          <w:szCs w:val="21"/>
        </w:rPr>
        <w:t>①采用送货制销售的，产品如由本企业运输部门发运，以产品出库单上的数量、日期为准；如委托专业运输部门发运，则以运输部门的承运单上的数量、日期为准。</w:t>
      </w:r>
    </w:p>
    <w:p w14:paraId="3B788B50">
      <w:pPr>
        <w:spacing w:line="360" w:lineRule="exact"/>
        <w:ind w:firstLine="420" w:firstLineChars="200"/>
        <w:textAlignment w:val="center"/>
        <w:rPr>
          <w:szCs w:val="21"/>
        </w:rPr>
      </w:pPr>
      <w:r>
        <w:rPr>
          <w:szCs w:val="21"/>
        </w:rPr>
        <w:t>②采用提货制销售的，以给用户开具的发票和提货单上的数量、日期为准。</w:t>
      </w:r>
    </w:p>
    <w:p w14:paraId="58B28B86">
      <w:pPr>
        <w:spacing w:line="360" w:lineRule="exact"/>
        <w:ind w:firstLine="420" w:firstLineChars="200"/>
        <w:textAlignment w:val="center"/>
        <w:rPr>
          <w:szCs w:val="21"/>
        </w:rPr>
      </w:pPr>
      <w:r>
        <w:rPr>
          <w:szCs w:val="21"/>
        </w:rPr>
        <w:t>③委托其他单位代销的产品，以企业收到代销单位的代销清单为准。</w:t>
      </w:r>
    </w:p>
    <w:p w14:paraId="0B0C2D0F">
      <w:pPr>
        <w:spacing w:line="360" w:lineRule="exact"/>
        <w:ind w:firstLine="420" w:firstLineChars="200"/>
        <w:textAlignment w:val="center"/>
        <w:rPr>
          <w:szCs w:val="21"/>
        </w:rPr>
      </w:pPr>
      <w:r>
        <w:rPr>
          <w:szCs w:val="21"/>
        </w:rPr>
        <w:t>④采用预收货款销售的，在发出产品时作为销售。产品尚未生产出来，已预收货款或预开提货单的，不应算作销售。</w:t>
      </w:r>
    </w:p>
    <w:p w14:paraId="5EFE5D7D">
      <w:pPr>
        <w:spacing w:line="360" w:lineRule="exact"/>
        <w:ind w:firstLine="420" w:firstLineChars="200"/>
        <w:textAlignment w:val="center"/>
        <w:rPr>
          <w:szCs w:val="21"/>
        </w:rPr>
      </w:pPr>
      <w:r>
        <w:rPr>
          <w:szCs w:val="21"/>
        </w:rPr>
        <w:t>⑤企业出口销售的产品，陆运以取得承运货物收据或铁路运单，海运以取得出口装船提单，空运以取得空运运单，并向银行办理出口交单的数量、日期为准。企业自营出口的产品，在委托外贸部门代理出口（实行代理制）的情况下，以收到外贸部门代办的运单和银行交单凭证的数量、日期为准。</w:t>
      </w:r>
    </w:p>
    <w:p w14:paraId="60EA4021">
      <w:pPr>
        <w:spacing w:line="360" w:lineRule="exact"/>
        <w:ind w:firstLine="420" w:firstLineChars="200"/>
        <w:textAlignment w:val="center"/>
        <w:rPr>
          <w:szCs w:val="21"/>
        </w:rPr>
      </w:pPr>
      <w:r>
        <w:rPr>
          <w:szCs w:val="21"/>
        </w:rPr>
        <w:t>（2）统计产品销售量应注意以下几点</w:t>
      </w:r>
      <w:r>
        <w:rPr>
          <w:rFonts w:hint="eastAsia"/>
          <w:szCs w:val="21"/>
          <w:lang w:eastAsia="zh-CN"/>
        </w:rPr>
        <w:t>：</w:t>
      </w:r>
    </w:p>
    <w:p w14:paraId="01C50524">
      <w:pPr>
        <w:spacing w:line="360" w:lineRule="exact"/>
        <w:ind w:firstLine="420" w:firstLineChars="200"/>
        <w:textAlignment w:val="center"/>
        <w:rPr>
          <w:szCs w:val="21"/>
        </w:rPr>
      </w:pPr>
      <w:r>
        <w:rPr>
          <w:szCs w:val="21"/>
        </w:rPr>
        <w:t>①只有企业销售的合格产品才能统计其销售量，销售的次品不能计入产品销售量。</w:t>
      </w:r>
    </w:p>
    <w:p w14:paraId="4085B162">
      <w:pPr>
        <w:spacing w:line="360" w:lineRule="exact"/>
        <w:ind w:firstLine="420" w:firstLineChars="200"/>
        <w:textAlignment w:val="center"/>
        <w:rPr>
          <w:szCs w:val="21"/>
        </w:rPr>
      </w:pPr>
      <w:r>
        <w:rPr>
          <w:szCs w:val="21"/>
        </w:rPr>
        <w:t>②分清产品销售和预售的界限：预售指产品还没有生产出来以前，用户为了购买这种产品事先向工厂支付货款。预售不能算作销售。相反，有些产品采用了分期付款的形式，只要是用户拿到了这个商品，不管货款是否已付清，作为企业已经取得了收取货款的凭证就应作为销售。</w:t>
      </w:r>
    </w:p>
    <w:p w14:paraId="6835AB0D">
      <w:pPr>
        <w:spacing w:line="360" w:lineRule="exact"/>
        <w:ind w:firstLine="420" w:firstLineChars="200"/>
        <w:textAlignment w:val="center"/>
        <w:rPr>
          <w:rFonts w:hint="eastAsia" w:eastAsia="宋体"/>
          <w:szCs w:val="21"/>
          <w:lang w:eastAsia="zh-CN"/>
        </w:rPr>
      </w:pPr>
      <w:r>
        <w:rPr>
          <w:szCs w:val="21"/>
        </w:rPr>
        <w:t>（3）售出产品退货的处理遵从以下规定</w:t>
      </w:r>
      <w:r>
        <w:rPr>
          <w:rFonts w:hint="eastAsia"/>
          <w:szCs w:val="21"/>
          <w:lang w:eastAsia="zh-CN"/>
        </w:rPr>
        <w:t>：</w:t>
      </w:r>
    </w:p>
    <w:p w14:paraId="1BBE2E60">
      <w:pPr>
        <w:spacing w:line="360" w:lineRule="exact"/>
        <w:ind w:firstLine="420" w:firstLineChars="200"/>
        <w:textAlignment w:val="center"/>
        <w:rPr>
          <w:szCs w:val="21"/>
        </w:rPr>
      </w:pPr>
      <w:r>
        <w:rPr>
          <w:szCs w:val="21"/>
        </w:rPr>
        <w:t>①退回报告期内销售的合格品，应从报告期销售量中扣除，同时计入库存量；退回报告期内销售的不合格品，要在报告期销售量中扣除，还要同时扣除报告期生产量。</w:t>
      </w:r>
    </w:p>
    <w:p w14:paraId="414D5105">
      <w:pPr>
        <w:spacing w:line="360" w:lineRule="exact"/>
        <w:ind w:firstLine="420" w:firstLineChars="200"/>
        <w:textAlignment w:val="center"/>
        <w:rPr>
          <w:szCs w:val="21"/>
        </w:rPr>
      </w:pPr>
      <w:r>
        <w:rPr>
          <w:szCs w:val="21"/>
        </w:rPr>
        <w:t>②退回报告期以前售出的合格品，报告期销售量不变，计入产品库存量中；退回报告期以前售出的不合格品，报告期销售量和报告期生产量均不变。</w:t>
      </w:r>
    </w:p>
    <w:p w14:paraId="030C0345">
      <w:pPr>
        <w:spacing w:line="360" w:lineRule="exact"/>
        <w:ind w:firstLine="420" w:firstLineChars="200"/>
        <w:textAlignment w:val="center"/>
        <w:rPr>
          <w:szCs w:val="21"/>
        </w:rPr>
      </w:pPr>
      <w:r>
        <w:rPr>
          <w:szCs w:val="21"/>
        </w:rPr>
        <w:t>③退回修理的产品，修理后仍交原用户的，不作为退货处理，在统计报表上不做反映。</w:t>
      </w:r>
    </w:p>
    <w:p w14:paraId="6E775641">
      <w:pPr>
        <w:spacing w:line="360" w:lineRule="exact"/>
        <w:ind w:right="0" w:firstLine="420" w:firstLineChars="200"/>
        <w:textAlignment w:val="center"/>
        <w:rPr>
          <w:szCs w:val="21"/>
        </w:rPr>
      </w:pPr>
      <w:r>
        <w:rPr>
          <w:rFonts w:eastAsia="黑体"/>
          <w:szCs w:val="21"/>
        </w:rPr>
        <w:t xml:space="preserve">企业自用及其他  </w:t>
      </w:r>
      <w:r>
        <w:rPr>
          <w:bCs/>
          <w:szCs w:val="21"/>
        </w:rPr>
        <w:t>本指标包括</w:t>
      </w:r>
      <w:r>
        <w:rPr>
          <w:szCs w:val="21"/>
        </w:rPr>
        <w:t>企业自用量和其他</w:t>
      </w:r>
      <w:r>
        <w:rPr>
          <w:bCs/>
          <w:szCs w:val="21"/>
        </w:rPr>
        <w:t>两部分。</w:t>
      </w:r>
      <w:r>
        <w:rPr>
          <w:szCs w:val="21"/>
        </w:rPr>
        <w:t>企业自用量又称企业自产自用量，指企业在报告期内生产的、已作本企业产量统计的、又为本企业使用的产品的数量。但是，由本企业验收合格后，作为商品出售给本企业生活用、在建工程用或行政部门用的产品数量，不能作为自用量统计，而作为销售量统计。</w:t>
      </w:r>
      <w:r>
        <w:rPr>
          <w:bCs/>
          <w:szCs w:val="21"/>
        </w:rPr>
        <w:t>其他是</w:t>
      </w:r>
      <w:r>
        <w:rPr>
          <w:szCs w:val="21"/>
        </w:rPr>
        <w:t>指企业在报告期内将产品用于展览、捐赠、借出以及报废等方面的产品数量和盘盈盘亏的数量。企业以促销手段搭售的产品不能视为捐赠，而应作为销售对待。</w:t>
      </w:r>
    </w:p>
    <w:p w14:paraId="08CC081A">
      <w:pPr>
        <w:spacing w:line="360" w:lineRule="exact"/>
        <w:ind w:right="0" w:firstLine="420" w:firstLineChars="200"/>
        <w:textAlignment w:val="center"/>
        <w:rPr>
          <w:rFonts w:eastAsia="黑体"/>
          <w:sz w:val="21"/>
          <w:szCs w:val="21"/>
        </w:rPr>
      </w:pPr>
      <w:r>
        <w:rPr>
          <w:rFonts w:eastAsia="黑体"/>
          <w:szCs w:val="21"/>
        </w:rPr>
        <w:t xml:space="preserve">销往省外  </w:t>
      </w:r>
      <w:r>
        <w:rPr>
          <w:rFonts w:hint="eastAsia"/>
          <w:szCs w:val="21"/>
        </w:rPr>
        <w:t>指企业在报告期内销往本省（自治区、直辖市）以外（包括出口）的数量。</w:t>
      </w:r>
    </w:p>
    <w:p w14:paraId="39CCB574">
      <w:pPr>
        <w:snapToGrid w:val="0"/>
        <w:spacing w:before="480" w:beforeLines="200" w:after="240" w:afterLines="100"/>
        <w:jc w:val="center"/>
        <w:outlineLvl w:val="1"/>
        <w:rPr>
          <w:rFonts w:eastAsia="黑体"/>
          <w:sz w:val="28"/>
          <w:szCs w:val="28"/>
        </w:rPr>
      </w:pPr>
      <w:r>
        <w:rPr>
          <w:rFonts w:eastAsia="黑体"/>
          <w:sz w:val="28"/>
          <w:szCs w:val="28"/>
        </w:rPr>
        <w:t>（</w:t>
      </w:r>
      <w:r>
        <w:rPr>
          <w:rFonts w:hint="eastAsia" w:eastAsia="黑体"/>
          <w:sz w:val="28"/>
          <w:szCs w:val="28"/>
          <w:lang w:val="en-US" w:eastAsia="zh-CN"/>
        </w:rPr>
        <w:t>六</w:t>
      </w:r>
      <w:r>
        <w:rPr>
          <w:rFonts w:eastAsia="黑体"/>
          <w:sz w:val="28"/>
          <w:szCs w:val="28"/>
        </w:rPr>
        <w:t>）重点能源商品经销情况（205-7表）</w:t>
      </w:r>
    </w:p>
    <w:p w14:paraId="717CE9E5">
      <w:pPr>
        <w:pStyle w:val="10"/>
        <w:spacing w:before="0" w:beforeLines="0" w:line="360" w:lineRule="exact"/>
        <w:ind w:firstLine="420" w:firstLineChars="200"/>
        <w:textAlignment w:val="center"/>
        <w:rPr>
          <w:rFonts w:ascii="Times New Roman" w:hAnsi="Times New Roman" w:cs="Times New Roman"/>
          <w:bCs/>
        </w:rPr>
      </w:pPr>
      <w:r>
        <w:rPr>
          <w:rFonts w:ascii="Times New Roman" w:hAnsi="Times New Roman" w:eastAsia="黑体" w:cs="Times New Roman"/>
          <w:bCs/>
        </w:rPr>
        <w:t>商品购进量</w:t>
      </w:r>
      <w:r>
        <w:rPr>
          <w:rFonts w:eastAsia="黑体"/>
          <w:bCs/>
        </w:rPr>
        <w:t xml:space="preserve">  </w:t>
      </w:r>
      <w:r>
        <w:rPr>
          <w:rFonts w:ascii="Times New Roman" w:hAnsi="Times New Roman" w:cs="Times New Roman"/>
          <w:bCs/>
        </w:rPr>
        <w:t>指从本单位以外的单位或个人购买和调入（开具正式发票，下同）的商品数量。购进的各种商品，不论是否进入本单位仓库，凡是通过本单位结算货款的，都统计在商品购进量中。</w:t>
      </w:r>
    </w:p>
    <w:p w14:paraId="229E6DB9">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商品购进量包括：（1</w:t>
      </w:r>
      <w:r>
        <w:rPr>
          <w:rFonts w:ascii="Times New Roman" w:hAnsi="Times New Roman" w:cs="Times New Roman"/>
          <w:kern w:val="0"/>
        </w:rPr>
        <w:t>）</w:t>
      </w:r>
      <w:r>
        <w:rPr>
          <w:rFonts w:ascii="Times New Roman" w:hAnsi="Times New Roman" w:cs="Times New Roman"/>
          <w:bCs/>
        </w:rPr>
        <w:t>从工农业生产者、批发和零售业单位、住宿和餐饮业单位、出版社或报社的出版发行部门和其他服务业单位购买的商品数量；（2</w:t>
      </w:r>
      <w:r>
        <w:rPr>
          <w:rFonts w:ascii="Times New Roman" w:hAnsi="Times New Roman" w:cs="Times New Roman"/>
          <w:kern w:val="0"/>
        </w:rPr>
        <w:t>）</w:t>
      </w:r>
      <w:r>
        <w:rPr>
          <w:rFonts w:ascii="Times New Roman" w:hAnsi="Times New Roman" w:cs="Times New Roman"/>
          <w:bCs/>
        </w:rPr>
        <w:t>从机关团体、事业单位购买的商品数量；（3）从海关、市场管理部门购买的缉私和没收的商品数量</w:t>
      </w:r>
      <w:r>
        <w:rPr>
          <w:rFonts w:hint="eastAsia" w:ascii="Times New Roman" w:hAnsi="Times New Roman" w:cs="Times New Roman"/>
          <w:bCs/>
        </w:rPr>
        <w:t>；</w:t>
      </w:r>
      <w:r>
        <w:rPr>
          <w:rFonts w:ascii="Times New Roman" w:hAnsi="Times New Roman" w:cs="Times New Roman"/>
          <w:bCs/>
        </w:rPr>
        <w:t>（4</w:t>
      </w:r>
      <w:r>
        <w:rPr>
          <w:rFonts w:ascii="Times New Roman" w:hAnsi="Times New Roman" w:cs="Times New Roman"/>
          <w:kern w:val="0"/>
        </w:rPr>
        <w:t>）</w:t>
      </w:r>
      <w:r>
        <w:rPr>
          <w:rFonts w:ascii="Times New Roman" w:hAnsi="Times New Roman" w:cs="Times New Roman"/>
          <w:bCs/>
        </w:rPr>
        <w:t>从国（境）外直接进口的商品数量；（5）从居民收购的废旧商品数量。</w:t>
      </w:r>
    </w:p>
    <w:p w14:paraId="0AE1E779">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商品购进量不包括：（1</w:t>
      </w:r>
      <w:r>
        <w:rPr>
          <w:rFonts w:ascii="Times New Roman" w:hAnsi="Times New Roman" w:cs="Times New Roman"/>
          <w:kern w:val="0"/>
        </w:rPr>
        <w:t>）</w:t>
      </w:r>
      <w:r>
        <w:rPr>
          <w:rFonts w:ascii="Times New Roman" w:hAnsi="Times New Roman" w:cs="Times New Roman"/>
          <w:bCs/>
        </w:rPr>
        <w:t>未通过买卖行为而收入的商品数量，如接收其他部门移交的、借入的、代其他单位保管的、其他单位赠送的样品、加工回收的成品等；（2</w:t>
      </w:r>
      <w:r>
        <w:rPr>
          <w:rFonts w:ascii="Times New Roman" w:hAnsi="Times New Roman" w:cs="Times New Roman"/>
          <w:kern w:val="0"/>
        </w:rPr>
        <w:t>）</w:t>
      </w:r>
      <w:r>
        <w:rPr>
          <w:rFonts w:ascii="Times New Roman" w:hAnsi="Times New Roman" w:cs="Times New Roman"/>
          <w:bCs/>
        </w:rPr>
        <w:t>经本单位介绍，由买卖双方直接结算，本单位只收取手续费的业务；（3</w:t>
      </w:r>
      <w:r>
        <w:rPr>
          <w:rFonts w:ascii="Times New Roman" w:hAnsi="Times New Roman" w:cs="Times New Roman"/>
          <w:kern w:val="0"/>
        </w:rPr>
        <w:t>）</w:t>
      </w:r>
      <w:r>
        <w:rPr>
          <w:rFonts w:ascii="Times New Roman" w:hAnsi="Times New Roman" w:cs="Times New Roman"/>
          <w:bCs/>
        </w:rPr>
        <w:t>销货退回、买方拒付货款的商品数量；（4）溢余商品数量。</w:t>
      </w:r>
    </w:p>
    <w:p w14:paraId="7BFB11C8">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eastAsia="黑体" w:cs="Times New Roman"/>
          <w:bCs/>
        </w:rPr>
        <w:t>商品销售量</w:t>
      </w:r>
      <w:r>
        <w:rPr>
          <w:rFonts w:eastAsia="黑体"/>
          <w:bCs/>
        </w:rPr>
        <w:t xml:space="preserve">  </w:t>
      </w:r>
      <w:r>
        <w:rPr>
          <w:rFonts w:ascii="Times New Roman" w:hAnsi="Times New Roman" w:cs="Times New Roman"/>
          <w:bCs/>
        </w:rPr>
        <w:t>指销售和调出（开具正式发票，下同）给本单位以外的单位或个人的商品数量。销售的各种商品，凡是收到货款或取得收款凭证的，都统计在商品销售量中。</w:t>
      </w:r>
    </w:p>
    <w:p w14:paraId="4D0F6D9B">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商品销售量包括：（1</w:t>
      </w:r>
      <w:r>
        <w:rPr>
          <w:rFonts w:ascii="Times New Roman" w:hAnsi="Times New Roman" w:cs="Times New Roman"/>
          <w:kern w:val="0"/>
        </w:rPr>
        <w:t>）</w:t>
      </w:r>
      <w:r>
        <w:rPr>
          <w:rFonts w:ascii="Times New Roman" w:hAnsi="Times New Roman" w:cs="Times New Roman"/>
          <w:bCs/>
        </w:rPr>
        <w:t>售给城乡居民、社会集团消费和其他个人（如外来旅游者）的商品数量；（2</w:t>
      </w:r>
      <w:r>
        <w:rPr>
          <w:rFonts w:ascii="Times New Roman" w:hAnsi="Times New Roman" w:cs="Times New Roman"/>
          <w:kern w:val="0"/>
        </w:rPr>
        <w:t>）</w:t>
      </w:r>
      <w:r>
        <w:rPr>
          <w:rFonts w:ascii="Times New Roman" w:hAnsi="Times New Roman" w:cs="Times New Roman"/>
          <w:bCs/>
        </w:rPr>
        <w:t>售给国民经济各行业用于生产、经营使用的商品数量，包括售给批发和零售业作为转卖或加工后转卖的商品数量；（3</w:t>
      </w:r>
      <w:r>
        <w:rPr>
          <w:rFonts w:ascii="Times New Roman" w:hAnsi="Times New Roman" w:cs="Times New Roman"/>
          <w:kern w:val="0"/>
        </w:rPr>
        <w:t>）</w:t>
      </w:r>
      <w:r>
        <w:rPr>
          <w:rFonts w:ascii="Times New Roman" w:hAnsi="Times New Roman" w:cs="Times New Roman"/>
          <w:bCs/>
        </w:rPr>
        <w:t>对国（境）外直接出口的商品数量。</w:t>
      </w:r>
    </w:p>
    <w:p w14:paraId="473B9979">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商品销售量不包括：（1</w:t>
      </w:r>
      <w:r>
        <w:rPr>
          <w:rFonts w:ascii="Times New Roman" w:hAnsi="Times New Roman" w:cs="Times New Roman"/>
          <w:kern w:val="0"/>
        </w:rPr>
        <w:t>）</w:t>
      </w:r>
      <w:r>
        <w:rPr>
          <w:rFonts w:ascii="Times New Roman" w:hAnsi="Times New Roman" w:cs="Times New Roman"/>
          <w:bCs/>
        </w:rPr>
        <w:t>未通过买卖行为付出的商品数量，如：转移、借出、归还、赠送等；（2</w:t>
      </w:r>
      <w:r>
        <w:rPr>
          <w:rFonts w:ascii="Times New Roman" w:hAnsi="Times New Roman" w:cs="Times New Roman"/>
          <w:kern w:val="0"/>
        </w:rPr>
        <w:t>）</w:t>
      </w:r>
      <w:r>
        <w:rPr>
          <w:rFonts w:ascii="Times New Roman" w:hAnsi="Times New Roman" w:cs="Times New Roman"/>
          <w:bCs/>
        </w:rPr>
        <w:t>购货单位退回的商品数量；（3</w:t>
      </w:r>
      <w:r>
        <w:rPr>
          <w:rFonts w:ascii="Times New Roman" w:hAnsi="Times New Roman" w:cs="Times New Roman"/>
          <w:kern w:val="0"/>
        </w:rPr>
        <w:t>）</w:t>
      </w:r>
      <w:r>
        <w:rPr>
          <w:rFonts w:ascii="Times New Roman" w:hAnsi="Times New Roman" w:cs="Times New Roman"/>
          <w:bCs/>
        </w:rPr>
        <w:t>商品的损耗数量；（4</w:t>
      </w:r>
      <w:r>
        <w:rPr>
          <w:rFonts w:ascii="Times New Roman" w:hAnsi="Times New Roman" w:cs="Times New Roman"/>
          <w:kern w:val="0"/>
        </w:rPr>
        <w:t>）</w:t>
      </w:r>
      <w:r>
        <w:rPr>
          <w:rFonts w:ascii="Times New Roman" w:hAnsi="Times New Roman" w:cs="Times New Roman"/>
          <w:bCs/>
        </w:rPr>
        <w:t>经本单位介绍，由买卖双方直接结算，本单位只收取手续费的业务；（5）出售本单位自用的废旧商品数量。</w:t>
      </w:r>
    </w:p>
    <w:p w14:paraId="7419AC99">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eastAsia="黑体" w:cs="Times New Roman"/>
          <w:bCs/>
        </w:rPr>
        <w:t>商品库存量　</w:t>
      </w:r>
      <w:r>
        <w:rPr>
          <w:rFonts w:ascii="Times New Roman" w:hAnsi="Times New Roman" w:cs="Times New Roman"/>
          <w:bCs/>
        </w:rPr>
        <w:t>指本单位已取得所有权的全部商品数量。商品库存量必须按照规定时点核算，期初库存量指报告期第一天零时的实际库存量，期末库存量指报告期最后一天24时的实际库存量。</w:t>
      </w:r>
    </w:p>
    <w:p w14:paraId="6181F2C8">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商品库存量包括：（1</w:t>
      </w:r>
      <w:r>
        <w:rPr>
          <w:rFonts w:ascii="Times New Roman" w:hAnsi="Times New Roman" w:cs="Times New Roman"/>
          <w:kern w:val="0"/>
        </w:rPr>
        <w:t>）</w:t>
      </w:r>
      <w:r>
        <w:rPr>
          <w:rFonts w:ascii="Times New Roman" w:hAnsi="Times New Roman" w:cs="Times New Roman"/>
          <w:bCs/>
        </w:rPr>
        <w:t>存放在本单位（如门市部、批发站、采购站、经营处）的仓库、货场、货柜和货架中的商品数量；（2</w:t>
      </w:r>
      <w:r>
        <w:rPr>
          <w:rFonts w:ascii="Times New Roman" w:hAnsi="Times New Roman" w:cs="Times New Roman"/>
          <w:kern w:val="0"/>
        </w:rPr>
        <w:t>）</w:t>
      </w:r>
      <w:r>
        <w:rPr>
          <w:rFonts w:ascii="Times New Roman" w:hAnsi="Times New Roman" w:cs="Times New Roman"/>
          <w:bCs/>
        </w:rPr>
        <w:t>挑选、整理、包装中的商品数量；（3）已记入购进而尚未运到的本单位的商品数量，即发货单或银行承兑凭证已到而货未到的商品数量；（4</w:t>
      </w:r>
      <w:r>
        <w:rPr>
          <w:rFonts w:ascii="Times New Roman" w:hAnsi="Times New Roman" w:cs="Times New Roman"/>
          <w:kern w:val="0"/>
        </w:rPr>
        <w:t>）</w:t>
      </w:r>
      <w:r>
        <w:rPr>
          <w:rFonts w:ascii="Times New Roman" w:hAnsi="Times New Roman" w:cs="Times New Roman"/>
          <w:bCs/>
        </w:rPr>
        <w:t>寄存在他处的商品数量，如因购货方拒绝付款而暂时存在购货方的商品数量；（5</w:t>
      </w:r>
      <w:r>
        <w:rPr>
          <w:rFonts w:ascii="Times New Roman" w:hAnsi="Times New Roman" w:cs="Times New Roman"/>
          <w:kern w:val="0"/>
        </w:rPr>
        <w:t>）</w:t>
      </w:r>
      <w:r>
        <w:rPr>
          <w:rFonts w:ascii="Times New Roman" w:hAnsi="Times New Roman" w:cs="Times New Roman"/>
          <w:bCs/>
        </w:rPr>
        <w:t>委托其他单位代销（未做销售货调出）尚未售出的商品数量；（6）代其他单位购进尚未交付的商品数量。</w:t>
      </w:r>
    </w:p>
    <w:p w14:paraId="2566FFF4">
      <w:pPr>
        <w:pStyle w:val="10"/>
        <w:spacing w:beforeLines="0" w:line="360" w:lineRule="exact"/>
        <w:ind w:firstLine="420" w:firstLineChars="200"/>
        <w:textAlignment w:val="center"/>
        <w:rPr>
          <w:rFonts w:ascii="Times New Roman" w:hAnsi="Times New Roman" w:cs="Times New Roman"/>
          <w:bCs/>
        </w:rPr>
      </w:pPr>
      <w:r>
        <w:rPr>
          <w:rFonts w:ascii="Times New Roman" w:hAnsi="Times New Roman" w:cs="Times New Roman"/>
          <w:bCs/>
        </w:rPr>
        <w:t>商品库存量不包括：（1</w:t>
      </w:r>
      <w:r>
        <w:rPr>
          <w:rFonts w:ascii="Times New Roman" w:hAnsi="Times New Roman" w:cs="Times New Roman"/>
          <w:kern w:val="0"/>
        </w:rPr>
        <w:t>）</w:t>
      </w:r>
      <w:r>
        <w:rPr>
          <w:rFonts w:ascii="Times New Roman" w:hAnsi="Times New Roman" w:cs="Times New Roman"/>
          <w:bCs/>
        </w:rPr>
        <w:t>所有权不属于本单位的商品数量，如商品已作销售但买方尚未取走的商品数量，代替他人保管、运输、加工的商品数量，代其他单位销售（未做购进或调入）而未售出的商品数量；（2</w:t>
      </w:r>
      <w:r>
        <w:rPr>
          <w:rFonts w:ascii="Times New Roman" w:hAnsi="Times New Roman" w:cs="Times New Roman"/>
          <w:kern w:val="0"/>
        </w:rPr>
        <w:t>）</w:t>
      </w:r>
      <w:r>
        <w:rPr>
          <w:rFonts w:ascii="Times New Roman" w:hAnsi="Times New Roman" w:cs="Times New Roman"/>
          <w:bCs/>
        </w:rPr>
        <w:t>委托外单位加工的商品数量（包括本单位所属加工厂和其他生产单位加工生产尚未收回成品的商品数量）；（3</w:t>
      </w:r>
      <w:r>
        <w:rPr>
          <w:rFonts w:ascii="Times New Roman" w:hAnsi="Times New Roman" w:cs="Times New Roman"/>
          <w:kern w:val="0"/>
        </w:rPr>
        <w:t>）</w:t>
      </w:r>
      <w:r>
        <w:rPr>
          <w:rFonts w:ascii="Times New Roman" w:hAnsi="Times New Roman" w:cs="Times New Roman"/>
          <w:bCs/>
        </w:rPr>
        <w:t>外贸企业代理其他单位从国外进口，尚未付给订货单位的商品数量；（4</w:t>
      </w:r>
      <w:r>
        <w:rPr>
          <w:rFonts w:ascii="Times New Roman" w:hAnsi="Times New Roman" w:cs="Times New Roman"/>
          <w:kern w:val="0"/>
        </w:rPr>
        <w:t>）</w:t>
      </w:r>
      <w:r>
        <w:rPr>
          <w:rFonts w:ascii="Times New Roman" w:hAnsi="Times New Roman" w:cs="Times New Roman"/>
          <w:bCs/>
        </w:rPr>
        <w:t>代国家储备部门保管的商品数量。</w:t>
      </w:r>
    </w:p>
    <w:p w14:paraId="62205BA9">
      <w:pPr>
        <w:spacing w:beforeLines="0" w:line="360" w:lineRule="exact"/>
        <w:ind w:right="0" w:firstLine="420" w:firstLineChars="200"/>
        <w:textAlignment w:val="center"/>
        <w:rPr>
          <w:rFonts w:eastAsia="仿宋_GB2312"/>
          <w:sz w:val="21"/>
          <w:szCs w:val="21"/>
        </w:rPr>
      </w:pPr>
      <w:r>
        <w:rPr>
          <w:rFonts w:eastAsia="黑体"/>
          <w:szCs w:val="21"/>
        </w:rPr>
        <w:t>购自省外</w:t>
      </w:r>
      <w:r>
        <w:rPr>
          <w:rFonts w:eastAsia="黑体"/>
          <w:bCs/>
          <w:szCs w:val="21"/>
        </w:rPr>
        <w:t xml:space="preserve">  </w:t>
      </w:r>
      <w:r>
        <w:rPr>
          <w:rFonts w:hint="eastAsia"/>
          <w:szCs w:val="21"/>
        </w:rPr>
        <w:t>指企业在报告期内从本省（自治区、直辖市）以外（包括进口）购进的能源产品数量。</w:t>
      </w:r>
    </w:p>
    <w:p w14:paraId="51E2CDDA">
      <w:pPr>
        <w:spacing w:beforeLines="0" w:line="360" w:lineRule="exact"/>
        <w:ind w:right="0" w:firstLine="420" w:firstLineChars="200"/>
        <w:textAlignment w:val="center"/>
        <w:rPr>
          <w:bCs/>
          <w:szCs w:val="21"/>
        </w:rPr>
      </w:pPr>
      <w:r>
        <w:rPr>
          <w:rFonts w:eastAsia="黑体"/>
          <w:szCs w:val="21"/>
        </w:rPr>
        <w:t>销往省外</w:t>
      </w:r>
      <w:r>
        <w:rPr>
          <w:rFonts w:eastAsia="黑体"/>
          <w:bCs/>
          <w:szCs w:val="21"/>
        </w:rPr>
        <w:t xml:space="preserve">  </w:t>
      </w:r>
      <w:r>
        <w:rPr>
          <w:rFonts w:hint="eastAsia"/>
          <w:szCs w:val="21"/>
        </w:rPr>
        <w:t>指企业在报告期内销往本省（自治区、直辖市）以外（包括出口）的数量。</w:t>
      </w:r>
    </w:p>
    <w:p w14:paraId="455B15A5">
      <w:pPr>
        <w:spacing w:beforeLines="0" w:line="360" w:lineRule="exact"/>
        <w:ind w:right="0" w:firstLine="420" w:firstLineChars="200"/>
        <w:textAlignment w:val="center"/>
        <w:rPr>
          <w:rFonts w:eastAsia="黑体"/>
          <w:sz w:val="21"/>
          <w:szCs w:val="21"/>
        </w:rPr>
      </w:pPr>
      <w:r>
        <w:rPr>
          <w:rFonts w:eastAsia="黑体"/>
          <w:szCs w:val="21"/>
        </w:rPr>
        <w:t>损耗量及其他</w:t>
      </w:r>
      <w:r>
        <w:rPr>
          <w:rFonts w:eastAsia="黑体"/>
          <w:bCs/>
          <w:szCs w:val="21"/>
        </w:rPr>
        <w:t xml:space="preserve">  </w:t>
      </w:r>
      <w:r>
        <w:rPr>
          <w:bCs/>
          <w:szCs w:val="21"/>
        </w:rPr>
        <w:t>本指标包括损耗量和其他两部分。损耗量一般指报告期内能源商品在库存或运输过程中由于各种原因产生的损耗（如物理碰撞损伤、易挥发物料的挥发、液体物料的泄露等）</w:t>
      </w:r>
      <w:r>
        <w:rPr>
          <w:rFonts w:hint="eastAsia"/>
          <w:bCs/>
          <w:szCs w:val="21"/>
        </w:rPr>
        <w:t>，</w:t>
      </w:r>
      <w:r>
        <w:rPr>
          <w:bCs/>
          <w:szCs w:val="21"/>
        </w:rPr>
        <w:t>以及企业库存的盘盈盘亏的数量；其他是指能源经销企业在报告期内将能源商品用于消费、展览、捐赠、借出以及报废等方面的数量。</w:t>
      </w:r>
    </w:p>
    <w:p w14:paraId="501FCE82">
      <w:pPr>
        <w:pStyle w:val="10"/>
        <w:adjustRightInd w:val="0"/>
        <w:spacing w:line="360" w:lineRule="exact"/>
        <w:ind w:firstLine="420" w:firstLineChars="200"/>
        <w:textAlignment w:val="center"/>
        <w:rPr>
          <w:rFonts w:hint="eastAsia" w:hAnsi="宋体" w:cs="仿宋_GB2312"/>
          <w:kern w:val="0"/>
          <w:sz w:val="21"/>
          <w:szCs w:val="21"/>
          <w:lang w:eastAsia="zh-CN"/>
        </w:rPr>
      </w:pPr>
    </w:p>
    <w:p w14:paraId="033C839F">
      <w:pPr>
        <w:pStyle w:val="3"/>
        <w:snapToGrid w:val="0"/>
        <w:spacing w:before="480" w:beforeLines="200" w:after="240" w:afterLines="100" w:line="240" w:lineRule="auto"/>
        <w:jc w:val="center"/>
        <w:rPr>
          <w:rFonts w:eastAsia="黑体"/>
          <w:b w:val="0"/>
          <w:sz w:val="32"/>
          <w:szCs w:val="32"/>
        </w:rPr>
      </w:pPr>
      <w:r>
        <w:br w:type="page"/>
      </w:r>
      <w:r>
        <w:rPr>
          <w:rFonts w:eastAsia="黑体"/>
          <w:b w:val="0"/>
          <w:sz w:val="32"/>
          <w:szCs w:val="32"/>
        </w:rPr>
        <w:t>六、附    录</w:t>
      </w:r>
    </w:p>
    <w:p w14:paraId="2075A35C">
      <w:pPr>
        <w:snapToGrid w:val="0"/>
        <w:spacing w:before="120" w:beforeLines="50" w:after="120" w:afterLines="50"/>
        <w:jc w:val="center"/>
        <w:outlineLvl w:val="1"/>
        <w:rPr>
          <w:rFonts w:eastAsia="黑体"/>
          <w:sz w:val="28"/>
          <w:szCs w:val="28"/>
        </w:rPr>
      </w:pPr>
      <w:r>
        <w:rPr>
          <w:rFonts w:eastAsia="黑体"/>
          <w:sz w:val="28"/>
          <w:szCs w:val="28"/>
        </w:rPr>
        <w:t>（一）各种能源折标准煤参考系数</w:t>
      </w:r>
    </w:p>
    <w:tbl>
      <w:tblPr>
        <w:tblStyle w:val="20"/>
        <w:tblW w:w="9425" w:type="dxa"/>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060"/>
        <w:gridCol w:w="3045"/>
        <w:gridCol w:w="3320"/>
      </w:tblGrid>
      <w:tr w14:paraId="6B1E39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3060" w:type="dxa"/>
            <w:tcBorders>
              <w:bottom w:val="single" w:color="auto" w:sz="2" w:space="0"/>
            </w:tcBorders>
            <w:shd w:val="clear" w:color="auto" w:fill="auto"/>
            <w:vAlign w:val="center"/>
          </w:tcPr>
          <w:p w14:paraId="3ACE110E">
            <w:pPr>
              <w:widowControl/>
              <w:jc w:val="center"/>
              <w:rPr>
                <w:kern w:val="0"/>
                <w:sz w:val="18"/>
                <w:szCs w:val="18"/>
              </w:rPr>
            </w:pPr>
            <w:r>
              <w:rPr>
                <w:kern w:val="0"/>
                <w:sz w:val="18"/>
                <w:szCs w:val="18"/>
              </w:rPr>
              <w:t>能源名称</w:t>
            </w:r>
          </w:p>
        </w:tc>
        <w:tc>
          <w:tcPr>
            <w:tcW w:w="3045" w:type="dxa"/>
            <w:tcBorders>
              <w:bottom w:val="single" w:color="auto" w:sz="2" w:space="0"/>
            </w:tcBorders>
            <w:shd w:val="clear" w:color="auto" w:fill="auto"/>
            <w:vAlign w:val="center"/>
          </w:tcPr>
          <w:p w14:paraId="0A11D07D">
            <w:pPr>
              <w:widowControl/>
              <w:jc w:val="center"/>
              <w:rPr>
                <w:kern w:val="0"/>
                <w:sz w:val="18"/>
                <w:szCs w:val="18"/>
              </w:rPr>
            </w:pPr>
            <w:r>
              <w:rPr>
                <w:kern w:val="0"/>
                <w:sz w:val="18"/>
                <w:szCs w:val="18"/>
              </w:rPr>
              <w:t>平均低位发热量</w:t>
            </w:r>
          </w:p>
        </w:tc>
        <w:tc>
          <w:tcPr>
            <w:tcW w:w="3320" w:type="dxa"/>
            <w:tcBorders>
              <w:bottom w:val="single" w:color="auto" w:sz="2" w:space="0"/>
            </w:tcBorders>
            <w:shd w:val="clear" w:color="auto" w:fill="auto"/>
            <w:vAlign w:val="center"/>
          </w:tcPr>
          <w:p w14:paraId="00637C39">
            <w:pPr>
              <w:widowControl/>
              <w:jc w:val="center"/>
              <w:rPr>
                <w:kern w:val="0"/>
                <w:sz w:val="18"/>
                <w:szCs w:val="18"/>
              </w:rPr>
            </w:pPr>
            <w:r>
              <w:rPr>
                <w:kern w:val="0"/>
                <w:sz w:val="18"/>
                <w:szCs w:val="18"/>
              </w:rPr>
              <w:t>参考折标准煤系数</w:t>
            </w:r>
          </w:p>
        </w:tc>
      </w:tr>
      <w:tr w14:paraId="68B8D8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single" w:color="auto" w:sz="2" w:space="0"/>
              <w:bottom w:val="nil"/>
            </w:tcBorders>
            <w:shd w:val="clear" w:color="auto" w:fill="auto"/>
            <w:vAlign w:val="center"/>
          </w:tcPr>
          <w:p w14:paraId="0F4E846B">
            <w:pPr>
              <w:widowControl/>
              <w:rPr>
                <w:kern w:val="0"/>
                <w:sz w:val="18"/>
                <w:szCs w:val="18"/>
              </w:rPr>
            </w:pPr>
            <w:r>
              <w:rPr>
                <w:kern w:val="0"/>
                <w:sz w:val="18"/>
                <w:szCs w:val="18"/>
              </w:rPr>
              <w:t>原煤</w:t>
            </w:r>
          </w:p>
        </w:tc>
        <w:tc>
          <w:tcPr>
            <w:tcW w:w="3045" w:type="dxa"/>
            <w:tcBorders>
              <w:top w:val="single" w:color="auto" w:sz="2" w:space="0"/>
              <w:bottom w:val="nil"/>
            </w:tcBorders>
            <w:shd w:val="clear" w:color="auto" w:fill="auto"/>
            <w:vAlign w:val="center"/>
          </w:tcPr>
          <w:p w14:paraId="79F70BFA">
            <w:pPr>
              <w:widowControl/>
              <w:jc w:val="center"/>
              <w:rPr>
                <w:kern w:val="0"/>
                <w:sz w:val="18"/>
                <w:szCs w:val="18"/>
              </w:rPr>
            </w:pPr>
            <w:r>
              <w:rPr>
                <w:spacing w:val="8"/>
                <w:sz w:val="18"/>
                <w:szCs w:val="18"/>
              </w:rPr>
              <w:t>－</w:t>
            </w:r>
          </w:p>
        </w:tc>
        <w:tc>
          <w:tcPr>
            <w:tcW w:w="3320" w:type="dxa"/>
            <w:tcBorders>
              <w:top w:val="single" w:color="auto" w:sz="2" w:space="0"/>
              <w:bottom w:val="nil"/>
            </w:tcBorders>
            <w:shd w:val="clear" w:color="auto" w:fill="auto"/>
            <w:vAlign w:val="center"/>
          </w:tcPr>
          <w:p w14:paraId="5E173B24">
            <w:pPr>
              <w:widowControl/>
              <w:jc w:val="center"/>
              <w:rPr>
                <w:kern w:val="0"/>
                <w:sz w:val="18"/>
                <w:szCs w:val="18"/>
              </w:rPr>
            </w:pPr>
            <w:r>
              <w:rPr>
                <w:spacing w:val="8"/>
                <w:sz w:val="18"/>
                <w:szCs w:val="18"/>
              </w:rPr>
              <w:t>－</w:t>
            </w:r>
          </w:p>
        </w:tc>
      </w:tr>
      <w:tr w14:paraId="16D76B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3F359E7">
            <w:pPr>
              <w:widowControl/>
              <w:rPr>
                <w:kern w:val="0"/>
                <w:sz w:val="18"/>
                <w:szCs w:val="18"/>
              </w:rPr>
            </w:pPr>
            <w:r>
              <w:rPr>
                <w:kern w:val="0"/>
                <w:sz w:val="18"/>
                <w:szCs w:val="18"/>
              </w:rPr>
              <w:t xml:space="preserve">  其中：无烟煤</w:t>
            </w:r>
          </w:p>
        </w:tc>
        <w:tc>
          <w:tcPr>
            <w:tcW w:w="3045" w:type="dxa"/>
            <w:tcBorders>
              <w:top w:val="nil"/>
              <w:bottom w:val="nil"/>
            </w:tcBorders>
            <w:shd w:val="clear" w:color="auto" w:fill="auto"/>
            <w:vAlign w:val="center"/>
          </w:tcPr>
          <w:p w14:paraId="674FA37D">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14:paraId="268FB25F">
            <w:pPr>
              <w:widowControl/>
              <w:rPr>
                <w:kern w:val="0"/>
                <w:sz w:val="18"/>
                <w:szCs w:val="18"/>
              </w:rPr>
            </w:pPr>
            <w:r>
              <w:rPr>
                <w:kern w:val="0"/>
                <w:sz w:val="18"/>
                <w:szCs w:val="18"/>
              </w:rPr>
              <w:t>0.9428千克标准煤/千克</w:t>
            </w:r>
          </w:p>
        </w:tc>
      </w:tr>
      <w:tr w14:paraId="2D029A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6434233">
            <w:pPr>
              <w:widowControl/>
              <w:rPr>
                <w:kern w:val="0"/>
                <w:sz w:val="18"/>
                <w:szCs w:val="18"/>
              </w:rPr>
            </w:pPr>
            <w:r>
              <w:rPr>
                <w:kern w:val="0"/>
                <w:sz w:val="18"/>
                <w:szCs w:val="18"/>
              </w:rPr>
              <w:t xml:space="preserve">        炼焦烟煤</w:t>
            </w:r>
          </w:p>
        </w:tc>
        <w:tc>
          <w:tcPr>
            <w:tcW w:w="3045" w:type="dxa"/>
            <w:tcBorders>
              <w:top w:val="nil"/>
              <w:bottom w:val="nil"/>
            </w:tcBorders>
            <w:shd w:val="clear" w:color="auto" w:fill="auto"/>
            <w:vAlign w:val="center"/>
          </w:tcPr>
          <w:p w14:paraId="0500003E">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14:paraId="7FA34D61">
            <w:pPr>
              <w:widowControl/>
              <w:rPr>
                <w:kern w:val="0"/>
                <w:sz w:val="18"/>
                <w:szCs w:val="18"/>
              </w:rPr>
            </w:pPr>
            <w:r>
              <w:rPr>
                <w:kern w:val="0"/>
                <w:sz w:val="18"/>
                <w:szCs w:val="18"/>
              </w:rPr>
              <w:t>0.9千克标准煤/千克</w:t>
            </w:r>
          </w:p>
        </w:tc>
      </w:tr>
      <w:tr w14:paraId="23475E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7C68413">
            <w:pPr>
              <w:widowControl/>
              <w:rPr>
                <w:kern w:val="0"/>
                <w:sz w:val="18"/>
                <w:szCs w:val="18"/>
              </w:rPr>
            </w:pPr>
            <w:r>
              <w:rPr>
                <w:kern w:val="0"/>
                <w:sz w:val="18"/>
                <w:szCs w:val="18"/>
              </w:rPr>
              <w:t xml:space="preserve">        一般烟煤</w:t>
            </w:r>
          </w:p>
        </w:tc>
        <w:tc>
          <w:tcPr>
            <w:tcW w:w="3045" w:type="dxa"/>
            <w:tcBorders>
              <w:top w:val="nil"/>
              <w:bottom w:val="nil"/>
            </w:tcBorders>
            <w:shd w:val="clear" w:color="auto" w:fill="auto"/>
            <w:vAlign w:val="center"/>
          </w:tcPr>
          <w:p w14:paraId="4C2D3512">
            <w:pPr>
              <w:widowControl/>
              <w:rPr>
                <w:kern w:val="0"/>
                <w:sz w:val="18"/>
                <w:szCs w:val="18"/>
              </w:rPr>
            </w:pPr>
            <w:r>
              <w:rPr>
                <w:kern w:val="0"/>
                <w:sz w:val="18"/>
                <w:szCs w:val="18"/>
              </w:rPr>
              <w:t>约4500-5500千卡/千克</w:t>
            </w:r>
          </w:p>
        </w:tc>
        <w:tc>
          <w:tcPr>
            <w:tcW w:w="3320" w:type="dxa"/>
            <w:tcBorders>
              <w:top w:val="nil"/>
              <w:bottom w:val="nil"/>
            </w:tcBorders>
            <w:shd w:val="clear" w:color="auto" w:fill="auto"/>
            <w:vAlign w:val="center"/>
          </w:tcPr>
          <w:p w14:paraId="5C42FFF9">
            <w:pPr>
              <w:widowControl/>
              <w:rPr>
                <w:kern w:val="0"/>
                <w:sz w:val="18"/>
                <w:szCs w:val="18"/>
              </w:rPr>
            </w:pPr>
            <w:r>
              <w:rPr>
                <w:kern w:val="0"/>
                <w:sz w:val="18"/>
                <w:szCs w:val="18"/>
              </w:rPr>
              <w:t>0.7143千克标准煤/千克</w:t>
            </w:r>
          </w:p>
        </w:tc>
      </w:tr>
      <w:tr w14:paraId="009B5D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AFE77B3">
            <w:pPr>
              <w:widowControl/>
              <w:rPr>
                <w:kern w:val="0"/>
                <w:sz w:val="18"/>
                <w:szCs w:val="18"/>
              </w:rPr>
            </w:pPr>
            <w:r>
              <w:rPr>
                <w:kern w:val="0"/>
                <w:sz w:val="18"/>
                <w:szCs w:val="18"/>
              </w:rPr>
              <w:t xml:space="preserve">        褐煤</w:t>
            </w:r>
          </w:p>
        </w:tc>
        <w:tc>
          <w:tcPr>
            <w:tcW w:w="3045" w:type="dxa"/>
            <w:tcBorders>
              <w:top w:val="nil"/>
              <w:bottom w:val="nil"/>
            </w:tcBorders>
            <w:shd w:val="clear" w:color="auto" w:fill="auto"/>
            <w:vAlign w:val="center"/>
          </w:tcPr>
          <w:p w14:paraId="3BD520F0">
            <w:pPr>
              <w:widowControl/>
              <w:rPr>
                <w:kern w:val="0"/>
                <w:sz w:val="18"/>
                <w:szCs w:val="18"/>
              </w:rPr>
            </w:pPr>
            <w:r>
              <w:rPr>
                <w:kern w:val="0"/>
                <w:sz w:val="18"/>
                <w:szCs w:val="18"/>
              </w:rPr>
              <w:t>约2500-3500千卡/千克</w:t>
            </w:r>
          </w:p>
        </w:tc>
        <w:tc>
          <w:tcPr>
            <w:tcW w:w="3320" w:type="dxa"/>
            <w:tcBorders>
              <w:top w:val="nil"/>
              <w:bottom w:val="nil"/>
            </w:tcBorders>
            <w:shd w:val="clear" w:color="auto" w:fill="auto"/>
            <w:vAlign w:val="center"/>
          </w:tcPr>
          <w:p w14:paraId="15B9CBEF">
            <w:pPr>
              <w:widowControl/>
              <w:rPr>
                <w:kern w:val="0"/>
                <w:sz w:val="18"/>
                <w:szCs w:val="18"/>
              </w:rPr>
            </w:pPr>
            <w:r>
              <w:rPr>
                <w:kern w:val="0"/>
                <w:sz w:val="18"/>
                <w:szCs w:val="18"/>
              </w:rPr>
              <w:t>0.4286千克标准煤/千克</w:t>
            </w:r>
          </w:p>
        </w:tc>
      </w:tr>
      <w:tr w14:paraId="3CEFEA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8E7E48B">
            <w:pPr>
              <w:widowControl/>
              <w:rPr>
                <w:kern w:val="0"/>
                <w:sz w:val="18"/>
                <w:szCs w:val="18"/>
              </w:rPr>
            </w:pPr>
            <w:r>
              <w:rPr>
                <w:kern w:val="0"/>
                <w:sz w:val="18"/>
                <w:szCs w:val="18"/>
              </w:rPr>
              <w:t>洗精煤（用于炼焦）</w:t>
            </w:r>
          </w:p>
        </w:tc>
        <w:tc>
          <w:tcPr>
            <w:tcW w:w="3045" w:type="dxa"/>
            <w:tcBorders>
              <w:top w:val="nil"/>
              <w:bottom w:val="nil"/>
            </w:tcBorders>
            <w:shd w:val="clear" w:color="auto" w:fill="auto"/>
            <w:vAlign w:val="center"/>
          </w:tcPr>
          <w:p w14:paraId="2A477B11">
            <w:pPr>
              <w:widowControl/>
              <w:rPr>
                <w:kern w:val="0"/>
                <w:sz w:val="18"/>
                <w:szCs w:val="18"/>
              </w:rPr>
            </w:pPr>
            <w:r>
              <w:rPr>
                <w:kern w:val="0"/>
                <w:sz w:val="18"/>
                <w:szCs w:val="18"/>
              </w:rPr>
              <w:t>约6000千卡/千克以上</w:t>
            </w:r>
          </w:p>
        </w:tc>
        <w:tc>
          <w:tcPr>
            <w:tcW w:w="3320" w:type="dxa"/>
            <w:tcBorders>
              <w:top w:val="nil"/>
              <w:bottom w:val="nil"/>
            </w:tcBorders>
            <w:shd w:val="clear" w:color="auto" w:fill="auto"/>
            <w:vAlign w:val="center"/>
          </w:tcPr>
          <w:p w14:paraId="4BD3680D">
            <w:pPr>
              <w:widowControl/>
              <w:rPr>
                <w:kern w:val="0"/>
                <w:sz w:val="18"/>
                <w:szCs w:val="18"/>
              </w:rPr>
            </w:pPr>
            <w:r>
              <w:rPr>
                <w:kern w:val="0"/>
                <w:sz w:val="18"/>
                <w:szCs w:val="18"/>
              </w:rPr>
              <w:t>0.9千克标准煤/千克</w:t>
            </w:r>
          </w:p>
        </w:tc>
      </w:tr>
      <w:tr w14:paraId="613C85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4BE4BD99">
            <w:pPr>
              <w:widowControl/>
              <w:rPr>
                <w:kern w:val="0"/>
                <w:sz w:val="18"/>
                <w:szCs w:val="18"/>
              </w:rPr>
            </w:pPr>
            <w:r>
              <w:rPr>
                <w:kern w:val="0"/>
                <w:sz w:val="18"/>
                <w:szCs w:val="18"/>
              </w:rPr>
              <w:t>其他洗煤</w:t>
            </w:r>
          </w:p>
        </w:tc>
        <w:tc>
          <w:tcPr>
            <w:tcW w:w="3045" w:type="dxa"/>
            <w:tcBorders>
              <w:top w:val="nil"/>
              <w:bottom w:val="nil"/>
            </w:tcBorders>
            <w:shd w:val="clear" w:color="auto" w:fill="auto"/>
            <w:vAlign w:val="center"/>
          </w:tcPr>
          <w:p w14:paraId="1C4864D6">
            <w:pPr>
              <w:widowControl/>
              <w:rPr>
                <w:kern w:val="0"/>
                <w:sz w:val="18"/>
                <w:szCs w:val="18"/>
              </w:rPr>
            </w:pPr>
            <w:r>
              <w:rPr>
                <w:kern w:val="0"/>
                <w:sz w:val="18"/>
                <w:szCs w:val="18"/>
              </w:rPr>
              <w:t>约2500-</w:t>
            </w:r>
            <w:r>
              <w:rPr>
                <w:rFonts w:hint="eastAsia"/>
                <w:kern w:val="0"/>
                <w:sz w:val="18"/>
                <w:szCs w:val="18"/>
              </w:rPr>
              <w:t>60</w:t>
            </w:r>
            <w:r>
              <w:rPr>
                <w:kern w:val="0"/>
                <w:sz w:val="18"/>
                <w:szCs w:val="18"/>
              </w:rPr>
              <w:t>00千卡/千克</w:t>
            </w:r>
          </w:p>
        </w:tc>
        <w:tc>
          <w:tcPr>
            <w:tcW w:w="3320" w:type="dxa"/>
            <w:tcBorders>
              <w:top w:val="nil"/>
              <w:bottom w:val="nil"/>
            </w:tcBorders>
            <w:shd w:val="clear" w:color="auto" w:fill="auto"/>
            <w:vAlign w:val="center"/>
          </w:tcPr>
          <w:p w14:paraId="40BB6CCB">
            <w:pPr>
              <w:widowControl/>
              <w:rPr>
                <w:kern w:val="0"/>
                <w:sz w:val="18"/>
                <w:szCs w:val="18"/>
              </w:rPr>
            </w:pPr>
            <w:r>
              <w:rPr>
                <w:kern w:val="0"/>
                <w:sz w:val="18"/>
                <w:szCs w:val="18"/>
              </w:rPr>
              <w:t>0.4643-0.</w:t>
            </w:r>
            <w:r>
              <w:rPr>
                <w:rFonts w:hint="eastAsia"/>
                <w:kern w:val="0"/>
                <w:sz w:val="18"/>
                <w:szCs w:val="18"/>
              </w:rPr>
              <w:t>9</w:t>
            </w:r>
            <w:r>
              <w:rPr>
                <w:kern w:val="0"/>
                <w:sz w:val="18"/>
                <w:szCs w:val="18"/>
              </w:rPr>
              <w:t>千克标准煤/千克</w:t>
            </w:r>
          </w:p>
        </w:tc>
      </w:tr>
      <w:tr w14:paraId="2E2802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8820189">
            <w:pPr>
              <w:widowControl/>
              <w:rPr>
                <w:kern w:val="0"/>
                <w:sz w:val="18"/>
                <w:szCs w:val="18"/>
              </w:rPr>
            </w:pPr>
            <w:r>
              <w:rPr>
                <w:kern w:val="0"/>
                <w:sz w:val="18"/>
                <w:szCs w:val="18"/>
              </w:rPr>
              <w:t>煤制品</w:t>
            </w:r>
          </w:p>
        </w:tc>
        <w:tc>
          <w:tcPr>
            <w:tcW w:w="3045" w:type="dxa"/>
            <w:tcBorders>
              <w:top w:val="nil"/>
              <w:bottom w:val="nil"/>
            </w:tcBorders>
            <w:shd w:val="clear" w:color="auto" w:fill="auto"/>
            <w:vAlign w:val="center"/>
          </w:tcPr>
          <w:p w14:paraId="4CA58C66">
            <w:pPr>
              <w:widowControl/>
              <w:rPr>
                <w:kern w:val="0"/>
                <w:sz w:val="18"/>
                <w:szCs w:val="18"/>
              </w:rPr>
            </w:pPr>
            <w:r>
              <w:rPr>
                <w:kern w:val="0"/>
                <w:sz w:val="18"/>
                <w:szCs w:val="18"/>
              </w:rPr>
              <w:t>约3000-5000千卡/千克</w:t>
            </w:r>
          </w:p>
        </w:tc>
        <w:tc>
          <w:tcPr>
            <w:tcW w:w="3320" w:type="dxa"/>
            <w:tcBorders>
              <w:top w:val="nil"/>
              <w:bottom w:val="nil"/>
            </w:tcBorders>
            <w:shd w:val="clear" w:color="auto" w:fill="auto"/>
            <w:vAlign w:val="center"/>
          </w:tcPr>
          <w:p w14:paraId="034A1167">
            <w:pPr>
              <w:widowControl/>
              <w:rPr>
                <w:kern w:val="0"/>
                <w:sz w:val="18"/>
                <w:szCs w:val="18"/>
              </w:rPr>
            </w:pPr>
            <w:r>
              <w:rPr>
                <w:kern w:val="0"/>
                <w:sz w:val="18"/>
                <w:szCs w:val="18"/>
              </w:rPr>
              <w:t>0.5286千克标准煤/千克</w:t>
            </w:r>
          </w:p>
        </w:tc>
      </w:tr>
      <w:tr w14:paraId="219B90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1AB76B4">
            <w:pPr>
              <w:widowControl/>
              <w:rPr>
                <w:kern w:val="0"/>
                <w:sz w:val="18"/>
                <w:szCs w:val="18"/>
              </w:rPr>
            </w:pPr>
            <w:r>
              <w:rPr>
                <w:kern w:val="0"/>
                <w:sz w:val="18"/>
                <w:szCs w:val="18"/>
              </w:rPr>
              <w:t>焦炭</w:t>
            </w:r>
          </w:p>
        </w:tc>
        <w:tc>
          <w:tcPr>
            <w:tcW w:w="3045" w:type="dxa"/>
            <w:tcBorders>
              <w:top w:val="nil"/>
              <w:bottom w:val="nil"/>
            </w:tcBorders>
            <w:shd w:val="clear" w:color="auto" w:fill="auto"/>
            <w:vAlign w:val="center"/>
          </w:tcPr>
          <w:p w14:paraId="015E27B4">
            <w:pPr>
              <w:widowControl/>
              <w:rPr>
                <w:kern w:val="0"/>
                <w:sz w:val="18"/>
                <w:szCs w:val="18"/>
              </w:rPr>
            </w:pPr>
            <w:r>
              <w:rPr>
                <w:kern w:val="0"/>
                <w:sz w:val="18"/>
                <w:szCs w:val="18"/>
              </w:rPr>
              <w:t>约6800千卡/千克</w:t>
            </w:r>
          </w:p>
        </w:tc>
        <w:tc>
          <w:tcPr>
            <w:tcW w:w="3320" w:type="dxa"/>
            <w:tcBorders>
              <w:top w:val="nil"/>
              <w:bottom w:val="nil"/>
            </w:tcBorders>
            <w:shd w:val="clear" w:color="auto" w:fill="auto"/>
            <w:vAlign w:val="center"/>
          </w:tcPr>
          <w:p w14:paraId="058AB6C6">
            <w:pPr>
              <w:widowControl/>
              <w:rPr>
                <w:kern w:val="0"/>
                <w:sz w:val="18"/>
                <w:szCs w:val="18"/>
              </w:rPr>
            </w:pPr>
            <w:r>
              <w:rPr>
                <w:kern w:val="0"/>
                <w:sz w:val="18"/>
                <w:szCs w:val="18"/>
              </w:rPr>
              <w:t>0.9714千克标准煤/千克</w:t>
            </w:r>
          </w:p>
        </w:tc>
      </w:tr>
      <w:tr w14:paraId="6B7028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2BCCEDF">
            <w:pPr>
              <w:widowControl/>
              <w:rPr>
                <w:kern w:val="0"/>
                <w:sz w:val="18"/>
                <w:szCs w:val="18"/>
              </w:rPr>
            </w:pPr>
            <w:r>
              <w:rPr>
                <w:kern w:val="0"/>
                <w:sz w:val="18"/>
                <w:szCs w:val="18"/>
              </w:rPr>
              <w:t>焦炉煤气</w:t>
            </w:r>
          </w:p>
        </w:tc>
        <w:tc>
          <w:tcPr>
            <w:tcW w:w="3045" w:type="dxa"/>
            <w:tcBorders>
              <w:top w:val="nil"/>
              <w:bottom w:val="nil"/>
            </w:tcBorders>
            <w:shd w:val="clear" w:color="auto" w:fill="auto"/>
            <w:vAlign w:val="center"/>
          </w:tcPr>
          <w:p w14:paraId="425FA672">
            <w:pPr>
              <w:widowControl/>
              <w:rPr>
                <w:kern w:val="0"/>
                <w:sz w:val="18"/>
                <w:szCs w:val="18"/>
              </w:rPr>
            </w:pPr>
            <w:r>
              <w:rPr>
                <w:kern w:val="0"/>
                <w:sz w:val="18"/>
                <w:szCs w:val="18"/>
              </w:rPr>
              <w:t>约4000-4300千卡/立方米</w:t>
            </w:r>
          </w:p>
        </w:tc>
        <w:tc>
          <w:tcPr>
            <w:tcW w:w="3320" w:type="dxa"/>
            <w:tcBorders>
              <w:top w:val="nil"/>
              <w:bottom w:val="nil"/>
            </w:tcBorders>
            <w:shd w:val="clear" w:color="auto" w:fill="auto"/>
            <w:vAlign w:val="center"/>
          </w:tcPr>
          <w:p w14:paraId="55AA560F">
            <w:pPr>
              <w:widowControl/>
              <w:rPr>
                <w:kern w:val="0"/>
                <w:sz w:val="18"/>
                <w:szCs w:val="18"/>
              </w:rPr>
            </w:pPr>
            <w:r>
              <w:rPr>
                <w:kern w:val="0"/>
                <w:sz w:val="18"/>
                <w:szCs w:val="18"/>
              </w:rPr>
              <w:t>0.5714-0.6143千克标准煤/立方米</w:t>
            </w:r>
          </w:p>
        </w:tc>
      </w:tr>
      <w:tr w14:paraId="77013E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4406F088">
            <w:pPr>
              <w:widowControl/>
              <w:rPr>
                <w:kern w:val="0"/>
                <w:sz w:val="18"/>
                <w:szCs w:val="18"/>
              </w:rPr>
            </w:pPr>
            <w:r>
              <w:rPr>
                <w:kern w:val="0"/>
                <w:sz w:val="18"/>
                <w:szCs w:val="18"/>
              </w:rPr>
              <w:t>发生炉煤气</w:t>
            </w:r>
          </w:p>
        </w:tc>
        <w:tc>
          <w:tcPr>
            <w:tcW w:w="3045" w:type="dxa"/>
            <w:tcBorders>
              <w:top w:val="nil"/>
              <w:bottom w:val="nil"/>
            </w:tcBorders>
            <w:shd w:val="clear" w:color="auto" w:fill="auto"/>
            <w:vAlign w:val="center"/>
          </w:tcPr>
          <w:p w14:paraId="7757D3B9">
            <w:pPr>
              <w:widowControl/>
              <w:rPr>
                <w:kern w:val="0"/>
                <w:sz w:val="18"/>
                <w:szCs w:val="18"/>
              </w:rPr>
            </w:pPr>
            <w:r>
              <w:rPr>
                <w:kern w:val="0"/>
                <w:sz w:val="18"/>
                <w:szCs w:val="18"/>
              </w:rPr>
              <w:t>约1250千卡/立方米</w:t>
            </w:r>
          </w:p>
        </w:tc>
        <w:tc>
          <w:tcPr>
            <w:tcW w:w="3320" w:type="dxa"/>
            <w:tcBorders>
              <w:top w:val="nil"/>
              <w:bottom w:val="nil"/>
            </w:tcBorders>
            <w:shd w:val="clear" w:color="auto" w:fill="auto"/>
            <w:vAlign w:val="center"/>
          </w:tcPr>
          <w:p w14:paraId="0AEB49CF">
            <w:pPr>
              <w:widowControl/>
              <w:rPr>
                <w:kern w:val="0"/>
                <w:sz w:val="18"/>
                <w:szCs w:val="18"/>
              </w:rPr>
            </w:pPr>
            <w:r>
              <w:rPr>
                <w:kern w:val="0"/>
                <w:sz w:val="18"/>
                <w:szCs w:val="18"/>
              </w:rPr>
              <w:t>0.1786千克标准煤/立方米</w:t>
            </w:r>
          </w:p>
        </w:tc>
      </w:tr>
      <w:tr w14:paraId="442BD8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6B04FC9">
            <w:pPr>
              <w:widowControl/>
              <w:rPr>
                <w:kern w:val="0"/>
                <w:sz w:val="18"/>
                <w:szCs w:val="18"/>
              </w:rPr>
            </w:pPr>
            <w:r>
              <w:rPr>
                <w:kern w:val="0"/>
                <w:sz w:val="18"/>
                <w:szCs w:val="18"/>
              </w:rPr>
              <w:t>重油催化裂解煤气</w:t>
            </w:r>
          </w:p>
        </w:tc>
        <w:tc>
          <w:tcPr>
            <w:tcW w:w="3045" w:type="dxa"/>
            <w:tcBorders>
              <w:top w:val="nil"/>
              <w:bottom w:val="nil"/>
            </w:tcBorders>
            <w:shd w:val="clear" w:color="auto" w:fill="auto"/>
            <w:vAlign w:val="center"/>
          </w:tcPr>
          <w:p w14:paraId="5C4BF40D">
            <w:pPr>
              <w:widowControl/>
              <w:rPr>
                <w:kern w:val="0"/>
                <w:sz w:val="18"/>
                <w:szCs w:val="18"/>
              </w:rPr>
            </w:pPr>
            <w:r>
              <w:rPr>
                <w:kern w:val="0"/>
                <w:sz w:val="18"/>
                <w:szCs w:val="18"/>
              </w:rPr>
              <w:t>约4600千卡/立方米</w:t>
            </w:r>
          </w:p>
        </w:tc>
        <w:tc>
          <w:tcPr>
            <w:tcW w:w="3320" w:type="dxa"/>
            <w:tcBorders>
              <w:top w:val="nil"/>
              <w:bottom w:val="nil"/>
            </w:tcBorders>
            <w:shd w:val="clear" w:color="auto" w:fill="auto"/>
            <w:vAlign w:val="center"/>
          </w:tcPr>
          <w:p w14:paraId="763E4005">
            <w:pPr>
              <w:widowControl/>
              <w:rPr>
                <w:kern w:val="0"/>
                <w:sz w:val="18"/>
                <w:szCs w:val="18"/>
              </w:rPr>
            </w:pPr>
            <w:r>
              <w:rPr>
                <w:kern w:val="0"/>
                <w:sz w:val="18"/>
                <w:szCs w:val="18"/>
              </w:rPr>
              <w:t>0.6571千克标准煤/立方米</w:t>
            </w:r>
          </w:p>
        </w:tc>
      </w:tr>
      <w:tr w14:paraId="11F6BC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2543BF60">
            <w:pPr>
              <w:widowControl/>
              <w:rPr>
                <w:kern w:val="0"/>
                <w:sz w:val="18"/>
                <w:szCs w:val="18"/>
              </w:rPr>
            </w:pPr>
            <w:r>
              <w:rPr>
                <w:kern w:val="0"/>
                <w:sz w:val="18"/>
                <w:szCs w:val="18"/>
              </w:rPr>
              <w:t>重油热裂解煤气</w:t>
            </w:r>
          </w:p>
        </w:tc>
        <w:tc>
          <w:tcPr>
            <w:tcW w:w="3045" w:type="dxa"/>
            <w:tcBorders>
              <w:top w:val="nil"/>
              <w:bottom w:val="nil"/>
            </w:tcBorders>
            <w:shd w:val="clear" w:color="auto" w:fill="auto"/>
            <w:vAlign w:val="center"/>
          </w:tcPr>
          <w:p w14:paraId="6B1E36F4">
            <w:pPr>
              <w:widowControl/>
              <w:rPr>
                <w:kern w:val="0"/>
                <w:sz w:val="18"/>
                <w:szCs w:val="18"/>
              </w:rPr>
            </w:pPr>
            <w:r>
              <w:rPr>
                <w:kern w:val="0"/>
                <w:sz w:val="18"/>
                <w:szCs w:val="18"/>
              </w:rPr>
              <w:t>约8500千卡/立方米</w:t>
            </w:r>
          </w:p>
        </w:tc>
        <w:tc>
          <w:tcPr>
            <w:tcW w:w="3320" w:type="dxa"/>
            <w:tcBorders>
              <w:top w:val="nil"/>
              <w:bottom w:val="nil"/>
            </w:tcBorders>
            <w:shd w:val="clear" w:color="auto" w:fill="auto"/>
            <w:vAlign w:val="center"/>
          </w:tcPr>
          <w:p w14:paraId="362AAD9F">
            <w:pPr>
              <w:widowControl/>
              <w:rPr>
                <w:kern w:val="0"/>
                <w:sz w:val="18"/>
                <w:szCs w:val="18"/>
              </w:rPr>
            </w:pPr>
            <w:r>
              <w:rPr>
                <w:kern w:val="0"/>
                <w:sz w:val="18"/>
                <w:szCs w:val="18"/>
              </w:rPr>
              <w:t>1.2143千克标准煤/立方米</w:t>
            </w:r>
          </w:p>
        </w:tc>
      </w:tr>
      <w:tr w14:paraId="59C12F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18E900B">
            <w:pPr>
              <w:widowControl/>
              <w:rPr>
                <w:kern w:val="0"/>
                <w:sz w:val="18"/>
                <w:szCs w:val="18"/>
              </w:rPr>
            </w:pPr>
            <w:r>
              <w:rPr>
                <w:kern w:val="0"/>
                <w:sz w:val="18"/>
                <w:szCs w:val="18"/>
              </w:rPr>
              <w:t>焦炭制气</w:t>
            </w:r>
          </w:p>
        </w:tc>
        <w:tc>
          <w:tcPr>
            <w:tcW w:w="3045" w:type="dxa"/>
            <w:tcBorders>
              <w:top w:val="nil"/>
              <w:bottom w:val="nil"/>
            </w:tcBorders>
            <w:shd w:val="clear" w:color="auto" w:fill="auto"/>
            <w:vAlign w:val="center"/>
          </w:tcPr>
          <w:p w14:paraId="02BCCF37">
            <w:pPr>
              <w:widowControl/>
              <w:rPr>
                <w:kern w:val="0"/>
                <w:sz w:val="18"/>
                <w:szCs w:val="18"/>
              </w:rPr>
            </w:pPr>
            <w:r>
              <w:rPr>
                <w:kern w:val="0"/>
                <w:sz w:val="18"/>
                <w:szCs w:val="18"/>
              </w:rPr>
              <w:t>约3900千卡/立方米</w:t>
            </w:r>
          </w:p>
        </w:tc>
        <w:tc>
          <w:tcPr>
            <w:tcW w:w="3320" w:type="dxa"/>
            <w:tcBorders>
              <w:top w:val="nil"/>
              <w:bottom w:val="nil"/>
            </w:tcBorders>
            <w:shd w:val="clear" w:color="auto" w:fill="auto"/>
            <w:vAlign w:val="center"/>
          </w:tcPr>
          <w:p w14:paraId="4ABCA10A">
            <w:pPr>
              <w:widowControl/>
              <w:rPr>
                <w:kern w:val="0"/>
                <w:sz w:val="18"/>
                <w:szCs w:val="18"/>
              </w:rPr>
            </w:pPr>
            <w:r>
              <w:rPr>
                <w:kern w:val="0"/>
                <w:sz w:val="18"/>
                <w:szCs w:val="18"/>
              </w:rPr>
              <w:t>0.5571千克标准煤/立方米</w:t>
            </w:r>
          </w:p>
        </w:tc>
      </w:tr>
      <w:tr w14:paraId="251C16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08D8B81">
            <w:pPr>
              <w:widowControl/>
              <w:rPr>
                <w:kern w:val="0"/>
                <w:sz w:val="18"/>
                <w:szCs w:val="18"/>
              </w:rPr>
            </w:pPr>
            <w:r>
              <w:rPr>
                <w:kern w:val="0"/>
                <w:sz w:val="18"/>
                <w:szCs w:val="18"/>
              </w:rPr>
              <w:t>压力气化煤气</w:t>
            </w:r>
          </w:p>
        </w:tc>
        <w:tc>
          <w:tcPr>
            <w:tcW w:w="3045" w:type="dxa"/>
            <w:tcBorders>
              <w:top w:val="nil"/>
              <w:bottom w:val="nil"/>
            </w:tcBorders>
            <w:shd w:val="clear" w:color="auto" w:fill="auto"/>
            <w:vAlign w:val="center"/>
          </w:tcPr>
          <w:p w14:paraId="598AF00A">
            <w:pPr>
              <w:widowControl/>
              <w:rPr>
                <w:kern w:val="0"/>
                <w:sz w:val="18"/>
                <w:szCs w:val="18"/>
              </w:rPr>
            </w:pPr>
            <w:r>
              <w:rPr>
                <w:kern w:val="0"/>
                <w:sz w:val="18"/>
                <w:szCs w:val="18"/>
              </w:rPr>
              <w:t>约3600千卡/立方米</w:t>
            </w:r>
          </w:p>
        </w:tc>
        <w:tc>
          <w:tcPr>
            <w:tcW w:w="3320" w:type="dxa"/>
            <w:tcBorders>
              <w:top w:val="nil"/>
              <w:bottom w:val="nil"/>
            </w:tcBorders>
            <w:shd w:val="clear" w:color="auto" w:fill="auto"/>
            <w:vAlign w:val="center"/>
          </w:tcPr>
          <w:p w14:paraId="6A2AFD2B">
            <w:pPr>
              <w:widowControl/>
              <w:rPr>
                <w:kern w:val="0"/>
                <w:sz w:val="18"/>
                <w:szCs w:val="18"/>
              </w:rPr>
            </w:pPr>
            <w:r>
              <w:rPr>
                <w:kern w:val="0"/>
                <w:sz w:val="18"/>
                <w:szCs w:val="18"/>
              </w:rPr>
              <w:t>0.5143千克标准煤/立方米</w:t>
            </w:r>
          </w:p>
        </w:tc>
      </w:tr>
      <w:tr w14:paraId="7A3E8E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3528E98A">
            <w:pPr>
              <w:widowControl/>
              <w:rPr>
                <w:kern w:val="0"/>
                <w:sz w:val="18"/>
                <w:szCs w:val="18"/>
              </w:rPr>
            </w:pPr>
            <w:r>
              <w:rPr>
                <w:kern w:val="0"/>
                <w:sz w:val="18"/>
                <w:szCs w:val="18"/>
              </w:rPr>
              <w:t>水煤气</w:t>
            </w:r>
          </w:p>
        </w:tc>
        <w:tc>
          <w:tcPr>
            <w:tcW w:w="3045" w:type="dxa"/>
            <w:tcBorders>
              <w:top w:val="nil"/>
              <w:bottom w:val="nil"/>
            </w:tcBorders>
            <w:shd w:val="clear" w:color="auto" w:fill="auto"/>
            <w:vAlign w:val="center"/>
          </w:tcPr>
          <w:p w14:paraId="17A85DEB">
            <w:pPr>
              <w:widowControl/>
              <w:rPr>
                <w:kern w:val="0"/>
                <w:sz w:val="18"/>
                <w:szCs w:val="18"/>
              </w:rPr>
            </w:pPr>
            <w:r>
              <w:rPr>
                <w:kern w:val="0"/>
                <w:sz w:val="18"/>
                <w:szCs w:val="18"/>
              </w:rPr>
              <w:t>约2500千卡/立方米</w:t>
            </w:r>
          </w:p>
        </w:tc>
        <w:tc>
          <w:tcPr>
            <w:tcW w:w="3320" w:type="dxa"/>
            <w:tcBorders>
              <w:top w:val="nil"/>
              <w:bottom w:val="nil"/>
            </w:tcBorders>
            <w:shd w:val="clear" w:color="auto" w:fill="auto"/>
            <w:vAlign w:val="center"/>
          </w:tcPr>
          <w:p w14:paraId="5E949CF7">
            <w:pPr>
              <w:widowControl/>
              <w:rPr>
                <w:kern w:val="0"/>
                <w:sz w:val="18"/>
                <w:szCs w:val="18"/>
              </w:rPr>
            </w:pPr>
            <w:r>
              <w:rPr>
                <w:kern w:val="0"/>
                <w:sz w:val="18"/>
                <w:szCs w:val="18"/>
              </w:rPr>
              <w:t>0.3571千克标准煤/立方米</w:t>
            </w:r>
          </w:p>
        </w:tc>
      </w:tr>
      <w:tr w14:paraId="1C4B14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C81DEC8">
            <w:pPr>
              <w:widowControl/>
              <w:rPr>
                <w:kern w:val="0"/>
                <w:sz w:val="18"/>
                <w:szCs w:val="18"/>
              </w:rPr>
            </w:pPr>
            <w:r>
              <w:rPr>
                <w:kern w:val="0"/>
                <w:sz w:val="18"/>
                <w:szCs w:val="18"/>
              </w:rPr>
              <w:t>天然气</w:t>
            </w:r>
          </w:p>
        </w:tc>
        <w:tc>
          <w:tcPr>
            <w:tcW w:w="3045" w:type="dxa"/>
            <w:tcBorders>
              <w:top w:val="nil"/>
              <w:bottom w:val="nil"/>
            </w:tcBorders>
            <w:shd w:val="clear" w:color="auto" w:fill="auto"/>
            <w:vAlign w:val="center"/>
          </w:tcPr>
          <w:p w14:paraId="1600CEA7">
            <w:pPr>
              <w:widowControl/>
              <w:rPr>
                <w:kern w:val="0"/>
                <w:sz w:val="18"/>
                <w:szCs w:val="18"/>
              </w:rPr>
            </w:pPr>
            <w:r>
              <w:rPr>
                <w:kern w:val="0"/>
                <w:sz w:val="18"/>
                <w:szCs w:val="18"/>
              </w:rPr>
              <w:t>约7700-9300千卡/立方米</w:t>
            </w:r>
          </w:p>
        </w:tc>
        <w:tc>
          <w:tcPr>
            <w:tcW w:w="3320" w:type="dxa"/>
            <w:tcBorders>
              <w:top w:val="nil"/>
              <w:bottom w:val="nil"/>
            </w:tcBorders>
            <w:shd w:val="clear" w:color="auto" w:fill="auto"/>
            <w:vAlign w:val="center"/>
          </w:tcPr>
          <w:p w14:paraId="2176C0F8">
            <w:pPr>
              <w:widowControl/>
              <w:rPr>
                <w:kern w:val="0"/>
                <w:sz w:val="18"/>
                <w:szCs w:val="18"/>
              </w:rPr>
            </w:pPr>
            <w:r>
              <w:rPr>
                <w:kern w:val="0"/>
                <w:sz w:val="18"/>
                <w:szCs w:val="18"/>
              </w:rPr>
              <w:t>1.10-1.33千克标准煤/立方米</w:t>
            </w:r>
          </w:p>
        </w:tc>
      </w:tr>
      <w:tr w14:paraId="1BEC5D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A640DCD">
            <w:pPr>
              <w:widowControl/>
              <w:rPr>
                <w:kern w:val="0"/>
                <w:sz w:val="18"/>
                <w:szCs w:val="18"/>
              </w:rPr>
            </w:pPr>
            <w:r>
              <w:rPr>
                <w:kern w:val="0"/>
                <w:sz w:val="18"/>
                <w:szCs w:val="18"/>
              </w:rPr>
              <w:t>液化天然气</w:t>
            </w:r>
          </w:p>
        </w:tc>
        <w:tc>
          <w:tcPr>
            <w:tcW w:w="3045" w:type="dxa"/>
            <w:tcBorders>
              <w:top w:val="nil"/>
              <w:bottom w:val="nil"/>
            </w:tcBorders>
            <w:shd w:val="clear" w:color="auto" w:fill="auto"/>
            <w:vAlign w:val="center"/>
          </w:tcPr>
          <w:p w14:paraId="44A46A64">
            <w:pPr>
              <w:widowControl/>
              <w:rPr>
                <w:kern w:val="0"/>
                <w:sz w:val="18"/>
                <w:szCs w:val="18"/>
              </w:rPr>
            </w:pPr>
            <w:r>
              <w:rPr>
                <w:kern w:val="0"/>
                <w:sz w:val="18"/>
                <w:szCs w:val="18"/>
              </w:rPr>
              <w:t>约12300千卡/千克</w:t>
            </w:r>
          </w:p>
        </w:tc>
        <w:tc>
          <w:tcPr>
            <w:tcW w:w="3320" w:type="dxa"/>
            <w:tcBorders>
              <w:top w:val="nil"/>
              <w:bottom w:val="nil"/>
            </w:tcBorders>
            <w:shd w:val="clear" w:color="auto" w:fill="auto"/>
            <w:vAlign w:val="center"/>
          </w:tcPr>
          <w:p w14:paraId="3AD3FE19">
            <w:pPr>
              <w:widowControl/>
              <w:rPr>
                <w:kern w:val="0"/>
                <w:sz w:val="18"/>
                <w:szCs w:val="18"/>
              </w:rPr>
            </w:pPr>
            <w:r>
              <w:rPr>
                <w:kern w:val="0"/>
                <w:sz w:val="18"/>
                <w:szCs w:val="18"/>
              </w:rPr>
              <w:t>1.7572千克标准煤/千克</w:t>
            </w:r>
          </w:p>
        </w:tc>
      </w:tr>
      <w:tr w14:paraId="45D3F0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176BB74">
            <w:pPr>
              <w:widowControl/>
              <w:rPr>
                <w:kern w:val="0"/>
                <w:sz w:val="18"/>
                <w:szCs w:val="18"/>
              </w:rPr>
            </w:pPr>
            <w:r>
              <w:rPr>
                <w:kern w:val="0"/>
                <w:sz w:val="18"/>
                <w:szCs w:val="18"/>
              </w:rPr>
              <w:t>煤层气</w:t>
            </w:r>
          </w:p>
        </w:tc>
        <w:tc>
          <w:tcPr>
            <w:tcW w:w="3045" w:type="dxa"/>
            <w:tcBorders>
              <w:top w:val="nil"/>
              <w:bottom w:val="nil"/>
            </w:tcBorders>
            <w:shd w:val="clear" w:color="auto" w:fill="auto"/>
            <w:vAlign w:val="center"/>
          </w:tcPr>
          <w:p w14:paraId="14012A13">
            <w:pPr>
              <w:widowControl/>
              <w:rPr>
                <w:kern w:val="0"/>
                <w:sz w:val="18"/>
                <w:szCs w:val="18"/>
              </w:rPr>
            </w:pPr>
            <w:r>
              <w:rPr>
                <w:kern w:val="0"/>
                <w:sz w:val="18"/>
                <w:szCs w:val="18"/>
              </w:rPr>
              <w:t>约7700千卡/立方米</w:t>
            </w:r>
          </w:p>
        </w:tc>
        <w:tc>
          <w:tcPr>
            <w:tcW w:w="3320" w:type="dxa"/>
            <w:tcBorders>
              <w:top w:val="nil"/>
              <w:bottom w:val="nil"/>
            </w:tcBorders>
            <w:shd w:val="clear" w:color="auto" w:fill="auto"/>
            <w:vAlign w:val="center"/>
          </w:tcPr>
          <w:p w14:paraId="0B98A735">
            <w:pPr>
              <w:widowControl/>
              <w:rPr>
                <w:kern w:val="0"/>
                <w:sz w:val="18"/>
                <w:szCs w:val="18"/>
              </w:rPr>
            </w:pPr>
            <w:r>
              <w:rPr>
                <w:kern w:val="0"/>
                <w:sz w:val="18"/>
                <w:szCs w:val="18"/>
              </w:rPr>
              <w:t>1.11</w:t>
            </w:r>
            <w:r>
              <w:rPr>
                <w:rFonts w:hint="eastAsia"/>
                <w:kern w:val="0"/>
                <w:sz w:val="18"/>
                <w:szCs w:val="18"/>
              </w:rPr>
              <w:t>千克</w:t>
            </w:r>
            <w:r>
              <w:rPr>
                <w:kern w:val="0"/>
                <w:sz w:val="18"/>
                <w:szCs w:val="18"/>
              </w:rPr>
              <w:t>标准煤/立方米</w:t>
            </w:r>
          </w:p>
        </w:tc>
      </w:tr>
      <w:tr w14:paraId="13D76F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3CA0A445">
            <w:pPr>
              <w:widowControl/>
              <w:rPr>
                <w:kern w:val="0"/>
                <w:sz w:val="18"/>
                <w:szCs w:val="18"/>
              </w:rPr>
            </w:pPr>
            <w:r>
              <w:rPr>
                <w:kern w:val="0"/>
                <w:sz w:val="18"/>
                <w:szCs w:val="18"/>
              </w:rPr>
              <w:t>原油</w:t>
            </w:r>
          </w:p>
        </w:tc>
        <w:tc>
          <w:tcPr>
            <w:tcW w:w="3045" w:type="dxa"/>
            <w:tcBorders>
              <w:top w:val="nil"/>
              <w:bottom w:val="nil"/>
            </w:tcBorders>
            <w:shd w:val="clear" w:color="auto" w:fill="auto"/>
            <w:vAlign w:val="center"/>
          </w:tcPr>
          <w:p w14:paraId="35B66CBE">
            <w:pPr>
              <w:widowControl/>
              <w:rPr>
                <w:kern w:val="0"/>
                <w:sz w:val="18"/>
                <w:szCs w:val="18"/>
              </w:rPr>
            </w:pPr>
            <w:r>
              <w:rPr>
                <w:kern w:val="0"/>
                <w:sz w:val="18"/>
                <w:szCs w:val="18"/>
              </w:rPr>
              <w:t>约10000千卡/千克</w:t>
            </w:r>
          </w:p>
        </w:tc>
        <w:tc>
          <w:tcPr>
            <w:tcW w:w="3320" w:type="dxa"/>
            <w:tcBorders>
              <w:top w:val="nil"/>
              <w:bottom w:val="nil"/>
            </w:tcBorders>
            <w:shd w:val="clear" w:color="auto" w:fill="auto"/>
            <w:vAlign w:val="center"/>
          </w:tcPr>
          <w:p w14:paraId="450955DE">
            <w:pPr>
              <w:widowControl/>
              <w:rPr>
                <w:kern w:val="0"/>
                <w:sz w:val="18"/>
                <w:szCs w:val="18"/>
              </w:rPr>
            </w:pPr>
            <w:r>
              <w:rPr>
                <w:kern w:val="0"/>
                <w:sz w:val="18"/>
                <w:szCs w:val="18"/>
              </w:rPr>
              <w:t>1.4286千克标准煤/千克</w:t>
            </w:r>
          </w:p>
        </w:tc>
      </w:tr>
      <w:tr w14:paraId="6204D9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7BEE27B">
            <w:pPr>
              <w:widowControl/>
              <w:rPr>
                <w:kern w:val="0"/>
                <w:sz w:val="18"/>
                <w:szCs w:val="18"/>
              </w:rPr>
            </w:pPr>
            <w:r>
              <w:rPr>
                <w:kern w:val="0"/>
                <w:sz w:val="18"/>
                <w:szCs w:val="18"/>
              </w:rPr>
              <w:t>汽油</w:t>
            </w:r>
          </w:p>
        </w:tc>
        <w:tc>
          <w:tcPr>
            <w:tcW w:w="3045" w:type="dxa"/>
            <w:tcBorders>
              <w:top w:val="nil"/>
              <w:bottom w:val="nil"/>
            </w:tcBorders>
            <w:shd w:val="clear" w:color="auto" w:fill="auto"/>
            <w:vAlign w:val="center"/>
          </w:tcPr>
          <w:p w14:paraId="0A94DD9E">
            <w:pPr>
              <w:widowControl/>
              <w:rPr>
                <w:kern w:val="0"/>
                <w:sz w:val="18"/>
                <w:szCs w:val="18"/>
              </w:rPr>
            </w:pPr>
            <w:r>
              <w:rPr>
                <w:kern w:val="0"/>
                <w:sz w:val="18"/>
                <w:szCs w:val="18"/>
              </w:rPr>
              <w:t>约10300千卡/千克</w:t>
            </w:r>
          </w:p>
        </w:tc>
        <w:tc>
          <w:tcPr>
            <w:tcW w:w="3320" w:type="dxa"/>
            <w:tcBorders>
              <w:top w:val="nil"/>
              <w:bottom w:val="nil"/>
            </w:tcBorders>
            <w:shd w:val="clear" w:color="auto" w:fill="auto"/>
            <w:vAlign w:val="center"/>
          </w:tcPr>
          <w:p w14:paraId="0D782CCB">
            <w:pPr>
              <w:widowControl/>
              <w:rPr>
                <w:kern w:val="0"/>
                <w:sz w:val="18"/>
                <w:szCs w:val="18"/>
              </w:rPr>
            </w:pPr>
            <w:r>
              <w:rPr>
                <w:kern w:val="0"/>
                <w:sz w:val="18"/>
                <w:szCs w:val="18"/>
              </w:rPr>
              <w:t>1.4714千克标准煤/千克</w:t>
            </w:r>
          </w:p>
        </w:tc>
      </w:tr>
      <w:tr w14:paraId="3A7A9D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4DA2393">
            <w:pPr>
              <w:widowControl/>
              <w:rPr>
                <w:kern w:val="0"/>
                <w:sz w:val="18"/>
                <w:szCs w:val="18"/>
              </w:rPr>
            </w:pPr>
            <w:r>
              <w:rPr>
                <w:kern w:val="0"/>
                <w:sz w:val="18"/>
                <w:szCs w:val="18"/>
              </w:rPr>
              <w:t>煤油</w:t>
            </w:r>
          </w:p>
        </w:tc>
        <w:tc>
          <w:tcPr>
            <w:tcW w:w="3045" w:type="dxa"/>
            <w:tcBorders>
              <w:top w:val="nil"/>
              <w:bottom w:val="nil"/>
            </w:tcBorders>
            <w:shd w:val="clear" w:color="auto" w:fill="auto"/>
            <w:vAlign w:val="center"/>
          </w:tcPr>
          <w:p w14:paraId="5341F671">
            <w:pPr>
              <w:widowControl/>
              <w:rPr>
                <w:kern w:val="0"/>
                <w:sz w:val="18"/>
                <w:szCs w:val="18"/>
              </w:rPr>
            </w:pPr>
            <w:r>
              <w:rPr>
                <w:kern w:val="0"/>
                <w:sz w:val="18"/>
                <w:szCs w:val="18"/>
              </w:rPr>
              <w:t>约10300千卡/千克</w:t>
            </w:r>
          </w:p>
        </w:tc>
        <w:tc>
          <w:tcPr>
            <w:tcW w:w="3320" w:type="dxa"/>
            <w:tcBorders>
              <w:top w:val="nil"/>
              <w:bottom w:val="nil"/>
            </w:tcBorders>
            <w:shd w:val="clear" w:color="auto" w:fill="auto"/>
            <w:vAlign w:val="center"/>
          </w:tcPr>
          <w:p w14:paraId="79864B2B">
            <w:pPr>
              <w:widowControl/>
              <w:rPr>
                <w:kern w:val="0"/>
                <w:sz w:val="18"/>
                <w:szCs w:val="18"/>
              </w:rPr>
            </w:pPr>
            <w:r>
              <w:rPr>
                <w:kern w:val="0"/>
                <w:sz w:val="18"/>
                <w:szCs w:val="18"/>
              </w:rPr>
              <w:t>1.4714千克标准煤/千克</w:t>
            </w:r>
          </w:p>
        </w:tc>
      </w:tr>
      <w:tr w14:paraId="3B9343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D263F32">
            <w:pPr>
              <w:widowControl/>
              <w:rPr>
                <w:kern w:val="0"/>
                <w:sz w:val="18"/>
                <w:szCs w:val="18"/>
              </w:rPr>
            </w:pPr>
            <w:r>
              <w:rPr>
                <w:kern w:val="0"/>
                <w:sz w:val="18"/>
                <w:szCs w:val="18"/>
              </w:rPr>
              <w:t>柴油</w:t>
            </w:r>
          </w:p>
        </w:tc>
        <w:tc>
          <w:tcPr>
            <w:tcW w:w="3045" w:type="dxa"/>
            <w:tcBorders>
              <w:top w:val="nil"/>
              <w:bottom w:val="nil"/>
            </w:tcBorders>
            <w:shd w:val="clear" w:color="auto" w:fill="auto"/>
            <w:vAlign w:val="center"/>
          </w:tcPr>
          <w:p w14:paraId="1840236B">
            <w:pPr>
              <w:widowControl/>
              <w:rPr>
                <w:kern w:val="0"/>
                <w:sz w:val="18"/>
                <w:szCs w:val="18"/>
              </w:rPr>
            </w:pPr>
            <w:r>
              <w:rPr>
                <w:kern w:val="0"/>
                <w:sz w:val="18"/>
                <w:szCs w:val="18"/>
              </w:rPr>
              <w:t>约10200千卡/千克</w:t>
            </w:r>
          </w:p>
        </w:tc>
        <w:tc>
          <w:tcPr>
            <w:tcW w:w="3320" w:type="dxa"/>
            <w:tcBorders>
              <w:top w:val="nil"/>
              <w:bottom w:val="nil"/>
            </w:tcBorders>
            <w:shd w:val="clear" w:color="auto" w:fill="auto"/>
            <w:vAlign w:val="center"/>
          </w:tcPr>
          <w:p w14:paraId="1B674314">
            <w:pPr>
              <w:widowControl/>
              <w:rPr>
                <w:kern w:val="0"/>
                <w:sz w:val="18"/>
                <w:szCs w:val="18"/>
              </w:rPr>
            </w:pPr>
            <w:r>
              <w:rPr>
                <w:kern w:val="0"/>
                <w:sz w:val="18"/>
                <w:szCs w:val="18"/>
              </w:rPr>
              <w:t>1.4571千克标准煤/千克</w:t>
            </w:r>
          </w:p>
        </w:tc>
      </w:tr>
      <w:tr w14:paraId="0A6735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43C58B17">
            <w:pPr>
              <w:widowControl/>
              <w:rPr>
                <w:kern w:val="0"/>
                <w:sz w:val="18"/>
                <w:szCs w:val="18"/>
              </w:rPr>
            </w:pPr>
            <w:r>
              <w:rPr>
                <w:kern w:val="0"/>
                <w:sz w:val="18"/>
                <w:szCs w:val="18"/>
              </w:rPr>
              <w:t>燃料油</w:t>
            </w:r>
          </w:p>
        </w:tc>
        <w:tc>
          <w:tcPr>
            <w:tcW w:w="3045" w:type="dxa"/>
            <w:tcBorders>
              <w:top w:val="nil"/>
              <w:bottom w:val="nil"/>
            </w:tcBorders>
            <w:shd w:val="clear" w:color="auto" w:fill="auto"/>
            <w:vAlign w:val="center"/>
          </w:tcPr>
          <w:p w14:paraId="6DF6827E">
            <w:pPr>
              <w:widowControl/>
              <w:rPr>
                <w:kern w:val="0"/>
                <w:sz w:val="18"/>
                <w:szCs w:val="18"/>
              </w:rPr>
            </w:pPr>
            <w:r>
              <w:rPr>
                <w:kern w:val="0"/>
                <w:sz w:val="18"/>
                <w:szCs w:val="18"/>
              </w:rPr>
              <w:t>约10000千卡/千克</w:t>
            </w:r>
          </w:p>
        </w:tc>
        <w:tc>
          <w:tcPr>
            <w:tcW w:w="3320" w:type="dxa"/>
            <w:tcBorders>
              <w:top w:val="nil"/>
              <w:bottom w:val="nil"/>
            </w:tcBorders>
            <w:shd w:val="clear" w:color="auto" w:fill="auto"/>
            <w:vAlign w:val="center"/>
          </w:tcPr>
          <w:p w14:paraId="48C8657C">
            <w:pPr>
              <w:widowControl/>
              <w:rPr>
                <w:kern w:val="0"/>
                <w:sz w:val="18"/>
                <w:szCs w:val="18"/>
              </w:rPr>
            </w:pPr>
            <w:r>
              <w:rPr>
                <w:kern w:val="0"/>
                <w:sz w:val="18"/>
                <w:szCs w:val="18"/>
              </w:rPr>
              <w:t>1.4286千克标准煤/千克</w:t>
            </w:r>
          </w:p>
        </w:tc>
      </w:tr>
      <w:tr w14:paraId="2AB02A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D7C8FD5">
            <w:pPr>
              <w:widowControl/>
              <w:rPr>
                <w:kern w:val="0"/>
                <w:sz w:val="18"/>
                <w:szCs w:val="18"/>
              </w:rPr>
            </w:pPr>
            <w:r>
              <w:rPr>
                <w:kern w:val="0"/>
                <w:sz w:val="18"/>
                <w:szCs w:val="18"/>
              </w:rPr>
              <w:t>液化石油气</w:t>
            </w:r>
          </w:p>
        </w:tc>
        <w:tc>
          <w:tcPr>
            <w:tcW w:w="3045" w:type="dxa"/>
            <w:tcBorders>
              <w:top w:val="nil"/>
              <w:bottom w:val="nil"/>
            </w:tcBorders>
            <w:shd w:val="clear" w:color="auto" w:fill="auto"/>
            <w:vAlign w:val="center"/>
          </w:tcPr>
          <w:p w14:paraId="56AC6FEC">
            <w:pPr>
              <w:widowControl/>
              <w:rPr>
                <w:kern w:val="0"/>
                <w:sz w:val="18"/>
                <w:szCs w:val="18"/>
              </w:rPr>
            </w:pPr>
            <w:r>
              <w:rPr>
                <w:kern w:val="0"/>
                <w:sz w:val="18"/>
                <w:szCs w:val="18"/>
              </w:rPr>
              <w:t>约12000千卡/千克</w:t>
            </w:r>
          </w:p>
        </w:tc>
        <w:tc>
          <w:tcPr>
            <w:tcW w:w="3320" w:type="dxa"/>
            <w:tcBorders>
              <w:top w:val="nil"/>
              <w:bottom w:val="nil"/>
            </w:tcBorders>
            <w:shd w:val="clear" w:color="auto" w:fill="auto"/>
            <w:vAlign w:val="center"/>
          </w:tcPr>
          <w:p w14:paraId="09126003">
            <w:pPr>
              <w:widowControl/>
              <w:rPr>
                <w:kern w:val="0"/>
                <w:sz w:val="18"/>
                <w:szCs w:val="18"/>
              </w:rPr>
            </w:pPr>
            <w:r>
              <w:rPr>
                <w:kern w:val="0"/>
                <w:sz w:val="18"/>
                <w:szCs w:val="18"/>
              </w:rPr>
              <w:t>1.7143千克标准煤/千克</w:t>
            </w:r>
          </w:p>
        </w:tc>
      </w:tr>
      <w:tr w14:paraId="526793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5AF829B">
            <w:pPr>
              <w:widowControl/>
              <w:rPr>
                <w:kern w:val="0"/>
                <w:sz w:val="18"/>
                <w:szCs w:val="18"/>
              </w:rPr>
            </w:pPr>
            <w:r>
              <w:rPr>
                <w:kern w:val="0"/>
                <w:sz w:val="18"/>
                <w:szCs w:val="18"/>
              </w:rPr>
              <w:t>炼厂干气</w:t>
            </w:r>
          </w:p>
        </w:tc>
        <w:tc>
          <w:tcPr>
            <w:tcW w:w="3045" w:type="dxa"/>
            <w:tcBorders>
              <w:top w:val="nil"/>
              <w:bottom w:val="nil"/>
            </w:tcBorders>
            <w:shd w:val="clear" w:color="auto" w:fill="auto"/>
            <w:vAlign w:val="center"/>
          </w:tcPr>
          <w:p w14:paraId="641053BA">
            <w:pPr>
              <w:widowControl/>
              <w:rPr>
                <w:kern w:val="0"/>
                <w:sz w:val="18"/>
                <w:szCs w:val="18"/>
              </w:rPr>
            </w:pPr>
            <w:r>
              <w:rPr>
                <w:kern w:val="0"/>
                <w:sz w:val="18"/>
                <w:szCs w:val="18"/>
              </w:rPr>
              <w:t>约11000千卡/千克</w:t>
            </w:r>
          </w:p>
        </w:tc>
        <w:tc>
          <w:tcPr>
            <w:tcW w:w="3320" w:type="dxa"/>
            <w:tcBorders>
              <w:top w:val="nil"/>
              <w:bottom w:val="nil"/>
            </w:tcBorders>
            <w:shd w:val="clear" w:color="auto" w:fill="auto"/>
            <w:vAlign w:val="center"/>
          </w:tcPr>
          <w:p w14:paraId="31DE616E">
            <w:pPr>
              <w:widowControl/>
              <w:rPr>
                <w:kern w:val="0"/>
                <w:sz w:val="18"/>
                <w:szCs w:val="18"/>
              </w:rPr>
            </w:pPr>
            <w:r>
              <w:rPr>
                <w:kern w:val="0"/>
                <w:sz w:val="18"/>
                <w:szCs w:val="18"/>
              </w:rPr>
              <w:t>1.5714千克标准煤/千克</w:t>
            </w:r>
          </w:p>
        </w:tc>
      </w:tr>
      <w:tr w14:paraId="6AAEB9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85583E5">
            <w:pPr>
              <w:widowControl/>
              <w:rPr>
                <w:kern w:val="0"/>
                <w:sz w:val="18"/>
                <w:szCs w:val="18"/>
              </w:rPr>
            </w:pPr>
            <w:r>
              <w:rPr>
                <w:kern w:val="0"/>
                <w:sz w:val="18"/>
                <w:szCs w:val="18"/>
              </w:rPr>
              <w:t>石脑油</w:t>
            </w:r>
          </w:p>
        </w:tc>
        <w:tc>
          <w:tcPr>
            <w:tcW w:w="3045" w:type="dxa"/>
            <w:tcBorders>
              <w:top w:val="nil"/>
              <w:bottom w:val="nil"/>
            </w:tcBorders>
            <w:shd w:val="clear" w:color="auto" w:fill="auto"/>
            <w:vAlign w:val="center"/>
          </w:tcPr>
          <w:p w14:paraId="11E740EE">
            <w:pPr>
              <w:widowControl/>
              <w:rPr>
                <w:kern w:val="0"/>
                <w:sz w:val="18"/>
                <w:szCs w:val="18"/>
              </w:rPr>
            </w:pPr>
            <w:r>
              <w:rPr>
                <w:kern w:val="0"/>
                <w:sz w:val="18"/>
                <w:szCs w:val="18"/>
              </w:rPr>
              <w:t>约10500千卡/千克</w:t>
            </w:r>
          </w:p>
        </w:tc>
        <w:tc>
          <w:tcPr>
            <w:tcW w:w="3320" w:type="dxa"/>
            <w:tcBorders>
              <w:top w:val="nil"/>
              <w:bottom w:val="nil"/>
            </w:tcBorders>
            <w:shd w:val="clear" w:color="auto" w:fill="auto"/>
            <w:vAlign w:val="center"/>
          </w:tcPr>
          <w:p w14:paraId="401CBB1A">
            <w:pPr>
              <w:widowControl/>
              <w:rPr>
                <w:kern w:val="0"/>
                <w:sz w:val="18"/>
                <w:szCs w:val="18"/>
              </w:rPr>
            </w:pPr>
            <w:r>
              <w:rPr>
                <w:kern w:val="0"/>
                <w:sz w:val="18"/>
                <w:szCs w:val="18"/>
              </w:rPr>
              <w:t>1.5千克标准煤/千克</w:t>
            </w:r>
          </w:p>
        </w:tc>
      </w:tr>
      <w:tr w14:paraId="5D61EB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4FE3D0FD">
            <w:pPr>
              <w:widowControl/>
              <w:rPr>
                <w:kern w:val="0"/>
                <w:sz w:val="18"/>
                <w:szCs w:val="18"/>
              </w:rPr>
            </w:pPr>
            <w:r>
              <w:rPr>
                <w:kern w:val="0"/>
                <w:sz w:val="18"/>
                <w:szCs w:val="18"/>
              </w:rPr>
              <w:t>润滑油</w:t>
            </w:r>
          </w:p>
        </w:tc>
        <w:tc>
          <w:tcPr>
            <w:tcW w:w="3045" w:type="dxa"/>
            <w:tcBorders>
              <w:top w:val="nil"/>
              <w:bottom w:val="nil"/>
            </w:tcBorders>
            <w:shd w:val="clear" w:color="auto" w:fill="auto"/>
            <w:vAlign w:val="center"/>
          </w:tcPr>
          <w:p w14:paraId="1DE2EF1F">
            <w:pPr>
              <w:widowControl/>
              <w:rPr>
                <w:kern w:val="0"/>
                <w:sz w:val="18"/>
                <w:szCs w:val="18"/>
              </w:rPr>
            </w:pPr>
            <w:r>
              <w:rPr>
                <w:kern w:val="0"/>
                <w:sz w:val="18"/>
                <w:szCs w:val="18"/>
              </w:rPr>
              <w:t>约9900千卡/千克</w:t>
            </w:r>
          </w:p>
        </w:tc>
        <w:tc>
          <w:tcPr>
            <w:tcW w:w="3320" w:type="dxa"/>
            <w:tcBorders>
              <w:top w:val="nil"/>
              <w:bottom w:val="nil"/>
            </w:tcBorders>
            <w:shd w:val="clear" w:color="auto" w:fill="auto"/>
            <w:vAlign w:val="center"/>
          </w:tcPr>
          <w:p w14:paraId="2734643A">
            <w:pPr>
              <w:widowControl/>
              <w:rPr>
                <w:kern w:val="0"/>
                <w:sz w:val="18"/>
                <w:szCs w:val="18"/>
              </w:rPr>
            </w:pPr>
            <w:r>
              <w:rPr>
                <w:kern w:val="0"/>
                <w:sz w:val="18"/>
                <w:szCs w:val="18"/>
              </w:rPr>
              <w:t>1.4143 千克标准煤/千克</w:t>
            </w:r>
          </w:p>
        </w:tc>
      </w:tr>
      <w:tr w14:paraId="348E34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17B88E35">
            <w:pPr>
              <w:widowControl/>
              <w:rPr>
                <w:kern w:val="0"/>
                <w:sz w:val="18"/>
                <w:szCs w:val="18"/>
              </w:rPr>
            </w:pPr>
            <w:r>
              <w:rPr>
                <w:kern w:val="0"/>
                <w:sz w:val="18"/>
                <w:szCs w:val="18"/>
              </w:rPr>
              <w:t>石蜡</w:t>
            </w:r>
          </w:p>
        </w:tc>
        <w:tc>
          <w:tcPr>
            <w:tcW w:w="3045" w:type="dxa"/>
            <w:tcBorders>
              <w:top w:val="nil"/>
              <w:bottom w:val="nil"/>
            </w:tcBorders>
            <w:shd w:val="clear" w:color="auto" w:fill="auto"/>
            <w:vAlign w:val="center"/>
          </w:tcPr>
          <w:p w14:paraId="0B18DDC4">
            <w:pPr>
              <w:widowControl/>
              <w:rPr>
                <w:kern w:val="0"/>
                <w:sz w:val="18"/>
                <w:szCs w:val="18"/>
              </w:rPr>
            </w:pPr>
            <w:r>
              <w:rPr>
                <w:kern w:val="0"/>
                <w:sz w:val="18"/>
                <w:szCs w:val="18"/>
              </w:rPr>
              <w:t>约9550千卡/千克</w:t>
            </w:r>
          </w:p>
        </w:tc>
        <w:tc>
          <w:tcPr>
            <w:tcW w:w="3320" w:type="dxa"/>
            <w:tcBorders>
              <w:top w:val="nil"/>
              <w:bottom w:val="nil"/>
            </w:tcBorders>
            <w:shd w:val="clear" w:color="auto" w:fill="auto"/>
            <w:vAlign w:val="center"/>
          </w:tcPr>
          <w:p w14:paraId="4EC636C7">
            <w:pPr>
              <w:widowControl/>
              <w:rPr>
                <w:kern w:val="0"/>
                <w:sz w:val="18"/>
                <w:szCs w:val="18"/>
              </w:rPr>
            </w:pPr>
            <w:r>
              <w:rPr>
                <w:kern w:val="0"/>
                <w:sz w:val="18"/>
                <w:szCs w:val="18"/>
              </w:rPr>
              <w:t>1.3648千克标准煤/千克</w:t>
            </w:r>
          </w:p>
        </w:tc>
      </w:tr>
      <w:tr w14:paraId="5C5278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1EB1BEBF">
            <w:pPr>
              <w:widowControl/>
              <w:rPr>
                <w:kern w:val="0"/>
                <w:sz w:val="18"/>
                <w:szCs w:val="18"/>
              </w:rPr>
            </w:pPr>
            <w:r>
              <w:rPr>
                <w:kern w:val="0"/>
                <w:sz w:val="18"/>
                <w:szCs w:val="18"/>
              </w:rPr>
              <w:t>溶剂油</w:t>
            </w:r>
          </w:p>
        </w:tc>
        <w:tc>
          <w:tcPr>
            <w:tcW w:w="3045" w:type="dxa"/>
            <w:tcBorders>
              <w:top w:val="nil"/>
              <w:bottom w:val="nil"/>
            </w:tcBorders>
            <w:shd w:val="clear" w:color="auto" w:fill="auto"/>
            <w:vAlign w:val="center"/>
          </w:tcPr>
          <w:p w14:paraId="07B2E2DC">
            <w:pPr>
              <w:widowControl/>
              <w:rPr>
                <w:kern w:val="0"/>
                <w:sz w:val="18"/>
                <w:szCs w:val="18"/>
              </w:rPr>
            </w:pPr>
            <w:r>
              <w:rPr>
                <w:kern w:val="0"/>
                <w:sz w:val="18"/>
                <w:szCs w:val="18"/>
              </w:rPr>
              <w:t>约10270千卡/千克</w:t>
            </w:r>
          </w:p>
        </w:tc>
        <w:tc>
          <w:tcPr>
            <w:tcW w:w="3320" w:type="dxa"/>
            <w:tcBorders>
              <w:top w:val="nil"/>
              <w:bottom w:val="nil"/>
            </w:tcBorders>
            <w:shd w:val="clear" w:color="auto" w:fill="auto"/>
            <w:vAlign w:val="center"/>
          </w:tcPr>
          <w:p w14:paraId="657C950B">
            <w:pPr>
              <w:widowControl/>
              <w:rPr>
                <w:kern w:val="0"/>
                <w:sz w:val="18"/>
                <w:szCs w:val="18"/>
              </w:rPr>
            </w:pPr>
            <w:r>
              <w:rPr>
                <w:kern w:val="0"/>
                <w:sz w:val="18"/>
                <w:szCs w:val="18"/>
              </w:rPr>
              <w:t>1.4672千克标准煤/千克</w:t>
            </w:r>
          </w:p>
        </w:tc>
      </w:tr>
      <w:tr w14:paraId="62E2C9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2C74132C">
            <w:pPr>
              <w:widowControl/>
              <w:rPr>
                <w:kern w:val="0"/>
                <w:sz w:val="18"/>
                <w:szCs w:val="18"/>
              </w:rPr>
            </w:pPr>
            <w:r>
              <w:rPr>
                <w:kern w:val="0"/>
                <w:sz w:val="18"/>
                <w:szCs w:val="18"/>
              </w:rPr>
              <w:t>石油焦</w:t>
            </w:r>
          </w:p>
        </w:tc>
        <w:tc>
          <w:tcPr>
            <w:tcW w:w="3045" w:type="dxa"/>
            <w:tcBorders>
              <w:top w:val="nil"/>
              <w:bottom w:val="nil"/>
            </w:tcBorders>
            <w:shd w:val="clear" w:color="auto" w:fill="auto"/>
            <w:vAlign w:val="center"/>
          </w:tcPr>
          <w:p w14:paraId="0FF57A12">
            <w:pPr>
              <w:widowControl/>
              <w:rPr>
                <w:kern w:val="0"/>
                <w:sz w:val="18"/>
                <w:szCs w:val="18"/>
              </w:rPr>
            </w:pPr>
            <w:r>
              <w:rPr>
                <w:kern w:val="0"/>
                <w:sz w:val="18"/>
                <w:szCs w:val="18"/>
              </w:rPr>
              <w:t>约7640千卡/千克</w:t>
            </w:r>
          </w:p>
        </w:tc>
        <w:tc>
          <w:tcPr>
            <w:tcW w:w="3320" w:type="dxa"/>
            <w:tcBorders>
              <w:top w:val="nil"/>
              <w:bottom w:val="nil"/>
            </w:tcBorders>
            <w:shd w:val="clear" w:color="auto" w:fill="auto"/>
            <w:vAlign w:val="center"/>
          </w:tcPr>
          <w:p w14:paraId="16089FAD">
            <w:pPr>
              <w:widowControl/>
              <w:rPr>
                <w:kern w:val="0"/>
                <w:sz w:val="18"/>
                <w:szCs w:val="18"/>
              </w:rPr>
            </w:pPr>
            <w:r>
              <w:rPr>
                <w:kern w:val="0"/>
                <w:sz w:val="18"/>
                <w:szCs w:val="18"/>
              </w:rPr>
              <w:t>1.0918千克标准煤/千克</w:t>
            </w:r>
          </w:p>
        </w:tc>
      </w:tr>
      <w:tr w14:paraId="18C62D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5EBF89B">
            <w:pPr>
              <w:widowControl/>
              <w:rPr>
                <w:kern w:val="0"/>
                <w:sz w:val="18"/>
                <w:szCs w:val="18"/>
              </w:rPr>
            </w:pPr>
            <w:r>
              <w:rPr>
                <w:kern w:val="0"/>
                <w:sz w:val="18"/>
                <w:szCs w:val="18"/>
              </w:rPr>
              <w:t>石油沥青</w:t>
            </w:r>
          </w:p>
        </w:tc>
        <w:tc>
          <w:tcPr>
            <w:tcW w:w="3045" w:type="dxa"/>
            <w:tcBorders>
              <w:top w:val="nil"/>
              <w:bottom w:val="nil"/>
            </w:tcBorders>
            <w:shd w:val="clear" w:color="auto" w:fill="auto"/>
            <w:vAlign w:val="center"/>
          </w:tcPr>
          <w:p w14:paraId="091017BB">
            <w:pPr>
              <w:widowControl/>
              <w:rPr>
                <w:kern w:val="0"/>
                <w:sz w:val="18"/>
                <w:szCs w:val="18"/>
              </w:rPr>
            </w:pPr>
            <w:r>
              <w:rPr>
                <w:kern w:val="0"/>
                <w:sz w:val="18"/>
                <w:szCs w:val="18"/>
              </w:rPr>
              <w:t>约9310千卡/千克</w:t>
            </w:r>
          </w:p>
        </w:tc>
        <w:tc>
          <w:tcPr>
            <w:tcW w:w="3320" w:type="dxa"/>
            <w:tcBorders>
              <w:top w:val="nil"/>
              <w:bottom w:val="nil"/>
            </w:tcBorders>
            <w:shd w:val="clear" w:color="auto" w:fill="auto"/>
            <w:vAlign w:val="center"/>
          </w:tcPr>
          <w:p w14:paraId="3FEE2AD5">
            <w:pPr>
              <w:widowControl/>
              <w:rPr>
                <w:kern w:val="0"/>
                <w:sz w:val="18"/>
                <w:szCs w:val="18"/>
              </w:rPr>
            </w:pPr>
            <w:r>
              <w:rPr>
                <w:kern w:val="0"/>
                <w:sz w:val="18"/>
                <w:szCs w:val="18"/>
              </w:rPr>
              <w:t>1.3307千克标准煤/千克</w:t>
            </w:r>
          </w:p>
        </w:tc>
      </w:tr>
      <w:tr w14:paraId="6CAAD6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21B179F7">
            <w:pPr>
              <w:widowControl/>
              <w:rPr>
                <w:kern w:val="0"/>
                <w:sz w:val="18"/>
                <w:szCs w:val="18"/>
              </w:rPr>
            </w:pPr>
            <w:r>
              <w:rPr>
                <w:kern w:val="0"/>
                <w:sz w:val="18"/>
                <w:szCs w:val="18"/>
              </w:rPr>
              <w:t>其他石油制品</w:t>
            </w:r>
          </w:p>
        </w:tc>
        <w:tc>
          <w:tcPr>
            <w:tcW w:w="3045" w:type="dxa"/>
            <w:tcBorders>
              <w:top w:val="nil"/>
              <w:bottom w:val="nil"/>
            </w:tcBorders>
            <w:shd w:val="clear" w:color="auto" w:fill="auto"/>
            <w:vAlign w:val="center"/>
          </w:tcPr>
          <w:p w14:paraId="75FAF9EF">
            <w:pPr>
              <w:widowControl/>
              <w:rPr>
                <w:kern w:val="0"/>
                <w:sz w:val="18"/>
                <w:szCs w:val="18"/>
              </w:rPr>
            </w:pPr>
            <w:r>
              <w:rPr>
                <w:kern w:val="0"/>
                <w:sz w:val="18"/>
                <w:szCs w:val="18"/>
              </w:rPr>
              <w:t>约9800千卡/千克</w:t>
            </w:r>
          </w:p>
        </w:tc>
        <w:tc>
          <w:tcPr>
            <w:tcW w:w="3320" w:type="dxa"/>
            <w:tcBorders>
              <w:top w:val="nil"/>
              <w:bottom w:val="nil"/>
            </w:tcBorders>
            <w:shd w:val="clear" w:color="auto" w:fill="auto"/>
            <w:vAlign w:val="center"/>
          </w:tcPr>
          <w:p w14:paraId="5C0C059F">
            <w:pPr>
              <w:widowControl/>
              <w:rPr>
                <w:kern w:val="0"/>
                <w:sz w:val="18"/>
                <w:szCs w:val="18"/>
              </w:rPr>
            </w:pPr>
            <w:r>
              <w:rPr>
                <w:kern w:val="0"/>
                <w:sz w:val="18"/>
                <w:szCs w:val="18"/>
              </w:rPr>
              <w:t>1.4千克标准煤/千克</w:t>
            </w:r>
          </w:p>
        </w:tc>
      </w:tr>
      <w:tr w14:paraId="5063E2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FD9E059">
            <w:pPr>
              <w:widowControl/>
              <w:rPr>
                <w:kern w:val="0"/>
                <w:sz w:val="18"/>
                <w:szCs w:val="18"/>
              </w:rPr>
            </w:pPr>
            <w:r>
              <w:rPr>
                <w:kern w:val="0"/>
                <w:sz w:val="18"/>
                <w:szCs w:val="18"/>
              </w:rPr>
              <w:t>煤焦油</w:t>
            </w:r>
          </w:p>
        </w:tc>
        <w:tc>
          <w:tcPr>
            <w:tcW w:w="3045" w:type="dxa"/>
            <w:tcBorders>
              <w:top w:val="nil"/>
              <w:bottom w:val="nil"/>
            </w:tcBorders>
            <w:shd w:val="clear" w:color="auto" w:fill="auto"/>
            <w:vAlign w:val="center"/>
          </w:tcPr>
          <w:p w14:paraId="1BB1B2C1">
            <w:pPr>
              <w:widowControl/>
              <w:rPr>
                <w:kern w:val="0"/>
                <w:sz w:val="18"/>
                <w:szCs w:val="18"/>
              </w:rPr>
            </w:pPr>
            <w:r>
              <w:rPr>
                <w:kern w:val="0"/>
                <w:sz w:val="18"/>
                <w:szCs w:val="18"/>
              </w:rPr>
              <w:t>约8000千卡/千克</w:t>
            </w:r>
          </w:p>
        </w:tc>
        <w:tc>
          <w:tcPr>
            <w:tcW w:w="3320" w:type="dxa"/>
            <w:tcBorders>
              <w:top w:val="nil"/>
              <w:bottom w:val="nil"/>
            </w:tcBorders>
            <w:shd w:val="clear" w:color="auto" w:fill="auto"/>
            <w:vAlign w:val="center"/>
          </w:tcPr>
          <w:p w14:paraId="0B2DDF28">
            <w:pPr>
              <w:widowControl/>
              <w:rPr>
                <w:kern w:val="0"/>
                <w:sz w:val="18"/>
                <w:szCs w:val="18"/>
              </w:rPr>
            </w:pPr>
            <w:r>
              <w:rPr>
                <w:kern w:val="0"/>
                <w:sz w:val="18"/>
                <w:szCs w:val="18"/>
              </w:rPr>
              <w:t>1.1429千克标准煤/千克</w:t>
            </w:r>
          </w:p>
        </w:tc>
      </w:tr>
      <w:tr w14:paraId="495388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single" w:color="auto" w:sz="8" w:space="0"/>
            </w:tcBorders>
            <w:shd w:val="clear" w:color="auto" w:fill="auto"/>
            <w:vAlign w:val="center"/>
          </w:tcPr>
          <w:p w14:paraId="595CA0F0">
            <w:pPr>
              <w:widowControl/>
              <w:rPr>
                <w:kern w:val="0"/>
                <w:sz w:val="18"/>
                <w:szCs w:val="18"/>
              </w:rPr>
            </w:pPr>
            <w:r>
              <w:rPr>
                <w:kern w:val="0"/>
                <w:sz w:val="18"/>
                <w:szCs w:val="18"/>
              </w:rPr>
              <w:t>粗苯</w:t>
            </w:r>
          </w:p>
        </w:tc>
        <w:tc>
          <w:tcPr>
            <w:tcW w:w="3045" w:type="dxa"/>
            <w:tcBorders>
              <w:top w:val="nil"/>
              <w:bottom w:val="single" w:color="auto" w:sz="8" w:space="0"/>
            </w:tcBorders>
            <w:shd w:val="clear" w:color="auto" w:fill="auto"/>
            <w:vAlign w:val="center"/>
          </w:tcPr>
          <w:p w14:paraId="3B97263A">
            <w:pPr>
              <w:widowControl/>
              <w:rPr>
                <w:kern w:val="0"/>
                <w:sz w:val="18"/>
                <w:szCs w:val="18"/>
              </w:rPr>
            </w:pPr>
            <w:r>
              <w:rPr>
                <w:kern w:val="0"/>
                <w:sz w:val="18"/>
                <w:szCs w:val="18"/>
              </w:rPr>
              <w:t>约10000千卡/千克</w:t>
            </w:r>
          </w:p>
        </w:tc>
        <w:tc>
          <w:tcPr>
            <w:tcW w:w="3320" w:type="dxa"/>
            <w:tcBorders>
              <w:top w:val="nil"/>
              <w:bottom w:val="single" w:color="auto" w:sz="8" w:space="0"/>
            </w:tcBorders>
            <w:shd w:val="clear" w:color="auto" w:fill="auto"/>
            <w:vAlign w:val="center"/>
          </w:tcPr>
          <w:p w14:paraId="2EDFB2DB">
            <w:pPr>
              <w:widowControl/>
              <w:rPr>
                <w:kern w:val="0"/>
                <w:sz w:val="18"/>
                <w:szCs w:val="18"/>
              </w:rPr>
            </w:pPr>
            <w:r>
              <w:rPr>
                <w:kern w:val="0"/>
                <w:sz w:val="18"/>
                <w:szCs w:val="18"/>
              </w:rPr>
              <w:t>1.4286千克标准煤/千克</w:t>
            </w:r>
          </w:p>
        </w:tc>
      </w:tr>
    </w:tbl>
    <w:p w14:paraId="66D2F3DF">
      <w:pPr>
        <w:autoSpaceDE w:val="0"/>
        <w:autoSpaceDN w:val="0"/>
        <w:adjustRightInd w:val="0"/>
        <w:spacing w:line="400" w:lineRule="exact"/>
        <w:rPr>
          <w:szCs w:val="21"/>
        </w:rPr>
      </w:pPr>
      <w:r>
        <w:rPr>
          <w:sz w:val="30"/>
          <w:szCs w:val="30"/>
        </w:rPr>
        <w:br w:type="page"/>
      </w:r>
    </w:p>
    <w:tbl>
      <w:tblPr>
        <w:tblStyle w:val="20"/>
        <w:tblW w:w="9425" w:type="dxa"/>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060"/>
        <w:gridCol w:w="3045"/>
        <w:gridCol w:w="3320"/>
      </w:tblGrid>
      <w:tr w14:paraId="4DE7C9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060" w:type="dxa"/>
            <w:tcBorders>
              <w:bottom w:val="single" w:color="auto" w:sz="2" w:space="0"/>
            </w:tcBorders>
            <w:shd w:val="clear" w:color="auto" w:fill="auto"/>
            <w:vAlign w:val="center"/>
          </w:tcPr>
          <w:p w14:paraId="6AC3818F">
            <w:pPr>
              <w:widowControl/>
              <w:jc w:val="center"/>
              <w:rPr>
                <w:kern w:val="0"/>
                <w:sz w:val="18"/>
                <w:szCs w:val="18"/>
              </w:rPr>
            </w:pPr>
            <w:r>
              <w:rPr>
                <w:kern w:val="0"/>
                <w:sz w:val="18"/>
                <w:szCs w:val="18"/>
              </w:rPr>
              <w:t>能源名称</w:t>
            </w:r>
          </w:p>
        </w:tc>
        <w:tc>
          <w:tcPr>
            <w:tcW w:w="3045" w:type="dxa"/>
            <w:tcBorders>
              <w:bottom w:val="single" w:color="auto" w:sz="2" w:space="0"/>
            </w:tcBorders>
            <w:shd w:val="clear" w:color="auto" w:fill="auto"/>
            <w:vAlign w:val="center"/>
          </w:tcPr>
          <w:p w14:paraId="3D4D72A3">
            <w:pPr>
              <w:widowControl/>
              <w:jc w:val="center"/>
              <w:rPr>
                <w:kern w:val="0"/>
                <w:sz w:val="18"/>
                <w:szCs w:val="18"/>
              </w:rPr>
            </w:pPr>
            <w:r>
              <w:rPr>
                <w:kern w:val="0"/>
                <w:sz w:val="18"/>
                <w:szCs w:val="18"/>
              </w:rPr>
              <w:t>平均低位发热量</w:t>
            </w:r>
          </w:p>
        </w:tc>
        <w:tc>
          <w:tcPr>
            <w:tcW w:w="3320" w:type="dxa"/>
            <w:tcBorders>
              <w:bottom w:val="single" w:color="auto" w:sz="2" w:space="0"/>
            </w:tcBorders>
            <w:shd w:val="clear" w:color="auto" w:fill="auto"/>
            <w:vAlign w:val="center"/>
          </w:tcPr>
          <w:p w14:paraId="511F0114">
            <w:pPr>
              <w:widowControl/>
              <w:jc w:val="center"/>
              <w:rPr>
                <w:kern w:val="0"/>
                <w:sz w:val="18"/>
                <w:szCs w:val="18"/>
              </w:rPr>
            </w:pPr>
            <w:r>
              <w:rPr>
                <w:kern w:val="0"/>
                <w:sz w:val="18"/>
                <w:szCs w:val="18"/>
              </w:rPr>
              <w:t>参考折标准煤系数</w:t>
            </w:r>
          </w:p>
        </w:tc>
      </w:tr>
      <w:tr w14:paraId="7A3090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0B698F8">
            <w:pPr>
              <w:widowControl/>
              <w:rPr>
                <w:kern w:val="0"/>
                <w:sz w:val="18"/>
                <w:szCs w:val="18"/>
              </w:rPr>
            </w:pPr>
            <w:r>
              <w:rPr>
                <w:kern w:val="0"/>
                <w:sz w:val="18"/>
                <w:szCs w:val="18"/>
              </w:rPr>
              <w:t>热力（当量)</w:t>
            </w:r>
          </w:p>
        </w:tc>
        <w:tc>
          <w:tcPr>
            <w:tcW w:w="3045" w:type="dxa"/>
            <w:tcBorders>
              <w:top w:val="nil"/>
              <w:bottom w:val="nil"/>
            </w:tcBorders>
            <w:shd w:val="clear" w:color="auto" w:fill="auto"/>
            <w:vAlign w:val="center"/>
          </w:tcPr>
          <w:p w14:paraId="09F5BBF5">
            <w:pPr>
              <w:widowControl/>
              <w:jc w:val="center"/>
              <w:rPr>
                <w:kern w:val="0"/>
                <w:sz w:val="18"/>
                <w:szCs w:val="18"/>
              </w:rPr>
            </w:pPr>
            <w:r>
              <w:rPr>
                <w:spacing w:val="8"/>
                <w:sz w:val="18"/>
                <w:szCs w:val="18"/>
              </w:rPr>
              <w:t>－</w:t>
            </w:r>
          </w:p>
        </w:tc>
        <w:tc>
          <w:tcPr>
            <w:tcW w:w="3320" w:type="dxa"/>
            <w:tcBorders>
              <w:top w:val="nil"/>
              <w:bottom w:val="nil"/>
            </w:tcBorders>
            <w:shd w:val="clear" w:color="auto" w:fill="auto"/>
            <w:vAlign w:val="center"/>
          </w:tcPr>
          <w:p w14:paraId="10766862">
            <w:pPr>
              <w:widowControl/>
              <w:rPr>
                <w:kern w:val="0"/>
                <w:sz w:val="18"/>
                <w:szCs w:val="18"/>
              </w:rPr>
            </w:pPr>
            <w:r>
              <w:rPr>
                <w:kern w:val="0"/>
                <w:sz w:val="18"/>
                <w:szCs w:val="18"/>
              </w:rPr>
              <w:t>0.0341千克标准煤/百万焦耳</w:t>
            </w:r>
          </w:p>
        </w:tc>
      </w:tr>
      <w:tr w14:paraId="057ED0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EAA510E">
            <w:pPr>
              <w:widowControl/>
              <w:rPr>
                <w:kern w:val="0"/>
                <w:sz w:val="18"/>
                <w:szCs w:val="18"/>
              </w:rPr>
            </w:pPr>
            <w:r>
              <w:rPr>
                <w:kern w:val="0"/>
                <w:sz w:val="18"/>
                <w:szCs w:val="18"/>
              </w:rPr>
              <w:t>电力（当量)</w:t>
            </w:r>
          </w:p>
        </w:tc>
        <w:tc>
          <w:tcPr>
            <w:tcW w:w="3045" w:type="dxa"/>
            <w:tcBorders>
              <w:top w:val="nil"/>
              <w:bottom w:val="nil"/>
            </w:tcBorders>
            <w:shd w:val="clear" w:color="auto" w:fill="auto"/>
            <w:vAlign w:val="center"/>
          </w:tcPr>
          <w:p w14:paraId="5C20BB00">
            <w:pPr>
              <w:widowControl/>
              <w:rPr>
                <w:kern w:val="0"/>
                <w:sz w:val="18"/>
                <w:szCs w:val="18"/>
              </w:rPr>
            </w:pPr>
            <w:r>
              <w:rPr>
                <w:kern w:val="0"/>
                <w:sz w:val="18"/>
                <w:szCs w:val="18"/>
              </w:rPr>
              <w:t>860千卡/千瓦时</w:t>
            </w:r>
          </w:p>
        </w:tc>
        <w:tc>
          <w:tcPr>
            <w:tcW w:w="3320" w:type="dxa"/>
            <w:tcBorders>
              <w:top w:val="nil"/>
              <w:bottom w:val="nil"/>
            </w:tcBorders>
            <w:shd w:val="clear" w:color="auto" w:fill="auto"/>
            <w:vAlign w:val="center"/>
          </w:tcPr>
          <w:p w14:paraId="164C0F03">
            <w:pPr>
              <w:widowControl/>
              <w:rPr>
                <w:kern w:val="0"/>
                <w:sz w:val="18"/>
                <w:szCs w:val="18"/>
              </w:rPr>
            </w:pPr>
            <w:r>
              <w:rPr>
                <w:kern w:val="0"/>
                <w:sz w:val="18"/>
                <w:szCs w:val="18"/>
              </w:rPr>
              <w:t>0.1229千克标准煤/千瓦时</w:t>
            </w:r>
          </w:p>
        </w:tc>
      </w:tr>
      <w:tr w14:paraId="3D9BB6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FC073A9">
            <w:pPr>
              <w:widowControl/>
              <w:rPr>
                <w:kern w:val="0"/>
                <w:sz w:val="18"/>
                <w:szCs w:val="18"/>
              </w:rPr>
            </w:pPr>
            <w:r>
              <w:rPr>
                <w:kern w:val="0"/>
                <w:sz w:val="18"/>
                <w:szCs w:val="18"/>
              </w:rPr>
              <w:t>高炉煤气</w:t>
            </w:r>
          </w:p>
        </w:tc>
        <w:tc>
          <w:tcPr>
            <w:tcW w:w="3045" w:type="dxa"/>
            <w:tcBorders>
              <w:top w:val="nil"/>
              <w:bottom w:val="nil"/>
            </w:tcBorders>
            <w:shd w:val="clear" w:color="auto" w:fill="auto"/>
            <w:vAlign w:val="center"/>
          </w:tcPr>
          <w:p w14:paraId="39005DDB">
            <w:pPr>
              <w:widowControl/>
              <w:rPr>
                <w:kern w:val="0"/>
                <w:sz w:val="18"/>
                <w:szCs w:val="18"/>
              </w:rPr>
            </w:pPr>
            <w:r>
              <w:rPr>
                <w:kern w:val="0"/>
                <w:sz w:val="18"/>
                <w:szCs w:val="18"/>
              </w:rPr>
              <w:t>约900千卡/立方米</w:t>
            </w:r>
          </w:p>
        </w:tc>
        <w:tc>
          <w:tcPr>
            <w:tcW w:w="3320" w:type="dxa"/>
            <w:tcBorders>
              <w:top w:val="nil"/>
              <w:bottom w:val="nil"/>
            </w:tcBorders>
            <w:shd w:val="clear" w:color="auto" w:fill="auto"/>
            <w:vAlign w:val="center"/>
          </w:tcPr>
          <w:p w14:paraId="6135D8DB">
            <w:pPr>
              <w:widowControl/>
              <w:rPr>
                <w:kern w:val="0"/>
                <w:sz w:val="18"/>
                <w:szCs w:val="18"/>
              </w:rPr>
            </w:pPr>
            <w:r>
              <w:rPr>
                <w:kern w:val="0"/>
                <w:sz w:val="18"/>
                <w:szCs w:val="18"/>
              </w:rPr>
              <w:t>0.1286</w:t>
            </w:r>
            <w:r>
              <w:rPr>
                <w:rFonts w:hint="eastAsia"/>
                <w:kern w:val="0"/>
                <w:sz w:val="18"/>
                <w:szCs w:val="18"/>
              </w:rPr>
              <w:t>千克</w:t>
            </w:r>
            <w:r>
              <w:rPr>
                <w:kern w:val="0"/>
                <w:sz w:val="18"/>
                <w:szCs w:val="18"/>
              </w:rPr>
              <w:t>标准煤/立方米</w:t>
            </w:r>
          </w:p>
        </w:tc>
      </w:tr>
      <w:tr w14:paraId="67538B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34D6E0BD">
            <w:pPr>
              <w:widowControl/>
              <w:rPr>
                <w:kern w:val="0"/>
                <w:sz w:val="18"/>
                <w:szCs w:val="18"/>
              </w:rPr>
            </w:pPr>
            <w:r>
              <w:rPr>
                <w:kern w:val="0"/>
                <w:sz w:val="18"/>
                <w:szCs w:val="18"/>
              </w:rPr>
              <w:t>转炉煤气</w:t>
            </w:r>
          </w:p>
        </w:tc>
        <w:tc>
          <w:tcPr>
            <w:tcW w:w="3045" w:type="dxa"/>
            <w:tcBorders>
              <w:top w:val="nil"/>
              <w:bottom w:val="nil"/>
            </w:tcBorders>
            <w:shd w:val="clear" w:color="auto" w:fill="auto"/>
            <w:vAlign w:val="center"/>
          </w:tcPr>
          <w:p w14:paraId="15D2E016">
            <w:pPr>
              <w:widowControl/>
              <w:rPr>
                <w:kern w:val="0"/>
                <w:sz w:val="18"/>
                <w:szCs w:val="18"/>
              </w:rPr>
            </w:pPr>
            <w:r>
              <w:rPr>
                <w:kern w:val="0"/>
                <w:sz w:val="18"/>
                <w:szCs w:val="18"/>
              </w:rPr>
              <w:t>约1900千卡/立方米</w:t>
            </w:r>
          </w:p>
        </w:tc>
        <w:tc>
          <w:tcPr>
            <w:tcW w:w="3320" w:type="dxa"/>
            <w:tcBorders>
              <w:top w:val="nil"/>
              <w:bottom w:val="nil"/>
            </w:tcBorders>
            <w:shd w:val="clear" w:color="auto" w:fill="auto"/>
            <w:vAlign w:val="center"/>
          </w:tcPr>
          <w:p w14:paraId="7102FEEC">
            <w:pPr>
              <w:widowControl/>
              <w:rPr>
                <w:kern w:val="0"/>
                <w:sz w:val="18"/>
                <w:szCs w:val="18"/>
              </w:rPr>
            </w:pPr>
            <w:r>
              <w:rPr>
                <w:kern w:val="0"/>
                <w:sz w:val="18"/>
                <w:szCs w:val="18"/>
              </w:rPr>
              <w:t>0.2714</w:t>
            </w:r>
            <w:r>
              <w:rPr>
                <w:rFonts w:hint="eastAsia"/>
                <w:kern w:val="0"/>
                <w:sz w:val="18"/>
                <w:szCs w:val="18"/>
              </w:rPr>
              <w:t>千克</w:t>
            </w:r>
            <w:r>
              <w:rPr>
                <w:kern w:val="0"/>
                <w:sz w:val="18"/>
                <w:szCs w:val="18"/>
              </w:rPr>
              <w:t>标准煤/立方米</w:t>
            </w:r>
          </w:p>
        </w:tc>
      </w:tr>
      <w:tr w14:paraId="185F0F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574FA21C">
            <w:pPr>
              <w:widowControl/>
              <w:rPr>
                <w:kern w:val="0"/>
                <w:sz w:val="18"/>
                <w:szCs w:val="18"/>
              </w:rPr>
            </w:pPr>
            <w:r>
              <w:rPr>
                <w:kern w:val="0"/>
                <w:sz w:val="18"/>
                <w:szCs w:val="18"/>
              </w:rPr>
              <w:t>煤矸石（用于燃料）</w:t>
            </w:r>
          </w:p>
        </w:tc>
        <w:tc>
          <w:tcPr>
            <w:tcW w:w="3045" w:type="dxa"/>
            <w:tcBorders>
              <w:top w:val="nil"/>
              <w:bottom w:val="nil"/>
            </w:tcBorders>
            <w:shd w:val="clear" w:color="auto" w:fill="auto"/>
            <w:vAlign w:val="center"/>
          </w:tcPr>
          <w:p w14:paraId="6D5AD66A">
            <w:pPr>
              <w:widowControl/>
              <w:rPr>
                <w:kern w:val="0"/>
                <w:sz w:val="18"/>
                <w:szCs w:val="18"/>
              </w:rPr>
            </w:pPr>
            <w:r>
              <w:rPr>
                <w:kern w:val="0"/>
                <w:sz w:val="18"/>
                <w:szCs w:val="18"/>
              </w:rPr>
              <w:t>约2000千卡/千克</w:t>
            </w:r>
          </w:p>
        </w:tc>
        <w:tc>
          <w:tcPr>
            <w:tcW w:w="3320" w:type="dxa"/>
            <w:tcBorders>
              <w:top w:val="nil"/>
              <w:bottom w:val="nil"/>
            </w:tcBorders>
            <w:shd w:val="clear" w:color="auto" w:fill="auto"/>
            <w:vAlign w:val="center"/>
          </w:tcPr>
          <w:p w14:paraId="58F3508D">
            <w:pPr>
              <w:widowControl/>
              <w:rPr>
                <w:kern w:val="0"/>
                <w:sz w:val="18"/>
                <w:szCs w:val="18"/>
              </w:rPr>
            </w:pPr>
            <w:r>
              <w:rPr>
                <w:kern w:val="0"/>
                <w:sz w:val="18"/>
                <w:szCs w:val="18"/>
              </w:rPr>
              <w:t>0.2857千克标准煤/千克</w:t>
            </w:r>
          </w:p>
        </w:tc>
      </w:tr>
      <w:tr w14:paraId="646EBA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26D5EF29">
            <w:pPr>
              <w:widowControl/>
              <w:rPr>
                <w:kern w:val="0"/>
                <w:sz w:val="18"/>
                <w:szCs w:val="18"/>
              </w:rPr>
            </w:pPr>
            <w:r>
              <w:rPr>
                <w:kern w:val="0"/>
                <w:sz w:val="18"/>
                <w:szCs w:val="18"/>
              </w:rPr>
              <w:t>城市生活垃圾（用于燃料）</w:t>
            </w:r>
          </w:p>
        </w:tc>
        <w:tc>
          <w:tcPr>
            <w:tcW w:w="3045" w:type="dxa"/>
            <w:tcBorders>
              <w:top w:val="nil"/>
              <w:bottom w:val="nil"/>
            </w:tcBorders>
            <w:shd w:val="clear" w:color="auto" w:fill="auto"/>
            <w:vAlign w:val="center"/>
          </w:tcPr>
          <w:p w14:paraId="7402BC93">
            <w:pPr>
              <w:widowControl/>
              <w:rPr>
                <w:kern w:val="0"/>
                <w:sz w:val="18"/>
                <w:szCs w:val="18"/>
              </w:rPr>
            </w:pPr>
            <w:r>
              <w:rPr>
                <w:kern w:val="0"/>
                <w:sz w:val="18"/>
                <w:szCs w:val="18"/>
              </w:rPr>
              <w:t>约1900千卡/千克</w:t>
            </w:r>
          </w:p>
        </w:tc>
        <w:tc>
          <w:tcPr>
            <w:tcW w:w="3320" w:type="dxa"/>
            <w:tcBorders>
              <w:top w:val="nil"/>
              <w:bottom w:val="nil"/>
            </w:tcBorders>
            <w:shd w:val="clear" w:color="auto" w:fill="auto"/>
            <w:vAlign w:val="center"/>
          </w:tcPr>
          <w:p w14:paraId="201901A5">
            <w:pPr>
              <w:widowControl/>
              <w:rPr>
                <w:kern w:val="0"/>
                <w:sz w:val="18"/>
                <w:szCs w:val="18"/>
              </w:rPr>
            </w:pPr>
            <w:r>
              <w:rPr>
                <w:kern w:val="0"/>
                <w:sz w:val="18"/>
                <w:szCs w:val="18"/>
              </w:rPr>
              <w:t>0.2714千克标准煤/千克</w:t>
            </w:r>
          </w:p>
        </w:tc>
      </w:tr>
      <w:tr w14:paraId="52A8BF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732CC54B">
            <w:pPr>
              <w:widowControl/>
              <w:rPr>
                <w:kern w:val="0"/>
                <w:sz w:val="18"/>
                <w:szCs w:val="18"/>
              </w:rPr>
            </w:pPr>
            <w:r>
              <w:rPr>
                <w:kern w:val="0"/>
                <w:sz w:val="18"/>
                <w:szCs w:val="18"/>
              </w:rPr>
              <w:t>余热余压</w:t>
            </w:r>
          </w:p>
        </w:tc>
        <w:tc>
          <w:tcPr>
            <w:tcW w:w="3045" w:type="dxa"/>
            <w:tcBorders>
              <w:top w:val="nil"/>
              <w:bottom w:val="nil"/>
            </w:tcBorders>
            <w:shd w:val="clear" w:color="auto" w:fill="auto"/>
            <w:vAlign w:val="center"/>
          </w:tcPr>
          <w:p w14:paraId="1927602F">
            <w:pPr>
              <w:widowControl/>
              <w:jc w:val="center"/>
              <w:rPr>
                <w:kern w:val="0"/>
                <w:sz w:val="18"/>
                <w:szCs w:val="18"/>
              </w:rPr>
            </w:pPr>
            <w:r>
              <w:rPr>
                <w:spacing w:val="8"/>
                <w:sz w:val="18"/>
                <w:szCs w:val="18"/>
              </w:rPr>
              <w:t>－</w:t>
            </w:r>
          </w:p>
        </w:tc>
        <w:tc>
          <w:tcPr>
            <w:tcW w:w="3320" w:type="dxa"/>
            <w:tcBorders>
              <w:top w:val="nil"/>
              <w:bottom w:val="nil"/>
            </w:tcBorders>
            <w:shd w:val="clear" w:color="auto" w:fill="auto"/>
            <w:vAlign w:val="center"/>
          </w:tcPr>
          <w:p w14:paraId="253AEB26">
            <w:pPr>
              <w:widowControl/>
              <w:rPr>
                <w:kern w:val="0"/>
                <w:sz w:val="18"/>
                <w:szCs w:val="18"/>
              </w:rPr>
            </w:pPr>
            <w:r>
              <w:rPr>
                <w:kern w:val="0"/>
                <w:sz w:val="18"/>
                <w:szCs w:val="18"/>
              </w:rPr>
              <w:t>0.0341吨标准煤/百万千焦</w:t>
            </w:r>
          </w:p>
        </w:tc>
      </w:tr>
      <w:tr w14:paraId="4C5B03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24A024C">
            <w:pPr>
              <w:widowControl/>
              <w:rPr>
                <w:rFonts w:hint="default" w:eastAsia="宋体"/>
                <w:kern w:val="0"/>
                <w:sz w:val="18"/>
                <w:szCs w:val="18"/>
                <w:lang w:val="en-US" w:eastAsia="zh-CN"/>
              </w:rPr>
            </w:pPr>
            <w:r>
              <w:rPr>
                <w:kern w:val="0"/>
                <w:sz w:val="18"/>
                <w:szCs w:val="18"/>
              </w:rPr>
              <w:t>工业废料（用于燃料）</w:t>
            </w:r>
          </w:p>
        </w:tc>
        <w:tc>
          <w:tcPr>
            <w:tcW w:w="3045" w:type="dxa"/>
            <w:tcBorders>
              <w:top w:val="nil"/>
              <w:bottom w:val="nil"/>
            </w:tcBorders>
            <w:shd w:val="clear" w:color="auto" w:fill="auto"/>
            <w:vAlign w:val="center"/>
          </w:tcPr>
          <w:p w14:paraId="7A47579F">
            <w:pPr>
              <w:widowControl/>
              <w:rPr>
                <w:kern w:val="0"/>
                <w:sz w:val="18"/>
                <w:szCs w:val="18"/>
              </w:rPr>
            </w:pPr>
            <w:r>
              <w:rPr>
                <w:kern w:val="0"/>
                <w:sz w:val="18"/>
                <w:szCs w:val="18"/>
              </w:rPr>
              <w:t>约3000千卡/千克</w:t>
            </w:r>
          </w:p>
        </w:tc>
        <w:tc>
          <w:tcPr>
            <w:tcW w:w="3320" w:type="dxa"/>
            <w:tcBorders>
              <w:top w:val="nil"/>
              <w:bottom w:val="nil"/>
            </w:tcBorders>
            <w:shd w:val="clear" w:color="auto" w:fill="auto"/>
            <w:vAlign w:val="center"/>
          </w:tcPr>
          <w:p w14:paraId="7012A920">
            <w:pPr>
              <w:widowControl/>
              <w:rPr>
                <w:kern w:val="0"/>
                <w:sz w:val="18"/>
                <w:szCs w:val="18"/>
              </w:rPr>
            </w:pPr>
            <w:r>
              <w:rPr>
                <w:kern w:val="0"/>
                <w:sz w:val="18"/>
                <w:szCs w:val="18"/>
              </w:rPr>
              <w:t>0.4285千克标准煤/千克</w:t>
            </w:r>
          </w:p>
        </w:tc>
      </w:tr>
      <w:tr w14:paraId="59C119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66D2D37">
            <w:pPr>
              <w:widowControl/>
              <w:rPr>
                <w:rFonts w:hint="eastAsia" w:eastAsia="宋体"/>
                <w:kern w:val="0"/>
                <w:sz w:val="18"/>
                <w:szCs w:val="18"/>
                <w:lang w:eastAsia="zh-CN"/>
              </w:rPr>
            </w:pPr>
            <w:r>
              <w:rPr>
                <w:kern w:val="0"/>
                <w:sz w:val="18"/>
                <w:szCs w:val="18"/>
              </w:rPr>
              <w:t>生物乙醇</w:t>
            </w:r>
          </w:p>
        </w:tc>
        <w:tc>
          <w:tcPr>
            <w:tcW w:w="3045" w:type="dxa"/>
            <w:tcBorders>
              <w:top w:val="nil"/>
              <w:bottom w:val="nil"/>
            </w:tcBorders>
            <w:shd w:val="clear" w:color="auto" w:fill="auto"/>
            <w:vAlign w:val="center"/>
          </w:tcPr>
          <w:p w14:paraId="4BBAFF5F">
            <w:pPr>
              <w:widowControl/>
              <w:rPr>
                <w:kern w:val="0"/>
                <w:sz w:val="18"/>
                <w:szCs w:val="18"/>
              </w:rPr>
            </w:pPr>
            <w:r>
              <w:rPr>
                <w:kern w:val="0"/>
                <w:sz w:val="18"/>
                <w:szCs w:val="18"/>
              </w:rPr>
              <w:t>约6</w:t>
            </w:r>
            <w:r>
              <w:rPr>
                <w:rFonts w:hint="default"/>
                <w:kern w:val="0"/>
                <w:sz w:val="18"/>
                <w:szCs w:val="18"/>
                <w:lang w:val="en-US"/>
              </w:rPr>
              <w:t>500</w:t>
            </w:r>
            <w:r>
              <w:rPr>
                <w:kern w:val="0"/>
                <w:sz w:val="18"/>
                <w:szCs w:val="18"/>
              </w:rPr>
              <w:t>千卡/千克</w:t>
            </w:r>
          </w:p>
        </w:tc>
        <w:tc>
          <w:tcPr>
            <w:tcW w:w="3320" w:type="dxa"/>
            <w:tcBorders>
              <w:top w:val="nil"/>
              <w:bottom w:val="nil"/>
            </w:tcBorders>
            <w:shd w:val="clear" w:color="auto" w:fill="auto"/>
            <w:vAlign w:val="center"/>
          </w:tcPr>
          <w:p w14:paraId="3A626B28">
            <w:pPr>
              <w:widowControl/>
              <w:rPr>
                <w:kern w:val="0"/>
                <w:sz w:val="18"/>
                <w:szCs w:val="18"/>
              </w:rPr>
            </w:pPr>
            <w:r>
              <w:rPr>
                <w:kern w:val="0"/>
                <w:sz w:val="18"/>
                <w:szCs w:val="18"/>
              </w:rPr>
              <w:t>0.9</w:t>
            </w:r>
            <w:r>
              <w:rPr>
                <w:rFonts w:hint="default"/>
                <w:kern w:val="0"/>
                <w:sz w:val="18"/>
                <w:szCs w:val="18"/>
                <w:lang w:val="en-US"/>
              </w:rPr>
              <w:t>286</w:t>
            </w:r>
            <w:r>
              <w:rPr>
                <w:kern w:val="0"/>
                <w:sz w:val="18"/>
                <w:szCs w:val="18"/>
              </w:rPr>
              <w:t>千克标准煤/千克</w:t>
            </w:r>
          </w:p>
        </w:tc>
      </w:tr>
      <w:tr w14:paraId="35AEB1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375A1998">
            <w:pPr>
              <w:widowControl/>
              <w:rPr>
                <w:kern w:val="0"/>
                <w:sz w:val="18"/>
                <w:szCs w:val="18"/>
              </w:rPr>
            </w:pPr>
            <w:r>
              <w:rPr>
                <w:kern w:val="0"/>
                <w:sz w:val="18"/>
                <w:szCs w:val="18"/>
              </w:rPr>
              <w:t>生物柴油</w:t>
            </w:r>
          </w:p>
        </w:tc>
        <w:tc>
          <w:tcPr>
            <w:tcW w:w="3045" w:type="dxa"/>
            <w:tcBorders>
              <w:top w:val="nil"/>
              <w:bottom w:val="nil"/>
            </w:tcBorders>
            <w:shd w:val="clear" w:color="auto" w:fill="auto"/>
            <w:vAlign w:val="center"/>
          </w:tcPr>
          <w:p w14:paraId="2BB00D7D">
            <w:pPr>
              <w:widowControl/>
              <w:rPr>
                <w:kern w:val="0"/>
                <w:sz w:val="18"/>
                <w:szCs w:val="18"/>
              </w:rPr>
            </w:pPr>
            <w:r>
              <w:rPr>
                <w:kern w:val="0"/>
                <w:sz w:val="18"/>
                <w:szCs w:val="18"/>
              </w:rPr>
              <w:t>约10200千卡/千克</w:t>
            </w:r>
          </w:p>
        </w:tc>
        <w:tc>
          <w:tcPr>
            <w:tcW w:w="3320" w:type="dxa"/>
            <w:tcBorders>
              <w:top w:val="nil"/>
              <w:bottom w:val="nil"/>
            </w:tcBorders>
            <w:shd w:val="clear" w:color="auto" w:fill="auto"/>
            <w:vAlign w:val="center"/>
          </w:tcPr>
          <w:p w14:paraId="58E9D40E">
            <w:pPr>
              <w:widowControl/>
              <w:rPr>
                <w:kern w:val="0"/>
                <w:sz w:val="18"/>
                <w:szCs w:val="18"/>
              </w:rPr>
            </w:pPr>
            <w:r>
              <w:rPr>
                <w:kern w:val="0"/>
                <w:sz w:val="18"/>
                <w:szCs w:val="18"/>
              </w:rPr>
              <w:t>1.4571千克标准煤/千克</w:t>
            </w:r>
          </w:p>
        </w:tc>
      </w:tr>
      <w:tr w14:paraId="7E76CC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vMerge w:val="restart"/>
            <w:tcBorders>
              <w:top w:val="nil"/>
              <w:bottom w:val="nil"/>
            </w:tcBorders>
            <w:shd w:val="clear" w:color="auto" w:fill="auto"/>
            <w:vAlign w:val="center"/>
          </w:tcPr>
          <w:p w14:paraId="680D01C7">
            <w:pPr>
              <w:widowControl/>
              <w:rPr>
                <w:kern w:val="0"/>
                <w:sz w:val="18"/>
                <w:szCs w:val="18"/>
              </w:rPr>
            </w:pPr>
            <w:r>
              <w:rPr>
                <w:kern w:val="0"/>
                <w:sz w:val="18"/>
                <w:szCs w:val="18"/>
              </w:rPr>
              <w:t>氢气</w:t>
            </w:r>
          </w:p>
        </w:tc>
        <w:tc>
          <w:tcPr>
            <w:tcW w:w="3045" w:type="dxa"/>
            <w:vMerge w:val="restart"/>
            <w:tcBorders>
              <w:top w:val="nil"/>
              <w:bottom w:val="nil"/>
            </w:tcBorders>
            <w:shd w:val="clear" w:color="auto" w:fill="auto"/>
            <w:vAlign w:val="center"/>
          </w:tcPr>
          <w:p w14:paraId="7877F692">
            <w:pPr>
              <w:widowControl/>
              <w:rPr>
                <w:kern w:val="0"/>
                <w:sz w:val="18"/>
                <w:szCs w:val="18"/>
              </w:rPr>
            </w:pPr>
            <w:r>
              <w:rPr>
                <w:kern w:val="0"/>
                <w:sz w:val="18"/>
                <w:szCs w:val="18"/>
              </w:rPr>
              <w:t>约1</w:t>
            </w:r>
            <w:r>
              <w:rPr>
                <w:rFonts w:hint="default"/>
                <w:kern w:val="0"/>
                <w:sz w:val="18"/>
                <w:szCs w:val="18"/>
                <w:lang w:val="en-US"/>
              </w:rPr>
              <w:t>42000</w:t>
            </w:r>
            <w:r>
              <w:rPr>
                <w:kern w:val="0"/>
                <w:sz w:val="18"/>
                <w:szCs w:val="18"/>
              </w:rPr>
              <w:t>千焦耳/千克</w:t>
            </w:r>
          </w:p>
        </w:tc>
        <w:tc>
          <w:tcPr>
            <w:tcW w:w="3320" w:type="dxa"/>
            <w:tcBorders>
              <w:top w:val="nil"/>
              <w:bottom w:val="nil"/>
            </w:tcBorders>
            <w:shd w:val="clear" w:color="auto" w:fill="auto"/>
            <w:vAlign w:val="center"/>
          </w:tcPr>
          <w:p w14:paraId="17A390E9">
            <w:pPr>
              <w:widowControl/>
              <w:rPr>
                <w:kern w:val="0"/>
                <w:sz w:val="18"/>
                <w:szCs w:val="18"/>
              </w:rPr>
            </w:pPr>
            <w:r>
              <w:rPr>
                <w:kern w:val="0"/>
                <w:sz w:val="18"/>
                <w:szCs w:val="18"/>
              </w:rPr>
              <w:t>4.</w:t>
            </w:r>
            <w:r>
              <w:rPr>
                <w:rFonts w:hint="default"/>
                <w:kern w:val="0"/>
                <w:sz w:val="18"/>
                <w:szCs w:val="18"/>
                <w:lang w:val="en-US"/>
              </w:rPr>
              <w:t>8512</w:t>
            </w:r>
            <w:r>
              <w:rPr>
                <w:kern w:val="0"/>
                <w:sz w:val="18"/>
                <w:szCs w:val="18"/>
              </w:rPr>
              <w:t>千克标准煤/千克</w:t>
            </w:r>
          </w:p>
        </w:tc>
      </w:tr>
      <w:tr w14:paraId="67C35E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vMerge w:val="continue"/>
            <w:tcBorders>
              <w:top w:val="nil"/>
              <w:bottom w:val="nil"/>
            </w:tcBorders>
            <w:shd w:val="clear" w:color="auto" w:fill="auto"/>
            <w:vAlign w:val="center"/>
          </w:tcPr>
          <w:p w14:paraId="77140849">
            <w:pPr>
              <w:widowControl/>
              <w:rPr>
                <w:kern w:val="0"/>
                <w:sz w:val="18"/>
                <w:szCs w:val="18"/>
              </w:rPr>
            </w:pPr>
          </w:p>
        </w:tc>
        <w:tc>
          <w:tcPr>
            <w:tcW w:w="3045" w:type="dxa"/>
            <w:vMerge w:val="continue"/>
            <w:tcBorders>
              <w:top w:val="nil"/>
              <w:bottom w:val="nil"/>
            </w:tcBorders>
            <w:shd w:val="clear" w:color="auto" w:fill="auto"/>
            <w:vAlign w:val="center"/>
          </w:tcPr>
          <w:p w14:paraId="38660B9E">
            <w:pPr>
              <w:widowControl/>
              <w:rPr>
                <w:kern w:val="0"/>
                <w:sz w:val="18"/>
                <w:szCs w:val="18"/>
              </w:rPr>
            </w:pPr>
          </w:p>
        </w:tc>
        <w:tc>
          <w:tcPr>
            <w:tcW w:w="3320" w:type="dxa"/>
            <w:tcBorders>
              <w:top w:val="nil"/>
              <w:bottom w:val="nil"/>
            </w:tcBorders>
            <w:shd w:val="clear" w:color="auto" w:fill="auto"/>
            <w:vAlign w:val="center"/>
          </w:tcPr>
          <w:p w14:paraId="45DCB486">
            <w:pPr>
              <w:widowControl/>
              <w:rPr>
                <w:kern w:val="0"/>
                <w:sz w:val="18"/>
                <w:szCs w:val="18"/>
              </w:rPr>
            </w:pPr>
            <w:r>
              <w:rPr>
                <w:kern w:val="0"/>
                <w:sz w:val="18"/>
                <w:szCs w:val="18"/>
              </w:rPr>
              <w:t>0.</w:t>
            </w:r>
            <w:r>
              <w:rPr>
                <w:rFonts w:hint="default"/>
                <w:kern w:val="0"/>
                <w:sz w:val="18"/>
                <w:szCs w:val="18"/>
                <w:lang w:val="en-US"/>
              </w:rPr>
              <w:t>4361</w:t>
            </w:r>
            <w:r>
              <w:rPr>
                <w:kern w:val="0"/>
                <w:sz w:val="18"/>
                <w:szCs w:val="18"/>
              </w:rPr>
              <w:t>千克标准煤/立方米</w:t>
            </w:r>
          </w:p>
        </w:tc>
      </w:tr>
      <w:tr w14:paraId="35ABBB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08EAD391">
            <w:pPr>
              <w:widowControl/>
              <w:rPr>
                <w:kern w:val="0"/>
                <w:sz w:val="18"/>
                <w:szCs w:val="18"/>
              </w:rPr>
            </w:pPr>
            <w:r>
              <w:rPr>
                <w:kern w:val="0"/>
                <w:sz w:val="18"/>
                <w:szCs w:val="18"/>
              </w:rPr>
              <w:t>沼气</w:t>
            </w:r>
          </w:p>
        </w:tc>
        <w:tc>
          <w:tcPr>
            <w:tcW w:w="3045" w:type="dxa"/>
            <w:tcBorders>
              <w:top w:val="nil"/>
              <w:bottom w:val="nil"/>
            </w:tcBorders>
            <w:shd w:val="clear" w:color="auto" w:fill="auto"/>
            <w:vAlign w:val="center"/>
          </w:tcPr>
          <w:p w14:paraId="48834535">
            <w:pPr>
              <w:widowControl/>
              <w:rPr>
                <w:kern w:val="0"/>
                <w:sz w:val="18"/>
                <w:szCs w:val="18"/>
              </w:rPr>
            </w:pPr>
            <w:r>
              <w:rPr>
                <w:kern w:val="0"/>
                <w:sz w:val="18"/>
                <w:szCs w:val="18"/>
              </w:rPr>
              <w:t>约5</w:t>
            </w:r>
            <w:r>
              <w:rPr>
                <w:rFonts w:hint="default"/>
                <w:kern w:val="0"/>
                <w:sz w:val="18"/>
                <w:szCs w:val="18"/>
                <w:lang w:val="en-US"/>
              </w:rPr>
              <w:t>500</w:t>
            </w:r>
            <w:r>
              <w:rPr>
                <w:rFonts w:hint="eastAsia"/>
                <w:kern w:val="0"/>
                <w:sz w:val="18"/>
                <w:szCs w:val="18"/>
                <w:lang w:val="en-US" w:eastAsia="zh-CN"/>
              </w:rPr>
              <w:t>-</w:t>
            </w:r>
            <w:r>
              <w:rPr>
                <w:kern w:val="0"/>
                <w:sz w:val="18"/>
                <w:szCs w:val="18"/>
              </w:rPr>
              <w:t>5800千卡/立方米</w:t>
            </w:r>
          </w:p>
        </w:tc>
        <w:tc>
          <w:tcPr>
            <w:tcW w:w="3320" w:type="dxa"/>
            <w:tcBorders>
              <w:top w:val="nil"/>
              <w:bottom w:val="nil"/>
            </w:tcBorders>
            <w:shd w:val="clear" w:color="auto" w:fill="auto"/>
            <w:vAlign w:val="center"/>
          </w:tcPr>
          <w:p w14:paraId="74280CBF">
            <w:pPr>
              <w:widowControl/>
              <w:rPr>
                <w:kern w:val="0"/>
                <w:sz w:val="18"/>
                <w:szCs w:val="18"/>
              </w:rPr>
            </w:pPr>
            <w:r>
              <w:rPr>
                <w:kern w:val="0"/>
                <w:sz w:val="18"/>
                <w:szCs w:val="18"/>
              </w:rPr>
              <w:t>0.7857-0.8286千克标准煤/立方米</w:t>
            </w:r>
          </w:p>
        </w:tc>
      </w:tr>
      <w:tr w14:paraId="50BF8E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28AE41AE">
            <w:pPr>
              <w:widowControl/>
              <w:rPr>
                <w:kern w:val="0"/>
                <w:sz w:val="18"/>
                <w:szCs w:val="18"/>
              </w:rPr>
            </w:pPr>
            <w:r>
              <w:rPr>
                <w:kern w:val="0"/>
                <w:sz w:val="18"/>
                <w:szCs w:val="18"/>
              </w:rPr>
              <w:t>蔗渣（干）</w:t>
            </w:r>
          </w:p>
        </w:tc>
        <w:tc>
          <w:tcPr>
            <w:tcW w:w="3045" w:type="dxa"/>
            <w:tcBorders>
              <w:top w:val="nil"/>
              <w:bottom w:val="nil"/>
            </w:tcBorders>
            <w:shd w:val="clear" w:color="auto" w:fill="auto"/>
            <w:vAlign w:val="center"/>
          </w:tcPr>
          <w:p w14:paraId="04EF90DE">
            <w:pPr>
              <w:widowControl/>
              <w:rPr>
                <w:kern w:val="0"/>
                <w:sz w:val="18"/>
                <w:szCs w:val="18"/>
              </w:rPr>
            </w:pPr>
            <w:r>
              <w:rPr>
                <w:kern w:val="0"/>
                <w:sz w:val="18"/>
                <w:szCs w:val="18"/>
              </w:rPr>
              <w:t>约3500千卡/千克</w:t>
            </w:r>
          </w:p>
        </w:tc>
        <w:tc>
          <w:tcPr>
            <w:tcW w:w="3320" w:type="dxa"/>
            <w:tcBorders>
              <w:top w:val="nil"/>
              <w:bottom w:val="nil"/>
            </w:tcBorders>
            <w:shd w:val="clear" w:color="auto" w:fill="auto"/>
            <w:vAlign w:val="center"/>
          </w:tcPr>
          <w:p w14:paraId="4E0E6619">
            <w:pPr>
              <w:widowControl/>
              <w:rPr>
                <w:kern w:val="0"/>
                <w:sz w:val="18"/>
                <w:szCs w:val="18"/>
              </w:rPr>
            </w:pPr>
            <w:r>
              <w:rPr>
                <w:kern w:val="0"/>
                <w:sz w:val="18"/>
                <w:szCs w:val="18"/>
              </w:rPr>
              <w:t>0.5000千克标准煤/千克</w:t>
            </w:r>
          </w:p>
        </w:tc>
      </w:tr>
      <w:tr w14:paraId="1711A4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14925277">
            <w:pPr>
              <w:widowControl/>
              <w:rPr>
                <w:kern w:val="0"/>
                <w:sz w:val="18"/>
                <w:szCs w:val="18"/>
              </w:rPr>
            </w:pPr>
            <w:r>
              <w:rPr>
                <w:kern w:val="0"/>
                <w:sz w:val="18"/>
                <w:szCs w:val="18"/>
              </w:rPr>
              <w:t>树皮</w:t>
            </w:r>
          </w:p>
        </w:tc>
        <w:tc>
          <w:tcPr>
            <w:tcW w:w="3045" w:type="dxa"/>
            <w:tcBorders>
              <w:top w:val="nil"/>
              <w:bottom w:val="nil"/>
            </w:tcBorders>
            <w:shd w:val="clear" w:color="auto" w:fill="auto"/>
            <w:vAlign w:val="center"/>
          </w:tcPr>
          <w:p w14:paraId="72A9DAA7">
            <w:pPr>
              <w:widowControl/>
              <w:rPr>
                <w:kern w:val="0"/>
                <w:sz w:val="18"/>
                <w:szCs w:val="18"/>
              </w:rPr>
            </w:pPr>
            <w:r>
              <w:rPr>
                <w:kern w:val="0"/>
                <w:sz w:val="18"/>
                <w:szCs w:val="18"/>
              </w:rPr>
              <w:t>约2700千卡/千克</w:t>
            </w:r>
          </w:p>
        </w:tc>
        <w:tc>
          <w:tcPr>
            <w:tcW w:w="3320" w:type="dxa"/>
            <w:tcBorders>
              <w:top w:val="nil"/>
              <w:bottom w:val="nil"/>
            </w:tcBorders>
            <w:shd w:val="clear" w:color="auto" w:fill="auto"/>
            <w:vAlign w:val="center"/>
          </w:tcPr>
          <w:p w14:paraId="3078C00E">
            <w:pPr>
              <w:widowControl/>
              <w:rPr>
                <w:kern w:val="0"/>
                <w:sz w:val="18"/>
                <w:szCs w:val="18"/>
              </w:rPr>
            </w:pPr>
            <w:r>
              <w:rPr>
                <w:kern w:val="0"/>
                <w:sz w:val="18"/>
                <w:szCs w:val="18"/>
              </w:rPr>
              <w:t>0.3857千克标准煤/千克</w:t>
            </w:r>
          </w:p>
        </w:tc>
      </w:tr>
      <w:tr w14:paraId="12D565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1B83019C">
            <w:pPr>
              <w:widowControl/>
              <w:rPr>
                <w:kern w:val="0"/>
                <w:sz w:val="18"/>
                <w:szCs w:val="18"/>
              </w:rPr>
            </w:pPr>
            <w:r>
              <w:rPr>
                <w:kern w:val="0"/>
                <w:sz w:val="18"/>
                <w:szCs w:val="18"/>
              </w:rPr>
              <w:t>玉米棒</w:t>
            </w:r>
          </w:p>
        </w:tc>
        <w:tc>
          <w:tcPr>
            <w:tcW w:w="3045" w:type="dxa"/>
            <w:tcBorders>
              <w:top w:val="nil"/>
              <w:bottom w:val="nil"/>
            </w:tcBorders>
            <w:shd w:val="clear" w:color="auto" w:fill="auto"/>
            <w:vAlign w:val="center"/>
          </w:tcPr>
          <w:p w14:paraId="0661D4B9">
            <w:pPr>
              <w:widowControl/>
              <w:rPr>
                <w:kern w:val="0"/>
                <w:sz w:val="18"/>
                <w:szCs w:val="18"/>
              </w:rPr>
            </w:pPr>
            <w:r>
              <w:rPr>
                <w:kern w:val="0"/>
                <w:sz w:val="18"/>
                <w:szCs w:val="18"/>
              </w:rPr>
              <w:t>约4600千卡/千克</w:t>
            </w:r>
          </w:p>
        </w:tc>
        <w:tc>
          <w:tcPr>
            <w:tcW w:w="3320" w:type="dxa"/>
            <w:tcBorders>
              <w:top w:val="nil"/>
              <w:bottom w:val="nil"/>
            </w:tcBorders>
            <w:shd w:val="clear" w:color="auto" w:fill="auto"/>
            <w:vAlign w:val="center"/>
          </w:tcPr>
          <w:p w14:paraId="6E49537A">
            <w:pPr>
              <w:widowControl/>
              <w:rPr>
                <w:kern w:val="0"/>
                <w:sz w:val="18"/>
                <w:szCs w:val="18"/>
              </w:rPr>
            </w:pPr>
            <w:r>
              <w:rPr>
                <w:kern w:val="0"/>
                <w:sz w:val="18"/>
                <w:szCs w:val="18"/>
              </w:rPr>
              <w:t>0.6571千克标准煤/千克</w:t>
            </w:r>
          </w:p>
        </w:tc>
      </w:tr>
      <w:tr w14:paraId="1D130E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6586CA0C">
            <w:pPr>
              <w:widowControl/>
              <w:rPr>
                <w:kern w:val="0"/>
                <w:sz w:val="18"/>
                <w:szCs w:val="18"/>
              </w:rPr>
            </w:pPr>
            <w:r>
              <w:rPr>
                <w:kern w:val="0"/>
                <w:sz w:val="18"/>
                <w:szCs w:val="18"/>
              </w:rPr>
              <w:t>薪柴（干）</w:t>
            </w:r>
          </w:p>
        </w:tc>
        <w:tc>
          <w:tcPr>
            <w:tcW w:w="3045" w:type="dxa"/>
            <w:tcBorders>
              <w:top w:val="nil"/>
              <w:bottom w:val="nil"/>
            </w:tcBorders>
            <w:shd w:val="clear" w:color="auto" w:fill="auto"/>
            <w:vAlign w:val="center"/>
          </w:tcPr>
          <w:p w14:paraId="0E468DEB">
            <w:pPr>
              <w:widowControl/>
              <w:rPr>
                <w:kern w:val="0"/>
                <w:sz w:val="18"/>
                <w:szCs w:val="18"/>
              </w:rPr>
            </w:pPr>
            <w:r>
              <w:rPr>
                <w:kern w:val="0"/>
                <w:sz w:val="18"/>
                <w:szCs w:val="18"/>
              </w:rPr>
              <w:t>约3000千卡/千克</w:t>
            </w:r>
          </w:p>
        </w:tc>
        <w:tc>
          <w:tcPr>
            <w:tcW w:w="3320" w:type="dxa"/>
            <w:tcBorders>
              <w:top w:val="nil"/>
              <w:bottom w:val="nil"/>
            </w:tcBorders>
            <w:shd w:val="clear" w:color="auto" w:fill="auto"/>
            <w:vAlign w:val="center"/>
          </w:tcPr>
          <w:p w14:paraId="42AE7FFE">
            <w:pPr>
              <w:widowControl/>
              <w:rPr>
                <w:kern w:val="0"/>
                <w:sz w:val="18"/>
                <w:szCs w:val="18"/>
              </w:rPr>
            </w:pPr>
            <w:r>
              <w:rPr>
                <w:kern w:val="0"/>
                <w:sz w:val="18"/>
                <w:szCs w:val="18"/>
              </w:rPr>
              <w:t>0.4286千克标准煤/千克</w:t>
            </w:r>
          </w:p>
        </w:tc>
      </w:tr>
      <w:tr w14:paraId="13479B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nil"/>
            </w:tcBorders>
            <w:shd w:val="clear" w:color="auto" w:fill="auto"/>
            <w:vAlign w:val="center"/>
          </w:tcPr>
          <w:p w14:paraId="146B3263">
            <w:pPr>
              <w:widowControl/>
              <w:rPr>
                <w:kern w:val="0"/>
                <w:sz w:val="18"/>
                <w:szCs w:val="18"/>
              </w:rPr>
            </w:pPr>
            <w:r>
              <w:rPr>
                <w:kern w:val="0"/>
                <w:sz w:val="18"/>
                <w:szCs w:val="18"/>
              </w:rPr>
              <w:t>稻壳</w:t>
            </w:r>
          </w:p>
        </w:tc>
        <w:tc>
          <w:tcPr>
            <w:tcW w:w="3045" w:type="dxa"/>
            <w:tcBorders>
              <w:top w:val="nil"/>
              <w:bottom w:val="nil"/>
            </w:tcBorders>
            <w:shd w:val="clear" w:color="auto" w:fill="auto"/>
            <w:vAlign w:val="center"/>
          </w:tcPr>
          <w:p w14:paraId="463A73CB">
            <w:pPr>
              <w:widowControl/>
              <w:rPr>
                <w:kern w:val="0"/>
                <w:sz w:val="18"/>
                <w:szCs w:val="18"/>
              </w:rPr>
            </w:pPr>
            <w:r>
              <w:rPr>
                <w:kern w:val="0"/>
                <w:sz w:val="18"/>
                <w:szCs w:val="18"/>
              </w:rPr>
              <w:t>约3200千卡/千克</w:t>
            </w:r>
          </w:p>
        </w:tc>
        <w:tc>
          <w:tcPr>
            <w:tcW w:w="3320" w:type="dxa"/>
            <w:tcBorders>
              <w:top w:val="nil"/>
              <w:bottom w:val="nil"/>
            </w:tcBorders>
            <w:shd w:val="clear" w:color="auto" w:fill="auto"/>
            <w:vAlign w:val="center"/>
          </w:tcPr>
          <w:p w14:paraId="0006A5A4">
            <w:pPr>
              <w:widowControl/>
              <w:rPr>
                <w:kern w:val="0"/>
                <w:sz w:val="18"/>
                <w:szCs w:val="18"/>
              </w:rPr>
            </w:pPr>
            <w:r>
              <w:rPr>
                <w:kern w:val="0"/>
                <w:sz w:val="18"/>
                <w:szCs w:val="18"/>
              </w:rPr>
              <w:t>0.4571千克标准煤/千克</w:t>
            </w:r>
          </w:p>
        </w:tc>
      </w:tr>
      <w:tr w14:paraId="0A853F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3060" w:type="dxa"/>
            <w:tcBorders>
              <w:top w:val="nil"/>
              <w:bottom w:val="single" w:color="auto" w:sz="8" w:space="0"/>
            </w:tcBorders>
            <w:shd w:val="clear" w:color="auto" w:fill="auto"/>
            <w:vAlign w:val="center"/>
          </w:tcPr>
          <w:p w14:paraId="233DFC9F">
            <w:pPr>
              <w:widowControl/>
              <w:rPr>
                <w:kern w:val="0"/>
                <w:sz w:val="18"/>
                <w:szCs w:val="18"/>
              </w:rPr>
            </w:pPr>
            <w:r>
              <w:rPr>
                <w:kern w:val="0"/>
                <w:sz w:val="18"/>
                <w:szCs w:val="18"/>
              </w:rPr>
              <w:t>锯末刨花</w:t>
            </w:r>
          </w:p>
        </w:tc>
        <w:tc>
          <w:tcPr>
            <w:tcW w:w="3045" w:type="dxa"/>
            <w:tcBorders>
              <w:top w:val="nil"/>
              <w:bottom w:val="single" w:color="auto" w:sz="8" w:space="0"/>
            </w:tcBorders>
            <w:shd w:val="clear" w:color="auto" w:fill="auto"/>
            <w:vAlign w:val="center"/>
          </w:tcPr>
          <w:p w14:paraId="4BB5C9AB">
            <w:pPr>
              <w:widowControl/>
              <w:rPr>
                <w:kern w:val="0"/>
                <w:sz w:val="18"/>
                <w:szCs w:val="18"/>
              </w:rPr>
            </w:pPr>
            <w:r>
              <w:rPr>
                <w:kern w:val="0"/>
                <w:sz w:val="18"/>
                <w:szCs w:val="18"/>
              </w:rPr>
              <w:t>约2700千卡/千克</w:t>
            </w:r>
          </w:p>
        </w:tc>
        <w:tc>
          <w:tcPr>
            <w:tcW w:w="3320" w:type="dxa"/>
            <w:tcBorders>
              <w:top w:val="nil"/>
              <w:bottom w:val="single" w:color="auto" w:sz="8" w:space="0"/>
            </w:tcBorders>
            <w:shd w:val="clear" w:color="auto" w:fill="auto"/>
            <w:vAlign w:val="center"/>
          </w:tcPr>
          <w:p w14:paraId="47426290">
            <w:pPr>
              <w:widowControl/>
              <w:rPr>
                <w:kern w:val="0"/>
                <w:sz w:val="18"/>
                <w:szCs w:val="18"/>
              </w:rPr>
            </w:pPr>
            <w:r>
              <w:rPr>
                <w:kern w:val="0"/>
                <w:sz w:val="18"/>
                <w:szCs w:val="18"/>
              </w:rPr>
              <w:t>0.3857千克标准煤/千克</w:t>
            </w:r>
          </w:p>
        </w:tc>
      </w:tr>
    </w:tbl>
    <w:p w14:paraId="24D5F5BA">
      <w:pPr>
        <w:autoSpaceDE w:val="0"/>
        <w:autoSpaceDN w:val="0"/>
        <w:adjustRightInd w:val="0"/>
        <w:spacing w:before="120" w:beforeLines="50" w:line="360" w:lineRule="auto"/>
        <w:jc w:val="left"/>
        <w:rPr>
          <w:sz w:val="18"/>
          <w:szCs w:val="18"/>
        </w:rPr>
      </w:pPr>
      <w:r>
        <w:rPr>
          <w:sz w:val="18"/>
          <w:szCs w:val="18"/>
        </w:rPr>
        <w:t>注：此表平均低位发热量用千卡表示，如需换算成千焦耳，只需乘4.1816即可。</w:t>
      </w:r>
    </w:p>
    <w:p w14:paraId="6931F8FD">
      <w:pPr>
        <w:spacing w:line="360" w:lineRule="exact"/>
        <w:ind w:right="69" w:rightChars="33" w:firstLine="360" w:firstLineChars="200"/>
        <w:jc w:val="center"/>
        <w:rPr>
          <w:sz w:val="18"/>
          <w:szCs w:val="18"/>
        </w:rPr>
      </w:pPr>
    </w:p>
    <w:p w14:paraId="227186F7">
      <w:pPr>
        <w:snapToGrid w:val="0"/>
        <w:spacing w:before="480" w:beforeLines="200" w:after="240" w:afterLines="100"/>
        <w:jc w:val="center"/>
        <w:outlineLvl w:val="1"/>
        <w:rPr>
          <w:rFonts w:eastAsia="黑体"/>
          <w:sz w:val="28"/>
          <w:szCs w:val="28"/>
        </w:rPr>
      </w:pPr>
      <w:r>
        <w:rPr>
          <w:sz w:val="30"/>
          <w:szCs w:val="30"/>
        </w:rPr>
        <w:br w:type="page"/>
      </w:r>
      <w:r>
        <w:rPr>
          <w:rFonts w:hint="eastAsia" w:eastAsia="黑体"/>
          <w:sz w:val="28"/>
          <w:szCs w:val="28"/>
        </w:rPr>
        <w:t>（二）热焓表（饱和蒸汽或过热蒸汽）</w:t>
      </w:r>
    </w:p>
    <w:p w14:paraId="2721C101">
      <w:pPr>
        <w:rPr>
          <w:sz w:val="18"/>
          <w:szCs w:val="18"/>
        </w:rPr>
      </w:pPr>
      <w:r>
        <w:rPr>
          <w:sz w:val="18"/>
          <w:szCs w:val="18"/>
        </w:rPr>
        <w:t>1.</w:t>
      </w:r>
      <w:r>
        <w:rPr>
          <w:sz w:val="18"/>
          <w:szCs w:val="18"/>
        </w:rPr>
        <w:tab/>
      </w:r>
      <w:r>
        <w:rPr>
          <w:sz w:val="18"/>
          <w:szCs w:val="18"/>
        </w:rPr>
        <w:t>饱和蒸汽压力—焓表（按压力排列）</w:t>
      </w:r>
    </w:p>
    <w:p w14:paraId="403F3F6C"/>
    <w:tbl>
      <w:tblPr>
        <w:tblStyle w:val="20"/>
        <w:tblW w:w="4885" w:type="pct"/>
        <w:jc w:val="center"/>
        <w:tblLayout w:type="autofit"/>
        <w:tblCellMar>
          <w:top w:w="0" w:type="dxa"/>
          <w:left w:w="108" w:type="dxa"/>
          <w:bottom w:w="0" w:type="dxa"/>
          <w:right w:w="108" w:type="dxa"/>
        </w:tblCellMar>
      </w:tblPr>
      <w:tblGrid>
        <w:gridCol w:w="1567"/>
        <w:gridCol w:w="1568"/>
        <w:gridCol w:w="1568"/>
        <w:gridCol w:w="1568"/>
        <w:gridCol w:w="1568"/>
        <w:gridCol w:w="1568"/>
      </w:tblGrid>
      <w:tr w14:paraId="6CC7C410">
        <w:tblPrEx>
          <w:tblCellMar>
            <w:top w:w="0" w:type="dxa"/>
            <w:left w:w="108" w:type="dxa"/>
            <w:bottom w:w="0" w:type="dxa"/>
            <w:right w:w="108" w:type="dxa"/>
          </w:tblCellMar>
        </w:tblPrEx>
        <w:trPr>
          <w:cantSplit/>
          <w:trHeight w:val="753" w:hRule="atLeast"/>
          <w:jc w:val="center"/>
        </w:trPr>
        <w:tc>
          <w:tcPr>
            <w:tcW w:w="833" w:type="pct"/>
            <w:tcBorders>
              <w:top w:val="single" w:color="auto" w:sz="8" w:space="0"/>
              <w:bottom w:val="single" w:color="auto" w:sz="2" w:space="0"/>
              <w:right w:val="single" w:color="auto" w:sz="2" w:space="0"/>
            </w:tcBorders>
            <w:noWrap/>
            <w:vAlign w:val="center"/>
          </w:tcPr>
          <w:p w14:paraId="6E3778DF">
            <w:pPr>
              <w:widowControl/>
              <w:jc w:val="center"/>
              <w:rPr>
                <w:kern w:val="0"/>
                <w:sz w:val="18"/>
                <w:szCs w:val="18"/>
              </w:rPr>
            </w:pPr>
            <w:r>
              <w:rPr>
                <w:kern w:val="0"/>
                <w:sz w:val="18"/>
                <w:szCs w:val="18"/>
              </w:rPr>
              <w:t>压力（MPa）</w:t>
            </w:r>
          </w:p>
        </w:tc>
        <w:tc>
          <w:tcPr>
            <w:tcW w:w="833" w:type="pct"/>
            <w:tcBorders>
              <w:top w:val="single" w:color="auto" w:sz="8" w:space="0"/>
              <w:left w:val="single" w:color="auto" w:sz="2" w:space="0"/>
              <w:bottom w:val="single" w:color="auto" w:sz="2" w:space="0"/>
              <w:right w:val="single" w:color="auto" w:sz="2" w:space="0"/>
            </w:tcBorders>
            <w:noWrap/>
            <w:vAlign w:val="center"/>
          </w:tcPr>
          <w:p w14:paraId="74A23044">
            <w:pPr>
              <w:widowControl/>
              <w:jc w:val="center"/>
              <w:rPr>
                <w:kern w:val="0"/>
                <w:sz w:val="18"/>
                <w:szCs w:val="18"/>
              </w:rPr>
            </w:pPr>
            <w:r>
              <w:rPr>
                <w:kern w:val="0"/>
                <w:sz w:val="18"/>
                <w:szCs w:val="18"/>
              </w:rPr>
              <w:t>温度（℃）</w:t>
            </w:r>
          </w:p>
        </w:tc>
        <w:tc>
          <w:tcPr>
            <w:tcW w:w="833" w:type="pct"/>
            <w:tcBorders>
              <w:top w:val="single" w:color="auto" w:sz="8" w:space="0"/>
              <w:left w:val="single" w:color="auto" w:sz="2" w:space="0"/>
              <w:bottom w:val="single" w:color="auto" w:sz="2" w:space="0"/>
              <w:right w:val="double" w:color="auto" w:sz="4" w:space="0"/>
            </w:tcBorders>
            <w:noWrap/>
            <w:vAlign w:val="center"/>
          </w:tcPr>
          <w:p w14:paraId="26995EB2">
            <w:pPr>
              <w:widowControl/>
              <w:jc w:val="center"/>
              <w:rPr>
                <w:kern w:val="0"/>
                <w:sz w:val="18"/>
                <w:szCs w:val="18"/>
              </w:rPr>
            </w:pPr>
            <w:r>
              <w:rPr>
                <w:kern w:val="0"/>
                <w:sz w:val="18"/>
                <w:szCs w:val="18"/>
              </w:rPr>
              <w:t>焓（KJ/kg）</w:t>
            </w:r>
          </w:p>
        </w:tc>
        <w:tc>
          <w:tcPr>
            <w:tcW w:w="833" w:type="pct"/>
            <w:tcBorders>
              <w:top w:val="single" w:color="auto" w:sz="8" w:space="0"/>
              <w:left w:val="double" w:color="auto" w:sz="4" w:space="0"/>
              <w:bottom w:val="single" w:color="auto" w:sz="2" w:space="0"/>
              <w:right w:val="single" w:color="auto" w:sz="2" w:space="0"/>
            </w:tcBorders>
            <w:vAlign w:val="center"/>
          </w:tcPr>
          <w:p w14:paraId="2D07AA1F">
            <w:pPr>
              <w:jc w:val="center"/>
              <w:rPr>
                <w:kern w:val="0"/>
                <w:sz w:val="18"/>
                <w:szCs w:val="18"/>
              </w:rPr>
            </w:pPr>
            <w:r>
              <w:rPr>
                <w:kern w:val="0"/>
                <w:sz w:val="18"/>
                <w:szCs w:val="18"/>
              </w:rPr>
              <w:t>压力（MPa）</w:t>
            </w:r>
          </w:p>
        </w:tc>
        <w:tc>
          <w:tcPr>
            <w:tcW w:w="833" w:type="pct"/>
            <w:tcBorders>
              <w:top w:val="single" w:color="auto" w:sz="8" w:space="0"/>
              <w:left w:val="single" w:color="auto" w:sz="2" w:space="0"/>
              <w:bottom w:val="single" w:color="auto" w:sz="2" w:space="0"/>
              <w:right w:val="single" w:color="auto" w:sz="2" w:space="0"/>
            </w:tcBorders>
            <w:noWrap/>
            <w:vAlign w:val="center"/>
          </w:tcPr>
          <w:p w14:paraId="53707B01">
            <w:pPr>
              <w:widowControl/>
              <w:jc w:val="center"/>
              <w:rPr>
                <w:kern w:val="0"/>
                <w:sz w:val="18"/>
                <w:szCs w:val="18"/>
              </w:rPr>
            </w:pPr>
            <w:r>
              <w:rPr>
                <w:kern w:val="0"/>
                <w:sz w:val="18"/>
                <w:szCs w:val="18"/>
              </w:rPr>
              <w:t>温度（℃）</w:t>
            </w:r>
          </w:p>
        </w:tc>
        <w:tc>
          <w:tcPr>
            <w:tcW w:w="833" w:type="pct"/>
            <w:tcBorders>
              <w:top w:val="single" w:color="auto" w:sz="8" w:space="0"/>
              <w:left w:val="single" w:color="auto" w:sz="2" w:space="0"/>
              <w:bottom w:val="single" w:color="auto" w:sz="2" w:space="0"/>
            </w:tcBorders>
            <w:noWrap/>
            <w:vAlign w:val="center"/>
          </w:tcPr>
          <w:p w14:paraId="7B1961AE">
            <w:pPr>
              <w:widowControl/>
              <w:jc w:val="center"/>
              <w:rPr>
                <w:kern w:val="0"/>
                <w:sz w:val="18"/>
                <w:szCs w:val="18"/>
              </w:rPr>
            </w:pPr>
            <w:r>
              <w:rPr>
                <w:kern w:val="0"/>
                <w:sz w:val="18"/>
                <w:szCs w:val="18"/>
              </w:rPr>
              <w:t>焓（KJ/kg）</w:t>
            </w:r>
          </w:p>
        </w:tc>
      </w:tr>
      <w:tr w14:paraId="71A44001">
        <w:tblPrEx>
          <w:tblCellMar>
            <w:top w:w="0" w:type="dxa"/>
            <w:left w:w="108" w:type="dxa"/>
            <w:bottom w:w="0" w:type="dxa"/>
            <w:right w:w="108" w:type="dxa"/>
          </w:tblCellMar>
        </w:tblPrEx>
        <w:trPr>
          <w:cantSplit/>
          <w:trHeight w:val="315" w:hRule="atLeast"/>
          <w:jc w:val="center"/>
        </w:trPr>
        <w:tc>
          <w:tcPr>
            <w:tcW w:w="833" w:type="pct"/>
            <w:tcBorders>
              <w:top w:val="single" w:color="auto" w:sz="2" w:space="0"/>
              <w:right w:val="single" w:color="auto" w:sz="2" w:space="0"/>
            </w:tcBorders>
            <w:noWrap/>
            <w:vAlign w:val="center"/>
          </w:tcPr>
          <w:p w14:paraId="0AC6AC31">
            <w:pPr>
              <w:widowControl/>
              <w:jc w:val="center"/>
              <w:rPr>
                <w:kern w:val="0"/>
                <w:sz w:val="18"/>
                <w:szCs w:val="18"/>
              </w:rPr>
            </w:pPr>
            <w:r>
              <w:rPr>
                <w:kern w:val="0"/>
                <w:sz w:val="18"/>
                <w:szCs w:val="18"/>
              </w:rPr>
              <w:t>0.001</w:t>
            </w:r>
          </w:p>
        </w:tc>
        <w:tc>
          <w:tcPr>
            <w:tcW w:w="833" w:type="pct"/>
            <w:tcBorders>
              <w:top w:val="single" w:color="auto" w:sz="2" w:space="0"/>
              <w:left w:val="single" w:color="auto" w:sz="2" w:space="0"/>
              <w:right w:val="single" w:color="auto" w:sz="2" w:space="0"/>
            </w:tcBorders>
            <w:noWrap/>
            <w:vAlign w:val="center"/>
          </w:tcPr>
          <w:p w14:paraId="1B55EE35">
            <w:pPr>
              <w:widowControl/>
              <w:jc w:val="center"/>
              <w:rPr>
                <w:kern w:val="0"/>
                <w:sz w:val="18"/>
                <w:szCs w:val="18"/>
              </w:rPr>
            </w:pPr>
            <w:r>
              <w:rPr>
                <w:kern w:val="0"/>
                <w:sz w:val="18"/>
                <w:szCs w:val="18"/>
              </w:rPr>
              <w:t xml:space="preserve">  6.98</w:t>
            </w:r>
          </w:p>
        </w:tc>
        <w:tc>
          <w:tcPr>
            <w:tcW w:w="833" w:type="pct"/>
            <w:tcBorders>
              <w:top w:val="single" w:color="auto" w:sz="2" w:space="0"/>
              <w:left w:val="single" w:color="auto" w:sz="2" w:space="0"/>
              <w:right w:val="double" w:color="auto" w:sz="4" w:space="0"/>
            </w:tcBorders>
            <w:noWrap/>
            <w:vAlign w:val="center"/>
          </w:tcPr>
          <w:p w14:paraId="25A14EC0">
            <w:pPr>
              <w:widowControl/>
              <w:jc w:val="center"/>
              <w:rPr>
                <w:kern w:val="0"/>
                <w:sz w:val="18"/>
                <w:szCs w:val="18"/>
              </w:rPr>
            </w:pPr>
            <w:r>
              <w:rPr>
                <w:kern w:val="0"/>
                <w:sz w:val="18"/>
                <w:szCs w:val="18"/>
              </w:rPr>
              <w:t>2513.8</w:t>
            </w:r>
          </w:p>
        </w:tc>
        <w:tc>
          <w:tcPr>
            <w:tcW w:w="833" w:type="pct"/>
            <w:tcBorders>
              <w:top w:val="single" w:color="auto" w:sz="2" w:space="0"/>
              <w:left w:val="double" w:color="auto" w:sz="4" w:space="0"/>
              <w:right w:val="single" w:color="auto" w:sz="2" w:space="0"/>
            </w:tcBorders>
            <w:vAlign w:val="center"/>
          </w:tcPr>
          <w:p w14:paraId="1FCFDB46">
            <w:pPr>
              <w:jc w:val="center"/>
              <w:rPr>
                <w:kern w:val="0"/>
                <w:sz w:val="18"/>
                <w:szCs w:val="18"/>
              </w:rPr>
            </w:pPr>
            <w:r>
              <w:rPr>
                <w:kern w:val="0"/>
                <w:sz w:val="18"/>
                <w:szCs w:val="18"/>
              </w:rPr>
              <w:t xml:space="preserve"> 1.0</w:t>
            </w:r>
          </w:p>
        </w:tc>
        <w:tc>
          <w:tcPr>
            <w:tcW w:w="833" w:type="pct"/>
            <w:tcBorders>
              <w:top w:val="single" w:color="auto" w:sz="2" w:space="0"/>
              <w:left w:val="single" w:color="auto" w:sz="2" w:space="0"/>
              <w:right w:val="single" w:color="auto" w:sz="2" w:space="0"/>
            </w:tcBorders>
            <w:noWrap/>
            <w:vAlign w:val="center"/>
          </w:tcPr>
          <w:p w14:paraId="799C2866">
            <w:pPr>
              <w:widowControl/>
              <w:jc w:val="center"/>
              <w:rPr>
                <w:kern w:val="0"/>
                <w:sz w:val="18"/>
                <w:szCs w:val="18"/>
              </w:rPr>
            </w:pPr>
            <w:r>
              <w:rPr>
                <w:kern w:val="0"/>
                <w:sz w:val="18"/>
                <w:szCs w:val="18"/>
              </w:rPr>
              <w:t>179.88</w:t>
            </w:r>
          </w:p>
        </w:tc>
        <w:tc>
          <w:tcPr>
            <w:tcW w:w="833" w:type="pct"/>
            <w:tcBorders>
              <w:top w:val="single" w:color="auto" w:sz="2" w:space="0"/>
              <w:left w:val="single" w:color="auto" w:sz="2" w:space="0"/>
            </w:tcBorders>
            <w:noWrap/>
            <w:vAlign w:val="center"/>
          </w:tcPr>
          <w:p w14:paraId="0B29B6FB">
            <w:pPr>
              <w:widowControl/>
              <w:jc w:val="center"/>
              <w:rPr>
                <w:kern w:val="0"/>
                <w:sz w:val="18"/>
                <w:szCs w:val="18"/>
              </w:rPr>
            </w:pPr>
            <w:r>
              <w:rPr>
                <w:kern w:val="0"/>
                <w:sz w:val="18"/>
                <w:szCs w:val="18"/>
              </w:rPr>
              <w:t>2777.0</w:t>
            </w:r>
          </w:p>
        </w:tc>
      </w:tr>
      <w:tr w14:paraId="4B14E587">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3729D3C9">
            <w:pPr>
              <w:widowControl/>
              <w:jc w:val="center"/>
              <w:rPr>
                <w:kern w:val="0"/>
                <w:sz w:val="18"/>
                <w:szCs w:val="18"/>
              </w:rPr>
            </w:pPr>
            <w:r>
              <w:rPr>
                <w:kern w:val="0"/>
                <w:sz w:val="18"/>
                <w:szCs w:val="18"/>
              </w:rPr>
              <w:t>0.002</w:t>
            </w:r>
          </w:p>
        </w:tc>
        <w:tc>
          <w:tcPr>
            <w:tcW w:w="833" w:type="pct"/>
            <w:tcBorders>
              <w:left w:val="single" w:color="auto" w:sz="2" w:space="0"/>
              <w:right w:val="single" w:color="auto" w:sz="2" w:space="0"/>
            </w:tcBorders>
            <w:noWrap/>
            <w:vAlign w:val="center"/>
          </w:tcPr>
          <w:p w14:paraId="32D76CE9">
            <w:pPr>
              <w:widowControl/>
              <w:jc w:val="center"/>
              <w:rPr>
                <w:kern w:val="0"/>
                <w:sz w:val="18"/>
                <w:szCs w:val="18"/>
              </w:rPr>
            </w:pPr>
            <w:r>
              <w:rPr>
                <w:kern w:val="0"/>
                <w:sz w:val="18"/>
                <w:szCs w:val="18"/>
              </w:rPr>
              <w:t xml:space="preserve"> 17.51</w:t>
            </w:r>
          </w:p>
        </w:tc>
        <w:tc>
          <w:tcPr>
            <w:tcW w:w="833" w:type="pct"/>
            <w:tcBorders>
              <w:left w:val="single" w:color="auto" w:sz="2" w:space="0"/>
              <w:right w:val="double" w:color="auto" w:sz="4" w:space="0"/>
            </w:tcBorders>
            <w:noWrap/>
            <w:vAlign w:val="center"/>
          </w:tcPr>
          <w:p w14:paraId="2988A68A">
            <w:pPr>
              <w:widowControl/>
              <w:jc w:val="center"/>
              <w:rPr>
                <w:kern w:val="0"/>
                <w:sz w:val="18"/>
                <w:szCs w:val="18"/>
              </w:rPr>
            </w:pPr>
            <w:r>
              <w:rPr>
                <w:kern w:val="0"/>
                <w:sz w:val="18"/>
                <w:szCs w:val="18"/>
              </w:rPr>
              <w:t>2533.2</w:t>
            </w:r>
          </w:p>
        </w:tc>
        <w:tc>
          <w:tcPr>
            <w:tcW w:w="833" w:type="pct"/>
            <w:tcBorders>
              <w:left w:val="double" w:color="auto" w:sz="4" w:space="0"/>
              <w:right w:val="single" w:color="auto" w:sz="2" w:space="0"/>
            </w:tcBorders>
            <w:vAlign w:val="center"/>
          </w:tcPr>
          <w:p w14:paraId="6FCF3860">
            <w:pPr>
              <w:jc w:val="center"/>
              <w:rPr>
                <w:kern w:val="0"/>
                <w:sz w:val="18"/>
                <w:szCs w:val="18"/>
              </w:rPr>
            </w:pPr>
            <w:r>
              <w:rPr>
                <w:kern w:val="0"/>
                <w:sz w:val="18"/>
                <w:szCs w:val="18"/>
              </w:rPr>
              <w:t xml:space="preserve"> 1.1</w:t>
            </w:r>
          </w:p>
        </w:tc>
        <w:tc>
          <w:tcPr>
            <w:tcW w:w="833" w:type="pct"/>
            <w:tcBorders>
              <w:left w:val="single" w:color="auto" w:sz="2" w:space="0"/>
              <w:right w:val="single" w:color="auto" w:sz="2" w:space="0"/>
            </w:tcBorders>
            <w:noWrap/>
            <w:vAlign w:val="center"/>
          </w:tcPr>
          <w:p w14:paraId="4F19CC93">
            <w:pPr>
              <w:widowControl/>
              <w:jc w:val="center"/>
              <w:rPr>
                <w:kern w:val="0"/>
                <w:sz w:val="18"/>
                <w:szCs w:val="18"/>
              </w:rPr>
            </w:pPr>
            <w:r>
              <w:rPr>
                <w:kern w:val="0"/>
                <w:sz w:val="18"/>
                <w:szCs w:val="18"/>
              </w:rPr>
              <w:t>184.06</w:t>
            </w:r>
          </w:p>
        </w:tc>
        <w:tc>
          <w:tcPr>
            <w:tcW w:w="833" w:type="pct"/>
            <w:tcBorders>
              <w:left w:val="single" w:color="auto" w:sz="2" w:space="0"/>
            </w:tcBorders>
            <w:noWrap/>
            <w:vAlign w:val="center"/>
          </w:tcPr>
          <w:p w14:paraId="616C9FFD">
            <w:pPr>
              <w:widowControl/>
              <w:jc w:val="center"/>
              <w:rPr>
                <w:kern w:val="0"/>
                <w:sz w:val="18"/>
                <w:szCs w:val="18"/>
              </w:rPr>
            </w:pPr>
            <w:r>
              <w:rPr>
                <w:kern w:val="0"/>
                <w:sz w:val="18"/>
                <w:szCs w:val="18"/>
              </w:rPr>
              <w:t>2780.4</w:t>
            </w:r>
          </w:p>
        </w:tc>
      </w:tr>
      <w:tr w14:paraId="0559E5BF">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AD68AE3">
            <w:pPr>
              <w:widowControl/>
              <w:jc w:val="center"/>
              <w:rPr>
                <w:kern w:val="0"/>
                <w:sz w:val="18"/>
                <w:szCs w:val="18"/>
              </w:rPr>
            </w:pPr>
            <w:r>
              <w:rPr>
                <w:kern w:val="0"/>
                <w:sz w:val="18"/>
                <w:szCs w:val="18"/>
              </w:rPr>
              <w:t>0.003</w:t>
            </w:r>
          </w:p>
        </w:tc>
        <w:tc>
          <w:tcPr>
            <w:tcW w:w="833" w:type="pct"/>
            <w:tcBorders>
              <w:left w:val="single" w:color="auto" w:sz="2" w:space="0"/>
              <w:right w:val="single" w:color="auto" w:sz="2" w:space="0"/>
            </w:tcBorders>
            <w:noWrap/>
            <w:vAlign w:val="center"/>
          </w:tcPr>
          <w:p w14:paraId="00CE6378">
            <w:pPr>
              <w:widowControl/>
              <w:jc w:val="center"/>
              <w:rPr>
                <w:kern w:val="0"/>
                <w:sz w:val="18"/>
                <w:szCs w:val="18"/>
              </w:rPr>
            </w:pPr>
            <w:r>
              <w:rPr>
                <w:kern w:val="0"/>
                <w:sz w:val="18"/>
                <w:szCs w:val="18"/>
              </w:rPr>
              <w:t xml:space="preserve"> 24.10</w:t>
            </w:r>
          </w:p>
        </w:tc>
        <w:tc>
          <w:tcPr>
            <w:tcW w:w="833" w:type="pct"/>
            <w:tcBorders>
              <w:left w:val="single" w:color="auto" w:sz="2" w:space="0"/>
              <w:right w:val="double" w:color="auto" w:sz="4" w:space="0"/>
            </w:tcBorders>
            <w:noWrap/>
            <w:vAlign w:val="center"/>
          </w:tcPr>
          <w:p w14:paraId="7A2911DD">
            <w:pPr>
              <w:widowControl/>
              <w:jc w:val="center"/>
              <w:rPr>
                <w:kern w:val="0"/>
                <w:sz w:val="18"/>
                <w:szCs w:val="18"/>
              </w:rPr>
            </w:pPr>
            <w:r>
              <w:rPr>
                <w:kern w:val="0"/>
                <w:sz w:val="18"/>
                <w:szCs w:val="18"/>
              </w:rPr>
              <w:t>2545.2</w:t>
            </w:r>
          </w:p>
        </w:tc>
        <w:tc>
          <w:tcPr>
            <w:tcW w:w="833" w:type="pct"/>
            <w:tcBorders>
              <w:left w:val="double" w:color="auto" w:sz="4" w:space="0"/>
              <w:right w:val="single" w:color="auto" w:sz="2" w:space="0"/>
            </w:tcBorders>
            <w:vAlign w:val="center"/>
          </w:tcPr>
          <w:p w14:paraId="09209AF7">
            <w:pPr>
              <w:jc w:val="center"/>
              <w:rPr>
                <w:kern w:val="0"/>
                <w:sz w:val="18"/>
                <w:szCs w:val="18"/>
              </w:rPr>
            </w:pPr>
            <w:r>
              <w:rPr>
                <w:kern w:val="0"/>
                <w:sz w:val="18"/>
                <w:szCs w:val="18"/>
              </w:rPr>
              <w:t xml:space="preserve"> 1.2</w:t>
            </w:r>
          </w:p>
        </w:tc>
        <w:tc>
          <w:tcPr>
            <w:tcW w:w="833" w:type="pct"/>
            <w:tcBorders>
              <w:left w:val="single" w:color="auto" w:sz="2" w:space="0"/>
              <w:right w:val="single" w:color="auto" w:sz="2" w:space="0"/>
            </w:tcBorders>
            <w:noWrap/>
            <w:vAlign w:val="center"/>
          </w:tcPr>
          <w:p w14:paraId="2AF72995">
            <w:pPr>
              <w:widowControl/>
              <w:jc w:val="center"/>
              <w:rPr>
                <w:kern w:val="0"/>
                <w:sz w:val="18"/>
                <w:szCs w:val="18"/>
              </w:rPr>
            </w:pPr>
            <w:r>
              <w:rPr>
                <w:kern w:val="0"/>
                <w:sz w:val="18"/>
                <w:szCs w:val="18"/>
              </w:rPr>
              <w:t>187.96</w:t>
            </w:r>
          </w:p>
        </w:tc>
        <w:tc>
          <w:tcPr>
            <w:tcW w:w="833" w:type="pct"/>
            <w:tcBorders>
              <w:left w:val="single" w:color="auto" w:sz="2" w:space="0"/>
            </w:tcBorders>
            <w:noWrap/>
            <w:vAlign w:val="center"/>
          </w:tcPr>
          <w:p w14:paraId="0ECE568F">
            <w:pPr>
              <w:widowControl/>
              <w:jc w:val="center"/>
              <w:rPr>
                <w:kern w:val="0"/>
                <w:sz w:val="18"/>
                <w:szCs w:val="18"/>
              </w:rPr>
            </w:pPr>
            <w:r>
              <w:rPr>
                <w:kern w:val="0"/>
                <w:sz w:val="18"/>
                <w:szCs w:val="18"/>
              </w:rPr>
              <w:t>2783.4</w:t>
            </w:r>
          </w:p>
        </w:tc>
      </w:tr>
      <w:tr w14:paraId="4565C885">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227C4322">
            <w:pPr>
              <w:widowControl/>
              <w:jc w:val="center"/>
              <w:rPr>
                <w:kern w:val="0"/>
                <w:sz w:val="18"/>
                <w:szCs w:val="18"/>
              </w:rPr>
            </w:pPr>
            <w:r>
              <w:rPr>
                <w:kern w:val="0"/>
                <w:sz w:val="18"/>
                <w:szCs w:val="18"/>
              </w:rPr>
              <w:t>0.004</w:t>
            </w:r>
          </w:p>
        </w:tc>
        <w:tc>
          <w:tcPr>
            <w:tcW w:w="833" w:type="pct"/>
            <w:tcBorders>
              <w:left w:val="single" w:color="auto" w:sz="2" w:space="0"/>
              <w:right w:val="single" w:color="auto" w:sz="2" w:space="0"/>
            </w:tcBorders>
            <w:noWrap/>
            <w:vAlign w:val="center"/>
          </w:tcPr>
          <w:p w14:paraId="224AB00F">
            <w:pPr>
              <w:widowControl/>
              <w:jc w:val="center"/>
              <w:rPr>
                <w:kern w:val="0"/>
                <w:sz w:val="18"/>
                <w:szCs w:val="18"/>
              </w:rPr>
            </w:pPr>
            <w:r>
              <w:rPr>
                <w:kern w:val="0"/>
                <w:sz w:val="18"/>
                <w:szCs w:val="18"/>
              </w:rPr>
              <w:t xml:space="preserve"> 28.98</w:t>
            </w:r>
          </w:p>
        </w:tc>
        <w:tc>
          <w:tcPr>
            <w:tcW w:w="833" w:type="pct"/>
            <w:tcBorders>
              <w:left w:val="single" w:color="auto" w:sz="2" w:space="0"/>
              <w:right w:val="double" w:color="auto" w:sz="4" w:space="0"/>
            </w:tcBorders>
            <w:noWrap/>
            <w:vAlign w:val="center"/>
          </w:tcPr>
          <w:p w14:paraId="6E9FE3A1">
            <w:pPr>
              <w:widowControl/>
              <w:jc w:val="center"/>
              <w:rPr>
                <w:kern w:val="0"/>
                <w:sz w:val="18"/>
                <w:szCs w:val="18"/>
              </w:rPr>
            </w:pPr>
            <w:r>
              <w:rPr>
                <w:kern w:val="0"/>
                <w:sz w:val="18"/>
                <w:szCs w:val="18"/>
              </w:rPr>
              <w:t>2554.1</w:t>
            </w:r>
          </w:p>
        </w:tc>
        <w:tc>
          <w:tcPr>
            <w:tcW w:w="833" w:type="pct"/>
            <w:tcBorders>
              <w:left w:val="double" w:color="auto" w:sz="4" w:space="0"/>
              <w:right w:val="single" w:color="auto" w:sz="2" w:space="0"/>
            </w:tcBorders>
            <w:vAlign w:val="center"/>
          </w:tcPr>
          <w:p w14:paraId="15A31702">
            <w:pPr>
              <w:jc w:val="center"/>
              <w:rPr>
                <w:kern w:val="0"/>
                <w:sz w:val="18"/>
                <w:szCs w:val="18"/>
              </w:rPr>
            </w:pPr>
            <w:r>
              <w:rPr>
                <w:kern w:val="0"/>
                <w:sz w:val="18"/>
                <w:szCs w:val="18"/>
              </w:rPr>
              <w:t xml:space="preserve"> 1.3</w:t>
            </w:r>
          </w:p>
        </w:tc>
        <w:tc>
          <w:tcPr>
            <w:tcW w:w="833" w:type="pct"/>
            <w:tcBorders>
              <w:left w:val="single" w:color="auto" w:sz="2" w:space="0"/>
              <w:right w:val="single" w:color="auto" w:sz="2" w:space="0"/>
            </w:tcBorders>
            <w:noWrap/>
            <w:vAlign w:val="center"/>
          </w:tcPr>
          <w:p w14:paraId="4FB0355D">
            <w:pPr>
              <w:widowControl/>
              <w:jc w:val="center"/>
              <w:rPr>
                <w:kern w:val="0"/>
                <w:sz w:val="18"/>
                <w:szCs w:val="18"/>
              </w:rPr>
            </w:pPr>
            <w:r>
              <w:rPr>
                <w:kern w:val="0"/>
                <w:sz w:val="18"/>
                <w:szCs w:val="18"/>
              </w:rPr>
              <w:t>191.60</w:t>
            </w:r>
          </w:p>
        </w:tc>
        <w:tc>
          <w:tcPr>
            <w:tcW w:w="833" w:type="pct"/>
            <w:tcBorders>
              <w:left w:val="single" w:color="auto" w:sz="2" w:space="0"/>
            </w:tcBorders>
            <w:noWrap/>
            <w:vAlign w:val="center"/>
          </w:tcPr>
          <w:p w14:paraId="5D5BE7E3">
            <w:pPr>
              <w:widowControl/>
              <w:jc w:val="center"/>
              <w:rPr>
                <w:kern w:val="0"/>
                <w:sz w:val="18"/>
                <w:szCs w:val="18"/>
              </w:rPr>
            </w:pPr>
            <w:r>
              <w:rPr>
                <w:kern w:val="0"/>
                <w:sz w:val="18"/>
                <w:szCs w:val="18"/>
              </w:rPr>
              <w:t>2786.0</w:t>
            </w:r>
          </w:p>
        </w:tc>
      </w:tr>
      <w:tr w14:paraId="4E0F9A48">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7A3EA9D6">
            <w:pPr>
              <w:widowControl/>
              <w:jc w:val="center"/>
              <w:rPr>
                <w:kern w:val="0"/>
                <w:sz w:val="18"/>
                <w:szCs w:val="18"/>
              </w:rPr>
            </w:pPr>
            <w:r>
              <w:rPr>
                <w:kern w:val="0"/>
                <w:sz w:val="18"/>
                <w:szCs w:val="18"/>
              </w:rPr>
              <w:t>0.005</w:t>
            </w:r>
          </w:p>
        </w:tc>
        <w:tc>
          <w:tcPr>
            <w:tcW w:w="833" w:type="pct"/>
            <w:tcBorders>
              <w:left w:val="single" w:color="auto" w:sz="2" w:space="0"/>
              <w:right w:val="single" w:color="auto" w:sz="2" w:space="0"/>
            </w:tcBorders>
            <w:noWrap/>
            <w:vAlign w:val="center"/>
          </w:tcPr>
          <w:p w14:paraId="26D3DA4B">
            <w:pPr>
              <w:widowControl/>
              <w:jc w:val="center"/>
              <w:rPr>
                <w:kern w:val="0"/>
                <w:sz w:val="18"/>
                <w:szCs w:val="18"/>
              </w:rPr>
            </w:pPr>
            <w:r>
              <w:rPr>
                <w:kern w:val="0"/>
                <w:sz w:val="18"/>
                <w:szCs w:val="18"/>
              </w:rPr>
              <w:t xml:space="preserve"> 32.90</w:t>
            </w:r>
          </w:p>
        </w:tc>
        <w:tc>
          <w:tcPr>
            <w:tcW w:w="833" w:type="pct"/>
            <w:tcBorders>
              <w:left w:val="single" w:color="auto" w:sz="2" w:space="0"/>
              <w:right w:val="double" w:color="auto" w:sz="4" w:space="0"/>
            </w:tcBorders>
            <w:noWrap/>
            <w:vAlign w:val="center"/>
          </w:tcPr>
          <w:p w14:paraId="4EDA0104">
            <w:pPr>
              <w:widowControl/>
              <w:jc w:val="center"/>
              <w:rPr>
                <w:kern w:val="0"/>
                <w:sz w:val="18"/>
                <w:szCs w:val="18"/>
              </w:rPr>
            </w:pPr>
            <w:r>
              <w:rPr>
                <w:kern w:val="0"/>
                <w:sz w:val="18"/>
                <w:szCs w:val="18"/>
              </w:rPr>
              <w:t>2561.2</w:t>
            </w:r>
          </w:p>
        </w:tc>
        <w:tc>
          <w:tcPr>
            <w:tcW w:w="833" w:type="pct"/>
            <w:tcBorders>
              <w:left w:val="double" w:color="auto" w:sz="4" w:space="0"/>
              <w:right w:val="single" w:color="auto" w:sz="2" w:space="0"/>
            </w:tcBorders>
            <w:vAlign w:val="center"/>
          </w:tcPr>
          <w:p w14:paraId="4D7F5B12">
            <w:pPr>
              <w:jc w:val="center"/>
              <w:rPr>
                <w:kern w:val="0"/>
                <w:sz w:val="18"/>
                <w:szCs w:val="18"/>
              </w:rPr>
            </w:pPr>
            <w:r>
              <w:rPr>
                <w:kern w:val="0"/>
                <w:sz w:val="18"/>
                <w:szCs w:val="18"/>
              </w:rPr>
              <w:t xml:space="preserve"> 1.4</w:t>
            </w:r>
          </w:p>
        </w:tc>
        <w:tc>
          <w:tcPr>
            <w:tcW w:w="833" w:type="pct"/>
            <w:tcBorders>
              <w:left w:val="single" w:color="auto" w:sz="2" w:space="0"/>
              <w:right w:val="single" w:color="auto" w:sz="2" w:space="0"/>
            </w:tcBorders>
            <w:noWrap/>
            <w:vAlign w:val="center"/>
          </w:tcPr>
          <w:p w14:paraId="64DE5169">
            <w:pPr>
              <w:widowControl/>
              <w:jc w:val="center"/>
              <w:rPr>
                <w:kern w:val="0"/>
                <w:sz w:val="18"/>
                <w:szCs w:val="18"/>
              </w:rPr>
            </w:pPr>
            <w:r>
              <w:rPr>
                <w:kern w:val="0"/>
                <w:sz w:val="18"/>
                <w:szCs w:val="18"/>
              </w:rPr>
              <w:t>195.04</w:t>
            </w:r>
          </w:p>
        </w:tc>
        <w:tc>
          <w:tcPr>
            <w:tcW w:w="833" w:type="pct"/>
            <w:tcBorders>
              <w:left w:val="single" w:color="auto" w:sz="2" w:space="0"/>
            </w:tcBorders>
            <w:noWrap/>
            <w:vAlign w:val="center"/>
          </w:tcPr>
          <w:p w14:paraId="05FD42F3">
            <w:pPr>
              <w:widowControl/>
              <w:jc w:val="center"/>
              <w:rPr>
                <w:kern w:val="0"/>
                <w:sz w:val="18"/>
                <w:szCs w:val="18"/>
              </w:rPr>
            </w:pPr>
            <w:r>
              <w:rPr>
                <w:kern w:val="0"/>
                <w:sz w:val="18"/>
                <w:szCs w:val="18"/>
              </w:rPr>
              <w:t>2788.4</w:t>
            </w:r>
          </w:p>
        </w:tc>
      </w:tr>
      <w:tr w14:paraId="6354DA2F">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247EDEBA">
            <w:pPr>
              <w:widowControl/>
              <w:jc w:val="center"/>
              <w:rPr>
                <w:kern w:val="0"/>
                <w:sz w:val="18"/>
                <w:szCs w:val="18"/>
              </w:rPr>
            </w:pPr>
            <w:r>
              <w:rPr>
                <w:kern w:val="0"/>
                <w:sz w:val="18"/>
                <w:szCs w:val="18"/>
              </w:rPr>
              <w:t>0.006</w:t>
            </w:r>
          </w:p>
        </w:tc>
        <w:tc>
          <w:tcPr>
            <w:tcW w:w="833" w:type="pct"/>
            <w:tcBorders>
              <w:left w:val="single" w:color="auto" w:sz="2" w:space="0"/>
              <w:right w:val="single" w:color="auto" w:sz="2" w:space="0"/>
            </w:tcBorders>
            <w:noWrap/>
            <w:vAlign w:val="center"/>
          </w:tcPr>
          <w:p w14:paraId="5CC6F703">
            <w:pPr>
              <w:widowControl/>
              <w:jc w:val="center"/>
              <w:rPr>
                <w:kern w:val="0"/>
                <w:sz w:val="18"/>
                <w:szCs w:val="18"/>
              </w:rPr>
            </w:pPr>
            <w:r>
              <w:rPr>
                <w:kern w:val="0"/>
                <w:sz w:val="18"/>
                <w:szCs w:val="18"/>
              </w:rPr>
              <w:t xml:space="preserve"> 36.18</w:t>
            </w:r>
          </w:p>
        </w:tc>
        <w:tc>
          <w:tcPr>
            <w:tcW w:w="833" w:type="pct"/>
            <w:tcBorders>
              <w:left w:val="single" w:color="auto" w:sz="2" w:space="0"/>
              <w:right w:val="double" w:color="auto" w:sz="4" w:space="0"/>
            </w:tcBorders>
            <w:noWrap/>
            <w:vAlign w:val="center"/>
          </w:tcPr>
          <w:p w14:paraId="7EB77883">
            <w:pPr>
              <w:widowControl/>
              <w:jc w:val="center"/>
              <w:rPr>
                <w:kern w:val="0"/>
                <w:sz w:val="18"/>
                <w:szCs w:val="18"/>
              </w:rPr>
            </w:pPr>
            <w:r>
              <w:rPr>
                <w:kern w:val="0"/>
                <w:sz w:val="18"/>
                <w:szCs w:val="18"/>
              </w:rPr>
              <w:t>2567.1</w:t>
            </w:r>
          </w:p>
        </w:tc>
        <w:tc>
          <w:tcPr>
            <w:tcW w:w="833" w:type="pct"/>
            <w:tcBorders>
              <w:left w:val="double" w:color="auto" w:sz="4" w:space="0"/>
              <w:right w:val="single" w:color="auto" w:sz="2" w:space="0"/>
            </w:tcBorders>
            <w:vAlign w:val="center"/>
          </w:tcPr>
          <w:p w14:paraId="01BFB014">
            <w:pPr>
              <w:jc w:val="center"/>
              <w:rPr>
                <w:kern w:val="0"/>
                <w:sz w:val="18"/>
                <w:szCs w:val="18"/>
              </w:rPr>
            </w:pPr>
            <w:r>
              <w:rPr>
                <w:kern w:val="0"/>
                <w:sz w:val="18"/>
                <w:szCs w:val="18"/>
              </w:rPr>
              <w:t xml:space="preserve"> 1.5</w:t>
            </w:r>
          </w:p>
        </w:tc>
        <w:tc>
          <w:tcPr>
            <w:tcW w:w="833" w:type="pct"/>
            <w:tcBorders>
              <w:left w:val="single" w:color="auto" w:sz="2" w:space="0"/>
              <w:right w:val="single" w:color="auto" w:sz="2" w:space="0"/>
            </w:tcBorders>
            <w:noWrap/>
            <w:vAlign w:val="center"/>
          </w:tcPr>
          <w:p w14:paraId="746016A0">
            <w:pPr>
              <w:widowControl/>
              <w:jc w:val="center"/>
              <w:rPr>
                <w:kern w:val="0"/>
                <w:sz w:val="18"/>
                <w:szCs w:val="18"/>
              </w:rPr>
            </w:pPr>
            <w:r>
              <w:rPr>
                <w:kern w:val="0"/>
                <w:sz w:val="18"/>
                <w:szCs w:val="18"/>
              </w:rPr>
              <w:t>198.28</w:t>
            </w:r>
          </w:p>
        </w:tc>
        <w:tc>
          <w:tcPr>
            <w:tcW w:w="833" w:type="pct"/>
            <w:tcBorders>
              <w:left w:val="single" w:color="auto" w:sz="2" w:space="0"/>
            </w:tcBorders>
            <w:noWrap/>
            <w:vAlign w:val="center"/>
          </w:tcPr>
          <w:p w14:paraId="7432BC24">
            <w:pPr>
              <w:widowControl/>
              <w:jc w:val="center"/>
              <w:rPr>
                <w:kern w:val="0"/>
                <w:sz w:val="18"/>
                <w:szCs w:val="18"/>
              </w:rPr>
            </w:pPr>
            <w:r>
              <w:rPr>
                <w:kern w:val="0"/>
                <w:sz w:val="18"/>
                <w:szCs w:val="18"/>
              </w:rPr>
              <w:t>2790.4</w:t>
            </w:r>
          </w:p>
        </w:tc>
      </w:tr>
      <w:tr w14:paraId="79AF22F4">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5B6AEB35">
            <w:pPr>
              <w:widowControl/>
              <w:jc w:val="center"/>
              <w:rPr>
                <w:kern w:val="0"/>
                <w:sz w:val="18"/>
                <w:szCs w:val="18"/>
              </w:rPr>
            </w:pPr>
            <w:r>
              <w:rPr>
                <w:kern w:val="0"/>
                <w:sz w:val="18"/>
                <w:szCs w:val="18"/>
              </w:rPr>
              <w:t>0.007</w:t>
            </w:r>
          </w:p>
        </w:tc>
        <w:tc>
          <w:tcPr>
            <w:tcW w:w="833" w:type="pct"/>
            <w:tcBorders>
              <w:left w:val="single" w:color="auto" w:sz="2" w:space="0"/>
              <w:right w:val="single" w:color="auto" w:sz="2" w:space="0"/>
            </w:tcBorders>
            <w:noWrap/>
            <w:vAlign w:val="center"/>
          </w:tcPr>
          <w:p w14:paraId="682C8288">
            <w:pPr>
              <w:widowControl/>
              <w:jc w:val="center"/>
              <w:rPr>
                <w:kern w:val="0"/>
                <w:sz w:val="18"/>
                <w:szCs w:val="18"/>
              </w:rPr>
            </w:pPr>
            <w:r>
              <w:rPr>
                <w:kern w:val="0"/>
                <w:sz w:val="18"/>
                <w:szCs w:val="18"/>
              </w:rPr>
              <w:t xml:space="preserve"> 39.02</w:t>
            </w:r>
          </w:p>
        </w:tc>
        <w:tc>
          <w:tcPr>
            <w:tcW w:w="833" w:type="pct"/>
            <w:tcBorders>
              <w:left w:val="single" w:color="auto" w:sz="2" w:space="0"/>
              <w:right w:val="double" w:color="auto" w:sz="4" w:space="0"/>
            </w:tcBorders>
            <w:noWrap/>
            <w:vAlign w:val="center"/>
          </w:tcPr>
          <w:p w14:paraId="36FF9C48">
            <w:pPr>
              <w:widowControl/>
              <w:jc w:val="center"/>
              <w:rPr>
                <w:kern w:val="0"/>
                <w:sz w:val="18"/>
                <w:szCs w:val="18"/>
              </w:rPr>
            </w:pPr>
            <w:r>
              <w:rPr>
                <w:kern w:val="0"/>
                <w:sz w:val="18"/>
                <w:szCs w:val="18"/>
              </w:rPr>
              <w:t>2572.2</w:t>
            </w:r>
          </w:p>
        </w:tc>
        <w:tc>
          <w:tcPr>
            <w:tcW w:w="833" w:type="pct"/>
            <w:tcBorders>
              <w:left w:val="double" w:color="auto" w:sz="4" w:space="0"/>
              <w:right w:val="single" w:color="auto" w:sz="2" w:space="0"/>
            </w:tcBorders>
            <w:vAlign w:val="center"/>
          </w:tcPr>
          <w:p w14:paraId="070CA29F">
            <w:pPr>
              <w:jc w:val="center"/>
              <w:rPr>
                <w:kern w:val="0"/>
                <w:sz w:val="18"/>
                <w:szCs w:val="18"/>
              </w:rPr>
            </w:pPr>
            <w:r>
              <w:rPr>
                <w:kern w:val="0"/>
                <w:sz w:val="18"/>
                <w:szCs w:val="18"/>
              </w:rPr>
              <w:t xml:space="preserve"> 1.6</w:t>
            </w:r>
          </w:p>
        </w:tc>
        <w:tc>
          <w:tcPr>
            <w:tcW w:w="833" w:type="pct"/>
            <w:tcBorders>
              <w:left w:val="single" w:color="auto" w:sz="2" w:space="0"/>
              <w:right w:val="single" w:color="auto" w:sz="2" w:space="0"/>
            </w:tcBorders>
            <w:noWrap/>
            <w:vAlign w:val="center"/>
          </w:tcPr>
          <w:p w14:paraId="6F3397EF">
            <w:pPr>
              <w:widowControl/>
              <w:jc w:val="center"/>
              <w:rPr>
                <w:kern w:val="0"/>
                <w:sz w:val="18"/>
                <w:szCs w:val="18"/>
              </w:rPr>
            </w:pPr>
            <w:r>
              <w:rPr>
                <w:kern w:val="0"/>
                <w:sz w:val="18"/>
                <w:szCs w:val="18"/>
              </w:rPr>
              <w:t>201.37</w:t>
            </w:r>
          </w:p>
        </w:tc>
        <w:tc>
          <w:tcPr>
            <w:tcW w:w="833" w:type="pct"/>
            <w:tcBorders>
              <w:left w:val="single" w:color="auto" w:sz="2" w:space="0"/>
            </w:tcBorders>
            <w:noWrap/>
            <w:vAlign w:val="center"/>
          </w:tcPr>
          <w:p w14:paraId="3EAE6A9A">
            <w:pPr>
              <w:widowControl/>
              <w:jc w:val="center"/>
              <w:rPr>
                <w:kern w:val="0"/>
                <w:sz w:val="18"/>
                <w:szCs w:val="18"/>
              </w:rPr>
            </w:pPr>
            <w:r>
              <w:rPr>
                <w:kern w:val="0"/>
                <w:sz w:val="18"/>
                <w:szCs w:val="18"/>
              </w:rPr>
              <w:t>2792.2</w:t>
            </w:r>
          </w:p>
        </w:tc>
      </w:tr>
      <w:tr w14:paraId="756D175C">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048C0F17">
            <w:pPr>
              <w:widowControl/>
              <w:jc w:val="center"/>
              <w:rPr>
                <w:kern w:val="0"/>
                <w:sz w:val="18"/>
                <w:szCs w:val="18"/>
              </w:rPr>
            </w:pPr>
            <w:r>
              <w:rPr>
                <w:kern w:val="0"/>
                <w:sz w:val="18"/>
                <w:szCs w:val="18"/>
              </w:rPr>
              <w:t>0.008</w:t>
            </w:r>
          </w:p>
        </w:tc>
        <w:tc>
          <w:tcPr>
            <w:tcW w:w="833" w:type="pct"/>
            <w:tcBorders>
              <w:left w:val="single" w:color="auto" w:sz="2" w:space="0"/>
              <w:right w:val="single" w:color="auto" w:sz="2" w:space="0"/>
            </w:tcBorders>
            <w:noWrap/>
            <w:vAlign w:val="center"/>
          </w:tcPr>
          <w:p w14:paraId="4EC43686">
            <w:pPr>
              <w:widowControl/>
              <w:jc w:val="center"/>
              <w:rPr>
                <w:kern w:val="0"/>
                <w:sz w:val="18"/>
                <w:szCs w:val="18"/>
              </w:rPr>
            </w:pPr>
            <w:r>
              <w:rPr>
                <w:kern w:val="0"/>
                <w:sz w:val="18"/>
                <w:szCs w:val="18"/>
              </w:rPr>
              <w:t xml:space="preserve"> 41.53</w:t>
            </w:r>
          </w:p>
        </w:tc>
        <w:tc>
          <w:tcPr>
            <w:tcW w:w="833" w:type="pct"/>
            <w:tcBorders>
              <w:left w:val="single" w:color="auto" w:sz="2" w:space="0"/>
              <w:right w:val="double" w:color="auto" w:sz="4" w:space="0"/>
            </w:tcBorders>
            <w:noWrap/>
            <w:vAlign w:val="center"/>
          </w:tcPr>
          <w:p w14:paraId="63E58BAA">
            <w:pPr>
              <w:widowControl/>
              <w:jc w:val="center"/>
              <w:rPr>
                <w:kern w:val="0"/>
                <w:sz w:val="18"/>
                <w:szCs w:val="18"/>
              </w:rPr>
            </w:pPr>
            <w:r>
              <w:rPr>
                <w:kern w:val="0"/>
                <w:sz w:val="18"/>
                <w:szCs w:val="18"/>
              </w:rPr>
              <w:t>2576.7</w:t>
            </w:r>
          </w:p>
        </w:tc>
        <w:tc>
          <w:tcPr>
            <w:tcW w:w="833" w:type="pct"/>
            <w:tcBorders>
              <w:left w:val="double" w:color="auto" w:sz="4" w:space="0"/>
              <w:right w:val="single" w:color="auto" w:sz="2" w:space="0"/>
            </w:tcBorders>
            <w:vAlign w:val="center"/>
          </w:tcPr>
          <w:p w14:paraId="115AAAC8">
            <w:pPr>
              <w:jc w:val="center"/>
              <w:rPr>
                <w:rFonts w:hint="default"/>
                <w:kern w:val="0"/>
                <w:sz w:val="18"/>
                <w:szCs w:val="18"/>
                <w:lang w:val="en"/>
              </w:rPr>
            </w:pPr>
            <w:r>
              <w:rPr>
                <w:kern w:val="0"/>
                <w:sz w:val="18"/>
                <w:szCs w:val="18"/>
              </w:rPr>
              <w:t xml:space="preserve"> 1.</w:t>
            </w:r>
            <w:r>
              <w:rPr>
                <w:rFonts w:hint="default"/>
                <w:kern w:val="0"/>
                <w:sz w:val="18"/>
                <w:szCs w:val="18"/>
                <w:lang w:val="en"/>
              </w:rPr>
              <w:t>7</w:t>
            </w:r>
          </w:p>
        </w:tc>
        <w:tc>
          <w:tcPr>
            <w:tcW w:w="833" w:type="pct"/>
            <w:tcBorders>
              <w:left w:val="single" w:color="auto" w:sz="2" w:space="0"/>
              <w:right w:val="single" w:color="auto" w:sz="2" w:space="0"/>
            </w:tcBorders>
            <w:noWrap/>
            <w:vAlign w:val="center"/>
          </w:tcPr>
          <w:p w14:paraId="5B30B6DE">
            <w:pPr>
              <w:widowControl/>
              <w:jc w:val="center"/>
              <w:rPr>
                <w:kern w:val="0"/>
                <w:sz w:val="18"/>
                <w:szCs w:val="18"/>
              </w:rPr>
            </w:pPr>
            <w:r>
              <w:rPr>
                <w:kern w:val="0"/>
                <w:sz w:val="18"/>
                <w:szCs w:val="18"/>
              </w:rPr>
              <w:t>204.30</w:t>
            </w:r>
          </w:p>
        </w:tc>
        <w:tc>
          <w:tcPr>
            <w:tcW w:w="833" w:type="pct"/>
            <w:tcBorders>
              <w:left w:val="single" w:color="auto" w:sz="2" w:space="0"/>
            </w:tcBorders>
            <w:noWrap/>
            <w:vAlign w:val="center"/>
          </w:tcPr>
          <w:p w14:paraId="22EAE0C0">
            <w:pPr>
              <w:widowControl/>
              <w:jc w:val="center"/>
              <w:rPr>
                <w:kern w:val="0"/>
                <w:sz w:val="18"/>
                <w:szCs w:val="18"/>
              </w:rPr>
            </w:pPr>
            <w:r>
              <w:rPr>
                <w:kern w:val="0"/>
                <w:sz w:val="18"/>
                <w:szCs w:val="18"/>
              </w:rPr>
              <w:t>2793.8</w:t>
            </w:r>
          </w:p>
        </w:tc>
      </w:tr>
      <w:tr w14:paraId="252E7F9B">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181155F7">
            <w:pPr>
              <w:widowControl/>
              <w:jc w:val="center"/>
              <w:rPr>
                <w:kern w:val="0"/>
                <w:sz w:val="18"/>
                <w:szCs w:val="18"/>
              </w:rPr>
            </w:pPr>
            <w:r>
              <w:rPr>
                <w:kern w:val="0"/>
                <w:sz w:val="18"/>
                <w:szCs w:val="18"/>
              </w:rPr>
              <w:t>0.009</w:t>
            </w:r>
          </w:p>
        </w:tc>
        <w:tc>
          <w:tcPr>
            <w:tcW w:w="833" w:type="pct"/>
            <w:tcBorders>
              <w:left w:val="single" w:color="auto" w:sz="2" w:space="0"/>
              <w:right w:val="single" w:color="auto" w:sz="2" w:space="0"/>
            </w:tcBorders>
            <w:noWrap/>
            <w:vAlign w:val="center"/>
          </w:tcPr>
          <w:p w14:paraId="21F22303">
            <w:pPr>
              <w:widowControl/>
              <w:jc w:val="center"/>
              <w:rPr>
                <w:kern w:val="0"/>
                <w:sz w:val="18"/>
                <w:szCs w:val="18"/>
              </w:rPr>
            </w:pPr>
            <w:r>
              <w:rPr>
                <w:kern w:val="0"/>
                <w:sz w:val="18"/>
                <w:szCs w:val="18"/>
              </w:rPr>
              <w:t xml:space="preserve"> 43.79</w:t>
            </w:r>
          </w:p>
        </w:tc>
        <w:tc>
          <w:tcPr>
            <w:tcW w:w="833" w:type="pct"/>
            <w:tcBorders>
              <w:left w:val="single" w:color="auto" w:sz="2" w:space="0"/>
              <w:right w:val="double" w:color="auto" w:sz="4" w:space="0"/>
            </w:tcBorders>
            <w:noWrap/>
            <w:vAlign w:val="center"/>
          </w:tcPr>
          <w:p w14:paraId="004677CC">
            <w:pPr>
              <w:widowControl/>
              <w:jc w:val="center"/>
              <w:rPr>
                <w:kern w:val="0"/>
                <w:sz w:val="18"/>
                <w:szCs w:val="18"/>
              </w:rPr>
            </w:pPr>
            <w:r>
              <w:rPr>
                <w:kern w:val="0"/>
                <w:sz w:val="18"/>
                <w:szCs w:val="18"/>
              </w:rPr>
              <w:t>2580.8</w:t>
            </w:r>
          </w:p>
        </w:tc>
        <w:tc>
          <w:tcPr>
            <w:tcW w:w="833" w:type="pct"/>
            <w:tcBorders>
              <w:left w:val="double" w:color="auto" w:sz="4" w:space="0"/>
              <w:right w:val="single" w:color="auto" w:sz="2" w:space="0"/>
            </w:tcBorders>
            <w:vAlign w:val="center"/>
          </w:tcPr>
          <w:p w14:paraId="15F2699C">
            <w:pPr>
              <w:jc w:val="center"/>
              <w:rPr>
                <w:rFonts w:hint="default"/>
                <w:kern w:val="0"/>
                <w:sz w:val="18"/>
                <w:szCs w:val="18"/>
                <w:lang w:val="en"/>
              </w:rPr>
            </w:pPr>
            <w:r>
              <w:rPr>
                <w:kern w:val="0"/>
                <w:sz w:val="18"/>
                <w:szCs w:val="18"/>
              </w:rPr>
              <w:t xml:space="preserve"> 1.</w:t>
            </w:r>
            <w:r>
              <w:rPr>
                <w:rFonts w:hint="default"/>
                <w:kern w:val="0"/>
                <w:sz w:val="18"/>
                <w:szCs w:val="18"/>
                <w:lang w:val="en"/>
              </w:rPr>
              <w:t>8</w:t>
            </w:r>
          </w:p>
        </w:tc>
        <w:tc>
          <w:tcPr>
            <w:tcW w:w="833" w:type="pct"/>
            <w:tcBorders>
              <w:left w:val="single" w:color="auto" w:sz="2" w:space="0"/>
              <w:right w:val="single" w:color="auto" w:sz="2" w:space="0"/>
            </w:tcBorders>
            <w:noWrap/>
            <w:vAlign w:val="center"/>
          </w:tcPr>
          <w:p w14:paraId="4568F2C7">
            <w:pPr>
              <w:widowControl/>
              <w:jc w:val="center"/>
              <w:rPr>
                <w:kern w:val="0"/>
                <w:sz w:val="18"/>
                <w:szCs w:val="18"/>
              </w:rPr>
            </w:pPr>
            <w:r>
              <w:rPr>
                <w:kern w:val="0"/>
                <w:sz w:val="18"/>
                <w:szCs w:val="18"/>
              </w:rPr>
              <w:t>207.10</w:t>
            </w:r>
          </w:p>
        </w:tc>
        <w:tc>
          <w:tcPr>
            <w:tcW w:w="833" w:type="pct"/>
            <w:tcBorders>
              <w:left w:val="single" w:color="auto" w:sz="2" w:space="0"/>
            </w:tcBorders>
            <w:noWrap/>
            <w:vAlign w:val="center"/>
          </w:tcPr>
          <w:p w14:paraId="5556EDF9">
            <w:pPr>
              <w:widowControl/>
              <w:jc w:val="center"/>
              <w:rPr>
                <w:kern w:val="0"/>
                <w:sz w:val="18"/>
                <w:szCs w:val="18"/>
              </w:rPr>
            </w:pPr>
            <w:r>
              <w:rPr>
                <w:kern w:val="0"/>
                <w:sz w:val="18"/>
                <w:szCs w:val="18"/>
              </w:rPr>
              <w:t>2795.1</w:t>
            </w:r>
          </w:p>
        </w:tc>
      </w:tr>
      <w:tr w14:paraId="14872091">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795823E2">
            <w:pPr>
              <w:widowControl/>
              <w:jc w:val="center"/>
              <w:rPr>
                <w:kern w:val="0"/>
                <w:sz w:val="18"/>
                <w:szCs w:val="18"/>
              </w:rPr>
            </w:pPr>
            <w:r>
              <w:rPr>
                <w:kern w:val="0"/>
                <w:sz w:val="18"/>
                <w:szCs w:val="18"/>
              </w:rPr>
              <w:t>0.010</w:t>
            </w:r>
          </w:p>
        </w:tc>
        <w:tc>
          <w:tcPr>
            <w:tcW w:w="833" w:type="pct"/>
            <w:tcBorders>
              <w:left w:val="single" w:color="auto" w:sz="2" w:space="0"/>
              <w:right w:val="single" w:color="auto" w:sz="2" w:space="0"/>
            </w:tcBorders>
            <w:noWrap/>
            <w:vAlign w:val="center"/>
          </w:tcPr>
          <w:p w14:paraId="2202D493">
            <w:pPr>
              <w:widowControl/>
              <w:jc w:val="center"/>
              <w:rPr>
                <w:kern w:val="0"/>
                <w:sz w:val="18"/>
                <w:szCs w:val="18"/>
              </w:rPr>
            </w:pPr>
            <w:r>
              <w:rPr>
                <w:kern w:val="0"/>
                <w:sz w:val="18"/>
                <w:szCs w:val="18"/>
              </w:rPr>
              <w:t xml:space="preserve"> 45.83</w:t>
            </w:r>
          </w:p>
        </w:tc>
        <w:tc>
          <w:tcPr>
            <w:tcW w:w="833" w:type="pct"/>
            <w:tcBorders>
              <w:left w:val="single" w:color="auto" w:sz="2" w:space="0"/>
              <w:right w:val="double" w:color="auto" w:sz="4" w:space="0"/>
            </w:tcBorders>
            <w:noWrap/>
            <w:vAlign w:val="center"/>
          </w:tcPr>
          <w:p w14:paraId="69402AFD">
            <w:pPr>
              <w:widowControl/>
              <w:jc w:val="center"/>
              <w:rPr>
                <w:kern w:val="0"/>
                <w:sz w:val="18"/>
                <w:szCs w:val="18"/>
              </w:rPr>
            </w:pPr>
            <w:r>
              <w:rPr>
                <w:kern w:val="0"/>
                <w:sz w:val="18"/>
                <w:szCs w:val="18"/>
              </w:rPr>
              <w:t>2584.4</w:t>
            </w:r>
          </w:p>
        </w:tc>
        <w:tc>
          <w:tcPr>
            <w:tcW w:w="833" w:type="pct"/>
            <w:tcBorders>
              <w:left w:val="double" w:color="auto" w:sz="4" w:space="0"/>
              <w:right w:val="single" w:color="auto" w:sz="2" w:space="0"/>
            </w:tcBorders>
            <w:vAlign w:val="center"/>
          </w:tcPr>
          <w:p w14:paraId="6E665D91">
            <w:pPr>
              <w:jc w:val="center"/>
              <w:rPr>
                <w:kern w:val="0"/>
                <w:sz w:val="18"/>
                <w:szCs w:val="18"/>
              </w:rPr>
            </w:pPr>
            <w:r>
              <w:rPr>
                <w:kern w:val="0"/>
                <w:sz w:val="18"/>
                <w:szCs w:val="18"/>
              </w:rPr>
              <w:t xml:space="preserve"> 1.9</w:t>
            </w:r>
          </w:p>
        </w:tc>
        <w:tc>
          <w:tcPr>
            <w:tcW w:w="833" w:type="pct"/>
            <w:tcBorders>
              <w:left w:val="single" w:color="auto" w:sz="2" w:space="0"/>
              <w:right w:val="single" w:color="auto" w:sz="2" w:space="0"/>
            </w:tcBorders>
            <w:noWrap/>
            <w:vAlign w:val="center"/>
          </w:tcPr>
          <w:p w14:paraId="588D502A">
            <w:pPr>
              <w:widowControl/>
              <w:jc w:val="center"/>
              <w:rPr>
                <w:kern w:val="0"/>
                <w:sz w:val="18"/>
                <w:szCs w:val="18"/>
              </w:rPr>
            </w:pPr>
            <w:r>
              <w:rPr>
                <w:kern w:val="0"/>
                <w:sz w:val="18"/>
                <w:szCs w:val="18"/>
              </w:rPr>
              <w:t>209.79</w:t>
            </w:r>
          </w:p>
        </w:tc>
        <w:tc>
          <w:tcPr>
            <w:tcW w:w="833" w:type="pct"/>
            <w:tcBorders>
              <w:left w:val="single" w:color="auto" w:sz="2" w:space="0"/>
            </w:tcBorders>
            <w:noWrap/>
            <w:vAlign w:val="center"/>
          </w:tcPr>
          <w:p w14:paraId="02211633">
            <w:pPr>
              <w:widowControl/>
              <w:jc w:val="center"/>
              <w:rPr>
                <w:kern w:val="0"/>
                <w:sz w:val="18"/>
                <w:szCs w:val="18"/>
              </w:rPr>
            </w:pPr>
            <w:r>
              <w:rPr>
                <w:kern w:val="0"/>
                <w:sz w:val="18"/>
                <w:szCs w:val="18"/>
              </w:rPr>
              <w:t>2796.4</w:t>
            </w:r>
          </w:p>
        </w:tc>
      </w:tr>
      <w:tr w14:paraId="279CC8F6">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39DADBB9">
            <w:pPr>
              <w:widowControl/>
              <w:jc w:val="center"/>
              <w:rPr>
                <w:kern w:val="0"/>
                <w:sz w:val="18"/>
                <w:szCs w:val="18"/>
              </w:rPr>
            </w:pPr>
            <w:r>
              <w:rPr>
                <w:kern w:val="0"/>
                <w:sz w:val="18"/>
                <w:szCs w:val="18"/>
              </w:rPr>
              <w:t>0.015</w:t>
            </w:r>
          </w:p>
        </w:tc>
        <w:tc>
          <w:tcPr>
            <w:tcW w:w="833" w:type="pct"/>
            <w:tcBorders>
              <w:left w:val="single" w:color="auto" w:sz="2" w:space="0"/>
              <w:right w:val="single" w:color="auto" w:sz="2" w:space="0"/>
            </w:tcBorders>
            <w:noWrap/>
            <w:vAlign w:val="center"/>
          </w:tcPr>
          <w:p w14:paraId="677B596E">
            <w:pPr>
              <w:widowControl/>
              <w:jc w:val="center"/>
              <w:rPr>
                <w:kern w:val="0"/>
                <w:sz w:val="18"/>
                <w:szCs w:val="18"/>
              </w:rPr>
            </w:pPr>
            <w:r>
              <w:rPr>
                <w:kern w:val="0"/>
                <w:sz w:val="18"/>
                <w:szCs w:val="18"/>
              </w:rPr>
              <w:t xml:space="preserve"> 54.00</w:t>
            </w:r>
          </w:p>
        </w:tc>
        <w:tc>
          <w:tcPr>
            <w:tcW w:w="833" w:type="pct"/>
            <w:tcBorders>
              <w:left w:val="single" w:color="auto" w:sz="2" w:space="0"/>
              <w:right w:val="double" w:color="auto" w:sz="4" w:space="0"/>
            </w:tcBorders>
            <w:noWrap/>
            <w:vAlign w:val="center"/>
          </w:tcPr>
          <w:p w14:paraId="2D793F04">
            <w:pPr>
              <w:widowControl/>
              <w:jc w:val="center"/>
              <w:rPr>
                <w:kern w:val="0"/>
                <w:sz w:val="18"/>
                <w:szCs w:val="18"/>
              </w:rPr>
            </w:pPr>
            <w:r>
              <w:rPr>
                <w:kern w:val="0"/>
                <w:sz w:val="18"/>
                <w:szCs w:val="18"/>
              </w:rPr>
              <w:t>2598.9</w:t>
            </w:r>
          </w:p>
        </w:tc>
        <w:tc>
          <w:tcPr>
            <w:tcW w:w="833" w:type="pct"/>
            <w:tcBorders>
              <w:left w:val="double" w:color="auto" w:sz="4" w:space="0"/>
              <w:right w:val="single" w:color="auto" w:sz="2" w:space="0"/>
            </w:tcBorders>
            <w:vAlign w:val="center"/>
          </w:tcPr>
          <w:p w14:paraId="67238665">
            <w:pPr>
              <w:jc w:val="center"/>
              <w:rPr>
                <w:kern w:val="0"/>
                <w:sz w:val="18"/>
                <w:szCs w:val="18"/>
              </w:rPr>
            </w:pPr>
            <w:r>
              <w:rPr>
                <w:kern w:val="0"/>
                <w:sz w:val="18"/>
                <w:szCs w:val="18"/>
              </w:rPr>
              <w:t xml:space="preserve"> 2.0</w:t>
            </w:r>
          </w:p>
        </w:tc>
        <w:tc>
          <w:tcPr>
            <w:tcW w:w="833" w:type="pct"/>
            <w:tcBorders>
              <w:left w:val="single" w:color="auto" w:sz="2" w:space="0"/>
              <w:right w:val="single" w:color="auto" w:sz="2" w:space="0"/>
            </w:tcBorders>
            <w:noWrap/>
            <w:vAlign w:val="center"/>
          </w:tcPr>
          <w:p w14:paraId="36A318D3">
            <w:pPr>
              <w:widowControl/>
              <w:jc w:val="center"/>
              <w:rPr>
                <w:kern w:val="0"/>
                <w:sz w:val="18"/>
                <w:szCs w:val="18"/>
              </w:rPr>
            </w:pPr>
            <w:r>
              <w:rPr>
                <w:kern w:val="0"/>
                <w:sz w:val="18"/>
                <w:szCs w:val="18"/>
              </w:rPr>
              <w:t>212.37</w:t>
            </w:r>
          </w:p>
        </w:tc>
        <w:tc>
          <w:tcPr>
            <w:tcW w:w="833" w:type="pct"/>
            <w:tcBorders>
              <w:left w:val="single" w:color="auto" w:sz="2" w:space="0"/>
            </w:tcBorders>
            <w:noWrap/>
            <w:vAlign w:val="center"/>
          </w:tcPr>
          <w:p w14:paraId="22E5AD6A">
            <w:pPr>
              <w:widowControl/>
              <w:jc w:val="center"/>
              <w:rPr>
                <w:kern w:val="0"/>
                <w:sz w:val="18"/>
                <w:szCs w:val="18"/>
              </w:rPr>
            </w:pPr>
            <w:r>
              <w:rPr>
                <w:kern w:val="0"/>
                <w:sz w:val="18"/>
                <w:szCs w:val="18"/>
              </w:rPr>
              <w:t>2797.4</w:t>
            </w:r>
          </w:p>
        </w:tc>
      </w:tr>
      <w:tr w14:paraId="008CBEF1">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3E5B402D">
            <w:pPr>
              <w:widowControl/>
              <w:jc w:val="center"/>
              <w:rPr>
                <w:kern w:val="0"/>
                <w:sz w:val="18"/>
                <w:szCs w:val="18"/>
              </w:rPr>
            </w:pPr>
            <w:r>
              <w:rPr>
                <w:kern w:val="0"/>
                <w:sz w:val="18"/>
                <w:szCs w:val="18"/>
              </w:rPr>
              <w:t>0.020</w:t>
            </w:r>
          </w:p>
        </w:tc>
        <w:tc>
          <w:tcPr>
            <w:tcW w:w="833" w:type="pct"/>
            <w:tcBorders>
              <w:left w:val="single" w:color="auto" w:sz="2" w:space="0"/>
              <w:right w:val="single" w:color="auto" w:sz="2" w:space="0"/>
            </w:tcBorders>
            <w:noWrap/>
            <w:vAlign w:val="center"/>
          </w:tcPr>
          <w:p w14:paraId="0197EDFF">
            <w:pPr>
              <w:widowControl/>
              <w:jc w:val="center"/>
              <w:rPr>
                <w:kern w:val="0"/>
                <w:sz w:val="18"/>
                <w:szCs w:val="18"/>
              </w:rPr>
            </w:pPr>
            <w:r>
              <w:rPr>
                <w:kern w:val="0"/>
                <w:sz w:val="18"/>
                <w:szCs w:val="18"/>
              </w:rPr>
              <w:t xml:space="preserve"> 60.09</w:t>
            </w:r>
          </w:p>
        </w:tc>
        <w:tc>
          <w:tcPr>
            <w:tcW w:w="833" w:type="pct"/>
            <w:tcBorders>
              <w:left w:val="single" w:color="auto" w:sz="2" w:space="0"/>
              <w:right w:val="double" w:color="auto" w:sz="4" w:space="0"/>
            </w:tcBorders>
            <w:noWrap/>
            <w:vAlign w:val="center"/>
          </w:tcPr>
          <w:p w14:paraId="1E55F7BA">
            <w:pPr>
              <w:widowControl/>
              <w:jc w:val="center"/>
              <w:rPr>
                <w:kern w:val="0"/>
                <w:sz w:val="18"/>
                <w:szCs w:val="18"/>
              </w:rPr>
            </w:pPr>
            <w:r>
              <w:rPr>
                <w:kern w:val="0"/>
                <w:sz w:val="18"/>
                <w:szCs w:val="18"/>
              </w:rPr>
              <w:t>2609.6</w:t>
            </w:r>
          </w:p>
        </w:tc>
        <w:tc>
          <w:tcPr>
            <w:tcW w:w="833" w:type="pct"/>
            <w:tcBorders>
              <w:left w:val="double" w:color="auto" w:sz="4" w:space="0"/>
              <w:right w:val="single" w:color="auto" w:sz="2" w:space="0"/>
            </w:tcBorders>
            <w:vAlign w:val="center"/>
          </w:tcPr>
          <w:p w14:paraId="06E914A7">
            <w:pPr>
              <w:jc w:val="center"/>
              <w:rPr>
                <w:kern w:val="0"/>
                <w:sz w:val="18"/>
                <w:szCs w:val="18"/>
              </w:rPr>
            </w:pPr>
            <w:r>
              <w:rPr>
                <w:kern w:val="0"/>
                <w:sz w:val="18"/>
                <w:szCs w:val="18"/>
              </w:rPr>
              <w:t xml:space="preserve"> 2.2</w:t>
            </w:r>
          </w:p>
        </w:tc>
        <w:tc>
          <w:tcPr>
            <w:tcW w:w="833" w:type="pct"/>
            <w:tcBorders>
              <w:left w:val="single" w:color="auto" w:sz="2" w:space="0"/>
              <w:right w:val="single" w:color="auto" w:sz="2" w:space="0"/>
            </w:tcBorders>
            <w:noWrap/>
            <w:vAlign w:val="center"/>
          </w:tcPr>
          <w:p w14:paraId="0E9BA48D">
            <w:pPr>
              <w:widowControl/>
              <w:jc w:val="center"/>
              <w:rPr>
                <w:kern w:val="0"/>
                <w:sz w:val="18"/>
                <w:szCs w:val="18"/>
              </w:rPr>
            </w:pPr>
            <w:r>
              <w:rPr>
                <w:kern w:val="0"/>
                <w:sz w:val="18"/>
                <w:szCs w:val="18"/>
              </w:rPr>
              <w:t>217.24</w:t>
            </w:r>
          </w:p>
        </w:tc>
        <w:tc>
          <w:tcPr>
            <w:tcW w:w="833" w:type="pct"/>
            <w:tcBorders>
              <w:left w:val="single" w:color="auto" w:sz="2" w:space="0"/>
            </w:tcBorders>
            <w:noWrap/>
            <w:vAlign w:val="center"/>
          </w:tcPr>
          <w:p w14:paraId="11F34C3D">
            <w:pPr>
              <w:widowControl/>
              <w:jc w:val="center"/>
              <w:rPr>
                <w:kern w:val="0"/>
                <w:sz w:val="18"/>
                <w:szCs w:val="18"/>
              </w:rPr>
            </w:pPr>
            <w:r>
              <w:rPr>
                <w:kern w:val="0"/>
                <w:sz w:val="18"/>
                <w:szCs w:val="18"/>
              </w:rPr>
              <w:t>2799.1</w:t>
            </w:r>
          </w:p>
        </w:tc>
      </w:tr>
      <w:tr w14:paraId="055A4B82">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23DBBD84">
            <w:pPr>
              <w:widowControl/>
              <w:jc w:val="center"/>
              <w:rPr>
                <w:kern w:val="0"/>
                <w:sz w:val="18"/>
                <w:szCs w:val="18"/>
              </w:rPr>
            </w:pPr>
            <w:r>
              <w:rPr>
                <w:kern w:val="0"/>
                <w:sz w:val="18"/>
                <w:szCs w:val="18"/>
              </w:rPr>
              <w:t>0.025</w:t>
            </w:r>
          </w:p>
        </w:tc>
        <w:tc>
          <w:tcPr>
            <w:tcW w:w="833" w:type="pct"/>
            <w:tcBorders>
              <w:left w:val="single" w:color="auto" w:sz="2" w:space="0"/>
              <w:right w:val="single" w:color="auto" w:sz="2" w:space="0"/>
            </w:tcBorders>
            <w:noWrap/>
            <w:vAlign w:val="center"/>
          </w:tcPr>
          <w:p w14:paraId="0F6D7C98">
            <w:pPr>
              <w:widowControl/>
              <w:jc w:val="center"/>
              <w:rPr>
                <w:kern w:val="0"/>
                <w:sz w:val="18"/>
                <w:szCs w:val="18"/>
              </w:rPr>
            </w:pPr>
            <w:r>
              <w:rPr>
                <w:kern w:val="0"/>
                <w:sz w:val="18"/>
                <w:szCs w:val="18"/>
              </w:rPr>
              <w:t xml:space="preserve"> 64.99</w:t>
            </w:r>
          </w:p>
        </w:tc>
        <w:tc>
          <w:tcPr>
            <w:tcW w:w="833" w:type="pct"/>
            <w:tcBorders>
              <w:left w:val="single" w:color="auto" w:sz="2" w:space="0"/>
              <w:right w:val="double" w:color="auto" w:sz="4" w:space="0"/>
            </w:tcBorders>
            <w:noWrap/>
            <w:vAlign w:val="center"/>
          </w:tcPr>
          <w:p w14:paraId="41E36BB9">
            <w:pPr>
              <w:widowControl/>
              <w:jc w:val="center"/>
              <w:rPr>
                <w:kern w:val="0"/>
                <w:sz w:val="18"/>
                <w:szCs w:val="18"/>
              </w:rPr>
            </w:pPr>
            <w:r>
              <w:rPr>
                <w:kern w:val="0"/>
                <w:sz w:val="18"/>
                <w:szCs w:val="18"/>
              </w:rPr>
              <w:t>2618.1</w:t>
            </w:r>
          </w:p>
        </w:tc>
        <w:tc>
          <w:tcPr>
            <w:tcW w:w="833" w:type="pct"/>
            <w:tcBorders>
              <w:left w:val="double" w:color="auto" w:sz="4" w:space="0"/>
              <w:right w:val="single" w:color="auto" w:sz="2" w:space="0"/>
            </w:tcBorders>
            <w:vAlign w:val="center"/>
          </w:tcPr>
          <w:p w14:paraId="76055AC9">
            <w:pPr>
              <w:jc w:val="center"/>
              <w:rPr>
                <w:kern w:val="0"/>
                <w:sz w:val="18"/>
                <w:szCs w:val="18"/>
              </w:rPr>
            </w:pPr>
            <w:r>
              <w:rPr>
                <w:kern w:val="0"/>
                <w:sz w:val="18"/>
                <w:szCs w:val="18"/>
              </w:rPr>
              <w:t xml:space="preserve"> 2.4</w:t>
            </w:r>
          </w:p>
        </w:tc>
        <w:tc>
          <w:tcPr>
            <w:tcW w:w="833" w:type="pct"/>
            <w:tcBorders>
              <w:left w:val="single" w:color="auto" w:sz="2" w:space="0"/>
              <w:right w:val="single" w:color="auto" w:sz="2" w:space="0"/>
            </w:tcBorders>
            <w:noWrap/>
            <w:vAlign w:val="center"/>
          </w:tcPr>
          <w:p w14:paraId="0C2E6A29">
            <w:pPr>
              <w:widowControl/>
              <w:jc w:val="center"/>
              <w:rPr>
                <w:kern w:val="0"/>
                <w:sz w:val="18"/>
                <w:szCs w:val="18"/>
              </w:rPr>
            </w:pPr>
            <w:r>
              <w:rPr>
                <w:kern w:val="0"/>
                <w:sz w:val="18"/>
                <w:szCs w:val="18"/>
              </w:rPr>
              <w:t>221.78</w:t>
            </w:r>
          </w:p>
        </w:tc>
        <w:tc>
          <w:tcPr>
            <w:tcW w:w="833" w:type="pct"/>
            <w:tcBorders>
              <w:left w:val="single" w:color="auto" w:sz="2" w:space="0"/>
            </w:tcBorders>
            <w:noWrap/>
            <w:vAlign w:val="center"/>
          </w:tcPr>
          <w:p w14:paraId="371B7FFD">
            <w:pPr>
              <w:widowControl/>
              <w:jc w:val="center"/>
              <w:rPr>
                <w:kern w:val="0"/>
                <w:sz w:val="18"/>
                <w:szCs w:val="18"/>
              </w:rPr>
            </w:pPr>
            <w:r>
              <w:rPr>
                <w:kern w:val="0"/>
                <w:sz w:val="18"/>
                <w:szCs w:val="18"/>
              </w:rPr>
              <w:t>2800.4</w:t>
            </w:r>
          </w:p>
        </w:tc>
      </w:tr>
      <w:tr w14:paraId="31A7A13C">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0DB96EF4">
            <w:pPr>
              <w:widowControl/>
              <w:jc w:val="center"/>
              <w:rPr>
                <w:kern w:val="0"/>
                <w:sz w:val="18"/>
                <w:szCs w:val="18"/>
              </w:rPr>
            </w:pPr>
            <w:r>
              <w:rPr>
                <w:kern w:val="0"/>
                <w:sz w:val="18"/>
                <w:szCs w:val="18"/>
              </w:rPr>
              <w:t>0.030</w:t>
            </w:r>
          </w:p>
        </w:tc>
        <w:tc>
          <w:tcPr>
            <w:tcW w:w="833" w:type="pct"/>
            <w:tcBorders>
              <w:left w:val="single" w:color="auto" w:sz="2" w:space="0"/>
              <w:right w:val="single" w:color="auto" w:sz="2" w:space="0"/>
            </w:tcBorders>
            <w:noWrap/>
            <w:vAlign w:val="center"/>
          </w:tcPr>
          <w:p w14:paraId="7CFED497">
            <w:pPr>
              <w:widowControl/>
              <w:jc w:val="center"/>
              <w:rPr>
                <w:kern w:val="0"/>
                <w:sz w:val="18"/>
                <w:szCs w:val="18"/>
              </w:rPr>
            </w:pPr>
            <w:r>
              <w:rPr>
                <w:kern w:val="0"/>
                <w:sz w:val="18"/>
                <w:szCs w:val="18"/>
              </w:rPr>
              <w:t xml:space="preserve"> 69.12</w:t>
            </w:r>
          </w:p>
        </w:tc>
        <w:tc>
          <w:tcPr>
            <w:tcW w:w="833" w:type="pct"/>
            <w:tcBorders>
              <w:left w:val="single" w:color="auto" w:sz="2" w:space="0"/>
              <w:right w:val="double" w:color="auto" w:sz="4" w:space="0"/>
            </w:tcBorders>
            <w:noWrap/>
            <w:vAlign w:val="center"/>
          </w:tcPr>
          <w:p w14:paraId="1E8FE0E4">
            <w:pPr>
              <w:widowControl/>
              <w:jc w:val="center"/>
              <w:rPr>
                <w:kern w:val="0"/>
                <w:sz w:val="18"/>
                <w:szCs w:val="18"/>
              </w:rPr>
            </w:pPr>
            <w:r>
              <w:rPr>
                <w:kern w:val="0"/>
                <w:sz w:val="18"/>
                <w:szCs w:val="18"/>
              </w:rPr>
              <w:t>2625.3</w:t>
            </w:r>
          </w:p>
        </w:tc>
        <w:tc>
          <w:tcPr>
            <w:tcW w:w="833" w:type="pct"/>
            <w:tcBorders>
              <w:left w:val="double" w:color="auto" w:sz="4" w:space="0"/>
              <w:right w:val="single" w:color="auto" w:sz="2" w:space="0"/>
            </w:tcBorders>
            <w:vAlign w:val="center"/>
          </w:tcPr>
          <w:p w14:paraId="35841FC9">
            <w:pPr>
              <w:jc w:val="center"/>
              <w:rPr>
                <w:kern w:val="0"/>
                <w:sz w:val="18"/>
                <w:szCs w:val="18"/>
              </w:rPr>
            </w:pPr>
            <w:r>
              <w:rPr>
                <w:kern w:val="0"/>
                <w:sz w:val="18"/>
                <w:szCs w:val="18"/>
              </w:rPr>
              <w:t xml:space="preserve"> 2.6</w:t>
            </w:r>
          </w:p>
        </w:tc>
        <w:tc>
          <w:tcPr>
            <w:tcW w:w="833" w:type="pct"/>
            <w:tcBorders>
              <w:left w:val="single" w:color="auto" w:sz="2" w:space="0"/>
              <w:right w:val="single" w:color="auto" w:sz="2" w:space="0"/>
            </w:tcBorders>
            <w:noWrap/>
            <w:vAlign w:val="center"/>
          </w:tcPr>
          <w:p w14:paraId="59E0C849">
            <w:pPr>
              <w:widowControl/>
              <w:jc w:val="center"/>
              <w:rPr>
                <w:kern w:val="0"/>
                <w:sz w:val="18"/>
                <w:szCs w:val="18"/>
              </w:rPr>
            </w:pPr>
            <w:r>
              <w:rPr>
                <w:kern w:val="0"/>
                <w:sz w:val="18"/>
                <w:szCs w:val="18"/>
              </w:rPr>
              <w:t>226.03</w:t>
            </w:r>
          </w:p>
        </w:tc>
        <w:tc>
          <w:tcPr>
            <w:tcW w:w="833" w:type="pct"/>
            <w:tcBorders>
              <w:left w:val="single" w:color="auto" w:sz="2" w:space="0"/>
            </w:tcBorders>
            <w:noWrap/>
            <w:vAlign w:val="center"/>
          </w:tcPr>
          <w:p w14:paraId="117A45DF">
            <w:pPr>
              <w:widowControl/>
              <w:jc w:val="center"/>
              <w:rPr>
                <w:kern w:val="0"/>
                <w:sz w:val="18"/>
                <w:szCs w:val="18"/>
              </w:rPr>
            </w:pPr>
            <w:r>
              <w:rPr>
                <w:kern w:val="0"/>
                <w:sz w:val="18"/>
                <w:szCs w:val="18"/>
              </w:rPr>
              <w:t>2801.2</w:t>
            </w:r>
          </w:p>
        </w:tc>
      </w:tr>
      <w:tr w14:paraId="78EF4AA9">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B614906">
            <w:pPr>
              <w:widowControl/>
              <w:jc w:val="center"/>
              <w:rPr>
                <w:kern w:val="0"/>
                <w:sz w:val="18"/>
                <w:szCs w:val="18"/>
              </w:rPr>
            </w:pPr>
            <w:r>
              <w:rPr>
                <w:kern w:val="0"/>
                <w:sz w:val="18"/>
                <w:szCs w:val="18"/>
              </w:rPr>
              <w:t>0.040</w:t>
            </w:r>
          </w:p>
        </w:tc>
        <w:tc>
          <w:tcPr>
            <w:tcW w:w="833" w:type="pct"/>
            <w:tcBorders>
              <w:left w:val="single" w:color="auto" w:sz="2" w:space="0"/>
              <w:right w:val="single" w:color="auto" w:sz="2" w:space="0"/>
            </w:tcBorders>
            <w:noWrap/>
            <w:vAlign w:val="center"/>
          </w:tcPr>
          <w:p w14:paraId="792D20A6">
            <w:pPr>
              <w:widowControl/>
              <w:jc w:val="center"/>
              <w:rPr>
                <w:kern w:val="0"/>
                <w:sz w:val="18"/>
                <w:szCs w:val="18"/>
              </w:rPr>
            </w:pPr>
            <w:r>
              <w:rPr>
                <w:kern w:val="0"/>
                <w:sz w:val="18"/>
                <w:szCs w:val="18"/>
              </w:rPr>
              <w:t xml:space="preserve"> 75.89</w:t>
            </w:r>
          </w:p>
        </w:tc>
        <w:tc>
          <w:tcPr>
            <w:tcW w:w="833" w:type="pct"/>
            <w:tcBorders>
              <w:left w:val="single" w:color="auto" w:sz="2" w:space="0"/>
              <w:right w:val="double" w:color="auto" w:sz="4" w:space="0"/>
            </w:tcBorders>
            <w:noWrap/>
            <w:vAlign w:val="center"/>
          </w:tcPr>
          <w:p w14:paraId="3A42FA83">
            <w:pPr>
              <w:widowControl/>
              <w:jc w:val="center"/>
              <w:rPr>
                <w:kern w:val="0"/>
                <w:sz w:val="18"/>
                <w:szCs w:val="18"/>
              </w:rPr>
            </w:pPr>
            <w:r>
              <w:rPr>
                <w:kern w:val="0"/>
                <w:sz w:val="18"/>
                <w:szCs w:val="18"/>
              </w:rPr>
              <w:t>2636.8</w:t>
            </w:r>
          </w:p>
        </w:tc>
        <w:tc>
          <w:tcPr>
            <w:tcW w:w="833" w:type="pct"/>
            <w:tcBorders>
              <w:left w:val="double" w:color="auto" w:sz="4" w:space="0"/>
              <w:right w:val="single" w:color="auto" w:sz="2" w:space="0"/>
            </w:tcBorders>
            <w:vAlign w:val="center"/>
          </w:tcPr>
          <w:p w14:paraId="2B1F79CF">
            <w:pPr>
              <w:jc w:val="center"/>
              <w:rPr>
                <w:kern w:val="0"/>
                <w:sz w:val="18"/>
                <w:szCs w:val="18"/>
              </w:rPr>
            </w:pPr>
            <w:r>
              <w:rPr>
                <w:kern w:val="0"/>
                <w:sz w:val="18"/>
                <w:szCs w:val="18"/>
              </w:rPr>
              <w:t xml:space="preserve"> 2.8</w:t>
            </w:r>
          </w:p>
        </w:tc>
        <w:tc>
          <w:tcPr>
            <w:tcW w:w="833" w:type="pct"/>
            <w:tcBorders>
              <w:left w:val="single" w:color="auto" w:sz="2" w:space="0"/>
              <w:right w:val="single" w:color="auto" w:sz="2" w:space="0"/>
            </w:tcBorders>
            <w:noWrap/>
            <w:vAlign w:val="center"/>
          </w:tcPr>
          <w:p w14:paraId="7DF64659">
            <w:pPr>
              <w:widowControl/>
              <w:jc w:val="center"/>
              <w:rPr>
                <w:kern w:val="0"/>
                <w:sz w:val="18"/>
                <w:szCs w:val="18"/>
              </w:rPr>
            </w:pPr>
            <w:r>
              <w:rPr>
                <w:kern w:val="0"/>
                <w:sz w:val="18"/>
                <w:szCs w:val="18"/>
              </w:rPr>
              <w:t>230.04</w:t>
            </w:r>
          </w:p>
        </w:tc>
        <w:tc>
          <w:tcPr>
            <w:tcW w:w="833" w:type="pct"/>
            <w:tcBorders>
              <w:left w:val="single" w:color="auto" w:sz="2" w:space="0"/>
            </w:tcBorders>
            <w:noWrap/>
            <w:vAlign w:val="center"/>
          </w:tcPr>
          <w:p w14:paraId="34CC837C">
            <w:pPr>
              <w:widowControl/>
              <w:jc w:val="center"/>
              <w:rPr>
                <w:kern w:val="0"/>
                <w:sz w:val="18"/>
                <w:szCs w:val="18"/>
              </w:rPr>
            </w:pPr>
            <w:r>
              <w:rPr>
                <w:kern w:val="0"/>
                <w:sz w:val="18"/>
                <w:szCs w:val="18"/>
              </w:rPr>
              <w:t>2801.7</w:t>
            </w:r>
          </w:p>
        </w:tc>
      </w:tr>
      <w:tr w14:paraId="69F9B549">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60FC44BD">
            <w:pPr>
              <w:widowControl/>
              <w:jc w:val="center"/>
              <w:rPr>
                <w:kern w:val="0"/>
                <w:sz w:val="18"/>
                <w:szCs w:val="18"/>
              </w:rPr>
            </w:pPr>
            <w:r>
              <w:rPr>
                <w:kern w:val="0"/>
                <w:sz w:val="18"/>
                <w:szCs w:val="18"/>
              </w:rPr>
              <w:t>0.050</w:t>
            </w:r>
          </w:p>
        </w:tc>
        <w:tc>
          <w:tcPr>
            <w:tcW w:w="833" w:type="pct"/>
            <w:tcBorders>
              <w:left w:val="single" w:color="auto" w:sz="2" w:space="0"/>
              <w:right w:val="single" w:color="auto" w:sz="2" w:space="0"/>
            </w:tcBorders>
            <w:noWrap/>
            <w:vAlign w:val="center"/>
          </w:tcPr>
          <w:p w14:paraId="68C61C0D">
            <w:pPr>
              <w:widowControl/>
              <w:jc w:val="center"/>
              <w:rPr>
                <w:kern w:val="0"/>
                <w:sz w:val="18"/>
                <w:szCs w:val="18"/>
              </w:rPr>
            </w:pPr>
            <w:r>
              <w:rPr>
                <w:kern w:val="0"/>
                <w:sz w:val="18"/>
                <w:szCs w:val="18"/>
              </w:rPr>
              <w:t xml:space="preserve"> 81.35</w:t>
            </w:r>
          </w:p>
        </w:tc>
        <w:tc>
          <w:tcPr>
            <w:tcW w:w="833" w:type="pct"/>
            <w:tcBorders>
              <w:left w:val="single" w:color="auto" w:sz="2" w:space="0"/>
              <w:right w:val="double" w:color="auto" w:sz="4" w:space="0"/>
            </w:tcBorders>
            <w:noWrap/>
            <w:vAlign w:val="center"/>
          </w:tcPr>
          <w:p w14:paraId="1B06F790">
            <w:pPr>
              <w:widowControl/>
              <w:jc w:val="center"/>
              <w:rPr>
                <w:kern w:val="0"/>
                <w:sz w:val="18"/>
                <w:szCs w:val="18"/>
              </w:rPr>
            </w:pPr>
            <w:r>
              <w:rPr>
                <w:kern w:val="0"/>
                <w:sz w:val="18"/>
                <w:szCs w:val="18"/>
              </w:rPr>
              <w:t>2645.0</w:t>
            </w:r>
          </w:p>
        </w:tc>
        <w:tc>
          <w:tcPr>
            <w:tcW w:w="833" w:type="pct"/>
            <w:tcBorders>
              <w:left w:val="double" w:color="auto" w:sz="4" w:space="0"/>
              <w:right w:val="single" w:color="auto" w:sz="2" w:space="0"/>
            </w:tcBorders>
            <w:vAlign w:val="center"/>
          </w:tcPr>
          <w:p w14:paraId="08601C9D">
            <w:pPr>
              <w:jc w:val="center"/>
              <w:rPr>
                <w:kern w:val="0"/>
                <w:sz w:val="18"/>
                <w:szCs w:val="18"/>
              </w:rPr>
            </w:pPr>
            <w:r>
              <w:rPr>
                <w:kern w:val="0"/>
                <w:sz w:val="18"/>
                <w:szCs w:val="18"/>
              </w:rPr>
              <w:t xml:space="preserve"> 3.0</w:t>
            </w:r>
          </w:p>
        </w:tc>
        <w:tc>
          <w:tcPr>
            <w:tcW w:w="833" w:type="pct"/>
            <w:tcBorders>
              <w:left w:val="single" w:color="auto" w:sz="2" w:space="0"/>
              <w:right w:val="single" w:color="auto" w:sz="2" w:space="0"/>
            </w:tcBorders>
            <w:noWrap/>
            <w:vAlign w:val="center"/>
          </w:tcPr>
          <w:p w14:paraId="615F8272">
            <w:pPr>
              <w:widowControl/>
              <w:jc w:val="center"/>
              <w:rPr>
                <w:kern w:val="0"/>
                <w:sz w:val="18"/>
                <w:szCs w:val="18"/>
              </w:rPr>
            </w:pPr>
            <w:r>
              <w:rPr>
                <w:kern w:val="0"/>
                <w:sz w:val="18"/>
                <w:szCs w:val="18"/>
              </w:rPr>
              <w:t>233.84</w:t>
            </w:r>
          </w:p>
        </w:tc>
        <w:tc>
          <w:tcPr>
            <w:tcW w:w="833" w:type="pct"/>
            <w:tcBorders>
              <w:left w:val="single" w:color="auto" w:sz="2" w:space="0"/>
            </w:tcBorders>
            <w:noWrap/>
            <w:vAlign w:val="center"/>
          </w:tcPr>
          <w:p w14:paraId="3362CD7F">
            <w:pPr>
              <w:widowControl/>
              <w:jc w:val="center"/>
              <w:rPr>
                <w:kern w:val="0"/>
                <w:sz w:val="18"/>
                <w:szCs w:val="18"/>
              </w:rPr>
            </w:pPr>
            <w:r>
              <w:rPr>
                <w:kern w:val="0"/>
                <w:sz w:val="18"/>
                <w:szCs w:val="18"/>
              </w:rPr>
              <w:t>2801.9</w:t>
            </w:r>
          </w:p>
        </w:tc>
      </w:tr>
      <w:tr w14:paraId="40E4E474">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23E5014">
            <w:pPr>
              <w:widowControl/>
              <w:jc w:val="center"/>
              <w:rPr>
                <w:kern w:val="0"/>
                <w:sz w:val="18"/>
                <w:szCs w:val="18"/>
              </w:rPr>
            </w:pPr>
            <w:r>
              <w:rPr>
                <w:kern w:val="0"/>
                <w:sz w:val="18"/>
                <w:szCs w:val="18"/>
              </w:rPr>
              <w:t>0.060</w:t>
            </w:r>
          </w:p>
        </w:tc>
        <w:tc>
          <w:tcPr>
            <w:tcW w:w="833" w:type="pct"/>
            <w:tcBorders>
              <w:left w:val="single" w:color="auto" w:sz="2" w:space="0"/>
              <w:right w:val="single" w:color="auto" w:sz="2" w:space="0"/>
            </w:tcBorders>
            <w:noWrap/>
            <w:vAlign w:val="center"/>
          </w:tcPr>
          <w:p w14:paraId="3E66B2AD">
            <w:pPr>
              <w:widowControl/>
              <w:jc w:val="center"/>
              <w:rPr>
                <w:kern w:val="0"/>
                <w:sz w:val="18"/>
                <w:szCs w:val="18"/>
              </w:rPr>
            </w:pPr>
            <w:r>
              <w:rPr>
                <w:kern w:val="0"/>
                <w:sz w:val="18"/>
                <w:szCs w:val="18"/>
              </w:rPr>
              <w:t xml:space="preserve"> 85.95</w:t>
            </w:r>
          </w:p>
        </w:tc>
        <w:tc>
          <w:tcPr>
            <w:tcW w:w="833" w:type="pct"/>
            <w:tcBorders>
              <w:left w:val="single" w:color="auto" w:sz="2" w:space="0"/>
              <w:right w:val="double" w:color="auto" w:sz="4" w:space="0"/>
            </w:tcBorders>
            <w:noWrap/>
            <w:vAlign w:val="center"/>
          </w:tcPr>
          <w:p w14:paraId="50E95E7A">
            <w:pPr>
              <w:widowControl/>
              <w:jc w:val="center"/>
              <w:rPr>
                <w:kern w:val="0"/>
                <w:sz w:val="18"/>
                <w:szCs w:val="18"/>
              </w:rPr>
            </w:pPr>
            <w:r>
              <w:rPr>
                <w:kern w:val="0"/>
                <w:sz w:val="18"/>
                <w:szCs w:val="18"/>
              </w:rPr>
              <w:t>2653.6</w:t>
            </w:r>
          </w:p>
        </w:tc>
        <w:tc>
          <w:tcPr>
            <w:tcW w:w="833" w:type="pct"/>
            <w:tcBorders>
              <w:left w:val="double" w:color="auto" w:sz="4" w:space="0"/>
              <w:right w:val="single" w:color="auto" w:sz="2" w:space="0"/>
            </w:tcBorders>
            <w:vAlign w:val="center"/>
          </w:tcPr>
          <w:p w14:paraId="3F48D5ED">
            <w:pPr>
              <w:jc w:val="center"/>
              <w:rPr>
                <w:kern w:val="0"/>
                <w:sz w:val="18"/>
                <w:szCs w:val="18"/>
              </w:rPr>
            </w:pPr>
            <w:r>
              <w:rPr>
                <w:kern w:val="0"/>
                <w:sz w:val="18"/>
                <w:szCs w:val="18"/>
              </w:rPr>
              <w:t xml:space="preserve"> 3.5</w:t>
            </w:r>
          </w:p>
        </w:tc>
        <w:tc>
          <w:tcPr>
            <w:tcW w:w="833" w:type="pct"/>
            <w:tcBorders>
              <w:left w:val="single" w:color="auto" w:sz="2" w:space="0"/>
              <w:right w:val="single" w:color="auto" w:sz="2" w:space="0"/>
            </w:tcBorders>
            <w:noWrap/>
            <w:vAlign w:val="center"/>
          </w:tcPr>
          <w:p w14:paraId="102DA0EE">
            <w:pPr>
              <w:widowControl/>
              <w:jc w:val="center"/>
              <w:rPr>
                <w:kern w:val="0"/>
                <w:sz w:val="18"/>
                <w:szCs w:val="18"/>
              </w:rPr>
            </w:pPr>
            <w:r>
              <w:rPr>
                <w:kern w:val="0"/>
                <w:sz w:val="18"/>
                <w:szCs w:val="18"/>
              </w:rPr>
              <w:t>242.54</w:t>
            </w:r>
          </w:p>
        </w:tc>
        <w:tc>
          <w:tcPr>
            <w:tcW w:w="833" w:type="pct"/>
            <w:tcBorders>
              <w:left w:val="single" w:color="auto" w:sz="2" w:space="0"/>
            </w:tcBorders>
            <w:noWrap/>
            <w:vAlign w:val="center"/>
          </w:tcPr>
          <w:p w14:paraId="1352F3AC">
            <w:pPr>
              <w:widowControl/>
              <w:jc w:val="center"/>
              <w:rPr>
                <w:kern w:val="0"/>
                <w:sz w:val="18"/>
                <w:szCs w:val="18"/>
              </w:rPr>
            </w:pPr>
            <w:r>
              <w:rPr>
                <w:kern w:val="0"/>
                <w:sz w:val="18"/>
                <w:szCs w:val="18"/>
              </w:rPr>
              <w:t>2801.3</w:t>
            </w:r>
          </w:p>
        </w:tc>
      </w:tr>
      <w:tr w14:paraId="1BDE9039">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71870708">
            <w:pPr>
              <w:widowControl/>
              <w:jc w:val="center"/>
              <w:rPr>
                <w:kern w:val="0"/>
                <w:sz w:val="18"/>
                <w:szCs w:val="18"/>
              </w:rPr>
            </w:pPr>
            <w:r>
              <w:rPr>
                <w:kern w:val="0"/>
                <w:sz w:val="18"/>
                <w:szCs w:val="18"/>
              </w:rPr>
              <w:t>0.070</w:t>
            </w:r>
          </w:p>
        </w:tc>
        <w:tc>
          <w:tcPr>
            <w:tcW w:w="833" w:type="pct"/>
            <w:tcBorders>
              <w:left w:val="single" w:color="auto" w:sz="2" w:space="0"/>
              <w:right w:val="single" w:color="auto" w:sz="2" w:space="0"/>
            </w:tcBorders>
            <w:noWrap/>
            <w:vAlign w:val="center"/>
          </w:tcPr>
          <w:p w14:paraId="13BBB3BA">
            <w:pPr>
              <w:widowControl/>
              <w:jc w:val="center"/>
              <w:rPr>
                <w:kern w:val="0"/>
                <w:sz w:val="18"/>
                <w:szCs w:val="18"/>
              </w:rPr>
            </w:pPr>
            <w:r>
              <w:rPr>
                <w:kern w:val="0"/>
                <w:sz w:val="18"/>
                <w:szCs w:val="18"/>
              </w:rPr>
              <w:t xml:space="preserve"> 89.96</w:t>
            </w:r>
          </w:p>
        </w:tc>
        <w:tc>
          <w:tcPr>
            <w:tcW w:w="833" w:type="pct"/>
            <w:tcBorders>
              <w:left w:val="single" w:color="auto" w:sz="2" w:space="0"/>
              <w:right w:val="double" w:color="auto" w:sz="4" w:space="0"/>
            </w:tcBorders>
            <w:noWrap/>
            <w:vAlign w:val="center"/>
          </w:tcPr>
          <w:p w14:paraId="0AFFAD91">
            <w:pPr>
              <w:widowControl/>
              <w:jc w:val="center"/>
              <w:rPr>
                <w:kern w:val="0"/>
                <w:sz w:val="18"/>
                <w:szCs w:val="18"/>
              </w:rPr>
            </w:pPr>
            <w:r>
              <w:rPr>
                <w:kern w:val="0"/>
                <w:sz w:val="18"/>
                <w:szCs w:val="18"/>
              </w:rPr>
              <w:t>2660.2</w:t>
            </w:r>
          </w:p>
        </w:tc>
        <w:tc>
          <w:tcPr>
            <w:tcW w:w="833" w:type="pct"/>
            <w:tcBorders>
              <w:left w:val="double" w:color="auto" w:sz="4" w:space="0"/>
              <w:right w:val="single" w:color="auto" w:sz="2" w:space="0"/>
            </w:tcBorders>
            <w:vAlign w:val="center"/>
          </w:tcPr>
          <w:p w14:paraId="0E8B00E8">
            <w:pPr>
              <w:jc w:val="center"/>
              <w:rPr>
                <w:kern w:val="0"/>
                <w:sz w:val="18"/>
                <w:szCs w:val="18"/>
              </w:rPr>
            </w:pPr>
            <w:r>
              <w:rPr>
                <w:kern w:val="0"/>
                <w:sz w:val="18"/>
                <w:szCs w:val="18"/>
              </w:rPr>
              <w:t xml:space="preserve"> 4.0</w:t>
            </w:r>
          </w:p>
        </w:tc>
        <w:tc>
          <w:tcPr>
            <w:tcW w:w="833" w:type="pct"/>
            <w:tcBorders>
              <w:left w:val="single" w:color="auto" w:sz="2" w:space="0"/>
              <w:right w:val="single" w:color="auto" w:sz="2" w:space="0"/>
            </w:tcBorders>
            <w:noWrap/>
            <w:vAlign w:val="center"/>
          </w:tcPr>
          <w:p w14:paraId="2F584E3F">
            <w:pPr>
              <w:widowControl/>
              <w:jc w:val="center"/>
              <w:rPr>
                <w:kern w:val="0"/>
                <w:sz w:val="18"/>
                <w:szCs w:val="18"/>
              </w:rPr>
            </w:pPr>
            <w:r>
              <w:rPr>
                <w:kern w:val="0"/>
                <w:sz w:val="18"/>
                <w:szCs w:val="18"/>
              </w:rPr>
              <w:t>250.33</w:t>
            </w:r>
          </w:p>
        </w:tc>
        <w:tc>
          <w:tcPr>
            <w:tcW w:w="833" w:type="pct"/>
            <w:tcBorders>
              <w:left w:val="single" w:color="auto" w:sz="2" w:space="0"/>
            </w:tcBorders>
            <w:noWrap/>
            <w:vAlign w:val="center"/>
          </w:tcPr>
          <w:p w14:paraId="70844AB5">
            <w:pPr>
              <w:widowControl/>
              <w:jc w:val="center"/>
              <w:rPr>
                <w:kern w:val="0"/>
                <w:sz w:val="18"/>
                <w:szCs w:val="18"/>
              </w:rPr>
            </w:pPr>
            <w:r>
              <w:rPr>
                <w:kern w:val="0"/>
                <w:sz w:val="18"/>
                <w:szCs w:val="18"/>
              </w:rPr>
              <w:t>2799.4</w:t>
            </w:r>
          </w:p>
        </w:tc>
      </w:tr>
      <w:tr w14:paraId="016C765A">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62E96EE8">
            <w:pPr>
              <w:widowControl/>
              <w:jc w:val="center"/>
              <w:rPr>
                <w:kern w:val="0"/>
                <w:sz w:val="18"/>
                <w:szCs w:val="18"/>
              </w:rPr>
            </w:pPr>
            <w:r>
              <w:rPr>
                <w:kern w:val="0"/>
                <w:sz w:val="18"/>
                <w:szCs w:val="18"/>
              </w:rPr>
              <w:t>0.080</w:t>
            </w:r>
          </w:p>
        </w:tc>
        <w:tc>
          <w:tcPr>
            <w:tcW w:w="833" w:type="pct"/>
            <w:tcBorders>
              <w:left w:val="single" w:color="auto" w:sz="2" w:space="0"/>
              <w:right w:val="single" w:color="auto" w:sz="2" w:space="0"/>
            </w:tcBorders>
            <w:noWrap/>
            <w:vAlign w:val="center"/>
          </w:tcPr>
          <w:p w14:paraId="4E7C4AB3">
            <w:pPr>
              <w:widowControl/>
              <w:jc w:val="center"/>
              <w:rPr>
                <w:kern w:val="0"/>
                <w:sz w:val="18"/>
                <w:szCs w:val="18"/>
              </w:rPr>
            </w:pPr>
            <w:r>
              <w:rPr>
                <w:kern w:val="0"/>
                <w:sz w:val="18"/>
                <w:szCs w:val="18"/>
              </w:rPr>
              <w:t xml:space="preserve"> 93.51</w:t>
            </w:r>
          </w:p>
        </w:tc>
        <w:tc>
          <w:tcPr>
            <w:tcW w:w="833" w:type="pct"/>
            <w:tcBorders>
              <w:left w:val="single" w:color="auto" w:sz="2" w:space="0"/>
              <w:right w:val="double" w:color="auto" w:sz="4" w:space="0"/>
            </w:tcBorders>
            <w:noWrap/>
            <w:vAlign w:val="center"/>
          </w:tcPr>
          <w:p w14:paraId="6A92C648">
            <w:pPr>
              <w:widowControl/>
              <w:jc w:val="center"/>
              <w:rPr>
                <w:kern w:val="0"/>
                <w:sz w:val="18"/>
                <w:szCs w:val="18"/>
              </w:rPr>
            </w:pPr>
            <w:r>
              <w:rPr>
                <w:kern w:val="0"/>
                <w:sz w:val="18"/>
                <w:szCs w:val="18"/>
              </w:rPr>
              <w:t>2666.0</w:t>
            </w:r>
          </w:p>
        </w:tc>
        <w:tc>
          <w:tcPr>
            <w:tcW w:w="833" w:type="pct"/>
            <w:tcBorders>
              <w:left w:val="double" w:color="auto" w:sz="4" w:space="0"/>
              <w:right w:val="single" w:color="auto" w:sz="2" w:space="0"/>
            </w:tcBorders>
            <w:vAlign w:val="center"/>
          </w:tcPr>
          <w:p w14:paraId="2B7E231D">
            <w:pPr>
              <w:jc w:val="center"/>
              <w:rPr>
                <w:kern w:val="0"/>
                <w:sz w:val="18"/>
                <w:szCs w:val="18"/>
              </w:rPr>
            </w:pPr>
            <w:r>
              <w:rPr>
                <w:kern w:val="0"/>
                <w:sz w:val="18"/>
                <w:szCs w:val="18"/>
              </w:rPr>
              <w:t xml:space="preserve"> 5.0</w:t>
            </w:r>
          </w:p>
        </w:tc>
        <w:tc>
          <w:tcPr>
            <w:tcW w:w="833" w:type="pct"/>
            <w:tcBorders>
              <w:left w:val="single" w:color="auto" w:sz="2" w:space="0"/>
              <w:right w:val="single" w:color="auto" w:sz="2" w:space="0"/>
            </w:tcBorders>
            <w:noWrap/>
            <w:vAlign w:val="center"/>
          </w:tcPr>
          <w:p w14:paraId="72694397">
            <w:pPr>
              <w:widowControl/>
              <w:jc w:val="center"/>
              <w:rPr>
                <w:kern w:val="0"/>
                <w:sz w:val="18"/>
                <w:szCs w:val="18"/>
              </w:rPr>
            </w:pPr>
            <w:r>
              <w:rPr>
                <w:kern w:val="0"/>
                <w:sz w:val="18"/>
                <w:szCs w:val="18"/>
              </w:rPr>
              <w:t>263.92</w:t>
            </w:r>
          </w:p>
        </w:tc>
        <w:tc>
          <w:tcPr>
            <w:tcW w:w="833" w:type="pct"/>
            <w:tcBorders>
              <w:left w:val="single" w:color="auto" w:sz="2" w:space="0"/>
            </w:tcBorders>
            <w:noWrap/>
            <w:vAlign w:val="center"/>
          </w:tcPr>
          <w:p w14:paraId="2765FEEA">
            <w:pPr>
              <w:widowControl/>
              <w:jc w:val="center"/>
              <w:rPr>
                <w:kern w:val="0"/>
                <w:sz w:val="18"/>
                <w:szCs w:val="18"/>
              </w:rPr>
            </w:pPr>
            <w:r>
              <w:rPr>
                <w:kern w:val="0"/>
                <w:sz w:val="18"/>
                <w:szCs w:val="18"/>
              </w:rPr>
              <w:t>2792.8</w:t>
            </w:r>
          </w:p>
        </w:tc>
      </w:tr>
      <w:tr w14:paraId="6DE297E4">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220169AC">
            <w:pPr>
              <w:widowControl/>
              <w:jc w:val="center"/>
              <w:rPr>
                <w:kern w:val="0"/>
                <w:sz w:val="18"/>
                <w:szCs w:val="18"/>
              </w:rPr>
            </w:pPr>
            <w:r>
              <w:rPr>
                <w:kern w:val="0"/>
                <w:sz w:val="18"/>
                <w:szCs w:val="18"/>
              </w:rPr>
              <w:t>0.090</w:t>
            </w:r>
          </w:p>
        </w:tc>
        <w:tc>
          <w:tcPr>
            <w:tcW w:w="833" w:type="pct"/>
            <w:tcBorders>
              <w:left w:val="single" w:color="auto" w:sz="2" w:space="0"/>
              <w:right w:val="single" w:color="auto" w:sz="2" w:space="0"/>
            </w:tcBorders>
            <w:noWrap/>
            <w:vAlign w:val="center"/>
          </w:tcPr>
          <w:p w14:paraId="71939630">
            <w:pPr>
              <w:widowControl/>
              <w:jc w:val="center"/>
              <w:rPr>
                <w:kern w:val="0"/>
                <w:sz w:val="18"/>
                <w:szCs w:val="18"/>
              </w:rPr>
            </w:pPr>
            <w:r>
              <w:rPr>
                <w:kern w:val="0"/>
                <w:sz w:val="18"/>
                <w:szCs w:val="18"/>
              </w:rPr>
              <w:t xml:space="preserve"> 96.71</w:t>
            </w:r>
          </w:p>
        </w:tc>
        <w:tc>
          <w:tcPr>
            <w:tcW w:w="833" w:type="pct"/>
            <w:tcBorders>
              <w:left w:val="single" w:color="auto" w:sz="2" w:space="0"/>
              <w:right w:val="double" w:color="auto" w:sz="4" w:space="0"/>
            </w:tcBorders>
            <w:noWrap/>
            <w:vAlign w:val="center"/>
          </w:tcPr>
          <w:p w14:paraId="3A4E871B">
            <w:pPr>
              <w:widowControl/>
              <w:jc w:val="center"/>
              <w:rPr>
                <w:kern w:val="0"/>
                <w:sz w:val="18"/>
                <w:szCs w:val="18"/>
              </w:rPr>
            </w:pPr>
            <w:r>
              <w:rPr>
                <w:kern w:val="0"/>
                <w:sz w:val="18"/>
                <w:szCs w:val="18"/>
              </w:rPr>
              <w:t>2671.1</w:t>
            </w:r>
          </w:p>
        </w:tc>
        <w:tc>
          <w:tcPr>
            <w:tcW w:w="833" w:type="pct"/>
            <w:tcBorders>
              <w:left w:val="double" w:color="auto" w:sz="4" w:space="0"/>
              <w:right w:val="single" w:color="auto" w:sz="2" w:space="0"/>
            </w:tcBorders>
            <w:vAlign w:val="center"/>
          </w:tcPr>
          <w:p w14:paraId="43669024">
            <w:pPr>
              <w:jc w:val="center"/>
              <w:rPr>
                <w:kern w:val="0"/>
                <w:sz w:val="18"/>
                <w:szCs w:val="18"/>
              </w:rPr>
            </w:pPr>
            <w:r>
              <w:rPr>
                <w:kern w:val="0"/>
                <w:sz w:val="18"/>
                <w:szCs w:val="18"/>
              </w:rPr>
              <w:t xml:space="preserve"> 6.0</w:t>
            </w:r>
          </w:p>
        </w:tc>
        <w:tc>
          <w:tcPr>
            <w:tcW w:w="833" w:type="pct"/>
            <w:tcBorders>
              <w:left w:val="single" w:color="auto" w:sz="2" w:space="0"/>
              <w:right w:val="single" w:color="auto" w:sz="2" w:space="0"/>
            </w:tcBorders>
            <w:noWrap/>
            <w:vAlign w:val="center"/>
          </w:tcPr>
          <w:p w14:paraId="3CEB5AB7">
            <w:pPr>
              <w:widowControl/>
              <w:jc w:val="center"/>
              <w:rPr>
                <w:kern w:val="0"/>
                <w:sz w:val="18"/>
                <w:szCs w:val="18"/>
              </w:rPr>
            </w:pPr>
            <w:r>
              <w:rPr>
                <w:kern w:val="0"/>
                <w:sz w:val="18"/>
                <w:szCs w:val="18"/>
              </w:rPr>
              <w:t>275.56</w:t>
            </w:r>
          </w:p>
        </w:tc>
        <w:tc>
          <w:tcPr>
            <w:tcW w:w="833" w:type="pct"/>
            <w:tcBorders>
              <w:left w:val="single" w:color="auto" w:sz="2" w:space="0"/>
            </w:tcBorders>
            <w:noWrap/>
            <w:vAlign w:val="center"/>
          </w:tcPr>
          <w:p w14:paraId="0F642E94">
            <w:pPr>
              <w:widowControl/>
              <w:jc w:val="center"/>
              <w:rPr>
                <w:kern w:val="0"/>
                <w:sz w:val="18"/>
                <w:szCs w:val="18"/>
              </w:rPr>
            </w:pPr>
            <w:r>
              <w:rPr>
                <w:kern w:val="0"/>
                <w:sz w:val="18"/>
                <w:szCs w:val="18"/>
              </w:rPr>
              <w:t>2783.3</w:t>
            </w:r>
          </w:p>
        </w:tc>
      </w:tr>
      <w:tr w14:paraId="56438408">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236DDD93">
            <w:pPr>
              <w:widowControl/>
              <w:jc w:val="center"/>
              <w:rPr>
                <w:kern w:val="0"/>
                <w:sz w:val="18"/>
                <w:szCs w:val="18"/>
              </w:rPr>
            </w:pPr>
            <w:r>
              <w:rPr>
                <w:kern w:val="0"/>
                <w:sz w:val="18"/>
                <w:szCs w:val="18"/>
              </w:rPr>
              <w:t>0.100</w:t>
            </w:r>
          </w:p>
        </w:tc>
        <w:tc>
          <w:tcPr>
            <w:tcW w:w="833" w:type="pct"/>
            <w:tcBorders>
              <w:left w:val="single" w:color="auto" w:sz="2" w:space="0"/>
              <w:right w:val="single" w:color="auto" w:sz="2" w:space="0"/>
            </w:tcBorders>
            <w:noWrap/>
            <w:vAlign w:val="center"/>
          </w:tcPr>
          <w:p w14:paraId="2ED87D07">
            <w:pPr>
              <w:widowControl/>
              <w:jc w:val="center"/>
              <w:rPr>
                <w:kern w:val="0"/>
                <w:sz w:val="18"/>
                <w:szCs w:val="18"/>
              </w:rPr>
            </w:pPr>
            <w:r>
              <w:rPr>
                <w:kern w:val="0"/>
                <w:sz w:val="18"/>
                <w:szCs w:val="18"/>
              </w:rPr>
              <w:t xml:space="preserve"> 99.63</w:t>
            </w:r>
          </w:p>
        </w:tc>
        <w:tc>
          <w:tcPr>
            <w:tcW w:w="833" w:type="pct"/>
            <w:tcBorders>
              <w:left w:val="single" w:color="auto" w:sz="2" w:space="0"/>
              <w:right w:val="double" w:color="auto" w:sz="4" w:space="0"/>
            </w:tcBorders>
            <w:noWrap/>
            <w:vAlign w:val="center"/>
          </w:tcPr>
          <w:p w14:paraId="1D2C7CF9">
            <w:pPr>
              <w:widowControl/>
              <w:jc w:val="center"/>
              <w:rPr>
                <w:kern w:val="0"/>
                <w:sz w:val="18"/>
                <w:szCs w:val="18"/>
              </w:rPr>
            </w:pPr>
            <w:r>
              <w:rPr>
                <w:kern w:val="0"/>
                <w:sz w:val="18"/>
                <w:szCs w:val="18"/>
              </w:rPr>
              <w:t>2675.7</w:t>
            </w:r>
          </w:p>
        </w:tc>
        <w:tc>
          <w:tcPr>
            <w:tcW w:w="833" w:type="pct"/>
            <w:tcBorders>
              <w:left w:val="double" w:color="auto" w:sz="4" w:space="0"/>
              <w:right w:val="single" w:color="auto" w:sz="2" w:space="0"/>
            </w:tcBorders>
            <w:vAlign w:val="center"/>
          </w:tcPr>
          <w:p w14:paraId="00299901">
            <w:pPr>
              <w:jc w:val="center"/>
              <w:rPr>
                <w:kern w:val="0"/>
                <w:sz w:val="18"/>
                <w:szCs w:val="18"/>
              </w:rPr>
            </w:pPr>
            <w:r>
              <w:rPr>
                <w:kern w:val="0"/>
                <w:sz w:val="18"/>
                <w:szCs w:val="18"/>
              </w:rPr>
              <w:t xml:space="preserve"> 7.0</w:t>
            </w:r>
          </w:p>
        </w:tc>
        <w:tc>
          <w:tcPr>
            <w:tcW w:w="833" w:type="pct"/>
            <w:tcBorders>
              <w:left w:val="single" w:color="auto" w:sz="2" w:space="0"/>
              <w:right w:val="single" w:color="auto" w:sz="2" w:space="0"/>
            </w:tcBorders>
            <w:noWrap/>
            <w:vAlign w:val="center"/>
          </w:tcPr>
          <w:p w14:paraId="48627AB1">
            <w:pPr>
              <w:widowControl/>
              <w:jc w:val="center"/>
              <w:rPr>
                <w:kern w:val="0"/>
                <w:sz w:val="18"/>
                <w:szCs w:val="18"/>
              </w:rPr>
            </w:pPr>
            <w:r>
              <w:rPr>
                <w:kern w:val="0"/>
                <w:sz w:val="18"/>
                <w:szCs w:val="18"/>
              </w:rPr>
              <w:t>285.80</w:t>
            </w:r>
          </w:p>
        </w:tc>
        <w:tc>
          <w:tcPr>
            <w:tcW w:w="833" w:type="pct"/>
            <w:tcBorders>
              <w:left w:val="single" w:color="auto" w:sz="2" w:space="0"/>
            </w:tcBorders>
            <w:noWrap/>
            <w:vAlign w:val="center"/>
          </w:tcPr>
          <w:p w14:paraId="0D7E143B">
            <w:pPr>
              <w:widowControl/>
              <w:jc w:val="center"/>
              <w:rPr>
                <w:kern w:val="0"/>
                <w:sz w:val="18"/>
                <w:szCs w:val="18"/>
              </w:rPr>
            </w:pPr>
            <w:r>
              <w:rPr>
                <w:kern w:val="0"/>
                <w:sz w:val="18"/>
                <w:szCs w:val="18"/>
              </w:rPr>
              <w:t>2771.4</w:t>
            </w:r>
          </w:p>
        </w:tc>
      </w:tr>
      <w:tr w14:paraId="27566BF8">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7AB2EAEF">
            <w:pPr>
              <w:widowControl/>
              <w:jc w:val="center"/>
              <w:rPr>
                <w:kern w:val="0"/>
                <w:sz w:val="18"/>
                <w:szCs w:val="18"/>
              </w:rPr>
            </w:pPr>
            <w:r>
              <w:rPr>
                <w:kern w:val="0"/>
                <w:sz w:val="18"/>
                <w:szCs w:val="18"/>
              </w:rPr>
              <w:t>0.120</w:t>
            </w:r>
          </w:p>
        </w:tc>
        <w:tc>
          <w:tcPr>
            <w:tcW w:w="833" w:type="pct"/>
            <w:tcBorders>
              <w:left w:val="single" w:color="auto" w:sz="2" w:space="0"/>
              <w:right w:val="single" w:color="auto" w:sz="2" w:space="0"/>
            </w:tcBorders>
            <w:noWrap/>
            <w:vAlign w:val="center"/>
          </w:tcPr>
          <w:p w14:paraId="51BB0B1C">
            <w:pPr>
              <w:widowControl/>
              <w:jc w:val="center"/>
              <w:rPr>
                <w:kern w:val="0"/>
                <w:sz w:val="18"/>
                <w:szCs w:val="18"/>
              </w:rPr>
            </w:pPr>
            <w:r>
              <w:rPr>
                <w:kern w:val="0"/>
                <w:sz w:val="18"/>
                <w:szCs w:val="18"/>
              </w:rPr>
              <w:t>104.81</w:t>
            </w:r>
          </w:p>
        </w:tc>
        <w:tc>
          <w:tcPr>
            <w:tcW w:w="833" w:type="pct"/>
            <w:tcBorders>
              <w:left w:val="single" w:color="auto" w:sz="2" w:space="0"/>
              <w:right w:val="double" w:color="auto" w:sz="4" w:space="0"/>
            </w:tcBorders>
            <w:noWrap/>
            <w:vAlign w:val="center"/>
          </w:tcPr>
          <w:p w14:paraId="76B5453E">
            <w:pPr>
              <w:widowControl/>
              <w:jc w:val="center"/>
              <w:rPr>
                <w:kern w:val="0"/>
                <w:sz w:val="18"/>
                <w:szCs w:val="18"/>
              </w:rPr>
            </w:pPr>
            <w:r>
              <w:rPr>
                <w:kern w:val="0"/>
                <w:sz w:val="18"/>
                <w:szCs w:val="18"/>
              </w:rPr>
              <w:t>2683.8</w:t>
            </w:r>
          </w:p>
        </w:tc>
        <w:tc>
          <w:tcPr>
            <w:tcW w:w="833" w:type="pct"/>
            <w:tcBorders>
              <w:left w:val="double" w:color="auto" w:sz="4" w:space="0"/>
              <w:right w:val="single" w:color="auto" w:sz="2" w:space="0"/>
            </w:tcBorders>
            <w:vAlign w:val="center"/>
          </w:tcPr>
          <w:p w14:paraId="728EDD8F">
            <w:pPr>
              <w:jc w:val="center"/>
              <w:rPr>
                <w:kern w:val="0"/>
                <w:sz w:val="18"/>
                <w:szCs w:val="18"/>
              </w:rPr>
            </w:pPr>
            <w:r>
              <w:rPr>
                <w:kern w:val="0"/>
                <w:sz w:val="18"/>
                <w:szCs w:val="18"/>
              </w:rPr>
              <w:t xml:space="preserve"> 8.0</w:t>
            </w:r>
          </w:p>
        </w:tc>
        <w:tc>
          <w:tcPr>
            <w:tcW w:w="833" w:type="pct"/>
            <w:tcBorders>
              <w:left w:val="single" w:color="auto" w:sz="2" w:space="0"/>
              <w:right w:val="single" w:color="auto" w:sz="2" w:space="0"/>
            </w:tcBorders>
            <w:noWrap/>
            <w:vAlign w:val="center"/>
          </w:tcPr>
          <w:p w14:paraId="602701A1">
            <w:pPr>
              <w:widowControl/>
              <w:jc w:val="center"/>
              <w:rPr>
                <w:kern w:val="0"/>
                <w:sz w:val="18"/>
                <w:szCs w:val="18"/>
              </w:rPr>
            </w:pPr>
            <w:r>
              <w:rPr>
                <w:kern w:val="0"/>
                <w:sz w:val="18"/>
                <w:szCs w:val="18"/>
              </w:rPr>
              <w:t>294.98</w:t>
            </w:r>
          </w:p>
        </w:tc>
        <w:tc>
          <w:tcPr>
            <w:tcW w:w="833" w:type="pct"/>
            <w:tcBorders>
              <w:left w:val="single" w:color="auto" w:sz="2" w:space="0"/>
            </w:tcBorders>
            <w:noWrap/>
            <w:vAlign w:val="center"/>
          </w:tcPr>
          <w:p w14:paraId="018AC782">
            <w:pPr>
              <w:widowControl/>
              <w:jc w:val="center"/>
              <w:rPr>
                <w:kern w:val="0"/>
                <w:sz w:val="18"/>
                <w:szCs w:val="18"/>
              </w:rPr>
            </w:pPr>
            <w:r>
              <w:rPr>
                <w:kern w:val="0"/>
                <w:sz w:val="18"/>
                <w:szCs w:val="18"/>
              </w:rPr>
              <w:t>2757.5</w:t>
            </w:r>
          </w:p>
        </w:tc>
      </w:tr>
      <w:tr w14:paraId="06D8027D">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147BBBEE">
            <w:pPr>
              <w:widowControl/>
              <w:jc w:val="center"/>
              <w:rPr>
                <w:kern w:val="0"/>
                <w:sz w:val="18"/>
                <w:szCs w:val="18"/>
              </w:rPr>
            </w:pPr>
            <w:r>
              <w:rPr>
                <w:kern w:val="0"/>
                <w:sz w:val="18"/>
                <w:szCs w:val="18"/>
              </w:rPr>
              <w:t>0.140</w:t>
            </w:r>
          </w:p>
        </w:tc>
        <w:tc>
          <w:tcPr>
            <w:tcW w:w="833" w:type="pct"/>
            <w:tcBorders>
              <w:left w:val="single" w:color="auto" w:sz="2" w:space="0"/>
              <w:right w:val="single" w:color="auto" w:sz="2" w:space="0"/>
            </w:tcBorders>
            <w:noWrap/>
            <w:vAlign w:val="center"/>
          </w:tcPr>
          <w:p w14:paraId="0D2AFA44">
            <w:pPr>
              <w:widowControl/>
              <w:jc w:val="center"/>
              <w:rPr>
                <w:kern w:val="0"/>
                <w:sz w:val="18"/>
                <w:szCs w:val="18"/>
              </w:rPr>
            </w:pPr>
            <w:r>
              <w:rPr>
                <w:kern w:val="0"/>
                <w:sz w:val="18"/>
                <w:szCs w:val="18"/>
              </w:rPr>
              <w:t>109.32</w:t>
            </w:r>
          </w:p>
        </w:tc>
        <w:tc>
          <w:tcPr>
            <w:tcW w:w="833" w:type="pct"/>
            <w:tcBorders>
              <w:left w:val="single" w:color="auto" w:sz="2" w:space="0"/>
              <w:right w:val="double" w:color="auto" w:sz="4" w:space="0"/>
            </w:tcBorders>
            <w:noWrap/>
            <w:vAlign w:val="center"/>
          </w:tcPr>
          <w:p w14:paraId="2F73D606">
            <w:pPr>
              <w:widowControl/>
              <w:jc w:val="center"/>
              <w:rPr>
                <w:kern w:val="0"/>
                <w:sz w:val="18"/>
                <w:szCs w:val="18"/>
              </w:rPr>
            </w:pPr>
            <w:r>
              <w:rPr>
                <w:kern w:val="0"/>
                <w:sz w:val="18"/>
                <w:szCs w:val="18"/>
              </w:rPr>
              <w:t>2690.8</w:t>
            </w:r>
          </w:p>
        </w:tc>
        <w:tc>
          <w:tcPr>
            <w:tcW w:w="833" w:type="pct"/>
            <w:tcBorders>
              <w:left w:val="double" w:color="auto" w:sz="4" w:space="0"/>
              <w:right w:val="single" w:color="auto" w:sz="2" w:space="0"/>
            </w:tcBorders>
            <w:vAlign w:val="center"/>
          </w:tcPr>
          <w:p w14:paraId="1F82088A">
            <w:pPr>
              <w:jc w:val="center"/>
              <w:rPr>
                <w:kern w:val="0"/>
                <w:sz w:val="18"/>
                <w:szCs w:val="18"/>
              </w:rPr>
            </w:pPr>
            <w:r>
              <w:rPr>
                <w:kern w:val="0"/>
                <w:sz w:val="18"/>
                <w:szCs w:val="18"/>
              </w:rPr>
              <w:t xml:space="preserve"> 9.0</w:t>
            </w:r>
          </w:p>
        </w:tc>
        <w:tc>
          <w:tcPr>
            <w:tcW w:w="833" w:type="pct"/>
            <w:tcBorders>
              <w:left w:val="single" w:color="auto" w:sz="2" w:space="0"/>
              <w:right w:val="single" w:color="auto" w:sz="2" w:space="0"/>
            </w:tcBorders>
            <w:noWrap/>
            <w:vAlign w:val="center"/>
          </w:tcPr>
          <w:p w14:paraId="71A14A09">
            <w:pPr>
              <w:widowControl/>
              <w:jc w:val="center"/>
              <w:rPr>
                <w:kern w:val="0"/>
                <w:sz w:val="18"/>
                <w:szCs w:val="18"/>
              </w:rPr>
            </w:pPr>
            <w:r>
              <w:rPr>
                <w:kern w:val="0"/>
                <w:sz w:val="18"/>
                <w:szCs w:val="18"/>
              </w:rPr>
              <w:t>303.31</w:t>
            </w:r>
          </w:p>
        </w:tc>
        <w:tc>
          <w:tcPr>
            <w:tcW w:w="833" w:type="pct"/>
            <w:tcBorders>
              <w:left w:val="single" w:color="auto" w:sz="2" w:space="0"/>
            </w:tcBorders>
            <w:noWrap/>
            <w:vAlign w:val="center"/>
          </w:tcPr>
          <w:p w14:paraId="70D5D95D">
            <w:pPr>
              <w:widowControl/>
              <w:jc w:val="center"/>
              <w:rPr>
                <w:kern w:val="0"/>
                <w:sz w:val="18"/>
                <w:szCs w:val="18"/>
              </w:rPr>
            </w:pPr>
            <w:r>
              <w:rPr>
                <w:kern w:val="0"/>
                <w:sz w:val="18"/>
                <w:szCs w:val="18"/>
              </w:rPr>
              <w:t>2741.8</w:t>
            </w:r>
          </w:p>
        </w:tc>
      </w:tr>
      <w:tr w14:paraId="280175B2">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52FEE1AE">
            <w:pPr>
              <w:widowControl/>
              <w:jc w:val="center"/>
              <w:rPr>
                <w:kern w:val="0"/>
                <w:sz w:val="18"/>
                <w:szCs w:val="18"/>
              </w:rPr>
            </w:pPr>
            <w:r>
              <w:rPr>
                <w:kern w:val="0"/>
                <w:sz w:val="18"/>
                <w:szCs w:val="18"/>
              </w:rPr>
              <w:t>0.160</w:t>
            </w:r>
          </w:p>
        </w:tc>
        <w:tc>
          <w:tcPr>
            <w:tcW w:w="833" w:type="pct"/>
            <w:tcBorders>
              <w:left w:val="single" w:color="auto" w:sz="2" w:space="0"/>
              <w:right w:val="single" w:color="auto" w:sz="2" w:space="0"/>
            </w:tcBorders>
            <w:noWrap/>
            <w:vAlign w:val="center"/>
          </w:tcPr>
          <w:p w14:paraId="1F1233BF">
            <w:pPr>
              <w:widowControl/>
              <w:jc w:val="center"/>
              <w:rPr>
                <w:kern w:val="0"/>
                <w:sz w:val="18"/>
                <w:szCs w:val="18"/>
              </w:rPr>
            </w:pPr>
            <w:r>
              <w:rPr>
                <w:kern w:val="0"/>
                <w:sz w:val="18"/>
                <w:szCs w:val="18"/>
              </w:rPr>
              <w:t>113.32</w:t>
            </w:r>
          </w:p>
        </w:tc>
        <w:tc>
          <w:tcPr>
            <w:tcW w:w="833" w:type="pct"/>
            <w:tcBorders>
              <w:left w:val="single" w:color="auto" w:sz="2" w:space="0"/>
              <w:right w:val="double" w:color="auto" w:sz="4" w:space="0"/>
            </w:tcBorders>
            <w:noWrap/>
            <w:vAlign w:val="center"/>
          </w:tcPr>
          <w:p w14:paraId="1CA3CE21">
            <w:pPr>
              <w:widowControl/>
              <w:jc w:val="center"/>
              <w:rPr>
                <w:kern w:val="0"/>
                <w:sz w:val="18"/>
                <w:szCs w:val="18"/>
              </w:rPr>
            </w:pPr>
            <w:r>
              <w:rPr>
                <w:kern w:val="0"/>
                <w:sz w:val="18"/>
                <w:szCs w:val="18"/>
              </w:rPr>
              <w:t>2696.8</w:t>
            </w:r>
          </w:p>
        </w:tc>
        <w:tc>
          <w:tcPr>
            <w:tcW w:w="833" w:type="pct"/>
            <w:tcBorders>
              <w:left w:val="double" w:color="auto" w:sz="4" w:space="0"/>
              <w:right w:val="single" w:color="auto" w:sz="2" w:space="0"/>
            </w:tcBorders>
            <w:vAlign w:val="center"/>
          </w:tcPr>
          <w:p w14:paraId="191A1319">
            <w:pPr>
              <w:jc w:val="center"/>
              <w:rPr>
                <w:kern w:val="0"/>
                <w:sz w:val="18"/>
                <w:szCs w:val="18"/>
              </w:rPr>
            </w:pPr>
            <w:r>
              <w:rPr>
                <w:kern w:val="0"/>
                <w:sz w:val="18"/>
                <w:szCs w:val="18"/>
              </w:rPr>
              <w:t>10.0</w:t>
            </w:r>
          </w:p>
        </w:tc>
        <w:tc>
          <w:tcPr>
            <w:tcW w:w="833" w:type="pct"/>
            <w:tcBorders>
              <w:left w:val="single" w:color="auto" w:sz="2" w:space="0"/>
              <w:right w:val="single" w:color="auto" w:sz="2" w:space="0"/>
            </w:tcBorders>
            <w:noWrap/>
            <w:vAlign w:val="center"/>
          </w:tcPr>
          <w:p w14:paraId="14B55A5C">
            <w:pPr>
              <w:widowControl/>
              <w:jc w:val="center"/>
              <w:rPr>
                <w:kern w:val="0"/>
                <w:sz w:val="18"/>
                <w:szCs w:val="18"/>
              </w:rPr>
            </w:pPr>
            <w:r>
              <w:rPr>
                <w:kern w:val="0"/>
                <w:sz w:val="18"/>
                <w:szCs w:val="18"/>
              </w:rPr>
              <w:t>310.96</w:t>
            </w:r>
          </w:p>
        </w:tc>
        <w:tc>
          <w:tcPr>
            <w:tcW w:w="833" w:type="pct"/>
            <w:tcBorders>
              <w:left w:val="single" w:color="auto" w:sz="2" w:space="0"/>
            </w:tcBorders>
            <w:noWrap/>
            <w:vAlign w:val="center"/>
          </w:tcPr>
          <w:p w14:paraId="29149239">
            <w:pPr>
              <w:widowControl/>
              <w:jc w:val="center"/>
              <w:rPr>
                <w:kern w:val="0"/>
                <w:sz w:val="18"/>
                <w:szCs w:val="18"/>
              </w:rPr>
            </w:pPr>
            <w:r>
              <w:rPr>
                <w:kern w:val="0"/>
                <w:sz w:val="18"/>
                <w:szCs w:val="18"/>
              </w:rPr>
              <w:t>2724.4</w:t>
            </w:r>
          </w:p>
        </w:tc>
      </w:tr>
      <w:tr w14:paraId="232D478A">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C718B25">
            <w:pPr>
              <w:widowControl/>
              <w:jc w:val="center"/>
              <w:rPr>
                <w:kern w:val="0"/>
                <w:sz w:val="18"/>
                <w:szCs w:val="18"/>
              </w:rPr>
            </w:pPr>
            <w:r>
              <w:rPr>
                <w:kern w:val="0"/>
                <w:sz w:val="18"/>
                <w:szCs w:val="18"/>
              </w:rPr>
              <w:t>0.180</w:t>
            </w:r>
          </w:p>
        </w:tc>
        <w:tc>
          <w:tcPr>
            <w:tcW w:w="833" w:type="pct"/>
            <w:tcBorders>
              <w:left w:val="single" w:color="auto" w:sz="2" w:space="0"/>
              <w:right w:val="single" w:color="auto" w:sz="2" w:space="0"/>
            </w:tcBorders>
            <w:noWrap/>
            <w:vAlign w:val="center"/>
          </w:tcPr>
          <w:p w14:paraId="2264461D">
            <w:pPr>
              <w:widowControl/>
              <w:jc w:val="center"/>
              <w:rPr>
                <w:kern w:val="0"/>
                <w:sz w:val="18"/>
                <w:szCs w:val="18"/>
              </w:rPr>
            </w:pPr>
            <w:r>
              <w:rPr>
                <w:kern w:val="0"/>
                <w:sz w:val="18"/>
                <w:szCs w:val="18"/>
              </w:rPr>
              <w:t>116.93</w:t>
            </w:r>
          </w:p>
        </w:tc>
        <w:tc>
          <w:tcPr>
            <w:tcW w:w="833" w:type="pct"/>
            <w:tcBorders>
              <w:left w:val="single" w:color="auto" w:sz="2" w:space="0"/>
              <w:right w:val="double" w:color="auto" w:sz="4" w:space="0"/>
            </w:tcBorders>
            <w:noWrap/>
            <w:vAlign w:val="center"/>
          </w:tcPr>
          <w:p w14:paraId="06083040">
            <w:pPr>
              <w:widowControl/>
              <w:jc w:val="center"/>
              <w:rPr>
                <w:kern w:val="0"/>
                <w:sz w:val="18"/>
                <w:szCs w:val="18"/>
              </w:rPr>
            </w:pPr>
            <w:r>
              <w:rPr>
                <w:kern w:val="0"/>
                <w:sz w:val="18"/>
                <w:szCs w:val="18"/>
              </w:rPr>
              <w:t>2702.1</w:t>
            </w:r>
          </w:p>
        </w:tc>
        <w:tc>
          <w:tcPr>
            <w:tcW w:w="833" w:type="pct"/>
            <w:tcBorders>
              <w:left w:val="double" w:color="auto" w:sz="4" w:space="0"/>
              <w:right w:val="single" w:color="auto" w:sz="2" w:space="0"/>
            </w:tcBorders>
            <w:vAlign w:val="center"/>
          </w:tcPr>
          <w:p w14:paraId="4B8A2100">
            <w:pPr>
              <w:jc w:val="center"/>
              <w:rPr>
                <w:kern w:val="0"/>
                <w:sz w:val="18"/>
                <w:szCs w:val="18"/>
              </w:rPr>
            </w:pPr>
            <w:r>
              <w:rPr>
                <w:kern w:val="0"/>
                <w:sz w:val="18"/>
                <w:szCs w:val="18"/>
              </w:rPr>
              <w:t>11.0</w:t>
            </w:r>
          </w:p>
        </w:tc>
        <w:tc>
          <w:tcPr>
            <w:tcW w:w="833" w:type="pct"/>
            <w:tcBorders>
              <w:left w:val="single" w:color="auto" w:sz="2" w:space="0"/>
              <w:right w:val="single" w:color="auto" w:sz="2" w:space="0"/>
            </w:tcBorders>
            <w:noWrap/>
            <w:vAlign w:val="center"/>
          </w:tcPr>
          <w:p w14:paraId="3F80E2DE">
            <w:pPr>
              <w:widowControl/>
              <w:jc w:val="center"/>
              <w:rPr>
                <w:kern w:val="0"/>
                <w:sz w:val="18"/>
                <w:szCs w:val="18"/>
              </w:rPr>
            </w:pPr>
            <w:r>
              <w:rPr>
                <w:kern w:val="0"/>
                <w:sz w:val="18"/>
                <w:szCs w:val="18"/>
              </w:rPr>
              <w:t>318.04</w:t>
            </w:r>
          </w:p>
        </w:tc>
        <w:tc>
          <w:tcPr>
            <w:tcW w:w="833" w:type="pct"/>
            <w:tcBorders>
              <w:left w:val="single" w:color="auto" w:sz="2" w:space="0"/>
            </w:tcBorders>
            <w:noWrap/>
            <w:vAlign w:val="center"/>
          </w:tcPr>
          <w:p w14:paraId="7DD16F5D">
            <w:pPr>
              <w:widowControl/>
              <w:jc w:val="center"/>
              <w:rPr>
                <w:kern w:val="0"/>
                <w:sz w:val="18"/>
                <w:szCs w:val="18"/>
              </w:rPr>
            </w:pPr>
            <w:r>
              <w:rPr>
                <w:kern w:val="0"/>
                <w:sz w:val="18"/>
                <w:szCs w:val="18"/>
              </w:rPr>
              <w:t>2705.4</w:t>
            </w:r>
          </w:p>
        </w:tc>
      </w:tr>
      <w:tr w14:paraId="13C4C15D">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78F66FA">
            <w:pPr>
              <w:widowControl/>
              <w:jc w:val="center"/>
              <w:rPr>
                <w:kern w:val="0"/>
                <w:sz w:val="18"/>
                <w:szCs w:val="18"/>
              </w:rPr>
            </w:pPr>
            <w:r>
              <w:rPr>
                <w:kern w:val="0"/>
                <w:sz w:val="18"/>
                <w:szCs w:val="18"/>
              </w:rPr>
              <w:t>0.200</w:t>
            </w:r>
          </w:p>
        </w:tc>
        <w:tc>
          <w:tcPr>
            <w:tcW w:w="833" w:type="pct"/>
            <w:tcBorders>
              <w:left w:val="single" w:color="auto" w:sz="2" w:space="0"/>
              <w:right w:val="single" w:color="auto" w:sz="2" w:space="0"/>
            </w:tcBorders>
            <w:noWrap/>
            <w:vAlign w:val="center"/>
          </w:tcPr>
          <w:p w14:paraId="0DBAED4D">
            <w:pPr>
              <w:widowControl/>
              <w:jc w:val="center"/>
              <w:rPr>
                <w:kern w:val="0"/>
                <w:sz w:val="18"/>
                <w:szCs w:val="18"/>
              </w:rPr>
            </w:pPr>
            <w:r>
              <w:rPr>
                <w:kern w:val="0"/>
                <w:sz w:val="18"/>
                <w:szCs w:val="18"/>
              </w:rPr>
              <w:t>120.23</w:t>
            </w:r>
          </w:p>
        </w:tc>
        <w:tc>
          <w:tcPr>
            <w:tcW w:w="833" w:type="pct"/>
            <w:tcBorders>
              <w:left w:val="single" w:color="auto" w:sz="2" w:space="0"/>
              <w:right w:val="double" w:color="auto" w:sz="4" w:space="0"/>
            </w:tcBorders>
            <w:noWrap/>
            <w:vAlign w:val="center"/>
          </w:tcPr>
          <w:p w14:paraId="6CFAA239">
            <w:pPr>
              <w:widowControl/>
              <w:jc w:val="center"/>
              <w:rPr>
                <w:kern w:val="0"/>
                <w:sz w:val="18"/>
                <w:szCs w:val="18"/>
              </w:rPr>
            </w:pPr>
            <w:r>
              <w:rPr>
                <w:kern w:val="0"/>
                <w:sz w:val="18"/>
                <w:szCs w:val="18"/>
              </w:rPr>
              <w:t>2706.9</w:t>
            </w:r>
          </w:p>
        </w:tc>
        <w:tc>
          <w:tcPr>
            <w:tcW w:w="833" w:type="pct"/>
            <w:tcBorders>
              <w:left w:val="double" w:color="auto" w:sz="4" w:space="0"/>
              <w:right w:val="single" w:color="auto" w:sz="2" w:space="0"/>
            </w:tcBorders>
            <w:vAlign w:val="center"/>
          </w:tcPr>
          <w:p w14:paraId="3AE621C1">
            <w:pPr>
              <w:jc w:val="center"/>
              <w:rPr>
                <w:kern w:val="0"/>
                <w:sz w:val="18"/>
                <w:szCs w:val="18"/>
              </w:rPr>
            </w:pPr>
            <w:r>
              <w:rPr>
                <w:kern w:val="0"/>
                <w:sz w:val="18"/>
                <w:szCs w:val="18"/>
              </w:rPr>
              <w:t>12.0</w:t>
            </w:r>
          </w:p>
        </w:tc>
        <w:tc>
          <w:tcPr>
            <w:tcW w:w="833" w:type="pct"/>
            <w:tcBorders>
              <w:left w:val="single" w:color="auto" w:sz="2" w:space="0"/>
              <w:right w:val="single" w:color="auto" w:sz="2" w:space="0"/>
            </w:tcBorders>
            <w:noWrap/>
            <w:vAlign w:val="center"/>
          </w:tcPr>
          <w:p w14:paraId="4C9C493D">
            <w:pPr>
              <w:widowControl/>
              <w:jc w:val="center"/>
              <w:rPr>
                <w:kern w:val="0"/>
                <w:sz w:val="18"/>
                <w:szCs w:val="18"/>
              </w:rPr>
            </w:pPr>
            <w:r>
              <w:rPr>
                <w:kern w:val="0"/>
                <w:sz w:val="18"/>
                <w:szCs w:val="18"/>
              </w:rPr>
              <w:t>324.64</w:t>
            </w:r>
          </w:p>
        </w:tc>
        <w:tc>
          <w:tcPr>
            <w:tcW w:w="833" w:type="pct"/>
            <w:tcBorders>
              <w:left w:val="single" w:color="auto" w:sz="2" w:space="0"/>
            </w:tcBorders>
            <w:noWrap/>
            <w:vAlign w:val="center"/>
          </w:tcPr>
          <w:p w14:paraId="5B49CDF6">
            <w:pPr>
              <w:widowControl/>
              <w:jc w:val="center"/>
              <w:rPr>
                <w:kern w:val="0"/>
                <w:sz w:val="18"/>
                <w:szCs w:val="18"/>
              </w:rPr>
            </w:pPr>
            <w:r>
              <w:rPr>
                <w:kern w:val="0"/>
                <w:sz w:val="18"/>
                <w:szCs w:val="18"/>
              </w:rPr>
              <w:t>2684.8</w:t>
            </w:r>
          </w:p>
        </w:tc>
      </w:tr>
      <w:tr w14:paraId="10C35AA5">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5BEEEB16">
            <w:pPr>
              <w:widowControl/>
              <w:jc w:val="center"/>
              <w:rPr>
                <w:kern w:val="0"/>
                <w:sz w:val="18"/>
                <w:szCs w:val="18"/>
              </w:rPr>
            </w:pPr>
            <w:r>
              <w:rPr>
                <w:kern w:val="0"/>
                <w:sz w:val="18"/>
                <w:szCs w:val="18"/>
              </w:rPr>
              <w:t>0.250</w:t>
            </w:r>
          </w:p>
        </w:tc>
        <w:tc>
          <w:tcPr>
            <w:tcW w:w="833" w:type="pct"/>
            <w:tcBorders>
              <w:left w:val="single" w:color="auto" w:sz="2" w:space="0"/>
              <w:right w:val="single" w:color="auto" w:sz="2" w:space="0"/>
            </w:tcBorders>
            <w:noWrap/>
            <w:vAlign w:val="center"/>
          </w:tcPr>
          <w:p w14:paraId="394C2EC2">
            <w:pPr>
              <w:widowControl/>
              <w:jc w:val="center"/>
              <w:rPr>
                <w:kern w:val="0"/>
                <w:sz w:val="18"/>
                <w:szCs w:val="18"/>
              </w:rPr>
            </w:pPr>
            <w:r>
              <w:rPr>
                <w:kern w:val="0"/>
                <w:sz w:val="18"/>
                <w:szCs w:val="18"/>
              </w:rPr>
              <w:t>127.43</w:t>
            </w:r>
          </w:p>
        </w:tc>
        <w:tc>
          <w:tcPr>
            <w:tcW w:w="833" w:type="pct"/>
            <w:tcBorders>
              <w:left w:val="single" w:color="auto" w:sz="2" w:space="0"/>
              <w:right w:val="double" w:color="auto" w:sz="4" w:space="0"/>
            </w:tcBorders>
            <w:noWrap/>
            <w:vAlign w:val="center"/>
          </w:tcPr>
          <w:p w14:paraId="1243C8D2">
            <w:pPr>
              <w:widowControl/>
              <w:jc w:val="center"/>
              <w:rPr>
                <w:kern w:val="0"/>
                <w:sz w:val="18"/>
                <w:szCs w:val="18"/>
              </w:rPr>
            </w:pPr>
            <w:r>
              <w:rPr>
                <w:kern w:val="0"/>
                <w:sz w:val="18"/>
                <w:szCs w:val="18"/>
              </w:rPr>
              <w:t>2717.2</w:t>
            </w:r>
          </w:p>
        </w:tc>
        <w:tc>
          <w:tcPr>
            <w:tcW w:w="833" w:type="pct"/>
            <w:tcBorders>
              <w:left w:val="double" w:color="auto" w:sz="4" w:space="0"/>
              <w:right w:val="single" w:color="auto" w:sz="2" w:space="0"/>
            </w:tcBorders>
            <w:vAlign w:val="center"/>
          </w:tcPr>
          <w:p w14:paraId="18FFFC43">
            <w:pPr>
              <w:jc w:val="center"/>
              <w:rPr>
                <w:kern w:val="0"/>
                <w:sz w:val="18"/>
                <w:szCs w:val="18"/>
              </w:rPr>
            </w:pPr>
            <w:r>
              <w:rPr>
                <w:kern w:val="0"/>
                <w:sz w:val="18"/>
                <w:szCs w:val="18"/>
              </w:rPr>
              <w:t>13.0</w:t>
            </w:r>
          </w:p>
        </w:tc>
        <w:tc>
          <w:tcPr>
            <w:tcW w:w="833" w:type="pct"/>
            <w:tcBorders>
              <w:left w:val="single" w:color="auto" w:sz="2" w:space="0"/>
              <w:right w:val="single" w:color="auto" w:sz="2" w:space="0"/>
            </w:tcBorders>
            <w:noWrap/>
            <w:vAlign w:val="center"/>
          </w:tcPr>
          <w:p w14:paraId="62F78EC0">
            <w:pPr>
              <w:widowControl/>
              <w:jc w:val="center"/>
              <w:rPr>
                <w:kern w:val="0"/>
                <w:sz w:val="18"/>
                <w:szCs w:val="18"/>
              </w:rPr>
            </w:pPr>
            <w:r>
              <w:rPr>
                <w:kern w:val="0"/>
                <w:sz w:val="18"/>
                <w:szCs w:val="18"/>
              </w:rPr>
              <w:t>330.81</w:t>
            </w:r>
          </w:p>
        </w:tc>
        <w:tc>
          <w:tcPr>
            <w:tcW w:w="833" w:type="pct"/>
            <w:tcBorders>
              <w:left w:val="single" w:color="auto" w:sz="2" w:space="0"/>
            </w:tcBorders>
            <w:noWrap/>
            <w:vAlign w:val="center"/>
          </w:tcPr>
          <w:p w14:paraId="6E8F6C47">
            <w:pPr>
              <w:widowControl/>
              <w:jc w:val="center"/>
              <w:rPr>
                <w:kern w:val="0"/>
                <w:sz w:val="18"/>
                <w:szCs w:val="18"/>
              </w:rPr>
            </w:pPr>
            <w:r>
              <w:rPr>
                <w:kern w:val="0"/>
                <w:sz w:val="18"/>
                <w:szCs w:val="18"/>
              </w:rPr>
              <w:t>2662.4</w:t>
            </w:r>
          </w:p>
        </w:tc>
      </w:tr>
      <w:tr w14:paraId="184A4507">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7DB2E41F">
            <w:pPr>
              <w:widowControl/>
              <w:jc w:val="center"/>
              <w:rPr>
                <w:kern w:val="0"/>
                <w:sz w:val="18"/>
                <w:szCs w:val="18"/>
              </w:rPr>
            </w:pPr>
            <w:r>
              <w:rPr>
                <w:kern w:val="0"/>
                <w:sz w:val="18"/>
                <w:szCs w:val="18"/>
              </w:rPr>
              <w:t>0.300</w:t>
            </w:r>
          </w:p>
        </w:tc>
        <w:tc>
          <w:tcPr>
            <w:tcW w:w="833" w:type="pct"/>
            <w:tcBorders>
              <w:left w:val="single" w:color="auto" w:sz="2" w:space="0"/>
              <w:right w:val="single" w:color="auto" w:sz="2" w:space="0"/>
            </w:tcBorders>
            <w:noWrap/>
            <w:vAlign w:val="center"/>
          </w:tcPr>
          <w:p w14:paraId="10CBDE90">
            <w:pPr>
              <w:widowControl/>
              <w:jc w:val="center"/>
              <w:rPr>
                <w:kern w:val="0"/>
                <w:sz w:val="18"/>
                <w:szCs w:val="18"/>
              </w:rPr>
            </w:pPr>
            <w:r>
              <w:rPr>
                <w:kern w:val="0"/>
                <w:sz w:val="18"/>
                <w:szCs w:val="18"/>
              </w:rPr>
              <w:t>133.54</w:t>
            </w:r>
          </w:p>
        </w:tc>
        <w:tc>
          <w:tcPr>
            <w:tcW w:w="833" w:type="pct"/>
            <w:tcBorders>
              <w:left w:val="single" w:color="auto" w:sz="2" w:space="0"/>
              <w:right w:val="double" w:color="auto" w:sz="4" w:space="0"/>
            </w:tcBorders>
            <w:noWrap/>
            <w:vAlign w:val="center"/>
          </w:tcPr>
          <w:p w14:paraId="6AB421E4">
            <w:pPr>
              <w:widowControl/>
              <w:jc w:val="center"/>
              <w:rPr>
                <w:kern w:val="0"/>
                <w:sz w:val="18"/>
                <w:szCs w:val="18"/>
              </w:rPr>
            </w:pPr>
            <w:r>
              <w:rPr>
                <w:kern w:val="0"/>
                <w:sz w:val="18"/>
                <w:szCs w:val="18"/>
              </w:rPr>
              <w:t>2725.5</w:t>
            </w:r>
          </w:p>
        </w:tc>
        <w:tc>
          <w:tcPr>
            <w:tcW w:w="833" w:type="pct"/>
            <w:tcBorders>
              <w:left w:val="double" w:color="auto" w:sz="4" w:space="0"/>
              <w:right w:val="single" w:color="auto" w:sz="2" w:space="0"/>
            </w:tcBorders>
            <w:vAlign w:val="center"/>
          </w:tcPr>
          <w:p w14:paraId="16196F7F">
            <w:pPr>
              <w:jc w:val="center"/>
              <w:rPr>
                <w:kern w:val="0"/>
                <w:sz w:val="18"/>
                <w:szCs w:val="18"/>
              </w:rPr>
            </w:pPr>
            <w:r>
              <w:rPr>
                <w:kern w:val="0"/>
                <w:sz w:val="18"/>
                <w:szCs w:val="18"/>
              </w:rPr>
              <w:t>14.0</w:t>
            </w:r>
          </w:p>
        </w:tc>
        <w:tc>
          <w:tcPr>
            <w:tcW w:w="833" w:type="pct"/>
            <w:tcBorders>
              <w:left w:val="single" w:color="auto" w:sz="2" w:space="0"/>
              <w:right w:val="single" w:color="auto" w:sz="2" w:space="0"/>
            </w:tcBorders>
            <w:noWrap/>
            <w:vAlign w:val="center"/>
          </w:tcPr>
          <w:p w14:paraId="2D85FE78">
            <w:pPr>
              <w:widowControl/>
              <w:jc w:val="center"/>
              <w:rPr>
                <w:kern w:val="0"/>
                <w:sz w:val="18"/>
                <w:szCs w:val="18"/>
              </w:rPr>
            </w:pPr>
            <w:r>
              <w:rPr>
                <w:kern w:val="0"/>
                <w:sz w:val="18"/>
                <w:szCs w:val="18"/>
              </w:rPr>
              <w:t>336.63</w:t>
            </w:r>
          </w:p>
        </w:tc>
        <w:tc>
          <w:tcPr>
            <w:tcW w:w="833" w:type="pct"/>
            <w:tcBorders>
              <w:left w:val="single" w:color="auto" w:sz="2" w:space="0"/>
            </w:tcBorders>
            <w:noWrap/>
            <w:vAlign w:val="center"/>
          </w:tcPr>
          <w:p w14:paraId="5A14E722">
            <w:pPr>
              <w:widowControl/>
              <w:jc w:val="center"/>
              <w:rPr>
                <w:kern w:val="0"/>
                <w:sz w:val="18"/>
                <w:szCs w:val="18"/>
              </w:rPr>
            </w:pPr>
            <w:r>
              <w:rPr>
                <w:kern w:val="0"/>
                <w:sz w:val="18"/>
                <w:szCs w:val="18"/>
              </w:rPr>
              <w:t>2638.3</w:t>
            </w:r>
          </w:p>
        </w:tc>
      </w:tr>
      <w:tr w14:paraId="1460E313">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08A9CD18">
            <w:pPr>
              <w:widowControl/>
              <w:jc w:val="center"/>
              <w:rPr>
                <w:kern w:val="0"/>
                <w:sz w:val="18"/>
                <w:szCs w:val="18"/>
              </w:rPr>
            </w:pPr>
            <w:r>
              <w:rPr>
                <w:kern w:val="0"/>
                <w:sz w:val="18"/>
                <w:szCs w:val="18"/>
              </w:rPr>
              <w:t>0.350</w:t>
            </w:r>
          </w:p>
        </w:tc>
        <w:tc>
          <w:tcPr>
            <w:tcW w:w="833" w:type="pct"/>
            <w:tcBorders>
              <w:left w:val="single" w:color="auto" w:sz="2" w:space="0"/>
              <w:right w:val="single" w:color="auto" w:sz="2" w:space="0"/>
            </w:tcBorders>
            <w:noWrap/>
            <w:vAlign w:val="center"/>
          </w:tcPr>
          <w:p w14:paraId="1D763AE1">
            <w:pPr>
              <w:widowControl/>
              <w:jc w:val="center"/>
              <w:rPr>
                <w:kern w:val="0"/>
                <w:sz w:val="18"/>
                <w:szCs w:val="18"/>
              </w:rPr>
            </w:pPr>
            <w:r>
              <w:rPr>
                <w:kern w:val="0"/>
                <w:sz w:val="18"/>
                <w:szCs w:val="18"/>
              </w:rPr>
              <w:t>138.88</w:t>
            </w:r>
          </w:p>
        </w:tc>
        <w:tc>
          <w:tcPr>
            <w:tcW w:w="833" w:type="pct"/>
            <w:tcBorders>
              <w:left w:val="single" w:color="auto" w:sz="2" w:space="0"/>
              <w:right w:val="double" w:color="auto" w:sz="4" w:space="0"/>
            </w:tcBorders>
            <w:noWrap/>
            <w:vAlign w:val="center"/>
          </w:tcPr>
          <w:p w14:paraId="03439BB3">
            <w:pPr>
              <w:widowControl/>
              <w:jc w:val="center"/>
              <w:rPr>
                <w:kern w:val="0"/>
                <w:sz w:val="18"/>
                <w:szCs w:val="18"/>
              </w:rPr>
            </w:pPr>
            <w:r>
              <w:rPr>
                <w:kern w:val="0"/>
                <w:sz w:val="18"/>
                <w:szCs w:val="18"/>
              </w:rPr>
              <w:t>2732.5</w:t>
            </w:r>
          </w:p>
        </w:tc>
        <w:tc>
          <w:tcPr>
            <w:tcW w:w="833" w:type="pct"/>
            <w:tcBorders>
              <w:left w:val="double" w:color="auto" w:sz="4" w:space="0"/>
              <w:right w:val="single" w:color="auto" w:sz="2" w:space="0"/>
            </w:tcBorders>
            <w:vAlign w:val="center"/>
          </w:tcPr>
          <w:p w14:paraId="3380A4C9">
            <w:pPr>
              <w:jc w:val="center"/>
              <w:rPr>
                <w:kern w:val="0"/>
                <w:sz w:val="18"/>
                <w:szCs w:val="18"/>
              </w:rPr>
            </w:pPr>
            <w:r>
              <w:rPr>
                <w:kern w:val="0"/>
                <w:sz w:val="18"/>
                <w:szCs w:val="18"/>
              </w:rPr>
              <w:t>15.0</w:t>
            </w:r>
          </w:p>
        </w:tc>
        <w:tc>
          <w:tcPr>
            <w:tcW w:w="833" w:type="pct"/>
            <w:tcBorders>
              <w:left w:val="single" w:color="auto" w:sz="2" w:space="0"/>
              <w:right w:val="single" w:color="auto" w:sz="2" w:space="0"/>
            </w:tcBorders>
            <w:noWrap/>
            <w:vAlign w:val="center"/>
          </w:tcPr>
          <w:p w14:paraId="22FFA2DC">
            <w:pPr>
              <w:widowControl/>
              <w:jc w:val="center"/>
              <w:rPr>
                <w:kern w:val="0"/>
                <w:sz w:val="18"/>
                <w:szCs w:val="18"/>
              </w:rPr>
            </w:pPr>
            <w:r>
              <w:rPr>
                <w:kern w:val="0"/>
                <w:sz w:val="18"/>
                <w:szCs w:val="18"/>
              </w:rPr>
              <w:t>342.12</w:t>
            </w:r>
          </w:p>
        </w:tc>
        <w:tc>
          <w:tcPr>
            <w:tcW w:w="833" w:type="pct"/>
            <w:tcBorders>
              <w:left w:val="single" w:color="auto" w:sz="2" w:space="0"/>
            </w:tcBorders>
            <w:noWrap/>
            <w:vAlign w:val="center"/>
          </w:tcPr>
          <w:p w14:paraId="7C1AEC16">
            <w:pPr>
              <w:widowControl/>
              <w:jc w:val="center"/>
              <w:rPr>
                <w:kern w:val="0"/>
                <w:sz w:val="18"/>
                <w:szCs w:val="18"/>
              </w:rPr>
            </w:pPr>
            <w:r>
              <w:rPr>
                <w:kern w:val="0"/>
                <w:sz w:val="18"/>
                <w:szCs w:val="18"/>
              </w:rPr>
              <w:t>2611.6</w:t>
            </w:r>
          </w:p>
        </w:tc>
      </w:tr>
      <w:tr w14:paraId="7AE3E7C9">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13930139">
            <w:pPr>
              <w:widowControl/>
              <w:jc w:val="center"/>
              <w:rPr>
                <w:kern w:val="0"/>
                <w:sz w:val="18"/>
                <w:szCs w:val="18"/>
              </w:rPr>
            </w:pPr>
            <w:r>
              <w:rPr>
                <w:kern w:val="0"/>
                <w:sz w:val="18"/>
                <w:szCs w:val="18"/>
              </w:rPr>
              <w:t>0.400</w:t>
            </w:r>
          </w:p>
        </w:tc>
        <w:tc>
          <w:tcPr>
            <w:tcW w:w="833" w:type="pct"/>
            <w:tcBorders>
              <w:left w:val="single" w:color="auto" w:sz="2" w:space="0"/>
              <w:right w:val="single" w:color="auto" w:sz="2" w:space="0"/>
            </w:tcBorders>
            <w:noWrap/>
            <w:vAlign w:val="center"/>
          </w:tcPr>
          <w:p w14:paraId="5B42EBF7">
            <w:pPr>
              <w:widowControl/>
              <w:jc w:val="center"/>
              <w:rPr>
                <w:kern w:val="0"/>
                <w:sz w:val="18"/>
                <w:szCs w:val="18"/>
              </w:rPr>
            </w:pPr>
            <w:r>
              <w:rPr>
                <w:kern w:val="0"/>
                <w:sz w:val="18"/>
                <w:szCs w:val="18"/>
              </w:rPr>
              <w:t>143.62</w:t>
            </w:r>
          </w:p>
        </w:tc>
        <w:tc>
          <w:tcPr>
            <w:tcW w:w="833" w:type="pct"/>
            <w:tcBorders>
              <w:left w:val="single" w:color="auto" w:sz="2" w:space="0"/>
              <w:right w:val="double" w:color="auto" w:sz="4" w:space="0"/>
            </w:tcBorders>
            <w:noWrap/>
            <w:vAlign w:val="center"/>
          </w:tcPr>
          <w:p w14:paraId="34708D22">
            <w:pPr>
              <w:widowControl/>
              <w:jc w:val="center"/>
              <w:rPr>
                <w:kern w:val="0"/>
                <w:sz w:val="18"/>
                <w:szCs w:val="18"/>
              </w:rPr>
            </w:pPr>
            <w:r>
              <w:rPr>
                <w:kern w:val="0"/>
                <w:sz w:val="18"/>
                <w:szCs w:val="18"/>
              </w:rPr>
              <w:t>2738.5</w:t>
            </w:r>
          </w:p>
        </w:tc>
        <w:tc>
          <w:tcPr>
            <w:tcW w:w="833" w:type="pct"/>
            <w:tcBorders>
              <w:left w:val="double" w:color="auto" w:sz="4" w:space="0"/>
              <w:right w:val="single" w:color="auto" w:sz="2" w:space="0"/>
            </w:tcBorders>
            <w:vAlign w:val="center"/>
          </w:tcPr>
          <w:p w14:paraId="626015FC">
            <w:pPr>
              <w:jc w:val="center"/>
              <w:rPr>
                <w:kern w:val="0"/>
                <w:sz w:val="18"/>
                <w:szCs w:val="18"/>
              </w:rPr>
            </w:pPr>
            <w:r>
              <w:rPr>
                <w:kern w:val="0"/>
                <w:sz w:val="18"/>
                <w:szCs w:val="18"/>
              </w:rPr>
              <w:t>16.0</w:t>
            </w:r>
          </w:p>
        </w:tc>
        <w:tc>
          <w:tcPr>
            <w:tcW w:w="833" w:type="pct"/>
            <w:tcBorders>
              <w:left w:val="single" w:color="auto" w:sz="2" w:space="0"/>
              <w:right w:val="single" w:color="auto" w:sz="2" w:space="0"/>
            </w:tcBorders>
            <w:noWrap/>
            <w:vAlign w:val="center"/>
          </w:tcPr>
          <w:p w14:paraId="47858780">
            <w:pPr>
              <w:widowControl/>
              <w:jc w:val="center"/>
              <w:rPr>
                <w:kern w:val="0"/>
                <w:sz w:val="18"/>
                <w:szCs w:val="18"/>
              </w:rPr>
            </w:pPr>
            <w:r>
              <w:rPr>
                <w:kern w:val="0"/>
                <w:sz w:val="18"/>
                <w:szCs w:val="18"/>
              </w:rPr>
              <w:t>347.32</w:t>
            </w:r>
          </w:p>
        </w:tc>
        <w:tc>
          <w:tcPr>
            <w:tcW w:w="833" w:type="pct"/>
            <w:tcBorders>
              <w:left w:val="single" w:color="auto" w:sz="2" w:space="0"/>
            </w:tcBorders>
            <w:noWrap/>
            <w:vAlign w:val="center"/>
          </w:tcPr>
          <w:p w14:paraId="5C7C7248">
            <w:pPr>
              <w:widowControl/>
              <w:jc w:val="center"/>
              <w:rPr>
                <w:kern w:val="0"/>
                <w:sz w:val="18"/>
                <w:szCs w:val="18"/>
              </w:rPr>
            </w:pPr>
            <w:r>
              <w:rPr>
                <w:kern w:val="0"/>
                <w:sz w:val="18"/>
                <w:szCs w:val="18"/>
              </w:rPr>
              <w:t>2582.7</w:t>
            </w:r>
          </w:p>
        </w:tc>
      </w:tr>
      <w:tr w14:paraId="09ACF506">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0D55DBDA">
            <w:pPr>
              <w:widowControl/>
              <w:jc w:val="center"/>
              <w:rPr>
                <w:kern w:val="0"/>
                <w:sz w:val="18"/>
                <w:szCs w:val="18"/>
              </w:rPr>
            </w:pPr>
            <w:r>
              <w:rPr>
                <w:kern w:val="0"/>
                <w:sz w:val="18"/>
                <w:szCs w:val="18"/>
              </w:rPr>
              <w:t>0.450</w:t>
            </w:r>
          </w:p>
        </w:tc>
        <w:tc>
          <w:tcPr>
            <w:tcW w:w="833" w:type="pct"/>
            <w:tcBorders>
              <w:left w:val="single" w:color="auto" w:sz="2" w:space="0"/>
              <w:right w:val="single" w:color="auto" w:sz="2" w:space="0"/>
            </w:tcBorders>
            <w:noWrap/>
            <w:vAlign w:val="center"/>
          </w:tcPr>
          <w:p w14:paraId="2FB99F08">
            <w:pPr>
              <w:widowControl/>
              <w:jc w:val="center"/>
              <w:rPr>
                <w:kern w:val="0"/>
                <w:sz w:val="18"/>
                <w:szCs w:val="18"/>
              </w:rPr>
            </w:pPr>
            <w:r>
              <w:rPr>
                <w:kern w:val="0"/>
                <w:sz w:val="18"/>
                <w:szCs w:val="18"/>
              </w:rPr>
              <w:t>147.92</w:t>
            </w:r>
          </w:p>
        </w:tc>
        <w:tc>
          <w:tcPr>
            <w:tcW w:w="833" w:type="pct"/>
            <w:tcBorders>
              <w:left w:val="single" w:color="auto" w:sz="2" w:space="0"/>
              <w:right w:val="double" w:color="auto" w:sz="4" w:space="0"/>
            </w:tcBorders>
            <w:noWrap/>
            <w:vAlign w:val="center"/>
          </w:tcPr>
          <w:p w14:paraId="452C35A4">
            <w:pPr>
              <w:widowControl/>
              <w:jc w:val="center"/>
              <w:rPr>
                <w:kern w:val="0"/>
                <w:sz w:val="18"/>
                <w:szCs w:val="18"/>
              </w:rPr>
            </w:pPr>
            <w:r>
              <w:rPr>
                <w:kern w:val="0"/>
                <w:sz w:val="18"/>
                <w:szCs w:val="18"/>
              </w:rPr>
              <w:t>2743.8</w:t>
            </w:r>
          </w:p>
        </w:tc>
        <w:tc>
          <w:tcPr>
            <w:tcW w:w="833" w:type="pct"/>
            <w:tcBorders>
              <w:left w:val="double" w:color="auto" w:sz="4" w:space="0"/>
              <w:right w:val="single" w:color="auto" w:sz="2" w:space="0"/>
            </w:tcBorders>
            <w:vAlign w:val="center"/>
          </w:tcPr>
          <w:p w14:paraId="7A7D4F83">
            <w:pPr>
              <w:jc w:val="center"/>
              <w:rPr>
                <w:kern w:val="0"/>
                <w:sz w:val="18"/>
                <w:szCs w:val="18"/>
              </w:rPr>
            </w:pPr>
            <w:r>
              <w:rPr>
                <w:kern w:val="0"/>
                <w:sz w:val="18"/>
                <w:szCs w:val="18"/>
              </w:rPr>
              <w:t>17.0</w:t>
            </w:r>
          </w:p>
        </w:tc>
        <w:tc>
          <w:tcPr>
            <w:tcW w:w="833" w:type="pct"/>
            <w:tcBorders>
              <w:left w:val="single" w:color="auto" w:sz="2" w:space="0"/>
              <w:right w:val="single" w:color="auto" w:sz="2" w:space="0"/>
            </w:tcBorders>
            <w:noWrap/>
            <w:vAlign w:val="center"/>
          </w:tcPr>
          <w:p w14:paraId="2FDEA559">
            <w:pPr>
              <w:widowControl/>
              <w:jc w:val="center"/>
              <w:rPr>
                <w:kern w:val="0"/>
                <w:sz w:val="18"/>
                <w:szCs w:val="18"/>
              </w:rPr>
            </w:pPr>
            <w:r>
              <w:rPr>
                <w:kern w:val="0"/>
                <w:sz w:val="18"/>
                <w:szCs w:val="18"/>
              </w:rPr>
              <w:t>352.26</w:t>
            </w:r>
          </w:p>
        </w:tc>
        <w:tc>
          <w:tcPr>
            <w:tcW w:w="833" w:type="pct"/>
            <w:tcBorders>
              <w:left w:val="single" w:color="auto" w:sz="2" w:space="0"/>
            </w:tcBorders>
            <w:noWrap/>
            <w:vAlign w:val="center"/>
          </w:tcPr>
          <w:p w14:paraId="4A9487C4">
            <w:pPr>
              <w:widowControl/>
              <w:jc w:val="center"/>
              <w:rPr>
                <w:kern w:val="0"/>
                <w:sz w:val="18"/>
                <w:szCs w:val="18"/>
              </w:rPr>
            </w:pPr>
            <w:r>
              <w:rPr>
                <w:kern w:val="0"/>
                <w:sz w:val="18"/>
                <w:szCs w:val="18"/>
              </w:rPr>
              <w:t>2550.8</w:t>
            </w:r>
          </w:p>
        </w:tc>
      </w:tr>
      <w:tr w14:paraId="09E7358C">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BFA1C28">
            <w:pPr>
              <w:widowControl/>
              <w:jc w:val="center"/>
              <w:rPr>
                <w:kern w:val="0"/>
                <w:sz w:val="18"/>
                <w:szCs w:val="18"/>
              </w:rPr>
            </w:pPr>
            <w:r>
              <w:rPr>
                <w:kern w:val="0"/>
                <w:sz w:val="18"/>
                <w:szCs w:val="18"/>
              </w:rPr>
              <w:t>0.500</w:t>
            </w:r>
          </w:p>
        </w:tc>
        <w:tc>
          <w:tcPr>
            <w:tcW w:w="833" w:type="pct"/>
            <w:tcBorders>
              <w:left w:val="single" w:color="auto" w:sz="2" w:space="0"/>
              <w:right w:val="single" w:color="auto" w:sz="2" w:space="0"/>
            </w:tcBorders>
            <w:noWrap/>
            <w:vAlign w:val="center"/>
          </w:tcPr>
          <w:p w14:paraId="6B68374D">
            <w:pPr>
              <w:widowControl/>
              <w:jc w:val="center"/>
              <w:rPr>
                <w:kern w:val="0"/>
                <w:sz w:val="18"/>
                <w:szCs w:val="18"/>
              </w:rPr>
            </w:pPr>
            <w:r>
              <w:rPr>
                <w:kern w:val="0"/>
                <w:sz w:val="18"/>
                <w:szCs w:val="18"/>
              </w:rPr>
              <w:t>151.85</w:t>
            </w:r>
          </w:p>
        </w:tc>
        <w:tc>
          <w:tcPr>
            <w:tcW w:w="833" w:type="pct"/>
            <w:tcBorders>
              <w:left w:val="single" w:color="auto" w:sz="2" w:space="0"/>
              <w:right w:val="double" w:color="auto" w:sz="4" w:space="0"/>
            </w:tcBorders>
            <w:noWrap/>
            <w:vAlign w:val="center"/>
          </w:tcPr>
          <w:p w14:paraId="57877C33">
            <w:pPr>
              <w:widowControl/>
              <w:jc w:val="center"/>
              <w:rPr>
                <w:kern w:val="0"/>
                <w:sz w:val="18"/>
                <w:szCs w:val="18"/>
              </w:rPr>
            </w:pPr>
            <w:r>
              <w:rPr>
                <w:kern w:val="0"/>
                <w:sz w:val="18"/>
                <w:szCs w:val="18"/>
              </w:rPr>
              <w:t>2748.5</w:t>
            </w:r>
          </w:p>
        </w:tc>
        <w:tc>
          <w:tcPr>
            <w:tcW w:w="833" w:type="pct"/>
            <w:tcBorders>
              <w:left w:val="double" w:color="auto" w:sz="4" w:space="0"/>
              <w:right w:val="single" w:color="auto" w:sz="2" w:space="0"/>
            </w:tcBorders>
            <w:vAlign w:val="center"/>
          </w:tcPr>
          <w:p w14:paraId="1AC405EB">
            <w:pPr>
              <w:jc w:val="center"/>
              <w:rPr>
                <w:kern w:val="0"/>
                <w:sz w:val="18"/>
                <w:szCs w:val="18"/>
              </w:rPr>
            </w:pPr>
            <w:r>
              <w:rPr>
                <w:kern w:val="0"/>
                <w:sz w:val="18"/>
                <w:szCs w:val="18"/>
              </w:rPr>
              <w:t>18.0</w:t>
            </w:r>
          </w:p>
        </w:tc>
        <w:tc>
          <w:tcPr>
            <w:tcW w:w="833" w:type="pct"/>
            <w:tcBorders>
              <w:left w:val="single" w:color="auto" w:sz="2" w:space="0"/>
              <w:right w:val="single" w:color="auto" w:sz="2" w:space="0"/>
            </w:tcBorders>
            <w:noWrap/>
            <w:vAlign w:val="center"/>
          </w:tcPr>
          <w:p w14:paraId="4F7201A9">
            <w:pPr>
              <w:widowControl/>
              <w:jc w:val="center"/>
              <w:rPr>
                <w:kern w:val="0"/>
                <w:sz w:val="18"/>
                <w:szCs w:val="18"/>
              </w:rPr>
            </w:pPr>
            <w:r>
              <w:rPr>
                <w:kern w:val="0"/>
                <w:sz w:val="18"/>
                <w:szCs w:val="18"/>
              </w:rPr>
              <w:t>356.96</w:t>
            </w:r>
          </w:p>
        </w:tc>
        <w:tc>
          <w:tcPr>
            <w:tcW w:w="833" w:type="pct"/>
            <w:tcBorders>
              <w:left w:val="single" w:color="auto" w:sz="2" w:space="0"/>
            </w:tcBorders>
            <w:noWrap/>
            <w:vAlign w:val="center"/>
          </w:tcPr>
          <w:p w14:paraId="657DCDB6">
            <w:pPr>
              <w:widowControl/>
              <w:jc w:val="center"/>
              <w:rPr>
                <w:kern w:val="0"/>
                <w:sz w:val="18"/>
                <w:szCs w:val="18"/>
              </w:rPr>
            </w:pPr>
            <w:r>
              <w:rPr>
                <w:kern w:val="0"/>
                <w:sz w:val="18"/>
                <w:szCs w:val="18"/>
              </w:rPr>
              <w:t>2514.4</w:t>
            </w:r>
          </w:p>
        </w:tc>
      </w:tr>
      <w:tr w14:paraId="1A3281A3">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6750837">
            <w:pPr>
              <w:widowControl/>
              <w:jc w:val="center"/>
              <w:rPr>
                <w:kern w:val="0"/>
                <w:sz w:val="18"/>
                <w:szCs w:val="18"/>
              </w:rPr>
            </w:pPr>
            <w:r>
              <w:rPr>
                <w:kern w:val="0"/>
                <w:sz w:val="18"/>
                <w:szCs w:val="18"/>
              </w:rPr>
              <w:t>0.600</w:t>
            </w:r>
          </w:p>
        </w:tc>
        <w:tc>
          <w:tcPr>
            <w:tcW w:w="833" w:type="pct"/>
            <w:tcBorders>
              <w:left w:val="single" w:color="auto" w:sz="2" w:space="0"/>
              <w:right w:val="single" w:color="auto" w:sz="2" w:space="0"/>
            </w:tcBorders>
            <w:noWrap/>
            <w:vAlign w:val="center"/>
          </w:tcPr>
          <w:p w14:paraId="4F98D4ED">
            <w:pPr>
              <w:widowControl/>
              <w:jc w:val="center"/>
              <w:rPr>
                <w:kern w:val="0"/>
                <w:sz w:val="18"/>
                <w:szCs w:val="18"/>
              </w:rPr>
            </w:pPr>
            <w:r>
              <w:rPr>
                <w:kern w:val="0"/>
                <w:sz w:val="18"/>
                <w:szCs w:val="18"/>
              </w:rPr>
              <w:t>158.84</w:t>
            </w:r>
          </w:p>
        </w:tc>
        <w:tc>
          <w:tcPr>
            <w:tcW w:w="833" w:type="pct"/>
            <w:tcBorders>
              <w:left w:val="single" w:color="auto" w:sz="2" w:space="0"/>
              <w:right w:val="double" w:color="auto" w:sz="4" w:space="0"/>
            </w:tcBorders>
            <w:noWrap/>
            <w:vAlign w:val="center"/>
          </w:tcPr>
          <w:p w14:paraId="0DCF0CE6">
            <w:pPr>
              <w:widowControl/>
              <w:jc w:val="center"/>
              <w:rPr>
                <w:kern w:val="0"/>
                <w:sz w:val="18"/>
                <w:szCs w:val="18"/>
              </w:rPr>
            </w:pPr>
            <w:r>
              <w:rPr>
                <w:kern w:val="0"/>
                <w:sz w:val="18"/>
                <w:szCs w:val="18"/>
              </w:rPr>
              <w:t>2756.4</w:t>
            </w:r>
          </w:p>
        </w:tc>
        <w:tc>
          <w:tcPr>
            <w:tcW w:w="833" w:type="pct"/>
            <w:tcBorders>
              <w:left w:val="double" w:color="auto" w:sz="4" w:space="0"/>
              <w:right w:val="single" w:color="auto" w:sz="2" w:space="0"/>
            </w:tcBorders>
            <w:vAlign w:val="center"/>
          </w:tcPr>
          <w:p w14:paraId="05ED7FFE">
            <w:pPr>
              <w:jc w:val="center"/>
              <w:rPr>
                <w:kern w:val="0"/>
                <w:sz w:val="18"/>
                <w:szCs w:val="18"/>
              </w:rPr>
            </w:pPr>
            <w:r>
              <w:rPr>
                <w:kern w:val="0"/>
                <w:sz w:val="18"/>
                <w:szCs w:val="18"/>
              </w:rPr>
              <w:t>19.0</w:t>
            </w:r>
          </w:p>
        </w:tc>
        <w:tc>
          <w:tcPr>
            <w:tcW w:w="833" w:type="pct"/>
            <w:tcBorders>
              <w:left w:val="single" w:color="auto" w:sz="2" w:space="0"/>
              <w:right w:val="single" w:color="auto" w:sz="2" w:space="0"/>
            </w:tcBorders>
            <w:noWrap/>
            <w:vAlign w:val="center"/>
          </w:tcPr>
          <w:p w14:paraId="55411746">
            <w:pPr>
              <w:widowControl/>
              <w:jc w:val="center"/>
              <w:rPr>
                <w:kern w:val="0"/>
                <w:sz w:val="18"/>
                <w:szCs w:val="18"/>
              </w:rPr>
            </w:pPr>
            <w:r>
              <w:rPr>
                <w:kern w:val="0"/>
                <w:sz w:val="18"/>
                <w:szCs w:val="18"/>
              </w:rPr>
              <w:t>361.44</w:t>
            </w:r>
          </w:p>
        </w:tc>
        <w:tc>
          <w:tcPr>
            <w:tcW w:w="833" w:type="pct"/>
            <w:tcBorders>
              <w:left w:val="single" w:color="auto" w:sz="2" w:space="0"/>
            </w:tcBorders>
            <w:noWrap/>
            <w:vAlign w:val="center"/>
          </w:tcPr>
          <w:p w14:paraId="5D1D7C1C">
            <w:pPr>
              <w:widowControl/>
              <w:jc w:val="center"/>
              <w:rPr>
                <w:kern w:val="0"/>
                <w:sz w:val="18"/>
                <w:szCs w:val="18"/>
              </w:rPr>
            </w:pPr>
            <w:r>
              <w:rPr>
                <w:kern w:val="0"/>
                <w:sz w:val="18"/>
                <w:szCs w:val="18"/>
              </w:rPr>
              <w:t>2470.1</w:t>
            </w:r>
          </w:p>
        </w:tc>
      </w:tr>
      <w:tr w14:paraId="183FDF32">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354926DD">
            <w:pPr>
              <w:widowControl/>
              <w:jc w:val="center"/>
              <w:rPr>
                <w:kern w:val="0"/>
                <w:sz w:val="18"/>
                <w:szCs w:val="18"/>
              </w:rPr>
            </w:pPr>
            <w:r>
              <w:rPr>
                <w:kern w:val="0"/>
                <w:sz w:val="18"/>
                <w:szCs w:val="18"/>
              </w:rPr>
              <w:t>0.700</w:t>
            </w:r>
          </w:p>
        </w:tc>
        <w:tc>
          <w:tcPr>
            <w:tcW w:w="833" w:type="pct"/>
            <w:tcBorders>
              <w:left w:val="single" w:color="auto" w:sz="2" w:space="0"/>
              <w:right w:val="single" w:color="auto" w:sz="2" w:space="0"/>
            </w:tcBorders>
            <w:noWrap/>
            <w:vAlign w:val="center"/>
          </w:tcPr>
          <w:p w14:paraId="3D2E0D73">
            <w:pPr>
              <w:widowControl/>
              <w:jc w:val="center"/>
              <w:rPr>
                <w:kern w:val="0"/>
                <w:sz w:val="18"/>
                <w:szCs w:val="18"/>
              </w:rPr>
            </w:pPr>
            <w:r>
              <w:rPr>
                <w:kern w:val="0"/>
                <w:sz w:val="18"/>
                <w:szCs w:val="18"/>
              </w:rPr>
              <w:t>164.96</w:t>
            </w:r>
          </w:p>
        </w:tc>
        <w:tc>
          <w:tcPr>
            <w:tcW w:w="833" w:type="pct"/>
            <w:tcBorders>
              <w:left w:val="single" w:color="auto" w:sz="2" w:space="0"/>
              <w:right w:val="double" w:color="auto" w:sz="4" w:space="0"/>
            </w:tcBorders>
            <w:noWrap/>
            <w:vAlign w:val="center"/>
          </w:tcPr>
          <w:p w14:paraId="79793D91">
            <w:pPr>
              <w:widowControl/>
              <w:jc w:val="center"/>
              <w:rPr>
                <w:kern w:val="0"/>
                <w:sz w:val="18"/>
                <w:szCs w:val="18"/>
              </w:rPr>
            </w:pPr>
            <w:r>
              <w:rPr>
                <w:kern w:val="0"/>
                <w:sz w:val="18"/>
                <w:szCs w:val="18"/>
              </w:rPr>
              <w:t>2762.9</w:t>
            </w:r>
          </w:p>
        </w:tc>
        <w:tc>
          <w:tcPr>
            <w:tcW w:w="833" w:type="pct"/>
            <w:tcBorders>
              <w:left w:val="double" w:color="auto" w:sz="4" w:space="0"/>
              <w:right w:val="single" w:color="auto" w:sz="2" w:space="0"/>
            </w:tcBorders>
            <w:vAlign w:val="center"/>
          </w:tcPr>
          <w:p w14:paraId="79501121">
            <w:pPr>
              <w:jc w:val="center"/>
              <w:rPr>
                <w:kern w:val="0"/>
                <w:sz w:val="18"/>
                <w:szCs w:val="18"/>
              </w:rPr>
            </w:pPr>
            <w:r>
              <w:rPr>
                <w:kern w:val="0"/>
                <w:sz w:val="18"/>
                <w:szCs w:val="18"/>
              </w:rPr>
              <w:t>20.0</w:t>
            </w:r>
          </w:p>
        </w:tc>
        <w:tc>
          <w:tcPr>
            <w:tcW w:w="833" w:type="pct"/>
            <w:tcBorders>
              <w:left w:val="single" w:color="auto" w:sz="2" w:space="0"/>
              <w:right w:val="single" w:color="auto" w:sz="2" w:space="0"/>
            </w:tcBorders>
            <w:noWrap/>
            <w:vAlign w:val="center"/>
          </w:tcPr>
          <w:p w14:paraId="41536BD9">
            <w:pPr>
              <w:widowControl/>
              <w:jc w:val="center"/>
              <w:rPr>
                <w:kern w:val="0"/>
                <w:sz w:val="18"/>
                <w:szCs w:val="18"/>
              </w:rPr>
            </w:pPr>
            <w:r>
              <w:rPr>
                <w:kern w:val="0"/>
                <w:sz w:val="18"/>
                <w:szCs w:val="18"/>
              </w:rPr>
              <w:t>365.71</w:t>
            </w:r>
          </w:p>
        </w:tc>
        <w:tc>
          <w:tcPr>
            <w:tcW w:w="833" w:type="pct"/>
            <w:tcBorders>
              <w:left w:val="single" w:color="auto" w:sz="2" w:space="0"/>
            </w:tcBorders>
            <w:noWrap/>
            <w:vAlign w:val="center"/>
          </w:tcPr>
          <w:p w14:paraId="35C994DC">
            <w:pPr>
              <w:widowControl/>
              <w:jc w:val="center"/>
              <w:rPr>
                <w:kern w:val="0"/>
                <w:sz w:val="18"/>
                <w:szCs w:val="18"/>
              </w:rPr>
            </w:pPr>
            <w:r>
              <w:rPr>
                <w:kern w:val="0"/>
                <w:sz w:val="18"/>
                <w:szCs w:val="18"/>
              </w:rPr>
              <w:t>2413.9</w:t>
            </w:r>
          </w:p>
        </w:tc>
      </w:tr>
      <w:tr w14:paraId="01114CC6">
        <w:tblPrEx>
          <w:tblCellMar>
            <w:top w:w="0" w:type="dxa"/>
            <w:left w:w="108" w:type="dxa"/>
            <w:bottom w:w="0" w:type="dxa"/>
            <w:right w:w="108" w:type="dxa"/>
          </w:tblCellMar>
        </w:tblPrEx>
        <w:trPr>
          <w:cantSplit/>
          <w:trHeight w:val="315" w:hRule="atLeast"/>
          <w:jc w:val="center"/>
        </w:trPr>
        <w:tc>
          <w:tcPr>
            <w:tcW w:w="833" w:type="pct"/>
            <w:tcBorders>
              <w:right w:val="single" w:color="auto" w:sz="2" w:space="0"/>
            </w:tcBorders>
            <w:noWrap/>
            <w:vAlign w:val="center"/>
          </w:tcPr>
          <w:p w14:paraId="483A5104">
            <w:pPr>
              <w:widowControl/>
              <w:jc w:val="center"/>
              <w:rPr>
                <w:kern w:val="0"/>
                <w:sz w:val="18"/>
                <w:szCs w:val="18"/>
              </w:rPr>
            </w:pPr>
            <w:r>
              <w:rPr>
                <w:kern w:val="0"/>
                <w:sz w:val="18"/>
                <w:szCs w:val="18"/>
              </w:rPr>
              <w:t>0.800</w:t>
            </w:r>
          </w:p>
        </w:tc>
        <w:tc>
          <w:tcPr>
            <w:tcW w:w="833" w:type="pct"/>
            <w:tcBorders>
              <w:left w:val="single" w:color="auto" w:sz="2" w:space="0"/>
              <w:right w:val="single" w:color="auto" w:sz="2" w:space="0"/>
            </w:tcBorders>
            <w:noWrap/>
            <w:vAlign w:val="center"/>
          </w:tcPr>
          <w:p w14:paraId="0AF230C3">
            <w:pPr>
              <w:widowControl/>
              <w:jc w:val="center"/>
              <w:rPr>
                <w:kern w:val="0"/>
                <w:sz w:val="18"/>
                <w:szCs w:val="18"/>
              </w:rPr>
            </w:pPr>
            <w:r>
              <w:rPr>
                <w:kern w:val="0"/>
                <w:sz w:val="18"/>
                <w:szCs w:val="18"/>
              </w:rPr>
              <w:t>170.42</w:t>
            </w:r>
          </w:p>
        </w:tc>
        <w:tc>
          <w:tcPr>
            <w:tcW w:w="833" w:type="pct"/>
            <w:tcBorders>
              <w:left w:val="single" w:color="auto" w:sz="2" w:space="0"/>
              <w:right w:val="double" w:color="auto" w:sz="4" w:space="0"/>
            </w:tcBorders>
            <w:noWrap/>
            <w:vAlign w:val="center"/>
          </w:tcPr>
          <w:p w14:paraId="56FE931A">
            <w:pPr>
              <w:widowControl/>
              <w:jc w:val="center"/>
              <w:rPr>
                <w:kern w:val="0"/>
                <w:sz w:val="18"/>
                <w:szCs w:val="18"/>
              </w:rPr>
            </w:pPr>
            <w:r>
              <w:rPr>
                <w:kern w:val="0"/>
                <w:sz w:val="18"/>
                <w:szCs w:val="18"/>
              </w:rPr>
              <w:t>2768.4</w:t>
            </w:r>
          </w:p>
        </w:tc>
        <w:tc>
          <w:tcPr>
            <w:tcW w:w="833" w:type="pct"/>
            <w:tcBorders>
              <w:left w:val="double" w:color="auto" w:sz="4" w:space="0"/>
              <w:right w:val="single" w:color="auto" w:sz="2" w:space="0"/>
            </w:tcBorders>
            <w:vAlign w:val="center"/>
          </w:tcPr>
          <w:p w14:paraId="36989908">
            <w:pPr>
              <w:jc w:val="center"/>
              <w:rPr>
                <w:kern w:val="0"/>
                <w:sz w:val="18"/>
                <w:szCs w:val="18"/>
              </w:rPr>
            </w:pPr>
            <w:r>
              <w:rPr>
                <w:kern w:val="0"/>
                <w:sz w:val="18"/>
                <w:szCs w:val="18"/>
              </w:rPr>
              <w:t>21.0</w:t>
            </w:r>
          </w:p>
        </w:tc>
        <w:tc>
          <w:tcPr>
            <w:tcW w:w="833" w:type="pct"/>
            <w:tcBorders>
              <w:left w:val="single" w:color="auto" w:sz="2" w:space="0"/>
              <w:right w:val="single" w:color="auto" w:sz="2" w:space="0"/>
            </w:tcBorders>
            <w:noWrap/>
            <w:vAlign w:val="center"/>
          </w:tcPr>
          <w:p w14:paraId="2AE5D7AF">
            <w:pPr>
              <w:widowControl/>
              <w:jc w:val="center"/>
              <w:rPr>
                <w:kern w:val="0"/>
                <w:sz w:val="18"/>
                <w:szCs w:val="18"/>
              </w:rPr>
            </w:pPr>
            <w:r>
              <w:rPr>
                <w:kern w:val="0"/>
                <w:sz w:val="18"/>
                <w:szCs w:val="18"/>
              </w:rPr>
              <w:t>369.79</w:t>
            </w:r>
          </w:p>
        </w:tc>
        <w:tc>
          <w:tcPr>
            <w:tcW w:w="833" w:type="pct"/>
            <w:tcBorders>
              <w:left w:val="single" w:color="auto" w:sz="2" w:space="0"/>
            </w:tcBorders>
            <w:noWrap/>
            <w:vAlign w:val="center"/>
          </w:tcPr>
          <w:p w14:paraId="037E55E8">
            <w:pPr>
              <w:widowControl/>
              <w:jc w:val="center"/>
              <w:rPr>
                <w:kern w:val="0"/>
                <w:sz w:val="18"/>
                <w:szCs w:val="18"/>
              </w:rPr>
            </w:pPr>
            <w:r>
              <w:rPr>
                <w:kern w:val="0"/>
                <w:sz w:val="18"/>
                <w:szCs w:val="18"/>
              </w:rPr>
              <w:t>2340.2</w:t>
            </w:r>
          </w:p>
        </w:tc>
      </w:tr>
      <w:tr w14:paraId="3A0509CA">
        <w:tblPrEx>
          <w:tblCellMar>
            <w:top w:w="0" w:type="dxa"/>
            <w:left w:w="108" w:type="dxa"/>
            <w:bottom w:w="0" w:type="dxa"/>
            <w:right w:w="108" w:type="dxa"/>
          </w:tblCellMar>
        </w:tblPrEx>
        <w:trPr>
          <w:cantSplit/>
          <w:trHeight w:val="315" w:hRule="atLeast"/>
          <w:jc w:val="center"/>
        </w:trPr>
        <w:tc>
          <w:tcPr>
            <w:tcW w:w="833" w:type="pct"/>
            <w:tcBorders>
              <w:bottom w:val="single" w:color="auto" w:sz="8" w:space="0"/>
              <w:right w:val="single" w:color="auto" w:sz="2" w:space="0"/>
            </w:tcBorders>
            <w:noWrap/>
            <w:vAlign w:val="center"/>
          </w:tcPr>
          <w:p w14:paraId="116C45E9">
            <w:pPr>
              <w:widowControl/>
              <w:jc w:val="center"/>
              <w:rPr>
                <w:kern w:val="0"/>
                <w:sz w:val="18"/>
                <w:szCs w:val="18"/>
              </w:rPr>
            </w:pPr>
            <w:r>
              <w:rPr>
                <w:kern w:val="0"/>
                <w:sz w:val="18"/>
                <w:szCs w:val="18"/>
              </w:rPr>
              <w:t>0.900</w:t>
            </w:r>
          </w:p>
        </w:tc>
        <w:tc>
          <w:tcPr>
            <w:tcW w:w="833" w:type="pct"/>
            <w:tcBorders>
              <w:left w:val="single" w:color="auto" w:sz="2" w:space="0"/>
              <w:bottom w:val="single" w:color="auto" w:sz="8" w:space="0"/>
              <w:right w:val="single" w:color="auto" w:sz="2" w:space="0"/>
            </w:tcBorders>
            <w:noWrap/>
            <w:vAlign w:val="center"/>
          </w:tcPr>
          <w:p w14:paraId="7685078A">
            <w:pPr>
              <w:widowControl/>
              <w:jc w:val="center"/>
              <w:rPr>
                <w:kern w:val="0"/>
                <w:sz w:val="18"/>
                <w:szCs w:val="18"/>
              </w:rPr>
            </w:pPr>
            <w:r>
              <w:rPr>
                <w:kern w:val="0"/>
                <w:sz w:val="18"/>
                <w:szCs w:val="18"/>
              </w:rPr>
              <w:t>175.36</w:t>
            </w:r>
          </w:p>
        </w:tc>
        <w:tc>
          <w:tcPr>
            <w:tcW w:w="833" w:type="pct"/>
            <w:tcBorders>
              <w:left w:val="single" w:color="auto" w:sz="2" w:space="0"/>
              <w:bottom w:val="single" w:color="auto" w:sz="8" w:space="0"/>
              <w:right w:val="double" w:color="auto" w:sz="4" w:space="0"/>
            </w:tcBorders>
            <w:noWrap/>
            <w:vAlign w:val="center"/>
          </w:tcPr>
          <w:p w14:paraId="6FDE74BA">
            <w:pPr>
              <w:widowControl/>
              <w:jc w:val="center"/>
              <w:rPr>
                <w:kern w:val="0"/>
                <w:sz w:val="18"/>
                <w:szCs w:val="18"/>
              </w:rPr>
            </w:pPr>
            <w:r>
              <w:rPr>
                <w:kern w:val="0"/>
                <w:sz w:val="18"/>
                <w:szCs w:val="18"/>
              </w:rPr>
              <w:t>2773.0</w:t>
            </w:r>
          </w:p>
        </w:tc>
        <w:tc>
          <w:tcPr>
            <w:tcW w:w="833" w:type="pct"/>
            <w:tcBorders>
              <w:left w:val="double" w:color="auto" w:sz="4" w:space="0"/>
              <w:bottom w:val="single" w:color="auto" w:sz="8" w:space="0"/>
              <w:right w:val="single" w:color="auto" w:sz="2" w:space="0"/>
            </w:tcBorders>
            <w:vAlign w:val="center"/>
          </w:tcPr>
          <w:p w14:paraId="1A14BAF1">
            <w:pPr>
              <w:jc w:val="center"/>
              <w:rPr>
                <w:kern w:val="0"/>
                <w:sz w:val="18"/>
                <w:szCs w:val="18"/>
              </w:rPr>
            </w:pPr>
            <w:r>
              <w:rPr>
                <w:kern w:val="0"/>
                <w:sz w:val="18"/>
                <w:szCs w:val="18"/>
              </w:rPr>
              <w:t>22.0</w:t>
            </w:r>
          </w:p>
        </w:tc>
        <w:tc>
          <w:tcPr>
            <w:tcW w:w="833" w:type="pct"/>
            <w:tcBorders>
              <w:left w:val="single" w:color="auto" w:sz="2" w:space="0"/>
              <w:bottom w:val="single" w:color="auto" w:sz="8" w:space="0"/>
              <w:right w:val="single" w:color="auto" w:sz="2" w:space="0"/>
            </w:tcBorders>
            <w:noWrap/>
            <w:vAlign w:val="center"/>
          </w:tcPr>
          <w:p w14:paraId="4F645878">
            <w:pPr>
              <w:widowControl/>
              <w:jc w:val="center"/>
              <w:rPr>
                <w:kern w:val="0"/>
                <w:sz w:val="18"/>
                <w:szCs w:val="18"/>
              </w:rPr>
            </w:pPr>
            <w:r>
              <w:rPr>
                <w:kern w:val="0"/>
                <w:sz w:val="18"/>
                <w:szCs w:val="18"/>
              </w:rPr>
              <w:t>373.68</w:t>
            </w:r>
          </w:p>
        </w:tc>
        <w:tc>
          <w:tcPr>
            <w:tcW w:w="833" w:type="pct"/>
            <w:tcBorders>
              <w:left w:val="single" w:color="auto" w:sz="2" w:space="0"/>
              <w:bottom w:val="single" w:color="auto" w:sz="8" w:space="0"/>
            </w:tcBorders>
            <w:noWrap/>
            <w:vAlign w:val="center"/>
          </w:tcPr>
          <w:p w14:paraId="24A45CBE">
            <w:pPr>
              <w:widowControl/>
              <w:jc w:val="center"/>
              <w:rPr>
                <w:kern w:val="0"/>
                <w:sz w:val="18"/>
                <w:szCs w:val="18"/>
              </w:rPr>
            </w:pPr>
            <w:r>
              <w:rPr>
                <w:kern w:val="0"/>
                <w:sz w:val="18"/>
                <w:szCs w:val="18"/>
              </w:rPr>
              <w:t>2192.5</w:t>
            </w:r>
          </w:p>
        </w:tc>
      </w:tr>
    </w:tbl>
    <w:p w14:paraId="272F697B">
      <w:r>
        <w:br w:type="page"/>
      </w:r>
    </w:p>
    <w:p w14:paraId="3AD68ACD">
      <w:pPr>
        <w:rPr>
          <w:sz w:val="18"/>
          <w:szCs w:val="18"/>
        </w:rPr>
      </w:pPr>
      <w:r>
        <w:rPr>
          <w:sz w:val="18"/>
          <w:szCs w:val="18"/>
        </w:rPr>
        <w:t>2.</w:t>
      </w:r>
      <w:r>
        <w:rPr>
          <w:sz w:val="18"/>
          <w:szCs w:val="18"/>
        </w:rPr>
        <w:tab/>
      </w:r>
      <w:r>
        <w:rPr>
          <w:sz w:val="18"/>
          <w:szCs w:val="18"/>
        </w:rPr>
        <w:t>饱和蒸汽温度—焓表（按温度排列）</w:t>
      </w:r>
    </w:p>
    <w:p w14:paraId="4969B534"/>
    <w:tbl>
      <w:tblPr>
        <w:tblStyle w:val="20"/>
        <w:tblW w:w="4890" w:type="pct"/>
        <w:jc w:val="center"/>
        <w:tblLayout w:type="autofit"/>
        <w:tblCellMar>
          <w:top w:w="0" w:type="dxa"/>
          <w:left w:w="108" w:type="dxa"/>
          <w:bottom w:w="0" w:type="dxa"/>
          <w:right w:w="108" w:type="dxa"/>
        </w:tblCellMar>
      </w:tblPr>
      <w:tblGrid>
        <w:gridCol w:w="1568"/>
        <w:gridCol w:w="1568"/>
        <w:gridCol w:w="1571"/>
        <w:gridCol w:w="1569"/>
        <w:gridCol w:w="1569"/>
        <w:gridCol w:w="1571"/>
      </w:tblGrid>
      <w:tr w14:paraId="23E08434">
        <w:tblPrEx>
          <w:tblCellMar>
            <w:top w:w="0" w:type="dxa"/>
            <w:left w:w="108" w:type="dxa"/>
            <w:bottom w:w="0" w:type="dxa"/>
            <w:right w:w="108" w:type="dxa"/>
          </w:tblCellMar>
        </w:tblPrEx>
        <w:trPr>
          <w:cantSplit/>
          <w:trHeight w:val="752" w:hRule="atLeast"/>
          <w:jc w:val="center"/>
        </w:trPr>
        <w:tc>
          <w:tcPr>
            <w:tcW w:w="833" w:type="pct"/>
            <w:tcBorders>
              <w:top w:val="single" w:color="auto" w:sz="8" w:space="0"/>
              <w:bottom w:val="single" w:color="auto" w:sz="2" w:space="0"/>
              <w:right w:val="single" w:color="auto" w:sz="2" w:space="0"/>
            </w:tcBorders>
            <w:noWrap/>
            <w:vAlign w:val="center"/>
          </w:tcPr>
          <w:p w14:paraId="627B0E6C">
            <w:pPr>
              <w:widowControl/>
              <w:jc w:val="center"/>
              <w:rPr>
                <w:kern w:val="0"/>
                <w:sz w:val="18"/>
                <w:szCs w:val="18"/>
              </w:rPr>
            </w:pPr>
            <w:r>
              <w:rPr>
                <w:kern w:val="0"/>
                <w:sz w:val="18"/>
                <w:szCs w:val="18"/>
              </w:rPr>
              <w:t>温度（℃）</w:t>
            </w:r>
          </w:p>
        </w:tc>
        <w:tc>
          <w:tcPr>
            <w:tcW w:w="833" w:type="pct"/>
            <w:tcBorders>
              <w:top w:val="single" w:color="auto" w:sz="8" w:space="0"/>
              <w:left w:val="single" w:color="auto" w:sz="2" w:space="0"/>
              <w:bottom w:val="single" w:color="auto" w:sz="2" w:space="0"/>
              <w:right w:val="single" w:color="auto" w:sz="2" w:space="0"/>
            </w:tcBorders>
            <w:noWrap/>
            <w:vAlign w:val="center"/>
          </w:tcPr>
          <w:p w14:paraId="5BE76DCE">
            <w:pPr>
              <w:widowControl/>
              <w:jc w:val="center"/>
              <w:rPr>
                <w:kern w:val="0"/>
                <w:sz w:val="18"/>
                <w:szCs w:val="18"/>
              </w:rPr>
            </w:pPr>
            <w:r>
              <w:rPr>
                <w:kern w:val="0"/>
                <w:sz w:val="18"/>
                <w:szCs w:val="18"/>
              </w:rPr>
              <w:t>压力（MPa）</w:t>
            </w:r>
          </w:p>
        </w:tc>
        <w:tc>
          <w:tcPr>
            <w:tcW w:w="834" w:type="pct"/>
            <w:tcBorders>
              <w:top w:val="single" w:color="auto" w:sz="8" w:space="0"/>
              <w:left w:val="single" w:color="auto" w:sz="2" w:space="0"/>
              <w:bottom w:val="single" w:color="auto" w:sz="2" w:space="0"/>
              <w:right w:val="double" w:color="auto" w:sz="4" w:space="0"/>
            </w:tcBorders>
            <w:noWrap/>
            <w:vAlign w:val="center"/>
          </w:tcPr>
          <w:p w14:paraId="240E7857">
            <w:pPr>
              <w:widowControl/>
              <w:jc w:val="center"/>
              <w:rPr>
                <w:kern w:val="0"/>
                <w:sz w:val="18"/>
                <w:szCs w:val="18"/>
              </w:rPr>
            </w:pPr>
            <w:r>
              <w:rPr>
                <w:kern w:val="0"/>
                <w:sz w:val="18"/>
                <w:szCs w:val="18"/>
              </w:rPr>
              <w:t>焓（KJ/kg）</w:t>
            </w:r>
          </w:p>
        </w:tc>
        <w:tc>
          <w:tcPr>
            <w:tcW w:w="833" w:type="pct"/>
            <w:tcBorders>
              <w:top w:val="single" w:color="auto" w:sz="8" w:space="0"/>
              <w:left w:val="double" w:color="auto" w:sz="4" w:space="0"/>
              <w:bottom w:val="single" w:color="auto" w:sz="2" w:space="0"/>
              <w:right w:val="single" w:color="auto" w:sz="2" w:space="0"/>
            </w:tcBorders>
            <w:vAlign w:val="center"/>
          </w:tcPr>
          <w:p w14:paraId="7B5258DD">
            <w:pPr>
              <w:jc w:val="center"/>
              <w:rPr>
                <w:kern w:val="0"/>
                <w:sz w:val="18"/>
                <w:szCs w:val="18"/>
              </w:rPr>
            </w:pPr>
            <w:r>
              <w:rPr>
                <w:kern w:val="0"/>
                <w:sz w:val="18"/>
                <w:szCs w:val="18"/>
              </w:rPr>
              <w:t>温度（℃）</w:t>
            </w:r>
          </w:p>
        </w:tc>
        <w:tc>
          <w:tcPr>
            <w:tcW w:w="833" w:type="pct"/>
            <w:tcBorders>
              <w:top w:val="single" w:color="auto" w:sz="8" w:space="0"/>
              <w:left w:val="single" w:color="auto" w:sz="2" w:space="0"/>
              <w:bottom w:val="single" w:color="auto" w:sz="2" w:space="0"/>
              <w:right w:val="single" w:color="auto" w:sz="2" w:space="0"/>
            </w:tcBorders>
            <w:noWrap/>
            <w:vAlign w:val="center"/>
          </w:tcPr>
          <w:p w14:paraId="59CC7511">
            <w:pPr>
              <w:widowControl/>
              <w:jc w:val="center"/>
              <w:rPr>
                <w:kern w:val="0"/>
                <w:sz w:val="18"/>
                <w:szCs w:val="18"/>
              </w:rPr>
            </w:pPr>
            <w:r>
              <w:rPr>
                <w:kern w:val="0"/>
                <w:sz w:val="18"/>
                <w:szCs w:val="18"/>
              </w:rPr>
              <w:t>压力（MPa）</w:t>
            </w:r>
          </w:p>
        </w:tc>
        <w:tc>
          <w:tcPr>
            <w:tcW w:w="834" w:type="pct"/>
            <w:tcBorders>
              <w:top w:val="single" w:color="auto" w:sz="8" w:space="0"/>
              <w:left w:val="single" w:color="auto" w:sz="2" w:space="0"/>
              <w:bottom w:val="single" w:color="auto" w:sz="2" w:space="0"/>
            </w:tcBorders>
            <w:noWrap/>
            <w:vAlign w:val="center"/>
          </w:tcPr>
          <w:p w14:paraId="6789DD7A">
            <w:pPr>
              <w:widowControl/>
              <w:jc w:val="center"/>
              <w:rPr>
                <w:kern w:val="0"/>
                <w:sz w:val="18"/>
                <w:szCs w:val="18"/>
              </w:rPr>
            </w:pPr>
            <w:r>
              <w:rPr>
                <w:kern w:val="0"/>
                <w:sz w:val="18"/>
                <w:szCs w:val="18"/>
              </w:rPr>
              <w:t>焓（KJ/kg）</w:t>
            </w:r>
          </w:p>
        </w:tc>
      </w:tr>
      <w:tr w14:paraId="11FBAF9F">
        <w:tblPrEx>
          <w:tblCellMar>
            <w:top w:w="0" w:type="dxa"/>
            <w:left w:w="108" w:type="dxa"/>
            <w:bottom w:w="0" w:type="dxa"/>
            <w:right w:w="108" w:type="dxa"/>
          </w:tblCellMar>
        </w:tblPrEx>
        <w:trPr>
          <w:cantSplit/>
          <w:trHeight w:val="330" w:hRule="atLeast"/>
          <w:jc w:val="center"/>
        </w:trPr>
        <w:tc>
          <w:tcPr>
            <w:tcW w:w="833" w:type="pct"/>
            <w:tcBorders>
              <w:top w:val="single" w:color="auto" w:sz="2" w:space="0"/>
              <w:right w:val="single" w:color="auto" w:sz="2" w:space="0"/>
            </w:tcBorders>
            <w:noWrap/>
            <w:vAlign w:val="center"/>
          </w:tcPr>
          <w:p w14:paraId="61539557">
            <w:pPr>
              <w:widowControl/>
              <w:jc w:val="center"/>
              <w:rPr>
                <w:kern w:val="0"/>
                <w:sz w:val="18"/>
                <w:szCs w:val="18"/>
              </w:rPr>
            </w:pPr>
            <w:r>
              <w:rPr>
                <w:kern w:val="0"/>
                <w:sz w:val="18"/>
                <w:szCs w:val="18"/>
              </w:rPr>
              <w:t xml:space="preserve"> 0</w:t>
            </w:r>
          </w:p>
        </w:tc>
        <w:tc>
          <w:tcPr>
            <w:tcW w:w="833" w:type="pct"/>
            <w:tcBorders>
              <w:top w:val="single" w:color="auto" w:sz="2" w:space="0"/>
              <w:left w:val="single" w:color="auto" w:sz="2" w:space="0"/>
              <w:right w:val="single" w:color="auto" w:sz="2" w:space="0"/>
            </w:tcBorders>
            <w:noWrap/>
            <w:vAlign w:val="center"/>
          </w:tcPr>
          <w:p w14:paraId="143B1F89">
            <w:pPr>
              <w:widowControl/>
              <w:jc w:val="center"/>
              <w:rPr>
                <w:kern w:val="0"/>
                <w:sz w:val="18"/>
                <w:szCs w:val="18"/>
              </w:rPr>
            </w:pPr>
            <w:r>
              <w:rPr>
                <w:kern w:val="0"/>
                <w:sz w:val="18"/>
                <w:szCs w:val="18"/>
              </w:rPr>
              <w:t>0.000611</w:t>
            </w:r>
          </w:p>
        </w:tc>
        <w:tc>
          <w:tcPr>
            <w:tcW w:w="834" w:type="pct"/>
            <w:tcBorders>
              <w:top w:val="single" w:color="auto" w:sz="2" w:space="0"/>
              <w:left w:val="single" w:color="auto" w:sz="2" w:space="0"/>
              <w:right w:val="double" w:color="auto" w:sz="4" w:space="0"/>
            </w:tcBorders>
            <w:noWrap/>
            <w:vAlign w:val="center"/>
          </w:tcPr>
          <w:p w14:paraId="7D32CBE7">
            <w:pPr>
              <w:widowControl/>
              <w:jc w:val="center"/>
              <w:rPr>
                <w:kern w:val="0"/>
                <w:sz w:val="18"/>
                <w:szCs w:val="18"/>
              </w:rPr>
            </w:pPr>
            <w:r>
              <w:rPr>
                <w:kern w:val="0"/>
                <w:sz w:val="18"/>
                <w:szCs w:val="18"/>
              </w:rPr>
              <w:t>2501.0</w:t>
            </w:r>
          </w:p>
        </w:tc>
        <w:tc>
          <w:tcPr>
            <w:tcW w:w="833" w:type="pct"/>
            <w:tcBorders>
              <w:top w:val="single" w:color="auto" w:sz="2" w:space="0"/>
              <w:left w:val="double" w:color="auto" w:sz="4" w:space="0"/>
              <w:right w:val="single" w:color="auto" w:sz="2" w:space="0"/>
            </w:tcBorders>
            <w:vAlign w:val="center"/>
          </w:tcPr>
          <w:p w14:paraId="4AEE42EB">
            <w:pPr>
              <w:jc w:val="center"/>
              <w:rPr>
                <w:kern w:val="0"/>
                <w:sz w:val="18"/>
                <w:szCs w:val="18"/>
              </w:rPr>
            </w:pPr>
            <w:r>
              <w:rPr>
                <w:kern w:val="0"/>
                <w:sz w:val="18"/>
                <w:szCs w:val="18"/>
              </w:rPr>
              <w:t xml:space="preserve"> 80</w:t>
            </w:r>
          </w:p>
        </w:tc>
        <w:tc>
          <w:tcPr>
            <w:tcW w:w="833" w:type="pct"/>
            <w:tcBorders>
              <w:top w:val="single" w:color="auto" w:sz="2" w:space="0"/>
              <w:left w:val="single" w:color="auto" w:sz="2" w:space="0"/>
              <w:right w:val="single" w:color="auto" w:sz="2" w:space="0"/>
            </w:tcBorders>
            <w:noWrap/>
            <w:vAlign w:val="center"/>
          </w:tcPr>
          <w:p w14:paraId="6F56A0E3">
            <w:pPr>
              <w:widowControl/>
              <w:jc w:val="center"/>
              <w:rPr>
                <w:kern w:val="0"/>
                <w:sz w:val="18"/>
                <w:szCs w:val="18"/>
              </w:rPr>
            </w:pPr>
            <w:r>
              <w:rPr>
                <w:kern w:val="0"/>
                <w:sz w:val="18"/>
                <w:szCs w:val="18"/>
              </w:rPr>
              <w:t xml:space="preserve"> 0.047</w:t>
            </w:r>
          </w:p>
        </w:tc>
        <w:tc>
          <w:tcPr>
            <w:tcW w:w="834" w:type="pct"/>
            <w:tcBorders>
              <w:top w:val="single" w:color="auto" w:sz="2" w:space="0"/>
              <w:left w:val="single" w:color="auto" w:sz="2" w:space="0"/>
            </w:tcBorders>
            <w:noWrap/>
            <w:vAlign w:val="center"/>
          </w:tcPr>
          <w:p w14:paraId="6A64B069">
            <w:pPr>
              <w:widowControl/>
              <w:jc w:val="center"/>
              <w:rPr>
                <w:kern w:val="0"/>
                <w:sz w:val="18"/>
                <w:szCs w:val="18"/>
              </w:rPr>
            </w:pPr>
            <w:r>
              <w:rPr>
                <w:kern w:val="0"/>
                <w:sz w:val="18"/>
                <w:szCs w:val="18"/>
              </w:rPr>
              <w:t>2643.8</w:t>
            </w:r>
          </w:p>
        </w:tc>
      </w:tr>
      <w:tr w14:paraId="60C944A2">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3BEA2676">
            <w:pPr>
              <w:widowControl/>
              <w:jc w:val="center"/>
              <w:rPr>
                <w:kern w:val="0"/>
                <w:sz w:val="18"/>
                <w:szCs w:val="18"/>
              </w:rPr>
            </w:pPr>
            <w:r>
              <w:rPr>
                <w:kern w:val="0"/>
                <w:sz w:val="18"/>
                <w:szCs w:val="18"/>
              </w:rPr>
              <w:t xml:space="preserve">    0.01</w:t>
            </w:r>
          </w:p>
        </w:tc>
        <w:tc>
          <w:tcPr>
            <w:tcW w:w="833" w:type="pct"/>
            <w:tcBorders>
              <w:left w:val="single" w:color="auto" w:sz="2" w:space="0"/>
              <w:right w:val="single" w:color="auto" w:sz="2" w:space="0"/>
            </w:tcBorders>
            <w:noWrap/>
            <w:vAlign w:val="center"/>
          </w:tcPr>
          <w:p w14:paraId="0C7ABA6A">
            <w:pPr>
              <w:widowControl/>
              <w:jc w:val="center"/>
              <w:rPr>
                <w:kern w:val="0"/>
                <w:sz w:val="18"/>
                <w:szCs w:val="18"/>
              </w:rPr>
            </w:pPr>
            <w:r>
              <w:rPr>
                <w:kern w:val="0"/>
                <w:sz w:val="18"/>
                <w:szCs w:val="18"/>
              </w:rPr>
              <w:t>0.000611</w:t>
            </w:r>
          </w:p>
        </w:tc>
        <w:tc>
          <w:tcPr>
            <w:tcW w:w="834" w:type="pct"/>
            <w:tcBorders>
              <w:left w:val="single" w:color="auto" w:sz="2" w:space="0"/>
              <w:right w:val="double" w:color="auto" w:sz="4" w:space="0"/>
            </w:tcBorders>
            <w:noWrap/>
            <w:vAlign w:val="center"/>
          </w:tcPr>
          <w:p w14:paraId="3127B08D">
            <w:pPr>
              <w:widowControl/>
              <w:jc w:val="center"/>
              <w:rPr>
                <w:kern w:val="0"/>
                <w:sz w:val="18"/>
                <w:szCs w:val="18"/>
              </w:rPr>
            </w:pPr>
            <w:r>
              <w:rPr>
                <w:kern w:val="0"/>
                <w:sz w:val="18"/>
                <w:szCs w:val="18"/>
              </w:rPr>
              <w:t>2501.0</w:t>
            </w:r>
          </w:p>
        </w:tc>
        <w:tc>
          <w:tcPr>
            <w:tcW w:w="833" w:type="pct"/>
            <w:tcBorders>
              <w:left w:val="double" w:color="auto" w:sz="4" w:space="0"/>
              <w:right w:val="single" w:color="auto" w:sz="2" w:space="0"/>
            </w:tcBorders>
            <w:vAlign w:val="center"/>
          </w:tcPr>
          <w:p w14:paraId="6B079A61">
            <w:pPr>
              <w:jc w:val="center"/>
              <w:rPr>
                <w:kern w:val="0"/>
                <w:sz w:val="18"/>
                <w:szCs w:val="18"/>
              </w:rPr>
            </w:pPr>
            <w:r>
              <w:rPr>
                <w:kern w:val="0"/>
                <w:sz w:val="18"/>
                <w:szCs w:val="18"/>
              </w:rPr>
              <w:t xml:space="preserve"> 85</w:t>
            </w:r>
          </w:p>
        </w:tc>
        <w:tc>
          <w:tcPr>
            <w:tcW w:w="833" w:type="pct"/>
            <w:tcBorders>
              <w:left w:val="single" w:color="auto" w:sz="2" w:space="0"/>
              <w:right w:val="single" w:color="auto" w:sz="2" w:space="0"/>
            </w:tcBorders>
            <w:noWrap/>
            <w:vAlign w:val="center"/>
          </w:tcPr>
          <w:p w14:paraId="357A5D4D">
            <w:pPr>
              <w:widowControl/>
              <w:jc w:val="center"/>
              <w:rPr>
                <w:kern w:val="0"/>
                <w:sz w:val="18"/>
                <w:szCs w:val="18"/>
              </w:rPr>
            </w:pPr>
            <w:r>
              <w:rPr>
                <w:kern w:val="0"/>
                <w:sz w:val="18"/>
                <w:szCs w:val="18"/>
              </w:rPr>
              <w:t xml:space="preserve"> 0.058</w:t>
            </w:r>
          </w:p>
        </w:tc>
        <w:tc>
          <w:tcPr>
            <w:tcW w:w="834" w:type="pct"/>
            <w:tcBorders>
              <w:left w:val="single" w:color="auto" w:sz="2" w:space="0"/>
            </w:tcBorders>
            <w:noWrap/>
            <w:vAlign w:val="center"/>
          </w:tcPr>
          <w:p w14:paraId="4B391812">
            <w:pPr>
              <w:widowControl/>
              <w:jc w:val="center"/>
              <w:rPr>
                <w:kern w:val="0"/>
                <w:sz w:val="18"/>
                <w:szCs w:val="18"/>
              </w:rPr>
            </w:pPr>
            <w:r>
              <w:rPr>
                <w:kern w:val="0"/>
                <w:sz w:val="18"/>
                <w:szCs w:val="18"/>
              </w:rPr>
              <w:t>2652.1</w:t>
            </w:r>
          </w:p>
        </w:tc>
      </w:tr>
      <w:tr w14:paraId="5EEA3392">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36B6E35C">
            <w:pPr>
              <w:widowControl/>
              <w:jc w:val="center"/>
              <w:rPr>
                <w:kern w:val="0"/>
                <w:sz w:val="18"/>
                <w:szCs w:val="18"/>
              </w:rPr>
            </w:pPr>
            <w:r>
              <w:rPr>
                <w:kern w:val="0"/>
                <w:sz w:val="18"/>
                <w:szCs w:val="18"/>
              </w:rPr>
              <w:t xml:space="preserve"> 1</w:t>
            </w:r>
          </w:p>
        </w:tc>
        <w:tc>
          <w:tcPr>
            <w:tcW w:w="833" w:type="pct"/>
            <w:tcBorders>
              <w:left w:val="single" w:color="auto" w:sz="2" w:space="0"/>
              <w:right w:val="single" w:color="auto" w:sz="2" w:space="0"/>
            </w:tcBorders>
            <w:noWrap/>
            <w:vAlign w:val="center"/>
          </w:tcPr>
          <w:p w14:paraId="521E26E1">
            <w:pPr>
              <w:widowControl/>
              <w:jc w:val="center"/>
              <w:rPr>
                <w:kern w:val="0"/>
                <w:sz w:val="18"/>
                <w:szCs w:val="18"/>
              </w:rPr>
            </w:pPr>
            <w:r>
              <w:rPr>
                <w:kern w:val="0"/>
                <w:sz w:val="18"/>
                <w:szCs w:val="18"/>
              </w:rPr>
              <w:t>0.000657</w:t>
            </w:r>
          </w:p>
        </w:tc>
        <w:tc>
          <w:tcPr>
            <w:tcW w:w="834" w:type="pct"/>
            <w:tcBorders>
              <w:left w:val="single" w:color="auto" w:sz="2" w:space="0"/>
              <w:right w:val="double" w:color="auto" w:sz="4" w:space="0"/>
            </w:tcBorders>
            <w:noWrap/>
            <w:vAlign w:val="center"/>
          </w:tcPr>
          <w:p w14:paraId="23F57A33">
            <w:pPr>
              <w:widowControl/>
              <w:jc w:val="center"/>
              <w:rPr>
                <w:kern w:val="0"/>
                <w:sz w:val="18"/>
                <w:szCs w:val="18"/>
              </w:rPr>
            </w:pPr>
            <w:r>
              <w:rPr>
                <w:kern w:val="0"/>
                <w:sz w:val="18"/>
                <w:szCs w:val="18"/>
              </w:rPr>
              <w:t>2502.8</w:t>
            </w:r>
          </w:p>
        </w:tc>
        <w:tc>
          <w:tcPr>
            <w:tcW w:w="833" w:type="pct"/>
            <w:tcBorders>
              <w:left w:val="double" w:color="auto" w:sz="4" w:space="0"/>
              <w:right w:val="single" w:color="auto" w:sz="2" w:space="0"/>
            </w:tcBorders>
            <w:vAlign w:val="center"/>
          </w:tcPr>
          <w:p w14:paraId="6EA7574F">
            <w:pPr>
              <w:jc w:val="center"/>
              <w:rPr>
                <w:kern w:val="0"/>
                <w:sz w:val="18"/>
                <w:szCs w:val="18"/>
              </w:rPr>
            </w:pPr>
            <w:r>
              <w:rPr>
                <w:kern w:val="0"/>
                <w:sz w:val="18"/>
                <w:szCs w:val="18"/>
              </w:rPr>
              <w:t xml:space="preserve"> 90</w:t>
            </w:r>
          </w:p>
        </w:tc>
        <w:tc>
          <w:tcPr>
            <w:tcW w:w="833" w:type="pct"/>
            <w:tcBorders>
              <w:left w:val="single" w:color="auto" w:sz="2" w:space="0"/>
              <w:right w:val="single" w:color="auto" w:sz="2" w:space="0"/>
            </w:tcBorders>
            <w:noWrap/>
            <w:vAlign w:val="center"/>
          </w:tcPr>
          <w:p w14:paraId="192E4540">
            <w:pPr>
              <w:widowControl/>
              <w:jc w:val="center"/>
              <w:rPr>
                <w:kern w:val="0"/>
                <w:sz w:val="18"/>
                <w:szCs w:val="18"/>
              </w:rPr>
            </w:pPr>
            <w:r>
              <w:rPr>
                <w:kern w:val="0"/>
                <w:sz w:val="18"/>
                <w:szCs w:val="18"/>
              </w:rPr>
              <w:t xml:space="preserve"> 0.070</w:t>
            </w:r>
          </w:p>
        </w:tc>
        <w:tc>
          <w:tcPr>
            <w:tcW w:w="834" w:type="pct"/>
            <w:tcBorders>
              <w:left w:val="single" w:color="auto" w:sz="2" w:space="0"/>
            </w:tcBorders>
            <w:noWrap/>
            <w:vAlign w:val="center"/>
          </w:tcPr>
          <w:p w14:paraId="4D0F8265">
            <w:pPr>
              <w:widowControl/>
              <w:jc w:val="center"/>
              <w:rPr>
                <w:kern w:val="0"/>
                <w:sz w:val="18"/>
                <w:szCs w:val="18"/>
              </w:rPr>
            </w:pPr>
            <w:r>
              <w:rPr>
                <w:kern w:val="0"/>
                <w:sz w:val="18"/>
                <w:szCs w:val="18"/>
              </w:rPr>
              <w:t>2660.3</w:t>
            </w:r>
          </w:p>
        </w:tc>
      </w:tr>
      <w:tr w14:paraId="7540A1A3">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7992C890">
            <w:pPr>
              <w:widowControl/>
              <w:jc w:val="center"/>
              <w:rPr>
                <w:kern w:val="0"/>
                <w:sz w:val="18"/>
                <w:szCs w:val="18"/>
              </w:rPr>
            </w:pPr>
            <w:r>
              <w:rPr>
                <w:kern w:val="0"/>
                <w:sz w:val="18"/>
                <w:szCs w:val="18"/>
              </w:rPr>
              <w:t xml:space="preserve"> 2</w:t>
            </w:r>
          </w:p>
        </w:tc>
        <w:tc>
          <w:tcPr>
            <w:tcW w:w="833" w:type="pct"/>
            <w:tcBorders>
              <w:left w:val="single" w:color="auto" w:sz="2" w:space="0"/>
              <w:right w:val="single" w:color="auto" w:sz="2" w:space="0"/>
            </w:tcBorders>
            <w:noWrap/>
            <w:vAlign w:val="center"/>
          </w:tcPr>
          <w:p w14:paraId="5ADA0673">
            <w:pPr>
              <w:widowControl/>
              <w:jc w:val="center"/>
              <w:rPr>
                <w:kern w:val="0"/>
                <w:sz w:val="18"/>
                <w:szCs w:val="18"/>
              </w:rPr>
            </w:pPr>
            <w:r>
              <w:rPr>
                <w:kern w:val="0"/>
                <w:sz w:val="18"/>
                <w:szCs w:val="18"/>
              </w:rPr>
              <w:t>0.000705</w:t>
            </w:r>
          </w:p>
        </w:tc>
        <w:tc>
          <w:tcPr>
            <w:tcW w:w="834" w:type="pct"/>
            <w:tcBorders>
              <w:left w:val="single" w:color="auto" w:sz="2" w:space="0"/>
              <w:right w:val="double" w:color="auto" w:sz="4" w:space="0"/>
            </w:tcBorders>
            <w:noWrap/>
            <w:vAlign w:val="center"/>
          </w:tcPr>
          <w:p w14:paraId="1BD90913">
            <w:pPr>
              <w:widowControl/>
              <w:jc w:val="center"/>
              <w:rPr>
                <w:kern w:val="0"/>
                <w:sz w:val="18"/>
                <w:szCs w:val="18"/>
              </w:rPr>
            </w:pPr>
            <w:r>
              <w:rPr>
                <w:kern w:val="0"/>
                <w:sz w:val="18"/>
                <w:szCs w:val="18"/>
              </w:rPr>
              <w:t>2504.7</w:t>
            </w:r>
          </w:p>
        </w:tc>
        <w:tc>
          <w:tcPr>
            <w:tcW w:w="833" w:type="pct"/>
            <w:tcBorders>
              <w:left w:val="double" w:color="auto" w:sz="4" w:space="0"/>
              <w:right w:val="single" w:color="auto" w:sz="2" w:space="0"/>
            </w:tcBorders>
            <w:vAlign w:val="center"/>
          </w:tcPr>
          <w:p w14:paraId="27C91D92">
            <w:pPr>
              <w:jc w:val="center"/>
              <w:rPr>
                <w:kern w:val="0"/>
                <w:sz w:val="18"/>
                <w:szCs w:val="18"/>
              </w:rPr>
            </w:pPr>
            <w:r>
              <w:rPr>
                <w:kern w:val="0"/>
                <w:sz w:val="18"/>
                <w:szCs w:val="18"/>
              </w:rPr>
              <w:t xml:space="preserve"> 95</w:t>
            </w:r>
          </w:p>
        </w:tc>
        <w:tc>
          <w:tcPr>
            <w:tcW w:w="833" w:type="pct"/>
            <w:tcBorders>
              <w:left w:val="single" w:color="auto" w:sz="2" w:space="0"/>
              <w:right w:val="single" w:color="auto" w:sz="2" w:space="0"/>
            </w:tcBorders>
            <w:noWrap/>
            <w:vAlign w:val="center"/>
          </w:tcPr>
          <w:p w14:paraId="6224CB78">
            <w:pPr>
              <w:widowControl/>
              <w:jc w:val="center"/>
              <w:rPr>
                <w:kern w:val="0"/>
                <w:sz w:val="18"/>
                <w:szCs w:val="18"/>
              </w:rPr>
            </w:pPr>
            <w:r>
              <w:rPr>
                <w:kern w:val="0"/>
                <w:sz w:val="18"/>
                <w:szCs w:val="18"/>
              </w:rPr>
              <w:t xml:space="preserve"> 0.085</w:t>
            </w:r>
          </w:p>
        </w:tc>
        <w:tc>
          <w:tcPr>
            <w:tcW w:w="834" w:type="pct"/>
            <w:tcBorders>
              <w:left w:val="single" w:color="auto" w:sz="2" w:space="0"/>
            </w:tcBorders>
            <w:noWrap/>
            <w:vAlign w:val="center"/>
          </w:tcPr>
          <w:p w14:paraId="4EBEDD43">
            <w:pPr>
              <w:widowControl/>
              <w:jc w:val="center"/>
              <w:rPr>
                <w:kern w:val="0"/>
                <w:sz w:val="18"/>
                <w:szCs w:val="18"/>
              </w:rPr>
            </w:pPr>
            <w:r>
              <w:rPr>
                <w:kern w:val="0"/>
                <w:sz w:val="18"/>
                <w:szCs w:val="18"/>
              </w:rPr>
              <w:t>2668.4</w:t>
            </w:r>
          </w:p>
        </w:tc>
      </w:tr>
      <w:tr w14:paraId="16534060">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9CB4B5A">
            <w:pPr>
              <w:widowControl/>
              <w:jc w:val="center"/>
              <w:rPr>
                <w:kern w:val="0"/>
                <w:sz w:val="18"/>
                <w:szCs w:val="18"/>
              </w:rPr>
            </w:pPr>
            <w:r>
              <w:rPr>
                <w:kern w:val="0"/>
                <w:sz w:val="18"/>
                <w:szCs w:val="18"/>
              </w:rPr>
              <w:t xml:space="preserve"> 3</w:t>
            </w:r>
          </w:p>
        </w:tc>
        <w:tc>
          <w:tcPr>
            <w:tcW w:w="833" w:type="pct"/>
            <w:tcBorders>
              <w:left w:val="single" w:color="auto" w:sz="2" w:space="0"/>
              <w:right w:val="single" w:color="auto" w:sz="2" w:space="0"/>
            </w:tcBorders>
            <w:noWrap/>
            <w:vAlign w:val="center"/>
          </w:tcPr>
          <w:p w14:paraId="3DA118C6">
            <w:pPr>
              <w:widowControl/>
              <w:jc w:val="center"/>
              <w:rPr>
                <w:kern w:val="0"/>
                <w:sz w:val="18"/>
                <w:szCs w:val="18"/>
              </w:rPr>
            </w:pPr>
            <w:r>
              <w:rPr>
                <w:kern w:val="0"/>
                <w:sz w:val="18"/>
                <w:szCs w:val="18"/>
              </w:rPr>
              <w:t>0.000758</w:t>
            </w:r>
          </w:p>
        </w:tc>
        <w:tc>
          <w:tcPr>
            <w:tcW w:w="834" w:type="pct"/>
            <w:tcBorders>
              <w:left w:val="single" w:color="auto" w:sz="2" w:space="0"/>
              <w:right w:val="double" w:color="auto" w:sz="4" w:space="0"/>
            </w:tcBorders>
            <w:noWrap/>
            <w:vAlign w:val="center"/>
          </w:tcPr>
          <w:p w14:paraId="5A1276C4">
            <w:pPr>
              <w:widowControl/>
              <w:jc w:val="center"/>
              <w:rPr>
                <w:kern w:val="0"/>
                <w:sz w:val="18"/>
                <w:szCs w:val="18"/>
              </w:rPr>
            </w:pPr>
            <w:r>
              <w:rPr>
                <w:kern w:val="0"/>
                <w:sz w:val="18"/>
                <w:szCs w:val="18"/>
              </w:rPr>
              <w:t>2506.5</w:t>
            </w:r>
          </w:p>
        </w:tc>
        <w:tc>
          <w:tcPr>
            <w:tcW w:w="833" w:type="pct"/>
            <w:tcBorders>
              <w:left w:val="double" w:color="auto" w:sz="4" w:space="0"/>
              <w:right w:val="single" w:color="auto" w:sz="2" w:space="0"/>
            </w:tcBorders>
            <w:vAlign w:val="center"/>
          </w:tcPr>
          <w:p w14:paraId="06E49CF4">
            <w:pPr>
              <w:jc w:val="center"/>
              <w:rPr>
                <w:kern w:val="0"/>
                <w:sz w:val="18"/>
                <w:szCs w:val="18"/>
              </w:rPr>
            </w:pPr>
            <w:r>
              <w:rPr>
                <w:kern w:val="0"/>
                <w:sz w:val="18"/>
                <w:szCs w:val="18"/>
              </w:rPr>
              <w:t>100</w:t>
            </w:r>
          </w:p>
        </w:tc>
        <w:tc>
          <w:tcPr>
            <w:tcW w:w="833" w:type="pct"/>
            <w:tcBorders>
              <w:left w:val="single" w:color="auto" w:sz="2" w:space="0"/>
              <w:right w:val="single" w:color="auto" w:sz="2" w:space="0"/>
            </w:tcBorders>
            <w:noWrap/>
            <w:vAlign w:val="center"/>
          </w:tcPr>
          <w:p w14:paraId="34902400">
            <w:pPr>
              <w:widowControl/>
              <w:jc w:val="center"/>
              <w:rPr>
                <w:kern w:val="0"/>
                <w:sz w:val="18"/>
                <w:szCs w:val="18"/>
              </w:rPr>
            </w:pPr>
            <w:r>
              <w:rPr>
                <w:kern w:val="0"/>
                <w:sz w:val="18"/>
                <w:szCs w:val="18"/>
              </w:rPr>
              <w:t xml:space="preserve"> 0.101</w:t>
            </w:r>
          </w:p>
        </w:tc>
        <w:tc>
          <w:tcPr>
            <w:tcW w:w="834" w:type="pct"/>
            <w:tcBorders>
              <w:left w:val="single" w:color="auto" w:sz="2" w:space="0"/>
            </w:tcBorders>
            <w:noWrap/>
            <w:vAlign w:val="center"/>
          </w:tcPr>
          <w:p w14:paraId="0282E813">
            <w:pPr>
              <w:widowControl/>
              <w:jc w:val="center"/>
              <w:rPr>
                <w:kern w:val="0"/>
                <w:sz w:val="18"/>
                <w:szCs w:val="18"/>
              </w:rPr>
            </w:pPr>
            <w:r>
              <w:rPr>
                <w:kern w:val="0"/>
                <w:sz w:val="18"/>
                <w:szCs w:val="18"/>
              </w:rPr>
              <w:t>2676.3</w:t>
            </w:r>
          </w:p>
        </w:tc>
      </w:tr>
      <w:tr w14:paraId="111C1F68">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6FC64D10">
            <w:pPr>
              <w:widowControl/>
              <w:jc w:val="center"/>
              <w:rPr>
                <w:kern w:val="0"/>
                <w:sz w:val="18"/>
                <w:szCs w:val="18"/>
              </w:rPr>
            </w:pPr>
            <w:r>
              <w:rPr>
                <w:kern w:val="0"/>
                <w:sz w:val="18"/>
                <w:szCs w:val="18"/>
              </w:rPr>
              <w:t xml:space="preserve"> 4</w:t>
            </w:r>
          </w:p>
        </w:tc>
        <w:tc>
          <w:tcPr>
            <w:tcW w:w="833" w:type="pct"/>
            <w:tcBorders>
              <w:left w:val="single" w:color="auto" w:sz="2" w:space="0"/>
              <w:right w:val="single" w:color="auto" w:sz="2" w:space="0"/>
            </w:tcBorders>
            <w:noWrap/>
            <w:vAlign w:val="center"/>
          </w:tcPr>
          <w:p w14:paraId="490B96F0">
            <w:pPr>
              <w:widowControl/>
              <w:jc w:val="center"/>
              <w:rPr>
                <w:kern w:val="0"/>
                <w:sz w:val="18"/>
                <w:szCs w:val="18"/>
              </w:rPr>
            </w:pPr>
            <w:r>
              <w:rPr>
                <w:kern w:val="0"/>
                <w:sz w:val="18"/>
                <w:szCs w:val="18"/>
              </w:rPr>
              <w:t>0.000813</w:t>
            </w:r>
          </w:p>
        </w:tc>
        <w:tc>
          <w:tcPr>
            <w:tcW w:w="834" w:type="pct"/>
            <w:tcBorders>
              <w:left w:val="single" w:color="auto" w:sz="2" w:space="0"/>
              <w:right w:val="double" w:color="auto" w:sz="4" w:space="0"/>
            </w:tcBorders>
            <w:noWrap/>
            <w:vAlign w:val="center"/>
          </w:tcPr>
          <w:p w14:paraId="745D9AF0">
            <w:pPr>
              <w:widowControl/>
              <w:jc w:val="center"/>
              <w:rPr>
                <w:kern w:val="0"/>
                <w:sz w:val="18"/>
                <w:szCs w:val="18"/>
              </w:rPr>
            </w:pPr>
            <w:r>
              <w:rPr>
                <w:kern w:val="0"/>
                <w:sz w:val="18"/>
                <w:szCs w:val="18"/>
              </w:rPr>
              <w:t>2508.3</w:t>
            </w:r>
          </w:p>
        </w:tc>
        <w:tc>
          <w:tcPr>
            <w:tcW w:w="833" w:type="pct"/>
            <w:tcBorders>
              <w:left w:val="double" w:color="auto" w:sz="4" w:space="0"/>
              <w:right w:val="single" w:color="auto" w:sz="2" w:space="0"/>
            </w:tcBorders>
            <w:vAlign w:val="center"/>
          </w:tcPr>
          <w:p w14:paraId="15976423">
            <w:pPr>
              <w:jc w:val="center"/>
              <w:rPr>
                <w:kern w:val="0"/>
                <w:sz w:val="18"/>
                <w:szCs w:val="18"/>
              </w:rPr>
            </w:pPr>
            <w:r>
              <w:rPr>
                <w:kern w:val="0"/>
                <w:sz w:val="18"/>
                <w:szCs w:val="18"/>
              </w:rPr>
              <w:t>110</w:t>
            </w:r>
          </w:p>
        </w:tc>
        <w:tc>
          <w:tcPr>
            <w:tcW w:w="833" w:type="pct"/>
            <w:tcBorders>
              <w:left w:val="single" w:color="auto" w:sz="2" w:space="0"/>
              <w:right w:val="single" w:color="auto" w:sz="2" w:space="0"/>
            </w:tcBorders>
            <w:noWrap/>
            <w:vAlign w:val="center"/>
          </w:tcPr>
          <w:p w14:paraId="4FB6CFFB">
            <w:pPr>
              <w:widowControl/>
              <w:jc w:val="center"/>
              <w:rPr>
                <w:kern w:val="0"/>
                <w:sz w:val="18"/>
                <w:szCs w:val="18"/>
              </w:rPr>
            </w:pPr>
            <w:r>
              <w:rPr>
                <w:kern w:val="0"/>
                <w:sz w:val="18"/>
                <w:szCs w:val="18"/>
              </w:rPr>
              <w:t xml:space="preserve"> 0.143</w:t>
            </w:r>
          </w:p>
        </w:tc>
        <w:tc>
          <w:tcPr>
            <w:tcW w:w="834" w:type="pct"/>
            <w:tcBorders>
              <w:left w:val="single" w:color="auto" w:sz="2" w:space="0"/>
            </w:tcBorders>
            <w:noWrap/>
            <w:vAlign w:val="center"/>
          </w:tcPr>
          <w:p w14:paraId="7EF89AB5">
            <w:pPr>
              <w:widowControl/>
              <w:jc w:val="center"/>
              <w:rPr>
                <w:kern w:val="0"/>
                <w:sz w:val="18"/>
                <w:szCs w:val="18"/>
              </w:rPr>
            </w:pPr>
            <w:r>
              <w:rPr>
                <w:kern w:val="0"/>
                <w:sz w:val="18"/>
                <w:szCs w:val="18"/>
              </w:rPr>
              <w:t>2691.8</w:t>
            </w:r>
          </w:p>
        </w:tc>
      </w:tr>
      <w:tr w14:paraId="74EB9022">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039C9086">
            <w:pPr>
              <w:widowControl/>
              <w:jc w:val="center"/>
              <w:rPr>
                <w:kern w:val="0"/>
                <w:sz w:val="18"/>
                <w:szCs w:val="18"/>
              </w:rPr>
            </w:pPr>
            <w:r>
              <w:rPr>
                <w:kern w:val="0"/>
                <w:sz w:val="18"/>
                <w:szCs w:val="18"/>
              </w:rPr>
              <w:t xml:space="preserve"> 5</w:t>
            </w:r>
          </w:p>
        </w:tc>
        <w:tc>
          <w:tcPr>
            <w:tcW w:w="833" w:type="pct"/>
            <w:tcBorders>
              <w:left w:val="single" w:color="auto" w:sz="2" w:space="0"/>
              <w:right w:val="single" w:color="auto" w:sz="2" w:space="0"/>
            </w:tcBorders>
            <w:noWrap/>
            <w:vAlign w:val="center"/>
          </w:tcPr>
          <w:p w14:paraId="2D3629B7">
            <w:pPr>
              <w:widowControl/>
              <w:jc w:val="center"/>
              <w:rPr>
                <w:kern w:val="0"/>
                <w:sz w:val="18"/>
                <w:szCs w:val="18"/>
              </w:rPr>
            </w:pPr>
            <w:r>
              <w:rPr>
                <w:kern w:val="0"/>
                <w:sz w:val="18"/>
                <w:szCs w:val="18"/>
              </w:rPr>
              <w:t>0.000872</w:t>
            </w:r>
          </w:p>
        </w:tc>
        <w:tc>
          <w:tcPr>
            <w:tcW w:w="834" w:type="pct"/>
            <w:tcBorders>
              <w:left w:val="single" w:color="auto" w:sz="2" w:space="0"/>
              <w:right w:val="double" w:color="auto" w:sz="4" w:space="0"/>
            </w:tcBorders>
            <w:noWrap/>
            <w:vAlign w:val="center"/>
          </w:tcPr>
          <w:p w14:paraId="2DE769F8">
            <w:pPr>
              <w:widowControl/>
              <w:jc w:val="center"/>
              <w:rPr>
                <w:kern w:val="0"/>
                <w:sz w:val="18"/>
                <w:szCs w:val="18"/>
              </w:rPr>
            </w:pPr>
            <w:r>
              <w:rPr>
                <w:kern w:val="0"/>
                <w:sz w:val="18"/>
                <w:szCs w:val="18"/>
              </w:rPr>
              <w:t>2510.2</w:t>
            </w:r>
          </w:p>
        </w:tc>
        <w:tc>
          <w:tcPr>
            <w:tcW w:w="833" w:type="pct"/>
            <w:tcBorders>
              <w:left w:val="double" w:color="auto" w:sz="4" w:space="0"/>
              <w:right w:val="single" w:color="auto" w:sz="2" w:space="0"/>
            </w:tcBorders>
            <w:vAlign w:val="center"/>
          </w:tcPr>
          <w:p w14:paraId="08E3E2A6">
            <w:pPr>
              <w:jc w:val="center"/>
              <w:rPr>
                <w:kern w:val="0"/>
                <w:sz w:val="18"/>
                <w:szCs w:val="18"/>
              </w:rPr>
            </w:pPr>
            <w:r>
              <w:rPr>
                <w:kern w:val="0"/>
                <w:sz w:val="18"/>
                <w:szCs w:val="18"/>
              </w:rPr>
              <w:t>120</w:t>
            </w:r>
          </w:p>
        </w:tc>
        <w:tc>
          <w:tcPr>
            <w:tcW w:w="833" w:type="pct"/>
            <w:tcBorders>
              <w:left w:val="single" w:color="auto" w:sz="2" w:space="0"/>
              <w:right w:val="single" w:color="auto" w:sz="2" w:space="0"/>
            </w:tcBorders>
            <w:noWrap/>
            <w:vAlign w:val="center"/>
          </w:tcPr>
          <w:p w14:paraId="3B15FABF">
            <w:pPr>
              <w:widowControl/>
              <w:jc w:val="center"/>
              <w:rPr>
                <w:kern w:val="0"/>
                <w:sz w:val="18"/>
                <w:szCs w:val="18"/>
              </w:rPr>
            </w:pPr>
            <w:r>
              <w:rPr>
                <w:kern w:val="0"/>
                <w:sz w:val="18"/>
                <w:szCs w:val="18"/>
              </w:rPr>
              <w:t xml:space="preserve"> 0.199</w:t>
            </w:r>
          </w:p>
        </w:tc>
        <w:tc>
          <w:tcPr>
            <w:tcW w:w="834" w:type="pct"/>
            <w:tcBorders>
              <w:left w:val="single" w:color="auto" w:sz="2" w:space="0"/>
            </w:tcBorders>
            <w:noWrap/>
            <w:vAlign w:val="center"/>
          </w:tcPr>
          <w:p w14:paraId="2439857A">
            <w:pPr>
              <w:widowControl/>
              <w:jc w:val="center"/>
              <w:rPr>
                <w:kern w:val="0"/>
                <w:sz w:val="18"/>
                <w:szCs w:val="18"/>
              </w:rPr>
            </w:pPr>
            <w:r>
              <w:rPr>
                <w:kern w:val="0"/>
                <w:sz w:val="18"/>
                <w:szCs w:val="18"/>
              </w:rPr>
              <w:t>2706.6</w:t>
            </w:r>
          </w:p>
        </w:tc>
      </w:tr>
      <w:tr w14:paraId="0569E2E1">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66170704">
            <w:pPr>
              <w:widowControl/>
              <w:jc w:val="center"/>
              <w:rPr>
                <w:kern w:val="0"/>
                <w:sz w:val="18"/>
                <w:szCs w:val="18"/>
              </w:rPr>
            </w:pPr>
            <w:r>
              <w:rPr>
                <w:kern w:val="0"/>
                <w:sz w:val="18"/>
                <w:szCs w:val="18"/>
              </w:rPr>
              <w:t xml:space="preserve"> 6</w:t>
            </w:r>
          </w:p>
        </w:tc>
        <w:tc>
          <w:tcPr>
            <w:tcW w:w="833" w:type="pct"/>
            <w:tcBorders>
              <w:left w:val="single" w:color="auto" w:sz="2" w:space="0"/>
              <w:right w:val="single" w:color="auto" w:sz="2" w:space="0"/>
            </w:tcBorders>
            <w:noWrap/>
            <w:vAlign w:val="center"/>
          </w:tcPr>
          <w:p w14:paraId="060611D8">
            <w:pPr>
              <w:widowControl/>
              <w:jc w:val="center"/>
              <w:rPr>
                <w:kern w:val="0"/>
                <w:sz w:val="18"/>
                <w:szCs w:val="18"/>
              </w:rPr>
            </w:pPr>
            <w:r>
              <w:rPr>
                <w:kern w:val="0"/>
                <w:sz w:val="18"/>
                <w:szCs w:val="18"/>
              </w:rPr>
              <w:t>0.000935</w:t>
            </w:r>
          </w:p>
        </w:tc>
        <w:tc>
          <w:tcPr>
            <w:tcW w:w="834" w:type="pct"/>
            <w:tcBorders>
              <w:left w:val="single" w:color="auto" w:sz="2" w:space="0"/>
              <w:right w:val="double" w:color="auto" w:sz="4" w:space="0"/>
            </w:tcBorders>
            <w:noWrap/>
            <w:vAlign w:val="center"/>
          </w:tcPr>
          <w:p w14:paraId="7981FBF3">
            <w:pPr>
              <w:widowControl/>
              <w:jc w:val="center"/>
              <w:rPr>
                <w:kern w:val="0"/>
                <w:sz w:val="18"/>
                <w:szCs w:val="18"/>
              </w:rPr>
            </w:pPr>
            <w:r>
              <w:rPr>
                <w:kern w:val="0"/>
                <w:sz w:val="18"/>
                <w:szCs w:val="18"/>
              </w:rPr>
              <w:t>2512.0</w:t>
            </w:r>
          </w:p>
        </w:tc>
        <w:tc>
          <w:tcPr>
            <w:tcW w:w="833" w:type="pct"/>
            <w:tcBorders>
              <w:left w:val="double" w:color="auto" w:sz="4" w:space="0"/>
              <w:right w:val="single" w:color="auto" w:sz="2" w:space="0"/>
            </w:tcBorders>
            <w:vAlign w:val="center"/>
          </w:tcPr>
          <w:p w14:paraId="7FEABD2A">
            <w:pPr>
              <w:jc w:val="center"/>
              <w:rPr>
                <w:kern w:val="0"/>
                <w:sz w:val="18"/>
                <w:szCs w:val="18"/>
              </w:rPr>
            </w:pPr>
            <w:r>
              <w:rPr>
                <w:kern w:val="0"/>
                <w:sz w:val="18"/>
                <w:szCs w:val="18"/>
              </w:rPr>
              <w:t>130</w:t>
            </w:r>
          </w:p>
        </w:tc>
        <w:tc>
          <w:tcPr>
            <w:tcW w:w="833" w:type="pct"/>
            <w:tcBorders>
              <w:left w:val="single" w:color="auto" w:sz="2" w:space="0"/>
              <w:right w:val="single" w:color="auto" w:sz="2" w:space="0"/>
            </w:tcBorders>
            <w:noWrap/>
            <w:vAlign w:val="center"/>
          </w:tcPr>
          <w:p w14:paraId="75AD2C97">
            <w:pPr>
              <w:widowControl/>
              <w:jc w:val="center"/>
              <w:rPr>
                <w:kern w:val="0"/>
                <w:sz w:val="18"/>
                <w:szCs w:val="18"/>
              </w:rPr>
            </w:pPr>
            <w:r>
              <w:rPr>
                <w:kern w:val="0"/>
                <w:sz w:val="18"/>
                <w:szCs w:val="18"/>
              </w:rPr>
              <w:t xml:space="preserve"> 0.270</w:t>
            </w:r>
          </w:p>
        </w:tc>
        <w:tc>
          <w:tcPr>
            <w:tcW w:w="834" w:type="pct"/>
            <w:tcBorders>
              <w:left w:val="single" w:color="auto" w:sz="2" w:space="0"/>
            </w:tcBorders>
            <w:noWrap/>
            <w:vAlign w:val="center"/>
          </w:tcPr>
          <w:p w14:paraId="20B189F3">
            <w:pPr>
              <w:widowControl/>
              <w:jc w:val="center"/>
              <w:rPr>
                <w:kern w:val="0"/>
                <w:sz w:val="18"/>
                <w:szCs w:val="18"/>
              </w:rPr>
            </w:pPr>
            <w:r>
              <w:rPr>
                <w:kern w:val="0"/>
                <w:sz w:val="18"/>
                <w:szCs w:val="18"/>
              </w:rPr>
              <w:t>2720.7</w:t>
            </w:r>
          </w:p>
        </w:tc>
      </w:tr>
      <w:tr w14:paraId="322C8E55">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15D55AE5">
            <w:pPr>
              <w:widowControl/>
              <w:jc w:val="center"/>
              <w:rPr>
                <w:kern w:val="0"/>
                <w:sz w:val="18"/>
                <w:szCs w:val="18"/>
              </w:rPr>
            </w:pPr>
            <w:r>
              <w:rPr>
                <w:kern w:val="0"/>
                <w:sz w:val="18"/>
                <w:szCs w:val="18"/>
              </w:rPr>
              <w:t xml:space="preserve"> 7</w:t>
            </w:r>
          </w:p>
        </w:tc>
        <w:tc>
          <w:tcPr>
            <w:tcW w:w="833" w:type="pct"/>
            <w:tcBorders>
              <w:left w:val="single" w:color="auto" w:sz="2" w:space="0"/>
              <w:right w:val="single" w:color="auto" w:sz="2" w:space="0"/>
            </w:tcBorders>
            <w:noWrap/>
            <w:vAlign w:val="center"/>
          </w:tcPr>
          <w:p w14:paraId="1D024068">
            <w:pPr>
              <w:widowControl/>
              <w:jc w:val="center"/>
              <w:rPr>
                <w:kern w:val="0"/>
                <w:sz w:val="18"/>
                <w:szCs w:val="18"/>
              </w:rPr>
            </w:pPr>
            <w:r>
              <w:rPr>
                <w:kern w:val="0"/>
                <w:sz w:val="18"/>
                <w:szCs w:val="18"/>
              </w:rPr>
              <w:t>0.001001</w:t>
            </w:r>
          </w:p>
        </w:tc>
        <w:tc>
          <w:tcPr>
            <w:tcW w:w="834" w:type="pct"/>
            <w:tcBorders>
              <w:left w:val="single" w:color="auto" w:sz="2" w:space="0"/>
              <w:right w:val="double" w:color="auto" w:sz="4" w:space="0"/>
            </w:tcBorders>
            <w:noWrap/>
            <w:vAlign w:val="center"/>
          </w:tcPr>
          <w:p w14:paraId="74E47DD2">
            <w:pPr>
              <w:widowControl/>
              <w:jc w:val="center"/>
              <w:rPr>
                <w:kern w:val="0"/>
                <w:sz w:val="18"/>
                <w:szCs w:val="18"/>
              </w:rPr>
            </w:pPr>
            <w:r>
              <w:rPr>
                <w:kern w:val="0"/>
                <w:sz w:val="18"/>
                <w:szCs w:val="18"/>
              </w:rPr>
              <w:t>2513.9</w:t>
            </w:r>
          </w:p>
        </w:tc>
        <w:tc>
          <w:tcPr>
            <w:tcW w:w="833" w:type="pct"/>
            <w:tcBorders>
              <w:left w:val="double" w:color="auto" w:sz="4" w:space="0"/>
              <w:right w:val="single" w:color="auto" w:sz="2" w:space="0"/>
            </w:tcBorders>
            <w:vAlign w:val="center"/>
          </w:tcPr>
          <w:p w14:paraId="6EE76A0A">
            <w:pPr>
              <w:jc w:val="center"/>
              <w:rPr>
                <w:kern w:val="0"/>
                <w:sz w:val="18"/>
                <w:szCs w:val="18"/>
              </w:rPr>
            </w:pPr>
            <w:r>
              <w:rPr>
                <w:kern w:val="0"/>
                <w:sz w:val="18"/>
                <w:szCs w:val="18"/>
              </w:rPr>
              <w:t>140</w:t>
            </w:r>
          </w:p>
        </w:tc>
        <w:tc>
          <w:tcPr>
            <w:tcW w:w="833" w:type="pct"/>
            <w:tcBorders>
              <w:left w:val="single" w:color="auto" w:sz="2" w:space="0"/>
              <w:right w:val="single" w:color="auto" w:sz="2" w:space="0"/>
            </w:tcBorders>
            <w:noWrap/>
            <w:vAlign w:val="center"/>
          </w:tcPr>
          <w:p w14:paraId="6CED288D">
            <w:pPr>
              <w:widowControl/>
              <w:jc w:val="center"/>
              <w:rPr>
                <w:kern w:val="0"/>
                <w:sz w:val="18"/>
                <w:szCs w:val="18"/>
              </w:rPr>
            </w:pPr>
            <w:r>
              <w:rPr>
                <w:kern w:val="0"/>
                <w:sz w:val="18"/>
                <w:szCs w:val="18"/>
              </w:rPr>
              <w:t xml:space="preserve"> 0.361</w:t>
            </w:r>
          </w:p>
        </w:tc>
        <w:tc>
          <w:tcPr>
            <w:tcW w:w="834" w:type="pct"/>
            <w:tcBorders>
              <w:left w:val="single" w:color="auto" w:sz="2" w:space="0"/>
            </w:tcBorders>
            <w:noWrap/>
            <w:vAlign w:val="center"/>
          </w:tcPr>
          <w:p w14:paraId="3F43686D">
            <w:pPr>
              <w:widowControl/>
              <w:jc w:val="center"/>
              <w:rPr>
                <w:kern w:val="0"/>
                <w:sz w:val="18"/>
                <w:szCs w:val="18"/>
              </w:rPr>
            </w:pPr>
            <w:r>
              <w:rPr>
                <w:kern w:val="0"/>
                <w:sz w:val="18"/>
                <w:szCs w:val="18"/>
              </w:rPr>
              <w:t>2734.0</w:t>
            </w:r>
          </w:p>
        </w:tc>
      </w:tr>
      <w:tr w14:paraId="34C7D547">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10737A06">
            <w:pPr>
              <w:widowControl/>
              <w:jc w:val="center"/>
              <w:rPr>
                <w:kern w:val="0"/>
                <w:sz w:val="18"/>
                <w:szCs w:val="18"/>
              </w:rPr>
            </w:pPr>
            <w:r>
              <w:rPr>
                <w:kern w:val="0"/>
                <w:sz w:val="18"/>
                <w:szCs w:val="18"/>
              </w:rPr>
              <w:t xml:space="preserve"> 8</w:t>
            </w:r>
          </w:p>
        </w:tc>
        <w:tc>
          <w:tcPr>
            <w:tcW w:w="833" w:type="pct"/>
            <w:tcBorders>
              <w:left w:val="single" w:color="auto" w:sz="2" w:space="0"/>
              <w:right w:val="single" w:color="auto" w:sz="2" w:space="0"/>
            </w:tcBorders>
            <w:noWrap/>
            <w:vAlign w:val="center"/>
          </w:tcPr>
          <w:p w14:paraId="21495370">
            <w:pPr>
              <w:widowControl/>
              <w:jc w:val="center"/>
              <w:rPr>
                <w:kern w:val="0"/>
                <w:sz w:val="18"/>
                <w:szCs w:val="18"/>
              </w:rPr>
            </w:pPr>
            <w:r>
              <w:rPr>
                <w:kern w:val="0"/>
                <w:sz w:val="18"/>
                <w:szCs w:val="18"/>
              </w:rPr>
              <w:t>0.001072</w:t>
            </w:r>
          </w:p>
        </w:tc>
        <w:tc>
          <w:tcPr>
            <w:tcW w:w="834" w:type="pct"/>
            <w:tcBorders>
              <w:left w:val="single" w:color="auto" w:sz="2" w:space="0"/>
              <w:right w:val="double" w:color="auto" w:sz="4" w:space="0"/>
            </w:tcBorders>
            <w:noWrap/>
            <w:vAlign w:val="center"/>
          </w:tcPr>
          <w:p w14:paraId="6C3523C2">
            <w:pPr>
              <w:widowControl/>
              <w:jc w:val="center"/>
              <w:rPr>
                <w:kern w:val="0"/>
                <w:sz w:val="18"/>
                <w:szCs w:val="18"/>
              </w:rPr>
            </w:pPr>
            <w:r>
              <w:rPr>
                <w:kern w:val="0"/>
                <w:sz w:val="18"/>
                <w:szCs w:val="18"/>
              </w:rPr>
              <w:t>2515.7</w:t>
            </w:r>
          </w:p>
        </w:tc>
        <w:tc>
          <w:tcPr>
            <w:tcW w:w="833" w:type="pct"/>
            <w:tcBorders>
              <w:left w:val="double" w:color="auto" w:sz="4" w:space="0"/>
              <w:right w:val="single" w:color="auto" w:sz="2" w:space="0"/>
            </w:tcBorders>
            <w:vAlign w:val="center"/>
          </w:tcPr>
          <w:p w14:paraId="7E69E469">
            <w:pPr>
              <w:jc w:val="center"/>
              <w:rPr>
                <w:kern w:val="0"/>
                <w:sz w:val="18"/>
                <w:szCs w:val="18"/>
              </w:rPr>
            </w:pPr>
            <w:r>
              <w:rPr>
                <w:kern w:val="0"/>
                <w:sz w:val="18"/>
                <w:szCs w:val="18"/>
              </w:rPr>
              <w:t>150</w:t>
            </w:r>
          </w:p>
        </w:tc>
        <w:tc>
          <w:tcPr>
            <w:tcW w:w="833" w:type="pct"/>
            <w:tcBorders>
              <w:left w:val="single" w:color="auto" w:sz="2" w:space="0"/>
              <w:right w:val="single" w:color="auto" w:sz="2" w:space="0"/>
            </w:tcBorders>
            <w:noWrap/>
            <w:vAlign w:val="center"/>
          </w:tcPr>
          <w:p w14:paraId="425B79F5">
            <w:pPr>
              <w:widowControl/>
              <w:jc w:val="center"/>
              <w:rPr>
                <w:kern w:val="0"/>
                <w:sz w:val="18"/>
                <w:szCs w:val="18"/>
              </w:rPr>
            </w:pPr>
            <w:r>
              <w:rPr>
                <w:kern w:val="0"/>
                <w:sz w:val="18"/>
                <w:szCs w:val="18"/>
              </w:rPr>
              <w:t xml:space="preserve"> 0.476</w:t>
            </w:r>
          </w:p>
        </w:tc>
        <w:tc>
          <w:tcPr>
            <w:tcW w:w="834" w:type="pct"/>
            <w:tcBorders>
              <w:left w:val="single" w:color="auto" w:sz="2" w:space="0"/>
            </w:tcBorders>
            <w:noWrap/>
            <w:vAlign w:val="center"/>
          </w:tcPr>
          <w:p w14:paraId="3EB84679">
            <w:pPr>
              <w:widowControl/>
              <w:jc w:val="center"/>
              <w:rPr>
                <w:kern w:val="0"/>
                <w:sz w:val="18"/>
                <w:szCs w:val="18"/>
              </w:rPr>
            </w:pPr>
            <w:r>
              <w:rPr>
                <w:kern w:val="0"/>
                <w:sz w:val="18"/>
                <w:szCs w:val="18"/>
              </w:rPr>
              <w:t>2746.3</w:t>
            </w:r>
          </w:p>
        </w:tc>
      </w:tr>
      <w:tr w14:paraId="38FD0073">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F88FD0C">
            <w:pPr>
              <w:widowControl/>
              <w:jc w:val="center"/>
              <w:rPr>
                <w:kern w:val="0"/>
                <w:sz w:val="18"/>
                <w:szCs w:val="18"/>
              </w:rPr>
            </w:pPr>
            <w:r>
              <w:rPr>
                <w:kern w:val="0"/>
                <w:sz w:val="18"/>
                <w:szCs w:val="18"/>
              </w:rPr>
              <w:t xml:space="preserve"> 9</w:t>
            </w:r>
          </w:p>
        </w:tc>
        <w:tc>
          <w:tcPr>
            <w:tcW w:w="833" w:type="pct"/>
            <w:tcBorders>
              <w:left w:val="single" w:color="auto" w:sz="2" w:space="0"/>
              <w:right w:val="single" w:color="auto" w:sz="2" w:space="0"/>
            </w:tcBorders>
            <w:noWrap/>
            <w:vAlign w:val="center"/>
          </w:tcPr>
          <w:p w14:paraId="27762AED">
            <w:pPr>
              <w:widowControl/>
              <w:jc w:val="center"/>
              <w:rPr>
                <w:kern w:val="0"/>
                <w:sz w:val="18"/>
                <w:szCs w:val="18"/>
              </w:rPr>
            </w:pPr>
            <w:r>
              <w:rPr>
                <w:kern w:val="0"/>
                <w:sz w:val="18"/>
                <w:szCs w:val="18"/>
              </w:rPr>
              <w:t>0.001147</w:t>
            </w:r>
          </w:p>
        </w:tc>
        <w:tc>
          <w:tcPr>
            <w:tcW w:w="834" w:type="pct"/>
            <w:tcBorders>
              <w:left w:val="single" w:color="auto" w:sz="2" w:space="0"/>
              <w:right w:val="double" w:color="auto" w:sz="4" w:space="0"/>
            </w:tcBorders>
            <w:noWrap/>
            <w:vAlign w:val="center"/>
          </w:tcPr>
          <w:p w14:paraId="22BBD28A">
            <w:pPr>
              <w:widowControl/>
              <w:jc w:val="center"/>
              <w:rPr>
                <w:kern w:val="0"/>
                <w:sz w:val="18"/>
                <w:szCs w:val="18"/>
              </w:rPr>
            </w:pPr>
            <w:r>
              <w:rPr>
                <w:kern w:val="0"/>
                <w:sz w:val="18"/>
                <w:szCs w:val="18"/>
              </w:rPr>
              <w:t>2517.5</w:t>
            </w:r>
          </w:p>
        </w:tc>
        <w:tc>
          <w:tcPr>
            <w:tcW w:w="833" w:type="pct"/>
            <w:tcBorders>
              <w:left w:val="double" w:color="auto" w:sz="4" w:space="0"/>
              <w:right w:val="single" w:color="auto" w:sz="2" w:space="0"/>
            </w:tcBorders>
            <w:vAlign w:val="center"/>
          </w:tcPr>
          <w:p w14:paraId="447C2625">
            <w:pPr>
              <w:jc w:val="center"/>
              <w:rPr>
                <w:kern w:val="0"/>
                <w:sz w:val="18"/>
                <w:szCs w:val="18"/>
              </w:rPr>
            </w:pPr>
            <w:r>
              <w:rPr>
                <w:kern w:val="0"/>
                <w:sz w:val="18"/>
                <w:szCs w:val="18"/>
              </w:rPr>
              <w:t>160</w:t>
            </w:r>
          </w:p>
        </w:tc>
        <w:tc>
          <w:tcPr>
            <w:tcW w:w="833" w:type="pct"/>
            <w:tcBorders>
              <w:left w:val="single" w:color="auto" w:sz="2" w:space="0"/>
              <w:right w:val="single" w:color="auto" w:sz="2" w:space="0"/>
            </w:tcBorders>
            <w:noWrap/>
            <w:vAlign w:val="center"/>
          </w:tcPr>
          <w:p w14:paraId="6A9025B5">
            <w:pPr>
              <w:widowControl/>
              <w:jc w:val="center"/>
              <w:rPr>
                <w:kern w:val="0"/>
                <w:sz w:val="18"/>
                <w:szCs w:val="18"/>
              </w:rPr>
            </w:pPr>
            <w:r>
              <w:rPr>
                <w:kern w:val="0"/>
                <w:sz w:val="18"/>
                <w:szCs w:val="18"/>
              </w:rPr>
              <w:t xml:space="preserve"> 0.618</w:t>
            </w:r>
          </w:p>
        </w:tc>
        <w:tc>
          <w:tcPr>
            <w:tcW w:w="834" w:type="pct"/>
            <w:tcBorders>
              <w:left w:val="single" w:color="auto" w:sz="2" w:space="0"/>
            </w:tcBorders>
            <w:noWrap/>
            <w:vAlign w:val="center"/>
          </w:tcPr>
          <w:p w14:paraId="3FE0822B">
            <w:pPr>
              <w:widowControl/>
              <w:jc w:val="center"/>
              <w:rPr>
                <w:kern w:val="0"/>
                <w:sz w:val="18"/>
                <w:szCs w:val="18"/>
              </w:rPr>
            </w:pPr>
            <w:r>
              <w:rPr>
                <w:kern w:val="0"/>
                <w:sz w:val="18"/>
                <w:szCs w:val="18"/>
              </w:rPr>
              <w:t>2757.7</w:t>
            </w:r>
          </w:p>
        </w:tc>
      </w:tr>
      <w:tr w14:paraId="0FB0CCB6">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1BF5D39">
            <w:pPr>
              <w:widowControl/>
              <w:jc w:val="center"/>
              <w:rPr>
                <w:kern w:val="0"/>
                <w:sz w:val="18"/>
                <w:szCs w:val="18"/>
              </w:rPr>
            </w:pPr>
            <w:r>
              <w:rPr>
                <w:kern w:val="0"/>
                <w:sz w:val="18"/>
                <w:szCs w:val="18"/>
              </w:rPr>
              <w:t>10</w:t>
            </w:r>
          </w:p>
        </w:tc>
        <w:tc>
          <w:tcPr>
            <w:tcW w:w="833" w:type="pct"/>
            <w:tcBorders>
              <w:left w:val="single" w:color="auto" w:sz="2" w:space="0"/>
              <w:right w:val="single" w:color="auto" w:sz="2" w:space="0"/>
            </w:tcBorders>
            <w:noWrap/>
            <w:vAlign w:val="center"/>
          </w:tcPr>
          <w:p w14:paraId="75D83F05">
            <w:pPr>
              <w:widowControl/>
              <w:jc w:val="center"/>
              <w:rPr>
                <w:kern w:val="0"/>
                <w:sz w:val="18"/>
                <w:szCs w:val="18"/>
              </w:rPr>
            </w:pPr>
            <w:r>
              <w:rPr>
                <w:kern w:val="0"/>
                <w:sz w:val="18"/>
                <w:szCs w:val="18"/>
              </w:rPr>
              <w:t>0.001227</w:t>
            </w:r>
          </w:p>
        </w:tc>
        <w:tc>
          <w:tcPr>
            <w:tcW w:w="834" w:type="pct"/>
            <w:tcBorders>
              <w:left w:val="single" w:color="auto" w:sz="2" w:space="0"/>
              <w:right w:val="double" w:color="auto" w:sz="4" w:space="0"/>
            </w:tcBorders>
            <w:noWrap/>
            <w:vAlign w:val="center"/>
          </w:tcPr>
          <w:p w14:paraId="2373E744">
            <w:pPr>
              <w:widowControl/>
              <w:jc w:val="center"/>
              <w:rPr>
                <w:kern w:val="0"/>
                <w:sz w:val="18"/>
                <w:szCs w:val="18"/>
              </w:rPr>
            </w:pPr>
            <w:r>
              <w:rPr>
                <w:kern w:val="0"/>
                <w:sz w:val="18"/>
                <w:szCs w:val="18"/>
              </w:rPr>
              <w:t>2519.4</w:t>
            </w:r>
          </w:p>
        </w:tc>
        <w:tc>
          <w:tcPr>
            <w:tcW w:w="833" w:type="pct"/>
            <w:tcBorders>
              <w:left w:val="double" w:color="auto" w:sz="4" w:space="0"/>
              <w:right w:val="single" w:color="auto" w:sz="2" w:space="0"/>
            </w:tcBorders>
            <w:vAlign w:val="center"/>
          </w:tcPr>
          <w:p w14:paraId="72767F40">
            <w:pPr>
              <w:jc w:val="center"/>
              <w:rPr>
                <w:kern w:val="0"/>
                <w:sz w:val="18"/>
                <w:szCs w:val="18"/>
              </w:rPr>
            </w:pPr>
            <w:r>
              <w:rPr>
                <w:kern w:val="0"/>
                <w:sz w:val="18"/>
                <w:szCs w:val="18"/>
              </w:rPr>
              <w:t>170</w:t>
            </w:r>
          </w:p>
        </w:tc>
        <w:tc>
          <w:tcPr>
            <w:tcW w:w="833" w:type="pct"/>
            <w:tcBorders>
              <w:left w:val="single" w:color="auto" w:sz="2" w:space="0"/>
              <w:right w:val="single" w:color="auto" w:sz="2" w:space="0"/>
            </w:tcBorders>
            <w:noWrap/>
            <w:vAlign w:val="center"/>
          </w:tcPr>
          <w:p w14:paraId="16065ABB">
            <w:pPr>
              <w:widowControl/>
              <w:jc w:val="center"/>
              <w:rPr>
                <w:kern w:val="0"/>
                <w:sz w:val="18"/>
                <w:szCs w:val="18"/>
              </w:rPr>
            </w:pPr>
            <w:r>
              <w:rPr>
                <w:kern w:val="0"/>
                <w:sz w:val="18"/>
                <w:szCs w:val="18"/>
              </w:rPr>
              <w:t xml:space="preserve"> 0.792</w:t>
            </w:r>
          </w:p>
        </w:tc>
        <w:tc>
          <w:tcPr>
            <w:tcW w:w="834" w:type="pct"/>
            <w:tcBorders>
              <w:left w:val="single" w:color="auto" w:sz="2" w:space="0"/>
            </w:tcBorders>
            <w:noWrap/>
            <w:vAlign w:val="center"/>
          </w:tcPr>
          <w:p w14:paraId="31CA6B7D">
            <w:pPr>
              <w:widowControl/>
              <w:jc w:val="center"/>
              <w:rPr>
                <w:kern w:val="0"/>
                <w:sz w:val="18"/>
                <w:szCs w:val="18"/>
              </w:rPr>
            </w:pPr>
            <w:r>
              <w:rPr>
                <w:kern w:val="0"/>
                <w:sz w:val="18"/>
                <w:szCs w:val="18"/>
              </w:rPr>
              <w:t>2768.0</w:t>
            </w:r>
          </w:p>
        </w:tc>
      </w:tr>
      <w:tr w14:paraId="1005E286">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FD923ED">
            <w:pPr>
              <w:widowControl/>
              <w:jc w:val="center"/>
              <w:rPr>
                <w:kern w:val="0"/>
                <w:sz w:val="18"/>
                <w:szCs w:val="18"/>
              </w:rPr>
            </w:pPr>
            <w:r>
              <w:rPr>
                <w:kern w:val="0"/>
                <w:sz w:val="18"/>
                <w:szCs w:val="18"/>
              </w:rPr>
              <w:t>11</w:t>
            </w:r>
          </w:p>
        </w:tc>
        <w:tc>
          <w:tcPr>
            <w:tcW w:w="833" w:type="pct"/>
            <w:tcBorders>
              <w:left w:val="single" w:color="auto" w:sz="2" w:space="0"/>
              <w:right w:val="single" w:color="auto" w:sz="2" w:space="0"/>
            </w:tcBorders>
            <w:noWrap/>
            <w:vAlign w:val="center"/>
          </w:tcPr>
          <w:p w14:paraId="441492D8">
            <w:pPr>
              <w:widowControl/>
              <w:jc w:val="center"/>
              <w:rPr>
                <w:kern w:val="0"/>
                <w:sz w:val="18"/>
                <w:szCs w:val="18"/>
              </w:rPr>
            </w:pPr>
            <w:r>
              <w:rPr>
                <w:kern w:val="0"/>
                <w:sz w:val="18"/>
                <w:szCs w:val="18"/>
              </w:rPr>
              <w:t>0.001312</w:t>
            </w:r>
          </w:p>
        </w:tc>
        <w:tc>
          <w:tcPr>
            <w:tcW w:w="834" w:type="pct"/>
            <w:tcBorders>
              <w:left w:val="single" w:color="auto" w:sz="2" w:space="0"/>
              <w:right w:val="double" w:color="auto" w:sz="4" w:space="0"/>
            </w:tcBorders>
            <w:noWrap/>
            <w:vAlign w:val="center"/>
          </w:tcPr>
          <w:p w14:paraId="303B51BA">
            <w:pPr>
              <w:widowControl/>
              <w:jc w:val="center"/>
              <w:rPr>
                <w:kern w:val="0"/>
                <w:sz w:val="18"/>
                <w:szCs w:val="18"/>
              </w:rPr>
            </w:pPr>
            <w:r>
              <w:rPr>
                <w:kern w:val="0"/>
                <w:sz w:val="18"/>
                <w:szCs w:val="18"/>
              </w:rPr>
              <w:t>2521.2</w:t>
            </w:r>
          </w:p>
        </w:tc>
        <w:tc>
          <w:tcPr>
            <w:tcW w:w="833" w:type="pct"/>
            <w:tcBorders>
              <w:left w:val="double" w:color="auto" w:sz="4" w:space="0"/>
              <w:right w:val="single" w:color="auto" w:sz="2" w:space="0"/>
            </w:tcBorders>
            <w:vAlign w:val="center"/>
          </w:tcPr>
          <w:p w14:paraId="4813C426">
            <w:pPr>
              <w:jc w:val="center"/>
              <w:rPr>
                <w:kern w:val="0"/>
                <w:sz w:val="18"/>
                <w:szCs w:val="18"/>
              </w:rPr>
            </w:pPr>
            <w:r>
              <w:rPr>
                <w:kern w:val="0"/>
                <w:sz w:val="18"/>
                <w:szCs w:val="18"/>
              </w:rPr>
              <w:t>180</w:t>
            </w:r>
          </w:p>
        </w:tc>
        <w:tc>
          <w:tcPr>
            <w:tcW w:w="833" w:type="pct"/>
            <w:tcBorders>
              <w:left w:val="single" w:color="auto" w:sz="2" w:space="0"/>
              <w:right w:val="single" w:color="auto" w:sz="2" w:space="0"/>
            </w:tcBorders>
            <w:noWrap/>
            <w:vAlign w:val="center"/>
          </w:tcPr>
          <w:p w14:paraId="1DBECB35">
            <w:pPr>
              <w:widowControl/>
              <w:jc w:val="center"/>
              <w:rPr>
                <w:kern w:val="0"/>
                <w:sz w:val="18"/>
                <w:szCs w:val="18"/>
              </w:rPr>
            </w:pPr>
            <w:r>
              <w:rPr>
                <w:kern w:val="0"/>
                <w:sz w:val="18"/>
                <w:szCs w:val="18"/>
              </w:rPr>
              <w:t xml:space="preserve"> 1.003</w:t>
            </w:r>
          </w:p>
        </w:tc>
        <w:tc>
          <w:tcPr>
            <w:tcW w:w="834" w:type="pct"/>
            <w:tcBorders>
              <w:left w:val="single" w:color="auto" w:sz="2" w:space="0"/>
            </w:tcBorders>
            <w:noWrap/>
            <w:vAlign w:val="center"/>
          </w:tcPr>
          <w:p w14:paraId="33C67469">
            <w:pPr>
              <w:widowControl/>
              <w:jc w:val="center"/>
              <w:rPr>
                <w:kern w:val="0"/>
                <w:sz w:val="18"/>
                <w:szCs w:val="18"/>
              </w:rPr>
            </w:pPr>
            <w:r>
              <w:rPr>
                <w:kern w:val="0"/>
                <w:sz w:val="18"/>
                <w:szCs w:val="18"/>
              </w:rPr>
              <w:t>2777.1</w:t>
            </w:r>
          </w:p>
        </w:tc>
      </w:tr>
      <w:tr w14:paraId="76D0D986">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48EFF63E">
            <w:pPr>
              <w:widowControl/>
              <w:jc w:val="center"/>
              <w:rPr>
                <w:kern w:val="0"/>
                <w:sz w:val="18"/>
                <w:szCs w:val="18"/>
              </w:rPr>
            </w:pPr>
            <w:r>
              <w:rPr>
                <w:kern w:val="0"/>
                <w:sz w:val="18"/>
                <w:szCs w:val="18"/>
              </w:rPr>
              <w:t>12</w:t>
            </w:r>
          </w:p>
        </w:tc>
        <w:tc>
          <w:tcPr>
            <w:tcW w:w="833" w:type="pct"/>
            <w:tcBorders>
              <w:left w:val="single" w:color="auto" w:sz="2" w:space="0"/>
              <w:right w:val="single" w:color="auto" w:sz="2" w:space="0"/>
            </w:tcBorders>
            <w:noWrap/>
            <w:vAlign w:val="center"/>
          </w:tcPr>
          <w:p w14:paraId="660FA819">
            <w:pPr>
              <w:widowControl/>
              <w:jc w:val="center"/>
              <w:rPr>
                <w:kern w:val="0"/>
                <w:sz w:val="18"/>
                <w:szCs w:val="18"/>
              </w:rPr>
            </w:pPr>
            <w:r>
              <w:rPr>
                <w:kern w:val="0"/>
                <w:sz w:val="18"/>
                <w:szCs w:val="18"/>
              </w:rPr>
              <w:t>0.001402</w:t>
            </w:r>
          </w:p>
        </w:tc>
        <w:tc>
          <w:tcPr>
            <w:tcW w:w="834" w:type="pct"/>
            <w:tcBorders>
              <w:left w:val="single" w:color="auto" w:sz="2" w:space="0"/>
              <w:right w:val="double" w:color="auto" w:sz="4" w:space="0"/>
            </w:tcBorders>
            <w:noWrap/>
            <w:vAlign w:val="center"/>
          </w:tcPr>
          <w:p w14:paraId="0C158515">
            <w:pPr>
              <w:widowControl/>
              <w:jc w:val="center"/>
              <w:rPr>
                <w:kern w:val="0"/>
                <w:sz w:val="18"/>
                <w:szCs w:val="18"/>
              </w:rPr>
            </w:pPr>
            <w:r>
              <w:rPr>
                <w:kern w:val="0"/>
                <w:sz w:val="18"/>
                <w:szCs w:val="18"/>
              </w:rPr>
              <w:t>2523.0</w:t>
            </w:r>
          </w:p>
        </w:tc>
        <w:tc>
          <w:tcPr>
            <w:tcW w:w="833" w:type="pct"/>
            <w:tcBorders>
              <w:left w:val="double" w:color="auto" w:sz="4" w:space="0"/>
              <w:right w:val="single" w:color="auto" w:sz="2" w:space="0"/>
            </w:tcBorders>
            <w:vAlign w:val="center"/>
          </w:tcPr>
          <w:p w14:paraId="78CAB530">
            <w:pPr>
              <w:jc w:val="center"/>
              <w:rPr>
                <w:kern w:val="0"/>
                <w:sz w:val="18"/>
                <w:szCs w:val="18"/>
              </w:rPr>
            </w:pPr>
            <w:r>
              <w:rPr>
                <w:kern w:val="0"/>
                <w:sz w:val="18"/>
                <w:szCs w:val="18"/>
              </w:rPr>
              <w:t>190</w:t>
            </w:r>
          </w:p>
        </w:tc>
        <w:tc>
          <w:tcPr>
            <w:tcW w:w="833" w:type="pct"/>
            <w:tcBorders>
              <w:left w:val="single" w:color="auto" w:sz="2" w:space="0"/>
              <w:right w:val="single" w:color="auto" w:sz="2" w:space="0"/>
            </w:tcBorders>
            <w:noWrap/>
            <w:vAlign w:val="center"/>
          </w:tcPr>
          <w:p w14:paraId="7143E569">
            <w:pPr>
              <w:widowControl/>
              <w:jc w:val="center"/>
              <w:rPr>
                <w:kern w:val="0"/>
                <w:sz w:val="18"/>
                <w:szCs w:val="18"/>
              </w:rPr>
            </w:pPr>
            <w:r>
              <w:rPr>
                <w:kern w:val="0"/>
                <w:sz w:val="18"/>
                <w:szCs w:val="18"/>
              </w:rPr>
              <w:t xml:space="preserve"> 1.255</w:t>
            </w:r>
          </w:p>
        </w:tc>
        <w:tc>
          <w:tcPr>
            <w:tcW w:w="834" w:type="pct"/>
            <w:tcBorders>
              <w:left w:val="single" w:color="auto" w:sz="2" w:space="0"/>
            </w:tcBorders>
            <w:noWrap/>
            <w:vAlign w:val="center"/>
          </w:tcPr>
          <w:p w14:paraId="1D97F83D">
            <w:pPr>
              <w:widowControl/>
              <w:jc w:val="center"/>
              <w:rPr>
                <w:kern w:val="0"/>
                <w:sz w:val="18"/>
                <w:szCs w:val="18"/>
              </w:rPr>
            </w:pPr>
            <w:r>
              <w:rPr>
                <w:kern w:val="0"/>
                <w:sz w:val="18"/>
                <w:szCs w:val="18"/>
              </w:rPr>
              <w:t>2784.9</w:t>
            </w:r>
          </w:p>
        </w:tc>
      </w:tr>
      <w:tr w14:paraId="06720E2D">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7F0FEB1">
            <w:pPr>
              <w:widowControl/>
              <w:jc w:val="center"/>
              <w:rPr>
                <w:kern w:val="0"/>
                <w:sz w:val="18"/>
                <w:szCs w:val="18"/>
              </w:rPr>
            </w:pPr>
            <w:r>
              <w:rPr>
                <w:kern w:val="0"/>
                <w:sz w:val="18"/>
                <w:szCs w:val="18"/>
              </w:rPr>
              <w:t>13</w:t>
            </w:r>
          </w:p>
        </w:tc>
        <w:tc>
          <w:tcPr>
            <w:tcW w:w="833" w:type="pct"/>
            <w:tcBorders>
              <w:left w:val="single" w:color="auto" w:sz="2" w:space="0"/>
              <w:right w:val="single" w:color="auto" w:sz="2" w:space="0"/>
            </w:tcBorders>
            <w:noWrap/>
            <w:vAlign w:val="center"/>
          </w:tcPr>
          <w:p w14:paraId="79D2988C">
            <w:pPr>
              <w:widowControl/>
              <w:jc w:val="center"/>
              <w:rPr>
                <w:kern w:val="0"/>
                <w:sz w:val="18"/>
                <w:szCs w:val="18"/>
              </w:rPr>
            </w:pPr>
            <w:r>
              <w:rPr>
                <w:kern w:val="0"/>
                <w:sz w:val="18"/>
                <w:szCs w:val="18"/>
              </w:rPr>
              <w:t>0.001497</w:t>
            </w:r>
          </w:p>
        </w:tc>
        <w:tc>
          <w:tcPr>
            <w:tcW w:w="834" w:type="pct"/>
            <w:tcBorders>
              <w:left w:val="single" w:color="auto" w:sz="2" w:space="0"/>
              <w:right w:val="double" w:color="auto" w:sz="4" w:space="0"/>
            </w:tcBorders>
            <w:noWrap/>
            <w:vAlign w:val="center"/>
          </w:tcPr>
          <w:p w14:paraId="0E508CAB">
            <w:pPr>
              <w:widowControl/>
              <w:jc w:val="center"/>
              <w:rPr>
                <w:kern w:val="0"/>
                <w:sz w:val="18"/>
                <w:szCs w:val="18"/>
              </w:rPr>
            </w:pPr>
            <w:r>
              <w:rPr>
                <w:kern w:val="0"/>
                <w:sz w:val="18"/>
                <w:szCs w:val="18"/>
              </w:rPr>
              <w:t>2524.9</w:t>
            </w:r>
          </w:p>
        </w:tc>
        <w:tc>
          <w:tcPr>
            <w:tcW w:w="833" w:type="pct"/>
            <w:tcBorders>
              <w:left w:val="double" w:color="auto" w:sz="4" w:space="0"/>
              <w:right w:val="single" w:color="auto" w:sz="2" w:space="0"/>
            </w:tcBorders>
            <w:vAlign w:val="center"/>
          </w:tcPr>
          <w:p w14:paraId="545DE7A2">
            <w:pPr>
              <w:jc w:val="center"/>
              <w:rPr>
                <w:kern w:val="0"/>
                <w:sz w:val="18"/>
                <w:szCs w:val="18"/>
              </w:rPr>
            </w:pPr>
            <w:r>
              <w:rPr>
                <w:kern w:val="0"/>
                <w:sz w:val="18"/>
                <w:szCs w:val="18"/>
              </w:rPr>
              <w:t>200</w:t>
            </w:r>
          </w:p>
        </w:tc>
        <w:tc>
          <w:tcPr>
            <w:tcW w:w="833" w:type="pct"/>
            <w:tcBorders>
              <w:left w:val="single" w:color="auto" w:sz="2" w:space="0"/>
              <w:right w:val="single" w:color="auto" w:sz="2" w:space="0"/>
            </w:tcBorders>
            <w:noWrap/>
            <w:vAlign w:val="center"/>
          </w:tcPr>
          <w:p w14:paraId="56321C2D">
            <w:pPr>
              <w:widowControl/>
              <w:jc w:val="center"/>
              <w:rPr>
                <w:kern w:val="0"/>
                <w:sz w:val="18"/>
                <w:szCs w:val="18"/>
              </w:rPr>
            </w:pPr>
            <w:r>
              <w:rPr>
                <w:kern w:val="0"/>
                <w:sz w:val="18"/>
                <w:szCs w:val="18"/>
              </w:rPr>
              <w:t xml:space="preserve"> 1.555</w:t>
            </w:r>
          </w:p>
        </w:tc>
        <w:tc>
          <w:tcPr>
            <w:tcW w:w="834" w:type="pct"/>
            <w:tcBorders>
              <w:left w:val="single" w:color="auto" w:sz="2" w:space="0"/>
            </w:tcBorders>
            <w:noWrap/>
            <w:vAlign w:val="center"/>
          </w:tcPr>
          <w:p w14:paraId="363C0D92">
            <w:pPr>
              <w:widowControl/>
              <w:jc w:val="center"/>
              <w:rPr>
                <w:kern w:val="0"/>
                <w:sz w:val="18"/>
                <w:szCs w:val="18"/>
              </w:rPr>
            </w:pPr>
            <w:r>
              <w:rPr>
                <w:kern w:val="0"/>
                <w:sz w:val="18"/>
                <w:szCs w:val="18"/>
              </w:rPr>
              <w:t>2791.4</w:t>
            </w:r>
          </w:p>
        </w:tc>
      </w:tr>
      <w:tr w14:paraId="039728B1">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CECE9AE">
            <w:pPr>
              <w:widowControl/>
              <w:jc w:val="center"/>
              <w:rPr>
                <w:kern w:val="0"/>
                <w:sz w:val="18"/>
                <w:szCs w:val="18"/>
              </w:rPr>
            </w:pPr>
            <w:r>
              <w:rPr>
                <w:kern w:val="0"/>
                <w:sz w:val="18"/>
                <w:szCs w:val="18"/>
              </w:rPr>
              <w:t>14</w:t>
            </w:r>
          </w:p>
        </w:tc>
        <w:tc>
          <w:tcPr>
            <w:tcW w:w="833" w:type="pct"/>
            <w:tcBorders>
              <w:left w:val="single" w:color="auto" w:sz="2" w:space="0"/>
              <w:right w:val="single" w:color="auto" w:sz="2" w:space="0"/>
            </w:tcBorders>
            <w:noWrap/>
            <w:vAlign w:val="center"/>
          </w:tcPr>
          <w:p w14:paraId="354EC3AA">
            <w:pPr>
              <w:widowControl/>
              <w:jc w:val="center"/>
              <w:rPr>
                <w:kern w:val="0"/>
                <w:sz w:val="18"/>
                <w:szCs w:val="18"/>
              </w:rPr>
            </w:pPr>
            <w:r>
              <w:rPr>
                <w:kern w:val="0"/>
                <w:sz w:val="18"/>
                <w:szCs w:val="18"/>
              </w:rPr>
              <w:t>0.001597</w:t>
            </w:r>
          </w:p>
        </w:tc>
        <w:tc>
          <w:tcPr>
            <w:tcW w:w="834" w:type="pct"/>
            <w:tcBorders>
              <w:left w:val="single" w:color="auto" w:sz="2" w:space="0"/>
              <w:right w:val="double" w:color="auto" w:sz="4" w:space="0"/>
            </w:tcBorders>
            <w:noWrap/>
            <w:vAlign w:val="center"/>
          </w:tcPr>
          <w:p w14:paraId="2920FC94">
            <w:pPr>
              <w:widowControl/>
              <w:jc w:val="center"/>
              <w:rPr>
                <w:kern w:val="0"/>
                <w:sz w:val="18"/>
                <w:szCs w:val="18"/>
              </w:rPr>
            </w:pPr>
            <w:r>
              <w:rPr>
                <w:kern w:val="0"/>
                <w:sz w:val="18"/>
                <w:szCs w:val="18"/>
              </w:rPr>
              <w:t>2526.7</w:t>
            </w:r>
          </w:p>
        </w:tc>
        <w:tc>
          <w:tcPr>
            <w:tcW w:w="833" w:type="pct"/>
            <w:tcBorders>
              <w:left w:val="double" w:color="auto" w:sz="4" w:space="0"/>
              <w:right w:val="single" w:color="auto" w:sz="2" w:space="0"/>
            </w:tcBorders>
            <w:vAlign w:val="center"/>
          </w:tcPr>
          <w:p w14:paraId="1FCEA76D">
            <w:pPr>
              <w:jc w:val="center"/>
              <w:rPr>
                <w:kern w:val="0"/>
                <w:sz w:val="18"/>
                <w:szCs w:val="18"/>
              </w:rPr>
            </w:pPr>
            <w:r>
              <w:rPr>
                <w:kern w:val="0"/>
                <w:sz w:val="18"/>
                <w:szCs w:val="18"/>
              </w:rPr>
              <w:t>210</w:t>
            </w:r>
          </w:p>
        </w:tc>
        <w:tc>
          <w:tcPr>
            <w:tcW w:w="833" w:type="pct"/>
            <w:tcBorders>
              <w:left w:val="single" w:color="auto" w:sz="2" w:space="0"/>
              <w:right w:val="single" w:color="auto" w:sz="2" w:space="0"/>
            </w:tcBorders>
            <w:noWrap/>
            <w:vAlign w:val="center"/>
          </w:tcPr>
          <w:p w14:paraId="7A75E3C7">
            <w:pPr>
              <w:widowControl/>
              <w:jc w:val="center"/>
              <w:rPr>
                <w:kern w:val="0"/>
                <w:sz w:val="18"/>
                <w:szCs w:val="18"/>
              </w:rPr>
            </w:pPr>
            <w:r>
              <w:rPr>
                <w:kern w:val="0"/>
                <w:sz w:val="18"/>
                <w:szCs w:val="18"/>
              </w:rPr>
              <w:t xml:space="preserve"> 1.908</w:t>
            </w:r>
          </w:p>
        </w:tc>
        <w:tc>
          <w:tcPr>
            <w:tcW w:w="834" w:type="pct"/>
            <w:tcBorders>
              <w:left w:val="single" w:color="auto" w:sz="2" w:space="0"/>
            </w:tcBorders>
            <w:noWrap/>
            <w:vAlign w:val="center"/>
          </w:tcPr>
          <w:p w14:paraId="63A1F0B9">
            <w:pPr>
              <w:widowControl/>
              <w:jc w:val="center"/>
              <w:rPr>
                <w:kern w:val="0"/>
                <w:sz w:val="18"/>
                <w:szCs w:val="18"/>
              </w:rPr>
            </w:pPr>
            <w:r>
              <w:rPr>
                <w:kern w:val="0"/>
                <w:sz w:val="18"/>
                <w:szCs w:val="18"/>
              </w:rPr>
              <w:t>2796.4</w:t>
            </w:r>
          </w:p>
        </w:tc>
      </w:tr>
      <w:tr w14:paraId="5111CC38">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07F72621">
            <w:pPr>
              <w:widowControl/>
              <w:jc w:val="center"/>
              <w:rPr>
                <w:kern w:val="0"/>
                <w:sz w:val="18"/>
                <w:szCs w:val="18"/>
              </w:rPr>
            </w:pPr>
            <w:r>
              <w:rPr>
                <w:kern w:val="0"/>
                <w:sz w:val="18"/>
                <w:szCs w:val="18"/>
              </w:rPr>
              <w:t>15</w:t>
            </w:r>
          </w:p>
        </w:tc>
        <w:tc>
          <w:tcPr>
            <w:tcW w:w="833" w:type="pct"/>
            <w:tcBorders>
              <w:left w:val="single" w:color="auto" w:sz="2" w:space="0"/>
              <w:right w:val="single" w:color="auto" w:sz="2" w:space="0"/>
            </w:tcBorders>
            <w:noWrap/>
            <w:vAlign w:val="center"/>
          </w:tcPr>
          <w:p w14:paraId="5FF5DA4F">
            <w:pPr>
              <w:widowControl/>
              <w:jc w:val="center"/>
              <w:rPr>
                <w:kern w:val="0"/>
                <w:sz w:val="18"/>
                <w:szCs w:val="18"/>
              </w:rPr>
            </w:pPr>
            <w:r>
              <w:rPr>
                <w:kern w:val="0"/>
                <w:sz w:val="18"/>
                <w:szCs w:val="18"/>
              </w:rPr>
              <w:t>0.001704</w:t>
            </w:r>
          </w:p>
        </w:tc>
        <w:tc>
          <w:tcPr>
            <w:tcW w:w="834" w:type="pct"/>
            <w:tcBorders>
              <w:left w:val="single" w:color="auto" w:sz="2" w:space="0"/>
              <w:right w:val="double" w:color="auto" w:sz="4" w:space="0"/>
            </w:tcBorders>
            <w:noWrap/>
            <w:vAlign w:val="center"/>
          </w:tcPr>
          <w:p w14:paraId="583A67A7">
            <w:pPr>
              <w:widowControl/>
              <w:jc w:val="center"/>
              <w:rPr>
                <w:kern w:val="0"/>
                <w:sz w:val="18"/>
                <w:szCs w:val="18"/>
              </w:rPr>
            </w:pPr>
            <w:r>
              <w:rPr>
                <w:kern w:val="0"/>
                <w:sz w:val="18"/>
                <w:szCs w:val="18"/>
              </w:rPr>
              <w:t>2528.6</w:t>
            </w:r>
          </w:p>
        </w:tc>
        <w:tc>
          <w:tcPr>
            <w:tcW w:w="833" w:type="pct"/>
            <w:tcBorders>
              <w:left w:val="double" w:color="auto" w:sz="4" w:space="0"/>
              <w:right w:val="single" w:color="auto" w:sz="2" w:space="0"/>
            </w:tcBorders>
            <w:vAlign w:val="center"/>
          </w:tcPr>
          <w:p w14:paraId="766444A8">
            <w:pPr>
              <w:jc w:val="center"/>
              <w:rPr>
                <w:kern w:val="0"/>
                <w:sz w:val="18"/>
                <w:szCs w:val="18"/>
              </w:rPr>
            </w:pPr>
            <w:r>
              <w:rPr>
                <w:kern w:val="0"/>
                <w:sz w:val="18"/>
                <w:szCs w:val="18"/>
              </w:rPr>
              <w:t>220</w:t>
            </w:r>
          </w:p>
        </w:tc>
        <w:tc>
          <w:tcPr>
            <w:tcW w:w="833" w:type="pct"/>
            <w:tcBorders>
              <w:left w:val="single" w:color="auto" w:sz="2" w:space="0"/>
              <w:right w:val="single" w:color="auto" w:sz="2" w:space="0"/>
            </w:tcBorders>
            <w:noWrap/>
            <w:vAlign w:val="center"/>
          </w:tcPr>
          <w:p w14:paraId="07D5529E">
            <w:pPr>
              <w:widowControl/>
              <w:jc w:val="center"/>
              <w:rPr>
                <w:kern w:val="0"/>
                <w:sz w:val="18"/>
                <w:szCs w:val="18"/>
              </w:rPr>
            </w:pPr>
            <w:r>
              <w:rPr>
                <w:kern w:val="0"/>
                <w:sz w:val="18"/>
                <w:szCs w:val="18"/>
              </w:rPr>
              <w:t xml:space="preserve"> 2.320</w:t>
            </w:r>
          </w:p>
        </w:tc>
        <w:tc>
          <w:tcPr>
            <w:tcW w:w="834" w:type="pct"/>
            <w:tcBorders>
              <w:left w:val="single" w:color="auto" w:sz="2" w:space="0"/>
            </w:tcBorders>
            <w:noWrap/>
            <w:vAlign w:val="center"/>
          </w:tcPr>
          <w:p w14:paraId="69880B35">
            <w:pPr>
              <w:widowControl/>
              <w:jc w:val="center"/>
              <w:rPr>
                <w:kern w:val="0"/>
                <w:sz w:val="18"/>
                <w:szCs w:val="18"/>
              </w:rPr>
            </w:pPr>
            <w:r>
              <w:rPr>
                <w:kern w:val="0"/>
                <w:sz w:val="18"/>
                <w:szCs w:val="18"/>
              </w:rPr>
              <w:t>2799.9</w:t>
            </w:r>
          </w:p>
        </w:tc>
      </w:tr>
      <w:tr w14:paraId="4B8D8CC3">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0EE24A70">
            <w:pPr>
              <w:widowControl/>
              <w:jc w:val="center"/>
              <w:rPr>
                <w:kern w:val="0"/>
                <w:sz w:val="18"/>
                <w:szCs w:val="18"/>
              </w:rPr>
            </w:pPr>
            <w:r>
              <w:rPr>
                <w:kern w:val="0"/>
                <w:sz w:val="18"/>
                <w:szCs w:val="18"/>
              </w:rPr>
              <w:t>16</w:t>
            </w:r>
          </w:p>
        </w:tc>
        <w:tc>
          <w:tcPr>
            <w:tcW w:w="833" w:type="pct"/>
            <w:tcBorders>
              <w:left w:val="single" w:color="auto" w:sz="2" w:space="0"/>
              <w:right w:val="single" w:color="auto" w:sz="2" w:space="0"/>
            </w:tcBorders>
            <w:noWrap/>
            <w:vAlign w:val="center"/>
          </w:tcPr>
          <w:p w14:paraId="6FBCC4C4">
            <w:pPr>
              <w:widowControl/>
              <w:jc w:val="center"/>
              <w:rPr>
                <w:kern w:val="0"/>
                <w:sz w:val="18"/>
                <w:szCs w:val="18"/>
              </w:rPr>
            </w:pPr>
            <w:r>
              <w:rPr>
                <w:kern w:val="0"/>
                <w:sz w:val="18"/>
                <w:szCs w:val="18"/>
              </w:rPr>
              <w:t>0.001817</w:t>
            </w:r>
          </w:p>
        </w:tc>
        <w:tc>
          <w:tcPr>
            <w:tcW w:w="834" w:type="pct"/>
            <w:tcBorders>
              <w:left w:val="single" w:color="auto" w:sz="2" w:space="0"/>
              <w:right w:val="double" w:color="auto" w:sz="4" w:space="0"/>
            </w:tcBorders>
            <w:noWrap/>
            <w:vAlign w:val="center"/>
          </w:tcPr>
          <w:p w14:paraId="7A49114A">
            <w:pPr>
              <w:widowControl/>
              <w:jc w:val="center"/>
              <w:rPr>
                <w:kern w:val="0"/>
                <w:sz w:val="18"/>
                <w:szCs w:val="18"/>
              </w:rPr>
            </w:pPr>
            <w:r>
              <w:rPr>
                <w:kern w:val="0"/>
                <w:sz w:val="18"/>
                <w:szCs w:val="18"/>
              </w:rPr>
              <w:t>2530.4</w:t>
            </w:r>
          </w:p>
        </w:tc>
        <w:tc>
          <w:tcPr>
            <w:tcW w:w="833" w:type="pct"/>
            <w:tcBorders>
              <w:left w:val="double" w:color="auto" w:sz="4" w:space="0"/>
              <w:right w:val="single" w:color="auto" w:sz="2" w:space="0"/>
            </w:tcBorders>
            <w:vAlign w:val="center"/>
          </w:tcPr>
          <w:p w14:paraId="55791880">
            <w:pPr>
              <w:jc w:val="center"/>
              <w:rPr>
                <w:kern w:val="0"/>
                <w:sz w:val="18"/>
                <w:szCs w:val="18"/>
              </w:rPr>
            </w:pPr>
            <w:r>
              <w:rPr>
                <w:kern w:val="0"/>
                <w:sz w:val="18"/>
                <w:szCs w:val="18"/>
              </w:rPr>
              <w:t>230</w:t>
            </w:r>
          </w:p>
        </w:tc>
        <w:tc>
          <w:tcPr>
            <w:tcW w:w="833" w:type="pct"/>
            <w:tcBorders>
              <w:left w:val="single" w:color="auto" w:sz="2" w:space="0"/>
              <w:right w:val="single" w:color="auto" w:sz="2" w:space="0"/>
            </w:tcBorders>
            <w:noWrap/>
            <w:vAlign w:val="center"/>
          </w:tcPr>
          <w:p w14:paraId="5983E5BB">
            <w:pPr>
              <w:widowControl/>
              <w:jc w:val="center"/>
              <w:rPr>
                <w:kern w:val="0"/>
                <w:sz w:val="18"/>
                <w:szCs w:val="18"/>
              </w:rPr>
            </w:pPr>
            <w:r>
              <w:rPr>
                <w:kern w:val="0"/>
                <w:sz w:val="18"/>
                <w:szCs w:val="18"/>
              </w:rPr>
              <w:t xml:space="preserve"> 2.798</w:t>
            </w:r>
          </w:p>
        </w:tc>
        <w:tc>
          <w:tcPr>
            <w:tcW w:w="834" w:type="pct"/>
            <w:tcBorders>
              <w:left w:val="single" w:color="auto" w:sz="2" w:space="0"/>
            </w:tcBorders>
            <w:noWrap/>
            <w:vAlign w:val="center"/>
          </w:tcPr>
          <w:p w14:paraId="10A0BC1F">
            <w:pPr>
              <w:widowControl/>
              <w:jc w:val="center"/>
              <w:rPr>
                <w:kern w:val="0"/>
                <w:sz w:val="18"/>
                <w:szCs w:val="18"/>
              </w:rPr>
            </w:pPr>
            <w:r>
              <w:rPr>
                <w:kern w:val="0"/>
                <w:sz w:val="18"/>
                <w:szCs w:val="18"/>
              </w:rPr>
              <w:t>2801.7</w:t>
            </w:r>
          </w:p>
        </w:tc>
      </w:tr>
      <w:tr w14:paraId="10CB5B47">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366F0A2">
            <w:pPr>
              <w:widowControl/>
              <w:jc w:val="center"/>
              <w:rPr>
                <w:kern w:val="0"/>
                <w:sz w:val="18"/>
                <w:szCs w:val="18"/>
              </w:rPr>
            </w:pPr>
            <w:r>
              <w:rPr>
                <w:kern w:val="0"/>
                <w:sz w:val="18"/>
                <w:szCs w:val="18"/>
              </w:rPr>
              <w:t>17</w:t>
            </w:r>
          </w:p>
        </w:tc>
        <w:tc>
          <w:tcPr>
            <w:tcW w:w="833" w:type="pct"/>
            <w:tcBorders>
              <w:left w:val="single" w:color="auto" w:sz="2" w:space="0"/>
              <w:right w:val="single" w:color="auto" w:sz="2" w:space="0"/>
            </w:tcBorders>
            <w:noWrap/>
            <w:vAlign w:val="center"/>
          </w:tcPr>
          <w:p w14:paraId="4AFAA89D">
            <w:pPr>
              <w:widowControl/>
              <w:jc w:val="center"/>
              <w:rPr>
                <w:kern w:val="0"/>
                <w:sz w:val="18"/>
                <w:szCs w:val="18"/>
              </w:rPr>
            </w:pPr>
            <w:r>
              <w:rPr>
                <w:kern w:val="0"/>
                <w:sz w:val="18"/>
                <w:szCs w:val="18"/>
              </w:rPr>
              <w:t>0.001936</w:t>
            </w:r>
          </w:p>
        </w:tc>
        <w:tc>
          <w:tcPr>
            <w:tcW w:w="834" w:type="pct"/>
            <w:tcBorders>
              <w:left w:val="single" w:color="auto" w:sz="2" w:space="0"/>
              <w:right w:val="double" w:color="auto" w:sz="4" w:space="0"/>
            </w:tcBorders>
            <w:noWrap/>
            <w:vAlign w:val="center"/>
          </w:tcPr>
          <w:p w14:paraId="49C91321">
            <w:pPr>
              <w:widowControl/>
              <w:jc w:val="center"/>
              <w:rPr>
                <w:kern w:val="0"/>
                <w:sz w:val="18"/>
                <w:szCs w:val="18"/>
              </w:rPr>
            </w:pPr>
            <w:r>
              <w:rPr>
                <w:kern w:val="0"/>
                <w:sz w:val="18"/>
                <w:szCs w:val="18"/>
              </w:rPr>
              <w:t>2532.2</w:t>
            </w:r>
          </w:p>
        </w:tc>
        <w:tc>
          <w:tcPr>
            <w:tcW w:w="833" w:type="pct"/>
            <w:tcBorders>
              <w:left w:val="double" w:color="auto" w:sz="4" w:space="0"/>
              <w:right w:val="single" w:color="auto" w:sz="2" w:space="0"/>
            </w:tcBorders>
            <w:vAlign w:val="center"/>
          </w:tcPr>
          <w:p w14:paraId="52F50428">
            <w:pPr>
              <w:jc w:val="center"/>
              <w:rPr>
                <w:kern w:val="0"/>
                <w:sz w:val="18"/>
                <w:szCs w:val="18"/>
              </w:rPr>
            </w:pPr>
            <w:r>
              <w:rPr>
                <w:kern w:val="0"/>
                <w:sz w:val="18"/>
                <w:szCs w:val="18"/>
              </w:rPr>
              <w:t>240</w:t>
            </w:r>
          </w:p>
        </w:tc>
        <w:tc>
          <w:tcPr>
            <w:tcW w:w="833" w:type="pct"/>
            <w:tcBorders>
              <w:left w:val="single" w:color="auto" w:sz="2" w:space="0"/>
              <w:right w:val="single" w:color="auto" w:sz="2" w:space="0"/>
            </w:tcBorders>
            <w:noWrap/>
            <w:vAlign w:val="center"/>
          </w:tcPr>
          <w:p w14:paraId="76D12ADE">
            <w:pPr>
              <w:widowControl/>
              <w:jc w:val="center"/>
              <w:rPr>
                <w:kern w:val="0"/>
                <w:sz w:val="18"/>
                <w:szCs w:val="18"/>
              </w:rPr>
            </w:pPr>
            <w:r>
              <w:rPr>
                <w:kern w:val="0"/>
                <w:sz w:val="18"/>
                <w:szCs w:val="18"/>
              </w:rPr>
              <w:t xml:space="preserve"> 3.348</w:t>
            </w:r>
          </w:p>
        </w:tc>
        <w:tc>
          <w:tcPr>
            <w:tcW w:w="834" w:type="pct"/>
            <w:tcBorders>
              <w:left w:val="single" w:color="auto" w:sz="2" w:space="0"/>
            </w:tcBorders>
            <w:noWrap/>
            <w:vAlign w:val="center"/>
          </w:tcPr>
          <w:p w14:paraId="4B9005D3">
            <w:pPr>
              <w:widowControl/>
              <w:jc w:val="center"/>
              <w:rPr>
                <w:kern w:val="0"/>
                <w:sz w:val="18"/>
                <w:szCs w:val="18"/>
              </w:rPr>
            </w:pPr>
            <w:r>
              <w:rPr>
                <w:kern w:val="0"/>
                <w:sz w:val="18"/>
                <w:szCs w:val="18"/>
              </w:rPr>
              <w:t>2801.6</w:t>
            </w:r>
          </w:p>
        </w:tc>
      </w:tr>
      <w:tr w14:paraId="3DB1FA60">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BD98968">
            <w:pPr>
              <w:widowControl/>
              <w:jc w:val="center"/>
              <w:rPr>
                <w:kern w:val="0"/>
                <w:sz w:val="18"/>
                <w:szCs w:val="18"/>
              </w:rPr>
            </w:pPr>
            <w:r>
              <w:rPr>
                <w:kern w:val="0"/>
                <w:sz w:val="18"/>
                <w:szCs w:val="18"/>
              </w:rPr>
              <w:t>18</w:t>
            </w:r>
          </w:p>
        </w:tc>
        <w:tc>
          <w:tcPr>
            <w:tcW w:w="833" w:type="pct"/>
            <w:tcBorders>
              <w:left w:val="single" w:color="auto" w:sz="2" w:space="0"/>
              <w:right w:val="single" w:color="auto" w:sz="2" w:space="0"/>
            </w:tcBorders>
            <w:noWrap/>
            <w:vAlign w:val="center"/>
          </w:tcPr>
          <w:p w14:paraId="24FD20D4">
            <w:pPr>
              <w:widowControl/>
              <w:jc w:val="center"/>
              <w:rPr>
                <w:kern w:val="0"/>
                <w:sz w:val="18"/>
                <w:szCs w:val="18"/>
              </w:rPr>
            </w:pPr>
            <w:r>
              <w:rPr>
                <w:kern w:val="0"/>
                <w:sz w:val="18"/>
                <w:szCs w:val="18"/>
              </w:rPr>
              <w:t>0.002063</w:t>
            </w:r>
          </w:p>
        </w:tc>
        <w:tc>
          <w:tcPr>
            <w:tcW w:w="834" w:type="pct"/>
            <w:tcBorders>
              <w:left w:val="single" w:color="auto" w:sz="2" w:space="0"/>
              <w:right w:val="double" w:color="auto" w:sz="4" w:space="0"/>
            </w:tcBorders>
            <w:noWrap/>
            <w:vAlign w:val="center"/>
          </w:tcPr>
          <w:p w14:paraId="07DE23EF">
            <w:pPr>
              <w:widowControl/>
              <w:jc w:val="center"/>
              <w:rPr>
                <w:kern w:val="0"/>
                <w:sz w:val="18"/>
                <w:szCs w:val="18"/>
              </w:rPr>
            </w:pPr>
            <w:r>
              <w:rPr>
                <w:kern w:val="0"/>
                <w:sz w:val="18"/>
                <w:szCs w:val="18"/>
              </w:rPr>
              <w:t>2534.0</w:t>
            </w:r>
          </w:p>
        </w:tc>
        <w:tc>
          <w:tcPr>
            <w:tcW w:w="833" w:type="pct"/>
            <w:tcBorders>
              <w:left w:val="double" w:color="auto" w:sz="4" w:space="0"/>
              <w:right w:val="single" w:color="auto" w:sz="2" w:space="0"/>
            </w:tcBorders>
            <w:vAlign w:val="center"/>
          </w:tcPr>
          <w:p w14:paraId="430B3327">
            <w:pPr>
              <w:jc w:val="center"/>
              <w:rPr>
                <w:kern w:val="0"/>
                <w:sz w:val="18"/>
                <w:szCs w:val="18"/>
              </w:rPr>
            </w:pPr>
            <w:r>
              <w:rPr>
                <w:kern w:val="0"/>
                <w:sz w:val="18"/>
                <w:szCs w:val="18"/>
              </w:rPr>
              <w:t>250</w:t>
            </w:r>
          </w:p>
        </w:tc>
        <w:tc>
          <w:tcPr>
            <w:tcW w:w="833" w:type="pct"/>
            <w:tcBorders>
              <w:left w:val="single" w:color="auto" w:sz="2" w:space="0"/>
              <w:right w:val="single" w:color="auto" w:sz="2" w:space="0"/>
            </w:tcBorders>
            <w:noWrap/>
            <w:vAlign w:val="center"/>
          </w:tcPr>
          <w:p w14:paraId="1C357297">
            <w:pPr>
              <w:widowControl/>
              <w:jc w:val="center"/>
              <w:rPr>
                <w:kern w:val="0"/>
                <w:sz w:val="18"/>
                <w:szCs w:val="18"/>
              </w:rPr>
            </w:pPr>
            <w:r>
              <w:rPr>
                <w:kern w:val="0"/>
                <w:sz w:val="18"/>
                <w:szCs w:val="18"/>
              </w:rPr>
              <w:t xml:space="preserve"> 3.978</w:t>
            </w:r>
          </w:p>
        </w:tc>
        <w:tc>
          <w:tcPr>
            <w:tcW w:w="834" w:type="pct"/>
            <w:tcBorders>
              <w:left w:val="single" w:color="auto" w:sz="2" w:space="0"/>
            </w:tcBorders>
            <w:noWrap/>
            <w:vAlign w:val="center"/>
          </w:tcPr>
          <w:p w14:paraId="1BED5757">
            <w:pPr>
              <w:widowControl/>
              <w:jc w:val="center"/>
              <w:rPr>
                <w:kern w:val="0"/>
                <w:sz w:val="18"/>
                <w:szCs w:val="18"/>
              </w:rPr>
            </w:pPr>
            <w:r>
              <w:rPr>
                <w:kern w:val="0"/>
                <w:sz w:val="18"/>
                <w:szCs w:val="18"/>
              </w:rPr>
              <w:t>2799.5</w:t>
            </w:r>
          </w:p>
        </w:tc>
      </w:tr>
      <w:tr w14:paraId="1D45FC34">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7963DC7">
            <w:pPr>
              <w:widowControl/>
              <w:jc w:val="center"/>
              <w:rPr>
                <w:kern w:val="0"/>
                <w:sz w:val="18"/>
                <w:szCs w:val="18"/>
              </w:rPr>
            </w:pPr>
            <w:r>
              <w:rPr>
                <w:kern w:val="0"/>
                <w:sz w:val="18"/>
                <w:szCs w:val="18"/>
              </w:rPr>
              <w:t>19</w:t>
            </w:r>
          </w:p>
        </w:tc>
        <w:tc>
          <w:tcPr>
            <w:tcW w:w="833" w:type="pct"/>
            <w:tcBorders>
              <w:left w:val="single" w:color="auto" w:sz="2" w:space="0"/>
              <w:right w:val="single" w:color="auto" w:sz="2" w:space="0"/>
            </w:tcBorders>
            <w:noWrap/>
            <w:vAlign w:val="center"/>
          </w:tcPr>
          <w:p w14:paraId="13084B4D">
            <w:pPr>
              <w:widowControl/>
              <w:jc w:val="center"/>
              <w:rPr>
                <w:kern w:val="0"/>
                <w:sz w:val="18"/>
                <w:szCs w:val="18"/>
              </w:rPr>
            </w:pPr>
            <w:r>
              <w:rPr>
                <w:kern w:val="0"/>
                <w:sz w:val="18"/>
                <w:szCs w:val="18"/>
              </w:rPr>
              <w:t>0.002196</w:t>
            </w:r>
          </w:p>
        </w:tc>
        <w:tc>
          <w:tcPr>
            <w:tcW w:w="834" w:type="pct"/>
            <w:tcBorders>
              <w:left w:val="single" w:color="auto" w:sz="2" w:space="0"/>
              <w:right w:val="double" w:color="auto" w:sz="4" w:space="0"/>
            </w:tcBorders>
            <w:noWrap/>
            <w:vAlign w:val="center"/>
          </w:tcPr>
          <w:p w14:paraId="6760D9B5">
            <w:pPr>
              <w:widowControl/>
              <w:jc w:val="center"/>
              <w:rPr>
                <w:kern w:val="0"/>
                <w:sz w:val="18"/>
                <w:szCs w:val="18"/>
              </w:rPr>
            </w:pPr>
            <w:r>
              <w:rPr>
                <w:kern w:val="0"/>
                <w:sz w:val="18"/>
                <w:szCs w:val="18"/>
              </w:rPr>
              <w:t>2535.9</w:t>
            </w:r>
          </w:p>
        </w:tc>
        <w:tc>
          <w:tcPr>
            <w:tcW w:w="833" w:type="pct"/>
            <w:tcBorders>
              <w:left w:val="double" w:color="auto" w:sz="4" w:space="0"/>
              <w:right w:val="single" w:color="auto" w:sz="2" w:space="0"/>
            </w:tcBorders>
            <w:vAlign w:val="center"/>
          </w:tcPr>
          <w:p w14:paraId="58374ABE">
            <w:pPr>
              <w:jc w:val="center"/>
              <w:rPr>
                <w:kern w:val="0"/>
                <w:sz w:val="18"/>
                <w:szCs w:val="18"/>
              </w:rPr>
            </w:pPr>
            <w:r>
              <w:rPr>
                <w:kern w:val="0"/>
                <w:sz w:val="18"/>
                <w:szCs w:val="18"/>
              </w:rPr>
              <w:t>260</w:t>
            </w:r>
          </w:p>
        </w:tc>
        <w:tc>
          <w:tcPr>
            <w:tcW w:w="833" w:type="pct"/>
            <w:tcBorders>
              <w:left w:val="single" w:color="auto" w:sz="2" w:space="0"/>
              <w:right w:val="single" w:color="auto" w:sz="2" w:space="0"/>
            </w:tcBorders>
            <w:noWrap/>
            <w:vAlign w:val="center"/>
          </w:tcPr>
          <w:p w14:paraId="5DF617C4">
            <w:pPr>
              <w:widowControl/>
              <w:jc w:val="center"/>
              <w:rPr>
                <w:kern w:val="0"/>
                <w:sz w:val="18"/>
                <w:szCs w:val="18"/>
              </w:rPr>
            </w:pPr>
            <w:r>
              <w:rPr>
                <w:kern w:val="0"/>
                <w:sz w:val="18"/>
                <w:szCs w:val="18"/>
              </w:rPr>
              <w:t xml:space="preserve"> 4.694</w:t>
            </w:r>
          </w:p>
        </w:tc>
        <w:tc>
          <w:tcPr>
            <w:tcW w:w="834" w:type="pct"/>
            <w:tcBorders>
              <w:left w:val="single" w:color="auto" w:sz="2" w:space="0"/>
            </w:tcBorders>
            <w:noWrap/>
            <w:vAlign w:val="center"/>
          </w:tcPr>
          <w:p w14:paraId="455332D5">
            <w:pPr>
              <w:widowControl/>
              <w:jc w:val="center"/>
              <w:rPr>
                <w:kern w:val="0"/>
                <w:sz w:val="18"/>
                <w:szCs w:val="18"/>
              </w:rPr>
            </w:pPr>
            <w:r>
              <w:rPr>
                <w:kern w:val="0"/>
                <w:sz w:val="18"/>
                <w:szCs w:val="18"/>
              </w:rPr>
              <w:t>2795.2</w:t>
            </w:r>
          </w:p>
        </w:tc>
      </w:tr>
      <w:tr w14:paraId="040F34AD">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BAE3763">
            <w:pPr>
              <w:widowControl/>
              <w:jc w:val="center"/>
              <w:rPr>
                <w:kern w:val="0"/>
                <w:sz w:val="18"/>
                <w:szCs w:val="18"/>
              </w:rPr>
            </w:pPr>
            <w:r>
              <w:rPr>
                <w:kern w:val="0"/>
                <w:sz w:val="18"/>
                <w:szCs w:val="18"/>
              </w:rPr>
              <w:t>20</w:t>
            </w:r>
          </w:p>
        </w:tc>
        <w:tc>
          <w:tcPr>
            <w:tcW w:w="833" w:type="pct"/>
            <w:tcBorders>
              <w:left w:val="single" w:color="auto" w:sz="2" w:space="0"/>
              <w:right w:val="single" w:color="auto" w:sz="2" w:space="0"/>
            </w:tcBorders>
            <w:noWrap/>
            <w:vAlign w:val="center"/>
          </w:tcPr>
          <w:p w14:paraId="2C5EEAF7">
            <w:pPr>
              <w:widowControl/>
              <w:jc w:val="center"/>
              <w:rPr>
                <w:kern w:val="0"/>
                <w:sz w:val="18"/>
                <w:szCs w:val="18"/>
              </w:rPr>
            </w:pPr>
            <w:r>
              <w:rPr>
                <w:kern w:val="0"/>
                <w:sz w:val="18"/>
                <w:szCs w:val="18"/>
              </w:rPr>
              <w:t>0.002337</w:t>
            </w:r>
          </w:p>
        </w:tc>
        <w:tc>
          <w:tcPr>
            <w:tcW w:w="834" w:type="pct"/>
            <w:tcBorders>
              <w:left w:val="single" w:color="auto" w:sz="2" w:space="0"/>
              <w:right w:val="double" w:color="auto" w:sz="4" w:space="0"/>
            </w:tcBorders>
            <w:noWrap/>
            <w:vAlign w:val="center"/>
          </w:tcPr>
          <w:p w14:paraId="1D6EBEF3">
            <w:pPr>
              <w:widowControl/>
              <w:jc w:val="center"/>
              <w:rPr>
                <w:kern w:val="0"/>
                <w:sz w:val="18"/>
                <w:szCs w:val="18"/>
              </w:rPr>
            </w:pPr>
            <w:r>
              <w:rPr>
                <w:kern w:val="0"/>
                <w:sz w:val="18"/>
                <w:szCs w:val="18"/>
              </w:rPr>
              <w:t>2537.7</w:t>
            </w:r>
          </w:p>
        </w:tc>
        <w:tc>
          <w:tcPr>
            <w:tcW w:w="833" w:type="pct"/>
            <w:tcBorders>
              <w:left w:val="double" w:color="auto" w:sz="4" w:space="0"/>
              <w:right w:val="single" w:color="auto" w:sz="2" w:space="0"/>
            </w:tcBorders>
            <w:vAlign w:val="center"/>
          </w:tcPr>
          <w:p w14:paraId="530D2F28">
            <w:pPr>
              <w:jc w:val="center"/>
              <w:rPr>
                <w:kern w:val="0"/>
                <w:sz w:val="18"/>
                <w:szCs w:val="18"/>
              </w:rPr>
            </w:pPr>
            <w:r>
              <w:rPr>
                <w:kern w:val="0"/>
                <w:sz w:val="18"/>
                <w:szCs w:val="18"/>
              </w:rPr>
              <w:t>270</w:t>
            </w:r>
          </w:p>
        </w:tc>
        <w:tc>
          <w:tcPr>
            <w:tcW w:w="833" w:type="pct"/>
            <w:tcBorders>
              <w:left w:val="single" w:color="auto" w:sz="2" w:space="0"/>
              <w:right w:val="single" w:color="auto" w:sz="2" w:space="0"/>
            </w:tcBorders>
            <w:noWrap/>
            <w:vAlign w:val="center"/>
          </w:tcPr>
          <w:p w14:paraId="1512809C">
            <w:pPr>
              <w:widowControl/>
              <w:jc w:val="center"/>
              <w:rPr>
                <w:kern w:val="0"/>
                <w:sz w:val="18"/>
                <w:szCs w:val="18"/>
              </w:rPr>
            </w:pPr>
            <w:r>
              <w:rPr>
                <w:kern w:val="0"/>
                <w:sz w:val="18"/>
                <w:szCs w:val="18"/>
              </w:rPr>
              <w:t xml:space="preserve"> 5.505</w:t>
            </w:r>
          </w:p>
        </w:tc>
        <w:tc>
          <w:tcPr>
            <w:tcW w:w="834" w:type="pct"/>
            <w:tcBorders>
              <w:left w:val="single" w:color="auto" w:sz="2" w:space="0"/>
            </w:tcBorders>
            <w:noWrap/>
            <w:vAlign w:val="center"/>
          </w:tcPr>
          <w:p w14:paraId="0C4E1487">
            <w:pPr>
              <w:widowControl/>
              <w:jc w:val="center"/>
              <w:rPr>
                <w:kern w:val="0"/>
                <w:sz w:val="18"/>
                <w:szCs w:val="18"/>
              </w:rPr>
            </w:pPr>
            <w:r>
              <w:rPr>
                <w:kern w:val="0"/>
                <w:sz w:val="18"/>
                <w:szCs w:val="18"/>
              </w:rPr>
              <w:t>2788.3</w:t>
            </w:r>
          </w:p>
        </w:tc>
      </w:tr>
      <w:tr w14:paraId="638C9EDF">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07A03249">
            <w:pPr>
              <w:widowControl/>
              <w:jc w:val="center"/>
              <w:rPr>
                <w:kern w:val="0"/>
                <w:sz w:val="18"/>
                <w:szCs w:val="18"/>
              </w:rPr>
            </w:pPr>
            <w:r>
              <w:rPr>
                <w:kern w:val="0"/>
                <w:sz w:val="18"/>
                <w:szCs w:val="18"/>
              </w:rPr>
              <w:t>22</w:t>
            </w:r>
          </w:p>
        </w:tc>
        <w:tc>
          <w:tcPr>
            <w:tcW w:w="833" w:type="pct"/>
            <w:tcBorders>
              <w:left w:val="single" w:color="auto" w:sz="2" w:space="0"/>
              <w:right w:val="single" w:color="auto" w:sz="2" w:space="0"/>
            </w:tcBorders>
            <w:noWrap/>
            <w:vAlign w:val="center"/>
          </w:tcPr>
          <w:p w14:paraId="42EFB431">
            <w:pPr>
              <w:widowControl/>
              <w:jc w:val="center"/>
              <w:rPr>
                <w:kern w:val="0"/>
                <w:sz w:val="18"/>
                <w:szCs w:val="18"/>
              </w:rPr>
            </w:pPr>
            <w:r>
              <w:rPr>
                <w:kern w:val="0"/>
                <w:sz w:val="18"/>
                <w:szCs w:val="18"/>
              </w:rPr>
              <w:t>0.002642</w:t>
            </w:r>
          </w:p>
        </w:tc>
        <w:tc>
          <w:tcPr>
            <w:tcW w:w="834" w:type="pct"/>
            <w:tcBorders>
              <w:left w:val="single" w:color="auto" w:sz="2" w:space="0"/>
              <w:right w:val="double" w:color="auto" w:sz="4" w:space="0"/>
            </w:tcBorders>
            <w:noWrap/>
            <w:vAlign w:val="center"/>
          </w:tcPr>
          <w:p w14:paraId="21CCB735">
            <w:pPr>
              <w:widowControl/>
              <w:jc w:val="center"/>
              <w:rPr>
                <w:kern w:val="0"/>
                <w:sz w:val="18"/>
                <w:szCs w:val="18"/>
              </w:rPr>
            </w:pPr>
            <w:r>
              <w:rPr>
                <w:kern w:val="0"/>
                <w:sz w:val="18"/>
                <w:szCs w:val="18"/>
              </w:rPr>
              <w:t>2541.4</w:t>
            </w:r>
          </w:p>
        </w:tc>
        <w:tc>
          <w:tcPr>
            <w:tcW w:w="833" w:type="pct"/>
            <w:tcBorders>
              <w:left w:val="double" w:color="auto" w:sz="4" w:space="0"/>
              <w:right w:val="single" w:color="auto" w:sz="2" w:space="0"/>
            </w:tcBorders>
            <w:vAlign w:val="center"/>
          </w:tcPr>
          <w:p w14:paraId="216E49FC">
            <w:pPr>
              <w:jc w:val="center"/>
              <w:rPr>
                <w:kern w:val="0"/>
                <w:sz w:val="18"/>
                <w:szCs w:val="18"/>
              </w:rPr>
            </w:pPr>
            <w:r>
              <w:rPr>
                <w:kern w:val="0"/>
                <w:sz w:val="18"/>
                <w:szCs w:val="18"/>
              </w:rPr>
              <w:t>280</w:t>
            </w:r>
          </w:p>
        </w:tc>
        <w:tc>
          <w:tcPr>
            <w:tcW w:w="833" w:type="pct"/>
            <w:tcBorders>
              <w:left w:val="single" w:color="auto" w:sz="2" w:space="0"/>
              <w:right w:val="single" w:color="auto" w:sz="2" w:space="0"/>
            </w:tcBorders>
            <w:noWrap/>
            <w:vAlign w:val="center"/>
          </w:tcPr>
          <w:p w14:paraId="2F7B49A1">
            <w:pPr>
              <w:widowControl/>
              <w:jc w:val="center"/>
              <w:rPr>
                <w:kern w:val="0"/>
                <w:sz w:val="18"/>
                <w:szCs w:val="18"/>
              </w:rPr>
            </w:pPr>
            <w:r>
              <w:rPr>
                <w:kern w:val="0"/>
                <w:sz w:val="18"/>
                <w:szCs w:val="18"/>
              </w:rPr>
              <w:t xml:space="preserve"> 6.419</w:t>
            </w:r>
          </w:p>
        </w:tc>
        <w:tc>
          <w:tcPr>
            <w:tcW w:w="834" w:type="pct"/>
            <w:tcBorders>
              <w:left w:val="single" w:color="auto" w:sz="2" w:space="0"/>
            </w:tcBorders>
            <w:noWrap/>
            <w:vAlign w:val="center"/>
          </w:tcPr>
          <w:p w14:paraId="4C15D9E9">
            <w:pPr>
              <w:widowControl/>
              <w:jc w:val="center"/>
              <w:rPr>
                <w:kern w:val="0"/>
                <w:sz w:val="18"/>
                <w:szCs w:val="18"/>
              </w:rPr>
            </w:pPr>
            <w:r>
              <w:rPr>
                <w:kern w:val="0"/>
                <w:sz w:val="18"/>
                <w:szCs w:val="18"/>
              </w:rPr>
              <w:t>2778.6</w:t>
            </w:r>
          </w:p>
        </w:tc>
      </w:tr>
      <w:tr w14:paraId="6B1DE145">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380592C">
            <w:pPr>
              <w:widowControl/>
              <w:jc w:val="center"/>
              <w:rPr>
                <w:kern w:val="0"/>
                <w:sz w:val="18"/>
                <w:szCs w:val="18"/>
              </w:rPr>
            </w:pPr>
            <w:r>
              <w:rPr>
                <w:kern w:val="0"/>
                <w:sz w:val="18"/>
                <w:szCs w:val="18"/>
              </w:rPr>
              <w:t>24</w:t>
            </w:r>
          </w:p>
        </w:tc>
        <w:tc>
          <w:tcPr>
            <w:tcW w:w="833" w:type="pct"/>
            <w:tcBorders>
              <w:left w:val="single" w:color="auto" w:sz="2" w:space="0"/>
              <w:right w:val="single" w:color="auto" w:sz="2" w:space="0"/>
            </w:tcBorders>
            <w:noWrap/>
            <w:vAlign w:val="center"/>
          </w:tcPr>
          <w:p w14:paraId="0C648AB6">
            <w:pPr>
              <w:widowControl/>
              <w:jc w:val="center"/>
              <w:rPr>
                <w:kern w:val="0"/>
                <w:sz w:val="18"/>
                <w:szCs w:val="18"/>
              </w:rPr>
            </w:pPr>
            <w:r>
              <w:rPr>
                <w:kern w:val="0"/>
                <w:sz w:val="18"/>
                <w:szCs w:val="18"/>
              </w:rPr>
              <w:t>0.002982</w:t>
            </w:r>
          </w:p>
        </w:tc>
        <w:tc>
          <w:tcPr>
            <w:tcW w:w="834" w:type="pct"/>
            <w:tcBorders>
              <w:left w:val="single" w:color="auto" w:sz="2" w:space="0"/>
              <w:right w:val="double" w:color="auto" w:sz="4" w:space="0"/>
            </w:tcBorders>
            <w:noWrap/>
            <w:vAlign w:val="center"/>
          </w:tcPr>
          <w:p w14:paraId="3D6B2D8C">
            <w:pPr>
              <w:widowControl/>
              <w:jc w:val="center"/>
              <w:rPr>
                <w:kern w:val="0"/>
                <w:sz w:val="18"/>
                <w:szCs w:val="18"/>
              </w:rPr>
            </w:pPr>
            <w:r>
              <w:rPr>
                <w:kern w:val="0"/>
                <w:sz w:val="18"/>
                <w:szCs w:val="18"/>
              </w:rPr>
              <w:t>2545.0</w:t>
            </w:r>
          </w:p>
        </w:tc>
        <w:tc>
          <w:tcPr>
            <w:tcW w:w="833" w:type="pct"/>
            <w:tcBorders>
              <w:left w:val="double" w:color="auto" w:sz="4" w:space="0"/>
              <w:right w:val="single" w:color="auto" w:sz="2" w:space="0"/>
            </w:tcBorders>
            <w:vAlign w:val="center"/>
          </w:tcPr>
          <w:p w14:paraId="5B9A2FC3">
            <w:pPr>
              <w:jc w:val="center"/>
              <w:rPr>
                <w:kern w:val="0"/>
                <w:sz w:val="18"/>
                <w:szCs w:val="18"/>
              </w:rPr>
            </w:pPr>
            <w:r>
              <w:rPr>
                <w:kern w:val="0"/>
                <w:sz w:val="18"/>
                <w:szCs w:val="18"/>
              </w:rPr>
              <w:t>290</w:t>
            </w:r>
          </w:p>
        </w:tc>
        <w:tc>
          <w:tcPr>
            <w:tcW w:w="833" w:type="pct"/>
            <w:tcBorders>
              <w:left w:val="single" w:color="auto" w:sz="2" w:space="0"/>
              <w:right w:val="single" w:color="auto" w:sz="2" w:space="0"/>
            </w:tcBorders>
            <w:noWrap/>
            <w:vAlign w:val="center"/>
          </w:tcPr>
          <w:p w14:paraId="2A624FDF">
            <w:pPr>
              <w:widowControl/>
              <w:jc w:val="center"/>
              <w:rPr>
                <w:kern w:val="0"/>
                <w:sz w:val="18"/>
                <w:szCs w:val="18"/>
              </w:rPr>
            </w:pPr>
            <w:r>
              <w:rPr>
                <w:kern w:val="0"/>
                <w:sz w:val="18"/>
                <w:szCs w:val="18"/>
              </w:rPr>
              <w:t xml:space="preserve"> 7.445</w:t>
            </w:r>
          </w:p>
        </w:tc>
        <w:tc>
          <w:tcPr>
            <w:tcW w:w="834" w:type="pct"/>
            <w:tcBorders>
              <w:left w:val="single" w:color="auto" w:sz="2" w:space="0"/>
            </w:tcBorders>
            <w:noWrap/>
            <w:vAlign w:val="center"/>
          </w:tcPr>
          <w:p w14:paraId="0DCCF18B">
            <w:pPr>
              <w:widowControl/>
              <w:jc w:val="center"/>
              <w:rPr>
                <w:kern w:val="0"/>
                <w:sz w:val="18"/>
                <w:szCs w:val="18"/>
              </w:rPr>
            </w:pPr>
            <w:r>
              <w:rPr>
                <w:kern w:val="0"/>
                <w:sz w:val="18"/>
                <w:szCs w:val="18"/>
              </w:rPr>
              <w:t>2765.4</w:t>
            </w:r>
          </w:p>
        </w:tc>
      </w:tr>
      <w:tr w14:paraId="03E4A324">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DB22C34">
            <w:pPr>
              <w:widowControl/>
              <w:jc w:val="center"/>
              <w:rPr>
                <w:kern w:val="0"/>
                <w:sz w:val="18"/>
                <w:szCs w:val="18"/>
              </w:rPr>
            </w:pPr>
            <w:r>
              <w:rPr>
                <w:kern w:val="0"/>
                <w:sz w:val="18"/>
                <w:szCs w:val="18"/>
              </w:rPr>
              <w:t>26</w:t>
            </w:r>
          </w:p>
        </w:tc>
        <w:tc>
          <w:tcPr>
            <w:tcW w:w="833" w:type="pct"/>
            <w:tcBorders>
              <w:left w:val="single" w:color="auto" w:sz="2" w:space="0"/>
              <w:right w:val="single" w:color="auto" w:sz="2" w:space="0"/>
            </w:tcBorders>
            <w:noWrap/>
            <w:vAlign w:val="center"/>
          </w:tcPr>
          <w:p w14:paraId="4ABD4D09">
            <w:pPr>
              <w:widowControl/>
              <w:jc w:val="center"/>
              <w:rPr>
                <w:kern w:val="0"/>
                <w:sz w:val="18"/>
                <w:szCs w:val="18"/>
              </w:rPr>
            </w:pPr>
            <w:r>
              <w:rPr>
                <w:kern w:val="0"/>
                <w:sz w:val="18"/>
                <w:szCs w:val="18"/>
              </w:rPr>
              <w:t>0.003360</w:t>
            </w:r>
          </w:p>
        </w:tc>
        <w:tc>
          <w:tcPr>
            <w:tcW w:w="834" w:type="pct"/>
            <w:tcBorders>
              <w:left w:val="single" w:color="auto" w:sz="2" w:space="0"/>
              <w:right w:val="double" w:color="auto" w:sz="4" w:space="0"/>
            </w:tcBorders>
            <w:noWrap/>
            <w:vAlign w:val="center"/>
          </w:tcPr>
          <w:p w14:paraId="454E152B">
            <w:pPr>
              <w:widowControl/>
              <w:jc w:val="center"/>
              <w:rPr>
                <w:kern w:val="0"/>
                <w:sz w:val="18"/>
                <w:szCs w:val="18"/>
              </w:rPr>
            </w:pPr>
            <w:r>
              <w:rPr>
                <w:kern w:val="0"/>
                <w:sz w:val="18"/>
                <w:szCs w:val="18"/>
              </w:rPr>
              <w:t>2543.6</w:t>
            </w:r>
          </w:p>
        </w:tc>
        <w:tc>
          <w:tcPr>
            <w:tcW w:w="833" w:type="pct"/>
            <w:tcBorders>
              <w:left w:val="double" w:color="auto" w:sz="4" w:space="0"/>
              <w:right w:val="single" w:color="auto" w:sz="2" w:space="0"/>
            </w:tcBorders>
            <w:vAlign w:val="center"/>
          </w:tcPr>
          <w:p w14:paraId="53F0241F">
            <w:pPr>
              <w:jc w:val="center"/>
              <w:rPr>
                <w:kern w:val="0"/>
                <w:sz w:val="18"/>
                <w:szCs w:val="18"/>
              </w:rPr>
            </w:pPr>
            <w:r>
              <w:rPr>
                <w:kern w:val="0"/>
                <w:sz w:val="18"/>
                <w:szCs w:val="18"/>
              </w:rPr>
              <w:t>300</w:t>
            </w:r>
          </w:p>
        </w:tc>
        <w:tc>
          <w:tcPr>
            <w:tcW w:w="833" w:type="pct"/>
            <w:tcBorders>
              <w:left w:val="single" w:color="auto" w:sz="2" w:space="0"/>
              <w:right w:val="single" w:color="auto" w:sz="2" w:space="0"/>
            </w:tcBorders>
            <w:noWrap/>
            <w:vAlign w:val="center"/>
          </w:tcPr>
          <w:p w14:paraId="76D4762F">
            <w:pPr>
              <w:widowControl/>
              <w:jc w:val="center"/>
              <w:rPr>
                <w:kern w:val="0"/>
                <w:sz w:val="18"/>
                <w:szCs w:val="18"/>
              </w:rPr>
            </w:pPr>
            <w:r>
              <w:rPr>
                <w:kern w:val="0"/>
                <w:sz w:val="18"/>
                <w:szCs w:val="18"/>
              </w:rPr>
              <w:t xml:space="preserve"> 8.592</w:t>
            </w:r>
          </w:p>
        </w:tc>
        <w:tc>
          <w:tcPr>
            <w:tcW w:w="834" w:type="pct"/>
            <w:tcBorders>
              <w:left w:val="single" w:color="auto" w:sz="2" w:space="0"/>
            </w:tcBorders>
            <w:noWrap/>
            <w:vAlign w:val="center"/>
          </w:tcPr>
          <w:p w14:paraId="23026297">
            <w:pPr>
              <w:widowControl/>
              <w:jc w:val="center"/>
              <w:rPr>
                <w:kern w:val="0"/>
                <w:sz w:val="18"/>
                <w:szCs w:val="18"/>
              </w:rPr>
            </w:pPr>
            <w:r>
              <w:rPr>
                <w:kern w:val="0"/>
                <w:sz w:val="18"/>
                <w:szCs w:val="18"/>
              </w:rPr>
              <w:t>2748.4</w:t>
            </w:r>
          </w:p>
        </w:tc>
      </w:tr>
      <w:tr w14:paraId="3311A32E">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6E3AA983">
            <w:pPr>
              <w:widowControl/>
              <w:jc w:val="center"/>
              <w:rPr>
                <w:kern w:val="0"/>
                <w:sz w:val="18"/>
                <w:szCs w:val="18"/>
              </w:rPr>
            </w:pPr>
            <w:r>
              <w:rPr>
                <w:kern w:val="0"/>
                <w:sz w:val="18"/>
                <w:szCs w:val="18"/>
              </w:rPr>
              <w:t>28</w:t>
            </w:r>
          </w:p>
        </w:tc>
        <w:tc>
          <w:tcPr>
            <w:tcW w:w="833" w:type="pct"/>
            <w:tcBorders>
              <w:left w:val="single" w:color="auto" w:sz="2" w:space="0"/>
              <w:right w:val="single" w:color="auto" w:sz="2" w:space="0"/>
            </w:tcBorders>
            <w:noWrap/>
            <w:vAlign w:val="center"/>
          </w:tcPr>
          <w:p w14:paraId="0C456111">
            <w:pPr>
              <w:widowControl/>
              <w:jc w:val="center"/>
              <w:rPr>
                <w:kern w:val="0"/>
                <w:sz w:val="18"/>
                <w:szCs w:val="18"/>
              </w:rPr>
            </w:pPr>
            <w:r>
              <w:rPr>
                <w:kern w:val="0"/>
                <w:sz w:val="18"/>
                <w:szCs w:val="18"/>
              </w:rPr>
              <w:t>0.003779</w:t>
            </w:r>
          </w:p>
        </w:tc>
        <w:tc>
          <w:tcPr>
            <w:tcW w:w="834" w:type="pct"/>
            <w:tcBorders>
              <w:left w:val="single" w:color="auto" w:sz="2" w:space="0"/>
              <w:right w:val="double" w:color="auto" w:sz="4" w:space="0"/>
            </w:tcBorders>
            <w:noWrap/>
            <w:vAlign w:val="center"/>
          </w:tcPr>
          <w:p w14:paraId="7C695281">
            <w:pPr>
              <w:widowControl/>
              <w:jc w:val="center"/>
              <w:rPr>
                <w:kern w:val="0"/>
                <w:sz w:val="18"/>
                <w:szCs w:val="18"/>
              </w:rPr>
            </w:pPr>
            <w:r>
              <w:rPr>
                <w:kern w:val="0"/>
                <w:sz w:val="18"/>
                <w:szCs w:val="18"/>
              </w:rPr>
              <w:t>2552.3</w:t>
            </w:r>
          </w:p>
        </w:tc>
        <w:tc>
          <w:tcPr>
            <w:tcW w:w="833" w:type="pct"/>
            <w:tcBorders>
              <w:left w:val="double" w:color="auto" w:sz="4" w:space="0"/>
              <w:right w:val="single" w:color="auto" w:sz="2" w:space="0"/>
            </w:tcBorders>
            <w:vAlign w:val="center"/>
          </w:tcPr>
          <w:p w14:paraId="2B605EE0">
            <w:pPr>
              <w:jc w:val="center"/>
              <w:rPr>
                <w:kern w:val="0"/>
                <w:sz w:val="18"/>
                <w:szCs w:val="18"/>
              </w:rPr>
            </w:pPr>
            <w:r>
              <w:rPr>
                <w:kern w:val="0"/>
                <w:sz w:val="18"/>
                <w:szCs w:val="18"/>
              </w:rPr>
              <w:t>310</w:t>
            </w:r>
          </w:p>
        </w:tc>
        <w:tc>
          <w:tcPr>
            <w:tcW w:w="833" w:type="pct"/>
            <w:tcBorders>
              <w:left w:val="single" w:color="auto" w:sz="2" w:space="0"/>
              <w:right w:val="single" w:color="auto" w:sz="2" w:space="0"/>
            </w:tcBorders>
            <w:noWrap/>
            <w:vAlign w:val="center"/>
          </w:tcPr>
          <w:p w14:paraId="6B98860E">
            <w:pPr>
              <w:widowControl/>
              <w:jc w:val="center"/>
              <w:rPr>
                <w:kern w:val="0"/>
                <w:sz w:val="18"/>
                <w:szCs w:val="18"/>
              </w:rPr>
            </w:pPr>
            <w:r>
              <w:rPr>
                <w:kern w:val="0"/>
                <w:sz w:val="18"/>
                <w:szCs w:val="18"/>
              </w:rPr>
              <w:t xml:space="preserve"> 9.870</w:t>
            </w:r>
          </w:p>
        </w:tc>
        <w:tc>
          <w:tcPr>
            <w:tcW w:w="834" w:type="pct"/>
            <w:tcBorders>
              <w:left w:val="single" w:color="auto" w:sz="2" w:space="0"/>
            </w:tcBorders>
            <w:noWrap/>
            <w:vAlign w:val="center"/>
          </w:tcPr>
          <w:p w14:paraId="1F46AEB8">
            <w:pPr>
              <w:widowControl/>
              <w:jc w:val="center"/>
              <w:rPr>
                <w:kern w:val="0"/>
                <w:sz w:val="18"/>
                <w:szCs w:val="18"/>
              </w:rPr>
            </w:pPr>
            <w:r>
              <w:rPr>
                <w:kern w:val="0"/>
                <w:sz w:val="18"/>
                <w:szCs w:val="18"/>
              </w:rPr>
              <w:t>2726.8</w:t>
            </w:r>
          </w:p>
        </w:tc>
      </w:tr>
      <w:tr w14:paraId="66B62814">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61B1B749">
            <w:pPr>
              <w:widowControl/>
              <w:jc w:val="center"/>
              <w:rPr>
                <w:kern w:val="0"/>
                <w:sz w:val="18"/>
                <w:szCs w:val="18"/>
              </w:rPr>
            </w:pPr>
            <w:r>
              <w:rPr>
                <w:kern w:val="0"/>
                <w:sz w:val="18"/>
                <w:szCs w:val="18"/>
              </w:rPr>
              <w:t>30</w:t>
            </w:r>
          </w:p>
        </w:tc>
        <w:tc>
          <w:tcPr>
            <w:tcW w:w="833" w:type="pct"/>
            <w:tcBorders>
              <w:left w:val="single" w:color="auto" w:sz="2" w:space="0"/>
              <w:right w:val="single" w:color="auto" w:sz="2" w:space="0"/>
            </w:tcBorders>
            <w:noWrap/>
            <w:vAlign w:val="center"/>
          </w:tcPr>
          <w:p w14:paraId="03AA859B">
            <w:pPr>
              <w:widowControl/>
              <w:jc w:val="center"/>
              <w:rPr>
                <w:kern w:val="0"/>
                <w:sz w:val="18"/>
                <w:szCs w:val="18"/>
              </w:rPr>
            </w:pPr>
            <w:r>
              <w:rPr>
                <w:kern w:val="0"/>
                <w:sz w:val="18"/>
                <w:szCs w:val="18"/>
              </w:rPr>
              <w:t>0.004242</w:t>
            </w:r>
          </w:p>
        </w:tc>
        <w:tc>
          <w:tcPr>
            <w:tcW w:w="834" w:type="pct"/>
            <w:tcBorders>
              <w:left w:val="single" w:color="auto" w:sz="2" w:space="0"/>
              <w:right w:val="double" w:color="auto" w:sz="4" w:space="0"/>
            </w:tcBorders>
            <w:noWrap/>
            <w:vAlign w:val="center"/>
          </w:tcPr>
          <w:p w14:paraId="65B9265C">
            <w:pPr>
              <w:widowControl/>
              <w:jc w:val="center"/>
              <w:rPr>
                <w:kern w:val="0"/>
                <w:sz w:val="18"/>
                <w:szCs w:val="18"/>
              </w:rPr>
            </w:pPr>
            <w:r>
              <w:rPr>
                <w:kern w:val="0"/>
                <w:sz w:val="18"/>
                <w:szCs w:val="18"/>
              </w:rPr>
              <w:t>2555.9</w:t>
            </w:r>
          </w:p>
        </w:tc>
        <w:tc>
          <w:tcPr>
            <w:tcW w:w="833" w:type="pct"/>
            <w:tcBorders>
              <w:left w:val="double" w:color="auto" w:sz="4" w:space="0"/>
              <w:right w:val="single" w:color="auto" w:sz="2" w:space="0"/>
            </w:tcBorders>
            <w:vAlign w:val="center"/>
          </w:tcPr>
          <w:p w14:paraId="08E77764">
            <w:pPr>
              <w:jc w:val="center"/>
              <w:rPr>
                <w:kern w:val="0"/>
                <w:sz w:val="18"/>
                <w:szCs w:val="18"/>
              </w:rPr>
            </w:pPr>
            <w:r>
              <w:rPr>
                <w:kern w:val="0"/>
                <w:sz w:val="18"/>
                <w:szCs w:val="18"/>
              </w:rPr>
              <w:t>320</w:t>
            </w:r>
          </w:p>
        </w:tc>
        <w:tc>
          <w:tcPr>
            <w:tcW w:w="833" w:type="pct"/>
            <w:tcBorders>
              <w:left w:val="single" w:color="auto" w:sz="2" w:space="0"/>
              <w:right w:val="single" w:color="auto" w:sz="2" w:space="0"/>
            </w:tcBorders>
            <w:noWrap/>
            <w:vAlign w:val="center"/>
          </w:tcPr>
          <w:p w14:paraId="091580EE">
            <w:pPr>
              <w:widowControl/>
              <w:jc w:val="center"/>
              <w:rPr>
                <w:kern w:val="0"/>
                <w:sz w:val="18"/>
                <w:szCs w:val="18"/>
              </w:rPr>
            </w:pPr>
            <w:r>
              <w:rPr>
                <w:kern w:val="0"/>
                <w:sz w:val="18"/>
                <w:szCs w:val="18"/>
              </w:rPr>
              <w:t>11.290</w:t>
            </w:r>
          </w:p>
        </w:tc>
        <w:tc>
          <w:tcPr>
            <w:tcW w:w="834" w:type="pct"/>
            <w:tcBorders>
              <w:left w:val="single" w:color="auto" w:sz="2" w:space="0"/>
            </w:tcBorders>
            <w:noWrap/>
            <w:vAlign w:val="center"/>
          </w:tcPr>
          <w:p w14:paraId="310484A6">
            <w:pPr>
              <w:widowControl/>
              <w:jc w:val="center"/>
              <w:rPr>
                <w:kern w:val="0"/>
                <w:sz w:val="18"/>
                <w:szCs w:val="18"/>
              </w:rPr>
            </w:pPr>
            <w:r>
              <w:rPr>
                <w:kern w:val="0"/>
                <w:sz w:val="18"/>
                <w:szCs w:val="18"/>
              </w:rPr>
              <w:t>2699.6</w:t>
            </w:r>
          </w:p>
        </w:tc>
      </w:tr>
      <w:tr w14:paraId="6F870E17">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0BBAA891">
            <w:pPr>
              <w:widowControl/>
              <w:jc w:val="center"/>
              <w:rPr>
                <w:kern w:val="0"/>
                <w:sz w:val="18"/>
                <w:szCs w:val="18"/>
              </w:rPr>
            </w:pPr>
            <w:r>
              <w:rPr>
                <w:kern w:val="0"/>
                <w:sz w:val="18"/>
                <w:szCs w:val="18"/>
              </w:rPr>
              <w:t>35</w:t>
            </w:r>
          </w:p>
        </w:tc>
        <w:tc>
          <w:tcPr>
            <w:tcW w:w="833" w:type="pct"/>
            <w:tcBorders>
              <w:left w:val="single" w:color="auto" w:sz="2" w:space="0"/>
              <w:right w:val="single" w:color="auto" w:sz="2" w:space="0"/>
            </w:tcBorders>
            <w:noWrap/>
            <w:vAlign w:val="center"/>
          </w:tcPr>
          <w:p w14:paraId="05EF1293">
            <w:pPr>
              <w:widowControl/>
              <w:jc w:val="center"/>
              <w:rPr>
                <w:kern w:val="0"/>
                <w:sz w:val="18"/>
                <w:szCs w:val="18"/>
              </w:rPr>
            </w:pPr>
            <w:r>
              <w:rPr>
                <w:kern w:val="0"/>
                <w:sz w:val="18"/>
                <w:szCs w:val="18"/>
              </w:rPr>
              <w:t>0.005622</w:t>
            </w:r>
          </w:p>
        </w:tc>
        <w:tc>
          <w:tcPr>
            <w:tcW w:w="834" w:type="pct"/>
            <w:tcBorders>
              <w:left w:val="single" w:color="auto" w:sz="2" w:space="0"/>
              <w:right w:val="double" w:color="auto" w:sz="4" w:space="0"/>
            </w:tcBorders>
            <w:noWrap/>
            <w:vAlign w:val="center"/>
          </w:tcPr>
          <w:p w14:paraId="4C2AD4D7">
            <w:pPr>
              <w:widowControl/>
              <w:jc w:val="center"/>
              <w:rPr>
                <w:kern w:val="0"/>
                <w:sz w:val="18"/>
                <w:szCs w:val="18"/>
              </w:rPr>
            </w:pPr>
            <w:r>
              <w:rPr>
                <w:kern w:val="0"/>
                <w:sz w:val="18"/>
                <w:szCs w:val="18"/>
              </w:rPr>
              <w:t>2565.0</w:t>
            </w:r>
          </w:p>
        </w:tc>
        <w:tc>
          <w:tcPr>
            <w:tcW w:w="833" w:type="pct"/>
            <w:tcBorders>
              <w:left w:val="double" w:color="auto" w:sz="4" w:space="0"/>
              <w:right w:val="single" w:color="auto" w:sz="2" w:space="0"/>
            </w:tcBorders>
            <w:vAlign w:val="center"/>
          </w:tcPr>
          <w:p w14:paraId="4DF94948">
            <w:pPr>
              <w:jc w:val="center"/>
              <w:rPr>
                <w:kern w:val="0"/>
                <w:sz w:val="18"/>
                <w:szCs w:val="18"/>
              </w:rPr>
            </w:pPr>
            <w:r>
              <w:rPr>
                <w:kern w:val="0"/>
                <w:sz w:val="18"/>
                <w:szCs w:val="18"/>
              </w:rPr>
              <w:t>330</w:t>
            </w:r>
          </w:p>
        </w:tc>
        <w:tc>
          <w:tcPr>
            <w:tcW w:w="833" w:type="pct"/>
            <w:tcBorders>
              <w:left w:val="single" w:color="auto" w:sz="2" w:space="0"/>
              <w:right w:val="single" w:color="auto" w:sz="2" w:space="0"/>
            </w:tcBorders>
            <w:noWrap/>
            <w:vAlign w:val="center"/>
          </w:tcPr>
          <w:p w14:paraId="387EEC7A">
            <w:pPr>
              <w:widowControl/>
              <w:jc w:val="center"/>
              <w:rPr>
                <w:kern w:val="0"/>
                <w:sz w:val="18"/>
                <w:szCs w:val="18"/>
              </w:rPr>
            </w:pPr>
            <w:r>
              <w:rPr>
                <w:kern w:val="0"/>
                <w:sz w:val="18"/>
                <w:szCs w:val="18"/>
              </w:rPr>
              <w:t>12.865</w:t>
            </w:r>
          </w:p>
        </w:tc>
        <w:tc>
          <w:tcPr>
            <w:tcW w:w="834" w:type="pct"/>
            <w:tcBorders>
              <w:left w:val="single" w:color="auto" w:sz="2" w:space="0"/>
            </w:tcBorders>
            <w:noWrap/>
            <w:vAlign w:val="center"/>
          </w:tcPr>
          <w:p w14:paraId="2B28F3D9">
            <w:pPr>
              <w:widowControl/>
              <w:jc w:val="center"/>
              <w:rPr>
                <w:kern w:val="0"/>
                <w:sz w:val="18"/>
                <w:szCs w:val="18"/>
              </w:rPr>
            </w:pPr>
            <w:r>
              <w:rPr>
                <w:kern w:val="0"/>
                <w:sz w:val="18"/>
                <w:szCs w:val="18"/>
              </w:rPr>
              <w:t>2665.5</w:t>
            </w:r>
          </w:p>
        </w:tc>
      </w:tr>
      <w:tr w14:paraId="738B3497">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3F0D5EBA">
            <w:pPr>
              <w:widowControl/>
              <w:jc w:val="center"/>
              <w:rPr>
                <w:kern w:val="0"/>
                <w:sz w:val="18"/>
                <w:szCs w:val="18"/>
              </w:rPr>
            </w:pPr>
            <w:r>
              <w:rPr>
                <w:kern w:val="0"/>
                <w:sz w:val="18"/>
                <w:szCs w:val="18"/>
              </w:rPr>
              <w:t>40</w:t>
            </w:r>
          </w:p>
        </w:tc>
        <w:tc>
          <w:tcPr>
            <w:tcW w:w="833" w:type="pct"/>
            <w:tcBorders>
              <w:left w:val="single" w:color="auto" w:sz="2" w:space="0"/>
              <w:right w:val="single" w:color="auto" w:sz="2" w:space="0"/>
            </w:tcBorders>
            <w:noWrap/>
            <w:vAlign w:val="center"/>
          </w:tcPr>
          <w:p w14:paraId="1A8A872D">
            <w:pPr>
              <w:widowControl/>
              <w:jc w:val="center"/>
              <w:rPr>
                <w:kern w:val="0"/>
                <w:sz w:val="18"/>
                <w:szCs w:val="18"/>
              </w:rPr>
            </w:pPr>
            <w:r>
              <w:rPr>
                <w:kern w:val="0"/>
                <w:sz w:val="18"/>
                <w:szCs w:val="18"/>
              </w:rPr>
              <w:t>0.007375</w:t>
            </w:r>
          </w:p>
        </w:tc>
        <w:tc>
          <w:tcPr>
            <w:tcW w:w="834" w:type="pct"/>
            <w:tcBorders>
              <w:left w:val="single" w:color="auto" w:sz="2" w:space="0"/>
              <w:right w:val="double" w:color="auto" w:sz="4" w:space="0"/>
            </w:tcBorders>
            <w:noWrap/>
            <w:vAlign w:val="center"/>
          </w:tcPr>
          <w:p w14:paraId="2ED0761C">
            <w:pPr>
              <w:widowControl/>
              <w:jc w:val="center"/>
              <w:rPr>
                <w:kern w:val="0"/>
                <w:sz w:val="18"/>
                <w:szCs w:val="18"/>
              </w:rPr>
            </w:pPr>
            <w:r>
              <w:rPr>
                <w:kern w:val="0"/>
                <w:sz w:val="18"/>
                <w:szCs w:val="18"/>
              </w:rPr>
              <w:t>2574.0</w:t>
            </w:r>
          </w:p>
        </w:tc>
        <w:tc>
          <w:tcPr>
            <w:tcW w:w="833" w:type="pct"/>
            <w:tcBorders>
              <w:left w:val="double" w:color="auto" w:sz="4" w:space="0"/>
              <w:right w:val="single" w:color="auto" w:sz="2" w:space="0"/>
            </w:tcBorders>
            <w:vAlign w:val="center"/>
          </w:tcPr>
          <w:p w14:paraId="6D8EB1C2">
            <w:pPr>
              <w:jc w:val="center"/>
              <w:rPr>
                <w:kern w:val="0"/>
                <w:sz w:val="18"/>
                <w:szCs w:val="18"/>
              </w:rPr>
            </w:pPr>
            <w:r>
              <w:rPr>
                <w:kern w:val="0"/>
                <w:sz w:val="18"/>
                <w:szCs w:val="18"/>
              </w:rPr>
              <w:t>340</w:t>
            </w:r>
          </w:p>
        </w:tc>
        <w:tc>
          <w:tcPr>
            <w:tcW w:w="833" w:type="pct"/>
            <w:tcBorders>
              <w:left w:val="single" w:color="auto" w:sz="2" w:space="0"/>
              <w:right w:val="single" w:color="auto" w:sz="2" w:space="0"/>
            </w:tcBorders>
            <w:noWrap/>
            <w:vAlign w:val="center"/>
          </w:tcPr>
          <w:p w14:paraId="77A9733B">
            <w:pPr>
              <w:widowControl/>
              <w:jc w:val="center"/>
              <w:rPr>
                <w:kern w:val="0"/>
                <w:sz w:val="18"/>
                <w:szCs w:val="18"/>
              </w:rPr>
            </w:pPr>
            <w:r>
              <w:rPr>
                <w:kern w:val="0"/>
                <w:sz w:val="18"/>
                <w:szCs w:val="18"/>
              </w:rPr>
              <w:t>14.608</w:t>
            </w:r>
          </w:p>
        </w:tc>
        <w:tc>
          <w:tcPr>
            <w:tcW w:w="834" w:type="pct"/>
            <w:tcBorders>
              <w:left w:val="single" w:color="auto" w:sz="2" w:space="0"/>
            </w:tcBorders>
            <w:noWrap/>
            <w:vAlign w:val="center"/>
          </w:tcPr>
          <w:p w14:paraId="781395BE">
            <w:pPr>
              <w:widowControl/>
              <w:jc w:val="center"/>
              <w:rPr>
                <w:kern w:val="0"/>
                <w:sz w:val="18"/>
                <w:szCs w:val="18"/>
              </w:rPr>
            </w:pPr>
            <w:r>
              <w:rPr>
                <w:kern w:val="0"/>
                <w:sz w:val="18"/>
                <w:szCs w:val="18"/>
              </w:rPr>
              <w:t>2622.3</w:t>
            </w:r>
          </w:p>
        </w:tc>
      </w:tr>
      <w:tr w14:paraId="33C38D34">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E0E455B">
            <w:pPr>
              <w:widowControl/>
              <w:jc w:val="center"/>
              <w:rPr>
                <w:kern w:val="0"/>
                <w:sz w:val="18"/>
                <w:szCs w:val="18"/>
              </w:rPr>
            </w:pPr>
            <w:r>
              <w:rPr>
                <w:kern w:val="0"/>
                <w:sz w:val="18"/>
                <w:szCs w:val="18"/>
              </w:rPr>
              <w:t>45</w:t>
            </w:r>
          </w:p>
        </w:tc>
        <w:tc>
          <w:tcPr>
            <w:tcW w:w="833" w:type="pct"/>
            <w:tcBorders>
              <w:left w:val="single" w:color="auto" w:sz="2" w:space="0"/>
              <w:right w:val="single" w:color="auto" w:sz="2" w:space="0"/>
            </w:tcBorders>
            <w:noWrap/>
            <w:vAlign w:val="center"/>
          </w:tcPr>
          <w:p w14:paraId="46FB0D15">
            <w:pPr>
              <w:widowControl/>
              <w:jc w:val="center"/>
              <w:rPr>
                <w:kern w:val="0"/>
                <w:sz w:val="18"/>
                <w:szCs w:val="18"/>
              </w:rPr>
            </w:pPr>
            <w:r>
              <w:rPr>
                <w:kern w:val="0"/>
                <w:sz w:val="18"/>
                <w:szCs w:val="18"/>
              </w:rPr>
              <w:t>0.009582</w:t>
            </w:r>
          </w:p>
        </w:tc>
        <w:tc>
          <w:tcPr>
            <w:tcW w:w="834" w:type="pct"/>
            <w:tcBorders>
              <w:left w:val="single" w:color="auto" w:sz="2" w:space="0"/>
              <w:right w:val="double" w:color="auto" w:sz="4" w:space="0"/>
            </w:tcBorders>
            <w:noWrap/>
            <w:vAlign w:val="center"/>
          </w:tcPr>
          <w:p w14:paraId="04258EDA">
            <w:pPr>
              <w:widowControl/>
              <w:jc w:val="center"/>
              <w:rPr>
                <w:kern w:val="0"/>
                <w:sz w:val="18"/>
                <w:szCs w:val="18"/>
              </w:rPr>
            </w:pPr>
            <w:r>
              <w:rPr>
                <w:kern w:val="0"/>
                <w:sz w:val="18"/>
                <w:szCs w:val="18"/>
              </w:rPr>
              <w:t>2582.9</w:t>
            </w:r>
          </w:p>
        </w:tc>
        <w:tc>
          <w:tcPr>
            <w:tcW w:w="833" w:type="pct"/>
            <w:tcBorders>
              <w:left w:val="double" w:color="auto" w:sz="4" w:space="0"/>
              <w:right w:val="single" w:color="auto" w:sz="2" w:space="0"/>
            </w:tcBorders>
            <w:vAlign w:val="center"/>
          </w:tcPr>
          <w:p w14:paraId="037B6A3E">
            <w:pPr>
              <w:jc w:val="center"/>
              <w:rPr>
                <w:kern w:val="0"/>
                <w:sz w:val="18"/>
                <w:szCs w:val="18"/>
              </w:rPr>
            </w:pPr>
            <w:r>
              <w:rPr>
                <w:kern w:val="0"/>
                <w:sz w:val="18"/>
                <w:szCs w:val="18"/>
              </w:rPr>
              <w:t>350</w:t>
            </w:r>
          </w:p>
        </w:tc>
        <w:tc>
          <w:tcPr>
            <w:tcW w:w="833" w:type="pct"/>
            <w:tcBorders>
              <w:left w:val="single" w:color="auto" w:sz="2" w:space="0"/>
              <w:right w:val="single" w:color="auto" w:sz="2" w:space="0"/>
            </w:tcBorders>
            <w:noWrap/>
            <w:vAlign w:val="center"/>
          </w:tcPr>
          <w:p w14:paraId="3109F515">
            <w:pPr>
              <w:widowControl/>
              <w:jc w:val="center"/>
              <w:rPr>
                <w:kern w:val="0"/>
                <w:sz w:val="18"/>
                <w:szCs w:val="18"/>
              </w:rPr>
            </w:pPr>
            <w:r>
              <w:rPr>
                <w:kern w:val="0"/>
                <w:sz w:val="18"/>
                <w:szCs w:val="18"/>
              </w:rPr>
              <w:t>16.537</w:t>
            </w:r>
          </w:p>
        </w:tc>
        <w:tc>
          <w:tcPr>
            <w:tcW w:w="834" w:type="pct"/>
            <w:tcBorders>
              <w:left w:val="single" w:color="auto" w:sz="2" w:space="0"/>
            </w:tcBorders>
            <w:noWrap/>
            <w:vAlign w:val="center"/>
          </w:tcPr>
          <w:p w14:paraId="0E333A46">
            <w:pPr>
              <w:widowControl/>
              <w:jc w:val="center"/>
              <w:rPr>
                <w:kern w:val="0"/>
                <w:sz w:val="18"/>
                <w:szCs w:val="18"/>
              </w:rPr>
            </w:pPr>
            <w:r>
              <w:rPr>
                <w:kern w:val="0"/>
                <w:sz w:val="18"/>
                <w:szCs w:val="18"/>
              </w:rPr>
              <w:t>2566.1</w:t>
            </w:r>
          </w:p>
        </w:tc>
      </w:tr>
      <w:tr w14:paraId="334207BD">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13BCF5AE">
            <w:pPr>
              <w:widowControl/>
              <w:jc w:val="center"/>
              <w:rPr>
                <w:kern w:val="0"/>
                <w:sz w:val="18"/>
                <w:szCs w:val="18"/>
              </w:rPr>
            </w:pPr>
            <w:r>
              <w:rPr>
                <w:kern w:val="0"/>
                <w:sz w:val="18"/>
                <w:szCs w:val="18"/>
              </w:rPr>
              <w:t>50</w:t>
            </w:r>
          </w:p>
        </w:tc>
        <w:tc>
          <w:tcPr>
            <w:tcW w:w="833" w:type="pct"/>
            <w:tcBorders>
              <w:left w:val="single" w:color="auto" w:sz="2" w:space="0"/>
              <w:right w:val="single" w:color="auto" w:sz="2" w:space="0"/>
            </w:tcBorders>
            <w:noWrap/>
            <w:vAlign w:val="center"/>
          </w:tcPr>
          <w:p w14:paraId="099947D5">
            <w:pPr>
              <w:widowControl/>
              <w:jc w:val="center"/>
              <w:rPr>
                <w:kern w:val="0"/>
                <w:sz w:val="18"/>
                <w:szCs w:val="18"/>
              </w:rPr>
            </w:pPr>
            <w:r>
              <w:rPr>
                <w:kern w:val="0"/>
                <w:sz w:val="18"/>
                <w:szCs w:val="18"/>
              </w:rPr>
              <w:t>0.012335</w:t>
            </w:r>
          </w:p>
        </w:tc>
        <w:tc>
          <w:tcPr>
            <w:tcW w:w="834" w:type="pct"/>
            <w:tcBorders>
              <w:left w:val="single" w:color="auto" w:sz="2" w:space="0"/>
              <w:right w:val="double" w:color="auto" w:sz="4" w:space="0"/>
            </w:tcBorders>
            <w:noWrap/>
            <w:vAlign w:val="center"/>
          </w:tcPr>
          <w:p w14:paraId="2CB9C4F6">
            <w:pPr>
              <w:widowControl/>
              <w:jc w:val="center"/>
              <w:rPr>
                <w:kern w:val="0"/>
                <w:sz w:val="18"/>
                <w:szCs w:val="18"/>
              </w:rPr>
            </w:pPr>
            <w:r>
              <w:rPr>
                <w:kern w:val="0"/>
                <w:sz w:val="18"/>
                <w:szCs w:val="18"/>
              </w:rPr>
              <w:t>2591.8</w:t>
            </w:r>
          </w:p>
        </w:tc>
        <w:tc>
          <w:tcPr>
            <w:tcW w:w="833" w:type="pct"/>
            <w:tcBorders>
              <w:left w:val="double" w:color="auto" w:sz="4" w:space="0"/>
              <w:right w:val="single" w:color="auto" w:sz="2" w:space="0"/>
            </w:tcBorders>
            <w:vAlign w:val="center"/>
          </w:tcPr>
          <w:p w14:paraId="0BAD43DE">
            <w:pPr>
              <w:jc w:val="center"/>
              <w:rPr>
                <w:kern w:val="0"/>
                <w:sz w:val="18"/>
                <w:szCs w:val="18"/>
              </w:rPr>
            </w:pPr>
            <w:r>
              <w:rPr>
                <w:kern w:val="0"/>
                <w:sz w:val="18"/>
                <w:szCs w:val="18"/>
              </w:rPr>
              <w:t>360</w:t>
            </w:r>
          </w:p>
        </w:tc>
        <w:tc>
          <w:tcPr>
            <w:tcW w:w="833" w:type="pct"/>
            <w:tcBorders>
              <w:left w:val="single" w:color="auto" w:sz="2" w:space="0"/>
              <w:right w:val="single" w:color="auto" w:sz="2" w:space="0"/>
            </w:tcBorders>
            <w:noWrap/>
            <w:vAlign w:val="center"/>
          </w:tcPr>
          <w:p w14:paraId="02B88C93">
            <w:pPr>
              <w:widowControl/>
              <w:jc w:val="center"/>
              <w:rPr>
                <w:kern w:val="0"/>
                <w:sz w:val="18"/>
                <w:szCs w:val="18"/>
              </w:rPr>
            </w:pPr>
            <w:r>
              <w:rPr>
                <w:kern w:val="0"/>
                <w:sz w:val="18"/>
                <w:szCs w:val="18"/>
              </w:rPr>
              <w:t>18.674</w:t>
            </w:r>
          </w:p>
        </w:tc>
        <w:tc>
          <w:tcPr>
            <w:tcW w:w="834" w:type="pct"/>
            <w:tcBorders>
              <w:left w:val="single" w:color="auto" w:sz="2" w:space="0"/>
            </w:tcBorders>
            <w:noWrap/>
            <w:vAlign w:val="center"/>
          </w:tcPr>
          <w:p w14:paraId="2C16F365">
            <w:pPr>
              <w:widowControl/>
              <w:jc w:val="center"/>
              <w:rPr>
                <w:kern w:val="0"/>
                <w:sz w:val="18"/>
                <w:szCs w:val="18"/>
              </w:rPr>
            </w:pPr>
            <w:r>
              <w:rPr>
                <w:kern w:val="0"/>
                <w:sz w:val="18"/>
                <w:szCs w:val="18"/>
              </w:rPr>
              <w:t>2485.7</w:t>
            </w:r>
          </w:p>
        </w:tc>
      </w:tr>
      <w:tr w14:paraId="5B07F351">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19C091BD">
            <w:pPr>
              <w:widowControl/>
              <w:jc w:val="center"/>
              <w:rPr>
                <w:kern w:val="0"/>
                <w:sz w:val="18"/>
                <w:szCs w:val="18"/>
              </w:rPr>
            </w:pPr>
            <w:r>
              <w:rPr>
                <w:kern w:val="0"/>
                <w:sz w:val="18"/>
                <w:szCs w:val="18"/>
              </w:rPr>
              <w:t>55</w:t>
            </w:r>
          </w:p>
        </w:tc>
        <w:tc>
          <w:tcPr>
            <w:tcW w:w="833" w:type="pct"/>
            <w:tcBorders>
              <w:left w:val="single" w:color="auto" w:sz="2" w:space="0"/>
              <w:right w:val="single" w:color="auto" w:sz="2" w:space="0"/>
            </w:tcBorders>
            <w:noWrap/>
            <w:vAlign w:val="center"/>
          </w:tcPr>
          <w:p w14:paraId="0EEBB804">
            <w:pPr>
              <w:widowControl/>
              <w:jc w:val="center"/>
              <w:rPr>
                <w:kern w:val="0"/>
                <w:sz w:val="18"/>
                <w:szCs w:val="18"/>
              </w:rPr>
            </w:pPr>
            <w:r>
              <w:rPr>
                <w:kern w:val="0"/>
                <w:sz w:val="18"/>
                <w:szCs w:val="18"/>
              </w:rPr>
              <w:t>0.015740</w:t>
            </w:r>
          </w:p>
        </w:tc>
        <w:tc>
          <w:tcPr>
            <w:tcW w:w="834" w:type="pct"/>
            <w:tcBorders>
              <w:left w:val="single" w:color="auto" w:sz="2" w:space="0"/>
              <w:right w:val="double" w:color="auto" w:sz="4" w:space="0"/>
            </w:tcBorders>
            <w:noWrap/>
            <w:vAlign w:val="center"/>
          </w:tcPr>
          <w:p w14:paraId="762B011A">
            <w:pPr>
              <w:widowControl/>
              <w:jc w:val="center"/>
              <w:rPr>
                <w:kern w:val="0"/>
                <w:sz w:val="18"/>
                <w:szCs w:val="18"/>
              </w:rPr>
            </w:pPr>
            <w:r>
              <w:rPr>
                <w:kern w:val="0"/>
                <w:sz w:val="18"/>
                <w:szCs w:val="18"/>
              </w:rPr>
              <w:t>2600.7</w:t>
            </w:r>
          </w:p>
        </w:tc>
        <w:tc>
          <w:tcPr>
            <w:tcW w:w="833" w:type="pct"/>
            <w:tcBorders>
              <w:left w:val="double" w:color="auto" w:sz="4" w:space="0"/>
              <w:right w:val="single" w:color="auto" w:sz="2" w:space="0"/>
            </w:tcBorders>
            <w:vAlign w:val="center"/>
          </w:tcPr>
          <w:p w14:paraId="0259AA19">
            <w:pPr>
              <w:jc w:val="center"/>
              <w:rPr>
                <w:kern w:val="0"/>
                <w:sz w:val="18"/>
                <w:szCs w:val="18"/>
              </w:rPr>
            </w:pPr>
            <w:r>
              <w:rPr>
                <w:kern w:val="0"/>
                <w:sz w:val="18"/>
                <w:szCs w:val="18"/>
              </w:rPr>
              <w:t>370</w:t>
            </w:r>
          </w:p>
        </w:tc>
        <w:tc>
          <w:tcPr>
            <w:tcW w:w="833" w:type="pct"/>
            <w:tcBorders>
              <w:left w:val="single" w:color="auto" w:sz="2" w:space="0"/>
              <w:right w:val="single" w:color="auto" w:sz="2" w:space="0"/>
            </w:tcBorders>
            <w:noWrap/>
            <w:vAlign w:val="center"/>
          </w:tcPr>
          <w:p w14:paraId="722A1A05">
            <w:pPr>
              <w:widowControl/>
              <w:jc w:val="center"/>
              <w:rPr>
                <w:kern w:val="0"/>
                <w:sz w:val="18"/>
                <w:szCs w:val="18"/>
              </w:rPr>
            </w:pPr>
            <w:r>
              <w:rPr>
                <w:kern w:val="0"/>
                <w:sz w:val="18"/>
                <w:szCs w:val="18"/>
              </w:rPr>
              <w:t>21.053</w:t>
            </w:r>
          </w:p>
        </w:tc>
        <w:tc>
          <w:tcPr>
            <w:tcW w:w="834" w:type="pct"/>
            <w:tcBorders>
              <w:left w:val="single" w:color="auto" w:sz="2" w:space="0"/>
            </w:tcBorders>
            <w:noWrap/>
            <w:vAlign w:val="center"/>
          </w:tcPr>
          <w:p w14:paraId="7F610AF7">
            <w:pPr>
              <w:widowControl/>
              <w:jc w:val="center"/>
              <w:rPr>
                <w:kern w:val="0"/>
                <w:sz w:val="18"/>
                <w:szCs w:val="18"/>
              </w:rPr>
            </w:pPr>
            <w:r>
              <w:rPr>
                <w:kern w:val="0"/>
                <w:sz w:val="18"/>
                <w:szCs w:val="18"/>
              </w:rPr>
              <w:t>2335.7</w:t>
            </w:r>
          </w:p>
        </w:tc>
      </w:tr>
      <w:tr w14:paraId="2C4388BE">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F90FE77">
            <w:pPr>
              <w:widowControl/>
              <w:jc w:val="center"/>
              <w:rPr>
                <w:kern w:val="0"/>
                <w:sz w:val="18"/>
                <w:szCs w:val="18"/>
              </w:rPr>
            </w:pPr>
            <w:r>
              <w:rPr>
                <w:kern w:val="0"/>
                <w:sz w:val="18"/>
                <w:szCs w:val="18"/>
              </w:rPr>
              <w:t>60</w:t>
            </w:r>
          </w:p>
        </w:tc>
        <w:tc>
          <w:tcPr>
            <w:tcW w:w="833" w:type="pct"/>
            <w:tcBorders>
              <w:left w:val="single" w:color="auto" w:sz="2" w:space="0"/>
              <w:right w:val="single" w:color="auto" w:sz="2" w:space="0"/>
            </w:tcBorders>
            <w:noWrap/>
            <w:vAlign w:val="center"/>
          </w:tcPr>
          <w:p w14:paraId="11990C46">
            <w:pPr>
              <w:widowControl/>
              <w:jc w:val="center"/>
              <w:rPr>
                <w:kern w:val="0"/>
                <w:sz w:val="18"/>
                <w:szCs w:val="18"/>
              </w:rPr>
            </w:pPr>
            <w:r>
              <w:rPr>
                <w:kern w:val="0"/>
                <w:sz w:val="18"/>
                <w:szCs w:val="18"/>
              </w:rPr>
              <w:t>0.019919</w:t>
            </w:r>
          </w:p>
        </w:tc>
        <w:tc>
          <w:tcPr>
            <w:tcW w:w="834" w:type="pct"/>
            <w:tcBorders>
              <w:left w:val="single" w:color="auto" w:sz="2" w:space="0"/>
              <w:right w:val="double" w:color="auto" w:sz="4" w:space="0"/>
            </w:tcBorders>
            <w:noWrap/>
            <w:vAlign w:val="center"/>
          </w:tcPr>
          <w:p w14:paraId="2CA6422E">
            <w:pPr>
              <w:widowControl/>
              <w:jc w:val="center"/>
              <w:rPr>
                <w:kern w:val="0"/>
                <w:sz w:val="18"/>
                <w:szCs w:val="18"/>
              </w:rPr>
            </w:pPr>
            <w:r>
              <w:rPr>
                <w:kern w:val="0"/>
                <w:sz w:val="18"/>
                <w:szCs w:val="18"/>
              </w:rPr>
              <w:t>2609.5</w:t>
            </w:r>
          </w:p>
        </w:tc>
        <w:tc>
          <w:tcPr>
            <w:tcW w:w="833" w:type="pct"/>
            <w:tcBorders>
              <w:left w:val="double" w:color="auto" w:sz="4" w:space="0"/>
              <w:right w:val="single" w:color="auto" w:sz="2" w:space="0"/>
            </w:tcBorders>
            <w:vAlign w:val="center"/>
          </w:tcPr>
          <w:p w14:paraId="25D9EE4B">
            <w:pPr>
              <w:jc w:val="center"/>
              <w:rPr>
                <w:kern w:val="0"/>
                <w:sz w:val="18"/>
                <w:szCs w:val="18"/>
              </w:rPr>
            </w:pPr>
            <w:r>
              <w:rPr>
                <w:kern w:val="0"/>
                <w:sz w:val="18"/>
                <w:szCs w:val="18"/>
              </w:rPr>
              <w:t>371</w:t>
            </w:r>
          </w:p>
        </w:tc>
        <w:tc>
          <w:tcPr>
            <w:tcW w:w="833" w:type="pct"/>
            <w:tcBorders>
              <w:left w:val="single" w:color="auto" w:sz="2" w:space="0"/>
              <w:right w:val="single" w:color="auto" w:sz="2" w:space="0"/>
            </w:tcBorders>
            <w:noWrap/>
            <w:vAlign w:val="center"/>
          </w:tcPr>
          <w:p w14:paraId="1BD67027">
            <w:pPr>
              <w:widowControl/>
              <w:jc w:val="center"/>
              <w:rPr>
                <w:kern w:val="0"/>
                <w:sz w:val="18"/>
                <w:szCs w:val="18"/>
              </w:rPr>
            </w:pPr>
            <w:r>
              <w:rPr>
                <w:kern w:val="0"/>
                <w:sz w:val="18"/>
                <w:szCs w:val="18"/>
              </w:rPr>
              <w:t>21.306</w:t>
            </w:r>
          </w:p>
        </w:tc>
        <w:tc>
          <w:tcPr>
            <w:tcW w:w="834" w:type="pct"/>
            <w:tcBorders>
              <w:left w:val="single" w:color="auto" w:sz="2" w:space="0"/>
            </w:tcBorders>
            <w:noWrap/>
            <w:vAlign w:val="center"/>
          </w:tcPr>
          <w:p w14:paraId="2F85386E">
            <w:pPr>
              <w:widowControl/>
              <w:jc w:val="center"/>
              <w:rPr>
                <w:kern w:val="0"/>
                <w:sz w:val="18"/>
                <w:szCs w:val="18"/>
              </w:rPr>
            </w:pPr>
            <w:r>
              <w:rPr>
                <w:kern w:val="0"/>
                <w:sz w:val="18"/>
                <w:szCs w:val="18"/>
              </w:rPr>
              <w:t>2310.7</w:t>
            </w:r>
          </w:p>
        </w:tc>
      </w:tr>
      <w:tr w14:paraId="2580B32C">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20347A0E">
            <w:pPr>
              <w:widowControl/>
              <w:jc w:val="center"/>
              <w:rPr>
                <w:kern w:val="0"/>
                <w:sz w:val="18"/>
                <w:szCs w:val="18"/>
              </w:rPr>
            </w:pPr>
            <w:r>
              <w:rPr>
                <w:kern w:val="0"/>
                <w:sz w:val="18"/>
                <w:szCs w:val="18"/>
              </w:rPr>
              <w:t>65</w:t>
            </w:r>
          </w:p>
        </w:tc>
        <w:tc>
          <w:tcPr>
            <w:tcW w:w="833" w:type="pct"/>
            <w:tcBorders>
              <w:left w:val="single" w:color="auto" w:sz="2" w:space="0"/>
              <w:right w:val="single" w:color="auto" w:sz="2" w:space="0"/>
            </w:tcBorders>
            <w:noWrap/>
            <w:vAlign w:val="center"/>
          </w:tcPr>
          <w:p w14:paraId="6F56C0FD">
            <w:pPr>
              <w:widowControl/>
              <w:jc w:val="center"/>
              <w:rPr>
                <w:kern w:val="0"/>
                <w:sz w:val="18"/>
                <w:szCs w:val="18"/>
              </w:rPr>
            </w:pPr>
            <w:r>
              <w:rPr>
                <w:kern w:val="0"/>
                <w:sz w:val="18"/>
                <w:szCs w:val="18"/>
              </w:rPr>
              <w:t>0.025008</w:t>
            </w:r>
          </w:p>
        </w:tc>
        <w:tc>
          <w:tcPr>
            <w:tcW w:w="834" w:type="pct"/>
            <w:tcBorders>
              <w:left w:val="single" w:color="auto" w:sz="2" w:space="0"/>
              <w:right w:val="double" w:color="auto" w:sz="4" w:space="0"/>
            </w:tcBorders>
            <w:noWrap/>
            <w:vAlign w:val="center"/>
          </w:tcPr>
          <w:p w14:paraId="52212EC0">
            <w:pPr>
              <w:widowControl/>
              <w:jc w:val="center"/>
              <w:rPr>
                <w:kern w:val="0"/>
                <w:sz w:val="18"/>
                <w:szCs w:val="18"/>
              </w:rPr>
            </w:pPr>
            <w:r>
              <w:rPr>
                <w:kern w:val="0"/>
                <w:sz w:val="18"/>
                <w:szCs w:val="18"/>
              </w:rPr>
              <w:t>2618.2</w:t>
            </w:r>
          </w:p>
        </w:tc>
        <w:tc>
          <w:tcPr>
            <w:tcW w:w="833" w:type="pct"/>
            <w:tcBorders>
              <w:left w:val="double" w:color="auto" w:sz="4" w:space="0"/>
              <w:right w:val="single" w:color="auto" w:sz="2" w:space="0"/>
            </w:tcBorders>
            <w:vAlign w:val="center"/>
          </w:tcPr>
          <w:p w14:paraId="222B7FCF">
            <w:pPr>
              <w:jc w:val="center"/>
              <w:rPr>
                <w:kern w:val="0"/>
                <w:sz w:val="18"/>
                <w:szCs w:val="18"/>
              </w:rPr>
            </w:pPr>
            <w:r>
              <w:rPr>
                <w:kern w:val="0"/>
                <w:sz w:val="18"/>
                <w:szCs w:val="18"/>
              </w:rPr>
              <w:t>372</w:t>
            </w:r>
          </w:p>
        </w:tc>
        <w:tc>
          <w:tcPr>
            <w:tcW w:w="833" w:type="pct"/>
            <w:tcBorders>
              <w:left w:val="single" w:color="auto" w:sz="2" w:space="0"/>
              <w:right w:val="single" w:color="auto" w:sz="2" w:space="0"/>
            </w:tcBorders>
            <w:noWrap/>
            <w:vAlign w:val="center"/>
          </w:tcPr>
          <w:p w14:paraId="0B2BB82E">
            <w:pPr>
              <w:widowControl/>
              <w:jc w:val="center"/>
              <w:rPr>
                <w:kern w:val="0"/>
                <w:sz w:val="18"/>
                <w:szCs w:val="18"/>
              </w:rPr>
            </w:pPr>
            <w:r>
              <w:rPr>
                <w:kern w:val="0"/>
                <w:sz w:val="18"/>
                <w:szCs w:val="18"/>
              </w:rPr>
              <w:t>21.562</w:t>
            </w:r>
          </w:p>
        </w:tc>
        <w:tc>
          <w:tcPr>
            <w:tcW w:w="834" w:type="pct"/>
            <w:tcBorders>
              <w:left w:val="single" w:color="auto" w:sz="2" w:space="0"/>
            </w:tcBorders>
            <w:noWrap/>
            <w:vAlign w:val="center"/>
          </w:tcPr>
          <w:p w14:paraId="021DCC04">
            <w:pPr>
              <w:widowControl/>
              <w:jc w:val="center"/>
              <w:rPr>
                <w:kern w:val="0"/>
                <w:sz w:val="18"/>
                <w:szCs w:val="18"/>
              </w:rPr>
            </w:pPr>
            <w:r>
              <w:rPr>
                <w:kern w:val="0"/>
                <w:sz w:val="18"/>
                <w:szCs w:val="18"/>
              </w:rPr>
              <w:t>2280.1</w:t>
            </w:r>
          </w:p>
        </w:tc>
      </w:tr>
      <w:tr w14:paraId="5CA579EB">
        <w:tblPrEx>
          <w:tblCellMar>
            <w:top w:w="0" w:type="dxa"/>
            <w:left w:w="108" w:type="dxa"/>
            <w:bottom w:w="0" w:type="dxa"/>
            <w:right w:w="108" w:type="dxa"/>
          </w:tblCellMar>
        </w:tblPrEx>
        <w:trPr>
          <w:cantSplit/>
          <w:trHeight w:val="330" w:hRule="atLeast"/>
          <w:jc w:val="center"/>
        </w:trPr>
        <w:tc>
          <w:tcPr>
            <w:tcW w:w="833" w:type="pct"/>
            <w:tcBorders>
              <w:right w:val="single" w:color="auto" w:sz="2" w:space="0"/>
            </w:tcBorders>
            <w:noWrap/>
            <w:vAlign w:val="center"/>
          </w:tcPr>
          <w:p w14:paraId="57CC6FD0">
            <w:pPr>
              <w:widowControl/>
              <w:jc w:val="center"/>
              <w:rPr>
                <w:kern w:val="0"/>
                <w:sz w:val="18"/>
                <w:szCs w:val="18"/>
              </w:rPr>
            </w:pPr>
            <w:r>
              <w:rPr>
                <w:kern w:val="0"/>
                <w:sz w:val="18"/>
                <w:szCs w:val="18"/>
              </w:rPr>
              <w:t>70</w:t>
            </w:r>
          </w:p>
        </w:tc>
        <w:tc>
          <w:tcPr>
            <w:tcW w:w="833" w:type="pct"/>
            <w:tcBorders>
              <w:left w:val="single" w:color="auto" w:sz="2" w:space="0"/>
              <w:right w:val="single" w:color="auto" w:sz="2" w:space="0"/>
            </w:tcBorders>
            <w:noWrap/>
            <w:vAlign w:val="center"/>
          </w:tcPr>
          <w:p w14:paraId="6FC18F14">
            <w:pPr>
              <w:widowControl/>
              <w:jc w:val="center"/>
              <w:rPr>
                <w:kern w:val="0"/>
                <w:sz w:val="18"/>
                <w:szCs w:val="18"/>
              </w:rPr>
            </w:pPr>
            <w:r>
              <w:rPr>
                <w:kern w:val="0"/>
                <w:sz w:val="18"/>
                <w:szCs w:val="18"/>
              </w:rPr>
              <w:t>0.031161</w:t>
            </w:r>
          </w:p>
        </w:tc>
        <w:tc>
          <w:tcPr>
            <w:tcW w:w="834" w:type="pct"/>
            <w:tcBorders>
              <w:left w:val="single" w:color="auto" w:sz="2" w:space="0"/>
              <w:right w:val="double" w:color="auto" w:sz="4" w:space="0"/>
            </w:tcBorders>
            <w:noWrap/>
            <w:vAlign w:val="center"/>
          </w:tcPr>
          <w:p w14:paraId="3EF0DE7C">
            <w:pPr>
              <w:widowControl/>
              <w:jc w:val="center"/>
              <w:rPr>
                <w:kern w:val="0"/>
                <w:sz w:val="18"/>
                <w:szCs w:val="18"/>
              </w:rPr>
            </w:pPr>
            <w:r>
              <w:rPr>
                <w:kern w:val="0"/>
                <w:sz w:val="18"/>
                <w:szCs w:val="18"/>
              </w:rPr>
              <w:t>2626.8</w:t>
            </w:r>
          </w:p>
        </w:tc>
        <w:tc>
          <w:tcPr>
            <w:tcW w:w="833" w:type="pct"/>
            <w:tcBorders>
              <w:left w:val="double" w:color="auto" w:sz="4" w:space="0"/>
              <w:right w:val="single" w:color="auto" w:sz="2" w:space="0"/>
            </w:tcBorders>
            <w:vAlign w:val="center"/>
          </w:tcPr>
          <w:p w14:paraId="31A048FD">
            <w:pPr>
              <w:jc w:val="center"/>
              <w:rPr>
                <w:kern w:val="0"/>
                <w:sz w:val="18"/>
                <w:szCs w:val="18"/>
              </w:rPr>
            </w:pPr>
            <w:r>
              <w:rPr>
                <w:kern w:val="0"/>
                <w:sz w:val="18"/>
                <w:szCs w:val="18"/>
              </w:rPr>
              <w:t>373</w:t>
            </w:r>
          </w:p>
        </w:tc>
        <w:tc>
          <w:tcPr>
            <w:tcW w:w="833" w:type="pct"/>
            <w:tcBorders>
              <w:left w:val="single" w:color="auto" w:sz="2" w:space="0"/>
              <w:right w:val="single" w:color="auto" w:sz="2" w:space="0"/>
            </w:tcBorders>
            <w:noWrap/>
            <w:vAlign w:val="center"/>
          </w:tcPr>
          <w:p w14:paraId="06220917">
            <w:pPr>
              <w:widowControl/>
              <w:jc w:val="center"/>
              <w:rPr>
                <w:kern w:val="0"/>
                <w:sz w:val="18"/>
                <w:szCs w:val="18"/>
              </w:rPr>
            </w:pPr>
            <w:r>
              <w:rPr>
                <w:kern w:val="0"/>
                <w:sz w:val="18"/>
                <w:szCs w:val="18"/>
              </w:rPr>
              <w:t>21.821</w:t>
            </w:r>
          </w:p>
        </w:tc>
        <w:tc>
          <w:tcPr>
            <w:tcW w:w="834" w:type="pct"/>
            <w:tcBorders>
              <w:left w:val="single" w:color="auto" w:sz="2" w:space="0"/>
            </w:tcBorders>
            <w:noWrap/>
            <w:vAlign w:val="center"/>
          </w:tcPr>
          <w:p w14:paraId="37125FB1">
            <w:pPr>
              <w:widowControl/>
              <w:jc w:val="center"/>
              <w:rPr>
                <w:kern w:val="0"/>
                <w:sz w:val="18"/>
                <w:szCs w:val="18"/>
              </w:rPr>
            </w:pPr>
            <w:r>
              <w:rPr>
                <w:kern w:val="0"/>
                <w:sz w:val="18"/>
                <w:szCs w:val="18"/>
              </w:rPr>
              <w:t>2238.3</w:t>
            </w:r>
          </w:p>
        </w:tc>
      </w:tr>
      <w:tr w14:paraId="53B2E2E1">
        <w:tblPrEx>
          <w:tblCellMar>
            <w:top w:w="0" w:type="dxa"/>
            <w:left w:w="108" w:type="dxa"/>
            <w:bottom w:w="0" w:type="dxa"/>
            <w:right w:w="108" w:type="dxa"/>
          </w:tblCellMar>
        </w:tblPrEx>
        <w:trPr>
          <w:cantSplit/>
          <w:trHeight w:val="330" w:hRule="atLeast"/>
          <w:jc w:val="center"/>
        </w:trPr>
        <w:tc>
          <w:tcPr>
            <w:tcW w:w="833" w:type="pct"/>
            <w:tcBorders>
              <w:bottom w:val="single" w:color="auto" w:sz="8" w:space="0"/>
              <w:right w:val="single" w:color="auto" w:sz="2" w:space="0"/>
            </w:tcBorders>
            <w:noWrap/>
            <w:vAlign w:val="center"/>
          </w:tcPr>
          <w:p w14:paraId="2F2DB47C">
            <w:pPr>
              <w:widowControl/>
              <w:jc w:val="center"/>
              <w:rPr>
                <w:kern w:val="0"/>
                <w:sz w:val="18"/>
                <w:szCs w:val="18"/>
              </w:rPr>
            </w:pPr>
            <w:r>
              <w:rPr>
                <w:kern w:val="0"/>
                <w:sz w:val="18"/>
                <w:szCs w:val="18"/>
              </w:rPr>
              <w:t>75</w:t>
            </w:r>
          </w:p>
        </w:tc>
        <w:tc>
          <w:tcPr>
            <w:tcW w:w="833" w:type="pct"/>
            <w:tcBorders>
              <w:left w:val="single" w:color="auto" w:sz="2" w:space="0"/>
              <w:bottom w:val="single" w:color="auto" w:sz="8" w:space="0"/>
              <w:right w:val="single" w:color="auto" w:sz="2" w:space="0"/>
            </w:tcBorders>
            <w:noWrap/>
            <w:vAlign w:val="center"/>
          </w:tcPr>
          <w:p w14:paraId="2EBF8F2D">
            <w:pPr>
              <w:widowControl/>
              <w:jc w:val="center"/>
              <w:rPr>
                <w:kern w:val="0"/>
                <w:sz w:val="18"/>
                <w:szCs w:val="18"/>
              </w:rPr>
            </w:pPr>
            <w:r>
              <w:rPr>
                <w:kern w:val="0"/>
                <w:sz w:val="18"/>
                <w:szCs w:val="18"/>
              </w:rPr>
              <w:t>0.038548</w:t>
            </w:r>
          </w:p>
        </w:tc>
        <w:tc>
          <w:tcPr>
            <w:tcW w:w="834" w:type="pct"/>
            <w:tcBorders>
              <w:left w:val="single" w:color="auto" w:sz="2" w:space="0"/>
              <w:bottom w:val="single" w:color="auto" w:sz="8" w:space="0"/>
              <w:right w:val="double" w:color="auto" w:sz="4" w:space="0"/>
            </w:tcBorders>
            <w:noWrap/>
            <w:vAlign w:val="center"/>
          </w:tcPr>
          <w:p w14:paraId="45764656">
            <w:pPr>
              <w:widowControl/>
              <w:jc w:val="center"/>
              <w:rPr>
                <w:kern w:val="0"/>
                <w:sz w:val="18"/>
                <w:szCs w:val="18"/>
              </w:rPr>
            </w:pPr>
            <w:r>
              <w:rPr>
                <w:kern w:val="0"/>
                <w:sz w:val="18"/>
                <w:szCs w:val="18"/>
              </w:rPr>
              <w:t>2635.3</w:t>
            </w:r>
          </w:p>
        </w:tc>
        <w:tc>
          <w:tcPr>
            <w:tcW w:w="833" w:type="pct"/>
            <w:tcBorders>
              <w:left w:val="double" w:color="auto" w:sz="4" w:space="0"/>
              <w:bottom w:val="single" w:color="auto" w:sz="8" w:space="0"/>
              <w:right w:val="single" w:color="auto" w:sz="2" w:space="0"/>
            </w:tcBorders>
            <w:vAlign w:val="center"/>
          </w:tcPr>
          <w:p w14:paraId="3D9B6D09">
            <w:pPr>
              <w:jc w:val="center"/>
              <w:rPr>
                <w:kern w:val="0"/>
                <w:sz w:val="18"/>
                <w:szCs w:val="18"/>
              </w:rPr>
            </w:pPr>
            <w:r>
              <w:rPr>
                <w:kern w:val="0"/>
                <w:sz w:val="18"/>
                <w:szCs w:val="18"/>
              </w:rPr>
              <w:t>374</w:t>
            </w:r>
          </w:p>
        </w:tc>
        <w:tc>
          <w:tcPr>
            <w:tcW w:w="833" w:type="pct"/>
            <w:tcBorders>
              <w:left w:val="single" w:color="auto" w:sz="2" w:space="0"/>
              <w:bottom w:val="single" w:color="auto" w:sz="8" w:space="0"/>
              <w:right w:val="single" w:color="auto" w:sz="2" w:space="0"/>
            </w:tcBorders>
            <w:noWrap/>
            <w:vAlign w:val="center"/>
          </w:tcPr>
          <w:p w14:paraId="28A16822">
            <w:pPr>
              <w:widowControl/>
              <w:jc w:val="center"/>
              <w:rPr>
                <w:kern w:val="0"/>
                <w:sz w:val="18"/>
                <w:szCs w:val="18"/>
              </w:rPr>
            </w:pPr>
            <w:r>
              <w:rPr>
                <w:kern w:val="0"/>
                <w:sz w:val="18"/>
                <w:szCs w:val="18"/>
              </w:rPr>
              <w:t>22.084</w:t>
            </w:r>
          </w:p>
        </w:tc>
        <w:tc>
          <w:tcPr>
            <w:tcW w:w="834" w:type="pct"/>
            <w:tcBorders>
              <w:left w:val="single" w:color="auto" w:sz="2" w:space="0"/>
              <w:bottom w:val="single" w:color="auto" w:sz="8" w:space="0"/>
            </w:tcBorders>
            <w:noWrap/>
            <w:vAlign w:val="center"/>
          </w:tcPr>
          <w:p w14:paraId="46BB1FDB">
            <w:pPr>
              <w:widowControl/>
              <w:jc w:val="center"/>
              <w:rPr>
                <w:kern w:val="0"/>
                <w:sz w:val="18"/>
                <w:szCs w:val="18"/>
              </w:rPr>
            </w:pPr>
            <w:r>
              <w:rPr>
                <w:kern w:val="0"/>
                <w:sz w:val="18"/>
                <w:szCs w:val="18"/>
              </w:rPr>
              <w:t>2150.7</w:t>
            </w:r>
          </w:p>
        </w:tc>
      </w:tr>
    </w:tbl>
    <w:p w14:paraId="01202A7E">
      <w:r>
        <w:br w:type="page"/>
      </w:r>
    </w:p>
    <w:p w14:paraId="29159715">
      <w:pPr>
        <w:rPr>
          <w:sz w:val="18"/>
          <w:szCs w:val="18"/>
        </w:rPr>
      </w:pPr>
      <w:r>
        <w:rPr>
          <w:sz w:val="18"/>
          <w:szCs w:val="18"/>
        </w:rPr>
        <w:t>3.</w:t>
      </w:r>
      <w:r>
        <w:rPr>
          <w:sz w:val="18"/>
          <w:szCs w:val="18"/>
        </w:rPr>
        <w:tab/>
      </w:r>
      <w:r>
        <w:rPr>
          <w:sz w:val="18"/>
          <w:szCs w:val="18"/>
        </w:rPr>
        <w:t>过热蒸汽温度、压力—焓表(一)</w:t>
      </w:r>
    </w:p>
    <w:p w14:paraId="3D2C307D">
      <w:pPr>
        <w:ind w:firstLine="8460" w:firstLineChars="4700"/>
        <w:rPr>
          <w:sz w:val="18"/>
          <w:szCs w:val="18"/>
        </w:rPr>
      </w:pPr>
      <w:r>
        <w:rPr>
          <w:kern w:val="0"/>
          <w:sz w:val="18"/>
          <w:szCs w:val="18"/>
        </w:rPr>
        <w:t>焓（KJ/kg）</w:t>
      </w:r>
    </w:p>
    <w:tbl>
      <w:tblPr>
        <w:tblStyle w:val="20"/>
        <w:tblW w:w="4900" w:type="pct"/>
        <w:jc w:val="center"/>
        <w:tblLayout w:type="autofit"/>
        <w:tblCellMar>
          <w:top w:w="0" w:type="dxa"/>
          <w:left w:w="108" w:type="dxa"/>
          <w:bottom w:w="0" w:type="dxa"/>
          <w:right w:w="108" w:type="dxa"/>
        </w:tblCellMar>
      </w:tblPr>
      <w:tblGrid>
        <w:gridCol w:w="1180"/>
        <w:gridCol w:w="1375"/>
        <w:gridCol w:w="1376"/>
        <w:gridCol w:w="1376"/>
        <w:gridCol w:w="1376"/>
        <w:gridCol w:w="1376"/>
        <w:gridCol w:w="1376"/>
      </w:tblGrid>
      <w:tr w14:paraId="0612D9CF">
        <w:tblPrEx>
          <w:tblCellMar>
            <w:top w:w="0" w:type="dxa"/>
            <w:left w:w="108" w:type="dxa"/>
            <w:bottom w:w="0" w:type="dxa"/>
            <w:right w:w="108" w:type="dxa"/>
          </w:tblCellMar>
        </w:tblPrEx>
        <w:trPr>
          <w:trHeight w:val="297" w:hRule="atLeast"/>
          <w:jc w:val="center"/>
        </w:trPr>
        <w:tc>
          <w:tcPr>
            <w:tcW w:w="626" w:type="pct"/>
            <w:vMerge w:val="restart"/>
            <w:tcBorders>
              <w:top w:val="single" w:color="auto" w:sz="8" w:space="0"/>
              <w:bottom w:val="single" w:color="auto" w:sz="4" w:space="0"/>
              <w:right w:val="single" w:color="auto" w:sz="2" w:space="0"/>
            </w:tcBorders>
            <w:noWrap/>
            <w:vAlign w:val="center"/>
          </w:tcPr>
          <w:p w14:paraId="53B4235B">
            <w:pPr>
              <w:widowControl/>
              <w:jc w:val="center"/>
              <w:rPr>
                <w:kern w:val="0"/>
                <w:sz w:val="18"/>
                <w:szCs w:val="18"/>
              </w:rPr>
            </w:pPr>
            <w:r>
              <w:rPr>
                <w:kern w:val="0"/>
                <w:sz w:val="18"/>
                <w:szCs w:val="18"/>
              </w:rPr>
              <w:t>T （℃）</w:t>
            </w:r>
          </w:p>
        </w:tc>
        <w:tc>
          <w:tcPr>
            <w:tcW w:w="4374" w:type="pct"/>
            <w:gridSpan w:val="6"/>
            <w:tcBorders>
              <w:top w:val="single" w:color="auto" w:sz="8" w:space="0"/>
              <w:left w:val="single" w:color="auto" w:sz="2" w:space="0"/>
              <w:bottom w:val="single" w:color="auto" w:sz="2" w:space="0"/>
            </w:tcBorders>
            <w:noWrap/>
            <w:vAlign w:val="center"/>
          </w:tcPr>
          <w:p w14:paraId="60F0994B">
            <w:pPr>
              <w:widowControl/>
              <w:jc w:val="center"/>
              <w:rPr>
                <w:kern w:val="0"/>
                <w:sz w:val="18"/>
                <w:szCs w:val="18"/>
              </w:rPr>
            </w:pPr>
            <w:r>
              <w:rPr>
                <w:kern w:val="0"/>
                <w:sz w:val="18"/>
                <w:szCs w:val="18"/>
              </w:rPr>
              <w:t>MPa</w:t>
            </w:r>
          </w:p>
        </w:tc>
      </w:tr>
      <w:tr w14:paraId="0B752FC2">
        <w:tblPrEx>
          <w:tblCellMar>
            <w:top w:w="0" w:type="dxa"/>
            <w:left w:w="108" w:type="dxa"/>
            <w:bottom w:w="0" w:type="dxa"/>
            <w:right w:w="108" w:type="dxa"/>
          </w:tblCellMar>
        </w:tblPrEx>
        <w:trPr>
          <w:trHeight w:val="652" w:hRule="atLeast"/>
          <w:jc w:val="center"/>
        </w:trPr>
        <w:tc>
          <w:tcPr>
            <w:tcW w:w="626" w:type="pct"/>
            <w:vMerge w:val="continue"/>
            <w:tcBorders>
              <w:top w:val="single" w:color="auto" w:sz="4" w:space="0"/>
              <w:bottom w:val="single" w:color="auto" w:sz="2" w:space="0"/>
              <w:right w:val="single" w:color="auto" w:sz="2" w:space="0"/>
            </w:tcBorders>
            <w:vAlign w:val="center"/>
          </w:tcPr>
          <w:p w14:paraId="7CD2D0BB">
            <w:pPr>
              <w:widowControl/>
              <w:jc w:val="left"/>
              <w:rPr>
                <w:kern w:val="0"/>
                <w:sz w:val="18"/>
                <w:szCs w:val="18"/>
              </w:rPr>
            </w:pPr>
          </w:p>
        </w:tc>
        <w:tc>
          <w:tcPr>
            <w:tcW w:w="729" w:type="pct"/>
            <w:tcBorders>
              <w:top w:val="single" w:color="auto" w:sz="2" w:space="0"/>
              <w:left w:val="single" w:color="auto" w:sz="2" w:space="0"/>
              <w:bottom w:val="single" w:color="auto" w:sz="2" w:space="0"/>
              <w:right w:val="single" w:color="auto" w:sz="2" w:space="0"/>
            </w:tcBorders>
            <w:noWrap/>
            <w:vAlign w:val="center"/>
          </w:tcPr>
          <w:p w14:paraId="7DB6FDEE">
            <w:pPr>
              <w:widowControl/>
              <w:jc w:val="center"/>
              <w:rPr>
                <w:kern w:val="0"/>
                <w:sz w:val="18"/>
                <w:szCs w:val="18"/>
              </w:rPr>
            </w:pPr>
            <w:r>
              <w:rPr>
                <w:kern w:val="0"/>
                <w:sz w:val="18"/>
                <w:szCs w:val="18"/>
              </w:rPr>
              <w:t>0.01</w:t>
            </w:r>
          </w:p>
        </w:tc>
        <w:tc>
          <w:tcPr>
            <w:tcW w:w="729" w:type="pct"/>
            <w:tcBorders>
              <w:top w:val="single" w:color="auto" w:sz="2" w:space="0"/>
              <w:left w:val="single" w:color="auto" w:sz="2" w:space="0"/>
              <w:bottom w:val="single" w:color="auto" w:sz="2" w:space="0"/>
              <w:right w:val="single" w:color="auto" w:sz="2" w:space="0"/>
            </w:tcBorders>
            <w:noWrap/>
            <w:vAlign w:val="center"/>
          </w:tcPr>
          <w:p w14:paraId="5F005D88">
            <w:pPr>
              <w:widowControl/>
              <w:jc w:val="center"/>
              <w:rPr>
                <w:kern w:val="0"/>
                <w:sz w:val="18"/>
                <w:szCs w:val="18"/>
              </w:rPr>
            </w:pPr>
            <w:r>
              <w:rPr>
                <w:kern w:val="0"/>
                <w:sz w:val="18"/>
                <w:szCs w:val="18"/>
              </w:rPr>
              <w:t>0.1</w:t>
            </w:r>
          </w:p>
        </w:tc>
        <w:tc>
          <w:tcPr>
            <w:tcW w:w="729" w:type="pct"/>
            <w:tcBorders>
              <w:top w:val="single" w:color="auto" w:sz="2" w:space="0"/>
              <w:left w:val="single" w:color="auto" w:sz="2" w:space="0"/>
              <w:bottom w:val="single" w:color="auto" w:sz="2" w:space="0"/>
              <w:right w:val="single" w:color="auto" w:sz="2" w:space="0"/>
            </w:tcBorders>
            <w:noWrap/>
            <w:vAlign w:val="center"/>
          </w:tcPr>
          <w:p w14:paraId="3A29C41D">
            <w:pPr>
              <w:widowControl/>
              <w:jc w:val="center"/>
              <w:rPr>
                <w:kern w:val="0"/>
                <w:sz w:val="18"/>
                <w:szCs w:val="18"/>
              </w:rPr>
            </w:pPr>
            <w:r>
              <w:rPr>
                <w:kern w:val="0"/>
                <w:sz w:val="18"/>
                <w:szCs w:val="18"/>
              </w:rPr>
              <w:t>0.5</w:t>
            </w:r>
          </w:p>
        </w:tc>
        <w:tc>
          <w:tcPr>
            <w:tcW w:w="729" w:type="pct"/>
            <w:tcBorders>
              <w:top w:val="single" w:color="auto" w:sz="2" w:space="0"/>
              <w:left w:val="single" w:color="auto" w:sz="2" w:space="0"/>
              <w:bottom w:val="single" w:color="auto" w:sz="2" w:space="0"/>
              <w:right w:val="single" w:color="auto" w:sz="2" w:space="0"/>
            </w:tcBorders>
            <w:noWrap/>
            <w:vAlign w:val="center"/>
          </w:tcPr>
          <w:p w14:paraId="4DE1AE31">
            <w:pPr>
              <w:widowControl/>
              <w:jc w:val="center"/>
              <w:rPr>
                <w:kern w:val="0"/>
                <w:sz w:val="18"/>
                <w:szCs w:val="18"/>
              </w:rPr>
            </w:pPr>
            <w:r>
              <w:rPr>
                <w:kern w:val="0"/>
                <w:sz w:val="18"/>
                <w:szCs w:val="18"/>
              </w:rPr>
              <w:t>1</w:t>
            </w:r>
          </w:p>
        </w:tc>
        <w:tc>
          <w:tcPr>
            <w:tcW w:w="729" w:type="pct"/>
            <w:tcBorders>
              <w:top w:val="single" w:color="auto" w:sz="2" w:space="0"/>
              <w:left w:val="single" w:color="auto" w:sz="2" w:space="0"/>
              <w:bottom w:val="single" w:color="auto" w:sz="2" w:space="0"/>
              <w:right w:val="single" w:color="auto" w:sz="2" w:space="0"/>
            </w:tcBorders>
            <w:noWrap/>
            <w:vAlign w:val="center"/>
          </w:tcPr>
          <w:p w14:paraId="0DE7C6BD">
            <w:pPr>
              <w:widowControl/>
              <w:jc w:val="center"/>
              <w:rPr>
                <w:kern w:val="0"/>
                <w:sz w:val="18"/>
                <w:szCs w:val="18"/>
              </w:rPr>
            </w:pPr>
            <w:r>
              <w:rPr>
                <w:kern w:val="0"/>
                <w:sz w:val="18"/>
                <w:szCs w:val="18"/>
              </w:rPr>
              <w:t>3</w:t>
            </w:r>
          </w:p>
        </w:tc>
        <w:tc>
          <w:tcPr>
            <w:tcW w:w="731" w:type="pct"/>
            <w:tcBorders>
              <w:top w:val="single" w:color="auto" w:sz="2" w:space="0"/>
              <w:left w:val="single" w:color="auto" w:sz="2" w:space="0"/>
              <w:bottom w:val="single" w:color="auto" w:sz="2" w:space="0"/>
            </w:tcBorders>
            <w:noWrap/>
            <w:vAlign w:val="center"/>
          </w:tcPr>
          <w:p w14:paraId="0C925526">
            <w:pPr>
              <w:widowControl/>
              <w:jc w:val="center"/>
              <w:rPr>
                <w:kern w:val="0"/>
                <w:sz w:val="18"/>
                <w:szCs w:val="18"/>
              </w:rPr>
            </w:pPr>
            <w:r>
              <w:rPr>
                <w:kern w:val="0"/>
                <w:sz w:val="18"/>
                <w:szCs w:val="18"/>
              </w:rPr>
              <w:t>5</w:t>
            </w:r>
          </w:p>
        </w:tc>
      </w:tr>
      <w:tr w14:paraId="687F9759">
        <w:tblPrEx>
          <w:tblCellMar>
            <w:top w:w="0" w:type="dxa"/>
            <w:left w:w="108" w:type="dxa"/>
            <w:bottom w:w="0" w:type="dxa"/>
            <w:right w:w="108" w:type="dxa"/>
          </w:tblCellMar>
        </w:tblPrEx>
        <w:trPr>
          <w:trHeight w:val="390" w:hRule="atLeast"/>
          <w:jc w:val="center"/>
        </w:trPr>
        <w:tc>
          <w:tcPr>
            <w:tcW w:w="626" w:type="pct"/>
            <w:tcBorders>
              <w:top w:val="single" w:color="auto" w:sz="2" w:space="0"/>
              <w:right w:val="single" w:color="auto" w:sz="2" w:space="0"/>
            </w:tcBorders>
            <w:noWrap/>
            <w:vAlign w:val="center"/>
          </w:tcPr>
          <w:p w14:paraId="36B4E942">
            <w:pPr>
              <w:widowControl/>
              <w:jc w:val="center"/>
              <w:rPr>
                <w:kern w:val="0"/>
                <w:sz w:val="18"/>
                <w:szCs w:val="18"/>
              </w:rPr>
            </w:pPr>
            <w:r>
              <w:rPr>
                <w:kern w:val="0"/>
                <w:sz w:val="18"/>
                <w:szCs w:val="18"/>
              </w:rPr>
              <w:t xml:space="preserve">  0</w:t>
            </w:r>
          </w:p>
        </w:tc>
        <w:tc>
          <w:tcPr>
            <w:tcW w:w="729" w:type="pct"/>
            <w:tcBorders>
              <w:top w:val="single" w:color="auto" w:sz="2" w:space="0"/>
              <w:left w:val="single" w:color="auto" w:sz="2" w:space="0"/>
              <w:right w:val="single" w:color="auto" w:sz="2" w:space="0"/>
            </w:tcBorders>
            <w:noWrap/>
            <w:vAlign w:val="center"/>
          </w:tcPr>
          <w:p w14:paraId="534D3861">
            <w:pPr>
              <w:widowControl/>
              <w:jc w:val="center"/>
              <w:rPr>
                <w:kern w:val="0"/>
                <w:sz w:val="18"/>
                <w:szCs w:val="18"/>
              </w:rPr>
            </w:pPr>
            <w:r>
              <w:rPr>
                <w:kern w:val="0"/>
                <w:sz w:val="18"/>
                <w:szCs w:val="18"/>
              </w:rPr>
              <w:t xml:space="preserve"> 0</w:t>
            </w:r>
          </w:p>
        </w:tc>
        <w:tc>
          <w:tcPr>
            <w:tcW w:w="729" w:type="pct"/>
            <w:tcBorders>
              <w:top w:val="single" w:color="auto" w:sz="2" w:space="0"/>
              <w:left w:val="single" w:color="auto" w:sz="2" w:space="0"/>
              <w:right w:val="single" w:color="auto" w:sz="2" w:space="0"/>
            </w:tcBorders>
            <w:noWrap/>
            <w:vAlign w:val="center"/>
          </w:tcPr>
          <w:p w14:paraId="015861A7">
            <w:pPr>
              <w:widowControl/>
              <w:jc w:val="center"/>
              <w:rPr>
                <w:kern w:val="0"/>
                <w:sz w:val="18"/>
                <w:szCs w:val="18"/>
              </w:rPr>
            </w:pPr>
            <w:r>
              <w:rPr>
                <w:kern w:val="0"/>
                <w:sz w:val="18"/>
                <w:szCs w:val="18"/>
              </w:rPr>
              <w:t xml:space="preserve">   0.1</w:t>
            </w:r>
          </w:p>
        </w:tc>
        <w:tc>
          <w:tcPr>
            <w:tcW w:w="729" w:type="pct"/>
            <w:tcBorders>
              <w:top w:val="single" w:color="auto" w:sz="2" w:space="0"/>
              <w:left w:val="single" w:color="auto" w:sz="2" w:space="0"/>
              <w:right w:val="single" w:color="auto" w:sz="2" w:space="0"/>
            </w:tcBorders>
            <w:noWrap/>
            <w:vAlign w:val="center"/>
          </w:tcPr>
          <w:p w14:paraId="0E469433">
            <w:pPr>
              <w:widowControl/>
              <w:jc w:val="center"/>
              <w:rPr>
                <w:kern w:val="0"/>
                <w:sz w:val="18"/>
                <w:szCs w:val="18"/>
              </w:rPr>
            </w:pPr>
            <w:r>
              <w:rPr>
                <w:kern w:val="0"/>
                <w:sz w:val="18"/>
                <w:szCs w:val="18"/>
              </w:rPr>
              <w:t xml:space="preserve">   0.5</w:t>
            </w:r>
          </w:p>
        </w:tc>
        <w:tc>
          <w:tcPr>
            <w:tcW w:w="729" w:type="pct"/>
            <w:tcBorders>
              <w:top w:val="single" w:color="auto" w:sz="2" w:space="0"/>
              <w:left w:val="single" w:color="auto" w:sz="2" w:space="0"/>
              <w:right w:val="single" w:color="auto" w:sz="2" w:space="0"/>
            </w:tcBorders>
            <w:noWrap/>
            <w:vAlign w:val="center"/>
          </w:tcPr>
          <w:p w14:paraId="48172517">
            <w:pPr>
              <w:widowControl/>
              <w:jc w:val="center"/>
              <w:rPr>
                <w:kern w:val="0"/>
                <w:sz w:val="18"/>
                <w:szCs w:val="18"/>
              </w:rPr>
            </w:pPr>
            <w:r>
              <w:rPr>
                <w:kern w:val="0"/>
                <w:sz w:val="18"/>
                <w:szCs w:val="18"/>
              </w:rPr>
              <w:t xml:space="preserve">   1.0</w:t>
            </w:r>
          </w:p>
        </w:tc>
        <w:tc>
          <w:tcPr>
            <w:tcW w:w="729" w:type="pct"/>
            <w:tcBorders>
              <w:top w:val="single" w:color="auto" w:sz="2" w:space="0"/>
              <w:left w:val="single" w:color="auto" w:sz="2" w:space="0"/>
              <w:right w:val="single" w:color="auto" w:sz="2" w:space="0"/>
            </w:tcBorders>
            <w:noWrap/>
            <w:vAlign w:val="center"/>
          </w:tcPr>
          <w:p w14:paraId="010A4926">
            <w:pPr>
              <w:widowControl/>
              <w:jc w:val="center"/>
              <w:rPr>
                <w:kern w:val="0"/>
                <w:sz w:val="18"/>
                <w:szCs w:val="18"/>
              </w:rPr>
            </w:pPr>
            <w:r>
              <w:rPr>
                <w:kern w:val="0"/>
                <w:sz w:val="18"/>
                <w:szCs w:val="18"/>
              </w:rPr>
              <w:t xml:space="preserve">   3.0</w:t>
            </w:r>
          </w:p>
        </w:tc>
        <w:tc>
          <w:tcPr>
            <w:tcW w:w="731" w:type="pct"/>
            <w:tcBorders>
              <w:top w:val="single" w:color="auto" w:sz="2" w:space="0"/>
              <w:left w:val="single" w:color="auto" w:sz="2" w:space="0"/>
            </w:tcBorders>
            <w:noWrap/>
            <w:vAlign w:val="center"/>
          </w:tcPr>
          <w:p w14:paraId="2702680D">
            <w:pPr>
              <w:widowControl/>
              <w:jc w:val="center"/>
              <w:rPr>
                <w:kern w:val="0"/>
                <w:sz w:val="18"/>
                <w:szCs w:val="18"/>
              </w:rPr>
            </w:pPr>
            <w:r>
              <w:rPr>
                <w:kern w:val="0"/>
                <w:sz w:val="18"/>
                <w:szCs w:val="18"/>
              </w:rPr>
              <w:t xml:space="preserve">   5.0</w:t>
            </w:r>
          </w:p>
        </w:tc>
      </w:tr>
      <w:tr w14:paraId="3C35569A">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5DDAF38A">
            <w:pPr>
              <w:widowControl/>
              <w:jc w:val="center"/>
              <w:rPr>
                <w:kern w:val="0"/>
                <w:sz w:val="18"/>
                <w:szCs w:val="18"/>
              </w:rPr>
            </w:pPr>
            <w:r>
              <w:rPr>
                <w:kern w:val="0"/>
                <w:sz w:val="18"/>
                <w:szCs w:val="18"/>
              </w:rPr>
              <w:t xml:space="preserve"> 10</w:t>
            </w:r>
          </w:p>
        </w:tc>
        <w:tc>
          <w:tcPr>
            <w:tcW w:w="729" w:type="pct"/>
            <w:tcBorders>
              <w:left w:val="single" w:color="auto" w:sz="2" w:space="0"/>
              <w:right w:val="single" w:color="auto" w:sz="2" w:space="0"/>
            </w:tcBorders>
            <w:noWrap/>
            <w:vAlign w:val="center"/>
          </w:tcPr>
          <w:p w14:paraId="3CBD4211">
            <w:pPr>
              <w:widowControl/>
              <w:jc w:val="center"/>
              <w:rPr>
                <w:kern w:val="0"/>
                <w:sz w:val="18"/>
                <w:szCs w:val="18"/>
              </w:rPr>
            </w:pPr>
            <w:r>
              <w:rPr>
                <w:kern w:val="0"/>
                <w:sz w:val="18"/>
                <w:szCs w:val="18"/>
              </w:rPr>
              <w:t xml:space="preserve">  42.0</w:t>
            </w:r>
          </w:p>
        </w:tc>
        <w:tc>
          <w:tcPr>
            <w:tcW w:w="729" w:type="pct"/>
            <w:tcBorders>
              <w:left w:val="single" w:color="auto" w:sz="2" w:space="0"/>
              <w:right w:val="single" w:color="auto" w:sz="2" w:space="0"/>
            </w:tcBorders>
            <w:noWrap/>
            <w:vAlign w:val="center"/>
          </w:tcPr>
          <w:p w14:paraId="3E5FD11D">
            <w:pPr>
              <w:widowControl/>
              <w:jc w:val="center"/>
              <w:rPr>
                <w:kern w:val="0"/>
                <w:sz w:val="18"/>
                <w:szCs w:val="18"/>
              </w:rPr>
            </w:pPr>
            <w:r>
              <w:rPr>
                <w:kern w:val="0"/>
                <w:sz w:val="18"/>
                <w:szCs w:val="18"/>
              </w:rPr>
              <w:t xml:space="preserve">  42.1</w:t>
            </w:r>
          </w:p>
        </w:tc>
        <w:tc>
          <w:tcPr>
            <w:tcW w:w="729" w:type="pct"/>
            <w:tcBorders>
              <w:left w:val="single" w:color="auto" w:sz="2" w:space="0"/>
              <w:right w:val="single" w:color="auto" w:sz="2" w:space="0"/>
            </w:tcBorders>
            <w:noWrap/>
            <w:vAlign w:val="center"/>
          </w:tcPr>
          <w:p w14:paraId="627B364C">
            <w:pPr>
              <w:widowControl/>
              <w:jc w:val="center"/>
              <w:rPr>
                <w:kern w:val="0"/>
                <w:sz w:val="18"/>
                <w:szCs w:val="18"/>
              </w:rPr>
            </w:pPr>
            <w:r>
              <w:rPr>
                <w:kern w:val="0"/>
                <w:sz w:val="18"/>
                <w:szCs w:val="18"/>
              </w:rPr>
              <w:t xml:space="preserve">  42.5</w:t>
            </w:r>
          </w:p>
        </w:tc>
        <w:tc>
          <w:tcPr>
            <w:tcW w:w="729" w:type="pct"/>
            <w:tcBorders>
              <w:left w:val="single" w:color="auto" w:sz="2" w:space="0"/>
              <w:right w:val="single" w:color="auto" w:sz="2" w:space="0"/>
            </w:tcBorders>
            <w:noWrap/>
            <w:vAlign w:val="center"/>
          </w:tcPr>
          <w:p w14:paraId="2075AEBC">
            <w:pPr>
              <w:widowControl/>
              <w:jc w:val="center"/>
              <w:rPr>
                <w:kern w:val="0"/>
                <w:sz w:val="18"/>
                <w:szCs w:val="18"/>
              </w:rPr>
            </w:pPr>
            <w:r>
              <w:rPr>
                <w:kern w:val="0"/>
                <w:sz w:val="18"/>
                <w:szCs w:val="18"/>
              </w:rPr>
              <w:t xml:space="preserve">  43.0</w:t>
            </w:r>
          </w:p>
        </w:tc>
        <w:tc>
          <w:tcPr>
            <w:tcW w:w="729" w:type="pct"/>
            <w:tcBorders>
              <w:left w:val="single" w:color="auto" w:sz="2" w:space="0"/>
              <w:right w:val="single" w:color="auto" w:sz="2" w:space="0"/>
            </w:tcBorders>
            <w:noWrap/>
            <w:vAlign w:val="center"/>
          </w:tcPr>
          <w:p w14:paraId="2CD72195">
            <w:pPr>
              <w:widowControl/>
              <w:jc w:val="center"/>
              <w:rPr>
                <w:kern w:val="0"/>
                <w:sz w:val="18"/>
                <w:szCs w:val="18"/>
              </w:rPr>
            </w:pPr>
            <w:r>
              <w:rPr>
                <w:kern w:val="0"/>
                <w:sz w:val="18"/>
                <w:szCs w:val="18"/>
              </w:rPr>
              <w:t xml:space="preserve">  44.9</w:t>
            </w:r>
          </w:p>
        </w:tc>
        <w:tc>
          <w:tcPr>
            <w:tcW w:w="731" w:type="pct"/>
            <w:tcBorders>
              <w:left w:val="single" w:color="auto" w:sz="2" w:space="0"/>
            </w:tcBorders>
            <w:noWrap/>
            <w:vAlign w:val="center"/>
          </w:tcPr>
          <w:p w14:paraId="628F65A8">
            <w:pPr>
              <w:widowControl/>
              <w:jc w:val="center"/>
              <w:rPr>
                <w:kern w:val="0"/>
                <w:sz w:val="18"/>
                <w:szCs w:val="18"/>
              </w:rPr>
            </w:pPr>
            <w:r>
              <w:rPr>
                <w:kern w:val="0"/>
                <w:sz w:val="18"/>
                <w:szCs w:val="18"/>
              </w:rPr>
              <w:t xml:space="preserve">  46.9</w:t>
            </w:r>
          </w:p>
        </w:tc>
      </w:tr>
      <w:tr w14:paraId="33775DFE">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62AC1ED9">
            <w:pPr>
              <w:widowControl/>
              <w:jc w:val="center"/>
              <w:rPr>
                <w:kern w:val="0"/>
                <w:sz w:val="18"/>
                <w:szCs w:val="18"/>
              </w:rPr>
            </w:pPr>
            <w:r>
              <w:rPr>
                <w:kern w:val="0"/>
                <w:sz w:val="18"/>
                <w:szCs w:val="18"/>
              </w:rPr>
              <w:t xml:space="preserve"> 20</w:t>
            </w:r>
          </w:p>
        </w:tc>
        <w:tc>
          <w:tcPr>
            <w:tcW w:w="729" w:type="pct"/>
            <w:tcBorders>
              <w:left w:val="single" w:color="auto" w:sz="2" w:space="0"/>
              <w:right w:val="single" w:color="auto" w:sz="2" w:space="0"/>
            </w:tcBorders>
            <w:noWrap/>
            <w:vAlign w:val="center"/>
          </w:tcPr>
          <w:p w14:paraId="15B28597">
            <w:pPr>
              <w:widowControl/>
              <w:jc w:val="center"/>
              <w:rPr>
                <w:kern w:val="0"/>
                <w:sz w:val="18"/>
                <w:szCs w:val="18"/>
              </w:rPr>
            </w:pPr>
            <w:r>
              <w:rPr>
                <w:kern w:val="0"/>
                <w:sz w:val="18"/>
                <w:szCs w:val="18"/>
              </w:rPr>
              <w:t xml:space="preserve">  83.9</w:t>
            </w:r>
          </w:p>
        </w:tc>
        <w:tc>
          <w:tcPr>
            <w:tcW w:w="729" w:type="pct"/>
            <w:tcBorders>
              <w:left w:val="single" w:color="auto" w:sz="2" w:space="0"/>
              <w:right w:val="single" w:color="auto" w:sz="2" w:space="0"/>
            </w:tcBorders>
            <w:noWrap/>
            <w:vAlign w:val="center"/>
          </w:tcPr>
          <w:p w14:paraId="668829A9">
            <w:pPr>
              <w:widowControl/>
              <w:jc w:val="center"/>
              <w:rPr>
                <w:kern w:val="0"/>
                <w:sz w:val="18"/>
                <w:szCs w:val="18"/>
              </w:rPr>
            </w:pPr>
            <w:r>
              <w:rPr>
                <w:kern w:val="0"/>
                <w:sz w:val="18"/>
                <w:szCs w:val="18"/>
              </w:rPr>
              <w:t xml:space="preserve">  84.0</w:t>
            </w:r>
          </w:p>
        </w:tc>
        <w:tc>
          <w:tcPr>
            <w:tcW w:w="729" w:type="pct"/>
            <w:tcBorders>
              <w:left w:val="single" w:color="auto" w:sz="2" w:space="0"/>
              <w:right w:val="single" w:color="auto" w:sz="2" w:space="0"/>
            </w:tcBorders>
            <w:noWrap/>
            <w:vAlign w:val="center"/>
          </w:tcPr>
          <w:p w14:paraId="16303D21">
            <w:pPr>
              <w:widowControl/>
              <w:jc w:val="center"/>
              <w:rPr>
                <w:kern w:val="0"/>
                <w:sz w:val="18"/>
                <w:szCs w:val="18"/>
              </w:rPr>
            </w:pPr>
            <w:r>
              <w:rPr>
                <w:kern w:val="0"/>
                <w:sz w:val="18"/>
                <w:szCs w:val="18"/>
              </w:rPr>
              <w:t xml:space="preserve">  84.3</w:t>
            </w:r>
          </w:p>
        </w:tc>
        <w:tc>
          <w:tcPr>
            <w:tcW w:w="729" w:type="pct"/>
            <w:tcBorders>
              <w:left w:val="single" w:color="auto" w:sz="2" w:space="0"/>
              <w:right w:val="single" w:color="auto" w:sz="2" w:space="0"/>
            </w:tcBorders>
            <w:noWrap/>
            <w:vAlign w:val="center"/>
          </w:tcPr>
          <w:p w14:paraId="701CE6E8">
            <w:pPr>
              <w:widowControl/>
              <w:jc w:val="center"/>
              <w:rPr>
                <w:kern w:val="0"/>
                <w:sz w:val="18"/>
                <w:szCs w:val="18"/>
              </w:rPr>
            </w:pPr>
            <w:r>
              <w:rPr>
                <w:kern w:val="0"/>
                <w:sz w:val="18"/>
                <w:szCs w:val="18"/>
              </w:rPr>
              <w:t xml:space="preserve">  84.8</w:t>
            </w:r>
          </w:p>
        </w:tc>
        <w:tc>
          <w:tcPr>
            <w:tcW w:w="729" w:type="pct"/>
            <w:tcBorders>
              <w:left w:val="single" w:color="auto" w:sz="2" w:space="0"/>
              <w:right w:val="single" w:color="auto" w:sz="2" w:space="0"/>
            </w:tcBorders>
            <w:noWrap/>
            <w:vAlign w:val="center"/>
          </w:tcPr>
          <w:p w14:paraId="7180DDA5">
            <w:pPr>
              <w:widowControl/>
              <w:jc w:val="center"/>
              <w:rPr>
                <w:kern w:val="0"/>
                <w:sz w:val="18"/>
                <w:szCs w:val="18"/>
              </w:rPr>
            </w:pPr>
            <w:r>
              <w:rPr>
                <w:kern w:val="0"/>
                <w:sz w:val="18"/>
                <w:szCs w:val="18"/>
              </w:rPr>
              <w:t xml:space="preserve">  86.7</w:t>
            </w:r>
          </w:p>
        </w:tc>
        <w:tc>
          <w:tcPr>
            <w:tcW w:w="731" w:type="pct"/>
            <w:tcBorders>
              <w:left w:val="single" w:color="auto" w:sz="2" w:space="0"/>
            </w:tcBorders>
            <w:noWrap/>
            <w:vAlign w:val="center"/>
          </w:tcPr>
          <w:p w14:paraId="20358116">
            <w:pPr>
              <w:widowControl/>
              <w:jc w:val="center"/>
              <w:rPr>
                <w:kern w:val="0"/>
                <w:sz w:val="18"/>
                <w:szCs w:val="18"/>
              </w:rPr>
            </w:pPr>
            <w:r>
              <w:rPr>
                <w:kern w:val="0"/>
                <w:sz w:val="18"/>
                <w:szCs w:val="18"/>
              </w:rPr>
              <w:t xml:space="preserve">  88.6</w:t>
            </w:r>
          </w:p>
        </w:tc>
      </w:tr>
      <w:tr w14:paraId="292148D8">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24712DD">
            <w:pPr>
              <w:widowControl/>
              <w:jc w:val="center"/>
              <w:rPr>
                <w:kern w:val="0"/>
                <w:sz w:val="18"/>
                <w:szCs w:val="18"/>
              </w:rPr>
            </w:pPr>
            <w:r>
              <w:rPr>
                <w:kern w:val="0"/>
                <w:sz w:val="18"/>
                <w:szCs w:val="18"/>
              </w:rPr>
              <w:t xml:space="preserve"> 40</w:t>
            </w:r>
          </w:p>
        </w:tc>
        <w:tc>
          <w:tcPr>
            <w:tcW w:w="729" w:type="pct"/>
            <w:tcBorders>
              <w:left w:val="single" w:color="auto" w:sz="2" w:space="0"/>
              <w:right w:val="single" w:color="auto" w:sz="2" w:space="0"/>
            </w:tcBorders>
            <w:noWrap/>
            <w:vAlign w:val="center"/>
          </w:tcPr>
          <w:p w14:paraId="335584CD">
            <w:pPr>
              <w:widowControl/>
              <w:jc w:val="center"/>
              <w:rPr>
                <w:kern w:val="0"/>
                <w:sz w:val="18"/>
                <w:szCs w:val="18"/>
              </w:rPr>
            </w:pPr>
            <w:r>
              <w:rPr>
                <w:kern w:val="0"/>
                <w:sz w:val="18"/>
                <w:szCs w:val="18"/>
              </w:rPr>
              <w:t xml:space="preserve"> 167.4</w:t>
            </w:r>
          </w:p>
        </w:tc>
        <w:tc>
          <w:tcPr>
            <w:tcW w:w="729" w:type="pct"/>
            <w:tcBorders>
              <w:left w:val="single" w:color="auto" w:sz="2" w:space="0"/>
              <w:right w:val="single" w:color="auto" w:sz="2" w:space="0"/>
            </w:tcBorders>
            <w:noWrap/>
            <w:vAlign w:val="center"/>
          </w:tcPr>
          <w:p w14:paraId="283A0571">
            <w:pPr>
              <w:widowControl/>
              <w:jc w:val="center"/>
              <w:rPr>
                <w:kern w:val="0"/>
                <w:sz w:val="18"/>
                <w:szCs w:val="18"/>
              </w:rPr>
            </w:pPr>
            <w:r>
              <w:rPr>
                <w:kern w:val="0"/>
                <w:sz w:val="18"/>
                <w:szCs w:val="18"/>
              </w:rPr>
              <w:t xml:space="preserve"> 167.5</w:t>
            </w:r>
          </w:p>
        </w:tc>
        <w:tc>
          <w:tcPr>
            <w:tcW w:w="729" w:type="pct"/>
            <w:tcBorders>
              <w:left w:val="single" w:color="auto" w:sz="2" w:space="0"/>
              <w:right w:val="single" w:color="auto" w:sz="2" w:space="0"/>
            </w:tcBorders>
            <w:noWrap/>
            <w:vAlign w:val="center"/>
          </w:tcPr>
          <w:p w14:paraId="3A530E1C">
            <w:pPr>
              <w:widowControl/>
              <w:jc w:val="center"/>
              <w:rPr>
                <w:kern w:val="0"/>
                <w:sz w:val="18"/>
                <w:szCs w:val="18"/>
              </w:rPr>
            </w:pPr>
            <w:r>
              <w:rPr>
                <w:kern w:val="0"/>
                <w:sz w:val="18"/>
                <w:szCs w:val="18"/>
              </w:rPr>
              <w:t xml:space="preserve"> 167.9</w:t>
            </w:r>
          </w:p>
        </w:tc>
        <w:tc>
          <w:tcPr>
            <w:tcW w:w="729" w:type="pct"/>
            <w:tcBorders>
              <w:left w:val="single" w:color="auto" w:sz="2" w:space="0"/>
              <w:right w:val="single" w:color="auto" w:sz="2" w:space="0"/>
            </w:tcBorders>
            <w:noWrap/>
            <w:vAlign w:val="center"/>
          </w:tcPr>
          <w:p w14:paraId="695C01F1">
            <w:pPr>
              <w:widowControl/>
              <w:jc w:val="center"/>
              <w:rPr>
                <w:kern w:val="0"/>
                <w:sz w:val="18"/>
                <w:szCs w:val="18"/>
              </w:rPr>
            </w:pPr>
            <w:r>
              <w:rPr>
                <w:kern w:val="0"/>
                <w:sz w:val="18"/>
                <w:szCs w:val="18"/>
              </w:rPr>
              <w:t xml:space="preserve"> 168.3</w:t>
            </w:r>
          </w:p>
        </w:tc>
        <w:tc>
          <w:tcPr>
            <w:tcW w:w="729" w:type="pct"/>
            <w:tcBorders>
              <w:left w:val="single" w:color="auto" w:sz="2" w:space="0"/>
              <w:right w:val="single" w:color="auto" w:sz="2" w:space="0"/>
            </w:tcBorders>
            <w:noWrap/>
            <w:vAlign w:val="center"/>
          </w:tcPr>
          <w:p w14:paraId="1925BA70">
            <w:pPr>
              <w:widowControl/>
              <w:jc w:val="center"/>
              <w:rPr>
                <w:kern w:val="0"/>
                <w:sz w:val="18"/>
                <w:szCs w:val="18"/>
              </w:rPr>
            </w:pPr>
            <w:r>
              <w:rPr>
                <w:kern w:val="0"/>
                <w:sz w:val="18"/>
                <w:szCs w:val="18"/>
              </w:rPr>
              <w:t xml:space="preserve"> 170.1</w:t>
            </w:r>
          </w:p>
        </w:tc>
        <w:tc>
          <w:tcPr>
            <w:tcW w:w="731" w:type="pct"/>
            <w:tcBorders>
              <w:left w:val="single" w:color="auto" w:sz="2" w:space="0"/>
            </w:tcBorders>
            <w:noWrap/>
            <w:vAlign w:val="center"/>
          </w:tcPr>
          <w:p w14:paraId="33EF0809">
            <w:pPr>
              <w:widowControl/>
              <w:jc w:val="center"/>
              <w:rPr>
                <w:kern w:val="0"/>
                <w:sz w:val="18"/>
                <w:szCs w:val="18"/>
              </w:rPr>
            </w:pPr>
            <w:r>
              <w:rPr>
                <w:kern w:val="0"/>
                <w:sz w:val="18"/>
                <w:szCs w:val="18"/>
              </w:rPr>
              <w:t xml:space="preserve"> 171.9</w:t>
            </w:r>
          </w:p>
        </w:tc>
      </w:tr>
      <w:tr w14:paraId="65345961">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5AE55894">
            <w:pPr>
              <w:widowControl/>
              <w:jc w:val="center"/>
              <w:rPr>
                <w:kern w:val="0"/>
                <w:sz w:val="18"/>
                <w:szCs w:val="18"/>
              </w:rPr>
            </w:pPr>
            <w:r>
              <w:rPr>
                <w:kern w:val="0"/>
                <w:sz w:val="18"/>
                <w:szCs w:val="18"/>
              </w:rPr>
              <w:t xml:space="preserve"> 60</w:t>
            </w:r>
          </w:p>
        </w:tc>
        <w:tc>
          <w:tcPr>
            <w:tcW w:w="729" w:type="pct"/>
            <w:tcBorders>
              <w:left w:val="single" w:color="auto" w:sz="2" w:space="0"/>
              <w:right w:val="single" w:color="auto" w:sz="2" w:space="0"/>
            </w:tcBorders>
            <w:noWrap/>
            <w:vAlign w:val="center"/>
          </w:tcPr>
          <w:p w14:paraId="0E168489">
            <w:pPr>
              <w:widowControl/>
              <w:jc w:val="center"/>
              <w:rPr>
                <w:kern w:val="0"/>
                <w:sz w:val="18"/>
                <w:szCs w:val="18"/>
              </w:rPr>
            </w:pPr>
            <w:r>
              <w:rPr>
                <w:kern w:val="0"/>
                <w:sz w:val="18"/>
                <w:szCs w:val="18"/>
              </w:rPr>
              <w:t>2611.3</w:t>
            </w:r>
          </w:p>
        </w:tc>
        <w:tc>
          <w:tcPr>
            <w:tcW w:w="729" w:type="pct"/>
            <w:tcBorders>
              <w:left w:val="single" w:color="auto" w:sz="2" w:space="0"/>
              <w:right w:val="single" w:color="auto" w:sz="2" w:space="0"/>
            </w:tcBorders>
            <w:noWrap/>
            <w:vAlign w:val="center"/>
          </w:tcPr>
          <w:p w14:paraId="1F266095">
            <w:pPr>
              <w:widowControl/>
              <w:jc w:val="center"/>
              <w:rPr>
                <w:kern w:val="0"/>
                <w:sz w:val="18"/>
                <w:szCs w:val="18"/>
              </w:rPr>
            </w:pPr>
            <w:r>
              <w:rPr>
                <w:kern w:val="0"/>
                <w:sz w:val="18"/>
                <w:szCs w:val="18"/>
              </w:rPr>
              <w:t xml:space="preserve"> 251.2</w:t>
            </w:r>
          </w:p>
        </w:tc>
        <w:tc>
          <w:tcPr>
            <w:tcW w:w="729" w:type="pct"/>
            <w:tcBorders>
              <w:left w:val="single" w:color="auto" w:sz="2" w:space="0"/>
              <w:right w:val="single" w:color="auto" w:sz="2" w:space="0"/>
            </w:tcBorders>
            <w:noWrap/>
            <w:vAlign w:val="center"/>
          </w:tcPr>
          <w:p w14:paraId="7BC41BD2">
            <w:pPr>
              <w:widowControl/>
              <w:jc w:val="center"/>
              <w:rPr>
                <w:kern w:val="0"/>
                <w:sz w:val="18"/>
                <w:szCs w:val="18"/>
              </w:rPr>
            </w:pPr>
            <w:r>
              <w:rPr>
                <w:kern w:val="0"/>
                <w:sz w:val="18"/>
                <w:szCs w:val="18"/>
              </w:rPr>
              <w:t xml:space="preserve"> 251.2</w:t>
            </w:r>
          </w:p>
        </w:tc>
        <w:tc>
          <w:tcPr>
            <w:tcW w:w="729" w:type="pct"/>
            <w:tcBorders>
              <w:left w:val="single" w:color="auto" w:sz="2" w:space="0"/>
              <w:right w:val="single" w:color="auto" w:sz="2" w:space="0"/>
            </w:tcBorders>
            <w:noWrap/>
            <w:vAlign w:val="center"/>
          </w:tcPr>
          <w:p w14:paraId="06540EE9">
            <w:pPr>
              <w:widowControl/>
              <w:jc w:val="center"/>
              <w:rPr>
                <w:kern w:val="0"/>
                <w:sz w:val="18"/>
                <w:szCs w:val="18"/>
              </w:rPr>
            </w:pPr>
            <w:r>
              <w:rPr>
                <w:kern w:val="0"/>
                <w:sz w:val="18"/>
                <w:szCs w:val="18"/>
              </w:rPr>
              <w:t xml:space="preserve"> 251.9</w:t>
            </w:r>
          </w:p>
        </w:tc>
        <w:tc>
          <w:tcPr>
            <w:tcW w:w="729" w:type="pct"/>
            <w:tcBorders>
              <w:left w:val="single" w:color="auto" w:sz="2" w:space="0"/>
              <w:right w:val="single" w:color="auto" w:sz="2" w:space="0"/>
            </w:tcBorders>
            <w:noWrap/>
            <w:vAlign w:val="center"/>
          </w:tcPr>
          <w:p w14:paraId="13A38716">
            <w:pPr>
              <w:widowControl/>
              <w:jc w:val="center"/>
              <w:rPr>
                <w:kern w:val="0"/>
                <w:sz w:val="18"/>
                <w:szCs w:val="18"/>
              </w:rPr>
            </w:pPr>
            <w:r>
              <w:rPr>
                <w:kern w:val="0"/>
                <w:sz w:val="18"/>
                <w:szCs w:val="18"/>
              </w:rPr>
              <w:t xml:space="preserve"> 253.6</w:t>
            </w:r>
          </w:p>
        </w:tc>
        <w:tc>
          <w:tcPr>
            <w:tcW w:w="731" w:type="pct"/>
            <w:tcBorders>
              <w:left w:val="single" w:color="auto" w:sz="2" w:space="0"/>
            </w:tcBorders>
            <w:noWrap/>
            <w:vAlign w:val="center"/>
          </w:tcPr>
          <w:p w14:paraId="3432E80E">
            <w:pPr>
              <w:widowControl/>
              <w:jc w:val="center"/>
              <w:rPr>
                <w:kern w:val="0"/>
                <w:sz w:val="18"/>
                <w:szCs w:val="18"/>
              </w:rPr>
            </w:pPr>
            <w:r>
              <w:rPr>
                <w:kern w:val="0"/>
                <w:sz w:val="18"/>
                <w:szCs w:val="18"/>
              </w:rPr>
              <w:t xml:space="preserve"> 255.3</w:t>
            </w:r>
          </w:p>
        </w:tc>
      </w:tr>
      <w:tr w14:paraId="1F555BD3">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6A9EFA7C">
            <w:pPr>
              <w:widowControl/>
              <w:jc w:val="center"/>
              <w:rPr>
                <w:kern w:val="0"/>
                <w:sz w:val="18"/>
                <w:szCs w:val="18"/>
              </w:rPr>
            </w:pPr>
            <w:r>
              <w:rPr>
                <w:kern w:val="0"/>
                <w:sz w:val="18"/>
                <w:szCs w:val="18"/>
              </w:rPr>
              <w:t xml:space="preserve"> 80</w:t>
            </w:r>
          </w:p>
        </w:tc>
        <w:tc>
          <w:tcPr>
            <w:tcW w:w="729" w:type="pct"/>
            <w:tcBorders>
              <w:left w:val="single" w:color="auto" w:sz="2" w:space="0"/>
              <w:right w:val="single" w:color="auto" w:sz="2" w:space="0"/>
            </w:tcBorders>
            <w:noWrap/>
            <w:vAlign w:val="center"/>
          </w:tcPr>
          <w:p w14:paraId="2F1A0E4B">
            <w:pPr>
              <w:widowControl/>
              <w:jc w:val="center"/>
              <w:rPr>
                <w:kern w:val="0"/>
                <w:sz w:val="18"/>
                <w:szCs w:val="18"/>
              </w:rPr>
            </w:pPr>
            <w:r>
              <w:rPr>
                <w:kern w:val="0"/>
                <w:sz w:val="18"/>
                <w:szCs w:val="18"/>
              </w:rPr>
              <w:t>2649.3</w:t>
            </w:r>
          </w:p>
        </w:tc>
        <w:tc>
          <w:tcPr>
            <w:tcW w:w="729" w:type="pct"/>
            <w:tcBorders>
              <w:left w:val="single" w:color="auto" w:sz="2" w:space="0"/>
              <w:right w:val="single" w:color="auto" w:sz="2" w:space="0"/>
            </w:tcBorders>
            <w:noWrap/>
            <w:vAlign w:val="center"/>
          </w:tcPr>
          <w:p w14:paraId="44CB0852">
            <w:pPr>
              <w:widowControl/>
              <w:jc w:val="center"/>
              <w:rPr>
                <w:kern w:val="0"/>
                <w:sz w:val="18"/>
                <w:szCs w:val="18"/>
              </w:rPr>
            </w:pPr>
            <w:r>
              <w:rPr>
                <w:kern w:val="0"/>
                <w:sz w:val="18"/>
                <w:szCs w:val="18"/>
              </w:rPr>
              <w:t xml:space="preserve"> 335.0</w:t>
            </w:r>
          </w:p>
        </w:tc>
        <w:tc>
          <w:tcPr>
            <w:tcW w:w="729" w:type="pct"/>
            <w:tcBorders>
              <w:left w:val="single" w:color="auto" w:sz="2" w:space="0"/>
              <w:right w:val="single" w:color="auto" w:sz="2" w:space="0"/>
            </w:tcBorders>
            <w:noWrap/>
            <w:vAlign w:val="center"/>
          </w:tcPr>
          <w:p w14:paraId="1EA03EA2">
            <w:pPr>
              <w:widowControl/>
              <w:jc w:val="center"/>
              <w:rPr>
                <w:kern w:val="0"/>
                <w:sz w:val="18"/>
                <w:szCs w:val="18"/>
              </w:rPr>
            </w:pPr>
            <w:r>
              <w:rPr>
                <w:kern w:val="0"/>
                <w:sz w:val="18"/>
                <w:szCs w:val="18"/>
              </w:rPr>
              <w:t xml:space="preserve"> 335.3</w:t>
            </w:r>
          </w:p>
        </w:tc>
        <w:tc>
          <w:tcPr>
            <w:tcW w:w="729" w:type="pct"/>
            <w:tcBorders>
              <w:left w:val="single" w:color="auto" w:sz="2" w:space="0"/>
              <w:right w:val="single" w:color="auto" w:sz="2" w:space="0"/>
            </w:tcBorders>
            <w:noWrap/>
            <w:vAlign w:val="center"/>
          </w:tcPr>
          <w:p w14:paraId="6EB31094">
            <w:pPr>
              <w:widowControl/>
              <w:jc w:val="center"/>
              <w:rPr>
                <w:kern w:val="0"/>
                <w:sz w:val="18"/>
                <w:szCs w:val="18"/>
              </w:rPr>
            </w:pPr>
            <w:r>
              <w:rPr>
                <w:kern w:val="0"/>
                <w:sz w:val="18"/>
                <w:szCs w:val="18"/>
              </w:rPr>
              <w:t xml:space="preserve"> 335.7</w:t>
            </w:r>
          </w:p>
        </w:tc>
        <w:tc>
          <w:tcPr>
            <w:tcW w:w="729" w:type="pct"/>
            <w:tcBorders>
              <w:left w:val="single" w:color="auto" w:sz="2" w:space="0"/>
              <w:right w:val="single" w:color="auto" w:sz="2" w:space="0"/>
            </w:tcBorders>
            <w:noWrap/>
            <w:vAlign w:val="center"/>
          </w:tcPr>
          <w:p w14:paraId="1803E765">
            <w:pPr>
              <w:widowControl/>
              <w:jc w:val="center"/>
              <w:rPr>
                <w:kern w:val="0"/>
                <w:sz w:val="18"/>
                <w:szCs w:val="18"/>
              </w:rPr>
            </w:pPr>
            <w:r>
              <w:rPr>
                <w:kern w:val="0"/>
                <w:sz w:val="18"/>
                <w:szCs w:val="18"/>
              </w:rPr>
              <w:t xml:space="preserve"> 337.3</w:t>
            </w:r>
          </w:p>
        </w:tc>
        <w:tc>
          <w:tcPr>
            <w:tcW w:w="731" w:type="pct"/>
            <w:tcBorders>
              <w:left w:val="single" w:color="auto" w:sz="2" w:space="0"/>
            </w:tcBorders>
            <w:noWrap/>
            <w:vAlign w:val="center"/>
          </w:tcPr>
          <w:p w14:paraId="13663DA4">
            <w:pPr>
              <w:widowControl/>
              <w:jc w:val="center"/>
              <w:rPr>
                <w:kern w:val="0"/>
                <w:sz w:val="18"/>
                <w:szCs w:val="18"/>
              </w:rPr>
            </w:pPr>
            <w:r>
              <w:rPr>
                <w:kern w:val="0"/>
                <w:sz w:val="18"/>
                <w:szCs w:val="18"/>
              </w:rPr>
              <w:t xml:space="preserve"> 338.8</w:t>
            </w:r>
          </w:p>
        </w:tc>
      </w:tr>
      <w:tr w14:paraId="4EF429C6">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41AE692">
            <w:pPr>
              <w:widowControl/>
              <w:jc w:val="center"/>
              <w:rPr>
                <w:kern w:val="0"/>
                <w:sz w:val="18"/>
                <w:szCs w:val="18"/>
              </w:rPr>
            </w:pPr>
            <w:r>
              <w:rPr>
                <w:kern w:val="0"/>
                <w:sz w:val="18"/>
                <w:szCs w:val="18"/>
              </w:rPr>
              <w:t>100</w:t>
            </w:r>
          </w:p>
        </w:tc>
        <w:tc>
          <w:tcPr>
            <w:tcW w:w="729" w:type="pct"/>
            <w:tcBorders>
              <w:left w:val="single" w:color="auto" w:sz="2" w:space="0"/>
              <w:right w:val="single" w:color="auto" w:sz="2" w:space="0"/>
            </w:tcBorders>
            <w:noWrap/>
            <w:vAlign w:val="center"/>
          </w:tcPr>
          <w:p w14:paraId="4C1479F3">
            <w:pPr>
              <w:widowControl/>
              <w:jc w:val="center"/>
              <w:rPr>
                <w:kern w:val="0"/>
                <w:sz w:val="18"/>
                <w:szCs w:val="18"/>
              </w:rPr>
            </w:pPr>
            <w:r>
              <w:rPr>
                <w:kern w:val="0"/>
                <w:sz w:val="18"/>
                <w:szCs w:val="18"/>
              </w:rPr>
              <w:t>2687.3</w:t>
            </w:r>
          </w:p>
        </w:tc>
        <w:tc>
          <w:tcPr>
            <w:tcW w:w="729" w:type="pct"/>
            <w:tcBorders>
              <w:left w:val="single" w:color="auto" w:sz="2" w:space="0"/>
              <w:right w:val="single" w:color="auto" w:sz="2" w:space="0"/>
            </w:tcBorders>
            <w:noWrap/>
            <w:vAlign w:val="center"/>
          </w:tcPr>
          <w:p w14:paraId="2280F683">
            <w:pPr>
              <w:widowControl/>
              <w:jc w:val="center"/>
              <w:rPr>
                <w:kern w:val="0"/>
                <w:sz w:val="18"/>
                <w:szCs w:val="18"/>
              </w:rPr>
            </w:pPr>
            <w:r>
              <w:rPr>
                <w:kern w:val="0"/>
                <w:sz w:val="18"/>
                <w:szCs w:val="18"/>
              </w:rPr>
              <w:t>2676.5</w:t>
            </w:r>
          </w:p>
        </w:tc>
        <w:tc>
          <w:tcPr>
            <w:tcW w:w="729" w:type="pct"/>
            <w:tcBorders>
              <w:left w:val="single" w:color="auto" w:sz="2" w:space="0"/>
              <w:right w:val="single" w:color="auto" w:sz="2" w:space="0"/>
            </w:tcBorders>
            <w:noWrap/>
            <w:vAlign w:val="center"/>
          </w:tcPr>
          <w:p w14:paraId="62B4F3FB">
            <w:pPr>
              <w:widowControl/>
              <w:jc w:val="center"/>
              <w:rPr>
                <w:kern w:val="0"/>
                <w:sz w:val="18"/>
                <w:szCs w:val="18"/>
              </w:rPr>
            </w:pPr>
            <w:r>
              <w:rPr>
                <w:kern w:val="0"/>
                <w:sz w:val="18"/>
                <w:szCs w:val="18"/>
              </w:rPr>
              <w:t xml:space="preserve"> 419.4</w:t>
            </w:r>
          </w:p>
        </w:tc>
        <w:tc>
          <w:tcPr>
            <w:tcW w:w="729" w:type="pct"/>
            <w:tcBorders>
              <w:left w:val="single" w:color="auto" w:sz="2" w:space="0"/>
              <w:right w:val="single" w:color="auto" w:sz="2" w:space="0"/>
            </w:tcBorders>
            <w:noWrap/>
            <w:vAlign w:val="center"/>
          </w:tcPr>
          <w:p w14:paraId="4643B12D">
            <w:pPr>
              <w:widowControl/>
              <w:jc w:val="center"/>
              <w:rPr>
                <w:kern w:val="0"/>
                <w:sz w:val="18"/>
                <w:szCs w:val="18"/>
              </w:rPr>
            </w:pPr>
            <w:r>
              <w:rPr>
                <w:kern w:val="0"/>
                <w:sz w:val="18"/>
                <w:szCs w:val="18"/>
              </w:rPr>
              <w:t xml:space="preserve"> 419.7</w:t>
            </w:r>
          </w:p>
        </w:tc>
        <w:tc>
          <w:tcPr>
            <w:tcW w:w="729" w:type="pct"/>
            <w:tcBorders>
              <w:left w:val="single" w:color="auto" w:sz="2" w:space="0"/>
              <w:right w:val="single" w:color="auto" w:sz="2" w:space="0"/>
            </w:tcBorders>
            <w:noWrap/>
            <w:vAlign w:val="center"/>
          </w:tcPr>
          <w:p w14:paraId="2F529EAF">
            <w:pPr>
              <w:widowControl/>
              <w:jc w:val="center"/>
              <w:rPr>
                <w:kern w:val="0"/>
                <w:sz w:val="18"/>
                <w:szCs w:val="18"/>
              </w:rPr>
            </w:pPr>
            <w:r>
              <w:rPr>
                <w:kern w:val="0"/>
                <w:sz w:val="18"/>
                <w:szCs w:val="18"/>
              </w:rPr>
              <w:t xml:space="preserve"> 421.2</w:t>
            </w:r>
          </w:p>
        </w:tc>
        <w:tc>
          <w:tcPr>
            <w:tcW w:w="731" w:type="pct"/>
            <w:tcBorders>
              <w:left w:val="single" w:color="auto" w:sz="2" w:space="0"/>
            </w:tcBorders>
            <w:noWrap/>
            <w:vAlign w:val="center"/>
          </w:tcPr>
          <w:p w14:paraId="1D28E4C6">
            <w:pPr>
              <w:widowControl/>
              <w:jc w:val="center"/>
              <w:rPr>
                <w:kern w:val="0"/>
                <w:sz w:val="18"/>
                <w:szCs w:val="18"/>
              </w:rPr>
            </w:pPr>
            <w:r>
              <w:rPr>
                <w:kern w:val="0"/>
                <w:sz w:val="18"/>
                <w:szCs w:val="18"/>
              </w:rPr>
              <w:t xml:space="preserve"> 422.7</w:t>
            </w:r>
          </w:p>
        </w:tc>
      </w:tr>
      <w:tr w14:paraId="5213B6B4">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6F5864C4">
            <w:pPr>
              <w:widowControl/>
              <w:jc w:val="center"/>
              <w:rPr>
                <w:kern w:val="0"/>
                <w:sz w:val="18"/>
                <w:szCs w:val="18"/>
              </w:rPr>
            </w:pPr>
            <w:r>
              <w:rPr>
                <w:kern w:val="0"/>
                <w:sz w:val="18"/>
                <w:szCs w:val="18"/>
              </w:rPr>
              <w:t>120</w:t>
            </w:r>
          </w:p>
        </w:tc>
        <w:tc>
          <w:tcPr>
            <w:tcW w:w="729" w:type="pct"/>
            <w:tcBorders>
              <w:left w:val="single" w:color="auto" w:sz="2" w:space="0"/>
              <w:right w:val="single" w:color="auto" w:sz="2" w:space="0"/>
            </w:tcBorders>
            <w:noWrap/>
            <w:vAlign w:val="center"/>
          </w:tcPr>
          <w:p w14:paraId="3189FF3F">
            <w:pPr>
              <w:widowControl/>
              <w:jc w:val="center"/>
              <w:rPr>
                <w:kern w:val="0"/>
                <w:sz w:val="18"/>
                <w:szCs w:val="18"/>
              </w:rPr>
            </w:pPr>
            <w:r>
              <w:rPr>
                <w:kern w:val="0"/>
                <w:sz w:val="18"/>
                <w:szCs w:val="18"/>
              </w:rPr>
              <w:t>2725.4</w:t>
            </w:r>
          </w:p>
        </w:tc>
        <w:tc>
          <w:tcPr>
            <w:tcW w:w="729" w:type="pct"/>
            <w:tcBorders>
              <w:left w:val="single" w:color="auto" w:sz="2" w:space="0"/>
              <w:right w:val="single" w:color="auto" w:sz="2" w:space="0"/>
            </w:tcBorders>
            <w:noWrap/>
            <w:vAlign w:val="center"/>
          </w:tcPr>
          <w:p w14:paraId="1E96F5E0">
            <w:pPr>
              <w:widowControl/>
              <w:jc w:val="center"/>
              <w:rPr>
                <w:kern w:val="0"/>
                <w:sz w:val="18"/>
                <w:szCs w:val="18"/>
              </w:rPr>
            </w:pPr>
            <w:r>
              <w:rPr>
                <w:kern w:val="0"/>
                <w:sz w:val="18"/>
                <w:szCs w:val="18"/>
              </w:rPr>
              <w:t>2716.8</w:t>
            </w:r>
          </w:p>
        </w:tc>
        <w:tc>
          <w:tcPr>
            <w:tcW w:w="729" w:type="pct"/>
            <w:tcBorders>
              <w:left w:val="single" w:color="auto" w:sz="2" w:space="0"/>
              <w:right w:val="single" w:color="auto" w:sz="2" w:space="0"/>
            </w:tcBorders>
            <w:noWrap/>
            <w:vAlign w:val="center"/>
          </w:tcPr>
          <w:p w14:paraId="1CA7307B">
            <w:pPr>
              <w:widowControl/>
              <w:jc w:val="center"/>
              <w:rPr>
                <w:kern w:val="0"/>
                <w:sz w:val="18"/>
                <w:szCs w:val="18"/>
              </w:rPr>
            </w:pPr>
            <w:r>
              <w:rPr>
                <w:kern w:val="0"/>
                <w:sz w:val="18"/>
                <w:szCs w:val="18"/>
              </w:rPr>
              <w:t xml:space="preserve"> 503.9</w:t>
            </w:r>
          </w:p>
        </w:tc>
        <w:tc>
          <w:tcPr>
            <w:tcW w:w="729" w:type="pct"/>
            <w:tcBorders>
              <w:left w:val="single" w:color="auto" w:sz="2" w:space="0"/>
              <w:right w:val="single" w:color="auto" w:sz="2" w:space="0"/>
            </w:tcBorders>
            <w:noWrap/>
            <w:vAlign w:val="center"/>
          </w:tcPr>
          <w:p w14:paraId="2993DD1F">
            <w:pPr>
              <w:widowControl/>
              <w:jc w:val="center"/>
              <w:rPr>
                <w:kern w:val="0"/>
                <w:sz w:val="18"/>
                <w:szCs w:val="18"/>
              </w:rPr>
            </w:pPr>
            <w:r>
              <w:rPr>
                <w:kern w:val="0"/>
                <w:sz w:val="18"/>
                <w:szCs w:val="18"/>
              </w:rPr>
              <w:t xml:space="preserve"> 504.3</w:t>
            </w:r>
          </w:p>
        </w:tc>
        <w:tc>
          <w:tcPr>
            <w:tcW w:w="729" w:type="pct"/>
            <w:tcBorders>
              <w:left w:val="single" w:color="auto" w:sz="2" w:space="0"/>
              <w:right w:val="single" w:color="auto" w:sz="2" w:space="0"/>
            </w:tcBorders>
            <w:noWrap/>
            <w:vAlign w:val="center"/>
          </w:tcPr>
          <w:p w14:paraId="565E40CD">
            <w:pPr>
              <w:widowControl/>
              <w:jc w:val="center"/>
              <w:rPr>
                <w:kern w:val="0"/>
                <w:sz w:val="18"/>
                <w:szCs w:val="18"/>
              </w:rPr>
            </w:pPr>
            <w:r>
              <w:rPr>
                <w:kern w:val="0"/>
                <w:sz w:val="18"/>
                <w:szCs w:val="18"/>
              </w:rPr>
              <w:t xml:space="preserve"> 505.7</w:t>
            </w:r>
          </w:p>
        </w:tc>
        <w:tc>
          <w:tcPr>
            <w:tcW w:w="731" w:type="pct"/>
            <w:tcBorders>
              <w:left w:val="single" w:color="auto" w:sz="2" w:space="0"/>
            </w:tcBorders>
            <w:noWrap/>
            <w:vAlign w:val="center"/>
          </w:tcPr>
          <w:p w14:paraId="3768D00B">
            <w:pPr>
              <w:widowControl/>
              <w:jc w:val="center"/>
              <w:rPr>
                <w:kern w:val="0"/>
                <w:sz w:val="18"/>
                <w:szCs w:val="18"/>
              </w:rPr>
            </w:pPr>
            <w:r>
              <w:rPr>
                <w:kern w:val="0"/>
                <w:sz w:val="18"/>
                <w:szCs w:val="18"/>
              </w:rPr>
              <w:t xml:space="preserve"> 507.1</w:t>
            </w:r>
          </w:p>
        </w:tc>
      </w:tr>
      <w:tr w14:paraId="0A22238D">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5A10CB73">
            <w:pPr>
              <w:widowControl/>
              <w:jc w:val="center"/>
              <w:rPr>
                <w:kern w:val="0"/>
                <w:sz w:val="18"/>
                <w:szCs w:val="18"/>
              </w:rPr>
            </w:pPr>
            <w:r>
              <w:rPr>
                <w:kern w:val="0"/>
                <w:sz w:val="18"/>
                <w:szCs w:val="18"/>
              </w:rPr>
              <w:t>140</w:t>
            </w:r>
          </w:p>
        </w:tc>
        <w:tc>
          <w:tcPr>
            <w:tcW w:w="729" w:type="pct"/>
            <w:tcBorders>
              <w:left w:val="single" w:color="auto" w:sz="2" w:space="0"/>
              <w:right w:val="single" w:color="auto" w:sz="2" w:space="0"/>
            </w:tcBorders>
            <w:noWrap/>
            <w:vAlign w:val="center"/>
          </w:tcPr>
          <w:p w14:paraId="28C21A5F">
            <w:pPr>
              <w:widowControl/>
              <w:jc w:val="center"/>
              <w:rPr>
                <w:kern w:val="0"/>
                <w:sz w:val="18"/>
                <w:szCs w:val="18"/>
              </w:rPr>
            </w:pPr>
            <w:r>
              <w:rPr>
                <w:kern w:val="0"/>
                <w:sz w:val="18"/>
                <w:szCs w:val="18"/>
              </w:rPr>
              <w:t>2763.6</w:t>
            </w:r>
          </w:p>
        </w:tc>
        <w:tc>
          <w:tcPr>
            <w:tcW w:w="729" w:type="pct"/>
            <w:tcBorders>
              <w:left w:val="single" w:color="auto" w:sz="2" w:space="0"/>
              <w:right w:val="single" w:color="auto" w:sz="2" w:space="0"/>
            </w:tcBorders>
            <w:noWrap/>
            <w:vAlign w:val="center"/>
          </w:tcPr>
          <w:p w14:paraId="454DE352">
            <w:pPr>
              <w:widowControl/>
              <w:jc w:val="center"/>
              <w:rPr>
                <w:kern w:val="0"/>
                <w:sz w:val="18"/>
                <w:szCs w:val="18"/>
              </w:rPr>
            </w:pPr>
            <w:r>
              <w:rPr>
                <w:kern w:val="0"/>
                <w:sz w:val="18"/>
                <w:szCs w:val="18"/>
              </w:rPr>
              <w:t>2756.6</w:t>
            </w:r>
          </w:p>
        </w:tc>
        <w:tc>
          <w:tcPr>
            <w:tcW w:w="729" w:type="pct"/>
            <w:tcBorders>
              <w:left w:val="single" w:color="auto" w:sz="2" w:space="0"/>
              <w:right w:val="single" w:color="auto" w:sz="2" w:space="0"/>
            </w:tcBorders>
            <w:noWrap/>
            <w:vAlign w:val="center"/>
          </w:tcPr>
          <w:p w14:paraId="7606D04D">
            <w:pPr>
              <w:widowControl/>
              <w:jc w:val="center"/>
              <w:rPr>
                <w:kern w:val="0"/>
                <w:sz w:val="18"/>
                <w:szCs w:val="18"/>
              </w:rPr>
            </w:pPr>
            <w:r>
              <w:rPr>
                <w:kern w:val="0"/>
                <w:sz w:val="18"/>
                <w:szCs w:val="18"/>
              </w:rPr>
              <w:t xml:space="preserve"> 589.2</w:t>
            </w:r>
          </w:p>
        </w:tc>
        <w:tc>
          <w:tcPr>
            <w:tcW w:w="729" w:type="pct"/>
            <w:tcBorders>
              <w:left w:val="single" w:color="auto" w:sz="2" w:space="0"/>
              <w:right w:val="single" w:color="auto" w:sz="2" w:space="0"/>
            </w:tcBorders>
            <w:noWrap/>
            <w:vAlign w:val="center"/>
          </w:tcPr>
          <w:p w14:paraId="30B27210">
            <w:pPr>
              <w:widowControl/>
              <w:jc w:val="center"/>
              <w:rPr>
                <w:kern w:val="0"/>
                <w:sz w:val="18"/>
                <w:szCs w:val="18"/>
              </w:rPr>
            </w:pPr>
            <w:r>
              <w:rPr>
                <w:kern w:val="0"/>
                <w:sz w:val="18"/>
                <w:szCs w:val="18"/>
              </w:rPr>
              <w:t xml:space="preserve"> 589.5</w:t>
            </w:r>
          </w:p>
        </w:tc>
        <w:tc>
          <w:tcPr>
            <w:tcW w:w="729" w:type="pct"/>
            <w:tcBorders>
              <w:left w:val="single" w:color="auto" w:sz="2" w:space="0"/>
              <w:right w:val="single" w:color="auto" w:sz="2" w:space="0"/>
            </w:tcBorders>
            <w:noWrap/>
            <w:vAlign w:val="center"/>
          </w:tcPr>
          <w:p w14:paraId="1C70BFD7">
            <w:pPr>
              <w:widowControl/>
              <w:jc w:val="center"/>
              <w:rPr>
                <w:kern w:val="0"/>
                <w:sz w:val="18"/>
                <w:szCs w:val="18"/>
              </w:rPr>
            </w:pPr>
            <w:r>
              <w:rPr>
                <w:kern w:val="0"/>
                <w:sz w:val="18"/>
                <w:szCs w:val="18"/>
              </w:rPr>
              <w:t xml:space="preserve"> 590.8</w:t>
            </w:r>
          </w:p>
        </w:tc>
        <w:tc>
          <w:tcPr>
            <w:tcW w:w="731" w:type="pct"/>
            <w:tcBorders>
              <w:left w:val="single" w:color="auto" w:sz="2" w:space="0"/>
            </w:tcBorders>
            <w:noWrap/>
            <w:vAlign w:val="center"/>
          </w:tcPr>
          <w:p w14:paraId="39C50E60">
            <w:pPr>
              <w:widowControl/>
              <w:jc w:val="center"/>
              <w:rPr>
                <w:kern w:val="0"/>
                <w:sz w:val="18"/>
                <w:szCs w:val="18"/>
              </w:rPr>
            </w:pPr>
            <w:r>
              <w:rPr>
                <w:kern w:val="0"/>
                <w:sz w:val="18"/>
                <w:szCs w:val="18"/>
              </w:rPr>
              <w:t xml:space="preserve"> 592.1</w:t>
            </w:r>
          </w:p>
        </w:tc>
      </w:tr>
      <w:tr w14:paraId="1789712B">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369E19BD">
            <w:pPr>
              <w:widowControl/>
              <w:jc w:val="center"/>
              <w:rPr>
                <w:kern w:val="0"/>
                <w:sz w:val="18"/>
                <w:szCs w:val="18"/>
              </w:rPr>
            </w:pPr>
            <w:r>
              <w:rPr>
                <w:kern w:val="0"/>
                <w:sz w:val="18"/>
                <w:szCs w:val="18"/>
              </w:rPr>
              <w:t>160</w:t>
            </w:r>
          </w:p>
        </w:tc>
        <w:tc>
          <w:tcPr>
            <w:tcW w:w="729" w:type="pct"/>
            <w:tcBorders>
              <w:left w:val="single" w:color="auto" w:sz="2" w:space="0"/>
              <w:right w:val="single" w:color="auto" w:sz="2" w:space="0"/>
            </w:tcBorders>
            <w:noWrap/>
            <w:vAlign w:val="center"/>
          </w:tcPr>
          <w:p w14:paraId="4ECC44C7">
            <w:pPr>
              <w:widowControl/>
              <w:jc w:val="center"/>
              <w:rPr>
                <w:kern w:val="0"/>
                <w:sz w:val="18"/>
                <w:szCs w:val="18"/>
              </w:rPr>
            </w:pPr>
            <w:r>
              <w:rPr>
                <w:kern w:val="0"/>
                <w:sz w:val="18"/>
                <w:szCs w:val="18"/>
              </w:rPr>
              <w:t>2802.0</w:t>
            </w:r>
          </w:p>
        </w:tc>
        <w:tc>
          <w:tcPr>
            <w:tcW w:w="729" w:type="pct"/>
            <w:tcBorders>
              <w:left w:val="single" w:color="auto" w:sz="2" w:space="0"/>
              <w:right w:val="single" w:color="auto" w:sz="2" w:space="0"/>
            </w:tcBorders>
            <w:noWrap/>
            <w:vAlign w:val="center"/>
          </w:tcPr>
          <w:p w14:paraId="15C74C16">
            <w:pPr>
              <w:widowControl/>
              <w:jc w:val="center"/>
              <w:rPr>
                <w:kern w:val="0"/>
                <w:sz w:val="18"/>
                <w:szCs w:val="18"/>
              </w:rPr>
            </w:pPr>
            <w:r>
              <w:rPr>
                <w:kern w:val="0"/>
                <w:sz w:val="18"/>
                <w:szCs w:val="18"/>
              </w:rPr>
              <w:t>2796.2</w:t>
            </w:r>
          </w:p>
        </w:tc>
        <w:tc>
          <w:tcPr>
            <w:tcW w:w="729" w:type="pct"/>
            <w:tcBorders>
              <w:left w:val="single" w:color="auto" w:sz="2" w:space="0"/>
              <w:right w:val="single" w:color="auto" w:sz="2" w:space="0"/>
            </w:tcBorders>
            <w:noWrap/>
            <w:vAlign w:val="center"/>
          </w:tcPr>
          <w:p w14:paraId="51B52E0D">
            <w:pPr>
              <w:widowControl/>
              <w:jc w:val="center"/>
              <w:rPr>
                <w:kern w:val="0"/>
                <w:sz w:val="18"/>
                <w:szCs w:val="18"/>
              </w:rPr>
            </w:pPr>
            <w:r>
              <w:rPr>
                <w:kern w:val="0"/>
                <w:sz w:val="18"/>
                <w:szCs w:val="18"/>
              </w:rPr>
              <w:t>2767.3</w:t>
            </w:r>
          </w:p>
        </w:tc>
        <w:tc>
          <w:tcPr>
            <w:tcW w:w="729" w:type="pct"/>
            <w:tcBorders>
              <w:left w:val="single" w:color="auto" w:sz="2" w:space="0"/>
              <w:right w:val="single" w:color="auto" w:sz="2" w:space="0"/>
            </w:tcBorders>
            <w:noWrap/>
            <w:vAlign w:val="center"/>
          </w:tcPr>
          <w:p w14:paraId="2BC97E7E">
            <w:pPr>
              <w:widowControl/>
              <w:jc w:val="center"/>
              <w:rPr>
                <w:kern w:val="0"/>
                <w:sz w:val="18"/>
                <w:szCs w:val="18"/>
              </w:rPr>
            </w:pPr>
            <w:r>
              <w:rPr>
                <w:kern w:val="0"/>
                <w:sz w:val="18"/>
                <w:szCs w:val="18"/>
              </w:rPr>
              <w:t xml:space="preserve"> 675.7</w:t>
            </w:r>
          </w:p>
        </w:tc>
        <w:tc>
          <w:tcPr>
            <w:tcW w:w="729" w:type="pct"/>
            <w:tcBorders>
              <w:left w:val="single" w:color="auto" w:sz="2" w:space="0"/>
              <w:right w:val="single" w:color="auto" w:sz="2" w:space="0"/>
            </w:tcBorders>
            <w:noWrap/>
            <w:vAlign w:val="center"/>
          </w:tcPr>
          <w:p w14:paraId="297C9F0E">
            <w:pPr>
              <w:widowControl/>
              <w:jc w:val="center"/>
              <w:rPr>
                <w:kern w:val="0"/>
                <w:sz w:val="18"/>
                <w:szCs w:val="18"/>
              </w:rPr>
            </w:pPr>
            <w:r>
              <w:rPr>
                <w:kern w:val="0"/>
                <w:sz w:val="18"/>
                <w:szCs w:val="18"/>
              </w:rPr>
              <w:t xml:space="preserve"> 676.9</w:t>
            </w:r>
          </w:p>
        </w:tc>
        <w:tc>
          <w:tcPr>
            <w:tcW w:w="731" w:type="pct"/>
            <w:tcBorders>
              <w:left w:val="single" w:color="auto" w:sz="2" w:space="0"/>
            </w:tcBorders>
            <w:noWrap/>
            <w:vAlign w:val="center"/>
          </w:tcPr>
          <w:p w14:paraId="572F9430">
            <w:pPr>
              <w:widowControl/>
              <w:jc w:val="center"/>
              <w:rPr>
                <w:kern w:val="0"/>
                <w:sz w:val="18"/>
                <w:szCs w:val="18"/>
              </w:rPr>
            </w:pPr>
            <w:r>
              <w:rPr>
                <w:kern w:val="0"/>
                <w:sz w:val="18"/>
                <w:szCs w:val="18"/>
              </w:rPr>
              <w:t xml:space="preserve"> 678.0</w:t>
            </w:r>
          </w:p>
        </w:tc>
      </w:tr>
      <w:tr w14:paraId="38FA46C7">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41B9D522">
            <w:pPr>
              <w:widowControl/>
              <w:jc w:val="center"/>
              <w:rPr>
                <w:kern w:val="0"/>
                <w:sz w:val="18"/>
                <w:szCs w:val="18"/>
              </w:rPr>
            </w:pPr>
            <w:r>
              <w:rPr>
                <w:kern w:val="0"/>
                <w:sz w:val="18"/>
                <w:szCs w:val="18"/>
              </w:rPr>
              <w:t>180</w:t>
            </w:r>
          </w:p>
        </w:tc>
        <w:tc>
          <w:tcPr>
            <w:tcW w:w="729" w:type="pct"/>
            <w:tcBorders>
              <w:left w:val="single" w:color="auto" w:sz="2" w:space="0"/>
              <w:right w:val="single" w:color="auto" w:sz="2" w:space="0"/>
            </w:tcBorders>
            <w:noWrap/>
            <w:vAlign w:val="center"/>
          </w:tcPr>
          <w:p w14:paraId="0A90D428">
            <w:pPr>
              <w:widowControl/>
              <w:jc w:val="center"/>
              <w:rPr>
                <w:kern w:val="0"/>
                <w:sz w:val="18"/>
                <w:szCs w:val="18"/>
              </w:rPr>
            </w:pPr>
            <w:r>
              <w:rPr>
                <w:kern w:val="0"/>
                <w:sz w:val="18"/>
                <w:szCs w:val="18"/>
              </w:rPr>
              <w:t>2840.6</w:t>
            </w:r>
          </w:p>
        </w:tc>
        <w:tc>
          <w:tcPr>
            <w:tcW w:w="729" w:type="pct"/>
            <w:tcBorders>
              <w:left w:val="single" w:color="auto" w:sz="2" w:space="0"/>
              <w:right w:val="single" w:color="auto" w:sz="2" w:space="0"/>
            </w:tcBorders>
            <w:noWrap/>
            <w:vAlign w:val="center"/>
          </w:tcPr>
          <w:p w14:paraId="011BCD4E">
            <w:pPr>
              <w:widowControl/>
              <w:jc w:val="center"/>
              <w:rPr>
                <w:kern w:val="0"/>
                <w:sz w:val="18"/>
                <w:szCs w:val="18"/>
              </w:rPr>
            </w:pPr>
            <w:r>
              <w:rPr>
                <w:kern w:val="0"/>
                <w:sz w:val="18"/>
                <w:szCs w:val="18"/>
              </w:rPr>
              <w:t>2835.7</w:t>
            </w:r>
          </w:p>
        </w:tc>
        <w:tc>
          <w:tcPr>
            <w:tcW w:w="729" w:type="pct"/>
            <w:tcBorders>
              <w:left w:val="single" w:color="auto" w:sz="2" w:space="0"/>
              <w:right w:val="single" w:color="auto" w:sz="2" w:space="0"/>
            </w:tcBorders>
            <w:noWrap/>
            <w:vAlign w:val="center"/>
          </w:tcPr>
          <w:p w14:paraId="3D45F797">
            <w:pPr>
              <w:widowControl/>
              <w:jc w:val="center"/>
              <w:rPr>
                <w:kern w:val="0"/>
                <w:sz w:val="18"/>
                <w:szCs w:val="18"/>
              </w:rPr>
            </w:pPr>
            <w:r>
              <w:rPr>
                <w:kern w:val="0"/>
                <w:sz w:val="18"/>
                <w:szCs w:val="18"/>
              </w:rPr>
              <w:t>2812.1</w:t>
            </w:r>
          </w:p>
        </w:tc>
        <w:tc>
          <w:tcPr>
            <w:tcW w:w="729" w:type="pct"/>
            <w:tcBorders>
              <w:left w:val="single" w:color="auto" w:sz="2" w:space="0"/>
              <w:right w:val="single" w:color="auto" w:sz="2" w:space="0"/>
            </w:tcBorders>
            <w:noWrap/>
            <w:vAlign w:val="center"/>
          </w:tcPr>
          <w:p w14:paraId="50FAC900">
            <w:pPr>
              <w:widowControl/>
              <w:jc w:val="center"/>
              <w:rPr>
                <w:kern w:val="0"/>
                <w:sz w:val="18"/>
                <w:szCs w:val="18"/>
              </w:rPr>
            </w:pPr>
            <w:r>
              <w:rPr>
                <w:kern w:val="0"/>
                <w:sz w:val="18"/>
                <w:szCs w:val="18"/>
              </w:rPr>
              <w:t>2777.3</w:t>
            </w:r>
          </w:p>
        </w:tc>
        <w:tc>
          <w:tcPr>
            <w:tcW w:w="729" w:type="pct"/>
            <w:tcBorders>
              <w:left w:val="single" w:color="auto" w:sz="2" w:space="0"/>
              <w:right w:val="single" w:color="auto" w:sz="2" w:space="0"/>
            </w:tcBorders>
            <w:noWrap/>
            <w:vAlign w:val="center"/>
          </w:tcPr>
          <w:p w14:paraId="260B056A">
            <w:pPr>
              <w:widowControl/>
              <w:jc w:val="center"/>
              <w:rPr>
                <w:kern w:val="0"/>
                <w:sz w:val="18"/>
                <w:szCs w:val="18"/>
              </w:rPr>
            </w:pPr>
            <w:r>
              <w:rPr>
                <w:kern w:val="0"/>
                <w:sz w:val="18"/>
                <w:szCs w:val="18"/>
              </w:rPr>
              <w:t xml:space="preserve"> 764.1</w:t>
            </w:r>
          </w:p>
        </w:tc>
        <w:tc>
          <w:tcPr>
            <w:tcW w:w="731" w:type="pct"/>
            <w:tcBorders>
              <w:left w:val="single" w:color="auto" w:sz="2" w:space="0"/>
            </w:tcBorders>
            <w:noWrap/>
            <w:vAlign w:val="center"/>
          </w:tcPr>
          <w:p w14:paraId="5466BB0C">
            <w:pPr>
              <w:widowControl/>
              <w:jc w:val="center"/>
              <w:rPr>
                <w:kern w:val="0"/>
                <w:sz w:val="18"/>
                <w:szCs w:val="18"/>
              </w:rPr>
            </w:pPr>
            <w:r>
              <w:rPr>
                <w:kern w:val="0"/>
                <w:sz w:val="18"/>
                <w:szCs w:val="18"/>
              </w:rPr>
              <w:t xml:space="preserve"> 765.2</w:t>
            </w:r>
          </w:p>
        </w:tc>
      </w:tr>
      <w:tr w14:paraId="4D7CB0A6">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3A267E8F">
            <w:pPr>
              <w:widowControl/>
              <w:jc w:val="center"/>
              <w:rPr>
                <w:kern w:val="0"/>
                <w:sz w:val="18"/>
                <w:szCs w:val="18"/>
              </w:rPr>
            </w:pPr>
            <w:r>
              <w:rPr>
                <w:kern w:val="0"/>
                <w:sz w:val="18"/>
                <w:szCs w:val="18"/>
              </w:rPr>
              <w:t>200</w:t>
            </w:r>
          </w:p>
        </w:tc>
        <w:tc>
          <w:tcPr>
            <w:tcW w:w="729" w:type="pct"/>
            <w:tcBorders>
              <w:left w:val="single" w:color="auto" w:sz="2" w:space="0"/>
              <w:right w:val="single" w:color="auto" w:sz="2" w:space="0"/>
            </w:tcBorders>
            <w:noWrap/>
            <w:vAlign w:val="center"/>
          </w:tcPr>
          <w:p w14:paraId="5B60D675">
            <w:pPr>
              <w:widowControl/>
              <w:jc w:val="center"/>
              <w:rPr>
                <w:kern w:val="0"/>
                <w:sz w:val="18"/>
                <w:szCs w:val="18"/>
              </w:rPr>
            </w:pPr>
            <w:r>
              <w:rPr>
                <w:kern w:val="0"/>
                <w:sz w:val="18"/>
                <w:szCs w:val="18"/>
              </w:rPr>
              <w:t>2879.3</w:t>
            </w:r>
          </w:p>
        </w:tc>
        <w:tc>
          <w:tcPr>
            <w:tcW w:w="729" w:type="pct"/>
            <w:tcBorders>
              <w:left w:val="single" w:color="auto" w:sz="2" w:space="0"/>
              <w:right w:val="single" w:color="auto" w:sz="2" w:space="0"/>
            </w:tcBorders>
            <w:noWrap/>
            <w:vAlign w:val="center"/>
          </w:tcPr>
          <w:p w14:paraId="7790083C">
            <w:pPr>
              <w:widowControl/>
              <w:jc w:val="center"/>
              <w:rPr>
                <w:kern w:val="0"/>
                <w:sz w:val="18"/>
                <w:szCs w:val="18"/>
              </w:rPr>
            </w:pPr>
            <w:r>
              <w:rPr>
                <w:kern w:val="0"/>
                <w:sz w:val="18"/>
                <w:szCs w:val="18"/>
              </w:rPr>
              <w:t>2875.2</w:t>
            </w:r>
          </w:p>
        </w:tc>
        <w:tc>
          <w:tcPr>
            <w:tcW w:w="729" w:type="pct"/>
            <w:tcBorders>
              <w:left w:val="single" w:color="auto" w:sz="2" w:space="0"/>
              <w:right w:val="single" w:color="auto" w:sz="2" w:space="0"/>
            </w:tcBorders>
            <w:noWrap/>
            <w:vAlign w:val="center"/>
          </w:tcPr>
          <w:p w14:paraId="3472753F">
            <w:pPr>
              <w:widowControl/>
              <w:jc w:val="center"/>
              <w:rPr>
                <w:kern w:val="0"/>
                <w:sz w:val="18"/>
                <w:szCs w:val="18"/>
              </w:rPr>
            </w:pPr>
            <w:r>
              <w:rPr>
                <w:kern w:val="0"/>
                <w:sz w:val="18"/>
                <w:szCs w:val="18"/>
              </w:rPr>
              <w:t>2855.5</w:t>
            </w:r>
          </w:p>
        </w:tc>
        <w:tc>
          <w:tcPr>
            <w:tcW w:w="729" w:type="pct"/>
            <w:tcBorders>
              <w:left w:val="single" w:color="auto" w:sz="2" w:space="0"/>
              <w:right w:val="single" w:color="auto" w:sz="2" w:space="0"/>
            </w:tcBorders>
            <w:noWrap/>
            <w:vAlign w:val="center"/>
          </w:tcPr>
          <w:p w14:paraId="7F6D6443">
            <w:pPr>
              <w:widowControl/>
              <w:jc w:val="center"/>
              <w:rPr>
                <w:kern w:val="0"/>
                <w:sz w:val="18"/>
                <w:szCs w:val="18"/>
              </w:rPr>
            </w:pPr>
            <w:r>
              <w:rPr>
                <w:kern w:val="0"/>
                <w:sz w:val="18"/>
                <w:szCs w:val="18"/>
              </w:rPr>
              <w:t>2827.5</w:t>
            </w:r>
          </w:p>
        </w:tc>
        <w:tc>
          <w:tcPr>
            <w:tcW w:w="729" w:type="pct"/>
            <w:tcBorders>
              <w:left w:val="single" w:color="auto" w:sz="2" w:space="0"/>
              <w:right w:val="single" w:color="auto" w:sz="2" w:space="0"/>
            </w:tcBorders>
            <w:noWrap/>
            <w:vAlign w:val="center"/>
          </w:tcPr>
          <w:p w14:paraId="2A4F0017">
            <w:pPr>
              <w:widowControl/>
              <w:jc w:val="center"/>
              <w:rPr>
                <w:kern w:val="0"/>
                <w:sz w:val="18"/>
                <w:szCs w:val="18"/>
              </w:rPr>
            </w:pPr>
            <w:r>
              <w:rPr>
                <w:kern w:val="0"/>
                <w:sz w:val="18"/>
                <w:szCs w:val="18"/>
              </w:rPr>
              <w:t xml:space="preserve"> 853.0</w:t>
            </w:r>
          </w:p>
        </w:tc>
        <w:tc>
          <w:tcPr>
            <w:tcW w:w="731" w:type="pct"/>
            <w:tcBorders>
              <w:left w:val="single" w:color="auto" w:sz="2" w:space="0"/>
            </w:tcBorders>
            <w:noWrap/>
            <w:vAlign w:val="center"/>
          </w:tcPr>
          <w:p w14:paraId="4E335D00">
            <w:pPr>
              <w:widowControl/>
              <w:jc w:val="center"/>
              <w:rPr>
                <w:kern w:val="0"/>
                <w:sz w:val="18"/>
                <w:szCs w:val="18"/>
              </w:rPr>
            </w:pPr>
            <w:r>
              <w:rPr>
                <w:kern w:val="0"/>
                <w:sz w:val="18"/>
                <w:szCs w:val="18"/>
              </w:rPr>
              <w:t xml:space="preserve"> 853.8</w:t>
            </w:r>
          </w:p>
        </w:tc>
      </w:tr>
      <w:tr w14:paraId="4B80B8F7">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417A8DD0">
            <w:pPr>
              <w:widowControl/>
              <w:jc w:val="center"/>
              <w:rPr>
                <w:kern w:val="0"/>
                <w:sz w:val="18"/>
                <w:szCs w:val="18"/>
              </w:rPr>
            </w:pPr>
            <w:r>
              <w:rPr>
                <w:kern w:val="0"/>
                <w:sz w:val="18"/>
                <w:szCs w:val="18"/>
              </w:rPr>
              <w:t>220</w:t>
            </w:r>
          </w:p>
        </w:tc>
        <w:tc>
          <w:tcPr>
            <w:tcW w:w="729" w:type="pct"/>
            <w:tcBorders>
              <w:left w:val="single" w:color="auto" w:sz="2" w:space="0"/>
              <w:right w:val="single" w:color="auto" w:sz="2" w:space="0"/>
            </w:tcBorders>
            <w:noWrap/>
            <w:vAlign w:val="center"/>
          </w:tcPr>
          <w:p w14:paraId="5E628558">
            <w:pPr>
              <w:widowControl/>
              <w:jc w:val="center"/>
              <w:rPr>
                <w:kern w:val="0"/>
                <w:sz w:val="18"/>
                <w:szCs w:val="18"/>
              </w:rPr>
            </w:pPr>
            <w:r>
              <w:rPr>
                <w:kern w:val="0"/>
                <w:sz w:val="18"/>
                <w:szCs w:val="18"/>
              </w:rPr>
              <w:t>2918.3</w:t>
            </w:r>
          </w:p>
        </w:tc>
        <w:tc>
          <w:tcPr>
            <w:tcW w:w="729" w:type="pct"/>
            <w:tcBorders>
              <w:left w:val="single" w:color="auto" w:sz="2" w:space="0"/>
              <w:right w:val="single" w:color="auto" w:sz="2" w:space="0"/>
            </w:tcBorders>
            <w:noWrap/>
            <w:vAlign w:val="center"/>
          </w:tcPr>
          <w:p w14:paraId="7A392694">
            <w:pPr>
              <w:widowControl/>
              <w:jc w:val="center"/>
              <w:rPr>
                <w:kern w:val="0"/>
                <w:sz w:val="18"/>
                <w:szCs w:val="18"/>
              </w:rPr>
            </w:pPr>
            <w:r>
              <w:rPr>
                <w:kern w:val="0"/>
                <w:sz w:val="18"/>
                <w:szCs w:val="18"/>
              </w:rPr>
              <w:t>2914.7</w:t>
            </w:r>
          </w:p>
        </w:tc>
        <w:tc>
          <w:tcPr>
            <w:tcW w:w="729" w:type="pct"/>
            <w:tcBorders>
              <w:left w:val="single" w:color="auto" w:sz="2" w:space="0"/>
              <w:right w:val="single" w:color="auto" w:sz="2" w:space="0"/>
            </w:tcBorders>
            <w:noWrap/>
            <w:vAlign w:val="center"/>
          </w:tcPr>
          <w:p w14:paraId="51B573E3">
            <w:pPr>
              <w:widowControl/>
              <w:jc w:val="center"/>
              <w:rPr>
                <w:kern w:val="0"/>
                <w:sz w:val="18"/>
                <w:szCs w:val="18"/>
              </w:rPr>
            </w:pPr>
            <w:r>
              <w:rPr>
                <w:kern w:val="0"/>
                <w:sz w:val="18"/>
                <w:szCs w:val="18"/>
              </w:rPr>
              <w:t>2898.0</w:t>
            </w:r>
          </w:p>
        </w:tc>
        <w:tc>
          <w:tcPr>
            <w:tcW w:w="729" w:type="pct"/>
            <w:tcBorders>
              <w:left w:val="single" w:color="auto" w:sz="2" w:space="0"/>
              <w:right w:val="single" w:color="auto" w:sz="2" w:space="0"/>
            </w:tcBorders>
            <w:noWrap/>
            <w:vAlign w:val="center"/>
          </w:tcPr>
          <w:p w14:paraId="4F362CFF">
            <w:pPr>
              <w:widowControl/>
              <w:jc w:val="center"/>
              <w:rPr>
                <w:kern w:val="0"/>
                <w:sz w:val="18"/>
                <w:szCs w:val="18"/>
              </w:rPr>
            </w:pPr>
            <w:r>
              <w:rPr>
                <w:kern w:val="0"/>
                <w:sz w:val="18"/>
                <w:szCs w:val="18"/>
              </w:rPr>
              <w:t>2874.9</w:t>
            </w:r>
          </w:p>
        </w:tc>
        <w:tc>
          <w:tcPr>
            <w:tcW w:w="729" w:type="pct"/>
            <w:tcBorders>
              <w:left w:val="single" w:color="auto" w:sz="2" w:space="0"/>
              <w:right w:val="single" w:color="auto" w:sz="2" w:space="0"/>
            </w:tcBorders>
            <w:noWrap/>
            <w:vAlign w:val="center"/>
          </w:tcPr>
          <w:p w14:paraId="54C0EAB7">
            <w:pPr>
              <w:widowControl/>
              <w:jc w:val="center"/>
              <w:rPr>
                <w:kern w:val="0"/>
                <w:sz w:val="18"/>
                <w:szCs w:val="18"/>
              </w:rPr>
            </w:pPr>
            <w:r>
              <w:rPr>
                <w:kern w:val="0"/>
                <w:sz w:val="18"/>
                <w:szCs w:val="18"/>
              </w:rPr>
              <w:t xml:space="preserve"> 943.9</w:t>
            </w:r>
          </w:p>
        </w:tc>
        <w:tc>
          <w:tcPr>
            <w:tcW w:w="731" w:type="pct"/>
            <w:tcBorders>
              <w:left w:val="single" w:color="auto" w:sz="2" w:space="0"/>
            </w:tcBorders>
            <w:noWrap/>
            <w:vAlign w:val="center"/>
          </w:tcPr>
          <w:p w14:paraId="0C04DC5B">
            <w:pPr>
              <w:widowControl/>
              <w:jc w:val="center"/>
              <w:rPr>
                <w:kern w:val="0"/>
                <w:sz w:val="18"/>
                <w:szCs w:val="18"/>
              </w:rPr>
            </w:pPr>
            <w:r>
              <w:rPr>
                <w:kern w:val="0"/>
                <w:sz w:val="18"/>
                <w:szCs w:val="18"/>
              </w:rPr>
              <w:t xml:space="preserve"> 944.4</w:t>
            </w:r>
          </w:p>
        </w:tc>
      </w:tr>
      <w:tr w14:paraId="0F683C7F">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34DCEBAF">
            <w:pPr>
              <w:widowControl/>
              <w:jc w:val="center"/>
              <w:rPr>
                <w:kern w:val="0"/>
                <w:sz w:val="18"/>
                <w:szCs w:val="18"/>
              </w:rPr>
            </w:pPr>
            <w:r>
              <w:rPr>
                <w:kern w:val="0"/>
                <w:sz w:val="18"/>
                <w:szCs w:val="18"/>
              </w:rPr>
              <w:t>240</w:t>
            </w:r>
          </w:p>
        </w:tc>
        <w:tc>
          <w:tcPr>
            <w:tcW w:w="729" w:type="pct"/>
            <w:tcBorders>
              <w:left w:val="single" w:color="auto" w:sz="2" w:space="0"/>
              <w:right w:val="single" w:color="auto" w:sz="2" w:space="0"/>
            </w:tcBorders>
            <w:noWrap/>
            <w:vAlign w:val="center"/>
          </w:tcPr>
          <w:p w14:paraId="7552D8E0">
            <w:pPr>
              <w:widowControl/>
              <w:jc w:val="center"/>
              <w:rPr>
                <w:kern w:val="0"/>
                <w:sz w:val="18"/>
                <w:szCs w:val="18"/>
              </w:rPr>
            </w:pPr>
            <w:r>
              <w:rPr>
                <w:kern w:val="0"/>
                <w:sz w:val="18"/>
                <w:szCs w:val="18"/>
              </w:rPr>
              <w:t>2957.4</w:t>
            </w:r>
          </w:p>
        </w:tc>
        <w:tc>
          <w:tcPr>
            <w:tcW w:w="729" w:type="pct"/>
            <w:tcBorders>
              <w:left w:val="single" w:color="auto" w:sz="2" w:space="0"/>
              <w:right w:val="single" w:color="auto" w:sz="2" w:space="0"/>
            </w:tcBorders>
            <w:noWrap/>
            <w:vAlign w:val="center"/>
          </w:tcPr>
          <w:p w14:paraId="20442E30">
            <w:pPr>
              <w:widowControl/>
              <w:jc w:val="center"/>
              <w:rPr>
                <w:kern w:val="0"/>
                <w:sz w:val="18"/>
                <w:szCs w:val="18"/>
              </w:rPr>
            </w:pPr>
            <w:r>
              <w:rPr>
                <w:kern w:val="0"/>
                <w:sz w:val="18"/>
                <w:szCs w:val="18"/>
              </w:rPr>
              <w:t>2954.3</w:t>
            </w:r>
          </w:p>
        </w:tc>
        <w:tc>
          <w:tcPr>
            <w:tcW w:w="729" w:type="pct"/>
            <w:tcBorders>
              <w:left w:val="single" w:color="auto" w:sz="2" w:space="0"/>
              <w:right w:val="single" w:color="auto" w:sz="2" w:space="0"/>
            </w:tcBorders>
            <w:noWrap/>
            <w:vAlign w:val="center"/>
          </w:tcPr>
          <w:p w14:paraId="0D4B9E98">
            <w:pPr>
              <w:widowControl/>
              <w:jc w:val="center"/>
              <w:rPr>
                <w:kern w:val="0"/>
                <w:sz w:val="18"/>
                <w:szCs w:val="18"/>
              </w:rPr>
            </w:pPr>
            <w:r>
              <w:rPr>
                <w:kern w:val="0"/>
                <w:sz w:val="18"/>
                <w:szCs w:val="18"/>
              </w:rPr>
              <w:t>2939.9</w:t>
            </w:r>
          </w:p>
        </w:tc>
        <w:tc>
          <w:tcPr>
            <w:tcW w:w="729" w:type="pct"/>
            <w:tcBorders>
              <w:left w:val="single" w:color="auto" w:sz="2" w:space="0"/>
              <w:right w:val="single" w:color="auto" w:sz="2" w:space="0"/>
            </w:tcBorders>
            <w:noWrap/>
            <w:vAlign w:val="center"/>
          </w:tcPr>
          <w:p w14:paraId="67D4E300">
            <w:pPr>
              <w:widowControl/>
              <w:jc w:val="center"/>
              <w:rPr>
                <w:kern w:val="0"/>
                <w:sz w:val="18"/>
                <w:szCs w:val="18"/>
              </w:rPr>
            </w:pPr>
            <w:r>
              <w:rPr>
                <w:kern w:val="0"/>
                <w:sz w:val="18"/>
                <w:szCs w:val="18"/>
              </w:rPr>
              <w:t>2920.5</w:t>
            </w:r>
          </w:p>
        </w:tc>
        <w:tc>
          <w:tcPr>
            <w:tcW w:w="729" w:type="pct"/>
            <w:tcBorders>
              <w:left w:val="single" w:color="auto" w:sz="2" w:space="0"/>
              <w:right w:val="single" w:color="auto" w:sz="2" w:space="0"/>
            </w:tcBorders>
            <w:noWrap/>
            <w:vAlign w:val="center"/>
          </w:tcPr>
          <w:p w14:paraId="2016CD1D">
            <w:pPr>
              <w:widowControl/>
              <w:jc w:val="center"/>
              <w:rPr>
                <w:kern w:val="0"/>
                <w:sz w:val="18"/>
                <w:szCs w:val="18"/>
              </w:rPr>
            </w:pPr>
            <w:r>
              <w:rPr>
                <w:kern w:val="0"/>
                <w:sz w:val="18"/>
                <w:szCs w:val="18"/>
              </w:rPr>
              <w:t>2823.0</w:t>
            </w:r>
          </w:p>
        </w:tc>
        <w:tc>
          <w:tcPr>
            <w:tcW w:w="731" w:type="pct"/>
            <w:tcBorders>
              <w:left w:val="single" w:color="auto" w:sz="2" w:space="0"/>
            </w:tcBorders>
            <w:noWrap/>
            <w:vAlign w:val="center"/>
          </w:tcPr>
          <w:p w14:paraId="74E22B7E">
            <w:pPr>
              <w:widowControl/>
              <w:jc w:val="center"/>
              <w:rPr>
                <w:kern w:val="0"/>
                <w:sz w:val="18"/>
                <w:szCs w:val="18"/>
              </w:rPr>
            </w:pPr>
            <w:r>
              <w:rPr>
                <w:kern w:val="0"/>
                <w:sz w:val="18"/>
                <w:szCs w:val="18"/>
              </w:rPr>
              <w:t>1037.8</w:t>
            </w:r>
          </w:p>
        </w:tc>
      </w:tr>
      <w:tr w14:paraId="677F25BD">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15ADB33">
            <w:pPr>
              <w:widowControl/>
              <w:jc w:val="center"/>
              <w:rPr>
                <w:kern w:val="0"/>
                <w:sz w:val="18"/>
                <w:szCs w:val="18"/>
              </w:rPr>
            </w:pPr>
            <w:r>
              <w:rPr>
                <w:kern w:val="0"/>
                <w:sz w:val="18"/>
                <w:szCs w:val="18"/>
              </w:rPr>
              <w:t>260</w:t>
            </w:r>
          </w:p>
        </w:tc>
        <w:tc>
          <w:tcPr>
            <w:tcW w:w="729" w:type="pct"/>
            <w:tcBorders>
              <w:left w:val="single" w:color="auto" w:sz="2" w:space="0"/>
              <w:right w:val="single" w:color="auto" w:sz="2" w:space="0"/>
            </w:tcBorders>
            <w:noWrap/>
            <w:vAlign w:val="center"/>
          </w:tcPr>
          <w:p w14:paraId="10400F2E">
            <w:pPr>
              <w:widowControl/>
              <w:jc w:val="center"/>
              <w:rPr>
                <w:kern w:val="0"/>
                <w:sz w:val="18"/>
                <w:szCs w:val="18"/>
              </w:rPr>
            </w:pPr>
            <w:r>
              <w:rPr>
                <w:kern w:val="0"/>
                <w:sz w:val="18"/>
                <w:szCs w:val="18"/>
              </w:rPr>
              <w:t>2996.8</w:t>
            </w:r>
          </w:p>
        </w:tc>
        <w:tc>
          <w:tcPr>
            <w:tcW w:w="729" w:type="pct"/>
            <w:tcBorders>
              <w:left w:val="single" w:color="auto" w:sz="2" w:space="0"/>
              <w:right w:val="single" w:color="auto" w:sz="2" w:space="0"/>
            </w:tcBorders>
            <w:noWrap/>
            <w:vAlign w:val="center"/>
          </w:tcPr>
          <w:p w14:paraId="43CBD3B6">
            <w:pPr>
              <w:widowControl/>
              <w:jc w:val="center"/>
              <w:rPr>
                <w:kern w:val="0"/>
                <w:sz w:val="18"/>
                <w:szCs w:val="18"/>
              </w:rPr>
            </w:pPr>
            <w:r>
              <w:rPr>
                <w:kern w:val="0"/>
                <w:sz w:val="18"/>
                <w:szCs w:val="18"/>
              </w:rPr>
              <w:t>2994.1</w:t>
            </w:r>
          </w:p>
        </w:tc>
        <w:tc>
          <w:tcPr>
            <w:tcW w:w="729" w:type="pct"/>
            <w:tcBorders>
              <w:left w:val="single" w:color="auto" w:sz="2" w:space="0"/>
              <w:right w:val="single" w:color="auto" w:sz="2" w:space="0"/>
            </w:tcBorders>
            <w:noWrap/>
            <w:vAlign w:val="center"/>
          </w:tcPr>
          <w:p w14:paraId="0500898D">
            <w:pPr>
              <w:widowControl/>
              <w:jc w:val="center"/>
              <w:rPr>
                <w:kern w:val="0"/>
                <w:sz w:val="18"/>
                <w:szCs w:val="18"/>
              </w:rPr>
            </w:pPr>
            <w:r>
              <w:rPr>
                <w:kern w:val="0"/>
                <w:sz w:val="18"/>
                <w:szCs w:val="18"/>
              </w:rPr>
              <w:t>2981.5</w:t>
            </w:r>
          </w:p>
        </w:tc>
        <w:tc>
          <w:tcPr>
            <w:tcW w:w="729" w:type="pct"/>
            <w:tcBorders>
              <w:left w:val="single" w:color="auto" w:sz="2" w:space="0"/>
              <w:right w:val="single" w:color="auto" w:sz="2" w:space="0"/>
            </w:tcBorders>
            <w:noWrap/>
            <w:vAlign w:val="center"/>
          </w:tcPr>
          <w:p w14:paraId="5CDE84AC">
            <w:pPr>
              <w:widowControl/>
              <w:jc w:val="center"/>
              <w:rPr>
                <w:kern w:val="0"/>
                <w:sz w:val="18"/>
                <w:szCs w:val="18"/>
              </w:rPr>
            </w:pPr>
            <w:r>
              <w:rPr>
                <w:kern w:val="0"/>
                <w:sz w:val="18"/>
                <w:szCs w:val="18"/>
              </w:rPr>
              <w:t>2964.8</w:t>
            </w:r>
          </w:p>
        </w:tc>
        <w:tc>
          <w:tcPr>
            <w:tcW w:w="729" w:type="pct"/>
            <w:tcBorders>
              <w:left w:val="single" w:color="auto" w:sz="2" w:space="0"/>
              <w:right w:val="single" w:color="auto" w:sz="2" w:space="0"/>
            </w:tcBorders>
            <w:noWrap/>
            <w:vAlign w:val="center"/>
          </w:tcPr>
          <w:p w14:paraId="659FB762">
            <w:pPr>
              <w:widowControl/>
              <w:jc w:val="center"/>
              <w:rPr>
                <w:kern w:val="0"/>
                <w:sz w:val="18"/>
                <w:szCs w:val="18"/>
              </w:rPr>
            </w:pPr>
            <w:r>
              <w:rPr>
                <w:kern w:val="0"/>
                <w:sz w:val="18"/>
                <w:szCs w:val="18"/>
              </w:rPr>
              <w:t>2885.5</w:t>
            </w:r>
          </w:p>
        </w:tc>
        <w:tc>
          <w:tcPr>
            <w:tcW w:w="731" w:type="pct"/>
            <w:tcBorders>
              <w:left w:val="single" w:color="auto" w:sz="2" w:space="0"/>
            </w:tcBorders>
            <w:noWrap/>
            <w:vAlign w:val="center"/>
          </w:tcPr>
          <w:p w14:paraId="746E702E">
            <w:pPr>
              <w:widowControl/>
              <w:jc w:val="center"/>
              <w:rPr>
                <w:kern w:val="0"/>
                <w:sz w:val="18"/>
                <w:szCs w:val="18"/>
              </w:rPr>
            </w:pPr>
            <w:r>
              <w:rPr>
                <w:kern w:val="0"/>
                <w:sz w:val="18"/>
                <w:szCs w:val="18"/>
              </w:rPr>
              <w:t>1135.0</w:t>
            </w:r>
          </w:p>
        </w:tc>
      </w:tr>
      <w:tr w14:paraId="1B850400">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2ED48794">
            <w:pPr>
              <w:widowControl/>
              <w:jc w:val="center"/>
              <w:rPr>
                <w:kern w:val="0"/>
                <w:sz w:val="18"/>
                <w:szCs w:val="18"/>
              </w:rPr>
            </w:pPr>
            <w:r>
              <w:rPr>
                <w:kern w:val="0"/>
                <w:sz w:val="18"/>
                <w:szCs w:val="18"/>
              </w:rPr>
              <w:t>280</w:t>
            </w:r>
          </w:p>
        </w:tc>
        <w:tc>
          <w:tcPr>
            <w:tcW w:w="729" w:type="pct"/>
            <w:tcBorders>
              <w:left w:val="single" w:color="auto" w:sz="2" w:space="0"/>
              <w:right w:val="single" w:color="auto" w:sz="2" w:space="0"/>
            </w:tcBorders>
            <w:noWrap/>
            <w:vAlign w:val="center"/>
          </w:tcPr>
          <w:p w14:paraId="4A235FEB">
            <w:pPr>
              <w:widowControl/>
              <w:jc w:val="center"/>
              <w:rPr>
                <w:kern w:val="0"/>
                <w:sz w:val="18"/>
                <w:szCs w:val="18"/>
              </w:rPr>
            </w:pPr>
            <w:r>
              <w:rPr>
                <w:kern w:val="0"/>
                <w:sz w:val="18"/>
                <w:szCs w:val="18"/>
              </w:rPr>
              <w:t>3036.5</w:t>
            </w:r>
          </w:p>
        </w:tc>
        <w:tc>
          <w:tcPr>
            <w:tcW w:w="729" w:type="pct"/>
            <w:tcBorders>
              <w:left w:val="single" w:color="auto" w:sz="2" w:space="0"/>
              <w:right w:val="single" w:color="auto" w:sz="2" w:space="0"/>
            </w:tcBorders>
            <w:noWrap/>
            <w:vAlign w:val="center"/>
          </w:tcPr>
          <w:p w14:paraId="723F9909">
            <w:pPr>
              <w:widowControl/>
              <w:jc w:val="center"/>
              <w:rPr>
                <w:kern w:val="0"/>
                <w:sz w:val="18"/>
                <w:szCs w:val="18"/>
              </w:rPr>
            </w:pPr>
            <w:r>
              <w:rPr>
                <w:kern w:val="0"/>
                <w:sz w:val="18"/>
                <w:szCs w:val="18"/>
              </w:rPr>
              <w:t>3034.0</w:t>
            </w:r>
          </w:p>
        </w:tc>
        <w:tc>
          <w:tcPr>
            <w:tcW w:w="729" w:type="pct"/>
            <w:tcBorders>
              <w:left w:val="single" w:color="auto" w:sz="2" w:space="0"/>
              <w:right w:val="single" w:color="auto" w:sz="2" w:space="0"/>
            </w:tcBorders>
            <w:noWrap/>
            <w:vAlign w:val="center"/>
          </w:tcPr>
          <w:p w14:paraId="7986BC66">
            <w:pPr>
              <w:widowControl/>
              <w:jc w:val="center"/>
              <w:rPr>
                <w:kern w:val="0"/>
                <w:sz w:val="18"/>
                <w:szCs w:val="18"/>
              </w:rPr>
            </w:pPr>
            <w:r>
              <w:rPr>
                <w:kern w:val="0"/>
                <w:sz w:val="18"/>
                <w:szCs w:val="18"/>
              </w:rPr>
              <w:t>3022.9</w:t>
            </w:r>
          </w:p>
        </w:tc>
        <w:tc>
          <w:tcPr>
            <w:tcW w:w="729" w:type="pct"/>
            <w:tcBorders>
              <w:left w:val="single" w:color="auto" w:sz="2" w:space="0"/>
              <w:right w:val="single" w:color="auto" w:sz="2" w:space="0"/>
            </w:tcBorders>
            <w:noWrap/>
            <w:vAlign w:val="center"/>
          </w:tcPr>
          <w:p w14:paraId="22412F03">
            <w:pPr>
              <w:widowControl/>
              <w:jc w:val="center"/>
              <w:rPr>
                <w:kern w:val="0"/>
                <w:sz w:val="18"/>
                <w:szCs w:val="18"/>
              </w:rPr>
            </w:pPr>
            <w:r>
              <w:rPr>
                <w:kern w:val="0"/>
                <w:sz w:val="18"/>
                <w:szCs w:val="18"/>
              </w:rPr>
              <w:t>3008.3</w:t>
            </w:r>
          </w:p>
        </w:tc>
        <w:tc>
          <w:tcPr>
            <w:tcW w:w="729" w:type="pct"/>
            <w:tcBorders>
              <w:left w:val="single" w:color="auto" w:sz="2" w:space="0"/>
              <w:right w:val="single" w:color="auto" w:sz="2" w:space="0"/>
            </w:tcBorders>
            <w:noWrap/>
            <w:vAlign w:val="center"/>
          </w:tcPr>
          <w:p w14:paraId="44BF583E">
            <w:pPr>
              <w:widowControl/>
              <w:jc w:val="center"/>
              <w:rPr>
                <w:kern w:val="0"/>
                <w:sz w:val="18"/>
                <w:szCs w:val="18"/>
              </w:rPr>
            </w:pPr>
            <w:r>
              <w:rPr>
                <w:kern w:val="0"/>
                <w:sz w:val="18"/>
                <w:szCs w:val="18"/>
              </w:rPr>
              <w:t>2941.8</w:t>
            </w:r>
          </w:p>
        </w:tc>
        <w:tc>
          <w:tcPr>
            <w:tcW w:w="731" w:type="pct"/>
            <w:tcBorders>
              <w:left w:val="single" w:color="auto" w:sz="2" w:space="0"/>
            </w:tcBorders>
            <w:noWrap/>
            <w:vAlign w:val="center"/>
          </w:tcPr>
          <w:p w14:paraId="17C68FC8">
            <w:pPr>
              <w:widowControl/>
              <w:jc w:val="center"/>
              <w:rPr>
                <w:kern w:val="0"/>
                <w:sz w:val="18"/>
                <w:szCs w:val="18"/>
              </w:rPr>
            </w:pPr>
            <w:r>
              <w:rPr>
                <w:kern w:val="0"/>
                <w:sz w:val="18"/>
                <w:szCs w:val="18"/>
              </w:rPr>
              <w:t>2857.0</w:t>
            </w:r>
          </w:p>
        </w:tc>
      </w:tr>
      <w:tr w14:paraId="0268B612">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1BEFA00E">
            <w:pPr>
              <w:widowControl/>
              <w:jc w:val="center"/>
              <w:rPr>
                <w:kern w:val="0"/>
                <w:sz w:val="18"/>
                <w:szCs w:val="18"/>
              </w:rPr>
            </w:pPr>
            <w:r>
              <w:rPr>
                <w:kern w:val="0"/>
                <w:sz w:val="18"/>
                <w:szCs w:val="18"/>
              </w:rPr>
              <w:t>300</w:t>
            </w:r>
          </w:p>
        </w:tc>
        <w:tc>
          <w:tcPr>
            <w:tcW w:w="729" w:type="pct"/>
            <w:tcBorders>
              <w:left w:val="single" w:color="auto" w:sz="2" w:space="0"/>
              <w:right w:val="single" w:color="auto" w:sz="2" w:space="0"/>
            </w:tcBorders>
            <w:noWrap/>
            <w:vAlign w:val="center"/>
          </w:tcPr>
          <w:p w14:paraId="5DB63CAA">
            <w:pPr>
              <w:widowControl/>
              <w:jc w:val="center"/>
              <w:rPr>
                <w:kern w:val="0"/>
                <w:sz w:val="18"/>
                <w:szCs w:val="18"/>
              </w:rPr>
            </w:pPr>
            <w:r>
              <w:rPr>
                <w:kern w:val="0"/>
                <w:sz w:val="18"/>
                <w:szCs w:val="18"/>
              </w:rPr>
              <w:t>3076.3</w:t>
            </w:r>
          </w:p>
        </w:tc>
        <w:tc>
          <w:tcPr>
            <w:tcW w:w="729" w:type="pct"/>
            <w:tcBorders>
              <w:left w:val="single" w:color="auto" w:sz="2" w:space="0"/>
              <w:right w:val="single" w:color="auto" w:sz="2" w:space="0"/>
            </w:tcBorders>
            <w:noWrap/>
            <w:vAlign w:val="center"/>
          </w:tcPr>
          <w:p w14:paraId="3C6F4889">
            <w:pPr>
              <w:widowControl/>
              <w:jc w:val="center"/>
              <w:rPr>
                <w:kern w:val="0"/>
                <w:sz w:val="18"/>
                <w:szCs w:val="18"/>
              </w:rPr>
            </w:pPr>
            <w:r>
              <w:rPr>
                <w:kern w:val="0"/>
                <w:sz w:val="18"/>
                <w:szCs w:val="18"/>
              </w:rPr>
              <w:t>3074.1</w:t>
            </w:r>
          </w:p>
        </w:tc>
        <w:tc>
          <w:tcPr>
            <w:tcW w:w="729" w:type="pct"/>
            <w:tcBorders>
              <w:left w:val="single" w:color="auto" w:sz="2" w:space="0"/>
              <w:right w:val="single" w:color="auto" w:sz="2" w:space="0"/>
            </w:tcBorders>
            <w:noWrap/>
            <w:vAlign w:val="center"/>
          </w:tcPr>
          <w:p w14:paraId="272E8C5C">
            <w:pPr>
              <w:widowControl/>
              <w:jc w:val="center"/>
              <w:rPr>
                <w:kern w:val="0"/>
                <w:sz w:val="18"/>
                <w:szCs w:val="18"/>
              </w:rPr>
            </w:pPr>
            <w:r>
              <w:rPr>
                <w:kern w:val="0"/>
                <w:sz w:val="18"/>
                <w:szCs w:val="18"/>
              </w:rPr>
              <w:t>3064.2</w:t>
            </w:r>
          </w:p>
        </w:tc>
        <w:tc>
          <w:tcPr>
            <w:tcW w:w="729" w:type="pct"/>
            <w:tcBorders>
              <w:left w:val="single" w:color="auto" w:sz="2" w:space="0"/>
              <w:right w:val="single" w:color="auto" w:sz="2" w:space="0"/>
            </w:tcBorders>
            <w:noWrap/>
            <w:vAlign w:val="center"/>
          </w:tcPr>
          <w:p w14:paraId="4ACB900D">
            <w:pPr>
              <w:widowControl/>
              <w:jc w:val="center"/>
              <w:rPr>
                <w:kern w:val="0"/>
                <w:sz w:val="18"/>
                <w:szCs w:val="18"/>
              </w:rPr>
            </w:pPr>
            <w:r>
              <w:rPr>
                <w:kern w:val="0"/>
                <w:sz w:val="18"/>
                <w:szCs w:val="18"/>
              </w:rPr>
              <w:t>3051.3</w:t>
            </w:r>
          </w:p>
        </w:tc>
        <w:tc>
          <w:tcPr>
            <w:tcW w:w="729" w:type="pct"/>
            <w:tcBorders>
              <w:left w:val="single" w:color="auto" w:sz="2" w:space="0"/>
              <w:right w:val="single" w:color="auto" w:sz="2" w:space="0"/>
            </w:tcBorders>
            <w:noWrap/>
            <w:vAlign w:val="center"/>
          </w:tcPr>
          <w:p w14:paraId="424335D9">
            <w:pPr>
              <w:widowControl/>
              <w:jc w:val="center"/>
              <w:rPr>
                <w:kern w:val="0"/>
                <w:sz w:val="18"/>
                <w:szCs w:val="18"/>
              </w:rPr>
            </w:pPr>
            <w:r>
              <w:rPr>
                <w:kern w:val="0"/>
                <w:sz w:val="18"/>
                <w:szCs w:val="18"/>
              </w:rPr>
              <w:t>2994.2</w:t>
            </w:r>
          </w:p>
        </w:tc>
        <w:tc>
          <w:tcPr>
            <w:tcW w:w="731" w:type="pct"/>
            <w:tcBorders>
              <w:left w:val="single" w:color="auto" w:sz="2" w:space="0"/>
            </w:tcBorders>
            <w:noWrap/>
            <w:vAlign w:val="center"/>
          </w:tcPr>
          <w:p w14:paraId="5CFD40D9">
            <w:pPr>
              <w:widowControl/>
              <w:jc w:val="center"/>
              <w:rPr>
                <w:kern w:val="0"/>
                <w:sz w:val="18"/>
                <w:szCs w:val="18"/>
              </w:rPr>
            </w:pPr>
            <w:r>
              <w:rPr>
                <w:kern w:val="0"/>
                <w:sz w:val="18"/>
                <w:szCs w:val="18"/>
              </w:rPr>
              <w:t>2925.4</w:t>
            </w:r>
          </w:p>
        </w:tc>
      </w:tr>
      <w:tr w14:paraId="2B3AE780">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F7DD0FA">
            <w:pPr>
              <w:widowControl/>
              <w:jc w:val="center"/>
              <w:rPr>
                <w:kern w:val="0"/>
                <w:sz w:val="18"/>
                <w:szCs w:val="18"/>
              </w:rPr>
            </w:pPr>
            <w:r>
              <w:rPr>
                <w:kern w:val="0"/>
                <w:sz w:val="18"/>
                <w:szCs w:val="18"/>
              </w:rPr>
              <w:t>350</w:t>
            </w:r>
          </w:p>
        </w:tc>
        <w:tc>
          <w:tcPr>
            <w:tcW w:w="729" w:type="pct"/>
            <w:tcBorders>
              <w:left w:val="single" w:color="auto" w:sz="2" w:space="0"/>
              <w:right w:val="single" w:color="auto" w:sz="2" w:space="0"/>
            </w:tcBorders>
            <w:noWrap/>
            <w:vAlign w:val="center"/>
          </w:tcPr>
          <w:p w14:paraId="6F472EA7">
            <w:pPr>
              <w:widowControl/>
              <w:jc w:val="center"/>
              <w:rPr>
                <w:kern w:val="0"/>
                <w:sz w:val="18"/>
                <w:szCs w:val="18"/>
              </w:rPr>
            </w:pPr>
            <w:r>
              <w:rPr>
                <w:kern w:val="0"/>
                <w:sz w:val="18"/>
                <w:szCs w:val="18"/>
              </w:rPr>
              <w:t>3177.0</w:t>
            </w:r>
          </w:p>
        </w:tc>
        <w:tc>
          <w:tcPr>
            <w:tcW w:w="729" w:type="pct"/>
            <w:tcBorders>
              <w:left w:val="single" w:color="auto" w:sz="2" w:space="0"/>
              <w:right w:val="single" w:color="auto" w:sz="2" w:space="0"/>
            </w:tcBorders>
            <w:noWrap/>
            <w:vAlign w:val="center"/>
          </w:tcPr>
          <w:p w14:paraId="1D5B0B59">
            <w:pPr>
              <w:widowControl/>
              <w:jc w:val="center"/>
              <w:rPr>
                <w:kern w:val="0"/>
                <w:sz w:val="18"/>
                <w:szCs w:val="18"/>
              </w:rPr>
            </w:pPr>
            <w:r>
              <w:rPr>
                <w:kern w:val="0"/>
                <w:sz w:val="18"/>
                <w:szCs w:val="18"/>
              </w:rPr>
              <w:t>3175.3</w:t>
            </w:r>
          </w:p>
        </w:tc>
        <w:tc>
          <w:tcPr>
            <w:tcW w:w="729" w:type="pct"/>
            <w:tcBorders>
              <w:left w:val="single" w:color="auto" w:sz="2" w:space="0"/>
              <w:right w:val="single" w:color="auto" w:sz="2" w:space="0"/>
            </w:tcBorders>
            <w:noWrap/>
            <w:vAlign w:val="center"/>
          </w:tcPr>
          <w:p w14:paraId="12A40F29">
            <w:pPr>
              <w:widowControl/>
              <w:jc w:val="center"/>
              <w:rPr>
                <w:kern w:val="0"/>
                <w:sz w:val="18"/>
                <w:szCs w:val="18"/>
              </w:rPr>
            </w:pPr>
            <w:r>
              <w:rPr>
                <w:kern w:val="0"/>
                <w:sz w:val="18"/>
                <w:szCs w:val="18"/>
              </w:rPr>
              <w:t>3167.6</w:t>
            </w:r>
          </w:p>
        </w:tc>
        <w:tc>
          <w:tcPr>
            <w:tcW w:w="729" w:type="pct"/>
            <w:tcBorders>
              <w:left w:val="single" w:color="auto" w:sz="2" w:space="0"/>
              <w:right w:val="single" w:color="auto" w:sz="2" w:space="0"/>
            </w:tcBorders>
            <w:noWrap/>
            <w:vAlign w:val="center"/>
          </w:tcPr>
          <w:p w14:paraId="43314ECD">
            <w:pPr>
              <w:widowControl/>
              <w:jc w:val="center"/>
              <w:rPr>
                <w:kern w:val="0"/>
                <w:sz w:val="18"/>
                <w:szCs w:val="18"/>
              </w:rPr>
            </w:pPr>
            <w:r>
              <w:rPr>
                <w:kern w:val="0"/>
                <w:sz w:val="18"/>
                <w:szCs w:val="18"/>
              </w:rPr>
              <w:t>3157.7</w:t>
            </w:r>
          </w:p>
        </w:tc>
        <w:tc>
          <w:tcPr>
            <w:tcW w:w="729" w:type="pct"/>
            <w:tcBorders>
              <w:left w:val="single" w:color="auto" w:sz="2" w:space="0"/>
              <w:right w:val="single" w:color="auto" w:sz="2" w:space="0"/>
            </w:tcBorders>
            <w:noWrap/>
            <w:vAlign w:val="center"/>
          </w:tcPr>
          <w:p w14:paraId="64BDAE38">
            <w:pPr>
              <w:widowControl/>
              <w:jc w:val="center"/>
              <w:rPr>
                <w:kern w:val="0"/>
                <w:sz w:val="18"/>
                <w:szCs w:val="18"/>
              </w:rPr>
            </w:pPr>
            <w:r>
              <w:rPr>
                <w:kern w:val="0"/>
                <w:sz w:val="18"/>
                <w:szCs w:val="18"/>
              </w:rPr>
              <w:t>3115.7</w:t>
            </w:r>
          </w:p>
        </w:tc>
        <w:tc>
          <w:tcPr>
            <w:tcW w:w="731" w:type="pct"/>
            <w:tcBorders>
              <w:left w:val="single" w:color="auto" w:sz="2" w:space="0"/>
            </w:tcBorders>
            <w:noWrap/>
            <w:vAlign w:val="center"/>
          </w:tcPr>
          <w:p w14:paraId="1A9D9BA5">
            <w:pPr>
              <w:widowControl/>
              <w:jc w:val="center"/>
              <w:rPr>
                <w:kern w:val="0"/>
                <w:sz w:val="18"/>
                <w:szCs w:val="18"/>
              </w:rPr>
            </w:pPr>
            <w:r>
              <w:rPr>
                <w:kern w:val="0"/>
                <w:sz w:val="18"/>
                <w:szCs w:val="18"/>
              </w:rPr>
              <w:t>3069.2</w:t>
            </w:r>
          </w:p>
        </w:tc>
      </w:tr>
      <w:tr w14:paraId="284F30F4">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0E486DD0">
            <w:pPr>
              <w:widowControl/>
              <w:jc w:val="center"/>
              <w:rPr>
                <w:kern w:val="0"/>
                <w:sz w:val="18"/>
                <w:szCs w:val="18"/>
              </w:rPr>
            </w:pPr>
            <w:r>
              <w:rPr>
                <w:kern w:val="0"/>
                <w:sz w:val="18"/>
                <w:szCs w:val="18"/>
              </w:rPr>
              <w:t>400</w:t>
            </w:r>
          </w:p>
        </w:tc>
        <w:tc>
          <w:tcPr>
            <w:tcW w:w="729" w:type="pct"/>
            <w:tcBorders>
              <w:left w:val="single" w:color="auto" w:sz="2" w:space="0"/>
              <w:right w:val="single" w:color="auto" w:sz="2" w:space="0"/>
            </w:tcBorders>
            <w:noWrap/>
            <w:vAlign w:val="center"/>
          </w:tcPr>
          <w:p w14:paraId="59F3BAF0">
            <w:pPr>
              <w:widowControl/>
              <w:jc w:val="center"/>
              <w:rPr>
                <w:kern w:val="0"/>
                <w:sz w:val="18"/>
                <w:szCs w:val="18"/>
              </w:rPr>
            </w:pPr>
            <w:r>
              <w:rPr>
                <w:kern w:val="0"/>
                <w:sz w:val="18"/>
                <w:szCs w:val="18"/>
              </w:rPr>
              <w:t>3279.4</w:t>
            </w:r>
          </w:p>
        </w:tc>
        <w:tc>
          <w:tcPr>
            <w:tcW w:w="729" w:type="pct"/>
            <w:tcBorders>
              <w:left w:val="single" w:color="auto" w:sz="2" w:space="0"/>
              <w:right w:val="single" w:color="auto" w:sz="2" w:space="0"/>
            </w:tcBorders>
            <w:noWrap/>
            <w:vAlign w:val="center"/>
          </w:tcPr>
          <w:p w14:paraId="5175FD14">
            <w:pPr>
              <w:widowControl/>
              <w:jc w:val="center"/>
              <w:rPr>
                <w:kern w:val="0"/>
                <w:sz w:val="18"/>
                <w:szCs w:val="18"/>
              </w:rPr>
            </w:pPr>
            <w:r>
              <w:rPr>
                <w:kern w:val="0"/>
                <w:sz w:val="18"/>
                <w:szCs w:val="18"/>
              </w:rPr>
              <w:t>3278.0</w:t>
            </w:r>
          </w:p>
        </w:tc>
        <w:tc>
          <w:tcPr>
            <w:tcW w:w="729" w:type="pct"/>
            <w:tcBorders>
              <w:left w:val="single" w:color="auto" w:sz="2" w:space="0"/>
              <w:right w:val="single" w:color="auto" w:sz="2" w:space="0"/>
            </w:tcBorders>
            <w:noWrap/>
            <w:vAlign w:val="center"/>
          </w:tcPr>
          <w:p w14:paraId="3D7A73F6">
            <w:pPr>
              <w:widowControl/>
              <w:jc w:val="center"/>
              <w:rPr>
                <w:kern w:val="0"/>
                <w:sz w:val="18"/>
                <w:szCs w:val="18"/>
              </w:rPr>
            </w:pPr>
            <w:r>
              <w:rPr>
                <w:kern w:val="0"/>
                <w:sz w:val="18"/>
                <w:szCs w:val="18"/>
              </w:rPr>
              <w:t>3217.8</w:t>
            </w:r>
          </w:p>
        </w:tc>
        <w:tc>
          <w:tcPr>
            <w:tcW w:w="729" w:type="pct"/>
            <w:tcBorders>
              <w:left w:val="single" w:color="auto" w:sz="2" w:space="0"/>
              <w:right w:val="single" w:color="auto" w:sz="2" w:space="0"/>
            </w:tcBorders>
            <w:noWrap/>
            <w:vAlign w:val="center"/>
          </w:tcPr>
          <w:p w14:paraId="00845912">
            <w:pPr>
              <w:widowControl/>
              <w:jc w:val="center"/>
              <w:rPr>
                <w:kern w:val="0"/>
                <w:sz w:val="18"/>
                <w:szCs w:val="18"/>
              </w:rPr>
            </w:pPr>
            <w:r>
              <w:rPr>
                <w:kern w:val="0"/>
                <w:sz w:val="18"/>
                <w:szCs w:val="18"/>
              </w:rPr>
              <w:t>3264.0</w:t>
            </w:r>
          </w:p>
        </w:tc>
        <w:tc>
          <w:tcPr>
            <w:tcW w:w="729" w:type="pct"/>
            <w:tcBorders>
              <w:left w:val="single" w:color="auto" w:sz="2" w:space="0"/>
              <w:right w:val="single" w:color="auto" w:sz="2" w:space="0"/>
            </w:tcBorders>
            <w:noWrap/>
            <w:vAlign w:val="center"/>
          </w:tcPr>
          <w:p w14:paraId="5FAA8435">
            <w:pPr>
              <w:widowControl/>
              <w:jc w:val="center"/>
              <w:rPr>
                <w:kern w:val="0"/>
                <w:sz w:val="18"/>
                <w:szCs w:val="18"/>
              </w:rPr>
            </w:pPr>
            <w:r>
              <w:rPr>
                <w:kern w:val="0"/>
                <w:sz w:val="18"/>
                <w:szCs w:val="18"/>
              </w:rPr>
              <w:t>3231.6</w:t>
            </w:r>
          </w:p>
        </w:tc>
        <w:tc>
          <w:tcPr>
            <w:tcW w:w="731" w:type="pct"/>
            <w:tcBorders>
              <w:left w:val="single" w:color="auto" w:sz="2" w:space="0"/>
            </w:tcBorders>
            <w:noWrap/>
            <w:vAlign w:val="center"/>
          </w:tcPr>
          <w:p w14:paraId="4AB0C166">
            <w:pPr>
              <w:widowControl/>
              <w:jc w:val="center"/>
              <w:rPr>
                <w:kern w:val="0"/>
                <w:sz w:val="18"/>
                <w:szCs w:val="18"/>
              </w:rPr>
            </w:pPr>
            <w:r>
              <w:rPr>
                <w:kern w:val="0"/>
                <w:sz w:val="18"/>
                <w:szCs w:val="18"/>
              </w:rPr>
              <w:t>3196.9</w:t>
            </w:r>
          </w:p>
        </w:tc>
      </w:tr>
      <w:tr w14:paraId="6A61A326">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1269E782">
            <w:pPr>
              <w:widowControl/>
              <w:jc w:val="center"/>
              <w:rPr>
                <w:kern w:val="0"/>
                <w:sz w:val="18"/>
                <w:szCs w:val="18"/>
              </w:rPr>
            </w:pPr>
            <w:r>
              <w:rPr>
                <w:kern w:val="0"/>
                <w:sz w:val="18"/>
                <w:szCs w:val="18"/>
              </w:rPr>
              <w:t>420</w:t>
            </w:r>
          </w:p>
        </w:tc>
        <w:tc>
          <w:tcPr>
            <w:tcW w:w="729" w:type="pct"/>
            <w:tcBorders>
              <w:left w:val="single" w:color="auto" w:sz="2" w:space="0"/>
              <w:right w:val="single" w:color="auto" w:sz="2" w:space="0"/>
            </w:tcBorders>
            <w:noWrap/>
            <w:vAlign w:val="center"/>
          </w:tcPr>
          <w:p w14:paraId="0D15BB21">
            <w:pPr>
              <w:widowControl/>
              <w:jc w:val="center"/>
              <w:rPr>
                <w:kern w:val="0"/>
                <w:sz w:val="18"/>
                <w:szCs w:val="18"/>
              </w:rPr>
            </w:pPr>
            <w:r>
              <w:rPr>
                <w:kern w:val="0"/>
                <w:sz w:val="18"/>
                <w:szCs w:val="18"/>
              </w:rPr>
              <w:t>3320.9</w:t>
            </w:r>
          </w:p>
        </w:tc>
        <w:tc>
          <w:tcPr>
            <w:tcW w:w="729" w:type="pct"/>
            <w:tcBorders>
              <w:left w:val="single" w:color="auto" w:sz="2" w:space="0"/>
              <w:right w:val="single" w:color="auto" w:sz="2" w:space="0"/>
            </w:tcBorders>
            <w:noWrap/>
            <w:vAlign w:val="center"/>
          </w:tcPr>
          <w:p w14:paraId="0D43370E">
            <w:pPr>
              <w:widowControl/>
              <w:jc w:val="center"/>
              <w:rPr>
                <w:kern w:val="0"/>
                <w:sz w:val="18"/>
                <w:szCs w:val="18"/>
              </w:rPr>
            </w:pPr>
            <w:r>
              <w:rPr>
                <w:kern w:val="0"/>
                <w:sz w:val="18"/>
                <w:szCs w:val="18"/>
              </w:rPr>
              <w:t>3319.7</w:t>
            </w:r>
          </w:p>
        </w:tc>
        <w:tc>
          <w:tcPr>
            <w:tcW w:w="729" w:type="pct"/>
            <w:tcBorders>
              <w:left w:val="single" w:color="auto" w:sz="2" w:space="0"/>
              <w:right w:val="single" w:color="auto" w:sz="2" w:space="0"/>
            </w:tcBorders>
            <w:noWrap/>
            <w:vAlign w:val="center"/>
          </w:tcPr>
          <w:p w14:paraId="14181E88">
            <w:pPr>
              <w:widowControl/>
              <w:jc w:val="center"/>
              <w:rPr>
                <w:kern w:val="0"/>
                <w:sz w:val="18"/>
                <w:szCs w:val="18"/>
              </w:rPr>
            </w:pPr>
            <w:r>
              <w:rPr>
                <w:kern w:val="0"/>
                <w:sz w:val="18"/>
                <w:szCs w:val="18"/>
              </w:rPr>
              <w:t>3313.8</w:t>
            </w:r>
          </w:p>
        </w:tc>
        <w:tc>
          <w:tcPr>
            <w:tcW w:w="729" w:type="pct"/>
            <w:tcBorders>
              <w:left w:val="single" w:color="auto" w:sz="2" w:space="0"/>
              <w:right w:val="single" w:color="auto" w:sz="2" w:space="0"/>
            </w:tcBorders>
            <w:noWrap/>
            <w:vAlign w:val="center"/>
          </w:tcPr>
          <w:p w14:paraId="69D87E04">
            <w:pPr>
              <w:widowControl/>
              <w:jc w:val="center"/>
              <w:rPr>
                <w:kern w:val="0"/>
                <w:sz w:val="18"/>
                <w:szCs w:val="18"/>
              </w:rPr>
            </w:pPr>
            <w:r>
              <w:rPr>
                <w:kern w:val="0"/>
                <w:sz w:val="18"/>
                <w:szCs w:val="18"/>
              </w:rPr>
              <w:t>3306.6</w:t>
            </w:r>
          </w:p>
        </w:tc>
        <w:tc>
          <w:tcPr>
            <w:tcW w:w="729" w:type="pct"/>
            <w:tcBorders>
              <w:left w:val="single" w:color="auto" w:sz="2" w:space="0"/>
              <w:right w:val="single" w:color="auto" w:sz="2" w:space="0"/>
            </w:tcBorders>
            <w:noWrap/>
            <w:vAlign w:val="center"/>
          </w:tcPr>
          <w:p w14:paraId="5C17B62C">
            <w:pPr>
              <w:widowControl/>
              <w:jc w:val="center"/>
              <w:rPr>
                <w:kern w:val="0"/>
                <w:sz w:val="18"/>
                <w:szCs w:val="18"/>
              </w:rPr>
            </w:pPr>
            <w:r>
              <w:rPr>
                <w:kern w:val="0"/>
                <w:sz w:val="18"/>
                <w:szCs w:val="18"/>
              </w:rPr>
              <w:t>3276.9</w:t>
            </w:r>
          </w:p>
        </w:tc>
        <w:tc>
          <w:tcPr>
            <w:tcW w:w="731" w:type="pct"/>
            <w:tcBorders>
              <w:left w:val="single" w:color="auto" w:sz="2" w:space="0"/>
            </w:tcBorders>
            <w:noWrap/>
            <w:vAlign w:val="center"/>
          </w:tcPr>
          <w:p w14:paraId="21A1F1DA">
            <w:pPr>
              <w:widowControl/>
              <w:jc w:val="center"/>
              <w:rPr>
                <w:kern w:val="0"/>
                <w:sz w:val="18"/>
                <w:szCs w:val="18"/>
              </w:rPr>
            </w:pPr>
            <w:r>
              <w:rPr>
                <w:kern w:val="0"/>
                <w:sz w:val="18"/>
                <w:szCs w:val="18"/>
              </w:rPr>
              <w:t>3245.4</w:t>
            </w:r>
          </w:p>
        </w:tc>
      </w:tr>
      <w:tr w14:paraId="542CEC06">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5FD880F">
            <w:pPr>
              <w:widowControl/>
              <w:jc w:val="center"/>
              <w:rPr>
                <w:kern w:val="0"/>
                <w:sz w:val="18"/>
                <w:szCs w:val="18"/>
              </w:rPr>
            </w:pPr>
            <w:r>
              <w:rPr>
                <w:kern w:val="0"/>
                <w:sz w:val="18"/>
                <w:szCs w:val="18"/>
              </w:rPr>
              <w:t>440</w:t>
            </w:r>
          </w:p>
        </w:tc>
        <w:tc>
          <w:tcPr>
            <w:tcW w:w="729" w:type="pct"/>
            <w:tcBorders>
              <w:left w:val="single" w:color="auto" w:sz="2" w:space="0"/>
              <w:right w:val="single" w:color="auto" w:sz="2" w:space="0"/>
            </w:tcBorders>
            <w:noWrap/>
            <w:vAlign w:val="center"/>
          </w:tcPr>
          <w:p w14:paraId="52434683">
            <w:pPr>
              <w:widowControl/>
              <w:jc w:val="center"/>
              <w:rPr>
                <w:kern w:val="0"/>
                <w:sz w:val="18"/>
                <w:szCs w:val="18"/>
              </w:rPr>
            </w:pPr>
            <w:r>
              <w:rPr>
                <w:kern w:val="0"/>
                <w:sz w:val="18"/>
                <w:szCs w:val="18"/>
              </w:rPr>
              <w:t>3362.5</w:t>
            </w:r>
          </w:p>
        </w:tc>
        <w:tc>
          <w:tcPr>
            <w:tcW w:w="729" w:type="pct"/>
            <w:tcBorders>
              <w:left w:val="single" w:color="auto" w:sz="2" w:space="0"/>
              <w:right w:val="single" w:color="auto" w:sz="2" w:space="0"/>
            </w:tcBorders>
            <w:noWrap/>
            <w:vAlign w:val="center"/>
          </w:tcPr>
          <w:p w14:paraId="4DFBEE9E">
            <w:pPr>
              <w:widowControl/>
              <w:jc w:val="center"/>
              <w:rPr>
                <w:kern w:val="0"/>
                <w:sz w:val="18"/>
                <w:szCs w:val="18"/>
              </w:rPr>
            </w:pPr>
            <w:r>
              <w:rPr>
                <w:kern w:val="0"/>
                <w:sz w:val="18"/>
                <w:szCs w:val="18"/>
              </w:rPr>
              <w:t>3361.4</w:t>
            </w:r>
          </w:p>
        </w:tc>
        <w:tc>
          <w:tcPr>
            <w:tcW w:w="729" w:type="pct"/>
            <w:tcBorders>
              <w:left w:val="single" w:color="auto" w:sz="2" w:space="0"/>
              <w:right w:val="single" w:color="auto" w:sz="2" w:space="0"/>
            </w:tcBorders>
            <w:noWrap/>
            <w:vAlign w:val="center"/>
          </w:tcPr>
          <w:p w14:paraId="13472206">
            <w:pPr>
              <w:widowControl/>
              <w:jc w:val="center"/>
              <w:rPr>
                <w:kern w:val="0"/>
                <w:sz w:val="18"/>
                <w:szCs w:val="18"/>
              </w:rPr>
            </w:pPr>
            <w:r>
              <w:rPr>
                <w:kern w:val="0"/>
                <w:sz w:val="18"/>
                <w:szCs w:val="18"/>
              </w:rPr>
              <w:t>3355.9</w:t>
            </w:r>
          </w:p>
        </w:tc>
        <w:tc>
          <w:tcPr>
            <w:tcW w:w="729" w:type="pct"/>
            <w:tcBorders>
              <w:left w:val="single" w:color="auto" w:sz="2" w:space="0"/>
              <w:right w:val="single" w:color="auto" w:sz="2" w:space="0"/>
            </w:tcBorders>
            <w:noWrap/>
            <w:vAlign w:val="center"/>
          </w:tcPr>
          <w:p w14:paraId="43B7B22A">
            <w:pPr>
              <w:widowControl/>
              <w:jc w:val="center"/>
              <w:rPr>
                <w:kern w:val="0"/>
                <w:sz w:val="18"/>
                <w:szCs w:val="18"/>
              </w:rPr>
            </w:pPr>
            <w:r>
              <w:rPr>
                <w:kern w:val="0"/>
                <w:sz w:val="18"/>
                <w:szCs w:val="18"/>
              </w:rPr>
              <w:t>3349.3</w:t>
            </w:r>
          </w:p>
        </w:tc>
        <w:tc>
          <w:tcPr>
            <w:tcW w:w="729" w:type="pct"/>
            <w:tcBorders>
              <w:left w:val="single" w:color="auto" w:sz="2" w:space="0"/>
              <w:right w:val="single" w:color="auto" w:sz="2" w:space="0"/>
            </w:tcBorders>
            <w:noWrap/>
            <w:vAlign w:val="center"/>
          </w:tcPr>
          <w:p w14:paraId="6ADFFCFE">
            <w:pPr>
              <w:widowControl/>
              <w:jc w:val="center"/>
              <w:rPr>
                <w:kern w:val="0"/>
                <w:sz w:val="18"/>
                <w:szCs w:val="18"/>
              </w:rPr>
            </w:pPr>
            <w:r>
              <w:rPr>
                <w:kern w:val="0"/>
                <w:sz w:val="18"/>
                <w:szCs w:val="18"/>
              </w:rPr>
              <w:t>3321.9</w:t>
            </w:r>
          </w:p>
        </w:tc>
        <w:tc>
          <w:tcPr>
            <w:tcW w:w="731" w:type="pct"/>
            <w:tcBorders>
              <w:left w:val="single" w:color="auto" w:sz="2" w:space="0"/>
            </w:tcBorders>
            <w:noWrap/>
            <w:vAlign w:val="center"/>
          </w:tcPr>
          <w:p w14:paraId="7D3B9D5D">
            <w:pPr>
              <w:widowControl/>
              <w:jc w:val="center"/>
              <w:rPr>
                <w:kern w:val="0"/>
                <w:sz w:val="18"/>
                <w:szCs w:val="18"/>
              </w:rPr>
            </w:pPr>
            <w:r>
              <w:rPr>
                <w:kern w:val="0"/>
                <w:sz w:val="18"/>
                <w:szCs w:val="18"/>
              </w:rPr>
              <w:t>3293.2</w:t>
            </w:r>
          </w:p>
        </w:tc>
      </w:tr>
      <w:tr w14:paraId="314F80EA">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06915CC0">
            <w:pPr>
              <w:widowControl/>
              <w:jc w:val="center"/>
              <w:rPr>
                <w:kern w:val="0"/>
                <w:sz w:val="18"/>
                <w:szCs w:val="18"/>
              </w:rPr>
            </w:pPr>
            <w:r>
              <w:rPr>
                <w:kern w:val="0"/>
                <w:sz w:val="18"/>
                <w:szCs w:val="18"/>
              </w:rPr>
              <w:t>450</w:t>
            </w:r>
          </w:p>
        </w:tc>
        <w:tc>
          <w:tcPr>
            <w:tcW w:w="729" w:type="pct"/>
            <w:tcBorders>
              <w:left w:val="single" w:color="auto" w:sz="2" w:space="0"/>
              <w:right w:val="single" w:color="auto" w:sz="2" w:space="0"/>
            </w:tcBorders>
            <w:noWrap/>
            <w:vAlign w:val="center"/>
          </w:tcPr>
          <w:p w14:paraId="015AC7DD">
            <w:pPr>
              <w:widowControl/>
              <w:jc w:val="center"/>
              <w:rPr>
                <w:kern w:val="0"/>
                <w:sz w:val="18"/>
                <w:szCs w:val="18"/>
              </w:rPr>
            </w:pPr>
            <w:r>
              <w:rPr>
                <w:kern w:val="0"/>
                <w:sz w:val="18"/>
                <w:szCs w:val="18"/>
              </w:rPr>
              <w:t>3383.3</w:t>
            </w:r>
          </w:p>
        </w:tc>
        <w:tc>
          <w:tcPr>
            <w:tcW w:w="729" w:type="pct"/>
            <w:tcBorders>
              <w:left w:val="single" w:color="auto" w:sz="2" w:space="0"/>
              <w:right w:val="single" w:color="auto" w:sz="2" w:space="0"/>
            </w:tcBorders>
            <w:noWrap/>
            <w:vAlign w:val="center"/>
          </w:tcPr>
          <w:p w14:paraId="2E5BF6F3">
            <w:pPr>
              <w:widowControl/>
              <w:jc w:val="center"/>
              <w:rPr>
                <w:kern w:val="0"/>
                <w:sz w:val="18"/>
                <w:szCs w:val="18"/>
              </w:rPr>
            </w:pPr>
            <w:r>
              <w:rPr>
                <w:kern w:val="0"/>
                <w:sz w:val="18"/>
                <w:szCs w:val="18"/>
              </w:rPr>
              <w:t>3382.2</w:t>
            </w:r>
          </w:p>
        </w:tc>
        <w:tc>
          <w:tcPr>
            <w:tcW w:w="729" w:type="pct"/>
            <w:tcBorders>
              <w:left w:val="single" w:color="auto" w:sz="2" w:space="0"/>
              <w:right w:val="single" w:color="auto" w:sz="2" w:space="0"/>
            </w:tcBorders>
            <w:noWrap/>
            <w:vAlign w:val="center"/>
          </w:tcPr>
          <w:p w14:paraId="289B7C55">
            <w:pPr>
              <w:widowControl/>
              <w:jc w:val="center"/>
              <w:rPr>
                <w:kern w:val="0"/>
                <w:sz w:val="18"/>
                <w:szCs w:val="18"/>
              </w:rPr>
            </w:pPr>
            <w:r>
              <w:rPr>
                <w:kern w:val="0"/>
                <w:sz w:val="18"/>
                <w:szCs w:val="18"/>
              </w:rPr>
              <w:t>3377.1</w:t>
            </w:r>
          </w:p>
        </w:tc>
        <w:tc>
          <w:tcPr>
            <w:tcW w:w="729" w:type="pct"/>
            <w:tcBorders>
              <w:left w:val="single" w:color="auto" w:sz="2" w:space="0"/>
              <w:right w:val="single" w:color="auto" w:sz="2" w:space="0"/>
            </w:tcBorders>
            <w:noWrap/>
            <w:vAlign w:val="center"/>
          </w:tcPr>
          <w:p w14:paraId="21238563">
            <w:pPr>
              <w:widowControl/>
              <w:jc w:val="center"/>
              <w:rPr>
                <w:kern w:val="0"/>
                <w:sz w:val="18"/>
                <w:szCs w:val="18"/>
              </w:rPr>
            </w:pPr>
            <w:r>
              <w:rPr>
                <w:kern w:val="0"/>
                <w:sz w:val="18"/>
                <w:szCs w:val="18"/>
              </w:rPr>
              <w:t>3370.7</w:t>
            </w:r>
          </w:p>
        </w:tc>
        <w:tc>
          <w:tcPr>
            <w:tcW w:w="729" w:type="pct"/>
            <w:tcBorders>
              <w:left w:val="single" w:color="auto" w:sz="2" w:space="0"/>
              <w:right w:val="single" w:color="auto" w:sz="2" w:space="0"/>
            </w:tcBorders>
            <w:noWrap/>
            <w:vAlign w:val="center"/>
          </w:tcPr>
          <w:p w14:paraId="5C291C41">
            <w:pPr>
              <w:widowControl/>
              <w:jc w:val="center"/>
              <w:rPr>
                <w:kern w:val="0"/>
                <w:sz w:val="18"/>
                <w:szCs w:val="18"/>
              </w:rPr>
            </w:pPr>
            <w:r>
              <w:rPr>
                <w:kern w:val="0"/>
                <w:sz w:val="18"/>
                <w:szCs w:val="18"/>
              </w:rPr>
              <w:t>3344.4</w:t>
            </w:r>
          </w:p>
        </w:tc>
        <w:tc>
          <w:tcPr>
            <w:tcW w:w="731" w:type="pct"/>
            <w:tcBorders>
              <w:left w:val="single" w:color="auto" w:sz="2" w:space="0"/>
            </w:tcBorders>
            <w:noWrap/>
            <w:vAlign w:val="center"/>
          </w:tcPr>
          <w:p w14:paraId="3745E96F">
            <w:pPr>
              <w:widowControl/>
              <w:jc w:val="center"/>
              <w:rPr>
                <w:kern w:val="0"/>
                <w:sz w:val="18"/>
                <w:szCs w:val="18"/>
              </w:rPr>
            </w:pPr>
            <w:r>
              <w:rPr>
                <w:kern w:val="0"/>
                <w:sz w:val="18"/>
                <w:szCs w:val="18"/>
              </w:rPr>
              <w:t>3316.8</w:t>
            </w:r>
          </w:p>
        </w:tc>
      </w:tr>
      <w:tr w14:paraId="20A556EC">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213B62F6">
            <w:pPr>
              <w:widowControl/>
              <w:jc w:val="center"/>
              <w:rPr>
                <w:kern w:val="0"/>
                <w:sz w:val="18"/>
                <w:szCs w:val="18"/>
              </w:rPr>
            </w:pPr>
            <w:r>
              <w:rPr>
                <w:kern w:val="0"/>
                <w:sz w:val="18"/>
                <w:szCs w:val="18"/>
              </w:rPr>
              <w:t>460</w:t>
            </w:r>
          </w:p>
        </w:tc>
        <w:tc>
          <w:tcPr>
            <w:tcW w:w="729" w:type="pct"/>
            <w:tcBorders>
              <w:left w:val="single" w:color="auto" w:sz="2" w:space="0"/>
              <w:right w:val="single" w:color="auto" w:sz="2" w:space="0"/>
            </w:tcBorders>
            <w:noWrap/>
            <w:vAlign w:val="center"/>
          </w:tcPr>
          <w:p w14:paraId="0CB07043">
            <w:pPr>
              <w:widowControl/>
              <w:jc w:val="center"/>
              <w:rPr>
                <w:kern w:val="0"/>
                <w:sz w:val="18"/>
                <w:szCs w:val="18"/>
              </w:rPr>
            </w:pPr>
            <w:r>
              <w:rPr>
                <w:kern w:val="0"/>
                <w:sz w:val="18"/>
                <w:szCs w:val="18"/>
              </w:rPr>
              <w:t>3404.4</w:t>
            </w:r>
          </w:p>
        </w:tc>
        <w:tc>
          <w:tcPr>
            <w:tcW w:w="729" w:type="pct"/>
            <w:tcBorders>
              <w:left w:val="single" w:color="auto" w:sz="2" w:space="0"/>
              <w:right w:val="single" w:color="auto" w:sz="2" w:space="0"/>
            </w:tcBorders>
            <w:noWrap/>
            <w:vAlign w:val="center"/>
          </w:tcPr>
          <w:p w14:paraId="55774D17">
            <w:pPr>
              <w:widowControl/>
              <w:jc w:val="center"/>
              <w:rPr>
                <w:kern w:val="0"/>
                <w:sz w:val="18"/>
                <w:szCs w:val="18"/>
              </w:rPr>
            </w:pPr>
            <w:r>
              <w:rPr>
                <w:kern w:val="0"/>
                <w:sz w:val="18"/>
                <w:szCs w:val="18"/>
              </w:rPr>
              <w:t>3403.3</w:t>
            </w:r>
          </w:p>
        </w:tc>
        <w:tc>
          <w:tcPr>
            <w:tcW w:w="729" w:type="pct"/>
            <w:tcBorders>
              <w:left w:val="single" w:color="auto" w:sz="2" w:space="0"/>
              <w:right w:val="single" w:color="auto" w:sz="2" w:space="0"/>
            </w:tcBorders>
            <w:noWrap/>
            <w:vAlign w:val="center"/>
          </w:tcPr>
          <w:p w14:paraId="34FF99B1">
            <w:pPr>
              <w:widowControl/>
              <w:jc w:val="center"/>
              <w:rPr>
                <w:kern w:val="0"/>
                <w:sz w:val="18"/>
                <w:szCs w:val="18"/>
              </w:rPr>
            </w:pPr>
            <w:r>
              <w:rPr>
                <w:kern w:val="0"/>
                <w:sz w:val="18"/>
                <w:szCs w:val="18"/>
              </w:rPr>
              <w:t>3398.3</w:t>
            </w:r>
          </w:p>
        </w:tc>
        <w:tc>
          <w:tcPr>
            <w:tcW w:w="729" w:type="pct"/>
            <w:tcBorders>
              <w:left w:val="single" w:color="auto" w:sz="2" w:space="0"/>
              <w:right w:val="single" w:color="auto" w:sz="2" w:space="0"/>
            </w:tcBorders>
            <w:noWrap/>
            <w:vAlign w:val="center"/>
          </w:tcPr>
          <w:p w14:paraId="1BAD55A1">
            <w:pPr>
              <w:widowControl/>
              <w:jc w:val="center"/>
              <w:rPr>
                <w:kern w:val="0"/>
                <w:sz w:val="18"/>
                <w:szCs w:val="18"/>
              </w:rPr>
            </w:pPr>
            <w:r>
              <w:rPr>
                <w:kern w:val="0"/>
                <w:sz w:val="18"/>
                <w:szCs w:val="18"/>
              </w:rPr>
              <w:t>3392.1</w:t>
            </w:r>
          </w:p>
        </w:tc>
        <w:tc>
          <w:tcPr>
            <w:tcW w:w="729" w:type="pct"/>
            <w:tcBorders>
              <w:left w:val="single" w:color="auto" w:sz="2" w:space="0"/>
              <w:right w:val="single" w:color="auto" w:sz="2" w:space="0"/>
            </w:tcBorders>
            <w:noWrap/>
            <w:vAlign w:val="center"/>
          </w:tcPr>
          <w:p w14:paraId="648F1E45">
            <w:pPr>
              <w:widowControl/>
              <w:jc w:val="center"/>
              <w:rPr>
                <w:kern w:val="0"/>
                <w:sz w:val="18"/>
                <w:szCs w:val="18"/>
              </w:rPr>
            </w:pPr>
            <w:r>
              <w:rPr>
                <w:kern w:val="0"/>
                <w:sz w:val="18"/>
                <w:szCs w:val="18"/>
              </w:rPr>
              <w:t>3366.8</w:t>
            </w:r>
          </w:p>
        </w:tc>
        <w:tc>
          <w:tcPr>
            <w:tcW w:w="731" w:type="pct"/>
            <w:tcBorders>
              <w:left w:val="single" w:color="auto" w:sz="2" w:space="0"/>
            </w:tcBorders>
            <w:noWrap/>
            <w:vAlign w:val="center"/>
          </w:tcPr>
          <w:p w14:paraId="15BC8473">
            <w:pPr>
              <w:widowControl/>
              <w:jc w:val="center"/>
              <w:rPr>
                <w:kern w:val="0"/>
                <w:sz w:val="18"/>
                <w:szCs w:val="18"/>
              </w:rPr>
            </w:pPr>
            <w:r>
              <w:rPr>
                <w:kern w:val="0"/>
                <w:sz w:val="18"/>
                <w:szCs w:val="18"/>
              </w:rPr>
              <w:t>3340.4</w:t>
            </w:r>
          </w:p>
        </w:tc>
      </w:tr>
      <w:tr w14:paraId="1CA0F9F9">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465447F7">
            <w:pPr>
              <w:widowControl/>
              <w:jc w:val="center"/>
              <w:rPr>
                <w:kern w:val="0"/>
                <w:sz w:val="18"/>
                <w:szCs w:val="18"/>
              </w:rPr>
            </w:pPr>
            <w:r>
              <w:rPr>
                <w:kern w:val="0"/>
                <w:sz w:val="18"/>
                <w:szCs w:val="18"/>
              </w:rPr>
              <w:t>480</w:t>
            </w:r>
          </w:p>
        </w:tc>
        <w:tc>
          <w:tcPr>
            <w:tcW w:w="729" w:type="pct"/>
            <w:tcBorders>
              <w:left w:val="single" w:color="auto" w:sz="2" w:space="0"/>
              <w:right w:val="single" w:color="auto" w:sz="2" w:space="0"/>
            </w:tcBorders>
            <w:noWrap/>
            <w:vAlign w:val="center"/>
          </w:tcPr>
          <w:p w14:paraId="76D0778E">
            <w:pPr>
              <w:widowControl/>
              <w:jc w:val="center"/>
              <w:rPr>
                <w:kern w:val="0"/>
                <w:sz w:val="18"/>
                <w:szCs w:val="18"/>
              </w:rPr>
            </w:pPr>
            <w:r>
              <w:rPr>
                <w:kern w:val="0"/>
                <w:sz w:val="18"/>
                <w:szCs w:val="18"/>
              </w:rPr>
              <w:t>3446.7</w:t>
            </w:r>
          </w:p>
        </w:tc>
        <w:tc>
          <w:tcPr>
            <w:tcW w:w="729" w:type="pct"/>
            <w:tcBorders>
              <w:left w:val="single" w:color="auto" w:sz="2" w:space="0"/>
              <w:right w:val="single" w:color="auto" w:sz="2" w:space="0"/>
            </w:tcBorders>
            <w:noWrap/>
            <w:vAlign w:val="center"/>
          </w:tcPr>
          <w:p w14:paraId="53227609">
            <w:pPr>
              <w:widowControl/>
              <w:jc w:val="center"/>
              <w:rPr>
                <w:kern w:val="0"/>
                <w:sz w:val="18"/>
                <w:szCs w:val="18"/>
              </w:rPr>
            </w:pPr>
            <w:r>
              <w:rPr>
                <w:kern w:val="0"/>
                <w:sz w:val="18"/>
                <w:szCs w:val="18"/>
              </w:rPr>
              <w:t>3445.6</w:t>
            </w:r>
          </w:p>
        </w:tc>
        <w:tc>
          <w:tcPr>
            <w:tcW w:w="729" w:type="pct"/>
            <w:tcBorders>
              <w:left w:val="single" w:color="auto" w:sz="2" w:space="0"/>
              <w:right w:val="single" w:color="auto" w:sz="2" w:space="0"/>
            </w:tcBorders>
            <w:noWrap/>
            <w:vAlign w:val="center"/>
          </w:tcPr>
          <w:p w14:paraId="0615E6C6">
            <w:pPr>
              <w:widowControl/>
              <w:jc w:val="center"/>
              <w:rPr>
                <w:kern w:val="0"/>
                <w:sz w:val="18"/>
                <w:szCs w:val="18"/>
              </w:rPr>
            </w:pPr>
            <w:r>
              <w:rPr>
                <w:kern w:val="0"/>
                <w:sz w:val="18"/>
                <w:szCs w:val="18"/>
              </w:rPr>
              <w:t>3440.9</w:t>
            </w:r>
          </w:p>
        </w:tc>
        <w:tc>
          <w:tcPr>
            <w:tcW w:w="729" w:type="pct"/>
            <w:tcBorders>
              <w:left w:val="single" w:color="auto" w:sz="2" w:space="0"/>
              <w:right w:val="single" w:color="auto" w:sz="2" w:space="0"/>
            </w:tcBorders>
            <w:noWrap/>
            <w:vAlign w:val="center"/>
          </w:tcPr>
          <w:p w14:paraId="54C8E9A6">
            <w:pPr>
              <w:widowControl/>
              <w:jc w:val="center"/>
              <w:rPr>
                <w:kern w:val="0"/>
                <w:sz w:val="18"/>
                <w:szCs w:val="18"/>
              </w:rPr>
            </w:pPr>
            <w:r>
              <w:rPr>
                <w:kern w:val="0"/>
                <w:sz w:val="18"/>
                <w:szCs w:val="18"/>
              </w:rPr>
              <w:t>3435.1</w:t>
            </w:r>
          </w:p>
        </w:tc>
        <w:tc>
          <w:tcPr>
            <w:tcW w:w="729" w:type="pct"/>
            <w:tcBorders>
              <w:left w:val="single" w:color="auto" w:sz="2" w:space="0"/>
              <w:right w:val="single" w:color="auto" w:sz="2" w:space="0"/>
            </w:tcBorders>
            <w:noWrap/>
            <w:vAlign w:val="center"/>
          </w:tcPr>
          <w:p w14:paraId="4DD9F368">
            <w:pPr>
              <w:widowControl/>
              <w:jc w:val="center"/>
              <w:rPr>
                <w:kern w:val="0"/>
                <w:sz w:val="18"/>
                <w:szCs w:val="18"/>
              </w:rPr>
            </w:pPr>
            <w:r>
              <w:rPr>
                <w:kern w:val="0"/>
                <w:sz w:val="18"/>
                <w:szCs w:val="18"/>
              </w:rPr>
              <w:t>3411.6</w:t>
            </w:r>
          </w:p>
        </w:tc>
        <w:tc>
          <w:tcPr>
            <w:tcW w:w="731" w:type="pct"/>
            <w:tcBorders>
              <w:left w:val="single" w:color="auto" w:sz="2" w:space="0"/>
            </w:tcBorders>
            <w:noWrap/>
            <w:vAlign w:val="center"/>
          </w:tcPr>
          <w:p w14:paraId="3108000D">
            <w:pPr>
              <w:widowControl/>
              <w:jc w:val="center"/>
              <w:rPr>
                <w:kern w:val="0"/>
                <w:sz w:val="18"/>
                <w:szCs w:val="18"/>
              </w:rPr>
            </w:pPr>
            <w:r>
              <w:rPr>
                <w:kern w:val="0"/>
                <w:sz w:val="18"/>
                <w:szCs w:val="18"/>
              </w:rPr>
              <w:t>3387.2</w:t>
            </w:r>
          </w:p>
        </w:tc>
      </w:tr>
      <w:tr w14:paraId="7F3240D5">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07FB865D">
            <w:pPr>
              <w:widowControl/>
              <w:jc w:val="center"/>
              <w:rPr>
                <w:kern w:val="0"/>
                <w:sz w:val="18"/>
                <w:szCs w:val="18"/>
              </w:rPr>
            </w:pPr>
            <w:r>
              <w:rPr>
                <w:kern w:val="0"/>
                <w:sz w:val="18"/>
                <w:szCs w:val="18"/>
              </w:rPr>
              <w:t>500</w:t>
            </w:r>
          </w:p>
        </w:tc>
        <w:tc>
          <w:tcPr>
            <w:tcW w:w="729" w:type="pct"/>
            <w:tcBorders>
              <w:left w:val="single" w:color="auto" w:sz="2" w:space="0"/>
              <w:right w:val="single" w:color="auto" w:sz="2" w:space="0"/>
            </w:tcBorders>
            <w:noWrap/>
            <w:vAlign w:val="center"/>
          </w:tcPr>
          <w:p w14:paraId="34FE1E79">
            <w:pPr>
              <w:widowControl/>
              <w:jc w:val="center"/>
              <w:rPr>
                <w:kern w:val="0"/>
                <w:sz w:val="18"/>
                <w:szCs w:val="18"/>
              </w:rPr>
            </w:pPr>
            <w:r>
              <w:rPr>
                <w:kern w:val="0"/>
                <w:sz w:val="18"/>
                <w:szCs w:val="18"/>
              </w:rPr>
              <w:t>3488.9</w:t>
            </w:r>
          </w:p>
        </w:tc>
        <w:tc>
          <w:tcPr>
            <w:tcW w:w="729" w:type="pct"/>
            <w:tcBorders>
              <w:left w:val="single" w:color="auto" w:sz="2" w:space="0"/>
              <w:right w:val="single" w:color="auto" w:sz="2" w:space="0"/>
            </w:tcBorders>
            <w:noWrap/>
            <w:vAlign w:val="center"/>
          </w:tcPr>
          <w:p w14:paraId="35F88CFF">
            <w:pPr>
              <w:widowControl/>
              <w:jc w:val="center"/>
              <w:rPr>
                <w:kern w:val="0"/>
                <w:sz w:val="18"/>
                <w:szCs w:val="18"/>
              </w:rPr>
            </w:pPr>
            <w:r>
              <w:rPr>
                <w:kern w:val="0"/>
                <w:sz w:val="18"/>
                <w:szCs w:val="18"/>
              </w:rPr>
              <w:t>3487.9</w:t>
            </w:r>
          </w:p>
        </w:tc>
        <w:tc>
          <w:tcPr>
            <w:tcW w:w="729" w:type="pct"/>
            <w:tcBorders>
              <w:left w:val="single" w:color="auto" w:sz="2" w:space="0"/>
              <w:right w:val="single" w:color="auto" w:sz="2" w:space="0"/>
            </w:tcBorders>
            <w:noWrap/>
            <w:vAlign w:val="center"/>
          </w:tcPr>
          <w:p w14:paraId="68A54F8D">
            <w:pPr>
              <w:widowControl/>
              <w:jc w:val="center"/>
              <w:rPr>
                <w:kern w:val="0"/>
                <w:sz w:val="18"/>
                <w:szCs w:val="18"/>
              </w:rPr>
            </w:pPr>
            <w:r>
              <w:rPr>
                <w:kern w:val="0"/>
                <w:sz w:val="18"/>
                <w:szCs w:val="18"/>
              </w:rPr>
              <w:t>3483.7</w:t>
            </w:r>
          </w:p>
        </w:tc>
        <w:tc>
          <w:tcPr>
            <w:tcW w:w="729" w:type="pct"/>
            <w:tcBorders>
              <w:left w:val="single" w:color="auto" w:sz="2" w:space="0"/>
              <w:right w:val="single" w:color="auto" w:sz="2" w:space="0"/>
            </w:tcBorders>
            <w:noWrap/>
            <w:vAlign w:val="center"/>
          </w:tcPr>
          <w:p w14:paraId="59F73EAA">
            <w:pPr>
              <w:widowControl/>
              <w:jc w:val="center"/>
              <w:rPr>
                <w:kern w:val="0"/>
                <w:sz w:val="18"/>
                <w:szCs w:val="18"/>
              </w:rPr>
            </w:pPr>
            <w:r>
              <w:rPr>
                <w:kern w:val="0"/>
                <w:sz w:val="18"/>
                <w:szCs w:val="18"/>
              </w:rPr>
              <w:t>3478.3</w:t>
            </w:r>
          </w:p>
        </w:tc>
        <w:tc>
          <w:tcPr>
            <w:tcW w:w="729" w:type="pct"/>
            <w:tcBorders>
              <w:left w:val="single" w:color="auto" w:sz="2" w:space="0"/>
              <w:right w:val="single" w:color="auto" w:sz="2" w:space="0"/>
            </w:tcBorders>
            <w:noWrap/>
            <w:vAlign w:val="center"/>
          </w:tcPr>
          <w:p w14:paraId="0E13D1DA">
            <w:pPr>
              <w:widowControl/>
              <w:jc w:val="center"/>
              <w:rPr>
                <w:kern w:val="0"/>
                <w:sz w:val="18"/>
                <w:szCs w:val="18"/>
              </w:rPr>
            </w:pPr>
            <w:r>
              <w:rPr>
                <w:kern w:val="0"/>
                <w:sz w:val="18"/>
                <w:szCs w:val="18"/>
              </w:rPr>
              <w:t>3456.4</w:t>
            </w:r>
          </w:p>
        </w:tc>
        <w:tc>
          <w:tcPr>
            <w:tcW w:w="731" w:type="pct"/>
            <w:tcBorders>
              <w:left w:val="single" w:color="auto" w:sz="2" w:space="0"/>
            </w:tcBorders>
            <w:noWrap/>
            <w:vAlign w:val="center"/>
          </w:tcPr>
          <w:p w14:paraId="0D41AB45">
            <w:pPr>
              <w:widowControl/>
              <w:jc w:val="center"/>
              <w:rPr>
                <w:kern w:val="0"/>
                <w:sz w:val="18"/>
                <w:szCs w:val="18"/>
              </w:rPr>
            </w:pPr>
            <w:r>
              <w:rPr>
                <w:kern w:val="0"/>
                <w:sz w:val="18"/>
                <w:szCs w:val="18"/>
              </w:rPr>
              <w:t>3433.8</w:t>
            </w:r>
          </w:p>
        </w:tc>
      </w:tr>
      <w:tr w14:paraId="722A99D5">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7DC3C70D">
            <w:pPr>
              <w:widowControl/>
              <w:jc w:val="center"/>
              <w:rPr>
                <w:kern w:val="0"/>
                <w:sz w:val="18"/>
                <w:szCs w:val="18"/>
              </w:rPr>
            </w:pPr>
            <w:r>
              <w:rPr>
                <w:kern w:val="0"/>
                <w:sz w:val="18"/>
                <w:szCs w:val="18"/>
              </w:rPr>
              <w:t>520</w:t>
            </w:r>
          </w:p>
        </w:tc>
        <w:tc>
          <w:tcPr>
            <w:tcW w:w="729" w:type="pct"/>
            <w:tcBorders>
              <w:left w:val="single" w:color="auto" w:sz="2" w:space="0"/>
              <w:right w:val="single" w:color="auto" w:sz="2" w:space="0"/>
            </w:tcBorders>
            <w:noWrap/>
            <w:vAlign w:val="center"/>
          </w:tcPr>
          <w:p w14:paraId="097E9BDD">
            <w:pPr>
              <w:widowControl/>
              <w:jc w:val="center"/>
              <w:rPr>
                <w:kern w:val="0"/>
                <w:sz w:val="18"/>
                <w:szCs w:val="18"/>
              </w:rPr>
            </w:pPr>
            <w:r>
              <w:rPr>
                <w:kern w:val="0"/>
                <w:sz w:val="18"/>
                <w:szCs w:val="18"/>
              </w:rPr>
              <w:t>3531.8</w:t>
            </w:r>
          </w:p>
        </w:tc>
        <w:tc>
          <w:tcPr>
            <w:tcW w:w="729" w:type="pct"/>
            <w:tcBorders>
              <w:left w:val="single" w:color="auto" w:sz="2" w:space="0"/>
              <w:right w:val="single" w:color="auto" w:sz="2" w:space="0"/>
            </w:tcBorders>
            <w:noWrap/>
            <w:vAlign w:val="center"/>
          </w:tcPr>
          <w:p w14:paraId="7C108BCE">
            <w:pPr>
              <w:widowControl/>
              <w:jc w:val="center"/>
              <w:rPr>
                <w:kern w:val="0"/>
                <w:sz w:val="18"/>
                <w:szCs w:val="18"/>
              </w:rPr>
            </w:pPr>
            <w:r>
              <w:rPr>
                <w:kern w:val="0"/>
                <w:sz w:val="18"/>
                <w:szCs w:val="18"/>
              </w:rPr>
              <w:t>3530.9</w:t>
            </w:r>
          </w:p>
        </w:tc>
        <w:tc>
          <w:tcPr>
            <w:tcW w:w="729" w:type="pct"/>
            <w:tcBorders>
              <w:left w:val="single" w:color="auto" w:sz="2" w:space="0"/>
              <w:right w:val="single" w:color="auto" w:sz="2" w:space="0"/>
            </w:tcBorders>
            <w:noWrap/>
            <w:vAlign w:val="center"/>
          </w:tcPr>
          <w:p w14:paraId="78E8700D">
            <w:pPr>
              <w:widowControl/>
              <w:jc w:val="center"/>
              <w:rPr>
                <w:kern w:val="0"/>
                <w:sz w:val="18"/>
                <w:szCs w:val="18"/>
              </w:rPr>
            </w:pPr>
            <w:r>
              <w:rPr>
                <w:kern w:val="0"/>
                <w:sz w:val="18"/>
                <w:szCs w:val="18"/>
              </w:rPr>
              <w:t>3526.9</w:t>
            </w:r>
          </w:p>
        </w:tc>
        <w:tc>
          <w:tcPr>
            <w:tcW w:w="729" w:type="pct"/>
            <w:tcBorders>
              <w:left w:val="single" w:color="auto" w:sz="2" w:space="0"/>
              <w:right w:val="single" w:color="auto" w:sz="2" w:space="0"/>
            </w:tcBorders>
            <w:noWrap/>
            <w:vAlign w:val="center"/>
          </w:tcPr>
          <w:p w14:paraId="6F7134E7">
            <w:pPr>
              <w:widowControl/>
              <w:jc w:val="center"/>
              <w:rPr>
                <w:kern w:val="0"/>
                <w:sz w:val="18"/>
                <w:szCs w:val="18"/>
              </w:rPr>
            </w:pPr>
            <w:r>
              <w:rPr>
                <w:kern w:val="0"/>
                <w:sz w:val="18"/>
                <w:szCs w:val="18"/>
              </w:rPr>
              <w:t>3521.9</w:t>
            </w:r>
          </w:p>
        </w:tc>
        <w:tc>
          <w:tcPr>
            <w:tcW w:w="729" w:type="pct"/>
            <w:tcBorders>
              <w:left w:val="single" w:color="auto" w:sz="2" w:space="0"/>
              <w:right w:val="single" w:color="auto" w:sz="2" w:space="0"/>
            </w:tcBorders>
            <w:noWrap/>
            <w:vAlign w:val="center"/>
          </w:tcPr>
          <w:p w14:paraId="2F1067EC">
            <w:pPr>
              <w:widowControl/>
              <w:jc w:val="center"/>
              <w:rPr>
                <w:kern w:val="0"/>
                <w:sz w:val="18"/>
                <w:szCs w:val="18"/>
              </w:rPr>
            </w:pPr>
            <w:r>
              <w:rPr>
                <w:kern w:val="0"/>
                <w:sz w:val="18"/>
                <w:szCs w:val="18"/>
              </w:rPr>
              <w:t>3501.3</w:t>
            </w:r>
          </w:p>
        </w:tc>
        <w:tc>
          <w:tcPr>
            <w:tcW w:w="731" w:type="pct"/>
            <w:tcBorders>
              <w:left w:val="single" w:color="auto" w:sz="2" w:space="0"/>
            </w:tcBorders>
            <w:noWrap/>
            <w:vAlign w:val="center"/>
          </w:tcPr>
          <w:p w14:paraId="3E08BEE8">
            <w:pPr>
              <w:widowControl/>
              <w:jc w:val="center"/>
              <w:rPr>
                <w:kern w:val="0"/>
                <w:sz w:val="18"/>
                <w:szCs w:val="18"/>
              </w:rPr>
            </w:pPr>
            <w:r>
              <w:rPr>
                <w:kern w:val="0"/>
                <w:sz w:val="18"/>
                <w:szCs w:val="18"/>
              </w:rPr>
              <w:t>3480.1</w:t>
            </w:r>
          </w:p>
        </w:tc>
      </w:tr>
      <w:tr w14:paraId="152C7221">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2D91B134">
            <w:pPr>
              <w:widowControl/>
              <w:jc w:val="center"/>
              <w:rPr>
                <w:kern w:val="0"/>
                <w:sz w:val="18"/>
                <w:szCs w:val="18"/>
              </w:rPr>
            </w:pPr>
            <w:r>
              <w:rPr>
                <w:kern w:val="0"/>
                <w:sz w:val="18"/>
                <w:szCs w:val="18"/>
              </w:rPr>
              <w:t>540</w:t>
            </w:r>
          </w:p>
        </w:tc>
        <w:tc>
          <w:tcPr>
            <w:tcW w:w="729" w:type="pct"/>
            <w:tcBorders>
              <w:left w:val="single" w:color="auto" w:sz="2" w:space="0"/>
              <w:right w:val="single" w:color="auto" w:sz="2" w:space="0"/>
            </w:tcBorders>
            <w:noWrap/>
            <w:vAlign w:val="center"/>
          </w:tcPr>
          <w:p w14:paraId="074C89C5">
            <w:pPr>
              <w:widowControl/>
              <w:jc w:val="center"/>
              <w:rPr>
                <w:kern w:val="0"/>
                <w:sz w:val="18"/>
                <w:szCs w:val="18"/>
              </w:rPr>
            </w:pPr>
            <w:r>
              <w:rPr>
                <w:kern w:val="0"/>
                <w:sz w:val="18"/>
                <w:szCs w:val="18"/>
              </w:rPr>
              <w:t>3574.7</w:t>
            </w:r>
          </w:p>
        </w:tc>
        <w:tc>
          <w:tcPr>
            <w:tcW w:w="729" w:type="pct"/>
            <w:tcBorders>
              <w:left w:val="single" w:color="auto" w:sz="2" w:space="0"/>
              <w:right w:val="single" w:color="auto" w:sz="2" w:space="0"/>
            </w:tcBorders>
            <w:noWrap/>
            <w:vAlign w:val="center"/>
          </w:tcPr>
          <w:p w14:paraId="29B548AC">
            <w:pPr>
              <w:widowControl/>
              <w:jc w:val="center"/>
              <w:rPr>
                <w:kern w:val="0"/>
                <w:sz w:val="18"/>
                <w:szCs w:val="18"/>
              </w:rPr>
            </w:pPr>
            <w:r>
              <w:rPr>
                <w:kern w:val="0"/>
                <w:sz w:val="18"/>
                <w:szCs w:val="18"/>
              </w:rPr>
              <w:t>3573.9</w:t>
            </w:r>
          </w:p>
        </w:tc>
        <w:tc>
          <w:tcPr>
            <w:tcW w:w="729" w:type="pct"/>
            <w:tcBorders>
              <w:left w:val="single" w:color="auto" w:sz="2" w:space="0"/>
              <w:right w:val="single" w:color="auto" w:sz="2" w:space="0"/>
            </w:tcBorders>
            <w:noWrap/>
            <w:vAlign w:val="center"/>
          </w:tcPr>
          <w:p w14:paraId="49C18C5E">
            <w:pPr>
              <w:widowControl/>
              <w:jc w:val="center"/>
              <w:rPr>
                <w:kern w:val="0"/>
                <w:sz w:val="18"/>
                <w:szCs w:val="18"/>
              </w:rPr>
            </w:pPr>
            <w:r>
              <w:rPr>
                <w:kern w:val="0"/>
                <w:sz w:val="18"/>
                <w:szCs w:val="18"/>
              </w:rPr>
              <w:t>3570.1</w:t>
            </w:r>
          </w:p>
        </w:tc>
        <w:tc>
          <w:tcPr>
            <w:tcW w:w="729" w:type="pct"/>
            <w:tcBorders>
              <w:left w:val="single" w:color="auto" w:sz="2" w:space="0"/>
              <w:right w:val="single" w:color="auto" w:sz="2" w:space="0"/>
            </w:tcBorders>
            <w:noWrap/>
            <w:vAlign w:val="center"/>
          </w:tcPr>
          <w:p w14:paraId="53DDC4D3">
            <w:pPr>
              <w:widowControl/>
              <w:jc w:val="center"/>
              <w:rPr>
                <w:kern w:val="0"/>
                <w:sz w:val="18"/>
                <w:szCs w:val="18"/>
              </w:rPr>
            </w:pPr>
            <w:r>
              <w:rPr>
                <w:kern w:val="0"/>
                <w:sz w:val="18"/>
                <w:szCs w:val="18"/>
              </w:rPr>
              <w:t>3565.4</w:t>
            </w:r>
          </w:p>
        </w:tc>
        <w:tc>
          <w:tcPr>
            <w:tcW w:w="729" w:type="pct"/>
            <w:tcBorders>
              <w:left w:val="single" w:color="auto" w:sz="2" w:space="0"/>
              <w:right w:val="single" w:color="auto" w:sz="2" w:space="0"/>
            </w:tcBorders>
            <w:noWrap/>
            <w:vAlign w:val="center"/>
          </w:tcPr>
          <w:p w14:paraId="32B6F29A">
            <w:pPr>
              <w:widowControl/>
              <w:jc w:val="center"/>
              <w:rPr>
                <w:kern w:val="0"/>
                <w:sz w:val="18"/>
                <w:szCs w:val="18"/>
              </w:rPr>
            </w:pPr>
            <w:r>
              <w:rPr>
                <w:kern w:val="0"/>
                <w:sz w:val="18"/>
                <w:szCs w:val="18"/>
              </w:rPr>
              <w:t>3546.2</w:t>
            </w:r>
          </w:p>
        </w:tc>
        <w:tc>
          <w:tcPr>
            <w:tcW w:w="731" w:type="pct"/>
            <w:tcBorders>
              <w:left w:val="single" w:color="auto" w:sz="2" w:space="0"/>
            </w:tcBorders>
            <w:noWrap/>
            <w:vAlign w:val="center"/>
          </w:tcPr>
          <w:p w14:paraId="2C187E0A">
            <w:pPr>
              <w:widowControl/>
              <w:jc w:val="center"/>
              <w:rPr>
                <w:kern w:val="0"/>
                <w:sz w:val="18"/>
                <w:szCs w:val="18"/>
              </w:rPr>
            </w:pPr>
            <w:r>
              <w:rPr>
                <w:kern w:val="0"/>
                <w:sz w:val="18"/>
                <w:szCs w:val="18"/>
              </w:rPr>
              <w:t>3526.4</w:t>
            </w:r>
          </w:p>
        </w:tc>
      </w:tr>
      <w:tr w14:paraId="000B3922">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3C0D7C79">
            <w:pPr>
              <w:widowControl/>
              <w:jc w:val="center"/>
              <w:rPr>
                <w:kern w:val="0"/>
                <w:sz w:val="18"/>
                <w:szCs w:val="18"/>
              </w:rPr>
            </w:pPr>
            <w:r>
              <w:rPr>
                <w:kern w:val="0"/>
                <w:sz w:val="18"/>
                <w:szCs w:val="18"/>
              </w:rPr>
              <w:t>550</w:t>
            </w:r>
          </w:p>
        </w:tc>
        <w:tc>
          <w:tcPr>
            <w:tcW w:w="729" w:type="pct"/>
            <w:tcBorders>
              <w:left w:val="single" w:color="auto" w:sz="2" w:space="0"/>
              <w:right w:val="single" w:color="auto" w:sz="2" w:space="0"/>
            </w:tcBorders>
            <w:noWrap/>
            <w:vAlign w:val="center"/>
          </w:tcPr>
          <w:p w14:paraId="7A3F8C7E">
            <w:pPr>
              <w:widowControl/>
              <w:jc w:val="center"/>
              <w:rPr>
                <w:kern w:val="0"/>
                <w:sz w:val="18"/>
                <w:szCs w:val="18"/>
              </w:rPr>
            </w:pPr>
            <w:r>
              <w:rPr>
                <w:kern w:val="0"/>
                <w:sz w:val="18"/>
                <w:szCs w:val="18"/>
              </w:rPr>
              <w:t>3593.2</w:t>
            </w:r>
          </w:p>
        </w:tc>
        <w:tc>
          <w:tcPr>
            <w:tcW w:w="729" w:type="pct"/>
            <w:tcBorders>
              <w:left w:val="single" w:color="auto" w:sz="2" w:space="0"/>
              <w:right w:val="single" w:color="auto" w:sz="2" w:space="0"/>
            </w:tcBorders>
            <w:noWrap/>
            <w:vAlign w:val="center"/>
          </w:tcPr>
          <w:p w14:paraId="7C2BCA98">
            <w:pPr>
              <w:widowControl/>
              <w:jc w:val="center"/>
              <w:rPr>
                <w:kern w:val="0"/>
                <w:sz w:val="18"/>
                <w:szCs w:val="18"/>
              </w:rPr>
            </w:pPr>
            <w:r>
              <w:rPr>
                <w:kern w:val="0"/>
                <w:sz w:val="18"/>
                <w:szCs w:val="18"/>
              </w:rPr>
              <w:t>3595.4</w:t>
            </w:r>
          </w:p>
        </w:tc>
        <w:tc>
          <w:tcPr>
            <w:tcW w:w="729" w:type="pct"/>
            <w:tcBorders>
              <w:left w:val="single" w:color="auto" w:sz="2" w:space="0"/>
              <w:right w:val="single" w:color="auto" w:sz="2" w:space="0"/>
            </w:tcBorders>
            <w:noWrap/>
            <w:vAlign w:val="center"/>
          </w:tcPr>
          <w:p w14:paraId="78B5F00B">
            <w:pPr>
              <w:widowControl/>
              <w:jc w:val="center"/>
              <w:rPr>
                <w:kern w:val="0"/>
                <w:sz w:val="18"/>
                <w:szCs w:val="18"/>
              </w:rPr>
            </w:pPr>
            <w:r>
              <w:rPr>
                <w:kern w:val="0"/>
                <w:sz w:val="18"/>
                <w:szCs w:val="18"/>
              </w:rPr>
              <w:t>3591.7</w:t>
            </w:r>
          </w:p>
        </w:tc>
        <w:tc>
          <w:tcPr>
            <w:tcW w:w="729" w:type="pct"/>
            <w:tcBorders>
              <w:left w:val="single" w:color="auto" w:sz="2" w:space="0"/>
              <w:right w:val="single" w:color="auto" w:sz="2" w:space="0"/>
            </w:tcBorders>
            <w:noWrap/>
            <w:vAlign w:val="center"/>
          </w:tcPr>
          <w:p w14:paraId="1D392D09">
            <w:pPr>
              <w:widowControl/>
              <w:jc w:val="center"/>
              <w:rPr>
                <w:kern w:val="0"/>
                <w:sz w:val="18"/>
                <w:szCs w:val="18"/>
              </w:rPr>
            </w:pPr>
            <w:r>
              <w:rPr>
                <w:kern w:val="0"/>
                <w:sz w:val="18"/>
                <w:szCs w:val="18"/>
              </w:rPr>
              <w:t>3587.2</w:t>
            </w:r>
          </w:p>
        </w:tc>
        <w:tc>
          <w:tcPr>
            <w:tcW w:w="729" w:type="pct"/>
            <w:tcBorders>
              <w:left w:val="single" w:color="auto" w:sz="2" w:space="0"/>
              <w:right w:val="single" w:color="auto" w:sz="2" w:space="0"/>
            </w:tcBorders>
            <w:noWrap/>
            <w:vAlign w:val="center"/>
          </w:tcPr>
          <w:p w14:paraId="4A2BAF76">
            <w:pPr>
              <w:widowControl/>
              <w:jc w:val="center"/>
              <w:rPr>
                <w:kern w:val="0"/>
                <w:sz w:val="18"/>
                <w:szCs w:val="18"/>
              </w:rPr>
            </w:pPr>
            <w:r>
              <w:rPr>
                <w:kern w:val="0"/>
                <w:sz w:val="18"/>
                <w:szCs w:val="18"/>
              </w:rPr>
              <w:t>3568.6</w:t>
            </w:r>
          </w:p>
        </w:tc>
        <w:tc>
          <w:tcPr>
            <w:tcW w:w="731" w:type="pct"/>
            <w:tcBorders>
              <w:left w:val="single" w:color="auto" w:sz="2" w:space="0"/>
            </w:tcBorders>
            <w:noWrap/>
            <w:vAlign w:val="center"/>
          </w:tcPr>
          <w:p w14:paraId="037A1A68">
            <w:pPr>
              <w:widowControl/>
              <w:jc w:val="center"/>
              <w:rPr>
                <w:kern w:val="0"/>
                <w:sz w:val="18"/>
                <w:szCs w:val="18"/>
              </w:rPr>
            </w:pPr>
            <w:r>
              <w:rPr>
                <w:kern w:val="0"/>
                <w:sz w:val="18"/>
                <w:szCs w:val="18"/>
              </w:rPr>
              <w:t>3549.6</w:t>
            </w:r>
          </w:p>
        </w:tc>
      </w:tr>
      <w:tr w14:paraId="1AEC1AE0">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06298F5B">
            <w:pPr>
              <w:widowControl/>
              <w:jc w:val="center"/>
              <w:rPr>
                <w:kern w:val="0"/>
                <w:sz w:val="18"/>
                <w:szCs w:val="18"/>
              </w:rPr>
            </w:pPr>
            <w:r>
              <w:rPr>
                <w:kern w:val="0"/>
                <w:sz w:val="18"/>
                <w:szCs w:val="18"/>
              </w:rPr>
              <w:t>560</w:t>
            </w:r>
          </w:p>
        </w:tc>
        <w:tc>
          <w:tcPr>
            <w:tcW w:w="729" w:type="pct"/>
            <w:tcBorders>
              <w:left w:val="single" w:color="auto" w:sz="2" w:space="0"/>
              <w:right w:val="single" w:color="auto" w:sz="2" w:space="0"/>
            </w:tcBorders>
            <w:noWrap/>
            <w:vAlign w:val="center"/>
          </w:tcPr>
          <w:p w14:paraId="0ABE2738">
            <w:pPr>
              <w:widowControl/>
              <w:jc w:val="center"/>
              <w:rPr>
                <w:kern w:val="0"/>
                <w:sz w:val="18"/>
                <w:szCs w:val="18"/>
              </w:rPr>
            </w:pPr>
            <w:r>
              <w:rPr>
                <w:kern w:val="0"/>
                <w:sz w:val="18"/>
                <w:szCs w:val="18"/>
              </w:rPr>
              <w:t>3618.0</w:t>
            </w:r>
          </w:p>
        </w:tc>
        <w:tc>
          <w:tcPr>
            <w:tcW w:w="729" w:type="pct"/>
            <w:tcBorders>
              <w:left w:val="single" w:color="auto" w:sz="2" w:space="0"/>
              <w:right w:val="single" w:color="auto" w:sz="2" w:space="0"/>
            </w:tcBorders>
            <w:noWrap/>
            <w:vAlign w:val="center"/>
          </w:tcPr>
          <w:p w14:paraId="669179CD">
            <w:pPr>
              <w:widowControl/>
              <w:jc w:val="center"/>
              <w:rPr>
                <w:kern w:val="0"/>
                <w:sz w:val="18"/>
                <w:szCs w:val="18"/>
              </w:rPr>
            </w:pPr>
            <w:r>
              <w:rPr>
                <w:kern w:val="0"/>
                <w:sz w:val="18"/>
                <w:szCs w:val="18"/>
              </w:rPr>
              <w:t>3617.2</w:t>
            </w:r>
          </w:p>
        </w:tc>
        <w:tc>
          <w:tcPr>
            <w:tcW w:w="729" w:type="pct"/>
            <w:tcBorders>
              <w:left w:val="single" w:color="auto" w:sz="2" w:space="0"/>
              <w:right w:val="single" w:color="auto" w:sz="2" w:space="0"/>
            </w:tcBorders>
            <w:noWrap/>
            <w:vAlign w:val="center"/>
          </w:tcPr>
          <w:p w14:paraId="248AF190">
            <w:pPr>
              <w:widowControl/>
              <w:jc w:val="center"/>
              <w:rPr>
                <w:kern w:val="0"/>
                <w:sz w:val="18"/>
                <w:szCs w:val="18"/>
              </w:rPr>
            </w:pPr>
            <w:r>
              <w:rPr>
                <w:kern w:val="0"/>
                <w:sz w:val="18"/>
                <w:szCs w:val="18"/>
              </w:rPr>
              <w:t>3613.6</w:t>
            </w:r>
          </w:p>
        </w:tc>
        <w:tc>
          <w:tcPr>
            <w:tcW w:w="729" w:type="pct"/>
            <w:tcBorders>
              <w:left w:val="single" w:color="auto" w:sz="2" w:space="0"/>
              <w:right w:val="single" w:color="auto" w:sz="2" w:space="0"/>
            </w:tcBorders>
            <w:noWrap/>
            <w:vAlign w:val="center"/>
          </w:tcPr>
          <w:p w14:paraId="579515A5">
            <w:pPr>
              <w:widowControl/>
              <w:jc w:val="center"/>
              <w:rPr>
                <w:kern w:val="0"/>
                <w:sz w:val="18"/>
                <w:szCs w:val="18"/>
              </w:rPr>
            </w:pPr>
            <w:r>
              <w:rPr>
                <w:kern w:val="0"/>
                <w:sz w:val="18"/>
                <w:szCs w:val="18"/>
              </w:rPr>
              <w:t>3609.2</w:t>
            </w:r>
          </w:p>
        </w:tc>
        <w:tc>
          <w:tcPr>
            <w:tcW w:w="729" w:type="pct"/>
            <w:tcBorders>
              <w:left w:val="single" w:color="auto" w:sz="2" w:space="0"/>
              <w:right w:val="single" w:color="auto" w:sz="2" w:space="0"/>
            </w:tcBorders>
            <w:noWrap/>
            <w:vAlign w:val="center"/>
          </w:tcPr>
          <w:p w14:paraId="03A7C5C3">
            <w:pPr>
              <w:widowControl/>
              <w:jc w:val="center"/>
              <w:rPr>
                <w:kern w:val="0"/>
                <w:sz w:val="18"/>
                <w:szCs w:val="18"/>
              </w:rPr>
            </w:pPr>
            <w:r>
              <w:rPr>
                <w:kern w:val="0"/>
                <w:sz w:val="18"/>
                <w:szCs w:val="18"/>
              </w:rPr>
              <w:t>3591.2</w:t>
            </w:r>
          </w:p>
        </w:tc>
        <w:tc>
          <w:tcPr>
            <w:tcW w:w="731" w:type="pct"/>
            <w:tcBorders>
              <w:left w:val="single" w:color="auto" w:sz="2" w:space="0"/>
            </w:tcBorders>
            <w:noWrap/>
            <w:vAlign w:val="center"/>
          </w:tcPr>
          <w:p w14:paraId="54FA6CD6">
            <w:pPr>
              <w:widowControl/>
              <w:jc w:val="center"/>
              <w:rPr>
                <w:kern w:val="0"/>
                <w:sz w:val="18"/>
                <w:szCs w:val="18"/>
              </w:rPr>
            </w:pPr>
            <w:r>
              <w:rPr>
                <w:kern w:val="0"/>
                <w:sz w:val="18"/>
                <w:szCs w:val="18"/>
              </w:rPr>
              <w:t>3572.8</w:t>
            </w:r>
          </w:p>
        </w:tc>
      </w:tr>
      <w:tr w14:paraId="6762C92D">
        <w:tblPrEx>
          <w:tblCellMar>
            <w:top w:w="0" w:type="dxa"/>
            <w:left w:w="108" w:type="dxa"/>
            <w:bottom w:w="0" w:type="dxa"/>
            <w:right w:w="108" w:type="dxa"/>
          </w:tblCellMar>
        </w:tblPrEx>
        <w:trPr>
          <w:trHeight w:val="390" w:hRule="atLeast"/>
          <w:jc w:val="center"/>
        </w:trPr>
        <w:tc>
          <w:tcPr>
            <w:tcW w:w="626" w:type="pct"/>
            <w:tcBorders>
              <w:right w:val="single" w:color="auto" w:sz="2" w:space="0"/>
            </w:tcBorders>
            <w:noWrap/>
            <w:vAlign w:val="center"/>
          </w:tcPr>
          <w:p w14:paraId="6CE089F2">
            <w:pPr>
              <w:widowControl/>
              <w:jc w:val="center"/>
              <w:rPr>
                <w:kern w:val="0"/>
                <w:sz w:val="18"/>
                <w:szCs w:val="18"/>
              </w:rPr>
            </w:pPr>
            <w:r>
              <w:rPr>
                <w:kern w:val="0"/>
                <w:sz w:val="18"/>
                <w:szCs w:val="18"/>
              </w:rPr>
              <w:t>580</w:t>
            </w:r>
          </w:p>
        </w:tc>
        <w:tc>
          <w:tcPr>
            <w:tcW w:w="729" w:type="pct"/>
            <w:tcBorders>
              <w:left w:val="single" w:color="auto" w:sz="2" w:space="0"/>
              <w:right w:val="single" w:color="auto" w:sz="2" w:space="0"/>
            </w:tcBorders>
            <w:noWrap/>
            <w:vAlign w:val="center"/>
          </w:tcPr>
          <w:p w14:paraId="5BEEB25F">
            <w:pPr>
              <w:widowControl/>
              <w:jc w:val="center"/>
              <w:rPr>
                <w:kern w:val="0"/>
                <w:sz w:val="18"/>
                <w:szCs w:val="18"/>
              </w:rPr>
            </w:pPr>
            <w:r>
              <w:rPr>
                <w:kern w:val="0"/>
                <w:sz w:val="18"/>
                <w:szCs w:val="18"/>
              </w:rPr>
              <w:t>3661.6</w:t>
            </w:r>
          </w:p>
        </w:tc>
        <w:tc>
          <w:tcPr>
            <w:tcW w:w="729" w:type="pct"/>
            <w:tcBorders>
              <w:left w:val="single" w:color="auto" w:sz="2" w:space="0"/>
              <w:right w:val="single" w:color="auto" w:sz="2" w:space="0"/>
            </w:tcBorders>
            <w:noWrap/>
            <w:vAlign w:val="center"/>
          </w:tcPr>
          <w:p w14:paraId="4973A472">
            <w:pPr>
              <w:widowControl/>
              <w:jc w:val="center"/>
              <w:rPr>
                <w:kern w:val="0"/>
                <w:sz w:val="18"/>
                <w:szCs w:val="18"/>
              </w:rPr>
            </w:pPr>
            <w:r>
              <w:rPr>
                <w:kern w:val="0"/>
                <w:sz w:val="18"/>
                <w:szCs w:val="18"/>
              </w:rPr>
              <w:t>3660.9</w:t>
            </w:r>
          </w:p>
        </w:tc>
        <w:tc>
          <w:tcPr>
            <w:tcW w:w="729" w:type="pct"/>
            <w:tcBorders>
              <w:left w:val="single" w:color="auto" w:sz="2" w:space="0"/>
              <w:right w:val="single" w:color="auto" w:sz="2" w:space="0"/>
            </w:tcBorders>
            <w:noWrap/>
            <w:vAlign w:val="center"/>
          </w:tcPr>
          <w:p w14:paraId="5D0C6D8F">
            <w:pPr>
              <w:widowControl/>
              <w:jc w:val="center"/>
              <w:rPr>
                <w:kern w:val="0"/>
                <w:sz w:val="18"/>
                <w:szCs w:val="18"/>
              </w:rPr>
            </w:pPr>
            <w:r>
              <w:rPr>
                <w:kern w:val="0"/>
                <w:sz w:val="18"/>
                <w:szCs w:val="18"/>
              </w:rPr>
              <w:t>3657.5</w:t>
            </w:r>
          </w:p>
        </w:tc>
        <w:tc>
          <w:tcPr>
            <w:tcW w:w="729" w:type="pct"/>
            <w:tcBorders>
              <w:left w:val="single" w:color="auto" w:sz="2" w:space="0"/>
              <w:right w:val="single" w:color="auto" w:sz="2" w:space="0"/>
            </w:tcBorders>
            <w:noWrap/>
            <w:vAlign w:val="center"/>
          </w:tcPr>
          <w:p w14:paraId="74DECDA2">
            <w:pPr>
              <w:widowControl/>
              <w:jc w:val="center"/>
              <w:rPr>
                <w:kern w:val="0"/>
                <w:sz w:val="18"/>
                <w:szCs w:val="18"/>
              </w:rPr>
            </w:pPr>
            <w:r>
              <w:rPr>
                <w:kern w:val="0"/>
                <w:sz w:val="18"/>
                <w:szCs w:val="18"/>
              </w:rPr>
              <w:t>3653.3</w:t>
            </w:r>
          </w:p>
        </w:tc>
        <w:tc>
          <w:tcPr>
            <w:tcW w:w="729" w:type="pct"/>
            <w:tcBorders>
              <w:left w:val="single" w:color="auto" w:sz="2" w:space="0"/>
              <w:right w:val="single" w:color="auto" w:sz="2" w:space="0"/>
            </w:tcBorders>
            <w:noWrap/>
            <w:vAlign w:val="center"/>
          </w:tcPr>
          <w:p w14:paraId="0D4A22A2">
            <w:pPr>
              <w:widowControl/>
              <w:jc w:val="center"/>
              <w:rPr>
                <w:kern w:val="0"/>
                <w:sz w:val="18"/>
                <w:szCs w:val="18"/>
              </w:rPr>
            </w:pPr>
            <w:r>
              <w:rPr>
                <w:kern w:val="0"/>
                <w:sz w:val="18"/>
                <w:szCs w:val="18"/>
              </w:rPr>
              <w:t>3636.3</w:t>
            </w:r>
          </w:p>
        </w:tc>
        <w:tc>
          <w:tcPr>
            <w:tcW w:w="731" w:type="pct"/>
            <w:tcBorders>
              <w:left w:val="single" w:color="auto" w:sz="2" w:space="0"/>
            </w:tcBorders>
            <w:noWrap/>
            <w:vAlign w:val="center"/>
          </w:tcPr>
          <w:p w14:paraId="0B6A1D7B">
            <w:pPr>
              <w:widowControl/>
              <w:jc w:val="center"/>
              <w:rPr>
                <w:kern w:val="0"/>
                <w:sz w:val="18"/>
                <w:szCs w:val="18"/>
              </w:rPr>
            </w:pPr>
            <w:r>
              <w:rPr>
                <w:kern w:val="0"/>
                <w:sz w:val="18"/>
                <w:szCs w:val="18"/>
              </w:rPr>
              <w:t>3619.1</w:t>
            </w:r>
          </w:p>
        </w:tc>
      </w:tr>
      <w:tr w14:paraId="020F227A">
        <w:tblPrEx>
          <w:tblCellMar>
            <w:top w:w="0" w:type="dxa"/>
            <w:left w:w="108" w:type="dxa"/>
            <w:bottom w:w="0" w:type="dxa"/>
            <w:right w:w="108" w:type="dxa"/>
          </w:tblCellMar>
        </w:tblPrEx>
        <w:trPr>
          <w:trHeight w:val="390" w:hRule="atLeast"/>
          <w:jc w:val="center"/>
        </w:trPr>
        <w:tc>
          <w:tcPr>
            <w:tcW w:w="626" w:type="pct"/>
            <w:tcBorders>
              <w:bottom w:val="single" w:color="auto" w:sz="8" w:space="0"/>
              <w:right w:val="single" w:color="auto" w:sz="2" w:space="0"/>
            </w:tcBorders>
            <w:noWrap/>
            <w:vAlign w:val="center"/>
          </w:tcPr>
          <w:p w14:paraId="60D6BD53">
            <w:pPr>
              <w:widowControl/>
              <w:jc w:val="center"/>
              <w:rPr>
                <w:kern w:val="0"/>
                <w:sz w:val="18"/>
                <w:szCs w:val="18"/>
              </w:rPr>
            </w:pPr>
            <w:r>
              <w:rPr>
                <w:kern w:val="0"/>
                <w:sz w:val="18"/>
                <w:szCs w:val="18"/>
              </w:rPr>
              <w:t>600</w:t>
            </w:r>
          </w:p>
        </w:tc>
        <w:tc>
          <w:tcPr>
            <w:tcW w:w="729" w:type="pct"/>
            <w:tcBorders>
              <w:left w:val="single" w:color="auto" w:sz="2" w:space="0"/>
              <w:bottom w:val="single" w:color="auto" w:sz="8" w:space="0"/>
              <w:right w:val="single" w:color="auto" w:sz="2" w:space="0"/>
            </w:tcBorders>
            <w:noWrap/>
            <w:vAlign w:val="center"/>
          </w:tcPr>
          <w:p w14:paraId="0768A571">
            <w:pPr>
              <w:widowControl/>
              <w:jc w:val="center"/>
              <w:rPr>
                <w:kern w:val="0"/>
                <w:sz w:val="18"/>
                <w:szCs w:val="18"/>
              </w:rPr>
            </w:pPr>
            <w:r>
              <w:rPr>
                <w:kern w:val="0"/>
                <w:sz w:val="18"/>
                <w:szCs w:val="18"/>
              </w:rPr>
              <w:t>3705.2</w:t>
            </w:r>
          </w:p>
        </w:tc>
        <w:tc>
          <w:tcPr>
            <w:tcW w:w="729" w:type="pct"/>
            <w:tcBorders>
              <w:left w:val="single" w:color="auto" w:sz="2" w:space="0"/>
              <w:bottom w:val="single" w:color="auto" w:sz="8" w:space="0"/>
              <w:right w:val="single" w:color="auto" w:sz="2" w:space="0"/>
            </w:tcBorders>
            <w:noWrap/>
            <w:vAlign w:val="center"/>
          </w:tcPr>
          <w:p w14:paraId="73362826">
            <w:pPr>
              <w:widowControl/>
              <w:jc w:val="center"/>
              <w:rPr>
                <w:kern w:val="0"/>
                <w:sz w:val="18"/>
                <w:szCs w:val="18"/>
              </w:rPr>
            </w:pPr>
            <w:r>
              <w:rPr>
                <w:kern w:val="0"/>
                <w:sz w:val="18"/>
                <w:szCs w:val="18"/>
              </w:rPr>
              <w:t>3704.5</w:t>
            </w:r>
          </w:p>
        </w:tc>
        <w:tc>
          <w:tcPr>
            <w:tcW w:w="729" w:type="pct"/>
            <w:tcBorders>
              <w:left w:val="single" w:color="auto" w:sz="2" w:space="0"/>
              <w:bottom w:val="single" w:color="auto" w:sz="8" w:space="0"/>
              <w:right w:val="single" w:color="auto" w:sz="2" w:space="0"/>
            </w:tcBorders>
            <w:noWrap/>
            <w:vAlign w:val="center"/>
          </w:tcPr>
          <w:p w14:paraId="50ED000A">
            <w:pPr>
              <w:widowControl/>
              <w:jc w:val="center"/>
              <w:rPr>
                <w:kern w:val="0"/>
                <w:sz w:val="18"/>
                <w:szCs w:val="18"/>
              </w:rPr>
            </w:pPr>
            <w:r>
              <w:rPr>
                <w:kern w:val="0"/>
                <w:sz w:val="18"/>
                <w:szCs w:val="18"/>
              </w:rPr>
              <w:t>3701.4</w:t>
            </w:r>
          </w:p>
        </w:tc>
        <w:tc>
          <w:tcPr>
            <w:tcW w:w="729" w:type="pct"/>
            <w:tcBorders>
              <w:left w:val="single" w:color="auto" w:sz="2" w:space="0"/>
              <w:bottom w:val="single" w:color="auto" w:sz="8" w:space="0"/>
              <w:right w:val="single" w:color="auto" w:sz="2" w:space="0"/>
            </w:tcBorders>
            <w:noWrap/>
            <w:vAlign w:val="center"/>
          </w:tcPr>
          <w:p w14:paraId="24D0E255">
            <w:pPr>
              <w:widowControl/>
              <w:jc w:val="center"/>
              <w:rPr>
                <w:kern w:val="0"/>
                <w:sz w:val="18"/>
                <w:szCs w:val="18"/>
              </w:rPr>
            </w:pPr>
            <w:r>
              <w:rPr>
                <w:kern w:val="0"/>
                <w:sz w:val="18"/>
                <w:szCs w:val="18"/>
              </w:rPr>
              <w:t>3697.4</w:t>
            </w:r>
          </w:p>
        </w:tc>
        <w:tc>
          <w:tcPr>
            <w:tcW w:w="729" w:type="pct"/>
            <w:tcBorders>
              <w:left w:val="single" w:color="auto" w:sz="2" w:space="0"/>
              <w:bottom w:val="single" w:color="auto" w:sz="8" w:space="0"/>
              <w:right w:val="single" w:color="auto" w:sz="2" w:space="0"/>
            </w:tcBorders>
            <w:noWrap/>
            <w:vAlign w:val="center"/>
          </w:tcPr>
          <w:p w14:paraId="72463AF7">
            <w:pPr>
              <w:widowControl/>
              <w:jc w:val="center"/>
              <w:rPr>
                <w:kern w:val="0"/>
                <w:sz w:val="18"/>
                <w:szCs w:val="18"/>
              </w:rPr>
            </w:pPr>
            <w:r>
              <w:rPr>
                <w:kern w:val="0"/>
                <w:sz w:val="18"/>
                <w:szCs w:val="18"/>
              </w:rPr>
              <w:t>3681.5</w:t>
            </w:r>
          </w:p>
        </w:tc>
        <w:tc>
          <w:tcPr>
            <w:tcW w:w="731" w:type="pct"/>
            <w:tcBorders>
              <w:left w:val="single" w:color="auto" w:sz="2" w:space="0"/>
              <w:bottom w:val="single" w:color="auto" w:sz="8" w:space="0"/>
            </w:tcBorders>
            <w:noWrap/>
            <w:vAlign w:val="center"/>
          </w:tcPr>
          <w:p w14:paraId="663B8589">
            <w:pPr>
              <w:widowControl/>
              <w:jc w:val="center"/>
              <w:rPr>
                <w:kern w:val="0"/>
                <w:sz w:val="18"/>
                <w:szCs w:val="18"/>
              </w:rPr>
            </w:pPr>
            <w:r>
              <w:rPr>
                <w:kern w:val="0"/>
                <w:sz w:val="18"/>
                <w:szCs w:val="18"/>
              </w:rPr>
              <w:t>3665.4</w:t>
            </w:r>
          </w:p>
        </w:tc>
      </w:tr>
    </w:tbl>
    <w:p w14:paraId="7CC5806D">
      <w:r>
        <w:br w:type="page"/>
      </w:r>
    </w:p>
    <w:p w14:paraId="6A7BC4C9">
      <w:pPr>
        <w:rPr>
          <w:sz w:val="18"/>
          <w:szCs w:val="18"/>
        </w:rPr>
      </w:pPr>
      <w:r>
        <w:rPr>
          <w:sz w:val="18"/>
          <w:szCs w:val="18"/>
        </w:rPr>
        <w:t>4.</w:t>
      </w:r>
      <w:r>
        <w:rPr>
          <w:sz w:val="18"/>
          <w:szCs w:val="18"/>
        </w:rPr>
        <w:tab/>
      </w:r>
      <w:r>
        <w:rPr>
          <w:sz w:val="18"/>
          <w:szCs w:val="18"/>
        </w:rPr>
        <w:t>过热蒸汽温度、压力—焓表(二)</w:t>
      </w:r>
    </w:p>
    <w:p w14:paraId="2D2D436F">
      <w:pPr>
        <w:ind w:firstLine="8460" w:firstLineChars="4700"/>
        <w:rPr>
          <w:sz w:val="18"/>
          <w:szCs w:val="18"/>
        </w:rPr>
      </w:pPr>
      <w:r>
        <w:rPr>
          <w:kern w:val="0"/>
          <w:sz w:val="18"/>
          <w:szCs w:val="18"/>
        </w:rPr>
        <w:t>焓（KJ/kg）</w:t>
      </w:r>
    </w:p>
    <w:tbl>
      <w:tblPr>
        <w:tblStyle w:val="20"/>
        <w:tblW w:w="9403" w:type="dxa"/>
        <w:jc w:val="center"/>
        <w:tblLayout w:type="fixed"/>
        <w:tblCellMar>
          <w:top w:w="0" w:type="dxa"/>
          <w:left w:w="108" w:type="dxa"/>
          <w:bottom w:w="0" w:type="dxa"/>
          <w:right w:w="108" w:type="dxa"/>
        </w:tblCellMar>
      </w:tblPr>
      <w:tblGrid>
        <w:gridCol w:w="1314"/>
        <w:gridCol w:w="1348"/>
        <w:gridCol w:w="1348"/>
        <w:gridCol w:w="1347"/>
        <w:gridCol w:w="1347"/>
        <w:gridCol w:w="1347"/>
        <w:gridCol w:w="1352"/>
      </w:tblGrid>
      <w:tr w14:paraId="77B533C1">
        <w:tblPrEx>
          <w:tblCellMar>
            <w:top w:w="0" w:type="dxa"/>
            <w:left w:w="108" w:type="dxa"/>
            <w:bottom w:w="0" w:type="dxa"/>
            <w:right w:w="108" w:type="dxa"/>
          </w:tblCellMar>
        </w:tblPrEx>
        <w:trPr>
          <w:cantSplit/>
          <w:trHeight w:val="293" w:hRule="atLeast"/>
          <w:jc w:val="center"/>
        </w:trPr>
        <w:tc>
          <w:tcPr>
            <w:tcW w:w="1314" w:type="dxa"/>
            <w:vMerge w:val="restart"/>
            <w:tcBorders>
              <w:top w:val="single" w:color="auto" w:sz="8" w:space="0"/>
              <w:bottom w:val="single" w:color="000000" w:sz="4" w:space="0"/>
              <w:right w:val="single" w:color="auto" w:sz="2" w:space="0"/>
            </w:tcBorders>
            <w:noWrap/>
            <w:vAlign w:val="center"/>
          </w:tcPr>
          <w:p w14:paraId="2C7CA3A2">
            <w:pPr>
              <w:widowControl/>
              <w:jc w:val="center"/>
              <w:rPr>
                <w:kern w:val="0"/>
                <w:sz w:val="18"/>
                <w:szCs w:val="18"/>
              </w:rPr>
            </w:pPr>
            <w:r>
              <w:rPr>
                <w:kern w:val="0"/>
                <w:sz w:val="18"/>
                <w:szCs w:val="18"/>
              </w:rPr>
              <w:t>T （℃）</w:t>
            </w:r>
          </w:p>
        </w:tc>
        <w:tc>
          <w:tcPr>
            <w:tcW w:w="8089" w:type="dxa"/>
            <w:gridSpan w:val="6"/>
            <w:tcBorders>
              <w:top w:val="single" w:color="auto" w:sz="8" w:space="0"/>
              <w:left w:val="single" w:color="auto" w:sz="2" w:space="0"/>
              <w:bottom w:val="single" w:color="auto" w:sz="2" w:space="0"/>
            </w:tcBorders>
            <w:noWrap/>
            <w:vAlign w:val="center"/>
          </w:tcPr>
          <w:p w14:paraId="11F38973">
            <w:pPr>
              <w:widowControl/>
              <w:jc w:val="center"/>
              <w:rPr>
                <w:kern w:val="0"/>
                <w:sz w:val="18"/>
                <w:szCs w:val="18"/>
              </w:rPr>
            </w:pPr>
            <w:r>
              <w:rPr>
                <w:kern w:val="0"/>
                <w:sz w:val="18"/>
                <w:szCs w:val="18"/>
              </w:rPr>
              <w:t>MPa</w:t>
            </w:r>
          </w:p>
        </w:tc>
      </w:tr>
      <w:tr w14:paraId="778A5663">
        <w:tblPrEx>
          <w:tblCellMar>
            <w:top w:w="0" w:type="dxa"/>
            <w:left w:w="108" w:type="dxa"/>
            <w:bottom w:w="0" w:type="dxa"/>
            <w:right w:w="108" w:type="dxa"/>
          </w:tblCellMar>
        </w:tblPrEx>
        <w:trPr>
          <w:cantSplit/>
          <w:trHeight w:val="605" w:hRule="atLeast"/>
          <w:jc w:val="center"/>
        </w:trPr>
        <w:tc>
          <w:tcPr>
            <w:tcW w:w="1314" w:type="dxa"/>
            <w:vMerge w:val="continue"/>
            <w:tcBorders>
              <w:top w:val="single" w:color="auto" w:sz="4" w:space="0"/>
              <w:bottom w:val="single" w:color="auto" w:sz="2" w:space="0"/>
              <w:right w:val="single" w:color="auto" w:sz="2" w:space="0"/>
            </w:tcBorders>
            <w:vAlign w:val="center"/>
          </w:tcPr>
          <w:p w14:paraId="3C63EE02">
            <w:pPr>
              <w:widowControl/>
              <w:jc w:val="center"/>
              <w:rPr>
                <w:kern w:val="0"/>
                <w:sz w:val="18"/>
                <w:szCs w:val="18"/>
              </w:rPr>
            </w:pPr>
          </w:p>
        </w:tc>
        <w:tc>
          <w:tcPr>
            <w:tcW w:w="1348" w:type="dxa"/>
            <w:tcBorders>
              <w:top w:val="single" w:color="auto" w:sz="2" w:space="0"/>
              <w:left w:val="single" w:color="auto" w:sz="2" w:space="0"/>
              <w:bottom w:val="single" w:color="auto" w:sz="2" w:space="0"/>
              <w:right w:val="single" w:color="auto" w:sz="2" w:space="0"/>
            </w:tcBorders>
            <w:noWrap/>
            <w:vAlign w:val="center"/>
          </w:tcPr>
          <w:p w14:paraId="7DD3E251">
            <w:pPr>
              <w:widowControl/>
              <w:jc w:val="center"/>
              <w:rPr>
                <w:kern w:val="0"/>
                <w:sz w:val="18"/>
                <w:szCs w:val="18"/>
              </w:rPr>
            </w:pPr>
            <w:r>
              <w:rPr>
                <w:kern w:val="0"/>
                <w:sz w:val="18"/>
                <w:szCs w:val="18"/>
              </w:rPr>
              <w:t>7</w:t>
            </w:r>
          </w:p>
        </w:tc>
        <w:tc>
          <w:tcPr>
            <w:tcW w:w="1348" w:type="dxa"/>
            <w:tcBorders>
              <w:top w:val="single" w:color="auto" w:sz="2" w:space="0"/>
              <w:left w:val="single" w:color="auto" w:sz="2" w:space="0"/>
              <w:bottom w:val="single" w:color="auto" w:sz="2" w:space="0"/>
              <w:right w:val="single" w:color="auto" w:sz="2" w:space="0"/>
            </w:tcBorders>
            <w:noWrap/>
            <w:vAlign w:val="center"/>
          </w:tcPr>
          <w:p w14:paraId="151E3E1B">
            <w:pPr>
              <w:widowControl/>
              <w:jc w:val="center"/>
              <w:rPr>
                <w:kern w:val="0"/>
                <w:sz w:val="18"/>
                <w:szCs w:val="18"/>
              </w:rPr>
            </w:pPr>
            <w:r>
              <w:rPr>
                <w:kern w:val="0"/>
                <w:sz w:val="18"/>
                <w:szCs w:val="18"/>
              </w:rPr>
              <w:t>10</w:t>
            </w:r>
          </w:p>
        </w:tc>
        <w:tc>
          <w:tcPr>
            <w:tcW w:w="1348" w:type="dxa"/>
            <w:tcBorders>
              <w:top w:val="single" w:color="auto" w:sz="2" w:space="0"/>
              <w:left w:val="single" w:color="auto" w:sz="2" w:space="0"/>
              <w:bottom w:val="single" w:color="auto" w:sz="2" w:space="0"/>
              <w:right w:val="single" w:color="auto" w:sz="2" w:space="0"/>
            </w:tcBorders>
            <w:noWrap/>
            <w:vAlign w:val="center"/>
          </w:tcPr>
          <w:p w14:paraId="6FB1A14F">
            <w:pPr>
              <w:widowControl/>
              <w:jc w:val="center"/>
              <w:rPr>
                <w:kern w:val="0"/>
                <w:sz w:val="18"/>
                <w:szCs w:val="18"/>
              </w:rPr>
            </w:pPr>
            <w:r>
              <w:rPr>
                <w:kern w:val="0"/>
                <w:sz w:val="18"/>
                <w:szCs w:val="18"/>
              </w:rPr>
              <w:t>14</w:t>
            </w:r>
          </w:p>
        </w:tc>
        <w:tc>
          <w:tcPr>
            <w:tcW w:w="1348" w:type="dxa"/>
            <w:tcBorders>
              <w:top w:val="single" w:color="auto" w:sz="2" w:space="0"/>
              <w:left w:val="single" w:color="auto" w:sz="2" w:space="0"/>
              <w:bottom w:val="single" w:color="auto" w:sz="2" w:space="0"/>
              <w:right w:val="single" w:color="auto" w:sz="2" w:space="0"/>
            </w:tcBorders>
            <w:noWrap/>
            <w:vAlign w:val="center"/>
          </w:tcPr>
          <w:p w14:paraId="0592E667">
            <w:pPr>
              <w:widowControl/>
              <w:jc w:val="center"/>
              <w:rPr>
                <w:kern w:val="0"/>
                <w:sz w:val="18"/>
                <w:szCs w:val="18"/>
              </w:rPr>
            </w:pPr>
            <w:r>
              <w:rPr>
                <w:kern w:val="0"/>
                <w:sz w:val="18"/>
                <w:szCs w:val="18"/>
              </w:rPr>
              <w:t>20</w:t>
            </w:r>
          </w:p>
        </w:tc>
        <w:tc>
          <w:tcPr>
            <w:tcW w:w="1348" w:type="dxa"/>
            <w:tcBorders>
              <w:top w:val="single" w:color="auto" w:sz="2" w:space="0"/>
              <w:left w:val="single" w:color="auto" w:sz="2" w:space="0"/>
              <w:bottom w:val="single" w:color="auto" w:sz="2" w:space="0"/>
              <w:right w:val="single" w:color="auto" w:sz="2" w:space="0"/>
            </w:tcBorders>
            <w:noWrap/>
            <w:vAlign w:val="center"/>
          </w:tcPr>
          <w:p w14:paraId="2F4194DC">
            <w:pPr>
              <w:widowControl/>
              <w:jc w:val="center"/>
              <w:rPr>
                <w:kern w:val="0"/>
                <w:sz w:val="18"/>
                <w:szCs w:val="18"/>
              </w:rPr>
            </w:pPr>
            <w:r>
              <w:rPr>
                <w:kern w:val="0"/>
                <w:sz w:val="18"/>
                <w:szCs w:val="18"/>
              </w:rPr>
              <w:t>25</w:t>
            </w:r>
          </w:p>
        </w:tc>
        <w:tc>
          <w:tcPr>
            <w:tcW w:w="1349" w:type="dxa"/>
            <w:tcBorders>
              <w:top w:val="single" w:color="auto" w:sz="2" w:space="0"/>
              <w:left w:val="single" w:color="auto" w:sz="2" w:space="0"/>
              <w:bottom w:val="single" w:color="auto" w:sz="2" w:space="0"/>
            </w:tcBorders>
            <w:noWrap/>
            <w:vAlign w:val="center"/>
          </w:tcPr>
          <w:p w14:paraId="50C1A27B">
            <w:pPr>
              <w:widowControl/>
              <w:jc w:val="center"/>
              <w:rPr>
                <w:kern w:val="0"/>
                <w:sz w:val="18"/>
                <w:szCs w:val="18"/>
              </w:rPr>
            </w:pPr>
            <w:r>
              <w:rPr>
                <w:kern w:val="0"/>
                <w:sz w:val="18"/>
                <w:szCs w:val="18"/>
              </w:rPr>
              <w:t>30</w:t>
            </w:r>
          </w:p>
        </w:tc>
      </w:tr>
      <w:tr w14:paraId="4B0CDEEA">
        <w:tblPrEx>
          <w:tblCellMar>
            <w:top w:w="0" w:type="dxa"/>
            <w:left w:w="108" w:type="dxa"/>
            <w:bottom w:w="0" w:type="dxa"/>
            <w:right w:w="108" w:type="dxa"/>
          </w:tblCellMar>
        </w:tblPrEx>
        <w:trPr>
          <w:trHeight w:val="390" w:hRule="atLeast"/>
          <w:jc w:val="center"/>
        </w:trPr>
        <w:tc>
          <w:tcPr>
            <w:tcW w:w="1314" w:type="dxa"/>
            <w:tcBorders>
              <w:top w:val="single" w:color="auto" w:sz="2" w:space="0"/>
              <w:right w:val="single" w:color="auto" w:sz="2" w:space="0"/>
            </w:tcBorders>
            <w:noWrap/>
            <w:vAlign w:val="center"/>
          </w:tcPr>
          <w:p w14:paraId="45A66ABC">
            <w:pPr>
              <w:widowControl/>
              <w:jc w:val="center"/>
              <w:rPr>
                <w:kern w:val="0"/>
                <w:sz w:val="18"/>
                <w:szCs w:val="18"/>
              </w:rPr>
            </w:pPr>
            <w:r>
              <w:rPr>
                <w:kern w:val="0"/>
                <w:sz w:val="18"/>
                <w:szCs w:val="18"/>
              </w:rPr>
              <w:t xml:space="preserve">  0</w:t>
            </w:r>
          </w:p>
        </w:tc>
        <w:tc>
          <w:tcPr>
            <w:tcW w:w="1348" w:type="dxa"/>
            <w:tcBorders>
              <w:top w:val="single" w:color="auto" w:sz="2" w:space="0"/>
              <w:left w:val="single" w:color="auto" w:sz="2" w:space="0"/>
              <w:right w:val="single" w:color="auto" w:sz="2" w:space="0"/>
            </w:tcBorders>
            <w:noWrap/>
            <w:vAlign w:val="center"/>
          </w:tcPr>
          <w:p w14:paraId="0C5CCE97">
            <w:pPr>
              <w:widowControl/>
              <w:jc w:val="center"/>
              <w:rPr>
                <w:kern w:val="0"/>
                <w:sz w:val="18"/>
                <w:szCs w:val="18"/>
              </w:rPr>
            </w:pPr>
            <w:r>
              <w:rPr>
                <w:kern w:val="0"/>
                <w:sz w:val="18"/>
                <w:szCs w:val="18"/>
              </w:rPr>
              <w:t xml:space="preserve">   7.10</w:t>
            </w:r>
          </w:p>
        </w:tc>
        <w:tc>
          <w:tcPr>
            <w:tcW w:w="1347" w:type="dxa"/>
            <w:tcBorders>
              <w:top w:val="single" w:color="auto" w:sz="2" w:space="0"/>
              <w:left w:val="single" w:color="auto" w:sz="2" w:space="0"/>
              <w:right w:val="single" w:color="auto" w:sz="2" w:space="0"/>
            </w:tcBorders>
            <w:noWrap/>
            <w:vAlign w:val="center"/>
          </w:tcPr>
          <w:p w14:paraId="5EA96A84">
            <w:pPr>
              <w:widowControl/>
              <w:jc w:val="center"/>
              <w:rPr>
                <w:kern w:val="0"/>
                <w:sz w:val="18"/>
                <w:szCs w:val="18"/>
              </w:rPr>
            </w:pPr>
            <w:r>
              <w:rPr>
                <w:kern w:val="0"/>
                <w:sz w:val="18"/>
                <w:szCs w:val="18"/>
              </w:rPr>
              <w:t xml:space="preserve">  10.1</w:t>
            </w:r>
          </w:p>
        </w:tc>
        <w:tc>
          <w:tcPr>
            <w:tcW w:w="1347" w:type="dxa"/>
            <w:tcBorders>
              <w:top w:val="single" w:color="auto" w:sz="2" w:space="0"/>
              <w:left w:val="single" w:color="auto" w:sz="2" w:space="0"/>
              <w:right w:val="single" w:color="auto" w:sz="2" w:space="0"/>
            </w:tcBorders>
            <w:noWrap/>
            <w:vAlign w:val="center"/>
          </w:tcPr>
          <w:p w14:paraId="068A4897">
            <w:pPr>
              <w:widowControl/>
              <w:jc w:val="center"/>
              <w:rPr>
                <w:kern w:val="0"/>
                <w:sz w:val="18"/>
                <w:szCs w:val="18"/>
              </w:rPr>
            </w:pPr>
            <w:r>
              <w:rPr>
                <w:kern w:val="0"/>
                <w:sz w:val="18"/>
                <w:szCs w:val="18"/>
              </w:rPr>
              <w:t xml:space="preserve">  14.1</w:t>
            </w:r>
          </w:p>
        </w:tc>
        <w:tc>
          <w:tcPr>
            <w:tcW w:w="1347" w:type="dxa"/>
            <w:tcBorders>
              <w:top w:val="single" w:color="auto" w:sz="2" w:space="0"/>
              <w:left w:val="single" w:color="auto" w:sz="2" w:space="0"/>
              <w:right w:val="single" w:color="auto" w:sz="2" w:space="0"/>
            </w:tcBorders>
            <w:noWrap/>
            <w:vAlign w:val="center"/>
          </w:tcPr>
          <w:p w14:paraId="25024715">
            <w:pPr>
              <w:widowControl/>
              <w:jc w:val="center"/>
              <w:rPr>
                <w:kern w:val="0"/>
                <w:sz w:val="18"/>
                <w:szCs w:val="18"/>
              </w:rPr>
            </w:pPr>
            <w:r>
              <w:rPr>
                <w:kern w:val="0"/>
                <w:sz w:val="18"/>
                <w:szCs w:val="18"/>
              </w:rPr>
              <w:t xml:space="preserve">  20.1</w:t>
            </w:r>
          </w:p>
        </w:tc>
        <w:tc>
          <w:tcPr>
            <w:tcW w:w="1347" w:type="dxa"/>
            <w:tcBorders>
              <w:top w:val="single" w:color="auto" w:sz="2" w:space="0"/>
              <w:left w:val="single" w:color="auto" w:sz="2" w:space="0"/>
              <w:right w:val="single" w:color="auto" w:sz="2" w:space="0"/>
            </w:tcBorders>
            <w:noWrap/>
            <w:vAlign w:val="center"/>
          </w:tcPr>
          <w:p w14:paraId="3F43A34A">
            <w:pPr>
              <w:widowControl/>
              <w:jc w:val="center"/>
              <w:rPr>
                <w:kern w:val="0"/>
                <w:sz w:val="18"/>
                <w:szCs w:val="18"/>
              </w:rPr>
            </w:pPr>
            <w:r>
              <w:rPr>
                <w:kern w:val="0"/>
                <w:sz w:val="18"/>
                <w:szCs w:val="18"/>
              </w:rPr>
              <w:t xml:space="preserve">  25.1</w:t>
            </w:r>
          </w:p>
        </w:tc>
        <w:tc>
          <w:tcPr>
            <w:tcW w:w="1353" w:type="dxa"/>
            <w:tcBorders>
              <w:top w:val="single" w:color="auto" w:sz="2" w:space="0"/>
              <w:left w:val="single" w:color="auto" w:sz="2" w:space="0"/>
            </w:tcBorders>
            <w:noWrap/>
            <w:vAlign w:val="center"/>
          </w:tcPr>
          <w:p w14:paraId="1776E3C3">
            <w:pPr>
              <w:widowControl/>
              <w:jc w:val="center"/>
              <w:rPr>
                <w:kern w:val="0"/>
                <w:sz w:val="18"/>
                <w:szCs w:val="18"/>
              </w:rPr>
            </w:pPr>
            <w:r>
              <w:rPr>
                <w:kern w:val="0"/>
                <w:sz w:val="18"/>
                <w:szCs w:val="18"/>
              </w:rPr>
              <w:t xml:space="preserve">  30.0</w:t>
            </w:r>
          </w:p>
        </w:tc>
      </w:tr>
      <w:tr w14:paraId="6C830B0B">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3F14C304">
            <w:pPr>
              <w:widowControl/>
              <w:jc w:val="center"/>
              <w:rPr>
                <w:kern w:val="0"/>
                <w:sz w:val="18"/>
                <w:szCs w:val="18"/>
              </w:rPr>
            </w:pPr>
            <w:r>
              <w:rPr>
                <w:kern w:val="0"/>
                <w:sz w:val="18"/>
                <w:szCs w:val="18"/>
              </w:rPr>
              <w:t xml:space="preserve"> 10</w:t>
            </w:r>
          </w:p>
        </w:tc>
        <w:tc>
          <w:tcPr>
            <w:tcW w:w="1348" w:type="dxa"/>
            <w:tcBorders>
              <w:top w:val="nil"/>
              <w:left w:val="single" w:color="auto" w:sz="2" w:space="0"/>
              <w:right w:val="single" w:color="auto" w:sz="2" w:space="0"/>
            </w:tcBorders>
            <w:noWrap/>
            <w:vAlign w:val="center"/>
          </w:tcPr>
          <w:p w14:paraId="6F7C1AC2">
            <w:pPr>
              <w:widowControl/>
              <w:jc w:val="center"/>
              <w:rPr>
                <w:kern w:val="0"/>
                <w:sz w:val="18"/>
                <w:szCs w:val="18"/>
              </w:rPr>
            </w:pPr>
            <w:r>
              <w:rPr>
                <w:kern w:val="0"/>
                <w:sz w:val="18"/>
                <w:szCs w:val="18"/>
              </w:rPr>
              <w:t xml:space="preserve">  48.80</w:t>
            </w:r>
          </w:p>
        </w:tc>
        <w:tc>
          <w:tcPr>
            <w:tcW w:w="1347" w:type="dxa"/>
            <w:tcBorders>
              <w:top w:val="nil"/>
              <w:left w:val="single" w:color="auto" w:sz="2" w:space="0"/>
              <w:right w:val="single" w:color="auto" w:sz="2" w:space="0"/>
            </w:tcBorders>
            <w:noWrap/>
            <w:vAlign w:val="center"/>
          </w:tcPr>
          <w:p w14:paraId="725E66CD">
            <w:pPr>
              <w:widowControl/>
              <w:jc w:val="center"/>
              <w:rPr>
                <w:kern w:val="0"/>
                <w:sz w:val="18"/>
                <w:szCs w:val="18"/>
              </w:rPr>
            </w:pPr>
            <w:r>
              <w:rPr>
                <w:kern w:val="0"/>
                <w:sz w:val="18"/>
                <w:szCs w:val="18"/>
              </w:rPr>
              <w:t xml:space="preserve">  51.7</w:t>
            </w:r>
          </w:p>
        </w:tc>
        <w:tc>
          <w:tcPr>
            <w:tcW w:w="1347" w:type="dxa"/>
            <w:tcBorders>
              <w:top w:val="nil"/>
              <w:left w:val="single" w:color="auto" w:sz="2" w:space="0"/>
              <w:right w:val="single" w:color="auto" w:sz="2" w:space="0"/>
            </w:tcBorders>
            <w:noWrap/>
            <w:vAlign w:val="center"/>
          </w:tcPr>
          <w:p w14:paraId="4E3E1AAD">
            <w:pPr>
              <w:widowControl/>
              <w:jc w:val="center"/>
              <w:rPr>
                <w:kern w:val="0"/>
                <w:sz w:val="18"/>
                <w:szCs w:val="18"/>
              </w:rPr>
            </w:pPr>
            <w:r>
              <w:rPr>
                <w:kern w:val="0"/>
                <w:sz w:val="18"/>
                <w:szCs w:val="18"/>
              </w:rPr>
              <w:t xml:space="preserve">  55.6</w:t>
            </w:r>
          </w:p>
        </w:tc>
        <w:tc>
          <w:tcPr>
            <w:tcW w:w="1347" w:type="dxa"/>
            <w:tcBorders>
              <w:top w:val="nil"/>
              <w:left w:val="single" w:color="auto" w:sz="2" w:space="0"/>
              <w:right w:val="single" w:color="auto" w:sz="2" w:space="0"/>
            </w:tcBorders>
            <w:noWrap/>
            <w:vAlign w:val="center"/>
          </w:tcPr>
          <w:p w14:paraId="5921A43D">
            <w:pPr>
              <w:widowControl/>
              <w:jc w:val="center"/>
              <w:rPr>
                <w:kern w:val="0"/>
                <w:sz w:val="18"/>
                <w:szCs w:val="18"/>
              </w:rPr>
            </w:pPr>
            <w:r>
              <w:rPr>
                <w:kern w:val="0"/>
                <w:sz w:val="18"/>
                <w:szCs w:val="18"/>
              </w:rPr>
              <w:t xml:space="preserve">  61.3</w:t>
            </w:r>
          </w:p>
        </w:tc>
        <w:tc>
          <w:tcPr>
            <w:tcW w:w="1347" w:type="dxa"/>
            <w:tcBorders>
              <w:top w:val="nil"/>
              <w:left w:val="single" w:color="auto" w:sz="2" w:space="0"/>
              <w:right w:val="single" w:color="auto" w:sz="2" w:space="0"/>
            </w:tcBorders>
            <w:noWrap/>
            <w:vAlign w:val="center"/>
          </w:tcPr>
          <w:p w14:paraId="51AB3051">
            <w:pPr>
              <w:widowControl/>
              <w:jc w:val="center"/>
              <w:rPr>
                <w:kern w:val="0"/>
                <w:sz w:val="18"/>
                <w:szCs w:val="18"/>
              </w:rPr>
            </w:pPr>
            <w:r>
              <w:rPr>
                <w:kern w:val="0"/>
                <w:sz w:val="18"/>
                <w:szCs w:val="18"/>
              </w:rPr>
              <w:t xml:space="preserve">  66.1</w:t>
            </w:r>
          </w:p>
        </w:tc>
        <w:tc>
          <w:tcPr>
            <w:tcW w:w="1353" w:type="dxa"/>
            <w:tcBorders>
              <w:top w:val="nil"/>
              <w:left w:val="single" w:color="auto" w:sz="2" w:space="0"/>
            </w:tcBorders>
            <w:noWrap/>
            <w:vAlign w:val="center"/>
          </w:tcPr>
          <w:p w14:paraId="31A03A5F">
            <w:pPr>
              <w:widowControl/>
              <w:jc w:val="center"/>
              <w:rPr>
                <w:kern w:val="0"/>
                <w:sz w:val="18"/>
                <w:szCs w:val="18"/>
              </w:rPr>
            </w:pPr>
            <w:r>
              <w:rPr>
                <w:kern w:val="0"/>
                <w:sz w:val="18"/>
                <w:szCs w:val="18"/>
              </w:rPr>
              <w:t xml:space="preserve">  70.8</w:t>
            </w:r>
          </w:p>
        </w:tc>
      </w:tr>
      <w:tr w14:paraId="3C6AE83E">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038BEE20">
            <w:pPr>
              <w:widowControl/>
              <w:jc w:val="center"/>
              <w:rPr>
                <w:kern w:val="0"/>
                <w:sz w:val="18"/>
                <w:szCs w:val="18"/>
              </w:rPr>
            </w:pPr>
            <w:r>
              <w:rPr>
                <w:kern w:val="0"/>
                <w:sz w:val="18"/>
                <w:szCs w:val="18"/>
              </w:rPr>
              <w:t xml:space="preserve"> 20</w:t>
            </w:r>
          </w:p>
        </w:tc>
        <w:tc>
          <w:tcPr>
            <w:tcW w:w="1348" w:type="dxa"/>
            <w:tcBorders>
              <w:top w:val="nil"/>
              <w:left w:val="single" w:color="auto" w:sz="2" w:space="0"/>
              <w:right w:val="single" w:color="auto" w:sz="2" w:space="0"/>
            </w:tcBorders>
            <w:noWrap/>
            <w:vAlign w:val="center"/>
          </w:tcPr>
          <w:p w14:paraId="48D4EAF2">
            <w:pPr>
              <w:widowControl/>
              <w:jc w:val="center"/>
              <w:rPr>
                <w:kern w:val="0"/>
                <w:sz w:val="18"/>
                <w:szCs w:val="18"/>
              </w:rPr>
            </w:pPr>
            <w:r>
              <w:rPr>
                <w:kern w:val="0"/>
                <w:sz w:val="18"/>
                <w:szCs w:val="18"/>
              </w:rPr>
              <w:t xml:space="preserve">  90.40</w:t>
            </w:r>
          </w:p>
        </w:tc>
        <w:tc>
          <w:tcPr>
            <w:tcW w:w="1347" w:type="dxa"/>
            <w:tcBorders>
              <w:top w:val="nil"/>
              <w:left w:val="single" w:color="auto" w:sz="2" w:space="0"/>
              <w:right w:val="single" w:color="auto" w:sz="2" w:space="0"/>
            </w:tcBorders>
            <w:noWrap/>
            <w:vAlign w:val="center"/>
          </w:tcPr>
          <w:p w14:paraId="55077092">
            <w:pPr>
              <w:widowControl/>
              <w:jc w:val="center"/>
              <w:rPr>
                <w:kern w:val="0"/>
                <w:sz w:val="18"/>
                <w:szCs w:val="18"/>
              </w:rPr>
            </w:pPr>
            <w:r>
              <w:rPr>
                <w:kern w:val="0"/>
                <w:sz w:val="18"/>
                <w:szCs w:val="18"/>
              </w:rPr>
              <w:t xml:space="preserve">  93.2</w:t>
            </w:r>
          </w:p>
        </w:tc>
        <w:tc>
          <w:tcPr>
            <w:tcW w:w="1347" w:type="dxa"/>
            <w:tcBorders>
              <w:top w:val="nil"/>
              <w:left w:val="single" w:color="auto" w:sz="2" w:space="0"/>
              <w:right w:val="single" w:color="auto" w:sz="2" w:space="0"/>
            </w:tcBorders>
            <w:noWrap/>
            <w:vAlign w:val="center"/>
          </w:tcPr>
          <w:p w14:paraId="5BFDB9E1">
            <w:pPr>
              <w:widowControl/>
              <w:jc w:val="center"/>
              <w:rPr>
                <w:kern w:val="0"/>
                <w:sz w:val="18"/>
                <w:szCs w:val="18"/>
              </w:rPr>
            </w:pPr>
            <w:r>
              <w:rPr>
                <w:kern w:val="0"/>
                <w:sz w:val="18"/>
                <w:szCs w:val="18"/>
              </w:rPr>
              <w:t xml:space="preserve">  97.0</w:t>
            </w:r>
          </w:p>
        </w:tc>
        <w:tc>
          <w:tcPr>
            <w:tcW w:w="1347" w:type="dxa"/>
            <w:tcBorders>
              <w:top w:val="nil"/>
              <w:left w:val="single" w:color="auto" w:sz="2" w:space="0"/>
              <w:right w:val="single" w:color="auto" w:sz="2" w:space="0"/>
            </w:tcBorders>
            <w:noWrap/>
            <w:vAlign w:val="center"/>
          </w:tcPr>
          <w:p w14:paraId="6F418D74">
            <w:pPr>
              <w:widowControl/>
              <w:jc w:val="center"/>
              <w:rPr>
                <w:kern w:val="0"/>
                <w:sz w:val="18"/>
                <w:szCs w:val="18"/>
              </w:rPr>
            </w:pPr>
            <w:r>
              <w:rPr>
                <w:kern w:val="0"/>
                <w:sz w:val="18"/>
                <w:szCs w:val="18"/>
              </w:rPr>
              <w:t xml:space="preserve"> 102.5</w:t>
            </w:r>
          </w:p>
        </w:tc>
        <w:tc>
          <w:tcPr>
            <w:tcW w:w="1347" w:type="dxa"/>
            <w:tcBorders>
              <w:top w:val="nil"/>
              <w:left w:val="single" w:color="auto" w:sz="2" w:space="0"/>
              <w:right w:val="single" w:color="auto" w:sz="2" w:space="0"/>
            </w:tcBorders>
            <w:noWrap/>
            <w:vAlign w:val="center"/>
          </w:tcPr>
          <w:p w14:paraId="1477EA65">
            <w:pPr>
              <w:widowControl/>
              <w:jc w:val="center"/>
              <w:rPr>
                <w:kern w:val="0"/>
                <w:sz w:val="18"/>
                <w:szCs w:val="18"/>
              </w:rPr>
            </w:pPr>
            <w:r>
              <w:rPr>
                <w:kern w:val="0"/>
                <w:sz w:val="18"/>
                <w:szCs w:val="18"/>
              </w:rPr>
              <w:t xml:space="preserve"> 107.1</w:t>
            </w:r>
          </w:p>
        </w:tc>
        <w:tc>
          <w:tcPr>
            <w:tcW w:w="1353" w:type="dxa"/>
            <w:tcBorders>
              <w:top w:val="nil"/>
              <w:left w:val="single" w:color="auto" w:sz="2" w:space="0"/>
            </w:tcBorders>
            <w:noWrap/>
            <w:vAlign w:val="center"/>
          </w:tcPr>
          <w:p w14:paraId="29FBC556">
            <w:pPr>
              <w:widowControl/>
              <w:jc w:val="center"/>
              <w:rPr>
                <w:kern w:val="0"/>
                <w:sz w:val="18"/>
                <w:szCs w:val="18"/>
              </w:rPr>
            </w:pPr>
            <w:r>
              <w:rPr>
                <w:kern w:val="0"/>
                <w:sz w:val="18"/>
                <w:szCs w:val="18"/>
              </w:rPr>
              <w:t xml:space="preserve"> 111.7</w:t>
            </w:r>
          </w:p>
        </w:tc>
      </w:tr>
      <w:tr w14:paraId="1D8F1CB9">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605C687C">
            <w:pPr>
              <w:widowControl/>
              <w:jc w:val="center"/>
              <w:rPr>
                <w:kern w:val="0"/>
                <w:sz w:val="18"/>
                <w:szCs w:val="18"/>
              </w:rPr>
            </w:pPr>
            <w:r>
              <w:rPr>
                <w:kern w:val="0"/>
                <w:sz w:val="18"/>
                <w:szCs w:val="18"/>
              </w:rPr>
              <w:t xml:space="preserve"> 40</w:t>
            </w:r>
          </w:p>
        </w:tc>
        <w:tc>
          <w:tcPr>
            <w:tcW w:w="1348" w:type="dxa"/>
            <w:tcBorders>
              <w:top w:val="nil"/>
              <w:left w:val="single" w:color="auto" w:sz="2" w:space="0"/>
              <w:right w:val="single" w:color="auto" w:sz="2" w:space="0"/>
            </w:tcBorders>
            <w:noWrap/>
            <w:vAlign w:val="center"/>
          </w:tcPr>
          <w:p w14:paraId="77EF3CA1">
            <w:pPr>
              <w:widowControl/>
              <w:jc w:val="center"/>
              <w:rPr>
                <w:kern w:val="0"/>
                <w:sz w:val="18"/>
                <w:szCs w:val="18"/>
              </w:rPr>
            </w:pPr>
            <w:r>
              <w:rPr>
                <w:kern w:val="0"/>
                <w:sz w:val="18"/>
                <w:szCs w:val="18"/>
              </w:rPr>
              <w:t xml:space="preserve"> 173.60</w:t>
            </w:r>
          </w:p>
        </w:tc>
        <w:tc>
          <w:tcPr>
            <w:tcW w:w="1347" w:type="dxa"/>
            <w:tcBorders>
              <w:top w:val="nil"/>
              <w:left w:val="single" w:color="auto" w:sz="2" w:space="0"/>
              <w:right w:val="single" w:color="auto" w:sz="2" w:space="0"/>
            </w:tcBorders>
            <w:noWrap/>
            <w:vAlign w:val="center"/>
          </w:tcPr>
          <w:p w14:paraId="0A47B43F">
            <w:pPr>
              <w:widowControl/>
              <w:jc w:val="center"/>
              <w:rPr>
                <w:kern w:val="0"/>
                <w:sz w:val="18"/>
                <w:szCs w:val="18"/>
              </w:rPr>
            </w:pPr>
            <w:r>
              <w:rPr>
                <w:kern w:val="0"/>
                <w:sz w:val="18"/>
                <w:szCs w:val="18"/>
              </w:rPr>
              <w:t xml:space="preserve"> 176.3</w:t>
            </w:r>
          </w:p>
        </w:tc>
        <w:tc>
          <w:tcPr>
            <w:tcW w:w="1347" w:type="dxa"/>
            <w:tcBorders>
              <w:top w:val="nil"/>
              <w:left w:val="single" w:color="auto" w:sz="2" w:space="0"/>
              <w:right w:val="single" w:color="auto" w:sz="2" w:space="0"/>
            </w:tcBorders>
            <w:noWrap/>
            <w:vAlign w:val="center"/>
          </w:tcPr>
          <w:p w14:paraId="30DE5F61">
            <w:pPr>
              <w:widowControl/>
              <w:jc w:val="center"/>
              <w:rPr>
                <w:kern w:val="0"/>
                <w:sz w:val="18"/>
                <w:szCs w:val="18"/>
              </w:rPr>
            </w:pPr>
            <w:r>
              <w:rPr>
                <w:kern w:val="0"/>
                <w:sz w:val="18"/>
                <w:szCs w:val="18"/>
              </w:rPr>
              <w:t xml:space="preserve"> 179.8</w:t>
            </w:r>
          </w:p>
        </w:tc>
        <w:tc>
          <w:tcPr>
            <w:tcW w:w="1347" w:type="dxa"/>
            <w:tcBorders>
              <w:top w:val="nil"/>
              <w:left w:val="single" w:color="auto" w:sz="2" w:space="0"/>
              <w:right w:val="single" w:color="auto" w:sz="2" w:space="0"/>
            </w:tcBorders>
            <w:noWrap/>
            <w:vAlign w:val="center"/>
          </w:tcPr>
          <w:p w14:paraId="49D03EDB">
            <w:pPr>
              <w:widowControl/>
              <w:jc w:val="center"/>
              <w:rPr>
                <w:kern w:val="0"/>
                <w:sz w:val="18"/>
                <w:szCs w:val="18"/>
              </w:rPr>
            </w:pPr>
            <w:r>
              <w:rPr>
                <w:kern w:val="0"/>
                <w:sz w:val="18"/>
                <w:szCs w:val="18"/>
              </w:rPr>
              <w:t xml:space="preserve"> 185.1</w:t>
            </w:r>
          </w:p>
        </w:tc>
        <w:tc>
          <w:tcPr>
            <w:tcW w:w="1347" w:type="dxa"/>
            <w:tcBorders>
              <w:top w:val="nil"/>
              <w:left w:val="single" w:color="auto" w:sz="2" w:space="0"/>
              <w:right w:val="single" w:color="auto" w:sz="2" w:space="0"/>
            </w:tcBorders>
            <w:noWrap/>
            <w:vAlign w:val="center"/>
          </w:tcPr>
          <w:p w14:paraId="5085EC2D">
            <w:pPr>
              <w:widowControl/>
              <w:jc w:val="center"/>
              <w:rPr>
                <w:kern w:val="0"/>
                <w:sz w:val="18"/>
                <w:szCs w:val="18"/>
              </w:rPr>
            </w:pPr>
            <w:r>
              <w:rPr>
                <w:kern w:val="0"/>
                <w:sz w:val="18"/>
                <w:szCs w:val="18"/>
              </w:rPr>
              <w:t xml:space="preserve"> 189.4</w:t>
            </w:r>
          </w:p>
        </w:tc>
        <w:tc>
          <w:tcPr>
            <w:tcW w:w="1353" w:type="dxa"/>
            <w:tcBorders>
              <w:top w:val="nil"/>
              <w:left w:val="single" w:color="auto" w:sz="2" w:space="0"/>
            </w:tcBorders>
            <w:noWrap/>
            <w:vAlign w:val="center"/>
          </w:tcPr>
          <w:p w14:paraId="1CB200BC">
            <w:pPr>
              <w:widowControl/>
              <w:jc w:val="center"/>
              <w:rPr>
                <w:kern w:val="0"/>
                <w:sz w:val="18"/>
                <w:szCs w:val="18"/>
              </w:rPr>
            </w:pPr>
            <w:r>
              <w:rPr>
                <w:kern w:val="0"/>
                <w:sz w:val="18"/>
                <w:szCs w:val="18"/>
              </w:rPr>
              <w:t xml:space="preserve"> 193.8</w:t>
            </w:r>
          </w:p>
        </w:tc>
      </w:tr>
      <w:tr w14:paraId="517E06CF">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2BDB0C87">
            <w:pPr>
              <w:widowControl/>
              <w:jc w:val="center"/>
              <w:rPr>
                <w:kern w:val="0"/>
                <w:sz w:val="18"/>
                <w:szCs w:val="18"/>
              </w:rPr>
            </w:pPr>
            <w:r>
              <w:rPr>
                <w:kern w:val="0"/>
                <w:sz w:val="18"/>
                <w:szCs w:val="18"/>
              </w:rPr>
              <w:t xml:space="preserve"> 60</w:t>
            </w:r>
          </w:p>
        </w:tc>
        <w:tc>
          <w:tcPr>
            <w:tcW w:w="1348" w:type="dxa"/>
            <w:tcBorders>
              <w:top w:val="nil"/>
              <w:left w:val="single" w:color="auto" w:sz="2" w:space="0"/>
              <w:right w:val="single" w:color="auto" w:sz="2" w:space="0"/>
            </w:tcBorders>
            <w:noWrap/>
            <w:vAlign w:val="center"/>
          </w:tcPr>
          <w:p w14:paraId="74DF6458">
            <w:pPr>
              <w:widowControl/>
              <w:jc w:val="center"/>
              <w:rPr>
                <w:kern w:val="0"/>
                <w:sz w:val="18"/>
                <w:szCs w:val="18"/>
              </w:rPr>
            </w:pPr>
            <w:r>
              <w:rPr>
                <w:kern w:val="0"/>
                <w:sz w:val="18"/>
                <w:szCs w:val="18"/>
              </w:rPr>
              <w:t xml:space="preserve"> 256.90</w:t>
            </w:r>
          </w:p>
        </w:tc>
        <w:tc>
          <w:tcPr>
            <w:tcW w:w="1347" w:type="dxa"/>
            <w:tcBorders>
              <w:top w:val="nil"/>
              <w:left w:val="single" w:color="auto" w:sz="2" w:space="0"/>
              <w:right w:val="single" w:color="auto" w:sz="2" w:space="0"/>
            </w:tcBorders>
            <w:noWrap/>
            <w:vAlign w:val="center"/>
          </w:tcPr>
          <w:p w14:paraId="4B9F95AD">
            <w:pPr>
              <w:widowControl/>
              <w:jc w:val="center"/>
              <w:rPr>
                <w:kern w:val="0"/>
                <w:sz w:val="18"/>
                <w:szCs w:val="18"/>
              </w:rPr>
            </w:pPr>
            <w:r>
              <w:rPr>
                <w:kern w:val="0"/>
                <w:sz w:val="18"/>
                <w:szCs w:val="18"/>
              </w:rPr>
              <w:t xml:space="preserve"> 259.4</w:t>
            </w:r>
          </w:p>
        </w:tc>
        <w:tc>
          <w:tcPr>
            <w:tcW w:w="1347" w:type="dxa"/>
            <w:tcBorders>
              <w:top w:val="nil"/>
              <w:left w:val="single" w:color="auto" w:sz="2" w:space="0"/>
              <w:right w:val="single" w:color="auto" w:sz="2" w:space="0"/>
            </w:tcBorders>
            <w:noWrap/>
            <w:vAlign w:val="center"/>
          </w:tcPr>
          <w:p w14:paraId="77D84531">
            <w:pPr>
              <w:widowControl/>
              <w:jc w:val="center"/>
              <w:rPr>
                <w:kern w:val="0"/>
                <w:sz w:val="18"/>
                <w:szCs w:val="18"/>
              </w:rPr>
            </w:pPr>
            <w:r>
              <w:rPr>
                <w:kern w:val="0"/>
                <w:sz w:val="18"/>
                <w:szCs w:val="18"/>
              </w:rPr>
              <w:t xml:space="preserve"> 262.8</w:t>
            </w:r>
          </w:p>
        </w:tc>
        <w:tc>
          <w:tcPr>
            <w:tcW w:w="1347" w:type="dxa"/>
            <w:tcBorders>
              <w:top w:val="nil"/>
              <w:left w:val="single" w:color="auto" w:sz="2" w:space="0"/>
              <w:right w:val="single" w:color="auto" w:sz="2" w:space="0"/>
            </w:tcBorders>
            <w:noWrap/>
            <w:vAlign w:val="center"/>
          </w:tcPr>
          <w:p w14:paraId="5A3FBA4C">
            <w:pPr>
              <w:widowControl/>
              <w:jc w:val="center"/>
              <w:rPr>
                <w:kern w:val="0"/>
                <w:sz w:val="18"/>
                <w:szCs w:val="18"/>
              </w:rPr>
            </w:pPr>
            <w:r>
              <w:rPr>
                <w:kern w:val="0"/>
                <w:sz w:val="18"/>
                <w:szCs w:val="18"/>
              </w:rPr>
              <w:t xml:space="preserve"> 267.8</w:t>
            </w:r>
          </w:p>
        </w:tc>
        <w:tc>
          <w:tcPr>
            <w:tcW w:w="1347" w:type="dxa"/>
            <w:tcBorders>
              <w:top w:val="nil"/>
              <w:left w:val="single" w:color="auto" w:sz="2" w:space="0"/>
              <w:right w:val="single" w:color="auto" w:sz="2" w:space="0"/>
            </w:tcBorders>
            <w:noWrap/>
            <w:vAlign w:val="center"/>
          </w:tcPr>
          <w:p w14:paraId="3E81A95C">
            <w:pPr>
              <w:widowControl/>
              <w:jc w:val="center"/>
              <w:rPr>
                <w:kern w:val="0"/>
                <w:sz w:val="18"/>
                <w:szCs w:val="18"/>
              </w:rPr>
            </w:pPr>
            <w:r>
              <w:rPr>
                <w:kern w:val="0"/>
                <w:sz w:val="18"/>
                <w:szCs w:val="18"/>
              </w:rPr>
              <w:t xml:space="preserve"> 272.0</w:t>
            </w:r>
          </w:p>
        </w:tc>
        <w:tc>
          <w:tcPr>
            <w:tcW w:w="1353" w:type="dxa"/>
            <w:tcBorders>
              <w:top w:val="nil"/>
              <w:left w:val="single" w:color="auto" w:sz="2" w:space="0"/>
            </w:tcBorders>
            <w:noWrap/>
            <w:vAlign w:val="center"/>
          </w:tcPr>
          <w:p w14:paraId="2998360B">
            <w:pPr>
              <w:widowControl/>
              <w:jc w:val="center"/>
              <w:rPr>
                <w:kern w:val="0"/>
                <w:sz w:val="18"/>
                <w:szCs w:val="18"/>
              </w:rPr>
            </w:pPr>
            <w:r>
              <w:rPr>
                <w:kern w:val="0"/>
                <w:sz w:val="18"/>
                <w:szCs w:val="18"/>
              </w:rPr>
              <w:t xml:space="preserve"> 276.1</w:t>
            </w:r>
          </w:p>
        </w:tc>
      </w:tr>
      <w:tr w14:paraId="33B61D3A">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36176CE1">
            <w:pPr>
              <w:widowControl/>
              <w:jc w:val="center"/>
              <w:rPr>
                <w:kern w:val="0"/>
                <w:sz w:val="18"/>
                <w:szCs w:val="18"/>
              </w:rPr>
            </w:pPr>
            <w:r>
              <w:rPr>
                <w:kern w:val="0"/>
                <w:sz w:val="18"/>
                <w:szCs w:val="18"/>
              </w:rPr>
              <w:t xml:space="preserve"> 80</w:t>
            </w:r>
          </w:p>
        </w:tc>
        <w:tc>
          <w:tcPr>
            <w:tcW w:w="1348" w:type="dxa"/>
            <w:tcBorders>
              <w:top w:val="nil"/>
              <w:left w:val="single" w:color="auto" w:sz="2" w:space="0"/>
              <w:right w:val="single" w:color="auto" w:sz="2" w:space="0"/>
            </w:tcBorders>
            <w:noWrap/>
            <w:vAlign w:val="center"/>
          </w:tcPr>
          <w:p w14:paraId="189E3E14">
            <w:pPr>
              <w:widowControl/>
              <w:jc w:val="center"/>
              <w:rPr>
                <w:kern w:val="0"/>
                <w:sz w:val="18"/>
                <w:szCs w:val="18"/>
              </w:rPr>
            </w:pPr>
            <w:r>
              <w:rPr>
                <w:kern w:val="0"/>
                <w:sz w:val="18"/>
                <w:szCs w:val="18"/>
              </w:rPr>
              <w:t xml:space="preserve"> 340.40</w:t>
            </w:r>
          </w:p>
        </w:tc>
        <w:tc>
          <w:tcPr>
            <w:tcW w:w="1347" w:type="dxa"/>
            <w:tcBorders>
              <w:top w:val="nil"/>
              <w:left w:val="single" w:color="auto" w:sz="2" w:space="0"/>
              <w:right w:val="single" w:color="auto" w:sz="2" w:space="0"/>
            </w:tcBorders>
            <w:noWrap/>
            <w:vAlign w:val="center"/>
          </w:tcPr>
          <w:p w14:paraId="043C4F3A">
            <w:pPr>
              <w:widowControl/>
              <w:jc w:val="center"/>
              <w:rPr>
                <w:kern w:val="0"/>
                <w:sz w:val="18"/>
                <w:szCs w:val="18"/>
              </w:rPr>
            </w:pPr>
            <w:r>
              <w:rPr>
                <w:kern w:val="0"/>
                <w:sz w:val="18"/>
                <w:szCs w:val="18"/>
              </w:rPr>
              <w:t xml:space="preserve"> 342.8</w:t>
            </w:r>
          </w:p>
        </w:tc>
        <w:tc>
          <w:tcPr>
            <w:tcW w:w="1347" w:type="dxa"/>
            <w:tcBorders>
              <w:top w:val="nil"/>
              <w:left w:val="single" w:color="auto" w:sz="2" w:space="0"/>
              <w:right w:val="single" w:color="auto" w:sz="2" w:space="0"/>
            </w:tcBorders>
            <w:noWrap/>
            <w:vAlign w:val="center"/>
          </w:tcPr>
          <w:p w14:paraId="3B305FE3">
            <w:pPr>
              <w:widowControl/>
              <w:jc w:val="center"/>
              <w:rPr>
                <w:kern w:val="0"/>
                <w:sz w:val="18"/>
                <w:szCs w:val="18"/>
              </w:rPr>
            </w:pPr>
            <w:r>
              <w:rPr>
                <w:kern w:val="0"/>
                <w:sz w:val="18"/>
                <w:szCs w:val="18"/>
              </w:rPr>
              <w:t xml:space="preserve"> 346.0</w:t>
            </w:r>
          </w:p>
        </w:tc>
        <w:tc>
          <w:tcPr>
            <w:tcW w:w="1347" w:type="dxa"/>
            <w:tcBorders>
              <w:top w:val="nil"/>
              <w:left w:val="single" w:color="auto" w:sz="2" w:space="0"/>
              <w:right w:val="single" w:color="auto" w:sz="2" w:space="0"/>
            </w:tcBorders>
            <w:noWrap/>
            <w:vAlign w:val="center"/>
          </w:tcPr>
          <w:p w14:paraId="5FF7EB99">
            <w:pPr>
              <w:widowControl/>
              <w:jc w:val="center"/>
              <w:rPr>
                <w:kern w:val="0"/>
                <w:sz w:val="18"/>
                <w:szCs w:val="18"/>
              </w:rPr>
            </w:pPr>
            <w:r>
              <w:rPr>
                <w:kern w:val="0"/>
                <w:sz w:val="18"/>
                <w:szCs w:val="18"/>
              </w:rPr>
              <w:t xml:space="preserve"> 350.8</w:t>
            </w:r>
          </w:p>
        </w:tc>
        <w:tc>
          <w:tcPr>
            <w:tcW w:w="1347" w:type="dxa"/>
            <w:tcBorders>
              <w:top w:val="nil"/>
              <w:left w:val="single" w:color="auto" w:sz="2" w:space="0"/>
              <w:right w:val="single" w:color="auto" w:sz="2" w:space="0"/>
            </w:tcBorders>
            <w:noWrap/>
            <w:vAlign w:val="center"/>
          </w:tcPr>
          <w:p w14:paraId="55D7A926">
            <w:pPr>
              <w:widowControl/>
              <w:jc w:val="center"/>
              <w:rPr>
                <w:kern w:val="0"/>
                <w:sz w:val="18"/>
                <w:szCs w:val="18"/>
              </w:rPr>
            </w:pPr>
            <w:r>
              <w:rPr>
                <w:kern w:val="0"/>
                <w:sz w:val="18"/>
                <w:szCs w:val="18"/>
              </w:rPr>
              <w:t xml:space="preserve"> 354.8</w:t>
            </w:r>
          </w:p>
        </w:tc>
        <w:tc>
          <w:tcPr>
            <w:tcW w:w="1353" w:type="dxa"/>
            <w:tcBorders>
              <w:top w:val="nil"/>
              <w:left w:val="single" w:color="auto" w:sz="2" w:space="0"/>
            </w:tcBorders>
            <w:noWrap/>
            <w:vAlign w:val="center"/>
          </w:tcPr>
          <w:p w14:paraId="661F8EAF">
            <w:pPr>
              <w:widowControl/>
              <w:jc w:val="center"/>
              <w:rPr>
                <w:kern w:val="0"/>
                <w:sz w:val="18"/>
                <w:szCs w:val="18"/>
              </w:rPr>
            </w:pPr>
            <w:r>
              <w:rPr>
                <w:kern w:val="0"/>
                <w:sz w:val="18"/>
                <w:szCs w:val="18"/>
              </w:rPr>
              <w:t xml:space="preserve"> 358.7</w:t>
            </w:r>
          </w:p>
        </w:tc>
      </w:tr>
      <w:tr w14:paraId="321E02A0">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3980B264">
            <w:pPr>
              <w:widowControl/>
              <w:jc w:val="center"/>
              <w:rPr>
                <w:kern w:val="0"/>
                <w:sz w:val="18"/>
                <w:szCs w:val="18"/>
              </w:rPr>
            </w:pPr>
            <w:r>
              <w:rPr>
                <w:kern w:val="0"/>
                <w:sz w:val="18"/>
                <w:szCs w:val="18"/>
              </w:rPr>
              <w:t>100</w:t>
            </w:r>
          </w:p>
        </w:tc>
        <w:tc>
          <w:tcPr>
            <w:tcW w:w="1348" w:type="dxa"/>
            <w:tcBorders>
              <w:top w:val="nil"/>
              <w:left w:val="single" w:color="auto" w:sz="2" w:space="0"/>
              <w:right w:val="single" w:color="auto" w:sz="2" w:space="0"/>
            </w:tcBorders>
            <w:noWrap/>
            <w:vAlign w:val="center"/>
          </w:tcPr>
          <w:p w14:paraId="3402BABC">
            <w:pPr>
              <w:widowControl/>
              <w:jc w:val="center"/>
              <w:rPr>
                <w:kern w:val="0"/>
                <w:sz w:val="18"/>
                <w:szCs w:val="18"/>
              </w:rPr>
            </w:pPr>
            <w:r>
              <w:rPr>
                <w:kern w:val="0"/>
                <w:sz w:val="18"/>
                <w:szCs w:val="18"/>
              </w:rPr>
              <w:t xml:space="preserve"> 424.20</w:t>
            </w:r>
          </w:p>
        </w:tc>
        <w:tc>
          <w:tcPr>
            <w:tcW w:w="1347" w:type="dxa"/>
            <w:tcBorders>
              <w:top w:val="nil"/>
              <w:left w:val="single" w:color="auto" w:sz="2" w:space="0"/>
              <w:right w:val="single" w:color="auto" w:sz="2" w:space="0"/>
            </w:tcBorders>
            <w:noWrap/>
            <w:vAlign w:val="center"/>
          </w:tcPr>
          <w:p w14:paraId="404A39E8">
            <w:pPr>
              <w:widowControl/>
              <w:jc w:val="center"/>
              <w:rPr>
                <w:kern w:val="0"/>
                <w:sz w:val="18"/>
                <w:szCs w:val="18"/>
              </w:rPr>
            </w:pPr>
            <w:r>
              <w:rPr>
                <w:kern w:val="0"/>
                <w:sz w:val="18"/>
                <w:szCs w:val="18"/>
              </w:rPr>
              <w:t xml:space="preserve"> 426.5</w:t>
            </w:r>
          </w:p>
        </w:tc>
        <w:tc>
          <w:tcPr>
            <w:tcW w:w="1347" w:type="dxa"/>
            <w:tcBorders>
              <w:top w:val="nil"/>
              <w:left w:val="single" w:color="auto" w:sz="2" w:space="0"/>
              <w:right w:val="single" w:color="auto" w:sz="2" w:space="0"/>
            </w:tcBorders>
            <w:noWrap/>
            <w:vAlign w:val="center"/>
          </w:tcPr>
          <w:p w14:paraId="76EC260C">
            <w:pPr>
              <w:widowControl/>
              <w:jc w:val="center"/>
              <w:rPr>
                <w:kern w:val="0"/>
                <w:sz w:val="18"/>
                <w:szCs w:val="18"/>
              </w:rPr>
            </w:pPr>
            <w:r>
              <w:rPr>
                <w:kern w:val="0"/>
                <w:sz w:val="18"/>
                <w:szCs w:val="18"/>
              </w:rPr>
              <w:t xml:space="preserve"> 429.5</w:t>
            </w:r>
          </w:p>
        </w:tc>
        <w:tc>
          <w:tcPr>
            <w:tcW w:w="1347" w:type="dxa"/>
            <w:tcBorders>
              <w:top w:val="nil"/>
              <w:left w:val="single" w:color="auto" w:sz="2" w:space="0"/>
              <w:right w:val="single" w:color="auto" w:sz="2" w:space="0"/>
            </w:tcBorders>
            <w:noWrap/>
            <w:vAlign w:val="center"/>
          </w:tcPr>
          <w:p w14:paraId="47C1BD39">
            <w:pPr>
              <w:widowControl/>
              <w:jc w:val="center"/>
              <w:rPr>
                <w:kern w:val="0"/>
                <w:sz w:val="18"/>
                <w:szCs w:val="18"/>
              </w:rPr>
            </w:pPr>
            <w:r>
              <w:rPr>
                <w:kern w:val="0"/>
                <w:sz w:val="18"/>
                <w:szCs w:val="18"/>
              </w:rPr>
              <w:t xml:space="preserve"> 434.0</w:t>
            </w:r>
          </w:p>
        </w:tc>
        <w:tc>
          <w:tcPr>
            <w:tcW w:w="1347" w:type="dxa"/>
            <w:tcBorders>
              <w:top w:val="nil"/>
              <w:left w:val="single" w:color="auto" w:sz="2" w:space="0"/>
              <w:right w:val="single" w:color="auto" w:sz="2" w:space="0"/>
            </w:tcBorders>
            <w:noWrap/>
            <w:vAlign w:val="center"/>
          </w:tcPr>
          <w:p w14:paraId="67A27AC1">
            <w:pPr>
              <w:widowControl/>
              <w:jc w:val="center"/>
              <w:rPr>
                <w:kern w:val="0"/>
                <w:sz w:val="18"/>
                <w:szCs w:val="18"/>
              </w:rPr>
            </w:pPr>
            <w:r>
              <w:rPr>
                <w:kern w:val="0"/>
                <w:sz w:val="18"/>
                <w:szCs w:val="18"/>
              </w:rPr>
              <w:t xml:space="preserve"> 437.8</w:t>
            </w:r>
          </w:p>
        </w:tc>
        <w:tc>
          <w:tcPr>
            <w:tcW w:w="1353" w:type="dxa"/>
            <w:tcBorders>
              <w:top w:val="nil"/>
              <w:left w:val="single" w:color="auto" w:sz="2" w:space="0"/>
            </w:tcBorders>
            <w:noWrap/>
            <w:vAlign w:val="center"/>
          </w:tcPr>
          <w:p w14:paraId="2DA56D9B">
            <w:pPr>
              <w:widowControl/>
              <w:jc w:val="center"/>
              <w:rPr>
                <w:kern w:val="0"/>
                <w:sz w:val="18"/>
                <w:szCs w:val="18"/>
              </w:rPr>
            </w:pPr>
            <w:r>
              <w:rPr>
                <w:kern w:val="0"/>
                <w:sz w:val="18"/>
                <w:szCs w:val="18"/>
              </w:rPr>
              <w:t xml:space="preserve"> 441.6</w:t>
            </w:r>
          </w:p>
        </w:tc>
      </w:tr>
      <w:tr w14:paraId="42992689">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25AEF37F">
            <w:pPr>
              <w:widowControl/>
              <w:jc w:val="center"/>
              <w:rPr>
                <w:kern w:val="0"/>
                <w:sz w:val="18"/>
                <w:szCs w:val="18"/>
              </w:rPr>
            </w:pPr>
            <w:r>
              <w:rPr>
                <w:kern w:val="0"/>
                <w:sz w:val="18"/>
                <w:szCs w:val="18"/>
              </w:rPr>
              <w:t>120</w:t>
            </w:r>
          </w:p>
        </w:tc>
        <w:tc>
          <w:tcPr>
            <w:tcW w:w="1348" w:type="dxa"/>
            <w:tcBorders>
              <w:top w:val="nil"/>
              <w:left w:val="single" w:color="auto" w:sz="2" w:space="0"/>
              <w:right w:val="single" w:color="auto" w:sz="2" w:space="0"/>
            </w:tcBorders>
            <w:noWrap/>
            <w:vAlign w:val="center"/>
          </w:tcPr>
          <w:p w14:paraId="43DCF6ED">
            <w:pPr>
              <w:widowControl/>
              <w:jc w:val="center"/>
              <w:rPr>
                <w:kern w:val="0"/>
                <w:sz w:val="18"/>
                <w:szCs w:val="18"/>
              </w:rPr>
            </w:pPr>
            <w:r>
              <w:rPr>
                <w:kern w:val="0"/>
                <w:sz w:val="18"/>
                <w:szCs w:val="18"/>
              </w:rPr>
              <w:t xml:space="preserve"> 508.50</w:t>
            </w:r>
          </w:p>
        </w:tc>
        <w:tc>
          <w:tcPr>
            <w:tcW w:w="1347" w:type="dxa"/>
            <w:tcBorders>
              <w:top w:val="nil"/>
              <w:left w:val="single" w:color="auto" w:sz="2" w:space="0"/>
              <w:right w:val="single" w:color="auto" w:sz="2" w:space="0"/>
            </w:tcBorders>
            <w:noWrap/>
            <w:vAlign w:val="center"/>
          </w:tcPr>
          <w:p w14:paraId="0D04B5CA">
            <w:pPr>
              <w:widowControl/>
              <w:jc w:val="center"/>
              <w:rPr>
                <w:kern w:val="0"/>
                <w:sz w:val="18"/>
                <w:szCs w:val="18"/>
              </w:rPr>
            </w:pPr>
            <w:r>
              <w:rPr>
                <w:kern w:val="0"/>
                <w:sz w:val="18"/>
                <w:szCs w:val="18"/>
              </w:rPr>
              <w:t xml:space="preserve"> 510.6</w:t>
            </w:r>
          </w:p>
        </w:tc>
        <w:tc>
          <w:tcPr>
            <w:tcW w:w="1347" w:type="dxa"/>
            <w:tcBorders>
              <w:top w:val="nil"/>
              <w:left w:val="single" w:color="auto" w:sz="2" w:space="0"/>
              <w:right w:val="single" w:color="auto" w:sz="2" w:space="0"/>
            </w:tcBorders>
            <w:noWrap/>
            <w:vAlign w:val="center"/>
          </w:tcPr>
          <w:p w14:paraId="323052F5">
            <w:pPr>
              <w:widowControl/>
              <w:jc w:val="center"/>
              <w:rPr>
                <w:kern w:val="0"/>
                <w:sz w:val="18"/>
                <w:szCs w:val="18"/>
              </w:rPr>
            </w:pPr>
            <w:r>
              <w:rPr>
                <w:kern w:val="0"/>
                <w:sz w:val="18"/>
                <w:szCs w:val="18"/>
              </w:rPr>
              <w:t xml:space="preserve"> 513.5</w:t>
            </w:r>
          </w:p>
        </w:tc>
        <w:tc>
          <w:tcPr>
            <w:tcW w:w="1347" w:type="dxa"/>
            <w:tcBorders>
              <w:top w:val="nil"/>
              <w:left w:val="single" w:color="auto" w:sz="2" w:space="0"/>
              <w:right w:val="single" w:color="auto" w:sz="2" w:space="0"/>
            </w:tcBorders>
            <w:noWrap/>
            <w:vAlign w:val="center"/>
          </w:tcPr>
          <w:p w14:paraId="6C990C6E">
            <w:pPr>
              <w:widowControl/>
              <w:jc w:val="center"/>
              <w:rPr>
                <w:kern w:val="0"/>
                <w:sz w:val="18"/>
                <w:szCs w:val="18"/>
              </w:rPr>
            </w:pPr>
            <w:r>
              <w:rPr>
                <w:kern w:val="0"/>
                <w:sz w:val="18"/>
                <w:szCs w:val="18"/>
              </w:rPr>
              <w:t xml:space="preserve"> 517.7</w:t>
            </w:r>
          </w:p>
        </w:tc>
        <w:tc>
          <w:tcPr>
            <w:tcW w:w="1347" w:type="dxa"/>
            <w:tcBorders>
              <w:top w:val="nil"/>
              <w:left w:val="single" w:color="auto" w:sz="2" w:space="0"/>
              <w:right w:val="single" w:color="auto" w:sz="2" w:space="0"/>
            </w:tcBorders>
            <w:noWrap/>
            <w:vAlign w:val="center"/>
          </w:tcPr>
          <w:p w14:paraId="298A03D2">
            <w:pPr>
              <w:widowControl/>
              <w:jc w:val="center"/>
              <w:rPr>
                <w:kern w:val="0"/>
                <w:sz w:val="18"/>
                <w:szCs w:val="18"/>
              </w:rPr>
            </w:pPr>
            <w:r>
              <w:rPr>
                <w:kern w:val="0"/>
                <w:sz w:val="18"/>
                <w:szCs w:val="18"/>
              </w:rPr>
              <w:t xml:space="preserve"> 521.3</w:t>
            </w:r>
          </w:p>
        </w:tc>
        <w:tc>
          <w:tcPr>
            <w:tcW w:w="1353" w:type="dxa"/>
            <w:tcBorders>
              <w:top w:val="nil"/>
              <w:left w:val="single" w:color="auto" w:sz="2" w:space="0"/>
            </w:tcBorders>
            <w:noWrap/>
            <w:vAlign w:val="center"/>
          </w:tcPr>
          <w:p w14:paraId="4EDF51D7">
            <w:pPr>
              <w:widowControl/>
              <w:jc w:val="center"/>
              <w:rPr>
                <w:kern w:val="0"/>
                <w:sz w:val="18"/>
                <w:szCs w:val="18"/>
              </w:rPr>
            </w:pPr>
            <w:r>
              <w:rPr>
                <w:kern w:val="0"/>
                <w:sz w:val="18"/>
                <w:szCs w:val="18"/>
              </w:rPr>
              <w:t xml:space="preserve"> 524.9</w:t>
            </w:r>
          </w:p>
        </w:tc>
      </w:tr>
      <w:tr w14:paraId="58586B90">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61ACDC1B">
            <w:pPr>
              <w:widowControl/>
              <w:jc w:val="center"/>
              <w:rPr>
                <w:kern w:val="0"/>
                <w:sz w:val="18"/>
                <w:szCs w:val="18"/>
              </w:rPr>
            </w:pPr>
            <w:r>
              <w:rPr>
                <w:kern w:val="0"/>
                <w:sz w:val="18"/>
                <w:szCs w:val="18"/>
              </w:rPr>
              <w:t>140</w:t>
            </w:r>
          </w:p>
        </w:tc>
        <w:tc>
          <w:tcPr>
            <w:tcW w:w="1348" w:type="dxa"/>
            <w:tcBorders>
              <w:top w:val="nil"/>
              <w:left w:val="single" w:color="auto" w:sz="2" w:space="0"/>
              <w:right w:val="single" w:color="auto" w:sz="2" w:space="0"/>
            </w:tcBorders>
            <w:noWrap/>
            <w:vAlign w:val="center"/>
          </w:tcPr>
          <w:p w14:paraId="794C3141">
            <w:pPr>
              <w:widowControl/>
              <w:jc w:val="center"/>
              <w:rPr>
                <w:kern w:val="0"/>
                <w:sz w:val="18"/>
                <w:szCs w:val="18"/>
              </w:rPr>
            </w:pPr>
            <w:r>
              <w:rPr>
                <w:kern w:val="0"/>
                <w:sz w:val="18"/>
                <w:szCs w:val="18"/>
              </w:rPr>
              <w:t xml:space="preserve"> 593.40</w:t>
            </w:r>
          </w:p>
        </w:tc>
        <w:tc>
          <w:tcPr>
            <w:tcW w:w="1347" w:type="dxa"/>
            <w:tcBorders>
              <w:top w:val="nil"/>
              <w:left w:val="single" w:color="auto" w:sz="2" w:space="0"/>
              <w:right w:val="single" w:color="auto" w:sz="2" w:space="0"/>
            </w:tcBorders>
            <w:noWrap/>
            <w:vAlign w:val="center"/>
          </w:tcPr>
          <w:p w14:paraId="20D09346">
            <w:pPr>
              <w:widowControl/>
              <w:jc w:val="center"/>
              <w:rPr>
                <w:kern w:val="0"/>
                <w:sz w:val="18"/>
                <w:szCs w:val="18"/>
              </w:rPr>
            </w:pPr>
            <w:r>
              <w:rPr>
                <w:kern w:val="0"/>
                <w:sz w:val="18"/>
                <w:szCs w:val="18"/>
              </w:rPr>
              <w:t xml:space="preserve"> 595.4</w:t>
            </w:r>
          </w:p>
        </w:tc>
        <w:tc>
          <w:tcPr>
            <w:tcW w:w="1347" w:type="dxa"/>
            <w:tcBorders>
              <w:top w:val="nil"/>
              <w:left w:val="single" w:color="auto" w:sz="2" w:space="0"/>
              <w:right w:val="single" w:color="auto" w:sz="2" w:space="0"/>
            </w:tcBorders>
            <w:noWrap/>
            <w:vAlign w:val="center"/>
          </w:tcPr>
          <w:p w14:paraId="51E7A841">
            <w:pPr>
              <w:widowControl/>
              <w:jc w:val="center"/>
              <w:rPr>
                <w:kern w:val="0"/>
                <w:sz w:val="18"/>
                <w:szCs w:val="18"/>
              </w:rPr>
            </w:pPr>
            <w:r>
              <w:rPr>
                <w:kern w:val="0"/>
                <w:sz w:val="18"/>
                <w:szCs w:val="18"/>
              </w:rPr>
              <w:t xml:space="preserve"> 598.0</w:t>
            </w:r>
          </w:p>
        </w:tc>
        <w:tc>
          <w:tcPr>
            <w:tcW w:w="1347" w:type="dxa"/>
            <w:tcBorders>
              <w:top w:val="nil"/>
              <w:left w:val="single" w:color="auto" w:sz="2" w:space="0"/>
              <w:right w:val="single" w:color="auto" w:sz="2" w:space="0"/>
            </w:tcBorders>
            <w:noWrap/>
            <w:vAlign w:val="center"/>
          </w:tcPr>
          <w:p w14:paraId="148E2426">
            <w:pPr>
              <w:widowControl/>
              <w:jc w:val="center"/>
              <w:rPr>
                <w:kern w:val="0"/>
                <w:sz w:val="18"/>
                <w:szCs w:val="18"/>
              </w:rPr>
            </w:pPr>
            <w:r>
              <w:rPr>
                <w:kern w:val="0"/>
                <w:sz w:val="18"/>
                <w:szCs w:val="18"/>
              </w:rPr>
              <w:t xml:space="preserve"> 602.0</w:t>
            </w:r>
          </w:p>
        </w:tc>
        <w:tc>
          <w:tcPr>
            <w:tcW w:w="1347" w:type="dxa"/>
            <w:tcBorders>
              <w:top w:val="nil"/>
              <w:left w:val="single" w:color="auto" w:sz="2" w:space="0"/>
              <w:right w:val="single" w:color="auto" w:sz="2" w:space="0"/>
            </w:tcBorders>
            <w:noWrap/>
            <w:vAlign w:val="center"/>
          </w:tcPr>
          <w:p w14:paraId="3050A135">
            <w:pPr>
              <w:widowControl/>
              <w:jc w:val="center"/>
              <w:rPr>
                <w:kern w:val="0"/>
                <w:sz w:val="18"/>
                <w:szCs w:val="18"/>
              </w:rPr>
            </w:pPr>
            <w:r>
              <w:rPr>
                <w:kern w:val="0"/>
                <w:sz w:val="18"/>
                <w:szCs w:val="18"/>
              </w:rPr>
              <w:t xml:space="preserve"> 605.4</w:t>
            </w:r>
          </w:p>
        </w:tc>
        <w:tc>
          <w:tcPr>
            <w:tcW w:w="1353" w:type="dxa"/>
            <w:tcBorders>
              <w:top w:val="nil"/>
              <w:left w:val="single" w:color="auto" w:sz="2" w:space="0"/>
            </w:tcBorders>
            <w:noWrap/>
            <w:vAlign w:val="center"/>
          </w:tcPr>
          <w:p w14:paraId="450C550B">
            <w:pPr>
              <w:widowControl/>
              <w:jc w:val="center"/>
              <w:rPr>
                <w:kern w:val="0"/>
                <w:sz w:val="18"/>
                <w:szCs w:val="18"/>
              </w:rPr>
            </w:pPr>
            <w:r>
              <w:rPr>
                <w:kern w:val="0"/>
                <w:sz w:val="18"/>
                <w:szCs w:val="18"/>
              </w:rPr>
              <w:t xml:space="preserve"> 603.1</w:t>
            </w:r>
          </w:p>
        </w:tc>
      </w:tr>
      <w:tr w14:paraId="3FB96E26">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16EB7E84">
            <w:pPr>
              <w:widowControl/>
              <w:jc w:val="center"/>
              <w:rPr>
                <w:kern w:val="0"/>
                <w:sz w:val="18"/>
                <w:szCs w:val="18"/>
              </w:rPr>
            </w:pPr>
            <w:r>
              <w:rPr>
                <w:kern w:val="0"/>
                <w:sz w:val="18"/>
                <w:szCs w:val="18"/>
              </w:rPr>
              <w:t>160</w:t>
            </w:r>
          </w:p>
        </w:tc>
        <w:tc>
          <w:tcPr>
            <w:tcW w:w="1348" w:type="dxa"/>
            <w:tcBorders>
              <w:top w:val="nil"/>
              <w:left w:val="single" w:color="auto" w:sz="2" w:space="0"/>
              <w:right w:val="single" w:color="auto" w:sz="2" w:space="0"/>
            </w:tcBorders>
            <w:noWrap/>
            <w:vAlign w:val="center"/>
          </w:tcPr>
          <w:p w14:paraId="6788D0FB">
            <w:pPr>
              <w:widowControl/>
              <w:jc w:val="center"/>
              <w:rPr>
                <w:kern w:val="0"/>
                <w:sz w:val="18"/>
                <w:szCs w:val="18"/>
              </w:rPr>
            </w:pPr>
            <w:r>
              <w:rPr>
                <w:kern w:val="0"/>
                <w:sz w:val="18"/>
                <w:szCs w:val="18"/>
              </w:rPr>
              <w:t xml:space="preserve"> 679.20</w:t>
            </w:r>
          </w:p>
        </w:tc>
        <w:tc>
          <w:tcPr>
            <w:tcW w:w="1347" w:type="dxa"/>
            <w:tcBorders>
              <w:top w:val="nil"/>
              <w:left w:val="single" w:color="auto" w:sz="2" w:space="0"/>
              <w:right w:val="single" w:color="auto" w:sz="2" w:space="0"/>
            </w:tcBorders>
            <w:noWrap/>
            <w:vAlign w:val="center"/>
          </w:tcPr>
          <w:p w14:paraId="61913262">
            <w:pPr>
              <w:widowControl/>
              <w:jc w:val="center"/>
              <w:rPr>
                <w:kern w:val="0"/>
                <w:sz w:val="18"/>
                <w:szCs w:val="18"/>
              </w:rPr>
            </w:pPr>
            <w:r>
              <w:rPr>
                <w:kern w:val="0"/>
                <w:sz w:val="18"/>
                <w:szCs w:val="18"/>
              </w:rPr>
              <w:t xml:space="preserve"> 681.0</w:t>
            </w:r>
          </w:p>
        </w:tc>
        <w:tc>
          <w:tcPr>
            <w:tcW w:w="1347" w:type="dxa"/>
            <w:tcBorders>
              <w:top w:val="nil"/>
              <w:left w:val="single" w:color="auto" w:sz="2" w:space="0"/>
              <w:right w:val="single" w:color="auto" w:sz="2" w:space="0"/>
            </w:tcBorders>
            <w:noWrap/>
            <w:vAlign w:val="center"/>
          </w:tcPr>
          <w:p w14:paraId="37629DCF">
            <w:pPr>
              <w:widowControl/>
              <w:jc w:val="center"/>
              <w:rPr>
                <w:kern w:val="0"/>
                <w:sz w:val="18"/>
                <w:szCs w:val="18"/>
              </w:rPr>
            </w:pPr>
            <w:r>
              <w:rPr>
                <w:kern w:val="0"/>
                <w:sz w:val="18"/>
                <w:szCs w:val="18"/>
              </w:rPr>
              <w:t xml:space="preserve"> 683.4</w:t>
            </w:r>
          </w:p>
        </w:tc>
        <w:tc>
          <w:tcPr>
            <w:tcW w:w="1347" w:type="dxa"/>
            <w:tcBorders>
              <w:top w:val="nil"/>
              <w:left w:val="single" w:color="auto" w:sz="2" w:space="0"/>
              <w:right w:val="single" w:color="auto" w:sz="2" w:space="0"/>
            </w:tcBorders>
            <w:noWrap/>
            <w:vAlign w:val="center"/>
          </w:tcPr>
          <w:p w14:paraId="1797F989">
            <w:pPr>
              <w:widowControl/>
              <w:jc w:val="center"/>
              <w:rPr>
                <w:kern w:val="0"/>
                <w:sz w:val="18"/>
                <w:szCs w:val="18"/>
              </w:rPr>
            </w:pPr>
            <w:r>
              <w:rPr>
                <w:kern w:val="0"/>
                <w:sz w:val="18"/>
                <w:szCs w:val="18"/>
              </w:rPr>
              <w:t xml:space="preserve"> 687.1</w:t>
            </w:r>
          </w:p>
        </w:tc>
        <w:tc>
          <w:tcPr>
            <w:tcW w:w="1347" w:type="dxa"/>
            <w:tcBorders>
              <w:top w:val="nil"/>
              <w:left w:val="single" w:color="auto" w:sz="2" w:space="0"/>
              <w:right w:val="single" w:color="auto" w:sz="2" w:space="0"/>
            </w:tcBorders>
            <w:noWrap/>
            <w:vAlign w:val="center"/>
          </w:tcPr>
          <w:p w14:paraId="1720231B">
            <w:pPr>
              <w:widowControl/>
              <w:jc w:val="center"/>
              <w:rPr>
                <w:kern w:val="0"/>
                <w:sz w:val="18"/>
                <w:szCs w:val="18"/>
              </w:rPr>
            </w:pPr>
            <w:r>
              <w:rPr>
                <w:kern w:val="0"/>
                <w:sz w:val="18"/>
                <w:szCs w:val="18"/>
              </w:rPr>
              <w:t xml:space="preserve"> 690.2</w:t>
            </w:r>
          </w:p>
        </w:tc>
        <w:tc>
          <w:tcPr>
            <w:tcW w:w="1353" w:type="dxa"/>
            <w:tcBorders>
              <w:top w:val="nil"/>
              <w:left w:val="single" w:color="auto" w:sz="2" w:space="0"/>
            </w:tcBorders>
            <w:noWrap/>
            <w:vAlign w:val="center"/>
          </w:tcPr>
          <w:p w14:paraId="147463DC">
            <w:pPr>
              <w:widowControl/>
              <w:jc w:val="center"/>
              <w:rPr>
                <w:kern w:val="0"/>
                <w:sz w:val="18"/>
                <w:szCs w:val="18"/>
              </w:rPr>
            </w:pPr>
            <w:r>
              <w:rPr>
                <w:kern w:val="0"/>
                <w:sz w:val="18"/>
                <w:szCs w:val="18"/>
              </w:rPr>
              <w:t xml:space="preserve"> 693.3</w:t>
            </w:r>
          </w:p>
        </w:tc>
      </w:tr>
      <w:tr w14:paraId="0EF85D8A">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5755C164">
            <w:pPr>
              <w:widowControl/>
              <w:jc w:val="center"/>
              <w:rPr>
                <w:kern w:val="0"/>
                <w:sz w:val="18"/>
                <w:szCs w:val="18"/>
              </w:rPr>
            </w:pPr>
            <w:r>
              <w:rPr>
                <w:kern w:val="0"/>
                <w:sz w:val="18"/>
                <w:szCs w:val="18"/>
              </w:rPr>
              <w:t>180</w:t>
            </w:r>
          </w:p>
        </w:tc>
        <w:tc>
          <w:tcPr>
            <w:tcW w:w="1348" w:type="dxa"/>
            <w:tcBorders>
              <w:top w:val="nil"/>
              <w:left w:val="single" w:color="auto" w:sz="2" w:space="0"/>
              <w:right w:val="single" w:color="auto" w:sz="2" w:space="0"/>
            </w:tcBorders>
            <w:noWrap/>
            <w:vAlign w:val="center"/>
          </w:tcPr>
          <w:p w14:paraId="6CE88FEB">
            <w:pPr>
              <w:widowControl/>
              <w:jc w:val="center"/>
              <w:rPr>
                <w:kern w:val="0"/>
                <w:sz w:val="18"/>
                <w:szCs w:val="18"/>
              </w:rPr>
            </w:pPr>
            <w:r>
              <w:rPr>
                <w:kern w:val="0"/>
                <w:sz w:val="18"/>
                <w:szCs w:val="18"/>
              </w:rPr>
              <w:t xml:space="preserve"> 766.20</w:t>
            </w:r>
          </w:p>
        </w:tc>
        <w:tc>
          <w:tcPr>
            <w:tcW w:w="1347" w:type="dxa"/>
            <w:tcBorders>
              <w:top w:val="nil"/>
              <w:left w:val="single" w:color="auto" w:sz="2" w:space="0"/>
              <w:right w:val="single" w:color="auto" w:sz="2" w:space="0"/>
            </w:tcBorders>
            <w:noWrap/>
            <w:vAlign w:val="center"/>
          </w:tcPr>
          <w:p w14:paraId="2C243572">
            <w:pPr>
              <w:widowControl/>
              <w:jc w:val="center"/>
              <w:rPr>
                <w:kern w:val="0"/>
                <w:sz w:val="18"/>
                <w:szCs w:val="18"/>
              </w:rPr>
            </w:pPr>
            <w:r>
              <w:rPr>
                <w:kern w:val="0"/>
                <w:sz w:val="18"/>
                <w:szCs w:val="18"/>
              </w:rPr>
              <w:t xml:space="preserve"> 767.8</w:t>
            </w:r>
          </w:p>
        </w:tc>
        <w:tc>
          <w:tcPr>
            <w:tcW w:w="1347" w:type="dxa"/>
            <w:tcBorders>
              <w:top w:val="nil"/>
              <w:left w:val="single" w:color="auto" w:sz="2" w:space="0"/>
              <w:right w:val="single" w:color="auto" w:sz="2" w:space="0"/>
            </w:tcBorders>
            <w:noWrap/>
            <w:vAlign w:val="center"/>
          </w:tcPr>
          <w:p w14:paraId="3DA31838">
            <w:pPr>
              <w:widowControl/>
              <w:jc w:val="center"/>
              <w:rPr>
                <w:kern w:val="0"/>
                <w:sz w:val="18"/>
                <w:szCs w:val="18"/>
              </w:rPr>
            </w:pPr>
            <w:r>
              <w:rPr>
                <w:kern w:val="0"/>
                <w:sz w:val="18"/>
                <w:szCs w:val="18"/>
              </w:rPr>
              <w:t xml:space="preserve"> 769.9</w:t>
            </w:r>
          </w:p>
        </w:tc>
        <w:tc>
          <w:tcPr>
            <w:tcW w:w="1347" w:type="dxa"/>
            <w:tcBorders>
              <w:top w:val="nil"/>
              <w:left w:val="single" w:color="auto" w:sz="2" w:space="0"/>
              <w:right w:val="single" w:color="auto" w:sz="2" w:space="0"/>
            </w:tcBorders>
            <w:noWrap/>
            <w:vAlign w:val="center"/>
          </w:tcPr>
          <w:p w14:paraId="232C27D5">
            <w:pPr>
              <w:widowControl/>
              <w:jc w:val="center"/>
              <w:rPr>
                <w:kern w:val="0"/>
                <w:sz w:val="18"/>
                <w:szCs w:val="18"/>
              </w:rPr>
            </w:pPr>
            <w:r>
              <w:rPr>
                <w:kern w:val="0"/>
                <w:sz w:val="18"/>
                <w:szCs w:val="18"/>
              </w:rPr>
              <w:t xml:space="preserve"> 773.1</w:t>
            </w:r>
          </w:p>
        </w:tc>
        <w:tc>
          <w:tcPr>
            <w:tcW w:w="1347" w:type="dxa"/>
            <w:tcBorders>
              <w:top w:val="nil"/>
              <w:left w:val="single" w:color="auto" w:sz="2" w:space="0"/>
              <w:right w:val="single" w:color="auto" w:sz="2" w:space="0"/>
            </w:tcBorders>
            <w:noWrap/>
            <w:vAlign w:val="center"/>
          </w:tcPr>
          <w:p w14:paraId="2705BB6C">
            <w:pPr>
              <w:widowControl/>
              <w:jc w:val="center"/>
              <w:rPr>
                <w:kern w:val="0"/>
                <w:sz w:val="18"/>
                <w:szCs w:val="18"/>
              </w:rPr>
            </w:pPr>
            <w:r>
              <w:rPr>
                <w:kern w:val="0"/>
                <w:sz w:val="18"/>
                <w:szCs w:val="18"/>
              </w:rPr>
              <w:t xml:space="preserve"> 775.9</w:t>
            </w:r>
          </w:p>
        </w:tc>
        <w:tc>
          <w:tcPr>
            <w:tcW w:w="1353" w:type="dxa"/>
            <w:tcBorders>
              <w:top w:val="nil"/>
              <w:left w:val="single" w:color="auto" w:sz="2" w:space="0"/>
            </w:tcBorders>
            <w:noWrap/>
            <w:vAlign w:val="center"/>
          </w:tcPr>
          <w:p w14:paraId="14445371">
            <w:pPr>
              <w:widowControl/>
              <w:jc w:val="center"/>
              <w:rPr>
                <w:kern w:val="0"/>
                <w:sz w:val="18"/>
                <w:szCs w:val="18"/>
              </w:rPr>
            </w:pPr>
            <w:r>
              <w:rPr>
                <w:kern w:val="0"/>
                <w:sz w:val="18"/>
                <w:szCs w:val="18"/>
              </w:rPr>
              <w:t xml:space="preserve"> 778.7</w:t>
            </w:r>
          </w:p>
        </w:tc>
      </w:tr>
      <w:tr w14:paraId="0A8B3AC0">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164F08A0">
            <w:pPr>
              <w:widowControl/>
              <w:jc w:val="center"/>
              <w:rPr>
                <w:kern w:val="0"/>
                <w:sz w:val="18"/>
                <w:szCs w:val="18"/>
              </w:rPr>
            </w:pPr>
            <w:r>
              <w:rPr>
                <w:kern w:val="0"/>
                <w:sz w:val="18"/>
                <w:szCs w:val="18"/>
              </w:rPr>
              <w:t>200</w:t>
            </w:r>
          </w:p>
        </w:tc>
        <w:tc>
          <w:tcPr>
            <w:tcW w:w="1348" w:type="dxa"/>
            <w:tcBorders>
              <w:top w:val="nil"/>
              <w:left w:val="single" w:color="auto" w:sz="2" w:space="0"/>
              <w:right w:val="single" w:color="auto" w:sz="2" w:space="0"/>
            </w:tcBorders>
            <w:noWrap/>
            <w:vAlign w:val="center"/>
          </w:tcPr>
          <w:p w14:paraId="62AF69C8">
            <w:pPr>
              <w:widowControl/>
              <w:jc w:val="center"/>
              <w:rPr>
                <w:kern w:val="0"/>
                <w:sz w:val="18"/>
                <w:szCs w:val="18"/>
              </w:rPr>
            </w:pPr>
            <w:r>
              <w:rPr>
                <w:kern w:val="0"/>
                <w:sz w:val="18"/>
                <w:szCs w:val="18"/>
              </w:rPr>
              <w:t xml:space="preserve"> 854.63</w:t>
            </w:r>
          </w:p>
        </w:tc>
        <w:tc>
          <w:tcPr>
            <w:tcW w:w="1347" w:type="dxa"/>
            <w:tcBorders>
              <w:top w:val="nil"/>
              <w:left w:val="single" w:color="auto" w:sz="2" w:space="0"/>
              <w:right w:val="single" w:color="auto" w:sz="2" w:space="0"/>
            </w:tcBorders>
            <w:noWrap/>
            <w:vAlign w:val="center"/>
          </w:tcPr>
          <w:p w14:paraId="753D5B41">
            <w:pPr>
              <w:widowControl/>
              <w:jc w:val="center"/>
              <w:rPr>
                <w:kern w:val="0"/>
                <w:sz w:val="18"/>
                <w:szCs w:val="18"/>
              </w:rPr>
            </w:pPr>
            <w:r>
              <w:rPr>
                <w:kern w:val="0"/>
                <w:sz w:val="18"/>
                <w:szCs w:val="18"/>
              </w:rPr>
              <w:t xml:space="preserve"> 855.9</w:t>
            </w:r>
          </w:p>
        </w:tc>
        <w:tc>
          <w:tcPr>
            <w:tcW w:w="1347" w:type="dxa"/>
            <w:tcBorders>
              <w:top w:val="nil"/>
              <w:left w:val="single" w:color="auto" w:sz="2" w:space="0"/>
              <w:right w:val="single" w:color="auto" w:sz="2" w:space="0"/>
            </w:tcBorders>
            <w:noWrap/>
            <w:vAlign w:val="center"/>
          </w:tcPr>
          <w:p w14:paraId="44515264">
            <w:pPr>
              <w:widowControl/>
              <w:jc w:val="center"/>
              <w:rPr>
                <w:kern w:val="0"/>
                <w:sz w:val="18"/>
                <w:szCs w:val="18"/>
              </w:rPr>
            </w:pPr>
            <w:r>
              <w:rPr>
                <w:kern w:val="0"/>
                <w:sz w:val="18"/>
                <w:szCs w:val="18"/>
              </w:rPr>
              <w:t xml:space="preserve"> 857.7</w:t>
            </w:r>
          </w:p>
        </w:tc>
        <w:tc>
          <w:tcPr>
            <w:tcW w:w="1347" w:type="dxa"/>
            <w:tcBorders>
              <w:top w:val="nil"/>
              <w:left w:val="single" w:color="auto" w:sz="2" w:space="0"/>
              <w:right w:val="single" w:color="auto" w:sz="2" w:space="0"/>
            </w:tcBorders>
            <w:noWrap/>
            <w:vAlign w:val="center"/>
          </w:tcPr>
          <w:p w14:paraId="3D0011CB">
            <w:pPr>
              <w:widowControl/>
              <w:jc w:val="center"/>
              <w:rPr>
                <w:kern w:val="0"/>
                <w:sz w:val="18"/>
                <w:szCs w:val="18"/>
              </w:rPr>
            </w:pPr>
            <w:r>
              <w:rPr>
                <w:kern w:val="0"/>
                <w:sz w:val="18"/>
                <w:szCs w:val="18"/>
              </w:rPr>
              <w:t xml:space="preserve"> 860.4</w:t>
            </w:r>
          </w:p>
        </w:tc>
        <w:tc>
          <w:tcPr>
            <w:tcW w:w="1347" w:type="dxa"/>
            <w:tcBorders>
              <w:top w:val="nil"/>
              <w:left w:val="single" w:color="auto" w:sz="2" w:space="0"/>
              <w:right w:val="single" w:color="auto" w:sz="2" w:space="0"/>
            </w:tcBorders>
            <w:noWrap/>
            <w:vAlign w:val="center"/>
          </w:tcPr>
          <w:p w14:paraId="6CF011F7">
            <w:pPr>
              <w:widowControl/>
              <w:jc w:val="center"/>
              <w:rPr>
                <w:kern w:val="0"/>
                <w:sz w:val="18"/>
                <w:szCs w:val="18"/>
              </w:rPr>
            </w:pPr>
            <w:r>
              <w:rPr>
                <w:kern w:val="0"/>
                <w:sz w:val="18"/>
                <w:szCs w:val="18"/>
              </w:rPr>
              <w:t xml:space="preserve"> 862.8</w:t>
            </w:r>
          </w:p>
        </w:tc>
        <w:tc>
          <w:tcPr>
            <w:tcW w:w="1353" w:type="dxa"/>
            <w:tcBorders>
              <w:top w:val="nil"/>
              <w:left w:val="single" w:color="auto" w:sz="2" w:space="0"/>
            </w:tcBorders>
            <w:noWrap/>
            <w:vAlign w:val="center"/>
          </w:tcPr>
          <w:p w14:paraId="030D67BA">
            <w:pPr>
              <w:widowControl/>
              <w:jc w:val="center"/>
              <w:rPr>
                <w:kern w:val="0"/>
                <w:sz w:val="18"/>
                <w:szCs w:val="18"/>
              </w:rPr>
            </w:pPr>
            <w:r>
              <w:rPr>
                <w:kern w:val="0"/>
                <w:sz w:val="18"/>
                <w:szCs w:val="18"/>
              </w:rPr>
              <w:t xml:space="preserve"> 856.2</w:t>
            </w:r>
          </w:p>
        </w:tc>
      </w:tr>
      <w:tr w14:paraId="476448CA">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3593CC67">
            <w:pPr>
              <w:widowControl/>
              <w:jc w:val="center"/>
              <w:rPr>
                <w:kern w:val="0"/>
                <w:sz w:val="18"/>
                <w:szCs w:val="18"/>
              </w:rPr>
            </w:pPr>
            <w:r>
              <w:rPr>
                <w:kern w:val="0"/>
                <w:sz w:val="18"/>
                <w:szCs w:val="18"/>
              </w:rPr>
              <w:t>220</w:t>
            </w:r>
          </w:p>
        </w:tc>
        <w:tc>
          <w:tcPr>
            <w:tcW w:w="1348" w:type="dxa"/>
            <w:tcBorders>
              <w:top w:val="nil"/>
              <w:left w:val="single" w:color="auto" w:sz="2" w:space="0"/>
              <w:right w:val="single" w:color="auto" w:sz="2" w:space="0"/>
            </w:tcBorders>
            <w:noWrap/>
            <w:vAlign w:val="center"/>
          </w:tcPr>
          <w:p w14:paraId="67267E01">
            <w:pPr>
              <w:widowControl/>
              <w:jc w:val="center"/>
              <w:rPr>
                <w:kern w:val="0"/>
                <w:sz w:val="18"/>
                <w:szCs w:val="18"/>
              </w:rPr>
            </w:pPr>
            <w:r>
              <w:rPr>
                <w:kern w:val="0"/>
                <w:sz w:val="18"/>
                <w:szCs w:val="18"/>
              </w:rPr>
              <w:t xml:space="preserve"> 945.00</w:t>
            </w:r>
          </w:p>
        </w:tc>
        <w:tc>
          <w:tcPr>
            <w:tcW w:w="1347" w:type="dxa"/>
            <w:tcBorders>
              <w:top w:val="nil"/>
              <w:left w:val="single" w:color="auto" w:sz="2" w:space="0"/>
              <w:right w:val="single" w:color="auto" w:sz="2" w:space="0"/>
            </w:tcBorders>
            <w:noWrap/>
            <w:vAlign w:val="center"/>
          </w:tcPr>
          <w:p w14:paraId="5473DC5C">
            <w:pPr>
              <w:widowControl/>
              <w:jc w:val="center"/>
              <w:rPr>
                <w:kern w:val="0"/>
                <w:sz w:val="18"/>
                <w:szCs w:val="18"/>
              </w:rPr>
            </w:pPr>
            <w:r>
              <w:rPr>
                <w:kern w:val="0"/>
                <w:sz w:val="18"/>
                <w:szCs w:val="18"/>
              </w:rPr>
              <w:t xml:space="preserve"> 946.0</w:t>
            </w:r>
          </w:p>
        </w:tc>
        <w:tc>
          <w:tcPr>
            <w:tcW w:w="1347" w:type="dxa"/>
            <w:tcBorders>
              <w:top w:val="nil"/>
              <w:left w:val="single" w:color="auto" w:sz="2" w:space="0"/>
              <w:right w:val="single" w:color="auto" w:sz="2" w:space="0"/>
            </w:tcBorders>
            <w:noWrap/>
            <w:vAlign w:val="center"/>
          </w:tcPr>
          <w:p w14:paraId="6D9DC69C">
            <w:pPr>
              <w:widowControl/>
              <w:jc w:val="center"/>
              <w:rPr>
                <w:kern w:val="0"/>
                <w:sz w:val="18"/>
                <w:szCs w:val="18"/>
              </w:rPr>
            </w:pPr>
            <w:r>
              <w:rPr>
                <w:kern w:val="0"/>
                <w:sz w:val="18"/>
                <w:szCs w:val="18"/>
              </w:rPr>
              <w:t xml:space="preserve"> 947.2</w:t>
            </w:r>
          </w:p>
        </w:tc>
        <w:tc>
          <w:tcPr>
            <w:tcW w:w="1347" w:type="dxa"/>
            <w:tcBorders>
              <w:top w:val="nil"/>
              <w:left w:val="single" w:color="auto" w:sz="2" w:space="0"/>
              <w:right w:val="single" w:color="auto" w:sz="2" w:space="0"/>
            </w:tcBorders>
            <w:noWrap/>
            <w:vAlign w:val="center"/>
          </w:tcPr>
          <w:p w14:paraId="2C51D19A">
            <w:pPr>
              <w:widowControl/>
              <w:jc w:val="center"/>
              <w:rPr>
                <w:kern w:val="0"/>
                <w:sz w:val="18"/>
                <w:szCs w:val="18"/>
              </w:rPr>
            </w:pPr>
            <w:r>
              <w:rPr>
                <w:kern w:val="0"/>
                <w:sz w:val="18"/>
                <w:szCs w:val="18"/>
              </w:rPr>
              <w:t xml:space="preserve"> 949.3</w:t>
            </w:r>
          </w:p>
        </w:tc>
        <w:tc>
          <w:tcPr>
            <w:tcW w:w="1347" w:type="dxa"/>
            <w:tcBorders>
              <w:top w:val="nil"/>
              <w:left w:val="single" w:color="auto" w:sz="2" w:space="0"/>
              <w:right w:val="single" w:color="auto" w:sz="2" w:space="0"/>
            </w:tcBorders>
            <w:noWrap/>
            <w:vAlign w:val="center"/>
          </w:tcPr>
          <w:p w14:paraId="46C7D97A">
            <w:pPr>
              <w:widowControl/>
              <w:jc w:val="center"/>
              <w:rPr>
                <w:kern w:val="0"/>
                <w:sz w:val="18"/>
                <w:szCs w:val="18"/>
              </w:rPr>
            </w:pPr>
            <w:r>
              <w:rPr>
                <w:kern w:val="0"/>
                <w:sz w:val="18"/>
                <w:szCs w:val="18"/>
              </w:rPr>
              <w:t xml:space="preserve"> 951.2</w:t>
            </w:r>
          </w:p>
        </w:tc>
        <w:tc>
          <w:tcPr>
            <w:tcW w:w="1353" w:type="dxa"/>
            <w:tcBorders>
              <w:top w:val="nil"/>
              <w:left w:val="single" w:color="auto" w:sz="2" w:space="0"/>
            </w:tcBorders>
            <w:noWrap/>
            <w:vAlign w:val="center"/>
          </w:tcPr>
          <w:p w14:paraId="22902D0D">
            <w:pPr>
              <w:widowControl/>
              <w:jc w:val="center"/>
              <w:rPr>
                <w:kern w:val="0"/>
                <w:sz w:val="18"/>
                <w:szCs w:val="18"/>
              </w:rPr>
            </w:pPr>
            <w:r>
              <w:rPr>
                <w:kern w:val="0"/>
                <w:sz w:val="18"/>
                <w:szCs w:val="18"/>
              </w:rPr>
              <w:t xml:space="preserve"> 953.1</w:t>
            </w:r>
          </w:p>
        </w:tc>
      </w:tr>
      <w:tr w14:paraId="150F5EBB">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166B5D6E">
            <w:pPr>
              <w:widowControl/>
              <w:jc w:val="center"/>
              <w:rPr>
                <w:kern w:val="0"/>
                <w:sz w:val="18"/>
                <w:szCs w:val="18"/>
              </w:rPr>
            </w:pPr>
            <w:r>
              <w:rPr>
                <w:kern w:val="0"/>
                <w:sz w:val="18"/>
                <w:szCs w:val="18"/>
              </w:rPr>
              <w:t>240</w:t>
            </w:r>
          </w:p>
        </w:tc>
        <w:tc>
          <w:tcPr>
            <w:tcW w:w="1348" w:type="dxa"/>
            <w:tcBorders>
              <w:top w:val="nil"/>
              <w:left w:val="single" w:color="auto" w:sz="2" w:space="0"/>
              <w:right w:val="single" w:color="auto" w:sz="2" w:space="0"/>
            </w:tcBorders>
            <w:noWrap/>
            <w:vAlign w:val="center"/>
          </w:tcPr>
          <w:p w14:paraId="2798A5CE">
            <w:pPr>
              <w:widowControl/>
              <w:jc w:val="center"/>
              <w:rPr>
                <w:kern w:val="0"/>
                <w:sz w:val="18"/>
                <w:szCs w:val="18"/>
              </w:rPr>
            </w:pPr>
            <w:r>
              <w:rPr>
                <w:kern w:val="0"/>
                <w:sz w:val="18"/>
                <w:szCs w:val="18"/>
              </w:rPr>
              <w:t>1038.00</w:t>
            </w:r>
          </w:p>
        </w:tc>
        <w:tc>
          <w:tcPr>
            <w:tcW w:w="1347" w:type="dxa"/>
            <w:tcBorders>
              <w:top w:val="nil"/>
              <w:left w:val="single" w:color="auto" w:sz="2" w:space="0"/>
              <w:right w:val="single" w:color="auto" w:sz="2" w:space="0"/>
            </w:tcBorders>
            <w:noWrap/>
            <w:vAlign w:val="center"/>
          </w:tcPr>
          <w:p w14:paraId="1D07816C">
            <w:pPr>
              <w:widowControl/>
              <w:jc w:val="center"/>
              <w:rPr>
                <w:kern w:val="0"/>
                <w:sz w:val="18"/>
                <w:szCs w:val="18"/>
              </w:rPr>
            </w:pPr>
            <w:r>
              <w:rPr>
                <w:kern w:val="0"/>
                <w:sz w:val="18"/>
                <w:szCs w:val="18"/>
              </w:rPr>
              <w:t>1038.4</w:t>
            </w:r>
          </w:p>
        </w:tc>
        <w:tc>
          <w:tcPr>
            <w:tcW w:w="1347" w:type="dxa"/>
            <w:tcBorders>
              <w:top w:val="nil"/>
              <w:left w:val="single" w:color="auto" w:sz="2" w:space="0"/>
              <w:right w:val="single" w:color="auto" w:sz="2" w:space="0"/>
            </w:tcBorders>
            <w:noWrap/>
            <w:vAlign w:val="center"/>
          </w:tcPr>
          <w:p w14:paraId="12C70ADD">
            <w:pPr>
              <w:widowControl/>
              <w:jc w:val="center"/>
              <w:rPr>
                <w:kern w:val="0"/>
                <w:sz w:val="18"/>
                <w:szCs w:val="18"/>
              </w:rPr>
            </w:pPr>
            <w:r>
              <w:rPr>
                <w:kern w:val="0"/>
                <w:sz w:val="18"/>
                <w:szCs w:val="18"/>
              </w:rPr>
              <w:t>1039.1</w:t>
            </w:r>
          </w:p>
        </w:tc>
        <w:tc>
          <w:tcPr>
            <w:tcW w:w="1347" w:type="dxa"/>
            <w:tcBorders>
              <w:top w:val="nil"/>
              <w:left w:val="single" w:color="auto" w:sz="2" w:space="0"/>
              <w:right w:val="single" w:color="auto" w:sz="2" w:space="0"/>
            </w:tcBorders>
            <w:noWrap/>
            <w:vAlign w:val="center"/>
          </w:tcPr>
          <w:p w14:paraId="1B0C72A9">
            <w:pPr>
              <w:widowControl/>
              <w:jc w:val="center"/>
              <w:rPr>
                <w:kern w:val="0"/>
                <w:sz w:val="18"/>
                <w:szCs w:val="18"/>
              </w:rPr>
            </w:pPr>
            <w:r>
              <w:rPr>
                <w:kern w:val="0"/>
                <w:sz w:val="18"/>
                <w:szCs w:val="18"/>
              </w:rPr>
              <w:t>1040.3</w:t>
            </w:r>
          </w:p>
        </w:tc>
        <w:tc>
          <w:tcPr>
            <w:tcW w:w="1347" w:type="dxa"/>
            <w:tcBorders>
              <w:top w:val="nil"/>
              <w:left w:val="single" w:color="auto" w:sz="2" w:space="0"/>
              <w:right w:val="single" w:color="auto" w:sz="2" w:space="0"/>
            </w:tcBorders>
            <w:noWrap/>
            <w:vAlign w:val="center"/>
          </w:tcPr>
          <w:p w14:paraId="1D7F515C">
            <w:pPr>
              <w:widowControl/>
              <w:jc w:val="center"/>
              <w:rPr>
                <w:kern w:val="0"/>
                <w:sz w:val="18"/>
                <w:szCs w:val="18"/>
              </w:rPr>
            </w:pPr>
            <w:r>
              <w:rPr>
                <w:kern w:val="0"/>
                <w:sz w:val="18"/>
                <w:szCs w:val="18"/>
              </w:rPr>
              <w:t>1041.5</w:t>
            </w:r>
          </w:p>
        </w:tc>
        <w:tc>
          <w:tcPr>
            <w:tcW w:w="1353" w:type="dxa"/>
            <w:tcBorders>
              <w:top w:val="nil"/>
              <w:left w:val="single" w:color="auto" w:sz="2" w:space="0"/>
            </w:tcBorders>
            <w:noWrap/>
            <w:vAlign w:val="center"/>
          </w:tcPr>
          <w:p w14:paraId="5FAE551D">
            <w:pPr>
              <w:widowControl/>
              <w:jc w:val="center"/>
              <w:rPr>
                <w:kern w:val="0"/>
                <w:sz w:val="18"/>
                <w:szCs w:val="18"/>
              </w:rPr>
            </w:pPr>
            <w:r>
              <w:rPr>
                <w:kern w:val="0"/>
                <w:sz w:val="18"/>
                <w:szCs w:val="18"/>
              </w:rPr>
              <w:t>1024.8</w:t>
            </w:r>
          </w:p>
        </w:tc>
      </w:tr>
      <w:tr w14:paraId="6B1367FD">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35ACFB92">
            <w:pPr>
              <w:widowControl/>
              <w:jc w:val="center"/>
              <w:rPr>
                <w:kern w:val="0"/>
                <w:sz w:val="18"/>
                <w:szCs w:val="18"/>
              </w:rPr>
            </w:pPr>
            <w:r>
              <w:rPr>
                <w:kern w:val="0"/>
                <w:sz w:val="18"/>
                <w:szCs w:val="18"/>
              </w:rPr>
              <w:t>260</w:t>
            </w:r>
          </w:p>
        </w:tc>
        <w:tc>
          <w:tcPr>
            <w:tcW w:w="1348" w:type="dxa"/>
            <w:tcBorders>
              <w:top w:val="nil"/>
              <w:left w:val="single" w:color="auto" w:sz="2" w:space="0"/>
              <w:right w:val="single" w:color="auto" w:sz="2" w:space="0"/>
            </w:tcBorders>
            <w:noWrap/>
            <w:vAlign w:val="center"/>
          </w:tcPr>
          <w:p w14:paraId="27B43BEF">
            <w:pPr>
              <w:widowControl/>
              <w:jc w:val="center"/>
              <w:rPr>
                <w:kern w:val="0"/>
                <w:sz w:val="18"/>
                <w:szCs w:val="18"/>
              </w:rPr>
            </w:pPr>
            <w:r>
              <w:rPr>
                <w:kern w:val="0"/>
                <w:sz w:val="18"/>
                <w:szCs w:val="18"/>
              </w:rPr>
              <w:t>1134.70</w:t>
            </w:r>
          </w:p>
        </w:tc>
        <w:tc>
          <w:tcPr>
            <w:tcW w:w="1347" w:type="dxa"/>
            <w:tcBorders>
              <w:top w:val="nil"/>
              <w:left w:val="single" w:color="auto" w:sz="2" w:space="0"/>
              <w:right w:val="single" w:color="auto" w:sz="2" w:space="0"/>
            </w:tcBorders>
            <w:noWrap/>
            <w:vAlign w:val="center"/>
          </w:tcPr>
          <w:p w14:paraId="52F57B43">
            <w:pPr>
              <w:widowControl/>
              <w:jc w:val="center"/>
              <w:rPr>
                <w:kern w:val="0"/>
                <w:sz w:val="18"/>
                <w:szCs w:val="18"/>
              </w:rPr>
            </w:pPr>
            <w:r>
              <w:rPr>
                <w:kern w:val="0"/>
                <w:sz w:val="18"/>
                <w:szCs w:val="18"/>
              </w:rPr>
              <w:t>1134.3</w:t>
            </w:r>
          </w:p>
        </w:tc>
        <w:tc>
          <w:tcPr>
            <w:tcW w:w="1347" w:type="dxa"/>
            <w:tcBorders>
              <w:top w:val="nil"/>
              <w:left w:val="single" w:color="auto" w:sz="2" w:space="0"/>
              <w:right w:val="single" w:color="auto" w:sz="2" w:space="0"/>
            </w:tcBorders>
            <w:noWrap/>
            <w:vAlign w:val="center"/>
          </w:tcPr>
          <w:p w14:paraId="6F9373E4">
            <w:pPr>
              <w:widowControl/>
              <w:jc w:val="center"/>
              <w:rPr>
                <w:kern w:val="0"/>
                <w:sz w:val="18"/>
                <w:szCs w:val="18"/>
              </w:rPr>
            </w:pPr>
            <w:r>
              <w:rPr>
                <w:kern w:val="0"/>
                <w:sz w:val="18"/>
                <w:szCs w:val="18"/>
              </w:rPr>
              <w:t>1134.1</w:t>
            </w:r>
          </w:p>
        </w:tc>
        <w:tc>
          <w:tcPr>
            <w:tcW w:w="1347" w:type="dxa"/>
            <w:tcBorders>
              <w:top w:val="nil"/>
              <w:left w:val="single" w:color="auto" w:sz="2" w:space="0"/>
              <w:right w:val="single" w:color="auto" w:sz="2" w:space="0"/>
            </w:tcBorders>
            <w:noWrap/>
            <w:vAlign w:val="center"/>
          </w:tcPr>
          <w:p w14:paraId="60824C58">
            <w:pPr>
              <w:widowControl/>
              <w:jc w:val="center"/>
              <w:rPr>
                <w:kern w:val="0"/>
                <w:sz w:val="18"/>
                <w:szCs w:val="18"/>
              </w:rPr>
            </w:pPr>
            <w:r>
              <w:rPr>
                <w:kern w:val="0"/>
                <w:sz w:val="18"/>
                <w:szCs w:val="18"/>
              </w:rPr>
              <w:t>1134.0</w:t>
            </w:r>
          </w:p>
        </w:tc>
        <w:tc>
          <w:tcPr>
            <w:tcW w:w="1347" w:type="dxa"/>
            <w:tcBorders>
              <w:top w:val="nil"/>
              <w:left w:val="single" w:color="auto" w:sz="2" w:space="0"/>
              <w:right w:val="single" w:color="auto" w:sz="2" w:space="0"/>
            </w:tcBorders>
            <w:noWrap/>
            <w:vAlign w:val="center"/>
          </w:tcPr>
          <w:p w14:paraId="52C9D92B">
            <w:pPr>
              <w:widowControl/>
              <w:jc w:val="center"/>
              <w:rPr>
                <w:kern w:val="0"/>
                <w:sz w:val="18"/>
                <w:szCs w:val="18"/>
              </w:rPr>
            </w:pPr>
            <w:r>
              <w:rPr>
                <w:kern w:val="0"/>
                <w:sz w:val="18"/>
                <w:szCs w:val="18"/>
              </w:rPr>
              <w:t>1134.3</w:t>
            </w:r>
          </w:p>
        </w:tc>
        <w:tc>
          <w:tcPr>
            <w:tcW w:w="1353" w:type="dxa"/>
            <w:tcBorders>
              <w:top w:val="nil"/>
              <w:left w:val="single" w:color="auto" w:sz="2" w:space="0"/>
            </w:tcBorders>
            <w:noWrap/>
            <w:vAlign w:val="center"/>
          </w:tcPr>
          <w:p w14:paraId="04144E74">
            <w:pPr>
              <w:widowControl/>
              <w:jc w:val="center"/>
              <w:rPr>
                <w:kern w:val="0"/>
                <w:sz w:val="18"/>
                <w:szCs w:val="18"/>
              </w:rPr>
            </w:pPr>
            <w:r>
              <w:rPr>
                <w:kern w:val="0"/>
                <w:sz w:val="18"/>
                <w:szCs w:val="18"/>
              </w:rPr>
              <w:t>1134.8</w:t>
            </w:r>
          </w:p>
        </w:tc>
      </w:tr>
      <w:tr w14:paraId="10DA5C20">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0B8E5700">
            <w:pPr>
              <w:widowControl/>
              <w:jc w:val="center"/>
              <w:rPr>
                <w:kern w:val="0"/>
                <w:sz w:val="18"/>
                <w:szCs w:val="18"/>
              </w:rPr>
            </w:pPr>
            <w:r>
              <w:rPr>
                <w:kern w:val="0"/>
                <w:sz w:val="18"/>
                <w:szCs w:val="18"/>
              </w:rPr>
              <w:t>280</w:t>
            </w:r>
          </w:p>
        </w:tc>
        <w:tc>
          <w:tcPr>
            <w:tcW w:w="1348" w:type="dxa"/>
            <w:tcBorders>
              <w:top w:val="nil"/>
              <w:left w:val="single" w:color="auto" w:sz="2" w:space="0"/>
              <w:right w:val="single" w:color="auto" w:sz="2" w:space="0"/>
            </w:tcBorders>
            <w:noWrap/>
            <w:vAlign w:val="center"/>
          </w:tcPr>
          <w:p w14:paraId="073E0FB5">
            <w:pPr>
              <w:widowControl/>
              <w:jc w:val="center"/>
              <w:rPr>
                <w:kern w:val="0"/>
                <w:sz w:val="18"/>
                <w:szCs w:val="18"/>
              </w:rPr>
            </w:pPr>
            <w:r>
              <w:rPr>
                <w:kern w:val="0"/>
                <w:sz w:val="18"/>
                <w:szCs w:val="18"/>
              </w:rPr>
              <w:t>1236.70</w:t>
            </w:r>
          </w:p>
        </w:tc>
        <w:tc>
          <w:tcPr>
            <w:tcW w:w="1347" w:type="dxa"/>
            <w:tcBorders>
              <w:top w:val="nil"/>
              <w:left w:val="single" w:color="auto" w:sz="2" w:space="0"/>
              <w:right w:val="single" w:color="auto" w:sz="2" w:space="0"/>
            </w:tcBorders>
            <w:noWrap/>
            <w:vAlign w:val="center"/>
          </w:tcPr>
          <w:p w14:paraId="66A2242A">
            <w:pPr>
              <w:widowControl/>
              <w:jc w:val="center"/>
              <w:rPr>
                <w:kern w:val="0"/>
                <w:sz w:val="18"/>
                <w:szCs w:val="18"/>
              </w:rPr>
            </w:pPr>
            <w:r>
              <w:rPr>
                <w:kern w:val="0"/>
                <w:sz w:val="18"/>
                <w:szCs w:val="18"/>
              </w:rPr>
              <w:t>1235.2</w:t>
            </w:r>
          </w:p>
        </w:tc>
        <w:tc>
          <w:tcPr>
            <w:tcW w:w="1347" w:type="dxa"/>
            <w:tcBorders>
              <w:top w:val="nil"/>
              <w:left w:val="single" w:color="auto" w:sz="2" w:space="0"/>
              <w:right w:val="single" w:color="auto" w:sz="2" w:space="0"/>
            </w:tcBorders>
            <w:noWrap/>
            <w:vAlign w:val="center"/>
          </w:tcPr>
          <w:p w14:paraId="142ECA5B">
            <w:pPr>
              <w:widowControl/>
              <w:jc w:val="center"/>
              <w:rPr>
                <w:kern w:val="0"/>
                <w:sz w:val="18"/>
                <w:szCs w:val="18"/>
              </w:rPr>
            </w:pPr>
            <w:r>
              <w:rPr>
                <w:kern w:val="0"/>
                <w:sz w:val="18"/>
                <w:szCs w:val="18"/>
              </w:rPr>
              <w:t>1233.5</w:t>
            </w:r>
          </w:p>
        </w:tc>
        <w:tc>
          <w:tcPr>
            <w:tcW w:w="1347" w:type="dxa"/>
            <w:tcBorders>
              <w:top w:val="nil"/>
              <w:left w:val="single" w:color="auto" w:sz="2" w:space="0"/>
              <w:right w:val="single" w:color="auto" w:sz="2" w:space="0"/>
            </w:tcBorders>
            <w:noWrap/>
            <w:vAlign w:val="center"/>
          </w:tcPr>
          <w:p w14:paraId="6404E116">
            <w:pPr>
              <w:widowControl/>
              <w:jc w:val="center"/>
              <w:rPr>
                <w:kern w:val="0"/>
                <w:sz w:val="18"/>
                <w:szCs w:val="18"/>
              </w:rPr>
            </w:pPr>
            <w:r>
              <w:rPr>
                <w:kern w:val="0"/>
                <w:sz w:val="18"/>
                <w:szCs w:val="18"/>
              </w:rPr>
              <w:t>1231.6</w:t>
            </w:r>
          </w:p>
        </w:tc>
        <w:tc>
          <w:tcPr>
            <w:tcW w:w="1347" w:type="dxa"/>
            <w:tcBorders>
              <w:top w:val="nil"/>
              <w:left w:val="single" w:color="auto" w:sz="2" w:space="0"/>
              <w:right w:val="single" w:color="auto" w:sz="2" w:space="0"/>
            </w:tcBorders>
            <w:noWrap/>
            <w:vAlign w:val="center"/>
          </w:tcPr>
          <w:p w14:paraId="744AA3D7">
            <w:pPr>
              <w:widowControl/>
              <w:jc w:val="center"/>
              <w:rPr>
                <w:kern w:val="0"/>
                <w:sz w:val="18"/>
                <w:szCs w:val="18"/>
              </w:rPr>
            </w:pPr>
            <w:r>
              <w:rPr>
                <w:kern w:val="0"/>
                <w:sz w:val="18"/>
                <w:szCs w:val="18"/>
              </w:rPr>
              <w:t>1230.5</w:t>
            </w:r>
          </w:p>
        </w:tc>
        <w:tc>
          <w:tcPr>
            <w:tcW w:w="1353" w:type="dxa"/>
            <w:tcBorders>
              <w:top w:val="nil"/>
              <w:left w:val="single" w:color="auto" w:sz="2" w:space="0"/>
            </w:tcBorders>
            <w:noWrap/>
            <w:vAlign w:val="center"/>
          </w:tcPr>
          <w:p w14:paraId="0DC8B4DB">
            <w:pPr>
              <w:widowControl/>
              <w:jc w:val="center"/>
              <w:rPr>
                <w:kern w:val="0"/>
                <w:sz w:val="18"/>
                <w:szCs w:val="18"/>
              </w:rPr>
            </w:pPr>
            <w:r>
              <w:rPr>
                <w:kern w:val="0"/>
                <w:sz w:val="18"/>
                <w:szCs w:val="18"/>
              </w:rPr>
              <w:t>1229.9</w:t>
            </w:r>
          </w:p>
        </w:tc>
      </w:tr>
      <w:tr w14:paraId="4BD9E9AD">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2C742FBD">
            <w:pPr>
              <w:widowControl/>
              <w:jc w:val="center"/>
              <w:rPr>
                <w:kern w:val="0"/>
                <w:sz w:val="18"/>
                <w:szCs w:val="18"/>
              </w:rPr>
            </w:pPr>
            <w:r>
              <w:rPr>
                <w:kern w:val="0"/>
                <w:sz w:val="18"/>
                <w:szCs w:val="18"/>
              </w:rPr>
              <w:t>300</w:t>
            </w:r>
          </w:p>
        </w:tc>
        <w:tc>
          <w:tcPr>
            <w:tcW w:w="1348" w:type="dxa"/>
            <w:tcBorders>
              <w:top w:val="nil"/>
              <w:left w:val="single" w:color="auto" w:sz="2" w:space="0"/>
              <w:right w:val="single" w:color="auto" w:sz="2" w:space="0"/>
            </w:tcBorders>
            <w:noWrap/>
            <w:vAlign w:val="center"/>
          </w:tcPr>
          <w:p w14:paraId="19D2942D">
            <w:pPr>
              <w:widowControl/>
              <w:jc w:val="center"/>
              <w:rPr>
                <w:kern w:val="0"/>
                <w:sz w:val="18"/>
                <w:szCs w:val="18"/>
              </w:rPr>
            </w:pPr>
            <w:r>
              <w:rPr>
                <w:kern w:val="0"/>
                <w:sz w:val="18"/>
                <w:szCs w:val="18"/>
              </w:rPr>
              <w:t>2839.20</w:t>
            </w:r>
          </w:p>
        </w:tc>
        <w:tc>
          <w:tcPr>
            <w:tcW w:w="1347" w:type="dxa"/>
            <w:tcBorders>
              <w:top w:val="nil"/>
              <w:left w:val="single" w:color="auto" w:sz="2" w:space="0"/>
              <w:right w:val="single" w:color="auto" w:sz="2" w:space="0"/>
            </w:tcBorders>
            <w:noWrap/>
            <w:vAlign w:val="center"/>
          </w:tcPr>
          <w:p w14:paraId="5EE124B4">
            <w:pPr>
              <w:widowControl/>
              <w:jc w:val="center"/>
              <w:rPr>
                <w:kern w:val="0"/>
                <w:sz w:val="18"/>
                <w:szCs w:val="18"/>
              </w:rPr>
            </w:pPr>
            <w:r>
              <w:rPr>
                <w:kern w:val="0"/>
                <w:sz w:val="18"/>
                <w:szCs w:val="18"/>
              </w:rPr>
              <w:t>1343.7</w:t>
            </w:r>
          </w:p>
        </w:tc>
        <w:tc>
          <w:tcPr>
            <w:tcW w:w="1347" w:type="dxa"/>
            <w:tcBorders>
              <w:top w:val="nil"/>
              <w:left w:val="single" w:color="auto" w:sz="2" w:space="0"/>
              <w:right w:val="single" w:color="auto" w:sz="2" w:space="0"/>
            </w:tcBorders>
            <w:noWrap/>
            <w:vAlign w:val="center"/>
          </w:tcPr>
          <w:p w14:paraId="5C69C193">
            <w:pPr>
              <w:widowControl/>
              <w:jc w:val="center"/>
              <w:rPr>
                <w:kern w:val="0"/>
                <w:sz w:val="18"/>
                <w:szCs w:val="18"/>
              </w:rPr>
            </w:pPr>
            <w:r>
              <w:rPr>
                <w:kern w:val="0"/>
                <w:sz w:val="18"/>
                <w:szCs w:val="18"/>
              </w:rPr>
              <w:t>1339.5</w:t>
            </w:r>
          </w:p>
        </w:tc>
        <w:tc>
          <w:tcPr>
            <w:tcW w:w="1347" w:type="dxa"/>
            <w:tcBorders>
              <w:top w:val="nil"/>
              <w:left w:val="single" w:color="auto" w:sz="2" w:space="0"/>
              <w:right w:val="single" w:color="auto" w:sz="2" w:space="0"/>
            </w:tcBorders>
            <w:noWrap/>
            <w:vAlign w:val="center"/>
          </w:tcPr>
          <w:p w14:paraId="179864B5">
            <w:pPr>
              <w:widowControl/>
              <w:jc w:val="center"/>
              <w:rPr>
                <w:kern w:val="0"/>
                <w:sz w:val="18"/>
                <w:szCs w:val="18"/>
              </w:rPr>
            </w:pPr>
            <w:r>
              <w:rPr>
                <w:kern w:val="0"/>
                <w:sz w:val="18"/>
                <w:szCs w:val="18"/>
              </w:rPr>
              <w:t>1334.6</w:t>
            </w:r>
          </w:p>
        </w:tc>
        <w:tc>
          <w:tcPr>
            <w:tcW w:w="1347" w:type="dxa"/>
            <w:tcBorders>
              <w:top w:val="nil"/>
              <w:left w:val="single" w:color="auto" w:sz="2" w:space="0"/>
              <w:right w:val="single" w:color="auto" w:sz="2" w:space="0"/>
            </w:tcBorders>
            <w:noWrap/>
            <w:vAlign w:val="center"/>
          </w:tcPr>
          <w:p w14:paraId="02F02031">
            <w:pPr>
              <w:widowControl/>
              <w:jc w:val="center"/>
              <w:rPr>
                <w:kern w:val="0"/>
                <w:sz w:val="18"/>
                <w:szCs w:val="18"/>
              </w:rPr>
            </w:pPr>
            <w:r>
              <w:rPr>
                <w:kern w:val="0"/>
                <w:sz w:val="18"/>
                <w:szCs w:val="18"/>
              </w:rPr>
              <w:t>1331.5</w:t>
            </w:r>
          </w:p>
        </w:tc>
        <w:tc>
          <w:tcPr>
            <w:tcW w:w="1353" w:type="dxa"/>
            <w:tcBorders>
              <w:top w:val="nil"/>
              <w:left w:val="single" w:color="auto" w:sz="2" w:space="0"/>
            </w:tcBorders>
            <w:noWrap/>
            <w:vAlign w:val="center"/>
          </w:tcPr>
          <w:p w14:paraId="44F57B3E">
            <w:pPr>
              <w:widowControl/>
              <w:jc w:val="center"/>
              <w:rPr>
                <w:kern w:val="0"/>
                <w:sz w:val="18"/>
                <w:szCs w:val="18"/>
              </w:rPr>
            </w:pPr>
            <w:r>
              <w:rPr>
                <w:kern w:val="0"/>
                <w:sz w:val="18"/>
                <w:szCs w:val="18"/>
              </w:rPr>
              <w:t>1329.0</w:t>
            </w:r>
          </w:p>
        </w:tc>
      </w:tr>
      <w:tr w14:paraId="4FFCB2C2">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1EF70606">
            <w:pPr>
              <w:widowControl/>
              <w:jc w:val="center"/>
              <w:rPr>
                <w:kern w:val="0"/>
                <w:sz w:val="18"/>
                <w:szCs w:val="18"/>
              </w:rPr>
            </w:pPr>
            <w:r>
              <w:rPr>
                <w:kern w:val="0"/>
                <w:sz w:val="18"/>
                <w:szCs w:val="18"/>
              </w:rPr>
              <w:t>350</w:t>
            </w:r>
          </w:p>
        </w:tc>
        <w:tc>
          <w:tcPr>
            <w:tcW w:w="1348" w:type="dxa"/>
            <w:tcBorders>
              <w:top w:val="nil"/>
              <w:left w:val="single" w:color="auto" w:sz="2" w:space="0"/>
              <w:right w:val="single" w:color="auto" w:sz="2" w:space="0"/>
            </w:tcBorders>
            <w:noWrap/>
            <w:vAlign w:val="center"/>
          </w:tcPr>
          <w:p w14:paraId="3D7FBDAE">
            <w:pPr>
              <w:widowControl/>
              <w:jc w:val="center"/>
              <w:rPr>
                <w:kern w:val="0"/>
                <w:sz w:val="18"/>
                <w:szCs w:val="18"/>
              </w:rPr>
            </w:pPr>
            <w:r>
              <w:rPr>
                <w:kern w:val="0"/>
                <w:sz w:val="18"/>
                <w:szCs w:val="18"/>
              </w:rPr>
              <w:t>3017.00</w:t>
            </w:r>
          </w:p>
        </w:tc>
        <w:tc>
          <w:tcPr>
            <w:tcW w:w="1347" w:type="dxa"/>
            <w:tcBorders>
              <w:top w:val="nil"/>
              <w:left w:val="single" w:color="auto" w:sz="2" w:space="0"/>
              <w:right w:val="single" w:color="auto" w:sz="2" w:space="0"/>
            </w:tcBorders>
            <w:noWrap/>
            <w:vAlign w:val="center"/>
          </w:tcPr>
          <w:p w14:paraId="6D638A02">
            <w:pPr>
              <w:widowControl/>
              <w:jc w:val="center"/>
              <w:rPr>
                <w:kern w:val="0"/>
                <w:sz w:val="18"/>
                <w:szCs w:val="18"/>
              </w:rPr>
            </w:pPr>
            <w:r>
              <w:rPr>
                <w:kern w:val="0"/>
                <w:sz w:val="18"/>
                <w:szCs w:val="18"/>
              </w:rPr>
              <w:t>2924.2</w:t>
            </w:r>
          </w:p>
        </w:tc>
        <w:tc>
          <w:tcPr>
            <w:tcW w:w="1347" w:type="dxa"/>
            <w:tcBorders>
              <w:top w:val="nil"/>
              <w:left w:val="single" w:color="auto" w:sz="2" w:space="0"/>
              <w:right w:val="single" w:color="auto" w:sz="2" w:space="0"/>
            </w:tcBorders>
            <w:noWrap/>
            <w:vAlign w:val="center"/>
          </w:tcPr>
          <w:p w14:paraId="6C0D2C6F">
            <w:pPr>
              <w:widowControl/>
              <w:jc w:val="center"/>
              <w:rPr>
                <w:kern w:val="0"/>
                <w:sz w:val="18"/>
                <w:szCs w:val="18"/>
              </w:rPr>
            </w:pPr>
            <w:r>
              <w:rPr>
                <w:kern w:val="0"/>
                <w:sz w:val="18"/>
                <w:szCs w:val="18"/>
              </w:rPr>
              <w:t>2753.5</w:t>
            </w:r>
          </w:p>
        </w:tc>
        <w:tc>
          <w:tcPr>
            <w:tcW w:w="1347" w:type="dxa"/>
            <w:tcBorders>
              <w:top w:val="nil"/>
              <w:left w:val="single" w:color="auto" w:sz="2" w:space="0"/>
              <w:right w:val="single" w:color="auto" w:sz="2" w:space="0"/>
            </w:tcBorders>
            <w:noWrap/>
            <w:vAlign w:val="center"/>
          </w:tcPr>
          <w:p w14:paraId="5754B91F">
            <w:pPr>
              <w:widowControl/>
              <w:jc w:val="center"/>
              <w:rPr>
                <w:kern w:val="0"/>
                <w:sz w:val="18"/>
                <w:szCs w:val="18"/>
              </w:rPr>
            </w:pPr>
            <w:r>
              <w:rPr>
                <w:kern w:val="0"/>
                <w:sz w:val="18"/>
                <w:szCs w:val="18"/>
              </w:rPr>
              <w:t>1648.4</w:t>
            </w:r>
          </w:p>
        </w:tc>
        <w:tc>
          <w:tcPr>
            <w:tcW w:w="1347" w:type="dxa"/>
            <w:tcBorders>
              <w:top w:val="nil"/>
              <w:left w:val="single" w:color="auto" w:sz="2" w:space="0"/>
              <w:right w:val="single" w:color="auto" w:sz="2" w:space="0"/>
            </w:tcBorders>
            <w:noWrap/>
            <w:vAlign w:val="center"/>
          </w:tcPr>
          <w:p w14:paraId="51A8E7A9">
            <w:pPr>
              <w:widowControl/>
              <w:jc w:val="center"/>
              <w:rPr>
                <w:kern w:val="0"/>
                <w:sz w:val="18"/>
                <w:szCs w:val="18"/>
              </w:rPr>
            </w:pPr>
            <w:r>
              <w:rPr>
                <w:kern w:val="0"/>
                <w:sz w:val="18"/>
                <w:szCs w:val="18"/>
              </w:rPr>
              <w:t>1626.4</w:t>
            </w:r>
          </w:p>
        </w:tc>
        <w:tc>
          <w:tcPr>
            <w:tcW w:w="1353" w:type="dxa"/>
            <w:tcBorders>
              <w:top w:val="nil"/>
              <w:left w:val="single" w:color="auto" w:sz="2" w:space="0"/>
            </w:tcBorders>
            <w:noWrap/>
            <w:vAlign w:val="center"/>
          </w:tcPr>
          <w:p w14:paraId="1C07556C">
            <w:pPr>
              <w:widowControl/>
              <w:jc w:val="center"/>
              <w:rPr>
                <w:kern w:val="0"/>
                <w:sz w:val="18"/>
                <w:szCs w:val="18"/>
              </w:rPr>
            </w:pPr>
            <w:r>
              <w:rPr>
                <w:kern w:val="0"/>
                <w:sz w:val="18"/>
                <w:szCs w:val="18"/>
              </w:rPr>
              <w:t>1611.3</w:t>
            </w:r>
          </w:p>
        </w:tc>
      </w:tr>
      <w:tr w14:paraId="24C1A2EF">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696EF314">
            <w:pPr>
              <w:widowControl/>
              <w:jc w:val="center"/>
              <w:rPr>
                <w:kern w:val="0"/>
                <w:sz w:val="18"/>
                <w:szCs w:val="18"/>
              </w:rPr>
            </w:pPr>
            <w:r>
              <w:rPr>
                <w:kern w:val="0"/>
                <w:sz w:val="18"/>
                <w:szCs w:val="18"/>
              </w:rPr>
              <w:t>400</w:t>
            </w:r>
          </w:p>
        </w:tc>
        <w:tc>
          <w:tcPr>
            <w:tcW w:w="1348" w:type="dxa"/>
            <w:tcBorders>
              <w:top w:val="nil"/>
              <w:left w:val="single" w:color="auto" w:sz="2" w:space="0"/>
              <w:right w:val="single" w:color="auto" w:sz="2" w:space="0"/>
            </w:tcBorders>
            <w:noWrap/>
            <w:vAlign w:val="center"/>
          </w:tcPr>
          <w:p w14:paraId="098D963D">
            <w:pPr>
              <w:widowControl/>
              <w:jc w:val="center"/>
              <w:rPr>
                <w:kern w:val="0"/>
                <w:sz w:val="18"/>
                <w:szCs w:val="18"/>
              </w:rPr>
            </w:pPr>
            <w:r>
              <w:rPr>
                <w:kern w:val="0"/>
                <w:sz w:val="18"/>
                <w:szCs w:val="18"/>
              </w:rPr>
              <w:t>3159.70</w:t>
            </w:r>
          </w:p>
        </w:tc>
        <w:tc>
          <w:tcPr>
            <w:tcW w:w="1347" w:type="dxa"/>
            <w:tcBorders>
              <w:top w:val="nil"/>
              <w:left w:val="single" w:color="auto" w:sz="2" w:space="0"/>
              <w:right w:val="single" w:color="auto" w:sz="2" w:space="0"/>
            </w:tcBorders>
            <w:noWrap/>
            <w:vAlign w:val="center"/>
          </w:tcPr>
          <w:p w14:paraId="790E9566">
            <w:pPr>
              <w:widowControl/>
              <w:jc w:val="center"/>
              <w:rPr>
                <w:kern w:val="0"/>
                <w:sz w:val="18"/>
                <w:szCs w:val="18"/>
              </w:rPr>
            </w:pPr>
            <w:r>
              <w:rPr>
                <w:kern w:val="0"/>
                <w:sz w:val="18"/>
                <w:szCs w:val="18"/>
              </w:rPr>
              <w:t>3098.5</w:t>
            </w:r>
          </w:p>
        </w:tc>
        <w:tc>
          <w:tcPr>
            <w:tcW w:w="1347" w:type="dxa"/>
            <w:tcBorders>
              <w:top w:val="nil"/>
              <w:left w:val="single" w:color="auto" w:sz="2" w:space="0"/>
              <w:right w:val="single" w:color="auto" w:sz="2" w:space="0"/>
            </w:tcBorders>
            <w:noWrap/>
            <w:vAlign w:val="center"/>
          </w:tcPr>
          <w:p w14:paraId="3D754A01">
            <w:pPr>
              <w:widowControl/>
              <w:jc w:val="center"/>
              <w:rPr>
                <w:kern w:val="0"/>
                <w:sz w:val="18"/>
                <w:szCs w:val="18"/>
              </w:rPr>
            </w:pPr>
            <w:r>
              <w:rPr>
                <w:kern w:val="0"/>
                <w:sz w:val="18"/>
                <w:szCs w:val="18"/>
              </w:rPr>
              <w:t>3004.0</w:t>
            </w:r>
          </w:p>
        </w:tc>
        <w:tc>
          <w:tcPr>
            <w:tcW w:w="1347" w:type="dxa"/>
            <w:tcBorders>
              <w:top w:val="nil"/>
              <w:left w:val="single" w:color="auto" w:sz="2" w:space="0"/>
              <w:right w:val="single" w:color="auto" w:sz="2" w:space="0"/>
            </w:tcBorders>
            <w:noWrap/>
            <w:vAlign w:val="center"/>
          </w:tcPr>
          <w:p w14:paraId="678FBEF3">
            <w:pPr>
              <w:widowControl/>
              <w:jc w:val="center"/>
              <w:rPr>
                <w:kern w:val="0"/>
                <w:sz w:val="18"/>
                <w:szCs w:val="18"/>
              </w:rPr>
            </w:pPr>
            <w:r>
              <w:rPr>
                <w:kern w:val="0"/>
                <w:sz w:val="18"/>
                <w:szCs w:val="18"/>
              </w:rPr>
              <w:t>2820.1</w:t>
            </w:r>
          </w:p>
        </w:tc>
        <w:tc>
          <w:tcPr>
            <w:tcW w:w="1347" w:type="dxa"/>
            <w:tcBorders>
              <w:top w:val="nil"/>
              <w:left w:val="single" w:color="auto" w:sz="2" w:space="0"/>
              <w:right w:val="single" w:color="auto" w:sz="2" w:space="0"/>
            </w:tcBorders>
            <w:noWrap/>
            <w:vAlign w:val="center"/>
          </w:tcPr>
          <w:p w14:paraId="04CAC9E9">
            <w:pPr>
              <w:widowControl/>
              <w:jc w:val="center"/>
              <w:rPr>
                <w:kern w:val="0"/>
                <w:sz w:val="18"/>
                <w:szCs w:val="18"/>
              </w:rPr>
            </w:pPr>
            <w:r>
              <w:rPr>
                <w:kern w:val="0"/>
                <w:sz w:val="18"/>
                <w:szCs w:val="18"/>
              </w:rPr>
              <w:t>2583.2</w:t>
            </w:r>
          </w:p>
        </w:tc>
        <w:tc>
          <w:tcPr>
            <w:tcW w:w="1353" w:type="dxa"/>
            <w:tcBorders>
              <w:top w:val="nil"/>
              <w:left w:val="single" w:color="auto" w:sz="2" w:space="0"/>
            </w:tcBorders>
            <w:noWrap/>
            <w:vAlign w:val="center"/>
          </w:tcPr>
          <w:p w14:paraId="4FAC4D8C">
            <w:pPr>
              <w:widowControl/>
              <w:jc w:val="center"/>
              <w:rPr>
                <w:kern w:val="0"/>
                <w:sz w:val="18"/>
                <w:szCs w:val="18"/>
              </w:rPr>
            </w:pPr>
            <w:r>
              <w:rPr>
                <w:kern w:val="0"/>
                <w:sz w:val="18"/>
                <w:szCs w:val="18"/>
              </w:rPr>
              <w:t>2159.1</w:t>
            </w:r>
          </w:p>
        </w:tc>
      </w:tr>
      <w:tr w14:paraId="02023BAB">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09499DF5">
            <w:pPr>
              <w:widowControl/>
              <w:jc w:val="center"/>
              <w:rPr>
                <w:kern w:val="0"/>
                <w:sz w:val="18"/>
                <w:szCs w:val="18"/>
              </w:rPr>
            </w:pPr>
            <w:r>
              <w:rPr>
                <w:kern w:val="0"/>
                <w:sz w:val="18"/>
                <w:szCs w:val="18"/>
              </w:rPr>
              <w:t>420</w:t>
            </w:r>
          </w:p>
        </w:tc>
        <w:tc>
          <w:tcPr>
            <w:tcW w:w="1348" w:type="dxa"/>
            <w:tcBorders>
              <w:top w:val="nil"/>
              <w:left w:val="single" w:color="auto" w:sz="2" w:space="0"/>
              <w:right w:val="single" w:color="auto" w:sz="2" w:space="0"/>
            </w:tcBorders>
            <w:noWrap/>
            <w:vAlign w:val="center"/>
          </w:tcPr>
          <w:p w14:paraId="0DDC4FF7">
            <w:pPr>
              <w:widowControl/>
              <w:jc w:val="center"/>
              <w:rPr>
                <w:kern w:val="0"/>
                <w:sz w:val="18"/>
                <w:szCs w:val="18"/>
              </w:rPr>
            </w:pPr>
            <w:r>
              <w:rPr>
                <w:kern w:val="0"/>
                <w:sz w:val="18"/>
                <w:szCs w:val="18"/>
              </w:rPr>
              <w:t>3211.02</w:t>
            </w:r>
          </w:p>
        </w:tc>
        <w:tc>
          <w:tcPr>
            <w:tcW w:w="1347" w:type="dxa"/>
            <w:tcBorders>
              <w:top w:val="nil"/>
              <w:left w:val="single" w:color="auto" w:sz="2" w:space="0"/>
              <w:right w:val="single" w:color="auto" w:sz="2" w:space="0"/>
            </w:tcBorders>
            <w:noWrap/>
            <w:vAlign w:val="center"/>
          </w:tcPr>
          <w:p w14:paraId="48CD5460">
            <w:pPr>
              <w:widowControl/>
              <w:jc w:val="center"/>
              <w:rPr>
                <w:kern w:val="0"/>
                <w:sz w:val="18"/>
                <w:szCs w:val="18"/>
              </w:rPr>
            </w:pPr>
            <w:r>
              <w:rPr>
                <w:kern w:val="0"/>
                <w:sz w:val="18"/>
                <w:szCs w:val="18"/>
              </w:rPr>
              <w:t>3156.0</w:t>
            </w:r>
          </w:p>
        </w:tc>
        <w:tc>
          <w:tcPr>
            <w:tcW w:w="1347" w:type="dxa"/>
            <w:tcBorders>
              <w:top w:val="nil"/>
              <w:left w:val="single" w:color="auto" w:sz="2" w:space="0"/>
              <w:right w:val="single" w:color="auto" w:sz="2" w:space="0"/>
            </w:tcBorders>
            <w:noWrap/>
            <w:vAlign w:val="center"/>
          </w:tcPr>
          <w:p w14:paraId="6BAAF953">
            <w:pPr>
              <w:widowControl/>
              <w:jc w:val="center"/>
              <w:rPr>
                <w:kern w:val="0"/>
                <w:sz w:val="18"/>
                <w:szCs w:val="18"/>
              </w:rPr>
            </w:pPr>
            <w:r>
              <w:rPr>
                <w:kern w:val="0"/>
                <w:sz w:val="18"/>
                <w:szCs w:val="18"/>
              </w:rPr>
              <w:t>3072.7</w:t>
            </w:r>
          </w:p>
        </w:tc>
        <w:tc>
          <w:tcPr>
            <w:tcW w:w="1347" w:type="dxa"/>
            <w:tcBorders>
              <w:top w:val="nil"/>
              <w:left w:val="single" w:color="auto" w:sz="2" w:space="0"/>
              <w:right w:val="single" w:color="auto" w:sz="2" w:space="0"/>
            </w:tcBorders>
            <w:noWrap/>
            <w:vAlign w:val="center"/>
          </w:tcPr>
          <w:p w14:paraId="408CFE92">
            <w:pPr>
              <w:widowControl/>
              <w:jc w:val="center"/>
              <w:rPr>
                <w:kern w:val="0"/>
                <w:sz w:val="18"/>
                <w:szCs w:val="18"/>
              </w:rPr>
            </w:pPr>
            <w:r>
              <w:rPr>
                <w:kern w:val="0"/>
                <w:sz w:val="18"/>
                <w:szCs w:val="18"/>
              </w:rPr>
              <w:t>2917.0</w:t>
            </w:r>
          </w:p>
        </w:tc>
        <w:tc>
          <w:tcPr>
            <w:tcW w:w="1347" w:type="dxa"/>
            <w:tcBorders>
              <w:top w:val="nil"/>
              <w:left w:val="single" w:color="auto" w:sz="2" w:space="0"/>
              <w:right w:val="single" w:color="auto" w:sz="2" w:space="0"/>
            </w:tcBorders>
            <w:noWrap/>
            <w:vAlign w:val="center"/>
          </w:tcPr>
          <w:p w14:paraId="0DBB0B03">
            <w:pPr>
              <w:widowControl/>
              <w:jc w:val="center"/>
              <w:rPr>
                <w:kern w:val="0"/>
                <w:sz w:val="18"/>
                <w:szCs w:val="18"/>
              </w:rPr>
            </w:pPr>
            <w:r>
              <w:rPr>
                <w:kern w:val="0"/>
                <w:sz w:val="18"/>
                <w:szCs w:val="18"/>
              </w:rPr>
              <w:t>2730.8</w:t>
            </w:r>
          </w:p>
        </w:tc>
        <w:tc>
          <w:tcPr>
            <w:tcW w:w="1353" w:type="dxa"/>
            <w:tcBorders>
              <w:top w:val="nil"/>
              <w:left w:val="single" w:color="auto" w:sz="2" w:space="0"/>
            </w:tcBorders>
            <w:noWrap/>
            <w:vAlign w:val="center"/>
          </w:tcPr>
          <w:p w14:paraId="656E60C6">
            <w:pPr>
              <w:widowControl/>
              <w:jc w:val="center"/>
              <w:rPr>
                <w:kern w:val="0"/>
                <w:sz w:val="18"/>
                <w:szCs w:val="18"/>
              </w:rPr>
            </w:pPr>
            <w:r>
              <w:rPr>
                <w:kern w:val="0"/>
                <w:sz w:val="18"/>
                <w:szCs w:val="18"/>
              </w:rPr>
              <w:t>2424.7</w:t>
            </w:r>
          </w:p>
        </w:tc>
      </w:tr>
      <w:tr w14:paraId="61A42728">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48DC540B">
            <w:pPr>
              <w:widowControl/>
              <w:jc w:val="center"/>
              <w:rPr>
                <w:kern w:val="0"/>
                <w:sz w:val="18"/>
                <w:szCs w:val="18"/>
              </w:rPr>
            </w:pPr>
            <w:r>
              <w:rPr>
                <w:kern w:val="0"/>
                <w:sz w:val="18"/>
                <w:szCs w:val="18"/>
              </w:rPr>
              <w:t>440</w:t>
            </w:r>
          </w:p>
        </w:tc>
        <w:tc>
          <w:tcPr>
            <w:tcW w:w="1348" w:type="dxa"/>
            <w:tcBorders>
              <w:top w:val="nil"/>
              <w:left w:val="single" w:color="auto" w:sz="2" w:space="0"/>
              <w:right w:val="single" w:color="auto" w:sz="2" w:space="0"/>
            </w:tcBorders>
            <w:noWrap/>
            <w:vAlign w:val="center"/>
          </w:tcPr>
          <w:p w14:paraId="36CD6F23">
            <w:pPr>
              <w:widowControl/>
              <w:jc w:val="center"/>
              <w:rPr>
                <w:kern w:val="0"/>
                <w:sz w:val="18"/>
                <w:szCs w:val="18"/>
              </w:rPr>
            </w:pPr>
            <w:r>
              <w:rPr>
                <w:kern w:val="0"/>
                <w:sz w:val="18"/>
                <w:szCs w:val="18"/>
              </w:rPr>
              <w:t>3262.34</w:t>
            </w:r>
          </w:p>
        </w:tc>
        <w:tc>
          <w:tcPr>
            <w:tcW w:w="1347" w:type="dxa"/>
            <w:tcBorders>
              <w:top w:val="nil"/>
              <w:left w:val="single" w:color="auto" w:sz="2" w:space="0"/>
              <w:right w:val="single" w:color="auto" w:sz="2" w:space="0"/>
            </w:tcBorders>
            <w:noWrap/>
            <w:vAlign w:val="center"/>
          </w:tcPr>
          <w:p w14:paraId="316344F6">
            <w:pPr>
              <w:widowControl/>
              <w:jc w:val="center"/>
              <w:rPr>
                <w:kern w:val="0"/>
                <w:sz w:val="18"/>
                <w:szCs w:val="18"/>
              </w:rPr>
            </w:pPr>
            <w:r>
              <w:rPr>
                <w:kern w:val="0"/>
                <w:sz w:val="18"/>
                <w:szCs w:val="18"/>
              </w:rPr>
              <w:t>3213.5</w:t>
            </w:r>
          </w:p>
        </w:tc>
        <w:tc>
          <w:tcPr>
            <w:tcW w:w="1347" w:type="dxa"/>
            <w:tcBorders>
              <w:top w:val="nil"/>
              <w:left w:val="single" w:color="auto" w:sz="2" w:space="0"/>
              <w:right w:val="single" w:color="auto" w:sz="2" w:space="0"/>
            </w:tcBorders>
            <w:noWrap/>
            <w:vAlign w:val="center"/>
          </w:tcPr>
          <w:p w14:paraId="1475C9C2">
            <w:pPr>
              <w:widowControl/>
              <w:jc w:val="center"/>
              <w:rPr>
                <w:kern w:val="0"/>
                <w:sz w:val="18"/>
                <w:szCs w:val="18"/>
              </w:rPr>
            </w:pPr>
            <w:r>
              <w:rPr>
                <w:kern w:val="0"/>
                <w:sz w:val="18"/>
                <w:szCs w:val="18"/>
              </w:rPr>
              <w:t>3141.4</w:t>
            </w:r>
          </w:p>
        </w:tc>
        <w:tc>
          <w:tcPr>
            <w:tcW w:w="1347" w:type="dxa"/>
            <w:tcBorders>
              <w:top w:val="nil"/>
              <w:left w:val="single" w:color="auto" w:sz="2" w:space="0"/>
              <w:right w:val="single" w:color="auto" w:sz="2" w:space="0"/>
            </w:tcBorders>
            <w:noWrap/>
            <w:vAlign w:val="center"/>
          </w:tcPr>
          <w:p w14:paraId="43CE65A3">
            <w:pPr>
              <w:widowControl/>
              <w:jc w:val="center"/>
              <w:rPr>
                <w:kern w:val="0"/>
                <w:sz w:val="18"/>
                <w:szCs w:val="18"/>
              </w:rPr>
            </w:pPr>
            <w:r>
              <w:rPr>
                <w:kern w:val="0"/>
                <w:sz w:val="18"/>
                <w:szCs w:val="18"/>
              </w:rPr>
              <w:t>3014.0</w:t>
            </w:r>
          </w:p>
        </w:tc>
        <w:tc>
          <w:tcPr>
            <w:tcW w:w="1347" w:type="dxa"/>
            <w:tcBorders>
              <w:top w:val="nil"/>
              <w:left w:val="single" w:color="auto" w:sz="2" w:space="0"/>
              <w:right w:val="single" w:color="auto" w:sz="2" w:space="0"/>
            </w:tcBorders>
            <w:noWrap/>
            <w:vAlign w:val="center"/>
          </w:tcPr>
          <w:p w14:paraId="407DDC70">
            <w:pPr>
              <w:widowControl/>
              <w:jc w:val="center"/>
              <w:rPr>
                <w:kern w:val="0"/>
                <w:sz w:val="18"/>
                <w:szCs w:val="18"/>
              </w:rPr>
            </w:pPr>
            <w:r>
              <w:rPr>
                <w:kern w:val="0"/>
                <w:sz w:val="18"/>
                <w:szCs w:val="18"/>
              </w:rPr>
              <w:t>2878.3</w:t>
            </w:r>
          </w:p>
        </w:tc>
        <w:tc>
          <w:tcPr>
            <w:tcW w:w="1353" w:type="dxa"/>
            <w:tcBorders>
              <w:top w:val="nil"/>
              <w:left w:val="single" w:color="auto" w:sz="2" w:space="0"/>
            </w:tcBorders>
            <w:noWrap/>
            <w:vAlign w:val="center"/>
          </w:tcPr>
          <w:p w14:paraId="0C83F94D">
            <w:pPr>
              <w:widowControl/>
              <w:jc w:val="center"/>
              <w:rPr>
                <w:kern w:val="0"/>
                <w:sz w:val="18"/>
                <w:szCs w:val="18"/>
              </w:rPr>
            </w:pPr>
            <w:r>
              <w:rPr>
                <w:kern w:val="0"/>
                <w:sz w:val="18"/>
                <w:szCs w:val="18"/>
              </w:rPr>
              <w:t>2690.3</w:t>
            </w:r>
          </w:p>
        </w:tc>
      </w:tr>
      <w:tr w14:paraId="63EDCC54">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50CFCB65">
            <w:pPr>
              <w:widowControl/>
              <w:jc w:val="center"/>
              <w:rPr>
                <w:kern w:val="0"/>
                <w:sz w:val="18"/>
                <w:szCs w:val="18"/>
              </w:rPr>
            </w:pPr>
            <w:r>
              <w:rPr>
                <w:kern w:val="0"/>
                <w:sz w:val="18"/>
                <w:szCs w:val="18"/>
              </w:rPr>
              <w:t>450</w:t>
            </w:r>
          </w:p>
        </w:tc>
        <w:tc>
          <w:tcPr>
            <w:tcW w:w="1348" w:type="dxa"/>
            <w:tcBorders>
              <w:top w:val="nil"/>
              <w:left w:val="single" w:color="auto" w:sz="2" w:space="0"/>
              <w:right w:val="single" w:color="auto" w:sz="2" w:space="0"/>
            </w:tcBorders>
            <w:noWrap/>
            <w:vAlign w:val="center"/>
          </w:tcPr>
          <w:p w14:paraId="33993B5B">
            <w:pPr>
              <w:widowControl/>
              <w:jc w:val="center"/>
              <w:rPr>
                <w:kern w:val="0"/>
                <w:sz w:val="18"/>
                <w:szCs w:val="18"/>
              </w:rPr>
            </w:pPr>
            <w:r>
              <w:rPr>
                <w:kern w:val="0"/>
                <w:sz w:val="18"/>
                <w:szCs w:val="18"/>
              </w:rPr>
              <w:t>3288.00</w:t>
            </w:r>
          </w:p>
        </w:tc>
        <w:tc>
          <w:tcPr>
            <w:tcW w:w="1347" w:type="dxa"/>
            <w:tcBorders>
              <w:top w:val="nil"/>
              <w:left w:val="single" w:color="auto" w:sz="2" w:space="0"/>
              <w:right w:val="single" w:color="auto" w:sz="2" w:space="0"/>
            </w:tcBorders>
            <w:noWrap/>
            <w:vAlign w:val="center"/>
          </w:tcPr>
          <w:p w14:paraId="1BB9606D">
            <w:pPr>
              <w:widowControl/>
              <w:jc w:val="center"/>
              <w:rPr>
                <w:kern w:val="0"/>
                <w:sz w:val="18"/>
                <w:szCs w:val="18"/>
              </w:rPr>
            </w:pPr>
            <w:r>
              <w:rPr>
                <w:kern w:val="0"/>
                <w:sz w:val="18"/>
                <w:szCs w:val="18"/>
              </w:rPr>
              <w:t>3242.2</w:t>
            </w:r>
          </w:p>
        </w:tc>
        <w:tc>
          <w:tcPr>
            <w:tcW w:w="1347" w:type="dxa"/>
            <w:tcBorders>
              <w:top w:val="nil"/>
              <w:left w:val="single" w:color="auto" w:sz="2" w:space="0"/>
              <w:right w:val="single" w:color="auto" w:sz="2" w:space="0"/>
            </w:tcBorders>
            <w:noWrap/>
            <w:vAlign w:val="center"/>
          </w:tcPr>
          <w:p w14:paraId="249C38A8">
            <w:pPr>
              <w:widowControl/>
              <w:jc w:val="center"/>
              <w:rPr>
                <w:kern w:val="0"/>
                <w:sz w:val="18"/>
                <w:szCs w:val="18"/>
              </w:rPr>
            </w:pPr>
            <w:r>
              <w:rPr>
                <w:kern w:val="0"/>
                <w:sz w:val="18"/>
                <w:szCs w:val="18"/>
              </w:rPr>
              <w:t>3175.8</w:t>
            </w:r>
          </w:p>
        </w:tc>
        <w:tc>
          <w:tcPr>
            <w:tcW w:w="1347" w:type="dxa"/>
            <w:tcBorders>
              <w:top w:val="nil"/>
              <w:left w:val="single" w:color="auto" w:sz="2" w:space="0"/>
              <w:right w:val="single" w:color="auto" w:sz="2" w:space="0"/>
            </w:tcBorders>
            <w:noWrap/>
            <w:vAlign w:val="center"/>
          </w:tcPr>
          <w:p w14:paraId="31357B11">
            <w:pPr>
              <w:widowControl/>
              <w:jc w:val="center"/>
              <w:rPr>
                <w:kern w:val="0"/>
                <w:sz w:val="18"/>
                <w:szCs w:val="18"/>
              </w:rPr>
            </w:pPr>
            <w:r>
              <w:rPr>
                <w:kern w:val="0"/>
                <w:sz w:val="18"/>
                <w:szCs w:val="18"/>
              </w:rPr>
              <w:t>3062.4</w:t>
            </w:r>
          </w:p>
        </w:tc>
        <w:tc>
          <w:tcPr>
            <w:tcW w:w="1347" w:type="dxa"/>
            <w:tcBorders>
              <w:top w:val="nil"/>
              <w:left w:val="single" w:color="auto" w:sz="2" w:space="0"/>
              <w:right w:val="single" w:color="auto" w:sz="2" w:space="0"/>
            </w:tcBorders>
            <w:noWrap/>
            <w:vAlign w:val="center"/>
          </w:tcPr>
          <w:p w14:paraId="4DCE54F5">
            <w:pPr>
              <w:widowControl/>
              <w:jc w:val="center"/>
              <w:rPr>
                <w:kern w:val="0"/>
                <w:sz w:val="18"/>
                <w:szCs w:val="18"/>
              </w:rPr>
            </w:pPr>
            <w:r>
              <w:rPr>
                <w:kern w:val="0"/>
                <w:sz w:val="18"/>
                <w:szCs w:val="18"/>
              </w:rPr>
              <w:t>2952.1</w:t>
            </w:r>
          </w:p>
        </w:tc>
        <w:tc>
          <w:tcPr>
            <w:tcW w:w="1353" w:type="dxa"/>
            <w:tcBorders>
              <w:top w:val="nil"/>
              <w:left w:val="single" w:color="auto" w:sz="2" w:space="0"/>
            </w:tcBorders>
            <w:noWrap/>
            <w:vAlign w:val="center"/>
          </w:tcPr>
          <w:p w14:paraId="6C10FBF5">
            <w:pPr>
              <w:widowControl/>
              <w:jc w:val="center"/>
              <w:rPr>
                <w:kern w:val="0"/>
                <w:sz w:val="18"/>
                <w:szCs w:val="18"/>
              </w:rPr>
            </w:pPr>
            <w:r>
              <w:rPr>
                <w:kern w:val="0"/>
                <w:sz w:val="18"/>
                <w:szCs w:val="18"/>
              </w:rPr>
              <w:t>2823.1</w:t>
            </w:r>
          </w:p>
        </w:tc>
      </w:tr>
      <w:tr w14:paraId="061ACFA4">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7B38EC64">
            <w:pPr>
              <w:widowControl/>
              <w:jc w:val="center"/>
              <w:rPr>
                <w:kern w:val="0"/>
                <w:sz w:val="18"/>
                <w:szCs w:val="18"/>
              </w:rPr>
            </w:pPr>
            <w:r>
              <w:rPr>
                <w:kern w:val="0"/>
                <w:sz w:val="18"/>
                <w:szCs w:val="18"/>
              </w:rPr>
              <w:t>460</w:t>
            </w:r>
          </w:p>
        </w:tc>
        <w:tc>
          <w:tcPr>
            <w:tcW w:w="1348" w:type="dxa"/>
            <w:tcBorders>
              <w:top w:val="nil"/>
              <w:left w:val="single" w:color="auto" w:sz="2" w:space="0"/>
              <w:right w:val="single" w:color="auto" w:sz="2" w:space="0"/>
            </w:tcBorders>
            <w:noWrap/>
            <w:vAlign w:val="center"/>
          </w:tcPr>
          <w:p w14:paraId="2EAAF5F3">
            <w:pPr>
              <w:widowControl/>
              <w:jc w:val="center"/>
              <w:rPr>
                <w:kern w:val="0"/>
                <w:sz w:val="18"/>
                <w:szCs w:val="18"/>
              </w:rPr>
            </w:pPr>
            <w:r>
              <w:rPr>
                <w:kern w:val="0"/>
                <w:sz w:val="18"/>
                <w:szCs w:val="18"/>
              </w:rPr>
              <w:t>3312.44</w:t>
            </w:r>
          </w:p>
        </w:tc>
        <w:tc>
          <w:tcPr>
            <w:tcW w:w="1347" w:type="dxa"/>
            <w:tcBorders>
              <w:top w:val="nil"/>
              <w:left w:val="single" w:color="auto" w:sz="2" w:space="0"/>
              <w:right w:val="single" w:color="auto" w:sz="2" w:space="0"/>
            </w:tcBorders>
            <w:noWrap/>
            <w:vAlign w:val="center"/>
          </w:tcPr>
          <w:p w14:paraId="502A585A">
            <w:pPr>
              <w:widowControl/>
              <w:jc w:val="center"/>
              <w:rPr>
                <w:kern w:val="0"/>
                <w:sz w:val="18"/>
                <w:szCs w:val="18"/>
              </w:rPr>
            </w:pPr>
            <w:r>
              <w:rPr>
                <w:kern w:val="0"/>
                <w:sz w:val="18"/>
                <w:szCs w:val="18"/>
              </w:rPr>
              <w:t>3268.6</w:t>
            </w:r>
          </w:p>
        </w:tc>
        <w:tc>
          <w:tcPr>
            <w:tcW w:w="1347" w:type="dxa"/>
            <w:tcBorders>
              <w:top w:val="nil"/>
              <w:left w:val="single" w:color="auto" w:sz="2" w:space="0"/>
              <w:right w:val="single" w:color="auto" w:sz="2" w:space="0"/>
            </w:tcBorders>
            <w:noWrap/>
            <w:vAlign w:val="center"/>
          </w:tcPr>
          <w:p w14:paraId="539C18D4">
            <w:pPr>
              <w:widowControl/>
              <w:jc w:val="center"/>
              <w:rPr>
                <w:kern w:val="0"/>
                <w:sz w:val="18"/>
                <w:szCs w:val="18"/>
              </w:rPr>
            </w:pPr>
            <w:r>
              <w:rPr>
                <w:kern w:val="0"/>
                <w:sz w:val="18"/>
                <w:szCs w:val="18"/>
              </w:rPr>
              <w:t>3205.2</w:t>
            </w:r>
          </w:p>
        </w:tc>
        <w:tc>
          <w:tcPr>
            <w:tcW w:w="1347" w:type="dxa"/>
            <w:tcBorders>
              <w:top w:val="nil"/>
              <w:left w:val="single" w:color="auto" w:sz="2" w:space="0"/>
              <w:right w:val="single" w:color="auto" w:sz="2" w:space="0"/>
            </w:tcBorders>
            <w:noWrap/>
            <w:vAlign w:val="center"/>
          </w:tcPr>
          <w:p w14:paraId="58EEDBA5">
            <w:pPr>
              <w:widowControl/>
              <w:jc w:val="center"/>
              <w:rPr>
                <w:kern w:val="0"/>
                <w:sz w:val="18"/>
                <w:szCs w:val="18"/>
              </w:rPr>
            </w:pPr>
            <w:r>
              <w:rPr>
                <w:kern w:val="0"/>
                <w:sz w:val="18"/>
                <w:szCs w:val="18"/>
              </w:rPr>
              <w:t>3098.0</w:t>
            </w:r>
          </w:p>
        </w:tc>
        <w:tc>
          <w:tcPr>
            <w:tcW w:w="1347" w:type="dxa"/>
            <w:tcBorders>
              <w:top w:val="nil"/>
              <w:left w:val="single" w:color="auto" w:sz="2" w:space="0"/>
              <w:right w:val="single" w:color="auto" w:sz="2" w:space="0"/>
            </w:tcBorders>
            <w:noWrap/>
            <w:vAlign w:val="center"/>
          </w:tcPr>
          <w:p w14:paraId="23367AB5">
            <w:pPr>
              <w:widowControl/>
              <w:jc w:val="center"/>
              <w:rPr>
                <w:kern w:val="0"/>
                <w:sz w:val="18"/>
                <w:szCs w:val="18"/>
              </w:rPr>
            </w:pPr>
            <w:r>
              <w:rPr>
                <w:kern w:val="0"/>
                <w:sz w:val="18"/>
                <w:szCs w:val="18"/>
              </w:rPr>
              <w:t>2994.7</w:t>
            </w:r>
          </w:p>
        </w:tc>
        <w:tc>
          <w:tcPr>
            <w:tcW w:w="1353" w:type="dxa"/>
            <w:tcBorders>
              <w:top w:val="nil"/>
              <w:left w:val="single" w:color="auto" w:sz="2" w:space="0"/>
            </w:tcBorders>
            <w:noWrap/>
            <w:vAlign w:val="center"/>
          </w:tcPr>
          <w:p w14:paraId="680DD81D">
            <w:pPr>
              <w:widowControl/>
              <w:jc w:val="center"/>
              <w:rPr>
                <w:kern w:val="0"/>
                <w:sz w:val="18"/>
                <w:szCs w:val="18"/>
              </w:rPr>
            </w:pPr>
            <w:r>
              <w:rPr>
                <w:kern w:val="0"/>
                <w:sz w:val="18"/>
                <w:szCs w:val="18"/>
              </w:rPr>
              <w:t>2875.3</w:t>
            </w:r>
          </w:p>
        </w:tc>
      </w:tr>
      <w:tr w14:paraId="481121A5">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03D97A71">
            <w:pPr>
              <w:widowControl/>
              <w:jc w:val="center"/>
              <w:rPr>
                <w:kern w:val="0"/>
                <w:sz w:val="18"/>
                <w:szCs w:val="18"/>
              </w:rPr>
            </w:pPr>
            <w:r>
              <w:rPr>
                <w:kern w:val="0"/>
                <w:sz w:val="18"/>
                <w:szCs w:val="18"/>
              </w:rPr>
              <w:t>480</w:t>
            </w:r>
          </w:p>
        </w:tc>
        <w:tc>
          <w:tcPr>
            <w:tcW w:w="1348" w:type="dxa"/>
            <w:tcBorders>
              <w:top w:val="nil"/>
              <w:left w:val="single" w:color="auto" w:sz="2" w:space="0"/>
              <w:right w:val="single" w:color="auto" w:sz="2" w:space="0"/>
            </w:tcBorders>
            <w:noWrap/>
            <w:vAlign w:val="center"/>
          </w:tcPr>
          <w:p w14:paraId="1942D4B3">
            <w:pPr>
              <w:widowControl/>
              <w:jc w:val="center"/>
              <w:rPr>
                <w:kern w:val="0"/>
                <w:sz w:val="18"/>
                <w:szCs w:val="18"/>
              </w:rPr>
            </w:pPr>
            <w:r>
              <w:rPr>
                <w:kern w:val="0"/>
                <w:sz w:val="18"/>
                <w:szCs w:val="18"/>
              </w:rPr>
              <w:t>3361.32</w:t>
            </w:r>
          </w:p>
        </w:tc>
        <w:tc>
          <w:tcPr>
            <w:tcW w:w="1347" w:type="dxa"/>
            <w:tcBorders>
              <w:top w:val="nil"/>
              <w:left w:val="single" w:color="auto" w:sz="2" w:space="0"/>
              <w:right w:val="single" w:color="auto" w:sz="2" w:space="0"/>
            </w:tcBorders>
            <w:noWrap/>
            <w:vAlign w:val="center"/>
          </w:tcPr>
          <w:p w14:paraId="3664E347">
            <w:pPr>
              <w:widowControl/>
              <w:jc w:val="center"/>
              <w:rPr>
                <w:kern w:val="0"/>
                <w:sz w:val="18"/>
                <w:szCs w:val="18"/>
              </w:rPr>
            </w:pPr>
            <w:r>
              <w:rPr>
                <w:kern w:val="0"/>
                <w:sz w:val="18"/>
                <w:szCs w:val="18"/>
              </w:rPr>
              <w:t>3321.3</w:t>
            </w:r>
          </w:p>
        </w:tc>
        <w:tc>
          <w:tcPr>
            <w:tcW w:w="1347" w:type="dxa"/>
            <w:tcBorders>
              <w:top w:val="nil"/>
              <w:left w:val="single" w:color="auto" w:sz="2" w:space="0"/>
              <w:right w:val="single" w:color="auto" w:sz="2" w:space="0"/>
            </w:tcBorders>
            <w:noWrap/>
            <w:vAlign w:val="center"/>
          </w:tcPr>
          <w:p w14:paraId="61DE4139">
            <w:pPr>
              <w:widowControl/>
              <w:jc w:val="center"/>
              <w:rPr>
                <w:kern w:val="0"/>
                <w:sz w:val="18"/>
                <w:szCs w:val="18"/>
              </w:rPr>
            </w:pPr>
            <w:r>
              <w:rPr>
                <w:kern w:val="0"/>
                <w:sz w:val="18"/>
                <w:szCs w:val="18"/>
              </w:rPr>
              <w:t>3264.1</w:t>
            </w:r>
          </w:p>
        </w:tc>
        <w:tc>
          <w:tcPr>
            <w:tcW w:w="1347" w:type="dxa"/>
            <w:tcBorders>
              <w:top w:val="nil"/>
              <w:left w:val="single" w:color="auto" w:sz="2" w:space="0"/>
              <w:right w:val="single" w:color="auto" w:sz="2" w:space="0"/>
            </w:tcBorders>
            <w:noWrap/>
            <w:vAlign w:val="center"/>
          </w:tcPr>
          <w:p w14:paraId="514A11E3">
            <w:pPr>
              <w:widowControl/>
              <w:jc w:val="center"/>
              <w:rPr>
                <w:kern w:val="0"/>
                <w:sz w:val="18"/>
                <w:szCs w:val="18"/>
              </w:rPr>
            </w:pPr>
            <w:r>
              <w:rPr>
                <w:kern w:val="0"/>
                <w:sz w:val="18"/>
                <w:szCs w:val="18"/>
              </w:rPr>
              <w:t>3169.1</w:t>
            </w:r>
          </w:p>
        </w:tc>
        <w:tc>
          <w:tcPr>
            <w:tcW w:w="1347" w:type="dxa"/>
            <w:tcBorders>
              <w:top w:val="nil"/>
              <w:left w:val="single" w:color="auto" w:sz="2" w:space="0"/>
              <w:right w:val="single" w:color="auto" w:sz="2" w:space="0"/>
            </w:tcBorders>
            <w:noWrap/>
            <w:vAlign w:val="center"/>
          </w:tcPr>
          <w:p w14:paraId="29D9FC07">
            <w:pPr>
              <w:widowControl/>
              <w:jc w:val="center"/>
              <w:rPr>
                <w:kern w:val="0"/>
                <w:sz w:val="18"/>
                <w:szCs w:val="18"/>
              </w:rPr>
            </w:pPr>
            <w:r>
              <w:rPr>
                <w:kern w:val="0"/>
                <w:sz w:val="18"/>
                <w:szCs w:val="18"/>
              </w:rPr>
              <w:t>3079.8</w:t>
            </w:r>
          </w:p>
        </w:tc>
        <w:tc>
          <w:tcPr>
            <w:tcW w:w="1353" w:type="dxa"/>
            <w:tcBorders>
              <w:top w:val="nil"/>
              <w:left w:val="single" w:color="auto" w:sz="2" w:space="0"/>
            </w:tcBorders>
            <w:noWrap/>
            <w:vAlign w:val="center"/>
          </w:tcPr>
          <w:p w14:paraId="65B01147">
            <w:pPr>
              <w:widowControl/>
              <w:jc w:val="center"/>
              <w:rPr>
                <w:kern w:val="0"/>
                <w:sz w:val="18"/>
                <w:szCs w:val="18"/>
              </w:rPr>
            </w:pPr>
            <w:r>
              <w:rPr>
                <w:kern w:val="0"/>
                <w:sz w:val="18"/>
                <w:szCs w:val="18"/>
              </w:rPr>
              <w:t>2979.6</w:t>
            </w:r>
          </w:p>
        </w:tc>
      </w:tr>
      <w:tr w14:paraId="2EAEA5C1">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51D3EDF4">
            <w:pPr>
              <w:widowControl/>
              <w:jc w:val="center"/>
              <w:rPr>
                <w:kern w:val="0"/>
                <w:sz w:val="18"/>
                <w:szCs w:val="18"/>
              </w:rPr>
            </w:pPr>
            <w:r>
              <w:rPr>
                <w:kern w:val="0"/>
                <w:sz w:val="18"/>
                <w:szCs w:val="18"/>
              </w:rPr>
              <w:t>500</w:t>
            </w:r>
          </w:p>
        </w:tc>
        <w:tc>
          <w:tcPr>
            <w:tcW w:w="1348" w:type="dxa"/>
            <w:tcBorders>
              <w:top w:val="nil"/>
              <w:left w:val="single" w:color="auto" w:sz="2" w:space="0"/>
              <w:right w:val="single" w:color="auto" w:sz="2" w:space="0"/>
            </w:tcBorders>
            <w:noWrap/>
            <w:vAlign w:val="center"/>
          </w:tcPr>
          <w:p w14:paraId="351CB2AB">
            <w:pPr>
              <w:widowControl/>
              <w:jc w:val="center"/>
              <w:rPr>
                <w:kern w:val="0"/>
                <w:sz w:val="18"/>
                <w:szCs w:val="18"/>
              </w:rPr>
            </w:pPr>
            <w:r>
              <w:rPr>
                <w:kern w:val="0"/>
                <w:sz w:val="18"/>
                <w:szCs w:val="18"/>
              </w:rPr>
              <w:t>3410.20</w:t>
            </w:r>
          </w:p>
        </w:tc>
        <w:tc>
          <w:tcPr>
            <w:tcW w:w="1347" w:type="dxa"/>
            <w:tcBorders>
              <w:top w:val="nil"/>
              <w:left w:val="single" w:color="auto" w:sz="2" w:space="0"/>
              <w:right w:val="single" w:color="auto" w:sz="2" w:space="0"/>
            </w:tcBorders>
            <w:noWrap/>
            <w:vAlign w:val="center"/>
          </w:tcPr>
          <w:p w14:paraId="4093E25D">
            <w:pPr>
              <w:widowControl/>
              <w:jc w:val="center"/>
              <w:rPr>
                <w:kern w:val="0"/>
                <w:sz w:val="18"/>
                <w:szCs w:val="18"/>
              </w:rPr>
            </w:pPr>
            <w:r>
              <w:rPr>
                <w:kern w:val="0"/>
                <w:sz w:val="18"/>
                <w:szCs w:val="18"/>
              </w:rPr>
              <w:t>3374.1</w:t>
            </w:r>
          </w:p>
        </w:tc>
        <w:tc>
          <w:tcPr>
            <w:tcW w:w="1347" w:type="dxa"/>
            <w:tcBorders>
              <w:top w:val="nil"/>
              <w:left w:val="single" w:color="auto" w:sz="2" w:space="0"/>
              <w:right w:val="single" w:color="auto" w:sz="2" w:space="0"/>
            </w:tcBorders>
            <w:noWrap/>
            <w:vAlign w:val="center"/>
          </w:tcPr>
          <w:p w14:paraId="1B68BE47">
            <w:pPr>
              <w:widowControl/>
              <w:jc w:val="center"/>
              <w:rPr>
                <w:kern w:val="0"/>
                <w:sz w:val="18"/>
                <w:szCs w:val="18"/>
              </w:rPr>
            </w:pPr>
            <w:r>
              <w:rPr>
                <w:kern w:val="0"/>
                <w:sz w:val="18"/>
                <w:szCs w:val="18"/>
              </w:rPr>
              <w:t>3323.0</w:t>
            </w:r>
          </w:p>
        </w:tc>
        <w:tc>
          <w:tcPr>
            <w:tcW w:w="1347" w:type="dxa"/>
            <w:tcBorders>
              <w:top w:val="nil"/>
              <w:left w:val="single" w:color="auto" w:sz="2" w:space="0"/>
              <w:right w:val="single" w:color="auto" w:sz="2" w:space="0"/>
            </w:tcBorders>
            <w:noWrap/>
            <w:vAlign w:val="center"/>
          </w:tcPr>
          <w:p w14:paraId="32FACE62">
            <w:pPr>
              <w:widowControl/>
              <w:jc w:val="center"/>
              <w:rPr>
                <w:kern w:val="0"/>
                <w:sz w:val="18"/>
                <w:szCs w:val="18"/>
              </w:rPr>
            </w:pPr>
            <w:r>
              <w:rPr>
                <w:kern w:val="0"/>
                <w:sz w:val="18"/>
                <w:szCs w:val="18"/>
              </w:rPr>
              <w:t>3240.2</w:t>
            </w:r>
          </w:p>
        </w:tc>
        <w:tc>
          <w:tcPr>
            <w:tcW w:w="1347" w:type="dxa"/>
            <w:tcBorders>
              <w:top w:val="nil"/>
              <w:left w:val="single" w:color="auto" w:sz="2" w:space="0"/>
              <w:right w:val="single" w:color="auto" w:sz="2" w:space="0"/>
            </w:tcBorders>
            <w:noWrap/>
            <w:vAlign w:val="center"/>
          </w:tcPr>
          <w:p w14:paraId="0AF7B4D6">
            <w:pPr>
              <w:widowControl/>
              <w:jc w:val="center"/>
              <w:rPr>
                <w:kern w:val="0"/>
                <w:sz w:val="18"/>
                <w:szCs w:val="18"/>
              </w:rPr>
            </w:pPr>
            <w:r>
              <w:rPr>
                <w:kern w:val="0"/>
                <w:sz w:val="18"/>
                <w:szCs w:val="18"/>
              </w:rPr>
              <w:t>3165.0</w:t>
            </w:r>
          </w:p>
        </w:tc>
        <w:tc>
          <w:tcPr>
            <w:tcW w:w="1353" w:type="dxa"/>
            <w:tcBorders>
              <w:top w:val="nil"/>
              <w:left w:val="single" w:color="auto" w:sz="2" w:space="0"/>
            </w:tcBorders>
            <w:noWrap/>
            <w:vAlign w:val="center"/>
          </w:tcPr>
          <w:p w14:paraId="108FF00F">
            <w:pPr>
              <w:widowControl/>
              <w:jc w:val="center"/>
              <w:rPr>
                <w:kern w:val="0"/>
                <w:sz w:val="18"/>
                <w:szCs w:val="18"/>
              </w:rPr>
            </w:pPr>
            <w:r>
              <w:rPr>
                <w:kern w:val="0"/>
                <w:sz w:val="18"/>
                <w:szCs w:val="18"/>
              </w:rPr>
              <w:t>3083.9</w:t>
            </w:r>
          </w:p>
        </w:tc>
      </w:tr>
      <w:tr w14:paraId="6DC03367">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12669947">
            <w:pPr>
              <w:widowControl/>
              <w:jc w:val="center"/>
              <w:rPr>
                <w:kern w:val="0"/>
                <w:sz w:val="18"/>
                <w:szCs w:val="18"/>
              </w:rPr>
            </w:pPr>
            <w:r>
              <w:rPr>
                <w:kern w:val="0"/>
                <w:sz w:val="18"/>
                <w:szCs w:val="18"/>
              </w:rPr>
              <w:t>520</w:t>
            </w:r>
          </w:p>
        </w:tc>
        <w:tc>
          <w:tcPr>
            <w:tcW w:w="1348" w:type="dxa"/>
            <w:tcBorders>
              <w:top w:val="nil"/>
              <w:left w:val="single" w:color="auto" w:sz="2" w:space="0"/>
              <w:right w:val="single" w:color="auto" w:sz="2" w:space="0"/>
            </w:tcBorders>
            <w:noWrap/>
            <w:vAlign w:val="center"/>
          </w:tcPr>
          <w:p w14:paraId="0265BA79">
            <w:pPr>
              <w:widowControl/>
              <w:jc w:val="center"/>
              <w:rPr>
                <w:kern w:val="0"/>
                <w:sz w:val="18"/>
                <w:szCs w:val="18"/>
              </w:rPr>
            </w:pPr>
            <w:r>
              <w:rPr>
                <w:kern w:val="0"/>
                <w:sz w:val="18"/>
                <w:szCs w:val="18"/>
              </w:rPr>
              <w:t>3458.60</w:t>
            </w:r>
          </w:p>
        </w:tc>
        <w:tc>
          <w:tcPr>
            <w:tcW w:w="1347" w:type="dxa"/>
            <w:tcBorders>
              <w:top w:val="nil"/>
              <w:left w:val="single" w:color="auto" w:sz="2" w:space="0"/>
              <w:right w:val="single" w:color="auto" w:sz="2" w:space="0"/>
            </w:tcBorders>
            <w:noWrap/>
            <w:vAlign w:val="center"/>
          </w:tcPr>
          <w:p w14:paraId="5581228D">
            <w:pPr>
              <w:widowControl/>
              <w:jc w:val="center"/>
              <w:rPr>
                <w:kern w:val="0"/>
                <w:sz w:val="18"/>
                <w:szCs w:val="18"/>
              </w:rPr>
            </w:pPr>
            <w:r>
              <w:rPr>
                <w:kern w:val="0"/>
                <w:sz w:val="18"/>
                <w:szCs w:val="18"/>
              </w:rPr>
              <w:t>3425.1</w:t>
            </w:r>
          </w:p>
        </w:tc>
        <w:tc>
          <w:tcPr>
            <w:tcW w:w="1347" w:type="dxa"/>
            <w:tcBorders>
              <w:top w:val="nil"/>
              <w:left w:val="single" w:color="auto" w:sz="2" w:space="0"/>
              <w:right w:val="single" w:color="auto" w:sz="2" w:space="0"/>
            </w:tcBorders>
            <w:noWrap/>
            <w:vAlign w:val="center"/>
          </w:tcPr>
          <w:p w14:paraId="1CE34AD6">
            <w:pPr>
              <w:widowControl/>
              <w:jc w:val="center"/>
              <w:rPr>
                <w:kern w:val="0"/>
                <w:sz w:val="18"/>
                <w:szCs w:val="18"/>
              </w:rPr>
            </w:pPr>
            <w:r>
              <w:rPr>
                <w:kern w:val="0"/>
                <w:sz w:val="18"/>
                <w:szCs w:val="18"/>
              </w:rPr>
              <w:t>3378.4</w:t>
            </w:r>
          </w:p>
        </w:tc>
        <w:tc>
          <w:tcPr>
            <w:tcW w:w="1347" w:type="dxa"/>
            <w:tcBorders>
              <w:top w:val="nil"/>
              <w:left w:val="single" w:color="auto" w:sz="2" w:space="0"/>
              <w:right w:val="single" w:color="auto" w:sz="2" w:space="0"/>
            </w:tcBorders>
            <w:noWrap/>
            <w:vAlign w:val="center"/>
          </w:tcPr>
          <w:p w14:paraId="0D0B9FD2">
            <w:pPr>
              <w:widowControl/>
              <w:jc w:val="center"/>
              <w:rPr>
                <w:kern w:val="0"/>
                <w:sz w:val="18"/>
                <w:szCs w:val="18"/>
              </w:rPr>
            </w:pPr>
            <w:r>
              <w:rPr>
                <w:kern w:val="0"/>
                <w:sz w:val="18"/>
                <w:szCs w:val="18"/>
              </w:rPr>
              <w:t>3303.7</w:t>
            </w:r>
          </w:p>
        </w:tc>
        <w:tc>
          <w:tcPr>
            <w:tcW w:w="1347" w:type="dxa"/>
            <w:tcBorders>
              <w:top w:val="nil"/>
              <w:left w:val="single" w:color="auto" w:sz="2" w:space="0"/>
              <w:right w:val="single" w:color="auto" w:sz="2" w:space="0"/>
            </w:tcBorders>
            <w:noWrap/>
            <w:vAlign w:val="center"/>
          </w:tcPr>
          <w:p w14:paraId="79D0B278">
            <w:pPr>
              <w:widowControl/>
              <w:jc w:val="center"/>
              <w:rPr>
                <w:kern w:val="0"/>
                <w:sz w:val="18"/>
                <w:szCs w:val="18"/>
              </w:rPr>
            </w:pPr>
            <w:r>
              <w:rPr>
                <w:kern w:val="0"/>
                <w:sz w:val="18"/>
                <w:szCs w:val="18"/>
              </w:rPr>
              <w:t>3237.0</w:t>
            </w:r>
          </w:p>
        </w:tc>
        <w:tc>
          <w:tcPr>
            <w:tcW w:w="1353" w:type="dxa"/>
            <w:tcBorders>
              <w:top w:val="nil"/>
              <w:left w:val="single" w:color="auto" w:sz="2" w:space="0"/>
            </w:tcBorders>
            <w:noWrap/>
            <w:vAlign w:val="center"/>
          </w:tcPr>
          <w:p w14:paraId="5FAAAE48">
            <w:pPr>
              <w:widowControl/>
              <w:jc w:val="center"/>
              <w:rPr>
                <w:kern w:val="0"/>
                <w:sz w:val="18"/>
                <w:szCs w:val="18"/>
              </w:rPr>
            </w:pPr>
            <w:r>
              <w:rPr>
                <w:kern w:val="0"/>
                <w:sz w:val="18"/>
                <w:szCs w:val="18"/>
              </w:rPr>
              <w:t>3166.1</w:t>
            </w:r>
          </w:p>
        </w:tc>
      </w:tr>
      <w:tr w14:paraId="03BEFDB0">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5A465D5E">
            <w:pPr>
              <w:widowControl/>
              <w:jc w:val="center"/>
              <w:rPr>
                <w:kern w:val="0"/>
                <w:sz w:val="18"/>
                <w:szCs w:val="18"/>
              </w:rPr>
            </w:pPr>
            <w:r>
              <w:rPr>
                <w:kern w:val="0"/>
                <w:sz w:val="18"/>
                <w:szCs w:val="18"/>
              </w:rPr>
              <w:t>540</w:t>
            </w:r>
          </w:p>
        </w:tc>
        <w:tc>
          <w:tcPr>
            <w:tcW w:w="1348" w:type="dxa"/>
            <w:tcBorders>
              <w:top w:val="nil"/>
              <w:left w:val="single" w:color="auto" w:sz="2" w:space="0"/>
              <w:right w:val="single" w:color="auto" w:sz="2" w:space="0"/>
            </w:tcBorders>
            <w:noWrap/>
            <w:vAlign w:val="center"/>
          </w:tcPr>
          <w:p w14:paraId="32FFCB9F">
            <w:pPr>
              <w:widowControl/>
              <w:jc w:val="center"/>
              <w:rPr>
                <w:kern w:val="0"/>
                <w:sz w:val="18"/>
                <w:szCs w:val="18"/>
              </w:rPr>
            </w:pPr>
            <w:r>
              <w:rPr>
                <w:kern w:val="0"/>
                <w:sz w:val="18"/>
                <w:szCs w:val="18"/>
              </w:rPr>
              <w:t>3506.40</w:t>
            </w:r>
          </w:p>
        </w:tc>
        <w:tc>
          <w:tcPr>
            <w:tcW w:w="1347" w:type="dxa"/>
            <w:tcBorders>
              <w:top w:val="nil"/>
              <w:left w:val="single" w:color="auto" w:sz="2" w:space="0"/>
              <w:right w:val="single" w:color="auto" w:sz="2" w:space="0"/>
            </w:tcBorders>
            <w:noWrap/>
            <w:vAlign w:val="center"/>
          </w:tcPr>
          <w:p w14:paraId="7EE2A515">
            <w:pPr>
              <w:widowControl/>
              <w:jc w:val="center"/>
              <w:rPr>
                <w:kern w:val="0"/>
                <w:sz w:val="18"/>
                <w:szCs w:val="18"/>
              </w:rPr>
            </w:pPr>
            <w:r>
              <w:rPr>
                <w:kern w:val="0"/>
                <w:sz w:val="18"/>
                <w:szCs w:val="18"/>
              </w:rPr>
              <w:t>3475.4</w:t>
            </w:r>
          </w:p>
        </w:tc>
        <w:tc>
          <w:tcPr>
            <w:tcW w:w="1347" w:type="dxa"/>
            <w:tcBorders>
              <w:top w:val="nil"/>
              <w:left w:val="single" w:color="auto" w:sz="2" w:space="0"/>
              <w:right w:val="single" w:color="auto" w:sz="2" w:space="0"/>
            </w:tcBorders>
            <w:noWrap/>
            <w:vAlign w:val="center"/>
          </w:tcPr>
          <w:p w14:paraId="1F97FBFA">
            <w:pPr>
              <w:widowControl/>
              <w:jc w:val="center"/>
              <w:rPr>
                <w:kern w:val="0"/>
                <w:sz w:val="18"/>
                <w:szCs w:val="18"/>
              </w:rPr>
            </w:pPr>
            <w:r>
              <w:rPr>
                <w:kern w:val="0"/>
                <w:sz w:val="18"/>
                <w:szCs w:val="18"/>
              </w:rPr>
              <w:t>3432.5</w:t>
            </w:r>
          </w:p>
        </w:tc>
        <w:tc>
          <w:tcPr>
            <w:tcW w:w="1347" w:type="dxa"/>
            <w:tcBorders>
              <w:top w:val="nil"/>
              <w:left w:val="single" w:color="auto" w:sz="2" w:space="0"/>
              <w:right w:val="single" w:color="auto" w:sz="2" w:space="0"/>
            </w:tcBorders>
            <w:noWrap/>
            <w:vAlign w:val="center"/>
          </w:tcPr>
          <w:p w14:paraId="32CD8C2F">
            <w:pPr>
              <w:widowControl/>
              <w:jc w:val="center"/>
              <w:rPr>
                <w:kern w:val="0"/>
                <w:sz w:val="18"/>
                <w:szCs w:val="18"/>
              </w:rPr>
            </w:pPr>
            <w:r>
              <w:rPr>
                <w:kern w:val="0"/>
                <w:sz w:val="18"/>
                <w:szCs w:val="18"/>
              </w:rPr>
              <w:t>3364.6</w:t>
            </w:r>
          </w:p>
        </w:tc>
        <w:tc>
          <w:tcPr>
            <w:tcW w:w="1347" w:type="dxa"/>
            <w:tcBorders>
              <w:top w:val="nil"/>
              <w:left w:val="single" w:color="auto" w:sz="2" w:space="0"/>
              <w:right w:val="single" w:color="auto" w:sz="2" w:space="0"/>
            </w:tcBorders>
            <w:noWrap/>
            <w:vAlign w:val="center"/>
          </w:tcPr>
          <w:p w14:paraId="5383602E">
            <w:pPr>
              <w:widowControl/>
              <w:jc w:val="center"/>
              <w:rPr>
                <w:kern w:val="0"/>
                <w:sz w:val="18"/>
                <w:szCs w:val="18"/>
              </w:rPr>
            </w:pPr>
            <w:r>
              <w:rPr>
                <w:kern w:val="0"/>
                <w:sz w:val="18"/>
                <w:szCs w:val="18"/>
              </w:rPr>
              <w:t>3304.7</w:t>
            </w:r>
          </w:p>
        </w:tc>
        <w:tc>
          <w:tcPr>
            <w:tcW w:w="1353" w:type="dxa"/>
            <w:tcBorders>
              <w:top w:val="nil"/>
              <w:left w:val="single" w:color="auto" w:sz="2" w:space="0"/>
            </w:tcBorders>
            <w:noWrap/>
            <w:vAlign w:val="center"/>
          </w:tcPr>
          <w:p w14:paraId="01E9C390">
            <w:pPr>
              <w:widowControl/>
              <w:jc w:val="center"/>
              <w:rPr>
                <w:kern w:val="0"/>
                <w:sz w:val="18"/>
                <w:szCs w:val="18"/>
              </w:rPr>
            </w:pPr>
            <w:r>
              <w:rPr>
                <w:kern w:val="0"/>
                <w:sz w:val="18"/>
                <w:szCs w:val="18"/>
              </w:rPr>
              <w:t>3241.7</w:t>
            </w:r>
          </w:p>
        </w:tc>
      </w:tr>
      <w:tr w14:paraId="19262796">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488E001F">
            <w:pPr>
              <w:widowControl/>
              <w:jc w:val="center"/>
              <w:rPr>
                <w:kern w:val="0"/>
                <w:sz w:val="18"/>
                <w:szCs w:val="18"/>
              </w:rPr>
            </w:pPr>
            <w:r>
              <w:rPr>
                <w:kern w:val="0"/>
                <w:sz w:val="18"/>
                <w:szCs w:val="18"/>
              </w:rPr>
              <w:t>550</w:t>
            </w:r>
          </w:p>
        </w:tc>
        <w:tc>
          <w:tcPr>
            <w:tcW w:w="1348" w:type="dxa"/>
            <w:tcBorders>
              <w:top w:val="nil"/>
              <w:left w:val="single" w:color="auto" w:sz="2" w:space="0"/>
              <w:right w:val="single" w:color="auto" w:sz="2" w:space="0"/>
            </w:tcBorders>
            <w:noWrap/>
            <w:vAlign w:val="center"/>
          </w:tcPr>
          <w:p w14:paraId="6BB9CEF0">
            <w:pPr>
              <w:widowControl/>
              <w:jc w:val="center"/>
              <w:rPr>
                <w:kern w:val="0"/>
                <w:sz w:val="18"/>
                <w:szCs w:val="18"/>
              </w:rPr>
            </w:pPr>
            <w:r>
              <w:rPr>
                <w:kern w:val="0"/>
                <w:sz w:val="18"/>
                <w:szCs w:val="18"/>
              </w:rPr>
              <w:t>3530.20</w:t>
            </w:r>
          </w:p>
        </w:tc>
        <w:tc>
          <w:tcPr>
            <w:tcW w:w="1347" w:type="dxa"/>
            <w:tcBorders>
              <w:top w:val="nil"/>
              <w:left w:val="single" w:color="auto" w:sz="2" w:space="0"/>
              <w:right w:val="single" w:color="auto" w:sz="2" w:space="0"/>
            </w:tcBorders>
            <w:noWrap/>
            <w:vAlign w:val="center"/>
          </w:tcPr>
          <w:p w14:paraId="08B98F1B">
            <w:pPr>
              <w:widowControl/>
              <w:jc w:val="center"/>
              <w:rPr>
                <w:kern w:val="0"/>
                <w:sz w:val="18"/>
                <w:szCs w:val="18"/>
              </w:rPr>
            </w:pPr>
            <w:r>
              <w:rPr>
                <w:kern w:val="0"/>
                <w:sz w:val="18"/>
                <w:szCs w:val="18"/>
              </w:rPr>
              <w:t>3500.4</w:t>
            </w:r>
          </w:p>
        </w:tc>
        <w:tc>
          <w:tcPr>
            <w:tcW w:w="1347" w:type="dxa"/>
            <w:tcBorders>
              <w:top w:val="nil"/>
              <w:left w:val="single" w:color="auto" w:sz="2" w:space="0"/>
              <w:right w:val="single" w:color="auto" w:sz="2" w:space="0"/>
            </w:tcBorders>
            <w:noWrap/>
            <w:vAlign w:val="center"/>
          </w:tcPr>
          <w:p w14:paraId="381ED97B">
            <w:pPr>
              <w:widowControl/>
              <w:jc w:val="center"/>
              <w:rPr>
                <w:kern w:val="0"/>
                <w:sz w:val="18"/>
                <w:szCs w:val="18"/>
              </w:rPr>
            </w:pPr>
            <w:r>
              <w:rPr>
                <w:kern w:val="0"/>
                <w:sz w:val="18"/>
                <w:szCs w:val="18"/>
              </w:rPr>
              <w:t>3459.2</w:t>
            </w:r>
          </w:p>
        </w:tc>
        <w:tc>
          <w:tcPr>
            <w:tcW w:w="1347" w:type="dxa"/>
            <w:tcBorders>
              <w:top w:val="nil"/>
              <w:left w:val="single" w:color="auto" w:sz="2" w:space="0"/>
              <w:right w:val="single" w:color="auto" w:sz="2" w:space="0"/>
            </w:tcBorders>
            <w:noWrap/>
            <w:vAlign w:val="center"/>
          </w:tcPr>
          <w:p w14:paraId="0C300821">
            <w:pPr>
              <w:widowControl/>
              <w:jc w:val="center"/>
              <w:rPr>
                <w:kern w:val="0"/>
                <w:sz w:val="18"/>
                <w:szCs w:val="18"/>
              </w:rPr>
            </w:pPr>
            <w:r>
              <w:rPr>
                <w:kern w:val="0"/>
                <w:sz w:val="18"/>
                <w:szCs w:val="18"/>
              </w:rPr>
              <w:t>3394.3</w:t>
            </w:r>
          </w:p>
        </w:tc>
        <w:tc>
          <w:tcPr>
            <w:tcW w:w="1347" w:type="dxa"/>
            <w:tcBorders>
              <w:top w:val="nil"/>
              <w:left w:val="single" w:color="auto" w:sz="2" w:space="0"/>
              <w:right w:val="single" w:color="auto" w:sz="2" w:space="0"/>
            </w:tcBorders>
            <w:noWrap/>
            <w:vAlign w:val="center"/>
          </w:tcPr>
          <w:p w14:paraId="3182B391">
            <w:pPr>
              <w:widowControl/>
              <w:jc w:val="center"/>
              <w:rPr>
                <w:kern w:val="0"/>
                <w:sz w:val="18"/>
                <w:szCs w:val="18"/>
              </w:rPr>
            </w:pPr>
            <w:r>
              <w:rPr>
                <w:kern w:val="0"/>
                <w:sz w:val="18"/>
                <w:szCs w:val="18"/>
              </w:rPr>
              <w:t>3337.3</w:t>
            </w:r>
          </w:p>
        </w:tc>
        <w:tc>
          <w:tcPr>
            <w:tcW w:w="1353" w:type="dxa"/>
            <w:tcBorders>
              <w:top w:val="nil"/>
              <w:left w:val="single" w:color="auto" w:sz="2" w:space="0"/>
            </w:tcBorders>
            <w:noWrap/>
            <w:vAlign w:val="center"/>
          </w:tcPr>
          <w:p w14:paraId="75A1102F">
            <w:pPr>
              <w:widowControl/>
              <w:jc w:val="center"/>
              <w:rPr>
                <w:kern w:val="0"/>
                <w:sz w:val="18"/>
                <w:szCs w:val="18"/>
              </w:rPr>
            </w:pPr>
            <w:r>
              <w:rPr>
                <w:kern w:val="0"/>
                <w:sz w:val="18"/>
                <w:szCs w:val="18"/>
              </w:rPr>
              <w:t>3277.7</w:t>
            </w:r>
          </w:p>
        </w:tc>
      </w:tr>
      <w:tr w14:paraId="34F565D6">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6B26FEE7">
            <w:pPr>
              <w:widowControl/>
              <w:jc w:val="center"/>
              <w:rPr>
                <w:kern w:val="0"/>
                <w:sz w:val="18"/>
                <w:szCs w:val="18"/>
              </w:rPr>
            </w:pPr>
            <w:r>
              <w:rPr>
                <w:kern w:val="0"/>
                <w:sz w:val="18"/>
                <w:szCs w:val="18"/>
              </w:rPr>
              <w:t>560</w:t>
            </w:r>
          </w:p>
        </w:tc>
        <w:tc>
          <w:tcPr>
            <w:tcW w:w="1348" w:type="dxa"/>
            <w:tcBorders>
              <w:top w:val="nil"/>
              <w:left w:val="single" w:color="auto" w:sz="2" w:space="0"/>
              <w:right w:val="single" w:color="auto" w:sz="2" w:space="0"/>
            </w:tcBorders>
            <w:noWrap/>
            <w:vAlign w:val="center"/>
          </w:tcPr>
          <w:p w14:paraId="6EC1811E">
            <w:pPr>
              <w:widowControl/>
              <w:jc w:val="center"/>
              <w:rPr>
                <w:kern w:val="0"/>
                <w:sz w:val="18"/>
                <w:szCs w:val="18"/>
              </w:rPr>
            </w:pPr>
            <w:r>
              <w:rPr>
                <w:kern w:val="0"/>
                <w:sz w:val="18"/>
                <w:szCs w:val="18"/>
              </w:rPr>
              <w:t>3554.10</w:t>
            </w:r>
          </w:p>
        </w:tc>
        <w:tc>
          <w:tcPr>
            <w:tcW w:w="1347" w:type="dxa"/>
            <w:tcBorders>
              <w:top w:val="nil"/>
              <w:left w:val="single" w:color="auto" w:sz="2" w:space="0"/>
              <w:right w:val="single" w:color="auto" w:sz="2" w:space="0"/>
            </w:tcBorders>
            <w:noWrap/>
            <w:vAlign w:val="center"/>
          </w:tcPr>
          <w:p w14:paraId="10579071">
            <w:pPr>
              <w:widowControl/>
              <w:jc w:val="center"/>
              <w:rPr>
                <w:kern w:val="0"/>
                <w:sz w:val="18"/>
                <w:szCs w:val="18"/>
              </w:rPr>
            </w:pPr>
            <w:r>
              <w:rPr>
                <w:kern w:val="0"/>
                <w:sz w:val="18"/>
                <w:szCs w:val="18"/>
              </w:rPr>
              <w:t>3525.4</w:t>
            </w:r>
          </w:p>
        </w:tc>
        <w:tc>
          <w:tcPr>
            <w:tcW w:w="1347" w:type="dxa"/>
            <w:tcBorders>
              <w:top w:val="nil"/>
              <w:left w:val="single" w:color="auto" w:sz="2" w:space="0"/>
              <w:right w:val="single" w:color="auto" w:sz="2" w:space="0"/>
            </w:tcBorders>
            <w:noWrap/>
            <w:vAlign w:val="center"/>
          </w:tcPr>
          <w:p w14:paraId="0B5B3CF8">
            <w:pPr>
              <w:widowControl/>
              <w:jc w:val="center"/>
              <w:rPr>
                <w:kern w:val="0"/>
                <w:sz w:val="18"/>
                <w:szCs w:val="18"/>
              </w:rPr>
            </w:pPr>
            <w:r>
              <w:rPr>
                <w:kern w:val="0"/>
                <w:sz w:val="18"/>
                <w:szCs w:val="18"/>
              </w:rPr>
              <w:t>3485.8</w:t>
            </w:r>
          </w:p>
        </w:tc>
        <w:tc>
          <w:tcPr>
            <w:tcW w:w="1347" w:type="dxa"/>
            <w:tcBorders>
              <w:top w:val="nil"/>
              <w:left w:val="single" w:color="auto" w:sz="2" w:space="0"/>
              <w:right w:val="single" w:color="auto" w:sz="2" w:space="0"/>
            </w:tcBorders>
            <w:noWrap/>
            <w:vAlign w:val="center"/>
          </w:tcPr>
          <w:p w14:paraId="015FC716">
            <w:pPr>
              <w:widowControl/>
              <w:jc w:val="center"/>
              <w:rPr>
                <w:kern w:val="0"/>
                <w:sz w:val="18"/>
                <w:szCs w:val="18"/>
              </w:rPr>
            </w:pPr>
            <w:r>
              <w:rPr>
                <w:kern w:val="0"/>
                <w:sz w:val="18"/>
                <w:szCs w:val="18"/>
              </w:rPr>
              <w:t>3423.6</w:t>
            </w:r>
          </w:p>
        </w:tc>
        <w:tc>
          <w:tcPr>
            <w:tcW w:w="1347" w:type="dxa"/>
            <w:tcBorders>
              <w:top w:val="nil"/>
              <w:left w:val="single" w:color="auto" w:sz="2" w:space="0"/>
              <w:right w:val="single" w:color="auto" w:sz="2" w:space="0"/>
            </w:tcBorders>
            <w:noWrap/>
            <w:vAlign w:val="center"/>
          </w:tcPr>
          <w:p w14:paraId="655A2908">
            <w:pPr>
              <w:widowControl/>
              <w:jc w:val="center"/>
              <w:rPr>
                <w:kern w:val="0"/>
                <w:sz w:val="18"/>
                <w:szCs w:val="18"/>
              </w:rPr>
            </w:pPr>
            <w:r>
              <w:rPr>
                <w:kern w:val="0"/>
                <w:sz w:val="18"/>
                <w:szCs w:val="18"/>
              </w:rPr>
              <w:t>3369.2</w:t>
            </w:r>
          </w:p>
        </w:tc>
        <w:tc>
          <w:tcPr>
            <w:tcW w:w="1353" w:type="dxa"/>
            <w:tcBorders>
              <w:top w:val="nil"/>
              <w:left w:val="single" w:color="auto" w:sz="2" w:space="0"/>
            </w:tcBorders>
            <w:noWrap/>
            <w:vAlign w:val="center"/>
          </w:tcPr>
          <w:p w14:paraId="164F4BC5">
            <w:pPr>
              <w:widowControl/>
              <w:jc w:val="center"/>
              <w:rPr>
                <w:kern w:val="0"/>
                <w:sz w:val="18"/>
                <w:szCs w:val="18"/>
              </w:rPr>
            </w:pPr>
            <w:r>
              <w:rPr>
                <w:kern w:val="0"/>
                <w:sz w:val="18"/>
                <w:szCs w:val="18"/>
              </w:rPr>
              <w:t>3312.6</w:t>
            </w:r>
          </w:p>
        </w:tc>
      </w:tr>
      <w:tr w14:paraId="551E0BC5">
        <w:tblPrEx>
          <w:tblCellMar>
            <w:top w:w="0" w:type="dxa"/>
            <w:left w:w="108" w:type="dxa"/>
            <w:bottom w:w="0" w:type="dxa"/>
            <w:right w:w="108" w:type="dxa"/>
          </w:tblCellMar>
        </w:tblPrEx>
        <w:trPr>
          <w:trHeight w:val="390" w:hRule="atLeast"/>
          <w:jc w:val="center"/>
        </w:trPr>
        <w:tc>
          <w:tcPr>
            <w:tcW w:w="1314" w:type="dxa"/>
            <w:tcBorders>
              <w:top w:val="nil"/>
              <w:right w:val="single" w:color="auto" w:sz="2" w:space="0"/>
            </w:tcBorders>
            <w:noWrap/>
            <w:vAlign w:val="center"/>
          </w:tcPr>
          <w:p w14:paraId="2F0ECEC0">
            <w:pPr>
              <w:widowControl/>
              <w:jc w:val="center"/>
              <w:rPr>
                <w:kern w:val="0"/>
                <w:sz w:val="18"/>
                <w:szCs w:val="18"/>
              </w:rPr>
            </w:pPr>
            <w:r>
              <w:rPr>
                <w:kern w:val="0"/>
                <w:sz w:val="18"/>
                <w:szCs w:val="18"/>
              </w:rPr>
              <w:t>580</w:t>
            </w:r>
          </w:p>
        </w:tc>
        <w:tc>
          <w:tcPr>
            <w:tcW w:w="1348" w:type="dxa"/>
            <w:tcBorders>
              <w:top w:val="nil"/>
              <w:left w:val="single" w:color="auto" w:sz="2" w:space="0"/>
              <w:right w:val="single" w:color="auto" w:sz="2" w:space="0"/>
            </w:tcBorders>
            <w:noWrap/>
            <w:vAlign w:val="center"/>
          </w:tcPr>
          <w:p w14:paraId="397A740E">
            <w:pPr>
              <w:widowControl/>
              <w:jc w:val="center"/>
              <w:rPr>
                <w:kern w:val="0"/>
                <w:sz w:val="18"/>
                <w:szCs w:val="18"/>
              </w:rPr>
            </w:pPr>
            <w:r>
              <w:rPr>
                <w:kern w:val="0"/>
                <w:sz w:val="18"/>
                <w:szCs w:val="18"/>
              </w:rPr>
              <w:t>3601.60</w:t>
            </w:r>
          </w:p>
        </w:tc>
        <w:tc>
          <w:tcPr>
            <w:tcW w:w="1347" w:type="dxa"/>
            <w:tcBorders>
              <w:top w:val="nil"/>
              <w:left w:val="single" w:color="auto" w:sz="2" w:space="0"/>
              <w:right w:val="single" w:color="auto" w:sz="2" w:space="0"/>
            </w:tcBorders>
            <w:noWrap/>
            <w:vAlign w:val="center"/>
          </w:tcPr>
          <w:p w14:paraId="12E3C00B">
            <w:pPr>
              <w:widowControl/>
              <w:jc w:val="center"/>
              <w:rPr>
                <w:kern w:val="0"/>
                <w:sz w:val="18"/>
                <w:szCs w:val="18"/>
              </w:rPr>
            </w:pPr>
            <w:r>
              <w:rPr>
                <w:kern w:val="0"/>
                <w:sz w:val="18"/>
                <w:szCs w:val="18"/>
              </w:rPr>
              <w:t>3574.9</w:t>
            </w:r>
          </w:p>
        </w:tc>
        <w:tc>
          <w:tcPr>
            <w:tcW w:w="1347" w:type="dxa"/>
            <w:tcBorders>
              <w:top w:val="nil"/>
              <w:left w:val="single" w:color="auto" w:sz="2" w:space="0"/>
              <w:right w:val="single" w:color="auto" w:sz="2" w:space="0"/>
            </w:tcBorders>
            <w:noWrap/>
            <w:vAlign w:val="center"/>
          </w:tcPr>
          <w:p w14:paraId="50755289">
            <w:pPr>
              <w:widowControl/>
              <w:jc w:val="center"/>
              <w:rPr>
                <w:kern w:val="0"/>
                <w:sz w:val="18"/>
                <w:szCs w:val="18"/>
              </w:rPr>
            </w:pPr>
            <w:r>
              <w:rPr>
                <w:kern w:val="0"/>
                <w:sz w:val="18"/>
                <w:szCs w:val="18"/>
              </w:rPr>
              <w:t>3538.2</w:t>
            </w:r>
          </w:p>
        </w:tc>
        <w:tc>
          <w:tcPr>
            <w:tcW w:w="1347" w:type="dxa"/>
            <w:tcBorders>
              <w:top w:val="nil"/>
              <w:left w:val="single" w:color="auto" w:sz="2" w:space="0"/>
              <w:right w:val="single" w:color="auto" w:sz="2" w:space="0"/>
            </w:tcBorders>
            <w:noWrap/>
            <w:vAlign w:val="center"/>
          </w:tcPr>
          <w:p w14:paraId="75CA69B2">
            <w:pPr>
              <w:widowControl/>
              <w:jc w:val="center"/>
              <w:rPr>
                <w:kern w:val="0"/>
                <w:sz w:val="18"/>
                <w:szCs w:val="18"/>
              </w:rPr>
            </w:pPr>
            <w:r>
              <w:rPr>
                <w:kern w:val="0"/>
                <w:sz w:val="18"/>
                <w:szCs w:val="18"/>
              </w:rPr>
              <w:t>3480.9</w:t>
            </w:r>
          </w:p>
        </w:tc>
        <w:tc>
          <w:tcPr>
            <w:tcW w:w="1347" w:type="dxa"/>
            <w:tcBorders>
              <w:top w:val="nil"/>
              <w:left w:val="single" w:color="auto" w:sz="2" w:space="0"/>
              <w:right w:val="single" w:color="auto" w:sz="2" w:space="0"/>
            </w:tcBorders>
            <w:noWrap/>
            <w:vAlign w:val="center"/>
          </w:tcPr>
          <w:p w14:paraId="403E3354">
            <w:pPr>
              <w:widowControl/>
              <w:jc w:val="center"/>
              <w:rPr>
                <w:kern w:val="0"/>
                <w:sz w:val="18"/>
                <w:szCs w:val="18"/>
              </w:rPr>
            </w:pPr>
            <w:r>
              <w:rPr>
                <w:kern w:val="0"/>
                <w:sz w:val="18"/>
                <w:szCs w:val="18"/>
              </w:rPr>
              <w:t>3431.2</w:t>
            </w:r>
          </w:p>
        </w:tc>
        <w:tc>
          <w:tcPr>
            <w:tcW w:w="1353" w:type="dxa"/>
            <w:tcBorders>
              <w:top w:val="nil"/>
              <w:left w:val="single" w:color="auto" w:sz="2" w:space="0"/>
            </w:tcBorders>
            <w:noWrap/>
            <w:vAlign w:val="center"/>
          </w:tcPr>
          <w:p w14:paraId="1FEB59D2">
            <w:pPr>
              <w:widowControl/>
              <w:jc w:val="center"/>
              <w:rPr>
                <w:kern w:val="0"/>
                <w:sz w:val="18"/>
                <w:szCs w:val="18"/>
              </w:rPr>
            </w:pPr>
            <w:r>
              <w:rPr>
                <w:kern w:val="0"/>
                <w:sz w:val="18"/>
                <w:szCs w:val="18"/>
              </w:rPr>
              <w:t>3379.8</w:t>
            </w:r>
          </w:p>
        </w:tc>
      </w:tr>
      <w:tr w14:paraId="79DD2D0A">
        <w:tblPrEx>
          <w:tblCellMar>
            <w:top w:w="0" w:type="dxa"/>
            <w:left w:w="108" w:type="dxa"/>
            <w:bottom w:w="0" w:type="dxa"/>
            <w:right w:w="108" w:type="dxa"/>
          </w:tblCellMar>
        </w:tblPrEx>
        <w:trPr>
          <w:trHeight w:val="390" w:hRule="atLeast"/>
          <w:jc w:val="center"/>
        </w:trPr>
        <w:tc>
          <w:tcPr>
            <w:tcW w:w="1314" w:type="dxa"/>
            <w:tcBorders>
              <w:top w:val="nil"/>
              <w:bottom w:val="single" w:color="auto" w:sz="8" w:space="0"/>
              <w:right w:val="single" w:color="auto" w:sz="2" w:space="0"/>
            </w:tcBorders>
            <w:noWrap/>
            <w:vAlign w:val="center"/>
          </w:tcPr>
          <w:p w14:paraId="0F91DF22">
            <w:pPr>
              <w:widowControl/>
              <w:jc w:val="center"/>
              <w:rPr>
                <w:kern w:val="0"/>
                <w:sz w:val="18"/>
                <w:szCs w:val="18"/>
              </w:rPr>
            </w:pPr>
            <w:r>
              <w:rPr>
                <w:kern w:val="0"/>
                <w:sz w:val="18"/>
                <w:szCs w:val="18"/>
              </w:rPr>
              <w:t>600</w:t>
            </w:r>
          </w:p>
        </w:tc>
        <w:tc>
          <w:tcPr>
            <w:tcW w:w="1348" w:type="dxa"/>
            <w:tcBorders>
              <w:top w:val="nil"/>
              <w:left w:val="single" w:color="auto" w:sz="2" w:space="0"/>
              <w:bottom w:val="single" w:color="auto" w:sz="8" w:space="0"/>
              <w:right w:val="single" w:color="auto" w:sz="2" w:space="0"/>
            </w:tcBorders>
            <w:noWrap/>
            <w:vAlign w:val="center"/>
          </w:tcPr>
          <w:p w14:paraId="42D0C728">
            <w:pPr>
              <w:widowControl/>
              <w:jc w:val="center"/>
              <w:rPr>
                <w:kern w:val="0"/>
                <w:sz w:val="18"/>
                <w:szCs w:val="18"/>
              </w:rPr>
            </w:pPr>
            <w:r>
              <w:rPr>
                <w:kern w:val="0"/>
                <w:sz w:val="18"/>
                <w:szCs w:val="18"/>
              </w:rPr>
              <w:t>3649.00</w:t>
            </w:r>
          </w:p>
        </w:tc>
        <w:tc>
          <w:tcPr>
            <w:tcW w:w="1347" w:type="dxa"/>
            <w:tcBorders>
              <w:top w:val="nil"/>
              <w:left w:val="single" w:color="auto" w:sz="2" w:space="0"/>
              <w:bottom w:val="single" w:color="auto" w:sz="8" w:space="0"/>
              <w:right w:val="single" w:color="auto" w:sz="2" w:space="0"/>
            </w:tcBorders>
            <w:noWrap/>
            <w:vAlign w:val="center"/>
          </w:tcPr>
          <w:p w14:paraId="448A89EE">
            <w:pPr>
              <w:widowControl/>
              <w:jc w:val="center"/>
              <w:rPr>
                <w:kern w:val="0"/>
                <w:sz w:val="18"/>
                <w:szCs w:val="18"/>
              </w:rPr>
            </w:pPr>
            <w:r>
              <w:rPr>
                <w:kern w:val="0"/>
                <w:sz w:val="18"/>
                <w:szCs w:val="18"/>
              </w:rPr>
              <w:t>3624.0</w:t>
            </w:r>
          </w:p>
        </w:tc>
        <w:tc>
          <w:tcPr>
            <w:tcW w:w="1347" w:type="dxa"/>
            <w:tcBorders>
              <w:top w:val="nil"/>
              <w:left w:val="single" w:color="auto" w:sz="2" w:space="0"/>
              <w:bottom w:val="single" w:color="auto" w:sz="8" w:space="0"/>
              <w:right w:val="single" w:color="auto" w:sz="2" w:space="0"/>
            </w:tcBorders>
            <w:noWrap/>
            <w:vAlign w:val="center"/>
          </w:tcPr>
          <w:p w14:paraId="1BEF3E39">
            <w:pPr>
              <w:widowControl/>
              <w:jc w:val="center"/>
              <w:rPr>
                <w:kern w:val="0"/>
                <w:sz w:val="18"/>
                <w:szCs w:val="18"/>
              </w:rPr>
            </w:pPr>
            <w:r>
              <w:rPr>
                <w:kern w:val="0"/>
                <w:sz w:val="18"/>
                <w:szCs w:val="18"/>
              </w:rPr>
              <w:t>3589.8</w:t>
            </w:r>
          </w:p>
        </w:tc>
        <w:tc>
          <w:tcPr>
            <w:tcW w:w="1347" w:type="dxa"/>
            <w:tcBorders>
              <w:top w:val="nil"/>
              <w:left w:val="single" w:color="auto" w:sz="2" w:space="0"/>
              <w:bottom w:val="single" w:color="auto" w:sz="8" w:space="0"/>
              <w:right w:val="single" w:color="auto" w:sz="2" w:space="0"/>
            </w:tcBorders>
            <w:noWrap/>
            <w:vAlign w:val="center"/>
          </w:tcPr>
          <w:p w14:paraId="7787E1CE">
            <w:pPr>
              <w:widowControl/>
              <w:jc w:val="center"/>
              <w:rPr>
                <w:kern w:val="0"/>
                <w:sz w:val="18"/>
                <w:szCs w:val="18"/>
              </w:rPr>
            </w:pPr>
            <w:r>
              <w:rPr>
                <w:kern w:val="0"/>
                <w:sz w:val="18"/>
                <w:szCs w:val="18"/>
              </w:rPr>
              <w:t>3536.9</w:t>
            </w:r>
          </w:p>
        </w:tc>
        <w:tc>
          <w:tcPr>
            <w:tcW w:w="1347" w:type="dxa"/>
            <w:tcBorders>
              <w:top w:val="nil"/>
              <w:left w:val="single" w:color="auto" w:sz="2" w:space="0"/>
              <w:bottom w:val="single" w:color="auto" w:sz="8" w:space="0"/>
              <w:right w:val="single" w:color="auto" w:sz="2" w:space="0"/>
            </w:tcBorders>
            <w:noWrap/>
            <w:vAlign w:val="center"/>
          </w:tcPr>
          <w:p w14:paraId="479BCBE6">
            <w:pPr>
              <w:widowControl/>
              <w:jc w:val="center"/>
              <w:rPr>
                <w:kern w:val="0"/>
                <w:sz w:val="18"/>
                <w:szCs w:val="18"/>
              </w:rPr>
            </w:pPr>
            <w:r>
              <w:rPr>
                <w:kern w:val="0"/>
                <w:sz w:val="18"/>
                <w:szCs w:val="18"/>
              </w:rPr>
              <w:t>3491.2</w:t>
            </w:r>
          </w:p>
        </w:tc>
        <w:tc>
          <w:tcPr>
            <w:tcW w:w="1353" w:type="dxa"/>
            <w:tcBorders>
              <w:top w:val="nil"/>
              <w:left w:val="single" w:color="auto" w:sz="2" w:space="0"/>
              <w:bottom w:val="single" w:color="auto" w:sz="8" w:space="0"/>
            </w:tcBorders>
            <w:noWrap/>
            <w:vAlign w:val="center"/>
          </w:tcPr>
          <w:p w14:paraId="44F8FF70">
            <w:pPr>
              <w:widowControl/>
              <w:jc w:val="center"/>
              <w:rPr>
                <w:kern w:val="0"/>
                <w:sz w:val="18"/>
                <w:szCs w:val="18"/>
              </w:rPr>
            </w:pPr>
            <w:r>
              <w:rPr>
                <w:kern w:val="0"/>
                <w:sz w:val="18"/>
                <w:szCs w:val="18"/>
              </w:rPr>
              <w:t>3444.2</w:t>
            </w:r>
          </w:p>
        </w:tc>
      </w:tr>
    </w:tbl>
    <w:p w14:paraId="0CCD95EE">
      <w:pPr>
        <w:snapToGrid w:val="0"/>
        <w:spacing w:before="360" w:beforeLines="150" w:after="360" w:afterLines="150"/>
        <w:jc w:val="center"/>
        <w:outlineLvl w:val="1"/>
        <w:rPr>
          <w:rFonts w:eastAsia="黑体"/>
          <w:sz w:val="28"/>
          <w:szCs w:val="28"/>
        </w:rPr>
      </w:pPr>
      <w:r>
        <w:br w:type="page"/>
      </w:r>
      <w:r>
        <w:rPr>
          <w:rFonts w:eastAsia="黑体"/>
          <w:sz w:val="28"/>
          <w:szCs w:val="28"/>
        </w:rPr>
        <w:t>（三）季度地区能源消费总量核算方案</w:t>
      </w:r>
    </w:p>
    <w:p w14:paraId="2593A701">
      <w:pPr>
        <w:spacing w:line="360" w:lineRule="exact"/>
        <w:ind w:right="-40" w:firstLine="430" w:firstLineChars="205"/>
        <w:textAlignment w:val="center"/>
        <w:rPr>
          <w:szCs w:val="21"/>
        </w:rPr>
      </w:pPr>
      <w:r>
        <w:rPr>
          <w:szCs w:val="21"/>
        </w:rPr>
        <w:t>季度地区能源消费总量核算</w:t>
      </w:r>
      <w:r>
        <w:rPr>
          <w:rFonts w:hint="eastAsia"/>
          <w:szCs w:val="21"/>
        </w:rPr>
        <w:t>（季度核算</w:t>
      </w:r>
      <w:r>
        <w:rPr>
          <w:szCs w:val="21"/>
        </w:rPr>
        <w:t>）的基础资料主要包括能源平衡表</w:t>
      </w:r>
      <w:r>
        <w:rPr>
          <w:rFonts w:hint="eastAsia"/>
          <w:szCs w:val="21"/>
        </w:rPr>
        <w:t>、</w:t>
      </w:r>
      <w:r>
        <w:rPr>
          <w:szCs w:val="21"/>
        </w:rPr>
        <w:t>规模以上工业企业能源</w:t>
      </w:r>
      <w:r>
        <w:rPr>
          <w:rFonts w:hint="eastAsia"/>
          <w:spacing w:val="4"/>
          <w:szCs w:val="21"/>
        </w:rPr>
        <w:t>消费、增加值、全社会用电量等数据</w:t>
      </w:r>
      <w:r>
        <w:rPr>
          <w:rFonts w:hint="eastAsia"/>
          <w:spacing w:val="4"/>
          <w:szCs w:val="21"/>
          <w:lang w:eastAsia="zh-CN"/>
        </w:rPr>
        <w:t>，</w:t>
      </w:r>
      <w:r>
        <w:rPr>
          <w:rFonts w:hint="eastAsia"/>
          <w:spacing w:val="4"/>
          <w:szCs w:val="21"/>
        </w:rPr>
        <w:t>其核算概念、口径范围等与年度核算（编制年度能源平衡表）一</w:t>
      </w:r>
      <w:r>
        <w:rPr>
          <w:szCs w:val="21"/>
        </w:rPr>
        <w:t>致。</w:t>
      </w:r>
    </w:p>
    <w:p w14:paraId="7787E691">
      <w:pPr>
        <w:spacing w:line="360" w:lineRule="exact"/>
        <w:ind w:right="-40" w:firstLine="430" w:firstLineChars="205"/>
        <w:textAlignment w:val="center"/>
        <w:rPr>
          <w:rFonts w:ascii="黑体" w:eastAsia="黑体"/>
          <w:color w:val="000000"/>
          <w:szCs w:val="21"/>
        </w:rPr>
      </w:pPr>
      <w:r>
        <w:rPr>
          <w:rFonts w:hint="eastAsia" w:ascii="黑体" w:eastAsia="黑体"/>
          <w:color w:val="000000"/>
          <w:szCs w:val="21"/>
        </w:rPr>
        <w:t>一、</w:t>
      </w:r>
      <w:r>
        <w:rPr>
          <w:rFonts w:ascii="黑体" w:eastAsia="黑体"/>
          <w:color w:val="000000"/>
          <w:szCs w:val="21"/>
        </w:rPr>
        <w:t>口径范围</w:t>
      </w:r>
    </w:p>
    <w:p w14:paraId="1570925C">
      <w:pPr>
        <w:spacing w:line="360" w:lineRule="exact"/>
        <w:ind w:right="-40" w:firstLine="430" w:firstLineChars="205"/>
        <w:textAlignment w:val="center"/>
        <w:rPr>
          <w:rFonts w:ascii="宋体" w:hAnsi="宋体"/>
          <w:szCs w:val="21"/>
        </w:rPr>
      </w:pPr>
      <w:r>
        <w:rPr>
          <w:rFonts w:ascii="宋体" w:hAnsi="宋体"/>
          <w:color w:val="000000"/>
          <w:szCs w:val="21"/>
        </w:rPr>
        <w:t>1.</w:t>
      </w:r>
      <w:r>
        <w:rPr>
          <w:rFonts w:ascii="宋体" w:hAnsi="宋体"/>
          <w:szCs w:val="21"/>
        </w:rPr>
        <w:t>能源消费数据均为等价值口径</w:t>
      </w:r>
      <w:r>
        <w:rPr>
          <w:rFonts w:hint="eastAsia" w:ascii="宋体" w:hAnsi="宋体"/>
          <w:szCs w:val="21"/>
        </w:rPr>
        <w:t>。</w:t>
      </w:r>
    </w:p>
    <w:p w14:paraId="4106EE08">
      <w:pPr>
        <w:spacing w:line="360" w:lineRule="exact"/>
        <w:ind w:right="-40" w:firstLine="430" w:firstLineChars="205"/>
        <w:textAlignment w:val="center"/>
        <w:rPr>
          <w:rFonts w:ascii="宋体" w:hAnsi="宋体"/>
          <w:color w:val="000000"/>
          <w:szCs w:val="21"/>
        </w:rPr>
      </w:pPr>
      <w:r>
        <w:rPr>
          <w:rFonts w:ascii="宋体" w:hAnsi="宋体"/>
          <w:color w:val="000000"/>
          <w:szCs w:val="21"/>
        </w:rPr>
        <w:t>2.</w:t>
      </w:r>
      <w:r>
        <w:rPr>
          <w:rFonts w:ascii="宋体" w:hAnsi="宋体"/>
          <w:szCs w:val="21"/>
        </w:rPr>
        <w:t>当上</w:t>
      </w:r>
      <w:r>
        <w:rPr>
          <w:rFonts w:hint="eastAsia" w:ascii="宋体" w:hAnsi="宋体"/>
          <w:szCs w:val="21"/>
          <w:lang w:eastAsia="zh-CN"/>
        </w:rPr>
        <w:t>一</w:t>
      </w:r>
      <w:r>
        <w:rPr>
          <w:rFonts w:ascii="宋体" w:hAnsi="宋体"/>
          <w:szCs w:val="21"/>
        </w:rPr>
        <w:t>年度</w:t>
      </w:r>
      <w:r>
        <w:rPr>
          <w:rFonts w:hint="eastAsia" w:ascii="宋体" w:hAnsi="宋体"/>
          <w:szCs w:val="21"/>
          <w:lang w:eastAsia="zh-CN"/>
        </w:rPr>
        <w:t>的</w:t>
      </w:r>
      <w:r>
        <w:rPr>
          <w:rFonts w:ascii="宋体" w:hAnsi="宋体"/>
          <w:szCs w:val="21"/>
        </w:rPr>
        <w:t>能源平衡表无法获得时</w:t>
      </w:r>
      <w:r>
        <w:rPr>
          <w:szCs w:val="21"/>
        </w:rPr>
        <w:t>，</w:t>
      </w:r>
      <w:r>
        <w:rPr>
          <w:rFonts w:hint="eastAsia"/>
          <w:szCs w:val="21"/>
          <w:lang w:eastAsia="zh-CN"/>
        </w:rPr>
        <w:t>参考最新</w:t>
      </w:r>
      <w:r>
        <w:rPr>
          <w:rFonts w:ascii="宋体" w:hAnsi="宋体"/>
          <w:szCs w:val="21"/>
        </w:rPr>
        <w:t>年度</w:t>
      </w:r>
      <w:r>
        <w:rPr>
          <w:rFonts w:hint="eastAsia" w:ascii="宋体" w:hAnsi="宋体"/>
          <w:szCs w:val="21"/>
          <w:lang w:eastAsia="zh-CN"/>
        </w:rPr>
        <w:t>的</w:t>
      </w:r>
      <w:r>
        <w:rPr>
          <w:rFonts w:ascii="宋体" w:hAnsi="宋体"/>
          <w:szCs w:val="21"/>
        </w:rPr>
        <w:t>能源平衡表</w:t>
      </w:r>
      <w:r>
        <w:rPr>
          <w:rFonts w:hint="eastAsia" w:ascii="宋体" w:hAnsi="宋体"/>
          <w:szCs w:val="21"/>
          <w:lang w:eastAsia="zh-CN"/>
        </w:rPr>
        <w:t>数据</w:t>
      </w:r>
      <w:r>
        <w:rPr>
          <w:rFonts w:ascii="宋体" w:hAnsi="宋体"/>
          <w:szCs w:val="21"/>
        </w:rPr>
        <w:t>。</w:t>
      </w:r>
    </w:p>
    <w:p w14:paraId="117CDECC">
      <w:pPr>
        <w:spacing w:line="360" w:lineRule="exact"/>
        <w:ind w:right="-40" w:firstLine="430" w:firstLineChars="205"/>
        <w:textAlignment w:val="center"/>
        <w:rPr>
          <w:rFonts w:ascii="宋体" w:hAnsi="宋体"/>
          <w:szCs w:val="21"/>
        </w:rPr>
      </w:pPr>
      <w:r>
        <w:rPr>
          <w:rFonts w:ascii="宋体" w:hAnsi="宋体"/>
          <w:color w:val="000000"/>
          <w:szCs w:val="21"/>
        </w:rPr>
        <w:t>3.</w:t>
      </w:r>
      <w:r>
        <w:rPr>
          <w:rFonts w:ascii="宋体" w:hAnsi="宋体"/>
          <w:szCs w:val="21"/>
        </w:rPr>
        <w:t>增加值数据均为不变价</w:t>
      </w:r>
      <w:r>
        <w:rPr>
          <w:rFonts w:hint="eastAsia" w:ascii="宋体" w:hAnsi="宋体"/>
          <w:szCs w:val="21"/>
        </w:rPr>
        <w:t>，规模</w:t>
      </w:r>
      <w:r>
        <w:rPr>
          <w:rFonts w:ascii="宋体" w:hAnsi="宋体"/>
          <w:szCs w:val="21"/>
        </w:rPr>
        <w:t>以上工业增加值数据来源于工业</w:t>
      </w:r>
      <w:r>
        <w:rPr>
          <w:rFonts w:hint="eastAsia" w:ascii="宋体" w:hAnsi="宋体"/>
          <w:szCs w:val="21"/>
          <w:lang w:eastAsia="zh-CN"/>
        </w:rPr>
        <w:t>统计</w:t>
      </w:r>
      <w:r>
        <w:rPr>
          <w:rFonts w:ascii="宋体" w:hAnsi="宋体"/>
          <w:szCs w:val="21"/>
        </w:rPr>
        <w:t>专业，规模以下工业增加值数据来源于工业</w:t>
      </w:r>
      <w:r>
        <w:rPr>
          <w:rFonts w:hint="eastAsia" w:ascii="宋体" w:hAnsi="宋体"/>
          <w:szCs w:val="21"/>
          <w:lang w:eastAsia="zh-CN"/>
        </w:rPr>
        <w:t>统计</w:t>
      </w:r>
      <w:r>
        <w:rPr>
          <w:rFonts w:hint="eastAsia" w:ascii="宋体" w:hAnsi="宋体"/>
          <w:szCs w:val="21"/>
        </w:rPr>
        <w:t>或国民经济核算专业，地区生产总值（GDP）</w:t>
      </w:r>
      <w:r>
        <w:rPr>
          <w:rFonts w:ascii="宋体" w:hAnsi="宋体"/>
          <w:szCs w:val="21"/>
        </w:rPr>
        <w:t>和其他行业增加值</w:t>
      </w:r>
      <w:r>
        <w:rPr>
          <w:rFonts w:hint="eastAsia" w:ascii="宋体" w:hAnsi="宋体"/>
          <w:szCs w:val="21"/>
        </w:rPr>
        <w:t>数据</w:t>
      </w:r>
      <w:r>
        <w:rPr>
          <w:rFonts w:ascii="宋体" w:hAnsi="宋体"/>
          <w:szCs w:val="21"/>
        </w:rPr>
        <w:t>来源于国民经济核算专业</w:t>
      </w:r>
      <w:r>
        <w:rPr>
          <w:rFonts w:hint="eastAsia" w:ascii="宋体" w:hAnsi="宋体"/>
          <w:szCs w:val="21"/>
        </w:rPr>
        <w:t>。</w:t>
      </w:r>
    </w:p>
    <w:p w14:paraId="0E779B10">
      <w:pPr>
        <w:spacing w:line="360" w:lineRule="exact"/>
        <w:ind w:right="-40" w:firstLine="430" w:firstLineChars="205"/>
        <w:textAlignment w:val="center"/>
        <w:rPr>
          <w:rFonts w:ascii="黑体" w:eastAsia="黑体"/>
          <w:color w:val="000000"/>
          <w:szCs w:val="21"/>
        </w:rPr>
      </w:pPr>
      <w:r>
        <w:rPr>
          <w:rFonts w:ascii="宋体" w:hAnsi="宋体"/>
          <w:color w:val="000000"/>
          <w:szCs w:val="21"/>
        </w:rPr>
        <w:t>4.分行业用电量数据来源于</w:t>
      </w:r>
      <w:r>
        <w:rPr>
          <w:rFonts w:hint="eastAsia" w:ascii="宋体" w:hAnsi="宋体"/>
          <w:color w:val="000000"/>
          <w:szCs w:val="21"/>
          <w:lang w:eastAsia="zh-CN"/>
        </w:rPr>
        <w:t>中国电力企业联合会</w:t>
      </w:r>
      <w:r>
        <w:rPr>
          <w:rFonts w:hint="eastAsia" w:ascii="宋体" w:hAnsi="宋体"/>
          <w:color w:val="000000"/>
          <w:szCs w:val="21"/>
        </w:rPr>
        <w:t>（电力部门）。</w:t>
      </w:r>
    </w:p>
    <w:p w14:paraId="4CAA3A34">
      <w:pPr>
        <w:spacing w:line="360" w:lineRule="exact"/>
        <w:ind w:right="-40" w:firstLine="430" w:firstLineChars="205"/>
        <w:textAlignment w:val="center"/>
        <w:rPr>
          <w:rFonts w:ascii="黑体" w:eastAsia="黑体"/>
          <w:color w:val="000000"/>
          <w:szCs w:val="21"/>
        </w:rPr>
      </w:pPr>
      <w:r>
        <w:rPr>
          <w:rFonts w:ascii="黑体" w:eastAsia="黑体"/>
          <w:color w:val="000000"/>
          <w:szCs w:val="21"/>
        </w:rPr>
        <w:t>二</w:t>
      </w:r>
      <w:r>
        <w:rPr>
          <w:rFonts w:hint="eastAsia" w:ascii="黑体" w:eastAsia="黑体"/>
          <w:color w:val="000000"/>
          <w:szCs w:val="21"/>
        </w:rPr>
        <w:t>、主要核算方法</w:t>
      </w:r>
    </w:p>
    <w:p w14:paraId="0187A038">
      <w:pPr>
        <w:spacing w:line="360" w:lineRule="exact"/>
        <w:ind w:right="-40" w:firstLine="430" w:firstLineChars="205"/>
        <w:textAlignment w:val="center"/>
        <w:rPr>
          <w:szCs w:val="21"/>
        </w:rPr>
      </w:pPr>
      <w:r>
        <w:rPr>
          <w:rFonts w:hint="eastAsia"/>
          <w:szCs w:val="21"/>
        </w:rPr>
        <w:t>主要使用以下三种方法对非工业行业</w:t>
      </w:r>
      <w:r>
        <w:rPr>
          <w:szCs w:val="21"/>
        </w:rPr>
        <w:t>和居民生活本期</w:t>
      </w:r>
      <w:r>
        <w:rPr>
          <w:rFonts w:hint="eastAsia"/>
          <w:szCs w:val="21"/>
        </w:rPr>
        <w:t>能源消费量进行</w:t>
      </w:r>
      <w:r>
        <w:rPr>
          <w:szCs w:val="21"/>
        </w:rPr>
        <w:t>核算</w:t>
      </w:r>
      <w:r>
        <w:rPr>
          <w:rFonts w:hint="eastAsia"/>
          <w:szCs w:val="21"/>
        </w:rPr>
        <w:t>。</w:t>
      </w:r>
    </w:p>
    <w:p w14:paraId="6527693D">
      <w:pPr>
        <w:spacing w:line="360" w:lineRule="exact"/>
        <w:ind w:right="-40" w:firstLine="430" w:firstLineChars="205"/>
        <w:textAlignment w:val="center"/>
        <w:rPr>
          <w:rFonts w:ascii="宋体" w:hAnsi="宋体"/>
          <w:szCs w:val="21"/>
        </w:rPr>
      </w:pPr>
      <w:r>
        <w:rPr>
          <w:rFonts w:ascii="宋体" w:hAnsi="宋体"/>
          <w:szCs w:val="21"/>
        </w:rPr>
        <w:t>1</w:t>
      </w:r>
      <w:r>
        <w:rPr>
          <w:rFonts w:ascii="宋体" w:hAnsi="宋体"/>
          <w:spacing w:val="4"/>
          <w:szCs w:val="21"/>
        </w:rPr>
        <w:t>.</w:t>
      </w:r>
      <w:r>
        <w:rPr>
          <w:rFonts w:ascii="宋体" w:hAnsi="宋体"/>
          <w:szCs w:val="21"/>
        </w:rPr>
        <w:t>核算方法</w:t>
      </w:r>
      <w:r>
        <w:rPr>
          <w:rFonts w:hint="eastAsia" w:ascii="宋体" w:hAnsi="宋体"/>
          <w:szCs w:val="21"/>
        </w:rPr>
        <w:t>一</w:t>
      </w:r>
      <w:r>
        <w:rPr>
          <w:rFonts w:hint="eastAsia"/>
          <w:szCs w:val="21"/>
        </w:rPr>
        <w:t>（</w:t>
      </w:r>
      <w:r>
        <w:rPr>
          <w:rFonts w:hint="eastAsia" w:ascii="宋体" w:hAnsi="宋体"/>
          <w:szCs w:val="21"/>
        </w:rPr>
        <w:t>电力占比法</w:t>
      </w:r>
      <w:r>
        <w:rPr>
          <w:rFonts w:hint="eastAsia"/>
          <w:szCs w:val="21"/>
        </w:rPr>
        <w:t>）</w:t>
      </w:r>
      <w:r>
        <w:rPr>
          <w:szCs w:val="21"/>
        </w:rPr>
        <w:t>：</w:t>
      </w:r>
      <w:r>
        <w:rPr>
          <w:rFonts w:ascii="宋体" w:hAnsi="宋体"/>
          <w:szCs w:val="21"/>
        </w:rPr>
        <w:t>使用本期用电量</w:t>
      </w:r>
      <w:r>
        <w:rPr>
          <w:rFonts w:hint="eastAsia"/>
          <w:szCs w:val="21"/>
        </w:rPr>
        <w:t>（</w:t>
      </w:r>
      <w:r>
        <w:rPr>
          <w:rFonts w:hint="eastAsia" w:ascii="宋体" w:hAnsi="宋体"/>
          <w:szCs w:val="21"/>
        </w:rPr>
        <w:t>折标准量</w:t>
      </w:r>
      <w:r>
        <w:rPr>
          <w:rFonts w:hint="eastAsia"/>
          <w:szCs w:val="21"/>
        </w:rPr>
        <w:t>）</w:t>
      </w:r>
      <w:r>
        <w:rPr>
          <w:rFonts w:hint="eastAsia" w:ascii="宋体" w:hAnsi="宋体"/>
          <w:szCs w:val="21"/>
        </w:rPr>
        <w:t>、上年</w:t>
      </w:r>
      <w:r>
        <w:rPr>
          <w:rFonts w:ascii="宋体" w:hAnsi="宋体"/>
          <w:szCs w:val="21"/>
        </w:rPr>
        <w:t>用电量比重等</w:t>
      </w:r>
      <w:r>
        <w:rPr>
          <w:rFonts w:hint="eastAsia" w:ascii="宋体" w:hAnsi="宋体"/>
          <w:szCs w:val="21"/>
        </w:rPr>
        <w:t>核算。</w:t>
      </w:r>
    </w:p>
    <w:p w14:paraId="2169D6DC">
      <w:pPr>
        <w:spacing w:line="360" w:lineRule="exact"/>
        <w:ind w:right="-40" w:firstLine="430" w:firstLineChars="205"/>
        <w:textAlignment w:val="center"/>
        <w:rPr>
          <w:rFonts w:ascii="宋体"/>
          <w:szCs w:val="21"/>
        </w:rPr>
      </w:pPr>
      <w:r>
        <w:rPr>
          <w:rFonts w:ascii="宋体" w:hAnsi="宋体"/>
          <w:szCs w:val="21"/>
        </w:rPr>
        <w:t>本期能源消费量</w:t>
      </w:r>
      <w:r>
        <w:rPr>
          <w:rFonts w:hint="eastAsia" w:ascii="宋体" w:hAnsi="宋体"/>
          <w:szCs w:val="21"/>
        </w:rPr>
        <w:t>=</w:t>
      </w:r>
      <w:r>
        <w:rPr>
          <w:rFonts w:ascii="宋体" w:hAnsi="宋体"/>
          <w:szCs w:val="21"/>
        </w:rPr>
        <w:t>本期用电量</w:t>
      </w:r>
      <w:r>
        <w:rPr>
          <w:rFonts w:hint="eastAsia"/>
          <w:szCs w:val="21"/>
        </w:rPr>
        <w:t>（</w:t>
      </w:r>
      <w:r>
        <w:rPr>
          <w:rFonts w:ascii="宋体" w:hAnsi="宋体"/>
          <w:szCs w:val="21"/>
        </w:rPr>
        <w:t>折标准量</w:t>
      </w:r>
      <w:r>
        <w:rPr>
          <w:rFonts w:hint="eastAsia"/>
          <w:szCs w:val="21"/>
        </w:rPr>
        <w:t>）</w:t>
      </w:r>
      <w:r>
        <w:rPr>
          <w:rFonts w:ascii="宋体" w:hAnsi="宋体"/>
          <w:szCs w:val="21"/>
        </w:rPr>
        <w:t>÷</w:t>
      </w:r>
      <w:r>
        <w:rPr>
          <w:rFonts w:ascii="宋体"/>
          <w:szCs w:val="21"/>
        </w:rPr>
        <w:t>上年用电量占能源消费量比重</w:t>
      </w:r>
    </w:p>
    <w:p w14:paraId="41870E5B">
      <w:pPr>
        <w:spacing w:line="360" w:lineRule="exact"/>
        <w:ind w:right="-40" w:firstLine="430" w:firstLineChars="205"/>
        <w:textAlignment w:val="center"/>
        <w:rPr>
          <w:rFonts w:ascii="宋体"/>
          <w:szCs w:val="21"/>
        </w:rPr>
      </w:pPr>
      <w:r>
        <w:rPr>
          <w:rFonts w:ascii="宋体"/>
          <w:szCs w:val="21"/>
        </w:rPr>
        <w:t xml:space="preserve">              =本期</w:t>
      </w:r>
      <w:r>
        <w:rPr>
          <w:rFonts w:hint="eastAsia" w:ascii="宋体"/>
          <w:szCs w:val="21"/>
        </w:rPr>
        <w:t>用电量×电力等价折标系数÷上年用电量占能源消费量比重</w:t>
      </w:r>
    </w:p>
    <w:p w14:paraId="57155BDC">
      <w:pPr>
        <w:spacing w:line="360" w:lineRule="exact"/>
        <w:ind w:right="-40" w:firstLine="430" w:firstLineChars="205"/>
        <w:textAlignment w:val="center"/>
        <w:rPr>
          <w:rFonts w:ascii="宋体" w:hAnsi="宋体"/>
          <w:szCs w:val="21"/>
        </w:rPr>
      </w:pPr>
      <w:r>
        <w:rPr>
          <w:rFonts w:hint="eastAsia" w:ascii="宋体"/>
          <w:szCs w:val="21"/>
        </w:rPr>
        <w:t>其中</w:t>
      </w:r>
      <w:r>
        <w:rPr>
          <w:rFonts w:hint="eastAsia"/>
          <w:szCs w:val="21"/>
        </w:rPr>
        <w:t>：</w:t>
      </w:r>
    </w:p>
    <w:p w14:paraId="094475F5">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hint="eastAsia"/>
          <w:szCs w:val="21"/>
          <w:lang w:eastAsia="zh-CN"/>
        </w:rPr>
        <w:t>“</w:t>
      </w:r>
      <w:r>
        <w:rPr>
          <w:rFonts w:ascii="宋体" w:hAnsi="宋体"/>
          <w:szCs w:val="21"/>
        </w:rPr>
        <w:t>本</w:t>
      </w:r>
      <w:r>
        <w:rPr>
          <w:rFonts w:hint="eastAsia" w:ascii="宋体" w:hAnsi="宋体"/>
          <w:szCs w:val="21"/>
        </w:rPr>
        <w:t>期用电量</w:t>
      </w:r>
      <w:r>
        <w:rPr>
          <w:rFonts w:hint="eastAsia"/>
          <w:szCs w:val="21"/>
          <w:lang w:eastAsia="zh-CN"/>
        </w:rPr>
        <w:t>”</w:t>
      </w:r>
      <w:r>
        <w:rPr>
          <w:rFonts w:hint="eastAsia" w:ascii="宋体" w:hAnsi="宋体"/>
          <w:szCs w:val="21"/>
        </w:rPr>
        <w:t>是指各行业和</w:t>
      </w:r>
      <w:r>
        <w:rPr>
          <w:rFonts w:ascii="宋体" w:hAnsi="宋体"/>
          <w:szCs w:val="21"/>
        </w:rPr>
        <w:t>居民生活本期</w:t>
      </w:r>
      <w:r>
        <w:rPr>
          <w:rFonts w:hint="eastAsia" w:ascii="宋体" w:hAnsi="宋体"/>
          <w:szCs w:val="21"/>
        </w:rPr>
        <w:t>用电量。</w:t>
      </w:r>
    </w:p>
    <w:p w14:paraId="1DC60434">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szCs w:val="21"/>
          <w:lang w:eastAsia="zh-CN"/>
        </w:rPr>
        <w:t>“</w:t>
      </w:r>
      <w:r>
        <w:rPr>
          <w:rFonts w:hint="eastAsia" w:ascii="宋体" w:hAnsi="宋体"/>
          <w:szCs w:val="21"/>
        </w:rPr>
        <w:t>电力等价折标系数</w:t>
      </w:r>
      <w:r>
        <w:rPr>
          <w:rFonts w:hint="eastAsia"/>
          <w:szCs w:val="21"/>
          <w:lang w:eastAsia="zh-CN"/>
        </w:rPr>
        <w:t>”</w:t>
      </w:r>
      <w:r>
        <w:rPr>
          <w:rFonts w:ascii="宋体" w:hAnsi="宋体"/>
          <w:szCs w:val="21"/>
        </w:rPr>
        <w:t>以上年能源平衡表中</w:t>
      </w:r>
      <w:r>
        <w:rPr>
          <w:rFonts w:hint="eastAsia" w:ascii="宋体" w:hAnsi="宋体"/>
          <w:szCs w:val="21"/>
        </w:rPr>
        <w:t>电力等价折标系数</w:t>
      </w:r>
      <w:r>
        <w:rPr>
          <w:rFonts w:ascii="宋体" w:hAnsi="宋体"/>
          <w:szCs w:val="21"/>
        </w:rPr>
        <w:t>为基础</w:t>
      </w:r>
      <w:r>
        <w:rPr>
          <w:szCs w:val="21"/>
        </w:rPr>
        <w:t>，</w:t>
      </w:r>
      <w:r>
        <w:rPr>
          <w:rFonts w:hint="eastAsia"/>
          <w:szCs w:val="21"/>
        </w:rPr>
        <w:t>参考</w:t>
      </w:r>
      <w:r>
        <w:rPr>
          <w:rFonts w:ascii="宋体" w:hAnsi="宋体"/>
          <w:szCs w:val="21"/>
        </w:rPr>
        <w:t>中电联和规模以上工业企业发电煤耗</w:t>
      </w:r>
      <w:r>
        <w:rPr>
          <w:rFonts w:hint="eastAsia" w:ascii="宋体" w:hAnsi="宋体"/>
          <w:szCs w:val="21"/>
        </w:rPr>
        <w:t>本期与</w:t>
      </w:r>
      <w:r>
        <w:rPr>
          <w:rFonts w:ascii="宋体" w:hAnsi="宋体"/>
          <w:szCs w:val="21"/>
        </w:rPr>
        <w:t>同期</w:t>
      </w:r>
      <w:r>
        <w:rPr>
          <w:rFonts w:hint="eastAsia" w:ascii="宋体" w:hAnsi="宋体"/>
          <w:szCs w:val="21"/>
        </w:rPr>
        <w:t>的变动</w:t>
      </w:r>
      <w:r>
        <w:rPr>
          <w:rFonts w:ascii="宋体" w:hAnsi="宋体"/>
          <w:szCs w:val="21"/>
        </w:rPr>
        <w:t>克数</w:t>
      </w:r>
      <w:r>
        <w:rPr>
          <w:rFonts w:hint="eastAsia" w:ascii="宋体" w:hAnsi="宋体"/>
          <w:szCs w:val="21"/>
        </w:rPr>
        <w:t>确定</w:t>
      </w:r>
      <w:r>
        <w:rPr>
          <w:rFonts w:ascii="宋体" w:hAnsi="宋体"/>
          <w:szCs w:val="21"/>
        </w:rPr>
        <w:t>。</w:t>
      </w:r>
    </w:p>
    <w:p w14:paraId="2695D674">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3</w:t>
      </w:r>
      <w:r>
        <w:rPr>
          <w:rFonts w:hint="eastAsia"/>
          <w:szCs w:val="21"/>
        </w:rPr>
        <w:t>）</w:t>
      </w:r>
      <w:r>
        <w:rPr>
          <w:rFonts w:hint="eastAsia"/>
          <w:szCs w:val="21"/>
          <w:lang w:eastAsia="zh-CN"/>
        </w:rPr>
        <w:t>“</w:t>
      </w:r>
      <w:r>
        <w:rPr>
          <w:rFonts w:ascii="宋体" w:hAnsi="宋体"/>
          <w:szCs w:val="21"/>
        </w:rPr>
        <w:t>上年用电量占</w:t>
      </w:r>
      <w:r>
        <w:rPr>
          <w:rFonts w:hint="eastAsia" w:ascii="宋体" w:hAnsi="宋体"/>
          <w:szCs w:val="21"/>
        </w:rPr>
        <w:t>能源</w:t>
      </w:r>
      <w:r>
        <w:rPr>
          <w:rFonts w:ascii="宋体" w:hAnsi="宋体"/>
          <w:szCs w:val="21"/>
        </w:rPr>
        <w:t>消费量比重</w:t>
      </w:r>
      <w:r>
        <w:rPr>
          <w:rFonts w:hint="eastAsia" w:ascii="宋体" w:hAnsi="宋体"/>
          <w:szCs w:val="21"/>
          <w:lang w:eastAsia="zh-CN"/>
        </w:rPr>
        <w:t>”</w:t>
      </w:r>
      <w:r>
        <w:rPr>
          <w:rFonts w:ascii="宋体" w:hAnsi="宋体"/>
          <w:szCs w:val="21"/>
        </w:rPr>
        <w:t>是指上年</w:t>
      </w:r>
      <w:r>
        <w:rPr>
          <w:rFonts w:hint="eastAsia" w:ascii="宋体" w:hAnsi="宋体"/>
          <w:szCs w:val="21"/>
        </w:rPr>
        <w:t>能源</w:t>
      </w:r>
      <w:r>
        <w:rPr>
          <w:rFonts w:ascii="宋体" w:hAnsi="宋体"/>
          <w:szCs w:val="21"/>
        </w:rPr>
        <w:t>平衡表中</w:t>
      </w:r>
      <w:r>
        <w:rPr>
          <w:rFonts w:hint="eastAsia" w:ascii="宋体" w:hAnsi="宋体"/>
          <w:szCs w:val="21"/>
        </w:rPr>
        <w:t>各行</w:t>
      </w:r>
      <w:r>
        <w:rPr>
          <w:rFonts w:ascii="宋体" w:hAnsi="宋体"/>
          <w:szCs w:val="21"/>
        </w:rPr>
        <w:t>业</w:t>
      </w:r>
      <w:r>
        <w:rPr>
          <w:rFonts w:hint="eastAsia" w:ascii="宋体" w:hAnsi="宋体"/>
          <w:szCs w:val="21"/>
        </w:rPr>
        <w:t>和</w:t>
      </w:r>
      <w:r>
        <w:rPr>
          <w:rFonts w:ascii="宋体" w:hAnsi="宋体"/>
          <w:szCs w:val="21"/>
        </w:rPr>
        <w:t>居民</w:t>
      </w:r>
      <w:r>
        <w:rPr>
          <w:rFonts w:hint="eastAsia" w:ascii="宋体" w:hAnsi="宋体"/>
          <w:szCs w:val="21"/>
        </w:rPr>
        <w:t>生活</w:t>
      </w:r>
      <w:r>
        <w:rPr>
          <w:rFonts w:ascii="宋体" w:hAnsi="宋体"/>
          <w:szCs w:val="21"/>
        </w:rPr>
        <w:t>用电量占该行业</w:t>
      </w:r>
      <w:r>
        <w:rPr>
          <w:rFonts w:hint="eastAsia" w:ascii="宋体" w:hAnsi="宋体"/>
          <w:szCs w:val="21"/>
        </w:rPr>
        <w:t>和</w:t>
      </w:r>
      <w:r>
        <w:rPr>
          <w:rFonts w:ascii="宋体" w:hAnsi="宋体"/>
          <w:szCs w:val="21"/>
        </w:rPr>
        <w:t>居民生活</w:t>
      </w:r>
      <w:r>
        <w:rPr>
          <w:rFonts w:hint="eastAsia" w:ascii="宋体" w:hAnsi="宋体"/>
          <w:szCs w:val="21"/>
        </w:rPr>
        <w:t>能源</w:t>
      </w:r>
      <w:r>
        <w:rPr>
          <w:rFonts w:ascii="宋体" w:hAnsi="宋体"/>
          <w:szCs w:val="21"/>
        </w:rPr>
        <w:t>消费量的比重。</w:t>
      </w:r>
    </w:p>
    <w:p w14:paraId="211FFBB2">
      <w:pPr>
        <w:spacing w:line="300" w:lineRule="exact"/>
        <w:jc w:val="left"/>
        <w:textAlignment w:val="center"/>
        <w:rPr>
          <w:rFonts w:ascii="宋体" w:hAnsi="宋体"/>
          <w:spacing w:val="8"/>
          <w:sz w:val="18"/>
          <w:szCs w:val="18"/>
        </w:rPr>
      </w:pPr>
      <w:r>
        <w:rPr>
          <w:rFonts w:hint="eastAsia" w:ascii="宋体" w:hAnsi="宋体"/>
          <w:spacing w:val="8"/>
          <w:sz w:val="18"/>
          <w:szCs w:val="18"/>
        </w:rPr>
        <w:t>表1</w:t>
      </w:r>
    </w:p>
    <w:tbl>
      <w:tblPr>
        <w:tblStyle w:val="20"/>
        <w:tblW w:w="1113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10"/>
        <w:gridCol w:w="1484"/>
        <w:gridCol w:w="1485"/>
        <w:gridCol w:w="1553"/>
        <w:gridCol w:w="1417"/>
        <w:gridCol w:w="1485"/>
      </w:tblGrid>
      <w:tr w14:paraId="5C1CA1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32" w:hRule="atLeast"/>
          <w:jc w:val="center"/>
        </w:trPr>
        <w:tc>
          <w:tcPr>
            <w:tcW w:w="3710" w:type="dxa"/>
            <w:vAlign w:val="center"/>
          </w:tcPr>
          <w:p w14:paraId="10E48B45">
            <w:pPr>
              <w:spacing w:line="240" w:lineRule="exact"/>
              <w:jc w:val="center"/>
              <w:textAlignment w:val="center"/>
              <w:rPr>
                <w:spacing w:val="8"/>
                <w:sz w:val="18"/>
                <w:szCs w:val="18"/>
              </w:rPr>
            </w:pPr>
            <w:r>
              <w:rPr>
                <w:spacing w:val="8"/>
                <w:sz w:val="18"/>
                <w:szCs w:val="18"/>
              </w:rPr>
              <w:t>指标名称</w:t>
            </w:r>
          </w:p>
        </w:tc>
        <w:tc>
          <w:tcPr>
            <w:tcW w:w="1484" w:type="dxa"/>
            <w:tcMar>
              <w:left w:w="0" w:type="dxa"/>
              <w:right w:w="0" w:type="dxa"/>
            </w:tcMar>
            <w:vAlign w:val="center"/>
          </w:tcPr>
          <w:p w14:paraId="7EB34F6A">
            <w:pPr>
              <w:spacing w:line="220" w:lineRule="exact"/>
              <w:jc w:val="center"/>
              <w:textAlignment w:val="center"/>
              <w:rPr>
                <w:rFonts w:ascii="宋体" w:hAnsi="宋体"/>
                <w:kern w:val="13"/>
                <w:sz w:val="18"/>
                <w:szCs w:val="18"/>
              </w:rPr>
            </w:pPr>
            <w:r>
              <w:rPr>
                <w:rFonts w:hint="eastAsia" w:ascii="宋体" w:hAnsi="宋体"/>
                <w:kern w:val="13"/>
                <w:sz w:val="18"/>
                <w:szCs w:val="18"/>
              </w:rPr>
              <w:t>本期用电量</w:t>
            </w:r>
          </w:p>
          <w:p w14:paraId="32D5D83B">
            <w:pPr>
              <w:spacing w:line="220" w:lineRule="exact"/>
              <w:jc w:val="center"/>
              <w:textAlignment w:val="center"/>
              <w:rPr>
                <w:rFonts w:ascii="宋体" w:hAnsi="宋体"/>
                <w:kern w:val="13"/>
                <w:sz w:val="18"/>
                <w:szCs w:val="18"/>
              </w:rPr>
            </w:pPr>
            <w:r>
              <w:rPr>
                <w:rFonts w:hint="eastAsia" w:ascii="宋体" w:hAnsi="宋体"/>
                <w:kern w:val="13"/>
                <w:sz w:val="18"/>
                <w:szCs w:val="18"/>
              </w:rPr>
              <w:t>（亿千瓦时）</w:t>
            </w:r>
          </w:p>
        </w:tc>
        <w:tc>
          <w:tcPr>
            <w:tcW w:w="1485" w:type="dxa"/>
            <w:vAlign w:val="center"/>
          </w:tcPr>
          <w:p w14:paraId="2053A7E4">
            <w:pPr>
              <w:pStyle w:val="8"/>
              <w:spacing w:line="220" w:lineRule="exact"/>
              <w:textAlignment w:val="center"/>
              <w:rPr>
                <w:kern w:val="13"/>
                <w:sz w:val="18"/>
                <w:szCs w:val="18"/>
              </w:rPr>
            </w:pPr>
            <w:r>
              <w:rPr>
                <w:rFonts w:hint="eastAsia"/>
                <w:kern w:val="13"/>
                <w:sz w:val="18"/>
                <w:szCs w:val="18"/>
              </w:rPr>
              <w:t>电力等价折标</w:t>
            </w:r>
          </w:p>
          <w:p w14:paraId="1A0AF5B5">
            <w:pPr>
              <w:pStyle w:val="8"/>
              <w:spacing w:line="220" w:lineRule="exact"/>
              <w:textAlignment w:val="center"/>
              <w:rPr>
                <w:kern w:val="13"/>
                <w:sz w:val="18"/>
                <w:szCs w:val="18"/>
              </w:rPr>
            </w:pPr>
            <w:r>
              <w:rPr>
                <w:rFonts w:hint="eastAsia"/>
                <w:kern w:val="13"/>
                <w:sz w:val="18"/>
                <w:szCs w:val="18"/>
              </w:rPr>
              <w:t>系数（克标准煤/千瓦时）</w:t>
            </w:r>
          </w:p>
        </w:tc>
        <w:tc>
          <w:tcPr>
            <w:tcW w:w="1553" w:type="dxa"/>
            <w:vAlign w:val="center"/>
          </w:tcPr>
          <w:p w14:paraId="56F09489">
            <w:pPr>
              <w:spacing w:line="220" w:lineRule="exact"/>
              <w:jc w:val="center"/>
              <w:textAlignment w:val="center"/>
              <w:rPr>
                <w:rFonts w:ascii="宋体" w:hAnsi="宋体"/>
                <w:kern w:val="13"/>
                <w:sz w:val="18"/>
                <w:szCs w:val="18"/>
              </w:rPr>
            </w:pPr>
            <w:r>
              <w:rPr>
                <w:rFonts w:hint="eastAsia" w:ascii="宋体" w:hAnsi="宋体"/>
                <w:kern w:val="13"/>
                <w:sz w:val="18"/>
                <w:szCs w:val="18"/>
              </w:rPr>
              <w:t>本期用电量</w:t>
            </w:r>
          </w:p>
          <w:p w14:paraId="70DD3420">
            <w:pPr>
              <w:spacing w:line="220" w:lineRule="exact"/>
              <w:jc w:val="center"/>
              <w:textAlignment w:val="center"/>
              <w:rPr>
                <w:rFonts w:ascii="宋体" w:hAnsi="宋体"/>
                <w:kern w:val="13"/>
                <w:sz w:val="18"/>
                <w:szCs w:val="18"/>
              </w:rPr>
            </w:pPr>
            <w:r>
              <w:rPr>
                <w:rFonts w:hint="eastAsia" w:ascii="宋体" w:hAnsi="宋体"/>
                <w:kern w:val="13"/>
                <w:sz w:val="18"/>
                <w:szCs w:val="18"/>
              </w:rPr>
              <w:t>（折标准量）</w:t>
            </w:r>
          </w:p>
          <w:p w14:paraId="5065F361">
            <w:pPr>
              <w:spacing w:line="220" w:lineRule="exact"/>
              <w:jc w:val="center"/>
              <w:textAlignment w:val="center"/>
              <w:rPr>
                <w:rFonts w:ascii="宋体" w:hAnsi="宋体"/>
                <w:kern w:val="13"/>
                <w:sz w:val="18"/>
                <w:szCs w:val="18"/>
              </w:rPr>
            </w:pPr>
            <w:r>
              <w:rPr>
                <w:rFonts w:hint="eastAsia" w:ascii="宋体" w:hAnsi="宋体"/>
                <w:kern w:val="13"/>
                <w:sz w:val="18"/>
                <w:szCs w:val="18"/>
              </w:rPr>
              <w:t>（万吨标准煤）</w:t>
            </w:r>
          </w:p>
        </w:tc>
        <w:tc>
          <w:tcPr>
            <w:tcW w:w="1417" w:type="dxa"/>
            <w:vAlign w:val="center"/>
          </w:tcPr>
          <w:p w14:paraId="587E8B88">
            <w:pPr>
              <w:spacing w:line="220" w:lineRule="exact"/>
              <w:jc w:val="center"/>
              <w:textAlignment w:val="center"/>
              <w:rPr>
                <w:rFonts w:ascii="宋体" w:hAnsi="宋体"/>
                <w:kern w:val="13"/>
                <w:sz w:val="18"/>
                <w:szCs w:val="18"/>
              </w:rPr>
            </w:pPr>
            <w:r>
              <w:rPr>
                <w:rFonts w:hint="eastAsia" w:ascii="宋体" w:hAnsi="宋体"/>
                <w:kern w:val="13"/>
                <w:sz w:val="18"/>
                <w:szCs w:val="18"/>
              </w:rPr>
              <w:t>上年用电量占能源消费量</w:t>
            </w:r>
          </w:p>
          <w:p w14:paraId="56C70CE9">
            <w:pPr>
              <w:spacing w:line="220" w:lineRule="exact"/>
              <w:jc w:val="center"/>
              <w:textAlignment w:val="center"/>
              <w:rPr>
                <w:rFonts w:ascii="宋体" w:hAnsi="宋体"/>
                <w:kern w:val="13"/>
                <w:sz w:val="18"/>
                <w:szCs w:val="18"/>
              </w:rPr>
            </w:pPr>
            <w:r>
              <w:rPr>
                <w:rFonts w:hint="eastAsia" w:ascii="宋体" w:hAnsi="宋体"/>
                <w:kern w:val="13"/>
                <w:sz w:val="18"/>
                <w:szCs w:val="18"/>
              </w:rPr>
              <w:t>比重（%）</w:t>
            </w:r>
          </w:p>
        </w:tc>
        <w:tc>
          <w:tcPr>
            <w:tcW w:w="1485" w:type="dxa"/>
            <w:vAlign w:val="center"/>
          </w:tcPr>
          <w:p w14:paraId="14267F02">
            <w:pPr>
              <w:spacing w:line="220" w:lineRule="exact"/>
              <w:jc w:val="center"/>
              <w:textAlignment w:val="center"/>
              <w:rPr>
                <w:rFonts w:ascii="宋体" w:hAnsi="宋体"/>
                <w:kern w:val="13"/>
                <w:sz w:val="18"/>
                <w:szCs w:val="18"/>
              </w:rPr>
            </w:pPr>
            <w:r>
              <w:rPr>
                <w:rFonts w:hint="eastAsia" w:ascii="宋体" w:hAnsi="宋体"/>
                <w:kern w:val="13"/>
                <w:sz w:val="18"/>
                <w:szCs w:val="18"/>
              </w:rPr>
              <w:t>本期能源消费量（万吨标准煤）</w:t>
            </w:r>
          </w:p>
        </w:tc>
      </w:tr>
      <w:tr w14:paraId="25D7EB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3710" w:type="dxa"/>
            <w:vAlign w:val="center"/>
          </w:tcPr>
          <w:p w14:paraId="4578C3A7">
            <w:pPr>
              <w:spacing w:line="240" w:lineRule="exact"/>
              <w:jc w:val="center"/>
              <w:textAlignment w:val="center"/>
              <w:rPr>
                <w:spacing w:val="8"/>
                <w:sz w:val="18"/>
                <w:szCs w:val="18"/>
              </w:rPr>
            </w:pPr>
            <w:r>
              <w:rPr>
                <w:spacing w:val="8"/>
                <w:sz w:val="18"/>
                <w:szCs w:val="18"/>
              </w:rPr>
              <w:t>甲</w:t>
            </w:r>
          </w:p>
        </w:tc>
        <w:tc>
          <w:tcPr>
            <w:tcW w:w="1484" w:type="dxa"/>
            <w:vAlign w:val="center"/>
          </w:tcPr>
          <w:p w14:paraId="1F169B9F">
            <w:pPr>
              <w:spacing w:line="240" w:lineRule="exact"/>
              <w:jc w:val="center"/>
              <w:textAlignment w:val="center"/>
              <w:rPr>
                <w:spacing w:val="8"/>
                <w:sz w:val="18"/>
                <w:szCs w:val="18"/>
              </w:rPr>
            </w:pPr>
            <w:r>
              <w:rPr>
                <w:spacing w:val="8"/>
                <w:sz w:val="18"/>
                <w:szCs w:val="18"/>
              </w:rPr>
              <w:t>1</w:t>
            </w:r>
          </w:p>
        </w:tc>
        <w:tc>
          <w:tcPr>
            <w:tcW w:w="1485" w:type="dxa"/>
            <w:vAlign w:val="center"/>
          </w:tcPr>
          <w:p w14:paraId="5B870016">
            <w:pPr>
              <w:spacing w:line="240" w:lineRule="exact"/>
              <w:jc w:val="center"/>
              <w:textAlignment w:val="center"/>
              <w:rPr>
                <w:spacing w:val="8"/>
                <w:sz w:val="18"/>
                <w:szCs w:val="18"/>
              </w:rPr>
            </w:pPr>
            <w:r>
              <w:rPr>
                <w:spacing w:val="8"/>
                <w:sz w:val="18"/>
                <w:szCs w:val="18"/>
              </w:rPr>
              <w:t>2</w:t>
            </w:r>
          </w:p>
        </w:tc>
        <w:tc>
          <w:tcPr>
            <w:tcW w:w="1553" w:type="dxa"/>
            <w:vAlign w:val="center"/>
          </w:tcPr>
          <w:p w14:paraId="0F3D3018">
            <w:pPr>
              <w:spacing w:line="240" w:lineRule="exact"/>
              <w:jc w:val="center"/>
              <w:textAlignment w:val="center"/>
              <w:rPr>
                <w:spacing w:val="8"/>
                <w:sz w:val="18"/>
                <w:szCs w:val="18"/>
              </w:rPr>
            </w:pPr>
            <w:r>
              <w:rPr>
                <w:spacing w:val="8"/>
                <w:sz w:val="18"/>
                <w:szCs w:val="18"/>
              </w:rPr>
              <w:t>3</w:t>
            </w:r>
          </w:p>
        </w:tc>
        <w:tc>
          <w:tcPr>
            <w:tcW w:w="1417" w:type="dxa"/>
            <w:vAlign w:val="center"/>
          </w:tcPr>
          <w:p w14:paraId="3B69B3EA">
            <w:pPr>
              <w:spacing w:line="240" w:lineRule="exact"/>
              <w:jc w:val="center"/>
              <w:textAlignment w:val="center"/>
              <w:rPr>
                <w:spacing w:val="8"/>
                <w:sz w:val="18"/>
                <w:szCs w:val="18"/>
              </w:rPr>
            </w:pPr>
            <w:r>
              <w:rPr>
                <w:spacing w:val="8"/>
                <w:sz w:val="18"/>
                <w:szCs w:val="18"/>
              </w:rPr>
              <w:t>4</w:t>
            </w:r>
          </w:p>
        </w:tc>
        <w:tc>
          <w:tcPr>
            <w:tcW w:w="1485" w:type="dxa"/>
            <w:vAlign w:val="center"/>
          </w:tcPr>
          <w:p w14:paraId="371892AE">
            <w:pPr>
              <w:spacing w:line="240" w:lineRule="exact"/>
              <w:jc w:val="center"/>
              <w:textAlignment w:val="center"/>
              <w:rPr>
                <w:spacing w:val="8"/>
                <w:sz w:val="18"/>
                <w:szCs w:val="18"/>
              </w:rPr>
            </w:pPr>
            <w:r>
              <w:rPr>
                <w:spacing w:val="8"/>
                <w:sz w:val="18"/>
                <w:szCs w:val="18"/>
              </w:rPr>
              <w:t>5</w:t>
            </w:r>
          </w:p>
        </w:tc>
      </w:tr>
      <w:tr w14:paraId="09D999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99" w:hRule="atLeast"/>
          <w:jc w:val="center"/>
        </w:trPr>
        <w:tc>
          <w:tcPr>
            <w:tcW w:w="3710" w:type="dxa"/>
            <w:vAlign w:val="center"/>
          </w:tcPr>
          <w:p w14:paraId="4C5BC292">
            <w:pPr>
              <w:spacing w:line="240" w:lineRule="exact"/>
              <w:textAlignment w:val="center"/>
              <w:rPr>
                <w:spacing w:val="8"/>
                <w:sz w:val="18"/>
                <w:szCs w:val="18"/>
              </w:rPr>
            </w:pPr>
            <w:r>
              <w:rPr>
                <w:spacing w:val="8"/>
                <w:sz w:val="18"/>
                <w:szCs w:val="18"/>
              </w:rPr>
              <w:t>农、林、牧、渔业</w:t>
            </w:r>
          </w:p>
          <w:p w14:paraId="75028595">
            <w:pPr>
              <w:spacing w:line="240" w:lineRule="exact"/>
              <w:textAlignment w:val="center"/>
              <w:rPr>
                <w:spacing w:val="8"/>
                <w:sz w:val="18"/>
                <w:szCs w:val="18"/>
              </w:rPr>
            </w:pPr>
            <w:r>
              <w:rPr>
                <w:spacing w:val="8"/>
                <w:sz w:val="18"/>
                <w:szCs w:val="18"/>
              </w:rPr>
              <w:t>建筑业</w:t>
            </w:r>
          </w:p>
          <w:p w14:paraId="255903C0">
            <w:pPr>
              <w:spacing w:line="240" w:lineRule="exact"/>
              <w:textAlignment w:val="center"/>
              <w:rPr>
                <w:spacing w:val="8"/>
                <w:sz w:val="18"/>
                <w:szCs w:val="18"/>
              </w:rPr>
            </w:pPr>
            <w:r>
              <w:rPr>
                <w:spacing w:val="8"/>
                <w:sz w:val="18"/>
                <w:szCs w:val="18"/>
              </w:rPr>
              <w:t>服务业</w:t>
            </w:r>
            <w:r>
              <w:rPr>
                <w:rFonts w:hint="eastAsia"/>
                <w:kern w:val="0"/>
                <w:sz w:val="18"/>
                <w:szCs w:val="18"/>
                <w:vertAlign w:val="superscript"/>
              </w:rPr>
              <w:t>*</w:t>
            </w:r>
            <w:r>
              <w:rPr>
                <w:rFonts w:hint="eastAsia"/>
                <w:spacing w:val="8"/>
                <w:sz w:val="18"/>
                <w:szCs w:val="18"/>
              </w:rPr>
              <w:t>（</w:t>
            </w:r>
            <w:r>
              <w:rPr>
                <w:spacing w:val="8"/>
                <w:sz w:val="18"/>
                <w:szCs w:val="18"/>
              </w:rPr>
              <w:t>不含交通运输、仓储和邮政业</w:t>
            </w:r>
            <w:r>
              <w:rPr>
                <w:rFonts w:hint="eastAsia"/>
                <w:spacing w:val="8"/>
                <w:sz w:val="18"/>
                <w:szCs w:val="18"/>
              </w:rPr>
              <w:t>）</w:t>
            </w:r>
          </w:p>
          <w:p w14:paraId="23552B3F">
            <w:pPr>
              <w:spacing w:line="240" w:lineRule="exact"/>
              <w:textAlignment w:val="center"/>
              <w:rPr>
                <w:spacing w:val="8"/>
                <w:sz w:val="18"/>
                <w:szCs w:val="18"/>
              </w:rPr>
            </w:pPr>
            <w:r>
              <w:rPr>
                <w:rFonts w:hint="eastAsia"/>
                <w:spacing w:val="8"/>
                <w:sz w:val="18"/>
                <w:szCs w:val="18"/>
              </w:rPr>
              <w:t>城镇</w:t>
            </w:r>
            <w:r>
              <w:rPr>
                <w:spacing w:val="8"/>
                <w:sz w:val="18"/>
                <w:szCs w:val="18"/>
              </w:rPr>
              <w:t>居民生活</w:t>
            </w:r>
          </w:p>
          <w:p w14:paraId="6A8E2814">
            <w:pPr>
              <w:spacing w:line="240" w:lineRule="exact"/>
              <w:textAlignment w:val="center"/>
              <w:rPr>
                <w:spacing w:val="8"/>
                <w:sz w:val="18"/>
                <w:szCs w:val="18"/>
              </w:rPr>
            </w:pPr>
            <w:r>
              <w:rPr>
                <w:rFonts w:hint="eastAsia"/>
                <w:spacing w:val="8"/>
                <w:sz w:val="18"/>
                <w:szCs w:val="18"/>
              </w:rPr>
              <w:t>乡村</w:t>
            </w:r>
            <w:r>
              <w:rPr>
                <w:spacing w:val="8"/>
                <w:sz w:val="18"/>
                <w:szCs w:val="18"/>
              </w:rPr>
              <w:t>居民生活</w:t>
            </w:r>
          </w:p>
        </w:tc>
        <w:tc>
          <w:tcPr>
            <w:tcW w:w="1484" w:type="dxa"/>
            <w:vAlign w:val="center"/>
          </w:tcPr>
          <w:p w14:paraId="4C4B7082">
            <w:pPr>
              <w:spacing w:line="240" w:lineRule="exact"/>
              <w:jc w:val="center"/>
              <w:textAlignment w:val="center"/>
              <w:rPr>
                <w:spacing w:val="8"/>
                <w:sz w:val="18"/>
                <w:szCs w:val="18"/>
              </w:rPr>
            </w:pPr>
          </w:p>
        </w:tc>
        <w:tc>
          <w:tcPr>
            <w:tcW w:w="1485" w:type="dxa"/>
            <w:vAlign w:val="center"/>
          </w:tcPr>
          <w:p w14:paraId="01B68E2D">
            <w:pPr>
              <w:spacing w:line="240" w:lineRule="exact"/>
              <w:jc w:val="center"/>
              <w:textAlignment w:val="center"/>
              <w:rPr>
                <w:spacing w:val="8"/>
                <w:sz w:val="18"/>
                <w:szCs w:val="18"/>
              </w:rPr>
            </w:pPr>
          </w:p>
        </w:tc>
        <w:tc>
          <w:tcPr>
            <w:tcW w:w="1553" w:type="dxa"/>
            <w:vAlign w:val="center"/>
          </w:tcPr>
          <w:p w14:paraId="2718D219">
            <w:pPr>
              <w:spacing w:line="240" w:lineRule="exact"/>
              <w:jc w:val="center"/>
              <w:textAlignment w:val="center"/>
              <w:rPr>
                <w:spacing w:val="8"/>
                <w:sz w:val="18"/>
                <w:szCs w:val="18"/>
              </w:rPr>
            </w:pPr>
            <w:r>
              <w:rPr>
                <w:spacing w:val="8"/>
                <w:sz w:val="18"/>
                <w:szCs w:val="18"/>
              </w:rPr>
              <w:t>3=1*2</w:t>
            </w:r>
          </w:p>
        </w:tc>
        <w:tc>
          <w:tcPr>
            <w:tcW w:w="1417" w:type="dxa"/>
            <w:vAlign w:val="center"/>
          </w:tcPr>
          <w:p w14:paraId="57B112E8">
            <w:pPr>
              <w:spacing w:line="240" w:lineRule="exact"/>
              <w:jc w:val="center"/>
              <w:textAlignment w:val="center"/>
              <w:rPr>
                <w:spacing w:val="8"/>
                <w:sz w:val="18"/>
                <w:szCs w:val="18"/>
              </w:rPr>
            </w:pPr>
          </w:p>
        </w:tc>
        <w:tc>
          <w:tcPr>
            <w:tcW w:w="1485" w:type="dxa"/>
            <w:vAlign w:val="center"/>
          </w:tcPr>
          <w:p w14:paraId="30F47ADC">
            <w:pPr>
              <w:spacing w:line="240" w:lineRule="exact"/>
              <w:jc w:val="center"/>
              <w:textAlignment w:val="center"/>
              <w:rPr>
                <w:spacing w:val="8"/>
                <w:sz w:val="18"/>
                <w:szCs w:val="18"/>
              </w:rPr>
            </w:pPr>
            <w:r>
              <w:rPr>
                <w:spacing w:val="8"/>
                <w:sz w:val="18"/>
                <w:szCs w:val="18"/>
              </w:rPr>
              <w:t>5=3/4</w:t>
            </w:r>
          </w:p>
        </w:tc>
      </w:tr>
    </w:tbl>
    <w:p w14:paraId="0E04B53F">
      <w:pPr>
        <w:spacing w:line="360" w:lineRule="exact"/>
        <w:ind w:right="-40" w:firstLine="420" w:firstLineChars="200"/>
        <w:textAlignment w:val="center"/>
        <w:rPr>
          <w:rFonts w:ascii="宋体" w:hAnsi="宋体"/>
          <w:szCs w:val="21"/>
        </w:rPr>
      </w:pPr>
      <w:r>
        <w:rPr>
          <w:rFonts w:hint="eastAsia" w:ascii="宋体" w:hAnsi="宋体"/>
          <w:szCs w:val="21"/>
        </w:rPr>
        <w:t>2</w:t>
      </w:r>
      <w:r>
        <w:rPr>
          <w:rFonts w:ascii="宋体" w:hAnsi="宋体"/>
          <w:szCs w:val="21"/>
        </w:rPr>
        <w:t>.核算方法</w:t>
      </w:r>
      <w:r>
        <w:rPr>
          <w:rFonts w:hint="eastAsia" w:ascii="宋体" w:hAnsi="宋体"/>
          <w:szCs w:val="21"/>
        </w:rPr>
        <w:t>二</w:t>
      </w:r>
      <w:r>
        <w:rPr>
          <w:rFonts w:hint="eastAsia"/>
          <w:szCs w:val="21"/>
        </w:rPr>
        <w:t>（</w:t>
      </w:r>
      <w:r>
        <w:rPr>
          <w:rFonts w:hint="eastAsia" w:ascii="宋体" w:hAnsi="宋体"/>
          <w:szCs w:val="21"/>
        </w:rPr>
        <w:t>单位增加值能耗法</w:t>
      </w:r>
      <w:r>
        <w:rPr>
          <w:rFonts w:hint="eastAsia"/>
          <w:szCs w:val="21"/>
        </w:rPr>
        <w:t>）</w:t>
      </w:r>
      <w:r>
        <w:rPr>
          <w:szCs w:val="21"/>
        </w:rPr>
        <w:t>：</w:t>
      </w:r>
      <w:r>
        <w:rPr>
          <w:rFonts w:ascii="宋体" w:hAnsi="宋体"/>
          <w:szCs w:val="21"/>
        </w:rPr>
        <w:t>使用本</w:t>
      </w:r>
      <w:r>
        <w:rPr>
          <w:rFonts w:hint="eastAsia" w:ascii="宋体" w:hAnsi="宋体"/>
          <w:szCs w:val="21"/>
        </w:rPr>
        <w:t>期</w:t>
      </w:r>
      <w:r>
        <w:rPr>
          <w:rFonts w:ascii="宋体" w:hAnsi="宋体"/>
          <w:szCs w:val="21"/>
        </w:rPr>
        <w:t>增加值</w:t>
      </w:r>
      <w:r>
        <w:rPr>
          <w:rFonts w:hint="eastAsia" w:ascii="宋体" w:hAnsi="宋体"/>
          <w:szCs w:val="21"/>
        </w:rPr>
        <w:t>、</w:t>
      </w:r>
      <w:r>
        <w:rPr>
          <w:rFonts w:ascii="宋体" w:hAnsi="宋体"/>
          <w:szCs w:val="21"/>
        </w:rPr>
        <w:t>上年单位增加值能耗等</w:t>
      </w:r>
      <w:r>
        <w:rPr>
          <w:rFonts w:hint="eastAsia" w:ascii="宋体" w:hAnsi="宋体"/>
          <w:szCs w:val="21"/>
        </w:rPr>
        <w:t>核算</w:t>
      </w:r>
      <w:r>
        <w:rPr>
          <w:rFonts w:ascii="宋体" w:hAnsi="宋体"/>
          <w:szCs w:val="21"/>
        </w:rPr>
        <w:t>。</w:t>
      </w:r>
    </w:p>
    <w:p w14:paraId="0E23433A">
      <w:pPr>
        <w:spacing w:line="360" w:lineRule="exact"/>
        <w:ind w:right="-40" w:firstLine="430" w:firstLineChars="205"/>
        <w:textAlignment w:val="center"/>
        <w:rPr>
          <w:rFonts w:ascii="宋体" w:hAnsi="宋体"/>
          <w:szCs w:val="21"/>
        </w:rPr>
      </w:pPr>
      <w:r>
        <w:rPr>
          <w:rFonts w:ascii="宋体" w:hAnsi="宋体"/>
          <w:szCs w:val="21"/>
        </w:rPr>
        <w:t>本期能源消费量</w:t>
      </w:r>
      <w:r>
        <w:rPr>
          <w:rFonts w:hint="eastAsia" w:ascii="宋体" w:hAnsi="宋体"/>
          <w:szCs w:val="21"/>
        </w:rPr>
        <w:t>=</w:t>
      </w:r>
      <w:r>
        <w:rPr>
          <w:rFonts w:ascii="宋体" w:hAnsi="宋体"/>
          <w:szCs w:val="21"/>
        </w:rPr>
        <w:t>本</w:t>
      </w:r>
      <w:r>
        <w:rPr>
          <w:rFonts w:hint="eastAsia" w:ascii="宋体" w:hAnsi="宋体"/>
          <w:szCs w:val="21"/>
        </w:rPr>
        <w:t>期增加值×</w:t>
      </w:r>
      <w:r>
        <w:rPr>
          <w:rFonts w:ascii="宋体" w:hAnsi="宋体"/>
          <w:szCs w:val="21"/>
        </w:rPr>
        <w:t>上年单位增加值能耗</w:t>
      </w:r>
    </w:p>
    <w:p w14:paraId="4A618437">
      <w:pPr>
        <w:spacing w:line="360" w:lineRule="exact"/>
        <w:ind w:right="-40" w:firstLine="430" w:firstLineChars="205"/>
        <w:textAlignment w:val="center"/>
        <w:rPr>
          <w:rFonts w:ascii="宋体" w:hAnsi="宋体"/>
          <w:szCs w:val="21"/>
        </w:rPr>
      </w:pPr>
      <w:r>
        <w:rPr>
          <w:rFonts w:hint="eastAsia" w:ascii="宋体" w:hAnsi="宋体"/>
          <w:szCs w:val="21"/>
        </w:rPr>
        <w:t xml:space="preserve">              =</w:t>
      </w:r>
      <w:r>
        <w:rPr>
          <w:rFonts w:ascii="宋体" w:hAnsi="宋体"/>
          <w:szCs w:val="21"/>
        </w:rPr>
        <w:t>本</w:t>
      </w:r>
      <w:r>
        <w:rPr>
          <w:rFonts w:hint="eastAsia" w:ascii="宋体" w:hAnsi="宋体"/>
          <w:szCs w:val="21"/>
        </w:rPr>
        <w:t>期增加值×</w:t>
      </w:r>
      <w:r>
        <w:rPr>
          <w:szCs w:val="21"/>
        </w:rPr>
        <w:t>（</w:t>
      </w:r>
      <w:r>
        <w:rPr>
          <w:rFonts w:ascii="宋体" w:hAnsi="宋体"/>
          <w:szCs w:val="21"/>
        </w:rPr>
        <w:t>上年能源消费量/上年增加值</w:t>
      </w:r>
      <w:r>
        <w:rPr>
          <w:szCs w:val="21"/>
        </w:rPr>
        <w:t>）</w:t>
      </w:r>
    </w:p>
    <w:p w14:paraId="2D1442D0">
      <w:pPr>
        <w:spacing w:line="360" w:lineRule="exact"/>
        <w:ind w:right="-40" w:firstLine="430" w:firstLineChars="205"/>
        <w:textAlignment w:val="center"/>
        <w:rPr>
          <w:rFonts w:ascii="宋体" w:hAnsi="宋体"/>
          <w:szCs w:val="21"/>
        </w:rPr>
      </w:pPr>
      <w:r>
        <w:rPr>
          <w:rFonts w:hint="eastAsia" w:ascii="宋体" w:hAnsi="宋体"/>
          <w:szCs w:val="21"/>
        </w:rPr>
        <w:t>其中</w:t>
      </w:r>
      <w:r>
        <w:rPr>
          <w:rFonts w:hint="eastAsia"/>
          <w:szCs w:val="21"/>
        </w:rPr>
        <w:t>：</w:t>
      </w:r>
    </w:p>
    <w:p w14:paraId="4F7D68DC">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hint="eastAsia"/>
          <w:szCs w:val="21"/>
          <w:lang w:eastAsia="zh-CN"/>
        </w:rPr>
        <w:t>“</w:t>
      </w:r>
      <w:r>
        <w:rPr>
          <w:rFonts w:ascii="宋体" w:hAnsi="宋体"/>
          <w:szCs w:val="21"/>
        </w:rPr>
        <w:t>本</w:t>
      </w:r>
      <w:r>
        <w:rPr>
          <w:rFonts w:hint="eastAsia" w:ascii="宋体" w:hAnsi="宋体"/>
          <w:szCs w:val="21"/>
        </w:rPr>
        <w:t>期增加值</w:t>
      </w:r>
      <w:r>
        <w:rPr>
          <w:rFonts w:hint="eastAsia"/>
          <w:szCs w:val="21"/>
          <w:lang w:eastAsia="zh-CN"/>
        </w:rPr>
        <w:t>”“</w:t>
      </w:r>
      <w:r>
        <w:rPr>
          <w:rFonts w:hint="eastAsia" w:ascii="宋体" w:hAnsi="宋体"/>
          <w:szCs w:val="21"/>
        </w:rPr>
        <w:t>上年增加值</w:t>
      </w:r>
      <w:r>
        <w:rPr>
          <w:rFonts w:hint="eastAsia"/>
          <w:szCs w:val="21"/>
          <w:lang w:eastAsia="zh-CN"/>
        </w:rPr>
        <w:t>”</w:t>
      </w:r>
      <w:r>
        <w:rPr>
          <w:rFonts w:hint="eastAsia" w:ascii="宋体" w:hAnsi="宋体"/>
          <w:szCs w:val="21"/>
        </w:rPr>
        <w:t>是指各行</w:t>
      </w:r>
      <w:r>
        <w:rPr>
          <w:rFonts w:ascii="宋体" w:hAnsi="宋体"/>
          <w:szCs w:val="21"/>
        </w:rPr>
        <w:t>业本期和上年</w:t>
      </w:r>
      <w:r>
        <w:rPr>
          <w:rFonts w:hint="eastAsia" w:ascii="宋体" w:hAnsi="宋体"/>
          <w:szCs w:val="21"/>
        </w:rPr>
        <w:t>增加值。</w:t>
      </w:r>
    </w:p>
    <w:p w14:paraId="49EF077D">
      <w:pPr>
        <w:spacing w:line="360" w:lineRule="exact"/>
        <w:ind w:right="-40" w:firstLine="430" w:firstLineChars="205"/>
        <w:textAlignment w:val="center"/>
        <w:rPr>
          <w:spacing w:val="8"/>
          <w:sz w:val="18"/>
          <w:szCs w:val="18"/>
        </w:rPr>
      </w:pPr>
      <w:r>
        <w:rPr>
          <w:rFonts w:hint="eastAsia"/>
          <w:szCs w:val="21"/>
        </w:rPr>
        <w:t>（</w:t>
      </w:r>
      <w:r>
        <w:rPr>
          <w:rFonts w:ascii="宋体" w:hAnsi="宋体"/>
          <w:szCs w:val="21"/>
        </w:rPr>
        <w:t>2</w:t>
      </w:r>
      <w:r>
        <w:rPr>
          <w:rFonts w:hint="eastAsia"/>
          <w:szCs w:val="21"/>
        </w:rPr>
        <w:t>）</w:t>
      </w:r>
      <w:r>
        <w:rPr>
          <w:rFonts w:hint="eastAsia"/>
          <w:szCs w:val="21"/>
          <w:lang w:eastAsia="zh-CN"/>
        </w:rPr>
        <w:t>“</w:t>
      </w:r>
      <w:r>
        <w:rPr>
          <w:rFonts w:hint="eastAsia" w:ascii="宋体" w:hAnsi="宋体"/>
          <w:szCs w:val="21"/>
        </w:rPr>
        <w:t>上年能源消费量</w:t>
      </w:r>
      <w:r>
        <w:rPr>
          <w:rFonts w:hint="eastAsia"/>
          <w:szCs w:val="21"/>
          <w:lang w:eastAsia="zh-CN"/>
        </w:rPr>
        <w:t>”</w:t>
      </w:r>
      <w:r>
        <w:rPr>
          <w:rFonts w:hint="eastAsia" w:ascii="宋体" w:hAnsi="宋体"/>
          <w:szCs w:val="21"/>
        </w:rPr>
        <w:t>是指上年能源平衡表中各行业能源消费量。</w:t>
      </w:r>
    </w:p>
    <w:p w14:paraId="68870F78">
      <w:pPr>
        <w:spacing w:line="360" w:lineRule="exact"/>
        <w:ind w:right="-40"/>
        <w:jc w:val="left"/>
        <w:textAlignment w:val="center"/>
        <w:rPr>
          <w:spacing w:val="8"/>
          <w:sz w:val="18"/>
          <w:szCs w:val="18"/>
        </w:rPr>
      </w:pPr>
    </w:p>
    <w:p w14:paraId="63B4694A">
      <w:pPr>
        <w:widowControl/>
        <w:jc w:val="left"/>
        <w:textAlignment w:val="center"/>
      </w:pPr>
    </w:p>
    <w:p w14:paraId="6E0B99A2">
      <w:pPr>
        <w:spacing w:line="300" w:lineRule="exact"/>
        <w:jc w:val="left"/>
        <w:textAlignment w:val="center"/>
        <w:rPr>
          <w:rFonts w:ascii="宋体" w:hAnsi="宋体" w:cs="宋体"/>
          <w:spacing w:val="8"/>
          <w:sz w:val="18"/>
          <w:szCs w:val="18"/>
        </w:rPr>
      </w:pPr>
      <w:r>
        <w:rPr>
          <w:spacing w:val="8"/>
          <w:sz w:val="18"/>
          <w:szCs w:val="18"/>
        </w:rPr>
        <w:t>表</w:t>
      </w:r>
      <w:r>
        <w:rPr>
          <w:rFonts w:ascii="宋体" w:hAnsi="宋体"/>
          <w:spacing w:val="8"/>
          <w:sz w:val="18"/>
          <w:szCs w:val="18"/>
        </w:rPr>
        <w:t>2</w:t>
      </w:r>
    </w:p>
    <w:tbl>
      <w:tblPr>
        <w:tblStyle w:val="20"/>
        <w:tblW w:w="544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97"/>
        <w:gridCol w:w="1571"/>
        <w:gridCol w:w="1100"/>
        <w:gridCol w:w="1364"/>
        <w:gridCol w:w="1016"/>
        <w:gridCol w:w="1628"/>
      </w:tblGrid>
      <w:tr w14:paraId="27F0B5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1812" w:type="pct"/>
            <w:vAlign w:val="center"/>
          </w:tcPr>
          <w:p w14:paraId="0A567881">
            <w:pPr>
              <w:spacing w:line="240" w:lineRule="exact"/>
              <w:jc w:val="center"/>
              <w:textAlignment w:val="center"/>
              <w:rPr>
                <w:spacing w:val="8"/>
                <w:sz w:val="18"/>
                <w:szCs w:val="18"/>
              </w:rPr>
            </w:pPr>
            <w:r>
              <w:rPr>
                <w:spacing w:val="8"/>
                <w:sz w:val="18"/>
                <w:szCs w:val="18"/>
              </w:rPr>
              <w:t>指标名称</w:t>
            </w:r>
          </w:p>
        </w:tc>
        <w:tc>
          <w:tcPr>
            <w:tcW w:w="750" w:type="pct"/>
            <w:tcBorders>
              <w:bottom w:val="single" w:color="auto" w:sz="2" w:space="0"/>
            </w:tcBorders>
            <w:vAlign w:val="center"/>
          </w:tcPr>
          <w:p w14:paraId="5DA535CB">
            <w:pPr>
              <w:pStyle w:val="17"/>
              <w:spacing w:line="220" w:lineRule="exact"/>
              <w:jc w:val="center"/>
              <w:textAlignment w:val="center"/>
              <w:rPr>
                <w:rFonts w:ascii="Times New Roman" w:hAnsi="Times New Roman"/>
                <w:color w:val="auto"/>
                <w:sz w:val="18"/>
                <w:szCs w:val="18"/>
              </w:rPr>
            </w:pPr>
            <w:r>
              <w:rPr>
                <w:rFonts w:ascii="Times New Roman" w:hAnsi="Times New Roman"/>
                <w:color w:val="auto"/>
                <w:sz w:val="18"/>
                <w:szCs w:val="18"/>
              </w:rPr>
              <w:t>上年能源</w:t>
            </w:r>
          </w:p>
          <w:p w14:paraId="7233FF4D">
            <w:pPr>
              <w:pStyle w:val="17"/>
              <w:spacing w:line="220" w:lineRule="exact"/>
              <w:jc w:val="center"/>
              <w:textAlignment w:val="center"/>
              <w:rPr>
                <w:rFonts w:ascii="Times New Roman" w:hAnsi="Times New Roman"/>
                <w:color w:val="auto"/>
                <w:sz w:val="18"/>
                <w:szCs w:val="18"/>
              </w:rPr>
            </w:pPr>
            <w:r>
              <w:rPr>
                <w:rFonts w:ascii="Times New Roman" w:hAnsi="Times New Roman"/>
                <w:color w:val="auto"/>
                <w:sz w:val="18"/>
                <w:szCs w:val="18"/>
              </w:rPr>
              <w:t>消费量</w:t>
            </w:r>
          </w:p>
          <w:p w14:paraId="082E17DA">
            <w:pPr>
              <w:pStyle w:val="17"/>
              <w:spacing w:line="220" w:lineRule="exact"/>
              <w:jc w:val="center"/>
              <w:textAlignment w:val="center"/>
              <w:rPr>
                <w:rFonts w:ascii="Times New Roman" w:hAnsi="Times New Roman"/>
                <w:color w:val="auto"/>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万吨标准</w:t>
            </w:r>
            <w:r>
              <w:rPr>
                <w:rFonts w:ascii="Times New Roman" w:hAnsi="Times New Roman"/>
                <w:color w:val="auto"/>
                <w:kern w:val="0"/>
                <w:sz w:val="18"/>
                <w:szCs w:val="18"/>
              </w:rPr>
              <w:t>煤</w:t>
            </w:r>
            <w:r>
              <w:rPr>
                <w:rFonts w:hint="eastAsia" w:ascii="Times New Roman" w:hAnsi="Times New Roman"/>
                <w:color w:val="auto"/>
                <w:kern w:val="0"/>
                <w:sz w:val="18"/>
                <w:szCs w:val="18"/>
              </w:rPr>
              <w:t>）</w:t>
            </w:r>
          </w:p>
        </w:tc>
        <w:tc>
          <w:tcPr>
            <w:tcW w:w="525" w:type="pct"/>
            <w:tcBorders>
              <w:bottom w:val="single" w:color="auto" w:sz="2" w:space="0"/>
            </w:tcBorders>
            <w:vAlign w:val="center"/>
          </w:tcPr>
          <w:p w14:paraId="543C47DC">
            <w:pPr>
              <w:spacing w:line="220" w:lineRule="exact"/>
              <w:jc w:val="center"/>
              <w:textAlignment w:val="center"/>
              <w:rPr>
                <w:sz w:val="18"/>
                <w:szCs w:val="18"/>
              </w:rPr>
            </w:pPr>
            <w:r>
              <w:rPr>
                <w:sz w:val="18"/>
                <w:szCs w:val="18"/>
              </w:rPr>
              <w:t xml:space="preserve">上  </w:t>
            </w:r>
            <w:r>
              <w:rPr>
                <w:rFonts w:hint="eastAsia"/>
                <w:sz w:val="18"/>
                <w:szCs w:val="18"/>
              </w:rPr>
              <w:t>年</w:t>
            </w:r>
          </w:p>
          <w:p w14:paraId="2FFD9363">
            <w:pPr>
              <w:spacing w:line="220" w:lineRule="exact"/>
              <w:jc w:val="center"/>
              <w:textAlignment w:val="center"/>
              <w:rPr>
                <w:sz w:val="18"/>
                <w:szCs w:val="18"/>
              </w:rPr>
            </w:pPr>
            <w:r>
              <w:rPr>
                <w:rFonts w:hint="eastAsia"/>
                <w:sz w:val="18"/>
                <w:szCs w:val="18"/>
              </w:rPr>
              <w:t>增加值</w:t>
            </w:r>
          </w:p>
          <w:p w14:paraId="10F72C1E">
            <w:pPr>
              <w:spacing w:line="220" w:lineRule="exact"/>
              <w:jc w:val="center"/>
              <w:textAlignment w:val="center"/>
              <w:rPr>
                <w:sz w:val="18"/>
                <w:szCs w:val="18"/>
              </w:rPr>
            </w:pPr>
            <w:r>
              <w:rPr>
                <w:rFonts w:hint="eastAsia"/>
                <w:sz w:val="18"/>
                <w:szCs w:val="18"/>
              </w:rPr>
              <w:t>（亿元）</w:t>
            </w:r>
          </w:p>
        </w:tc>
        <w:tc>
          <w:tcPr>
            <w:tcW w:w="651" w:type="pct"/>
            <w:tcBorders>
              <w:bottom w:val="single" w:color="auto" w:sz="2" w:space="0"/>
            </w:tcBorders>
            <w:vAlign w:val="center"/>
          </w:tcPr>
          <w:p w14:paraId="7737A9BC">
            <w:pPr>
              <w:spacing w:line="220" w:lineRule="exact"/>
              <w:jc w:val="center"/>
              <w:textAlignment w:val="center"/>
              <w:rPr>
                <w:sz w:val="18"/>
                <w:szCs w:val="18"/>
              </w:rPr>
            </w:pPr>
            <w:r>
              <w:rPr>
                <w:rFonts w:hint="eastAsia"/>
                <w:spacing w:val="30"/>
                <w:kern w:val="0"/>
                <w:sz w:val="18"/>
                <w:szCs w:val="18"/>
                <w:fitText w:val="900" w:id="-1974319360"/>
              </w:rPr>
              <w:t>上年单</w:t>
            </w:r>
            <w:r>
              <w:rPr>
                <w:rFonts w:hint="eastAsia"/>
                <w:spacing w:val="0"/>
                <w:kern w:val="0"/>
                <w:sz w:val="18"/>
                <w:szCs w:val="18"/>
                <w:fitText w:val="900" w:id="-1974319360"/>
              </w:rPr>
              <w:t>位</w:t>
            </w:r>
          </w:p>
          <w:p w14:paraId="24DFE836">
            <w:pPr>
              <w:spacing w:line="220" w:lineRule="exact"/>
              <w:jc w:val="center"/>
              <w:textAlignment w:val="center"/>
              <w:rPr>
                <w:sz w:val="18"/>
                <w:szCs w:val="18"/>
              </w:rPr>
            </w:pPr>
            <w:r>
              <w:rPr>
                <w:rFonts w:hint="eastAsia"/>
                <w:sz w:val="18"/>
                <w:szCs w:val="18"/>
              </w:rPr>
              <w:t>增加值能耗</w:t>
            </w:r>
          </w:p>
          <w:p w14:paraId="53B4A06F">
            <w:pPr>
              <w:spacing w:line="220" w:lineRule="exact"/>
              <w:jc w:val="center"/>
              <w:textAlignment w:val="center"/>
              <w:rPr>
                <w:sz w:val="18"/>
                <w:szCs w:val="18"/>
              </w:rPr>
            </w:pPr>
            <w:r>
              <w:rPr>
                <w:rFonts w:hint="eastAsia"/>
                <w:sz w:val="18"/>
                <w:szCs w:val="18"/>
              </w:rPr>
              <w:t>（吨标准煤</w:t>
            </w:r>
            <w:r>
              <w:rPr>
                <w:sz w:val="18"/>
                <w:szCs w:val="18"/>
              </w:rPr>
              <w:t>/</w:t>
            </w:r>
            <w:r>
              <w:rPr>
                <w:rFonts w:hint="eastAsia"/>
                <w:sz w:val="18"/>
                <w:szCs w:val="18"/>
              </w:rPr>
              <w:t>万元）</w:t>
            </w:r>
          </w:p>
        </w:tc>
        <w:tc>
          <w:tcPr>
            <w:tcW w:w="485" w:type="pct"/>
            <w:tcBorders>
              <w:bottom w:val="single" w:color="auto" w:sz="2" w:space="0"/>
            </w:tcBorders>
            <w:vAlign w:val="center"/>
          </w:tcPr>
          <w:p w14:paraId="5571CBCC">
            <w:pPr>
              <w:spacing w:line="220" w:lineRule="exact"/>
              <w:jc w:val="center"/>
              <w:textAlignment w:val="center"/>
              <w:rPr>
                <w:sz w:val="18"/>
                <w:szCs w:val="18"/>
              </w:rPr>
            </w:pPr>
            <w:r>
              <w:rPr>
                <w:rFonts w:hint="eastAsia"/>
                <w:sz w:val="18"/>
                <w:szCs w:val="18"/>
              </w:rPr>
              <w:t>本</w:t>
            </w:r>
            <w:r>
              <w:rPr>
                <w:sz w:val="18"/>
                <w:szCs w:val="18"/>
              </w:rPr>
              <w:t xml:space="preserve">  </w:t>
            </w:r>
            <w:r>
              <w:rPr>
                <w:rFonts w:hint="eastAsia"/>
                <w:sz w:val="18"/>
                <w:szCs w:val="18"/>
              </w:rPr>
              <w:t>期</w:t>
            </w:r>
          </w:p>
          <w:p w14:paraId="5D69751D">
            <w:pPr>
              <w:spacing w:line="220" w:lineRule="exact"/>
              <w:jc w:val="center"/>
              <w:textAlignment w:val="center"/>
              <w:rPr>
                <w:sz w:val="18"/>
                <w:szCs w:val="18"/>
              </w:rPr>
            </w:pPr>
            <w:r>
              <w:rPr>
                <w:rFonts w:hint="eastAsia"/>
                <w:sz w:val="18"/>
                <w:szCs w:val="18"/>
              </w:rPr>
              <w:t>增加值</w:t>
            </w:r>
          </w:p>
          <w:p w14:paraId="2431E2EE">
            <w:pPr>
              <w:spacing w:line="220" w:lineRule="exact"/>
              <w:jc w:val="center"/>
              <w:textAlignment w:val="center"/>
              <w:rPr>
                <w:sz w:val="18"/>
                <w:szCs w:val="18"/>
              </w:rPr>
            </w:pPr>
            <w:r>
              <w:rPr>
                <w:rFonts w:hint="eastAsia"/>
                <w:sz w:val="18"/>
                <w:szCs w:val="18"/>
              </w:rPr>
              <w:t>（亿元）</w:t>
            </w:r>
          </w:p>
        </w:tc>
        <w:tc>
          <w:tcPr>
            <w:tcW w:w="777" w:type="pct"/>
            <w:tcBorders>
              <w:bottom w:val="single" w:color="auto" w:sz="2" w:space="0"/>
            </w:tcBorders>
            <w:vAlign w:val="center"/>
          </w:tcPr>
          <w:p w14:paraId="257F9A50">
            <w:pPr>
              <w:spacing w:line="220" w:lineRule="exact"/>
              <w:jc w:val="center"/>
              <w:textAlignment w:val="center"/>
              <w:rPr>
                <w:sz w:val="18"/>
                <w:szCs w:val="18"/>
              </w:rPr>
            </w:pPr>
            <w:r>
              <w:rPr>
                <w:rFonts w:hint="eastAsia"/>
                <w:sz w:val="18"/>
                <w:szCs w:val="18"/>
              </w:rPr>
              <w:t>本期能源</w:t>
            </w:r>
          </w:p>
          <w:p w14:paraId="4AA17B4C">
            <w:pPr>
              <w:spacing w:line="220" w:lineRule="exact"/>
              <w:jc w:val="center"/>
              <w:textAlignment w:val="center"/>
              <w:rPr>
                <w:sz w:val="18"/>
                <w:szCs w:val="18"/>
              </w:rPr>
            </w:pPr>
            <w:r>
              <w:rPr>
                <w:rFonts w:hint="eastAsia"/>
                <w:sz w:val="18"/>
                <w:szCs w:val="18"/>
              </w:rPr>
              <w:t>消费量</w:t>
            </w:r>
          </w:p>
          <w:p w14:paraId="21B66F91">
            <w:pPr>
              <w:spacing w:line="220" w:lineRule="exact"/>
              <w:jc w:val="center"/>
              <w:textAlignment w:val="center"/>
              <w:rPr>
                <w:sz w:val="18"/>
                <w:szCs w:val="18"/>
              </w:rPr>
            </w:pPr>
            <w:r>
              <w:rPr>
                <w:rFonts w:hint="eastAsia"/>
                <w:sz w:val="18"/>
                <w:szCs w:val="18"/>
              </w:rPr>
              <w:t>（万吨标准煤）</w:t>
            </w:r>
          </w:p>
        </w:tc>
      </w:tr>
      <w:tr w14:paraId="11D46D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1812" w:type="pct"/>
            <w:tcBorders>
              <w:bottom w:val="single" w:color="auto" w:sz="2" w:space="0"/>
            </w:tcBorders>
            <w:vAlign w:val="center"/>
          </w:tcPr>
          <w:p w14:paraId="202BEB3C">
            <w:pPr>
              <w:spacing w:line="240" w:lineRule="exact"/>
              <w:jc w:val="center"/>
              <w:textAlignment w:val="center"/>
              <w:rPr>
                <w:spacing w:val="8"/>
                <w:sz w:val="18"/>
                <w:szCs w:val="18"/>
              </w:rPr>
            </w:pPr>
            <w:r>
              <w:rPr>
                <w:spacing w:val="8"/>
                <w:sz w:val="18"/>
                <w:szCs w:val="18"/>
              </w:rPr>
              <w:t>甲</w:t>
            </w:r>
          </w:p>
        </w:tc>
        <w:tc>
          <w:tcPr>
            <w:tcW w:w="750" w:type="pct"/>
            <w:tcBorders>
              <w:top w:val="single" w:color="auto" w:sz="2" w:space="0"/>
              <w:bottom w:val="single" w:color="auto" w:sz="2" w:space="0"/>
            </w:tcBorders>
            <w:vAlign w:val="center"/>
          </w:tcPr>
          <w:p w14:paraId="664D983D">
            <w:pPr>
              <w:spacing w:line="240" w:lineRule="exact"/>
              <w:jc w:val="center"/>
              <w:textAlignment w:val="center"/>
              <w:rPr>
                <w:spacing w:val="8"/>
                <w:sz w:val="18"/>
                <w:szCs w:val="18"/>
              </w:rPr>
            </w:pPr>
            <w:r>
              <w:rPr>
                <w:spacing w:val="8"/>
                <w:sz w:val="18"/>
                <w:szCs w:val="18"/>
              </w:rPr>
              <w:t>1</w:t>
            </w:r>
          </w:p>
        </w:tc>
        <w:tc>
          <w:tcPr>
            <w:tcW w:w="525" w:type="pct"/>
            <w:tcBorders>
              <w:top w:val="single" w:color="auto" w:sz="2" w:space="0"/>
              <w:bottom w:val="single" w:color="auto" w:sz="2" w:space="0"/>
            </w:tcBorders>
            <w:vAlign w:val="center"/>
          </w:tcPr>
          <w:p w14:paraId="77A52238">
            <w:pPr>
              <w:spacing w:line="240" w:lineRule="exact"/>
              <w:jc w:val="center"/>
              <w:textAlignment w:val="center"/>
              <w:rPr>
                <w:spacing w:val="8"/>
                <w:sz w:val="18"/>
                <w:szCs w:val="18"/>
              </w:rPr>
            </w:pPr>
            <w:r>
              <w:rPr>
                <w:spacing w:val="8"/>
                <w:sz w:val="18"/>
                <w:szCs w:val="18"/>
              </w:rPr>
              <w:t>2</w:t>
            </w:r>
          </w:p>
        </w:tc>
        <w:tc>
          <w:tcPr>
            <w:tcW w:w="651" w:type="pct"/>
            <w:tcBorders>
              <w:top w:val="single" w:color="auto" w:sz="2" w:space="0"/>
              <w:bottom w:val="single" w:color="auto" w:sz="2" w:space="0"/>
            </w:tcBorders>
            <w:vAlign w:val="center"/>
          </w:tcPr>
          <w:p w14:paraId="2103B72F">
            <w:pPr>
              <w:spacing w:line="240" w:lineRule="exact"/>
              <w:jc w:val="center"/>
              <w:textAlignment w:val="center"/>
              <w:rPr>
                <w:spacing w:val="8"/>
                <w:sz w:val="18"/>
                <w:szCs w:val="18"/>
              </w:rPr>
            </w:pPr>
            <w:r>
              <w:rPr>
                <w:spacing w:val="8"/>
                <w:sz w:val="18"/>
                <w:szCs w:val="18"/>
              </w:rPr>
              <w:t>3</w:t>
            </w:r>
          </w:p>
        </w:tc>
        <w:tc>
          <w:tcPr>
            <w:tcW w:w="485" w:type="pct"/>
            <w:tcBorders>
              <w:top w:val="single" w:color="auto" w:sz="2" w:space="0"/>
              <w:bottom w:val="single" w:color="auto" w:sz="2" w:space="0"/>
            </w:tcBorders>
            <w:vAlign w:val="center"/>
          </w:tcPr>
          <w:p w14:paraId="5469C0F8">
            <w:pPr>
              <w:spacing w:line="240" w:lineRule="exact"/>
              <w:jc w:val="center"/>
              <w:textAlignment w:val="center"/>
              <w:rPr>
                <w:spacing w:val="8"/>
                <w:sz w:val="18"/>
                <w:szCs w:val="18"/>
              </w:rPr>
            </w:pPr>
            <w:r>
              <w:rPr>
                <w:spacing w:val="8"/>
                <w:sz w:val="18"/>
                <w:szCs w:val="18"/>
              </w:rPr>
              <w:t>4</w:t>
            </w:r>
          </w:p>
        </w:tc>
        <w:tc>
          <w:tcPr>
            <w:tcW w:w="777" w:type="pct"/>
            <w:tcBorders>
              <w:top w:val="single" w:color="auto" w:sz="2" w:space="0"/>
              <w:bottom w:val="single" w:color="auto" w:sz="2" w:space="0"/>
            </w:tcBorders>
            <w:vAlign w:val="center"/>
          </w:tcPr>
          <w:p w14:paraId="354FDE6A">
            <w:pPr>
              <w:spacing w:line="240" w:lineRule="exact"/>
              <w:jc w:val="center"/>
              <w:textAlignment w:val="center"/>
              <w:rPr>
                <w:spacing w:val="8"/>
                <w:sz w:val="18"/>
                <w:szCs w:val="18"/>
              </w:rPr>
            </w:pPr>
            <w:r>
              <w:rPr>
                <w:spacing w:val="8"/>
                <w:sz w:val="18"/>
                <w:szCs w:val="18"/>
              </w:rPr>
              <w:t>5</w:t>
            </w:r>
          </w:p>
        </w:tc>
      </w:tr>
      <w:tr w14:paraId="722EE1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0" w:hRule="atLeast"/>
          <w:jc w:val="center"/>
        </w:trPr>
        <w:tc>
          <w:tcPr>
            <w:tcW w:w="1812" w:type="pct"/>
            <w:tcBorders>
              <w:top w:val="single" w:color="auto" w:sz="2" w:space="0"/>
              <w:bottom w:val="nil"/>
            </w:tcBorders>
            <w:vAlign w:val="center"/>
          </w:tcPr>
          <w:p w14:paraId="0F96062A">
            <w:pPr>
              <w:spacing w:line="240" w:lineRule="exact"/>
              <w:textAlignment w:val="center"/>
              <w:rPr>
                <w:spacing w:val="8"/>
                <w:sz w:val="18"/>
                <w:szCs w:val="18"/>
              </w:rPr>
            </w:pPr>
            <w:r>
              <w:rPr>
                <w:spacing w:val="8"/>
                <w:sz w:val="18"/>
                <w:szCs w:val="18"/>
              </w:rPr>
              <w:t>农、林、牧、渔业</w:t>
            </w:r>
          </w:p>
        </w:tc>
        <w:tc>
          <w:tcPr>
            <w:tcW w:w="750" w:type="pct"/>
            <w:vMerge w:val="restart"/>
            <w:tcBorders>
              <w:top w:val="single" w:color="auto" w:sz="2" w:space="0"/>
              <w:bottom w:val="single" w:color="auto" w:sz="8" w:space="0"/>
              <w:right w:val="single" w:color="auto" w:sz="2" w:space="0"/>
            </w:tcBorders>
            <w:vAlign w:val="center"/>
          </w:tcPr>
          <w:p w14:paraId="2D5F82E7">
            <w:pPr>
              <w:spacing w:line="240" w:lineRule="exact"/>
              <w:jc w:val="center"/>
              <w:textAlignment w:val="center"/>
              <w:rPr>
                <w:spacing w:val="8"/>
                <w:sz w:val="18"/>
                <w:szCs w:val="18"/>
              </w:rPr>
            </w:pPr>
          </w:p>
        </w:tc>
        <w:tc>
          <w:tcPr>
            <w:tcW w:w="525" w:type="pct"/>
            <w:vMerge w:val="restart"/>
            <w:tcBorders>
              <w:top w:val="single" w:color="auto" w:sz="2" w:space="0"/>
              <w:left w:val="single" w:color="auto" w:sz="2" w:space="0"/>
              <w:bottom w:val="single" w:color="auto" w:sz="8" w:space="0"/>
              <w:right w:val="single" w:color="auto" w:sz="2" w:space="0"/>
            </w:tcBorders>
            <w:vAlign w:val="center"/>
          </w:tcPr>
          <w:p w14:paraId="5C23A36E">
            <w:pPr>
              <w:spacing w:line="240" w:lineRule="exact"/>
              <w:jc w:val="center"/>
              <w:textAlignment w:val="center"/>
              <w:rPr>
                <w:spacing w:val="8"/>
                <w:sz w:val="18"/>
                <w:szCs w:val="18"/>
              </w:rPr>
            </w:pPr>
          </w:p>
        </w:tc>
        <w:tc>
          <w:tcPr>
            <w:tcW w:w="651" w:type="pct"/>
            <w:vMerge w:val="restart"/>
            <w:tcBorders>
              <w:top w:val="single" w:color="auto" w:sz="2" w:space="0"/>
              <w:left w:val="single" w:color="auto" w:sz="2" w:space="0"/>
              <w:bottom w:val="single" w:color="auto" w:sz="8" w:space="0"/>
              <w:right w:val="single" w:color="auto" w:sz="2" w:space="0"/>
            </w:tcBorders>
            <w:vAlign w:val="center"/>
          </w:tcPr>
          <w:p w14:paraId="2A823817">
            <w:pPr>
              <w:spacing w:line="240" w:lineRule="exact"/>
              <w:jc w:val="center"/>
              <w:textAlignment w:val="center"/>
              <w:rPr>
                <w:spacing w:val="8"/>
                <w:sz w:val="18"/>
                <w:szCs w:val="18"/>
              </w:rPr>
            </w:pPr>
            <w:r>
              <w:rPr>
                <w:spacing w:val="8"/>
                <w:sz w:val="18"/>
                <w:szCs w:val="18"/>
              </w:rPr>
              <w:t>3=1/2</w:t>
            </w:r>
          </w:p>
        </w:tc>
        <w:tc>
          <w:tcPr>
            <w:tcW w:w="485" w:type="pct"/>
            <w:vMerge w:val="restart"/>
            <w:tcBorders>
              <w:top w:val="single" w:color="auto" w:sz="2" w:space="0"/>
              <w:left w:val="single" w:color="auto" w:sz="2" w:space="0"/>
              <w:bottom w:val="single" w:color="auto" w:sz="8" w:space="0"/>
              <w:right w:val="single" w:color="auto" w:sz="2" w:space="0"/>
            </w:tcBorders>
            <w:vAlign w:val="center"/>
          </w:tcPr>
          <w:p w14:paraId="62407FE6">
            <w:pPr>
              <w:spacing w:line="240" w:lineRule="exact"/>
              <w:jc w:val="center"/>
              <w:textAlignment w:val="center"/>
              <w:rPr>
                <w:spacing w:val="8"/>
                <w:sz w:val="18"/>
                <w:szCs w:val="18"/>
              </w:rPr>
            </w:pPr>
          </w:p>
        </w:tc>
        <w:tc>
          <w:tcPr>
            <w:tcW w:w="777" w:type="pct"/>
            <w:vMerge w:val="restart"/>
            <w:tcBorders>
              <w:top w:val="single" w:color="auto" w:sz="2" w:space="0"/>
              <w:left w:val="single" w:color="auto" w:sz="2" w:space="0"/>
              <w:bottom w:val="single" w:color="auto" w:sz="8" w:space="0"/>
              <w:right w:val="nil"/>
            </w:tcBorders>
            <w:vAlign w:val="center"/>
          </w:tcPr>
          <w:p w14:paraId="0E8A1655">
            <w:pPr>
              <w:spacing w:line="240" w:lineRule="exact"/>
              <w:jc w:val="center"/>
              <w:textAlignment w:val="center"/>
              <w:rPr>
                <w:spacing w:val="8"/>
                <w:sz w:val="18"/>
                <w:szCs w:val="18"/>
              </w:rPr>
            </w:pPr>
            <w:r>
              <w:rPr>
                <w:rFonts w:hint="eastAsia"/>
                <w:spacing w:val="8"/>
                <w:sz w:val="18"/>
                <w:szCs w:val="18"/>
              </w:rPr>
              <w:t>5=</w:t>
            </w:r>
            <w:r>
              <w:rPr>
                <w:spacing w:val="8"/>
                <w:sz w:val="18"/>
                <w:szCs w:val="18"/>
              </w:rPr>
              <w:t>3*4</w:t>
            </w:r>
          </w:p>
        </w:tc>
      </w:tr>
      <w:tr w14:paraId="757A1E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1812" w:type="pct"/>
            <w:tcBorders>
              <w:top w:val="nil"/>
              <w:bottom w:val="nil"/>
            </w:tcBorders>
            <w:vAlign w:val="center"/>
          </w:tcPr>
          <w:p w14:paraId="650A3F07">
            <w:pPr>
              <w:spacing w:line="240" w:lineRule="exact"/>
              <w:textAlignment w:val="center"/>
              <w:rPr>
                <w:spacing w:val="8"/>
                <w:sz w:val="18"/>
                <w:szCs w:val="18"/>
              </w:rPr>
            </w:pPr>
            <w:r>
              <w:rPr>
                <w:spacing w:val="8"/>
                <w:sz w:val="18"/>
                <w:szCs w:val="18"/>
              </w:rPr>
              <w:t>建筑业</w:t>
            </w:r>
          </w:p>
        </w:tc>
        <w:tc>
          <w:tcPr>
            <w:tcW w:w="750" w:type="pct"/>
            <w:vMerge w:val="continue"/>
            <w:tcBorders>
              <w:top w:val="single" w:color="auto" w:sz="8" w:space="0"/>
              <w:bottom w:val="single" w:color="auto" w:sz="8" w:space="0"/>
              <w:right w:val="single" w:color="auto" w:sz="2" w:space="0"/>
            </w:tcBorders>
            <w:vAlign w:val="center"/>
          </w:tcPr>
          <w:p w14:paraId="01B82635">
            <w:pPr>
              <w:spacing w:line="240" w:lineRule="exact"/>
              <w:jc w:val="center"/>
              <w:textAlignment w:val="center"/>
              <w:rPr>
                <w:spacing w:val="8"/>
                <w:sz w:val="18"/>
                <w:szCs w:val="18"/>
              </w:rPr>
            </w:pPr>
          </w:p>
        </w:tc>
        <w:tc>
          <w:tcPr>
            <w:tcW w:w="525" w:type="pct"/>
            <w:vMerge w:val="continue"/>
            <w:tcBorders>
              <w:top w:val="single" w:color="auto" w:sz="8" w:space="0"/>
              <w:left w:val="single" w:color="auto" w:sz="2" w:space="0"/>
              <w:bottom w:val="single" w:color="auto" w:sz="8" w:space="0"/>
              <w:right w:val="single" w:color="auto" w:sz="2" w:space="0"/>
            </w:tcBorders>
            <w:vAlign w:val="center"/>
          </w:tcPr>
          <w:p w14:paraId="49B9EB03">
            <w:pPr>
              <w:spacing w:line="240" w:lineRule="exact"/>
              <w:jc w:val="center"/>
              <w:textAlignment w:val="center"/>
              <w:rPr>
                <w:spacing w:val="8"/>
                <w:sz w:val="18"/>
                <w:szCs w:val="18"/>
              </w:rPr>
            </w:pPr>
          </w:p>
        </w:tc>
        <w:tc>
          <w:tcPr>
            <w:tcW w:w="651" w:type="pct"/>
            <w:vMerge w:val="continue"/>
            <w:tcBorders>
              <w:top w:val="single" w:color="auto" w:sz="8" w:space="0"/>
              <w:left w:val="single" w:color="auto" w:sz="2" w:space="0"/>
              <w:bottom w:val="single" w:color="auto" w:sz="8" w:space="0"/>
              <w:right w:val="single" w:color="auto" w:sz="2" w:space="0"/>
            </w:tcBorders>
            <w:vAlign w:val="center"/>
          </w:tcPr>
          <w:p w14:paraId="755BFFDD">
            <w:pPr>
              <w:spacing w:line="240" w:lineRule="exact"/>
              <w:jc w:val="center"/>
              <w:textAlignment w:val="center"/>
              <w:rPr>
                <w:spacing w:val="8"/>
                <w:sz w:val="18"/>
                <w:szCs w:val="18"/>
              </w:rPr>
            </w:pPr>
          </w:p>
        </w:tc>
        <w:tc>
          <w:tcPr>
            <w:tcW w:w="485" w:type="pct"/>
            <w:vMerge w:val="continue"/>
            <w:tcBorders>
              <w:top w:val="single" w:color="auto" w:sz="8" w:space="0"/>
              <w:left w:val="single" w:color="auto" w:sz="2" w:space="0"/>
              <w:bottom w:val="single" w:color="auto" w:sz="8" w:space="0"/>
              <w:right w:val="single" w:color="auto" w:sz="2" w:space="0"/>
            </w:tcBorders>
            <w:vAlign w:val="center"/>
          </w:tcPr>
          <w:p w14:paraId="3832FED7">
            <w:pPr>
              <w:spacing w:line="240" w:lineRule="exact"/>
              <w:jc w:val="center"/>
              <w:textAlignment w:val="center"/>
              <w:rPr>
                <w:spacing w:val="8"/>
                <w:sz w:val="18"/>
                <w:szCs w:val="18"/>
              </w:rPr>
            </w:pPr>
          </w:p>
        </w:tc>
        <w:tc>
          <w:tcPr>
            <w:tcW w:w="777" w:type="pct"/>
            <w:vMerge w:val="continue"/>
            <w:tcBorders>
              <w:top w:val="single" w:color="auto" w:sz="8" w:space="0"/>
              <w:left w:val="single" w:color="auto" w:sz="2" w:space="0"/>
              <w:bottom w:val="single" w:color="auto" w:sz="8" w:space="0"/>
              <w:right w:val="nil"/>
            </w:tcBorders>
          </w:tcPr>
          <w:p w14:paraId="7EC1D52D">
            <w:pPr>
              <w:spacing w:line="240" w:lineRule="exact"/>
              <w:jc w:val="center"/>
              <w:textAlignment w:val="center"/>
              <w:rPr>
                <w:spacing w:val="8"/>
                <w:sz w:val="18"/>
                <w:szCs w:val="18"/>
              </w:rPr>
            </w:pPr>
          </w:p>
        </w:tc>
      </w:tr>
      <w:tr w14:paraId="3C9F21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1812" w:type="pct"/>
            <w:tcBorders>
              <w:top w:val="nil"/>
              <w:bottom w:val="nil"/>
            </w:tcBorders>
            <w:vAlign w:val="center"/>
          </w:tcPr>
          <w:p w14:paraId="7F15A61C">
            <w:pPr>
              <w:spacing w:line="240" w:lineRule="exact"/>
              <w:textAlignment w:val="center"/>
              <w:rPr>
                <w:spacing w:val="8"/>
                <w:sz w:val="18"/>
                <w:szCs w:val="18"/>
              </w:rPr>
            </w:pPr>
            <w:r>
              <w:rPr>
                <w:spacing w:val="8"/>
                <w:sz w:val="18"/>
                <w:szCs w:val="18"/>
              </w:rPr>
              <w:t>服务业</w:t>
            </w:r>
            <w:r>
              <w:rPr>
                <w:rFonts w:hint="eastAsia"/>
                <w:kern w:val="0"/>
                <w:sz w:val="18"/>
                <w:szCs w:val="18"/>
                <w:vertAlign w:val="superscript"/>
              </w:rPr>
              <w:t>*</w:t>
            </w:r>
          </w:p>
        </w:tc>
        <w:tc>
          <w:tcPr>
            <w:tcW w:w="750" w:type="pct"/>
            <w:vMerge w:val="continue"/>
            <w:tcBorders>
              <w:top w:val="single" w:color="auto" w:sz="8" w:space="0"/>
              <w:bottom w:val="single" w:color="auto" w:sz="8" w:space="0"/>
              <w:right w:val="single" w:color="auto" w:sz="2" w:space="0"/>
            </w:tcBorders>
            <w:vAlign w:val="center"/>
          </w:tcPr>
          <w:p w14:paraId="2FEC3E2C">
            <w:pPr>
              <w:spacing w:line="240" w:lineRule="exact"/>
              <w:jc w:val="center"/>
              <w:textAlignment w:val="center"/>
              <w:rPr>
                <w:spacing w:val="8"/>
                <w:sz w:val="18"/>
                <w:szCs w:val="18"/>
              </w:rPr>
            </w:pPr>
          </w:p>
        </w:tc>
        <w:tc>
          <w:tcPr>
            <w:tcW w:w="525" w:type="pct"/>
            <w:vMerge w:val="continue"/>
            <w:tcBorders>
              <w:top w:val="single" w:color="auto" w:sz="8" w:space="0"/>
              <w:left w:val="single" w:color="auto" w:sz="2" w:space="0"/>
              <w:bottom w:val="single" w:color="auto" w:sz="8" w:space="0"/>
              <w:right w:val="single" w:color="auto" w:sz="2" w:space="0"/>
            </w:tcBorders>
            <w:vAlign w:val="center"/>
          </w:tcPr>
          <w:p w14:paraId="25E6C2D1">
            <w:pPr>
              <w:spacing w:line="240" w:lineRule="exact"/>
              <w:jc w:val="center"/>
              <w:textAlignment w:val="center"/>
              <w:rPr>
                <w:spacing w:val="8"/>
                <w:sz w:val="18"/>
                <w:szCs w:val="18"/>
              </w:rPr>
            </w:pPr>
          </w:p>
        </w:tc>
        <w:tc>
          <w:tcPr>
            <w:tcW w:w="651" w:type="pct"/>
            <w:vMerge w:val="continue"/>
            <w:tcBorders>
              <w:top w:val="single" w:color="auto" w:sz="8" w:space="0"/>
              <w:left w:val="single" w:color="auto" w:sz="2" w:space="0"/>
              <w:bottom w:val="single" w:color="auto" w:sz="8" w:space="0"/>
              <w:right w:val="single" w:color="auto" w:sz="2" w:space="0"/>
            </w:tcBorders>
            <w:vAlign w:val="center"/>
          </w:tcPr>
          <w:p w14:paraId="211C06E3">
            <w:pPr>
              <w:spacing w:line="240" w:lineRule="exact"/>
              <w:jc w:val="center"/>
              <w:textAlignment w:val="center"/>
              <w:rPr>
                <w:spacing w:val="8"/>
                <w:sz w:val="18"/>
                <w:szCs w:val="18"/>
              </w:rPr>
            </w:pPr>
          </w:p>
        </w:tc>
        <w:tc>
          <w:tcPr>
            <w:tcW w:w="485" w:type="pct"/>
            <w:vMerge w:val="continue"/>
            <w:tcBorders>
              <w:top w:val="single" w:color="auto" w:sz="8" w:space="0"/>
              <w:left w:val="single" w:color="auto" w:sz="2" w:space="0"/>
              <w:bottom w:val="single" w:color="auto" w:sz="8" w:space="0"/>
              <w:right w:val="single" w:color="auto" w:sz="2" w:space="0"/>
            </w:tcBorders>
            <w:vAlign w:val="center"/>
          </w:tcPr>
          <w:p w14:paraId="18C2820F">
            <w:pPr>
              <w:spacing w:line="240" w:lineRule="exact"/>
              <w:jc w:val="center"/>
              <w:textAlignment w:val="center"/>
              <w:rPr>
                <w:spacing w:val="8"/>
                <w:sz w:val="18"/>
                <w:szCs w:val="18"/>
              </w:rPr>
            </w:pPr>
          </w:p>
        </w:tc>
        <w:tc>
          <w:tcPr>
            <w:tcW w:w="777" w:type="pct"/>
            <w:vMerge w:val="continue"/>
            <w:tcBorders>
              <w:top w:val="single" w:color="auto" w:sz="8" w:space="0"/>
              <w:left w:val="single" w:color="auto" w:sz="2" w:space="0"/>
              <w:bottom w:val="single" w:color="auto" w:sz="8" w:space="0"/>
              <w:right w:val="nil"/>
            </w:tcBorders>
          </w:tcPr>
          <w:p w14:paraId="6B07F8AD">
            <w:pPr>
              <w:spacing w:line="240" w:lineRule="exact"/>
              <w:jc w:val="center"/>
              <w:textAlignment w:val="center"/>
              <w:rPr>
                <w:spacing w:val="8"/>
                <w:sz w:val="18"/>
                <w:szCs w:val="18"/>
              </w:rPr>
            </w:pPr>
          </w:p>
        </w:tc>
      </w:tr>
      <w:tr w14:paraId="6C4437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3" w:hRule="atLeast"/>
          <w:jc w:val="center"/>
        </w:trPr>
        <w:tc>
          <w:tcPr>
            <w:tcW w:w="1812" w:type="pct"/>
            <w:tcBorders>
              <w:top w:val="nil"/>
              <w:bottom w:val="nil"/>
            </w:tcBorders>
            <w:vAlign w:val="center"/>
          </w:tcPr>
          <w:p w14:paraId="00F28190">
            <w:pPr>
              <w:spacing w:line="240" w:lineRule="exact"/>
              <w:textAlignment w:val="center"/>
              <w:rPr>
                <w:spacing w:val="8"/>
                <w:sz w:val="18"/>
                <w:szCs w:val="18"/>
              </w:rPr>
            </w:pPr>
            <w:r>
              <w:rPr>
                <w:rFonts w:hint="eastAsia"/>
                <w:spacing w:val="8"/>
                <w:sz w:val="18"/>
                <w:szCs w:val="18"/>
              </w:rPr>
              <w:t xml:space="preserve">  </w:t>
            </w:r>
            <w:r>
              <w:rPr>
                <w:spacing w:val="8"/>
                <w:sz w:val="18"/>
                <w:szCs w:val="18"/>
              </w:rPr>
              <w:t>交通运输、仓储和邮政业</w:t>
            </w:r>
          </w:p>
        </w:tc>
        <w:tc>
          <w:tcPr>
            <w:tcW w:w="750" w:type="pct"/>
            <w:vMerge w:val="continue"/>
            <w:tcBorders>
              <w:top w:val="single" w:color="auto" w:sz="8" w:space="0"/>
              <w:bottom w:val="single" w:color="auto" w:sz="8" w:space="0"/>
              <w:right w:val="single" w:color="auto" w:sz="2" w:space="0"/>
            </w:tcBorders>
            <w:vAlign w:val="center"/>
          </w:tcPr>
          <w:p w14:paraId="55D834DB">
            <w:pPr>
              <w:spacing w:line="240" w:lineRule="exact"/>
              <w:jc w:val="center"/>
              <w:textAlignment w:val="center"/>
              <w:rPr>
                <w:spacing w:val="8"/>
                <w:sz w:val="18"/>
                <w:szCs w:val="18"/>
              </w:rPr>
            </w:pPr>
          </w:p>
        </w:tc>
        <w:tc>
          <w:tcPr>
            <w:tcW w:w="525" w:type="pct"/>
            <w:vMerge w:val="continue"/>
            <w:tcBorders>
              <w:top w:val="single" w:color="auto" w:sz="8" w:space="0"/>
              <w:left w:val="single" w:color="auto" w:sz="2" w:space="0"/>
              <w:bottom w:val="single" w:color="auto" w:sz="8" w:space="0"/>
              <w:right w:val="single" w:color="auto" w:sz="2" w:space="0"/>
            </w:tcBorders>
            <w:vAlign w:val="center"/>
          </w:tcPr>
          <w:p w14:paraId="27A27E87">
            <w:pPr>
              <w:spacing w:line="240" w:lineRule="exact"/>
              <w:jc w:val="center"/>
              <w:textAlignment w:val="center"/>
              <w:rPr>
                <w:spacing w:val="8"/>
                <w:sz w:val="18"/>
                <w:szCs w:val="18"/>
              </w:rPr>
            </w:pPr>
          </w:p>
        </w:tc>
        <w:tc>
          <w:tcPr>
            <w:tcW w:w="651" w:type="pct"/>
            <w:vMerge w:val="continue"/>
            <w:tcBorders>
              <w:top w:val="single" w:color="auto" w:sz="8" w:space="0"/>
              <w:left w:val="single" w:color="auto" w:sz="2" w:space="0"/>
              <w:bottom w:val="single" w:color="auto" w:sz="8" w:space="0"/>
              <w:right w:val="single" w:color="auto" w:sz="2" w:space="0"/>
            </w:tcBorders>
            <w:vAlign w:val="center"/>
          </w:tcPr>
          <w:p w14:paraId="68F9F0BB">
            <w:pPr>
              <w:spacing w:line="240" w:lineRule="exact"/>
              <w:jc w:val="center"/>
              <w:textAlignment w:val="center"/>
              <w:rPr>
                <w:spacing w:val="8"/>
                <w:sz w:val="18"/>
                <w:szCs w:val="18"/>
              </w:rPr>
            </w:pPr>
          </w:p>
        </w:tc>
        <w:tc>
          <w:tcPr>
            <w:tcW w:w="485" w:type="pct"/>
            <w:vMerge w:val="continue"/>
            <w:tcBorders>
              <w:top w:val="single" w:color="auto" w:sz="8" w:space="0"/>
              <w:left w:val="single" w:color="auto" w:sz="2" w:space="0"/>
              <w:bottom w:val="single" w:color="auto" w:sz="8" w:space="0"/>
              <w:right w:val="single" w:color="auto" w:sz="2" w:space="0"/>
            </w:tcBorders>
            <w:vAlign w:val="center"/>
          </w:tcPr>
          <w:p w14:paraId="3EFB353A">
            <w:pPr>
              <w:spacing w:line="240" w:lineRule="exact"/>
              <w:jc w:val="center"/>
              <w:textAlignment w:val="center"/>
              <w:rPr>
                <w:spacing w:val="8"/>
                <w:sz w:val="18"/>
                <w:szCs w:val="18"/>
              </w:rPr>
            </w:pPr>
          </w:p>
        </w:tc>
        <w:tc>
          <w:tcPr>
            <w:tcW w:w="777" w:type="pct"/>
            <w:vMerge w:val="continue"/>
            <w:tcBorders>
              <w:top w:val="single" w:color="auto" w:sz="8" w:space="0"/>
              <w:left w:val="single" w:color="auto" w:sz="2" w:space="0"/>
              <w:bottom w:val="single" w:color="auto" w:sz="8" w:space="0"/>
              <w:right w:val="nil"/>
            </w:tcBorders>
          </w:tcPr>
          <w:p w14:paraId="31B050FA">
            <w:pPr>
              <w:spacing w:line="240" w:lineRule="exact"/>
              <w:jc w:val="center"/>
              <w:textAlignment w:val="center"/>
              <w:rPr>
                <w:spacing w:val="8"/>
                <w:sz w:val="18"/>
                <w:szCs w:val="18"/>
              </w:rPr>
            </w:pPr>
          </w:p>
        </w:tc>
      </w:tr>
      <w:tr w14:paraId="2676E5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3" w:hRule="atLeast"/>
          <w:jc w:val="center"/>
        </w:trPr>
        <w:tc>
          <w:tcPr>
            <w:tcW w:w="1812" w:type="pct"/>
            <w:tcBorders>
              <w:top w:val="nil"/>
              <w:bottom w:val="single" w:color="auto" w:sz="8" w:space="0"/>
            </w:tcBorders>
            <w:vAlign w:val="center"/>
          </w:tcPr>
          <w:p w14:paraId="683550B5">
            <w:pPr>
              <w:spacing w:line="240" w:lineRule="exact"/>
              <w:textAlignment w:val="center"/>
              <w:rPr>
                <w:spacing w:val="8"/>
                <w:sz w:val="18"/>
                <w:szCs w:val="18"/>
              </w:rPr>
            </w:pPr>
            <w:r>
              <w:rPr>
                <w:rFonts w:hint="eastAsia"/>
                <w:spacing w:val="8"/>
                <w:sz w:val="18"/>
                <w:szCs w:val="18"/>
              </w:rPr>
              <w:t xml:space="preserve">  </w:t>
            </w:r>
            <w:r>
              <w:rPr>
                <w:spacing w:val="8"/>
                <w:sz w:val="18"/>
                <w:szCs w:val="18"/>
              </w:rPr>
              <w:t>服务业</w:t>
            </w:r>
            <w:r>
              <w:rPr>
                <w:rFonts w:hint="eastAsia"/>
                <w:kern w:val="0"/>
                <w:sz w:val="18"/>
                <w:szCs w:val="18"/>
                <w:vertAlign w:val="superscript"/>
              </w:rPr>
              <w:t>*</w:t>
            </w:r>
            <w:r>
              <w:rPr>
                <w:rFonts w:hint="eastAsia"/>
                <w:spacing w:val="8"/>
                <w:sz w:val="18"/>
                <w:szCs w:val="18"/>
              </w:rPr>
              <w:t>（</w:t>
            </w:r>
            <w:r>
              <w:rPr>
                <w:spacing w:val="8"/>
                <w:sz w:val="18"/>
                <w:szCs w:val="18"/>
              </w:rPr>
              <w:t>不含交通运输、仓储和邮政业</w:t>
            </w:r>
            <w:r>
              <w:rPr>
                <w:rFonts w:hint="eastAsia"/>
                <w:spacing w:val="8"/>
                <w:sz w:val="18"/>
                <w:szCs w:val="18"/>
              </w:rPr>
              <w:t>）</w:t>
            </w:r>
          </w:p>
        </w:tc>
        <w:tc>
          <w:tcPr>
            <w:tcW w:w="750" w:type="pct"/>
            <w:vMerge w:val="continue"/>
            <w:tcBorders>
              <w:top w:val="single" w:color="auto" w:sz="8" w:space="0"/>
              <w:bottom w:val="single" w:color="auto" w:sz="8" w:space="0"/>
              <w:right w:val="single" w:color="auto" w:sz="2" w:space="0"/>
            </w:tcBorders>
            <w:vAlign w:val="center"/>
          </w:tcPr>
          <w:p w14:paraId="46983811">
            <w:pPr>
              <w:spacing w:line="240" w:lineRule="exact"/>
              <w:jc w:val="center"/>
              <w:textAlignment w:val="center"/>
              <w:rPr>
                <w:spacing w:val="8"/>
                <w:sz w:val="18"/>
                <w:szCs w:val="18"/>
              </w:rPr>
            </w:pPr>
          </w:p>
        </w:tc>
        <w:tc>
          <w:tcPr>
            <w:tcW w:w="525" w:type="pct"/>
            <w:vMerge w:val="continue"/>
            <w:tcBorders>
              <w:top w:val="single" w:color="auto" w:sz="8" w:space="0"/>
              <w:left w:val="single" w:color="auto" w:sz="2" w:space="0"/>
              <w:bottom w:val="single" w:color="auto" w:sz="8" w:space="0"/>
              <w:right w:val="single" w:color="auto" w:sz="2" w:space="0"/>
            </w:tcBorders>
            <w:vAlign w:val="center"/>
          </w:tcPr>
          <w:p w14:paraId="084E6618">
            <w:pPr>
              <w:spacing w:line="240" w:lineRule="exact"/>
              <w:jc w:val="center"/>
              <w:textAlignment w:val="center"/>
              <w:rPr>
                <w:spacing w:val="8"/>
                <w:sz w:val="18"/>
                <w:szCs w:val="18"/>
              </w:rPr>
            </w:pPr>
          </w:p>
        </w:tc>
        <w:tc>
          <w:tcPr>
            <w:tcW w:w="651" w:type="pct"/>
            <w:vMerge w:val="continue"/>
            <w:tcBorders>
              <w:top w:val="single" w:color="auto" w:sz="8" w:space="0"/>
              <w:left w:val="single" w:color="auto" w:sz="2" w:space="0"/>
              <w:bottom w:val="single" w:color="auto" w:sz="8" w:space="0"/>
              <w:right w:val="single" w:color="auto" w:sz="2" w:space="0"/>
            </w:tcBorders>
            <w:vAlign w:val="center"/>
          </w:tcPr>
          <w:p w14:paraId="37A3A74F">
            <w:pPr>
              <w:spacing w:line="240" w:lineRule="exact"/>
              <w:jc w:val="center"/>
              <w:textAlignment w:val="center"/>
              <w:rPr>
                <w:spacing w:val="8"/>
                <w:sz w:val="18"/>
                <w:szCs w:val="18"/>
              </w:rPr>
            </w:pPr>
          </w:p>
        </w:tc>
        <w:tc>
          <w:tcPr>
            <w:tcW w:w="485" w:type="pct"/>
            <w:vMerge w:val="continue"/>
            <w:tcBorders>
              <w:top w:val="single" w:color="auto" w:sz="8" w:space="0"/>
              <w:left w:val="single" w:color="auto" w:sz="2" w:space="0"/>
              <w:bottom w:val="single" w:color="auto" w:sz="8" w:space="0"/>
              <w:right w:val="single" w:color="auto" w:sz="2" w:space="0"/>
            </w:tcBorders>
            <w:vAlign w:val="center"/>
          </w:tcPr>
          <w:p w14:paraId="12EEA124">
            <w:pPr>
              <w:spacing w:line="240" w:lineRule="exact"/>
              <w:jc w:val="center"/>
              <w:textAlignment w:val="center"/>
              <w:rPr>
                <w:spacing w:val="8"/>
                <w:sz w:val="18"/>
                <w:szCs w:val="18"/>
              </w:rPr>
            </w:pPr>
          </w:p>
        </w:tc>
        <w:tc>
          <w:tcPr>
            <w:tcW w:w="777" w:type="pct"/>
            <w:vMerge w:val="continue"/>
            <w:tcBorders>
              <w:top w:val="single" w:color="auto" w:sz="8" w:space="0"/>
              <w:left w:val="single" w:color="auto" w:sz="2" w:space="0"/>
              <w:bottom w:val="single" w:color="auto" w:sz="8" w:space="0"/>
              <w:right w:val="nil"/>
            </w:tcBorders>
          </w:tcPr>
          <w:p w14:paraId="15524FB4">
            <w:pPr>
              <w:spacing w:line="240" w:lineRule="exact"/>
              <w:jc w:val="center"/>
              <w:textAlignment w:val="center"/>
              <w:rPr>
                <w:spacing w:val="8"/>
                <w:sz w:val="18"/>
                <w:szCs w:val="18"/>
              </w:rPr>
            </w:pPr>
          </w:p>
        </w:tc>
      </w:tr>
    </w:tbl>
    <w:p w14:paraId="32773AEB">
      <w:pPr>
        <w:spacing w:line="360" w:lineRule="exact"/>
        <w:ind w:firstLine="424" w:firstLineChars="202"/>
        <w:textAlignment w:val="center"/>
        <w:rPr>
          <w:rFonts w:ascii="宋体"/>
          <w:szCs w:val="21"/>
        </w:rPr>
      </w:pPr>
      <w:r>
        <w:rPr>
          <w:rFonts w:hint="eastAsia" w:ascii="宋体" w:hAnsi="宋体"/>
          <w:szCs w:val="21"/>
        </w:rPr>
        <w:t>3</w:t>
      </w:r>
      <w:r>
        <w:rPr>
          <w:rFonts w:ascii="宋体" w:hAnsi="宋体"/>
          <w:szCs w:val="21"/>
        </w:rPr>
        <w:t>.核算方法</w:t>
      </w:r>
      <w:r>
        <w:rPr>
          <w:rFonts w:hint="eastAsia" w:ascii="宋体" w:hAnsi="宋体"/>
          <w:szCs w:val="21"/>
        </w:rPr>
        <w:t>三</w:t>
      </w:r>
      <w:r>
        <w:rPr>
          <w:rFonts w:hint="eastAsia"/>
          <w:szCs w:val="21"/>
        </w:rPr>
        <w:t>（</w:t>
      </w:r>
      <w:r>
        <w:rPr>
          <w:rFonts w:hint="eastAsia" w:ascii="宋体" w:hAnsi="宋体"/>
          <w:szCs w:val="21"/>
        </w:rPr>
        <w:t>能源消费弹性系数法</w:t>
      </w:r>
      <w:r>
        <w:rPr>
          <w:rFonts w:hint="eastAsia"/>
          <w:szCs w:val="21"/>
        </w:rPr>
        <w:t>）</w:t>
      </w:r>
      <w:r>
        <w:rPr>
          <w:szCs w:val="21"/>
        </w:rPr>
        <w:t>：</w:t>
      </w:r>
      <w:r>
        <w:rPr>
          <w:rFonts w:ascii="宋体"/>
          <w:szCs w:val="21"/>
        </w:rPr>
        <w:t>使用本期增加值增速</w:t>
      </w:r>
      <w:r>
        <w:rPr>
          <w:rFonts w:hint="eastAsia" w:ascii="宋体"/>
          <w:szCs w:val="21"/>
        </w:rPr>
        <w:t>、上年</w:t>
      </w:r>
      <w:r>
        <w:rPr>
          <w:rFonts w:ascii="宋体"/>
          <w:szCs w:val="21"/>
        </w:rPr>
        <w:t>能源消费</w:t>
      </w:r>
      <w:r>
        <w:rPr>
          <w:rFonts w:hint="eastAsia" w:ascii="宋体"/>
          <w:szCs w:val="21"/>
        </w:rPr>
        <w:t>弹性系数</w:t>
      </w:r>
      <w:r>
        <w:rPr>
          <w:rFonts w:ascii="宋体"/>
          <w:szCs w:val="21"/>
        </w:rPr>
        <w:t>等</w:t>
      </w:r>
      <w:r>
        <w:rPr>
          <w:rFonts w:hint="eastAsia" w:ascii="宋体"/>
          <w:szCs w:val="21"/>
        </w:rPr>
        <w:t>核算</w:t>
      </w:r>
      <w:r>
        <w:rPr>
          <w:rFonts w:ascii="宋体"/>
          <w:szCs w:val="21"/>
        </w:rPr>
        <w:t>。</w:t>
      </w:r>
    </w:p>
    <w:p w14:paraId="5C1ABCAB">
      <w:pPr>
        <w:spacing w:line="360" w:lineRule="exact"/>
        <w:ind w:right="-40" w:firstLine="430" w:firstLineChars="205"/>
        <w:textAlignment w:val="center"/>
        <w:rPr>
          <w:rFonts w:ascii="宋体"/>
          <w:szCs w:val="21"/>
        </w:rPr>
      </w:pPr>
      <w:r>
        <w:rPr>
          <w:rFonts w:ascii="宋体"/>
          <w:szCs w:val="21"/>
        </w:rPr>
        <w:t>本期能源消费量</w:t>
      </w:r>
      <w:r>
        <w:rPr>
          <w:rFonts w:hint="eastAsia" w:ascii="宋体"/>
          <w:szCs w:val="21"/>
        </w:rPr>
        <w:t>增速</w:t>
      </w:r>
      <w:r>
        <w:rPr>
          <w:rFonts w:ascii="宋体"/>
          <w:szCs w:val="18"/>
        </w:rPr>
        <w:t>=本期增加值增速</w:t>
      </w:r>
      <w:r>
        <w:rPr>
          <w:rFonts w:ascii="宋体" w:hAnsi="宋体"/>
          <w:szCs w:val="21"/>
        </w:rPr>
        <w:t>×</w:t>
      </w:r>
      <w:r>
        <w:rPr>
          <w:rFonts w:ascii="宋体"/>
          <w:szCs w:val="18"/>
        </w:rPr>
        <w:t>上年能源消费弹性系数</w:t>
      </w:r>
    </w:p>
    <w:p w14:paraId="2947330A">
      <w:pPr>
        <w:spacing w:line="360" w:lineRule="exact"/>
        <w:ind w:right="-40" w:firstLine="430" w:firstLineChars="205"/>
        <w:textAlignment w:val="center"/>
        <w:rPr>
          <w:rFonts w:ascii="宋体" w:hAnsi="宋体"/>
          <w:szCs w:val="21"/>
        </w:rPr>
      </w:pPr>
      <w:r>
        <w:rPr>
          <w:rFonts w:ascii="宋体"/>
          <w:szCs w:val="21"/>
        </w:rPr>
        <w:t xml:space="preserve">              </w:t>
      </w:r>
      <w:r>
        <w:rPr>
          <w:rFonts w:hint="eastAsia" w:ascii="宋体"/>
          <w:szCs w:val="21"/>
        </w:rPr>
        <w:t xml:space="preserve">    =</w:t>
      </w:r>
      <w:r>
        <w:rPr>
          <w:rFonts w:ascii="宋体"/>
          <w:szCs w:val="21"/>
        </w:rPr>
        <w:t>本</w:t>
      </w:r>
      <w:r>
        <w:rPr>
          <w:rFonts w:hint="eastAsia" w:ascii="宋体"/>
          <w:szCs w:val="21"/>
        </w:rPr>
        <w:t>期增加值增速×</w:t>
      </w:r>
      <w:r>
        <w:rPr>
          <w:rFonts w:hint="eastAsia"/>
          <w:szCs w:val="21"/>
        </w:rPr>
        <w:t>（</w:t>
      </w:r>
      <w:r>
        <w:rPr>
          <w:rFonts w:hint="eastAsia" w:ascii="宋体" w:hAnsi="宋体"/>
          <w:szCs w:val="21"/>
        </w:rPr>
        <w:t>上年能源消费量增速/上年增加值增速</w:t>
      </w:r>
      <w:r>
        <w:rPr>
          <w:rFonts w:hint="eastAsia"/>
          <w:szCs w:val="21"/>
        </w:rPr>
        <w:t>）</w:t>
      </w:r>
    </w:p>
    <w:p w14:paraId="11024455">
      <w:pPr>
        <w:spacing w:line="360" w:lineRule="exact"/>
        <w:ind w:right="-40" w:firstLine="430" w:firstLineChars="205"/>
        <w:textAlignment w:val="center"/>
        <w:rPr>
          <w:rFonts w:ascii="宋体" w:hAnsi="宋体"/>
          <w:szCs w:val="21"/>
        </w:rPr>
      </w:pPr>
      <w:r>
        <w:rPr>
          <w:rFonts w:hint="eastAsia" w:ascii="宋体" w:hAnsi="宋体"/>
          <w:szCs w:val="21"/>
        </w:rPr>
        <w:t>其中</w:t>
      </w:r>
      <w:r>
        <w:rPr>
          <w:rFonts w:hint="eastAsia"/>
          <w:szCs w:val="21"/>
        </w:rPr>
        <w:t>：</w:t>
      </w:r>
    </w:p>
    <w:p w14:paraId="532C214D">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hint="eastAsia"/>
          <w:szCs w:val="21"/>
          <w:lang w:eastAsia="zh-CN"/>
        </w:rPr>
        <w:t>“</w:t>
      </w:r>
      <w:r>
        <w:rPr>
          <w:rFonts w:ascii="宋体" w:hAnsi="宋体"/>
          <w:szCs w:val="21"/>
        </w:rPr>
        <w:t>本</w:t>
      </w:r>
      <w:r>
        <w:rPr>
          <w:rFonts w:hint="eastAsia" w:ascii="宋体" w:hAnsi="宋体"/>
          <w:szCs w:val="21"/>
        </w:rPr>
        <w:t>期增加值增速</w:t>
      </w:r>
      <w:r>
        <w:rPr>
          <w:rFonts w:hint="eastAsia"/>
          <w:szCs w:val="21"/>
          <w:lang w:eastAsia="zh-CN"/>
        </w:rPr>
        <w:t>”</w:t>
      </w:r>
      <w:r>
        <w:rPr>
          <w:rFonts w:hint="eastAsia" w:ascii="宋体" w:hAnsi="宋体"/>
          <w:szCs w:val="21"/>
        </w:rPr>
        <w:t>、</w:t>
      </w:r>
      <w:r>
        <w:rPr>
          <w:rFonts w:hint="eastAsia"/>
          <w:szCs w:val="21"/>
          <w:lang w:eastAsia="zh-CN"/>
        </w:rPr>
        <w:t>“</w:t>
      </w:r>
      <w:r>
        <w:rPr>
          <w:rFonts w:hint="eastAsia" w:ascii="宋体" w:hAnsi="宋体"/>
          <w:szCs w:val="21"/>
        </w:rPr>
        <w:t>上年增加值增速</w:t>
      </w:r>
      <w:r>
        <w:rPr>
          <w:rFonts w:hint="eastAsia"/>
          <w:szCs w:val="21"/>
          <w:lang w:eastAsia="zh-CN"/>
        </w:rPr>
        <w:t>”</w:t>
      </w:r>
      <w:r>
        <w:rPr>
          <w:rFonts w:hint="eastAsia" w:ascii="宋体" w:hAnsi="宋体"/>
          <w:szCs w:val="21"/>
        </w:rPr>
        <w:t>是指各行业</w:t>
      </w:r>
      <w:r>
        <w:rPr>
          <w:rFonts w:ascii="宋体" w:hAnsi="宋体"/>
          <w:szCs w:val="21"/>
        </w:rPr>
        <w:t>本期和上年</w:t>
      </w:r>
      <w:r>
        <w:rPr>
          <w:rFonts w:hint="eastAsia" w:ascii="宋体" w:hAnsi="宋体"/>
          <w:szCs w:val="21"/>
        </w:rPr>
        <w:t>增加值增速。</w:t>
      </w:r>
    </w:p>
    <w:p w14:paraId="411C9D93">
      <w:pPr>
        <w:spacing w:line="360" w:lineRule="exact"/>
        <w:ind w:right="-40" w:firstLine="430" w:firstLineChars="205"/>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szCs w:val="21"/>
          <w:lang w:eastAsia="zh-CN"/>
        </w:rPr>
        <w:t>“</w:t>
      </w:r>
      <w:r>
        <w:rPr>
          <w:rFonts w:hint="eastAsia" w:ascii="宋体" w:hAnsi="宋体"/>
          <w:szCs w:val="21"/>
        </w:rPr>
        <w:t>上年能源消费量增速</w:t>
      </w:r>
      <w:r>
        <w:rPr>
          <w:rFonts w:hint="eastAsia"/>
          <w:szCs w:val="21"/>
          <w:lang w:eastAsia="zh-CN"/>
        </w:rPr>
        <w:t>”</w:t>
      </w:r>
      <w:r>
        <w:rPr>
          <w:rFonts w:ascii="宋体" w:hAnsi="宋体"/>
          <w:szCs w:val="21"/>
        </w:rPr>
        <w:t>根据</w:t>
      </w:r>
      <w:r>
        <w:rPr>
          <w:rFonts w:hint="eastAsia" w:ascii="宋体" w:hAnsi="宋体"/>
          <w:szCs w:val="21"/>
        </w:rPr>
        <w:t>上年及往年能源平衡表各行业能源消费量计算。</w:t>
      </w:r>
    </w:p>
    <w:p w14:paraId="7E908124">
      <w:pPr>
        <w:spacing w:line="400" w:lineRule="exact"/>
        <w:jc w:val="left"/>
        <w:textAlignment w:val="center"/>
        <w:rPr>
          <w:rFonts w:ascii="宋体" w:hAnsi="宋体"/>
          <w:spacing w:val="8"/>
          <w:sz w:val="18"/>
          <w:szCs w:val="18"/>
        </w:rPr>
      </w:pPr>
      <w:r>
        <w:rPr>
          <w:rFonts w:ascii="宋体" w:hAnsi="宋体"/>
          <w:spacing w:val="8"/>
          <w:sz w:val="18"/>
          <w:szCs w:val="18"/>
        </w:rPr>
        <w:t>表3</w:t>
      </w:r>
    </w:p>
    <w:tbl>
      <w:tblPr>
        <w:tblStyle w:val="20"/>
        <w:tblW w:w="10034" w:type="dxa"/>
        <w:jc w:val="center"/>
        <w:tblLayout w:type="fixed"/>
        <w:tblCellMar>
          <w:top w:w="0" w:type="dxa"/>
          <w:left w:w="108" w:type="dxa"/>
          <w:bottom w:w="0" w:type="dxa"/>
          <w:right w:w="108" w:type="dxa"/>
        </w:tblCellMar>
      </w:tblPr>
      <w:tblGrid>
        <w:gridCol w:w="3553"/>
        <w:gridCol w:w="1297"/>
        <w:gridCol w:w="1296"/>
        <w:gridCol w:w="1296"/>
        <w:gridCol w:w="1296"/>
        <w:gridCol w:w="1296"/>
      </w:tblGrid>
      <w:tr w14:paraId="76F71011">
        <w:tblPrEx>
          <w:tblCellMar>
            <w:top w:w="0" w:type="dxa"/>
            <w:left w:w="108" w:type="dxa"/>
            <w:bottom w:w="0" w:type="dxa"/>
            <w:right w:w="108" w:type="dxa"/>
          </w:tblCellMar>
        </w:tblPrEx>
        <w:trPr>
          <w:trHeight w:val="642" w:hRule="atLeast"/>
          <w:jc w:val="center"/>
        </w:trPr>
        <w:tc>
          <w:tcPr>
            <w:tcW w:w="1770" w:type="pct"/>
            <w:tcBorders>
              <w:top w:val="single" w:color="auto" w:sz="8" w:space="0"/>
              <w:left w:val="nil"/>
              <w:bottom w:val="single" w:color="auto" w:sz="2" w:space="0"/>
              <w:right w:val="single" w:color="auto" w:sz="2" w:space="0"/>
            </w:tcBorders>
            <w:shd w:val="clear" w:color="auto" w:fill="auto"/>
            <w:noWrap/>
            <w:vAlign w:val="center"/>
          </w:tcPr>
          <w:p w14:paraId="3BF7F6B1">
            <w:pPr>
              <w:jc w:val="center"/>
              <w:textAlignment w:val="center"/>
              <w:rPr>
                <w:kern w:val="0"/>
                <w:sz w:val="18"/>
                <w:szCs w:val="18"/>
              </w:rPr>
            </w:pPr>
            <w:r>
              <w:rPr>
                <w:kern w:val="0"/>
                <w:sz w:val="18"/>
                <w:szCs w:val="18"/>
              </w:rPr>
              <w:t>指标名称</w:t>
            </w:r>
          </w:p>
        </w:tc>
        <w:tc>
          <w:tcPr>
            <w:tcW w:w="646" w:type="pct"/>
            <w:tcBorders>
              <w:top w:val="single" w:color="auto" w:sz="8" w:space="0"/>
              <w:left w:val="single" w:color="auto" w:sz="2" w:space="0"/>
              <w:bottom w:val="single" w:color="auto" w:sz="2" w:space="0"/>
              <w:right w:val="single" w:color="auto" w:sz="2" w:space="0"/>
            </w:tcBorders>
            <w:shd w:val="clear" w:color="auto" w:fill="auto"/>
            <w:noWrap/>
            <w:vAlign w:val="center"/>
          </w:tcPr>
          <w:p w14:paraId="5CCBB9F0">
            <w:pPr>
              <w:widowControl/>
              <w:jc w:val="center"/>
              <w:textAlignment w:val="center"/>
              <w:rPr>
                <w:kern w:val="0"/>
                <w:sz w:val="18"/>
                <w:szCs w:val="18"/>
              </w:rPr>
            </w:pPr>
            <w:r>
              <w:rPr>
                <w:kern w:val="0"/>
                <w:sz w:val="18"/>
                <w:szCs w:val="18"/>
              </w:rPr>
              <w:t>上年增加值</w:t>
            </w:r>
          </w:p>
          <w:p w14:paraId="3CFB710E">
            <w:pPr>
              <w:widowControl/>
              <w:jc w:val="center"/>
              <w:textAlignment w:val="center"/>
              <w:rPr>
                <w:kern w:val="0"/>
                <w:sz w:val="18"/>
                <w:szCs w:val="18"/>
              </w:rPr>
            </w:pPr>
            <w:r>
              <w:rPr>
                <w:kern w:val="0"/>
                <w:sz w:val="18"/>
                <w:szCs w:val="18"/>
              </w:rPr>
              <w:t>增速</w:t>
            </w:r>
          </w:p>
          <w:p w14:paraId="58E23452">
            <w:pPr>
              <w:widowControl/>
              <w:jc w:val="center"/>
              <w:textAlignment w:val="center"/>
              <w:rPr>
                <w:kern w:val="0"/>
                <w:sz w:val="18"/>
                <w:szCs w:val="18"/>
              </w:rPr>
            </w:pPr>
            <w:r>
              <w:rPr>
                <w:rFonts w:hint="eastAsia"/>
                <w:kern w:val="0"/>
                <w:sz w:val="18"/>
                <w:szCs w:val="18"/>
              </w:rPr>
              <w:t>（</w:t>
            </w:r>
            <w:r>
              <w:rPr>
                <w:rFonts w:ascii="宋体" w:hAnsi="宋体"/>
                <w:kern w:val="0"/>
                <w:sz w:val="18"/>
                <w:szCs w:val="18"/>
              </w:rPr>
              <w:t>%</w:t>
            </w:r>
            <w:r>
              <w:rPr>
                <w:rFonts w:hint="eastAsia"/>
                <w:kern w:val="0"/>
                <w:sz w:val="18"/>
                <w:szCs w:val="18"/>
              </w:rPr>
              <w:t>）</w:t>
            </w:r>
          </w:p>
        </w:tc>
        <w:tc>
          <w:tcPr>
            <w:tcW w:w="646" w:type="pct"/>
            <w:tcBorders>
              <w:top w:val="single" w:color="auto" w:sz="8" w:space="0"/>
              <w:left w:val="single" w:color="auto" w:sz="2" w:space="0"/>
              <w:bottom w:val="single" w:color="auto" w:sz="2" w:space="0"/>
              <w:right w:val="single" w:color="auto" w:sz="2" w:space="0"/>
            </w:tcBorders>
            <w:shd w:val="clear" w:color="auto" w:fill="auto"/>
            <w:noWrap/>
            <w:vAlign w:val="center"/>
          </w:tcPr>
          <w:p w14:paraId="46CA7592">
            <w:pPr>
              <w:widowControl/>
              <w:jc w:val="center"/>
              <w:textAlignment w:val="center"/>
              <w:rPr>
                <w:kern w:val="0"/>
                <w:sz w:val="18"/>
                <w:szCs w:val="18"/>
              </w:rPr>
            </w:pPr>
            <w:r>
              <w:rPr>
                <w:kern w:val="0"/>
                <w:sz w:val="18"/>
                <w:szCs w:val="18"/>
              </w:rPr>
              <w:t>上年能源</w:t>
            </w:r>
          </w:p>
          <w:p w14:paraId="25B1585B">
            <w:pPr>
              <w:widowControl/>
              <w:jc w:val="center"/>
              <w:textAlignment w:val="center"/>
              <w:rPr>
                <w:kern w:val="0"/>
                <w:sz w:val="18"/>
                <w:szCs w:val="18"/>
              </w:rPr>
            </w:pPr>
            <w:r>
              <w:rPr>
                <w:kern w:val="0"/>
                <w:sz w:val="18"/>
                <w:szCs w:val="18"/>
              </w:rPr>
              <w:t>消费量增速（</w:t>
            </w:r>
            <w:r>
              <w:rPr>
                <w:rFonts w:ascii="宋体" w:hAnsi="宋体"/>
                <w:kern w:val="0"/>
                <w:sz w:val="18"/>
                <w:szCs w:val="18"/>
              </w:rPr>
              <w:t>%</w:t>
            </w:r>
            <w:r>
              <w:rPr>
                <w:kern w:val="0"/>
                <w:sz w:val="18"/>
                <w:szCs w:val="18"/>
              </w:rPr>
              <w:t>）</w:t>
            </w:r>
          </w:p>
        </w:tc>
        <w:tc>
          <w:tcPr>
            <w:tcW w:w="646" w:type="pct"/>
            <w:tcBorders>
              <w:top w:val="single" w:color="auto" w:sz="8" w:space="0"/>
              <w:left w:val="single" w:color="auto" w:sz="2" w:space="0"/>
              <w:bottom w:val="single" w:color="auto" w:sz="2" w:space="0"/>
              <w:right w:val="single" w:color="auto" w:sz="2" w:space="0"/>
            </w:tcBorders>
            <w:shd w:val="clear" w:color="auto" w:fill="auto"/>
            <w:noWrap/>
            <w:vAlign w:val="center"/>
          </w:tcPr>
          <w:p w14:paraId="2D369C7D">
            <w:pPr>
              <w:widowControl/>
              <w:jc w:val="center"/>
              <w:textAlignment w:val="center"/>
              <w:rPr>
                <w:kern w:val="0"/>
                <w:sz w:val="18"/>
                <w:szCs w:val="18"/>
              </w:rPr>
            </w:pPr>
            <w:r>
              <w:rPr>
                <w:kern w:val="0"/>
                <w:sz w:val="18"/>
                <w:szCs w:val="18"/>
              </w:rPr>
              <w:t>上年能源</w:t>
            </w:r>
          </w:p>
          <w:p w14:paraId="056B71F5">
            <w:pPr>
              <w:widowControl/>
              <w:jc w:val="center"/>
              <w:textAlignment w:val="center"/>
              <w:rPr>
                <w:kern w:val="0"/>
                <w:sz w:val="18"/>
                <w:szCs w:val="18"/>
              </w:rPr>
            </w:pPr>
            <w:r>
              <w:rPr>
                <w:kern w:val="0"/>
                <w:sz w:val="18"/>
                <w:szCs w:val="18"/>
              </w:rPr>
              <w:t>消费</w:t>
            </w:r>
          </w:p>
          <w:p w14:paraId="1D61839C">
            <w:pPr>
              <w:widowControl/>
              <w:jc w:val="center"/>
              <w:textAlignment w:val="center"/>
              <w:rPr>
                <w:kern w:val="0"/>
                <w:sz w:val="18"/>
                <w:szCs w:val="18"/>
              </w:rPr>
            </w:pPr>
            <w:r>
              <w:rPr>
                <w:kern w:val="0"/>
                <w:sz w:val="18"/>
                <w:szCs w:val="18"/>
              </w:rPr>
              <w:t>弹性系数</w:t>
            </w:r>
          </w:p>
        </w:tc>
        <w:tc>
          <w:tcPr>
            <w:tcW w:w="646" w:type="pct"/>
            <w:tcBorders>
              <w:top w:val="single" w:color="auto" w:sz="8" w:space="0"/>
              <w:left w:val="single" w:color="auto" w:sz="2" w:space="0"/>
              <w:bottom w:val="single" w:color="auto" w:sz="2" w:space="0"/>
              <w:right w:val="single" w:color="auto" w:sz="2" w:space="0"/>
            </w:tcBorders>
            <w:shd w:val="clear" w:color="auto" w:fill="auto"/>
            <w:noWrap/>
            <w:vAlign w:val="center"/>
          </w:tcPr>
          <w:p w14:paraId="29BFCEC7">
            <w:pPr>
              <w:widowControl/>
              <w:jc w:val="center"/>
              <w:textAlignment w:val="center"/>
              <w:rPr>
                <w:kern w:val="0"/>
                <w:sz w:val="18"/>
                <w:szCs w:val="18"/>
              </w:rPr>
            </w:pPr>
            <w:r>
              <w:rPr>
                <w:kern w:val="0"/>
                <w:sz w:val="18"/>
                <w:szCs w:val="18"/>
              </w:rPr>
              <w:t>本期增加值</w:t>
            </w:r>
          </w:p>
          <w:p w14:paraId="7A8C5923">
            <w:pPr>
              <w:widowControl/>
              <w:jc w:val="center"/>
              <w:textAlignment w:val="center"/>
              <w:rPr>
                <w:kern w:val="0"/>
                <w:sz w:val="18"/>
                <w:szCs w:val="18"/>
              </w:rPr>
            </w:pPr>
            <w:r>
              <w:rPr>
                <w:kern w:val="0"/>
                <w:sz w:val="18"/>
                <w:szCs w:val="18"/>
              </w:rPr>
              <w:t>增速</w:t>
            </w:r>
          </w:p>
          <w:p w14:paraId="30B9B3B2">
            <w:pPr>
              <w:widowControl/>
              <w:jc w:val="center"/>
              <w:textAlignment w:val="center"/>
              <w:rPr>
                <w:kern w:val="0"/>
                <w:sz w:val="18"/>
                <w:szCs w:val="18"/>
              </w:rPr>
            </w:pPr>
            <w:r>
              <w:rPr>
                <w:kern w:val="0"/>
                <w:sz w:val="18"/>
                <w:szCs w:val="18"/>
              </w:rPr>
              <w:t>（</w:t>
            </w:r>
            <w:r>
              <w:rPr>
                <w:rFonts w:ascii="宋体" w:hAnsi="宋体"/>
                <w:kern w:val="0"/>
                <w:sz w:val="18"/>
                <w:szCs w:val="18"/>
              </w:rPr>
              <w:t>%</w:t>
            </w:r>
            <w:r>
              <w:rPr>
                <w:kern w:val="0"/>
                <w:sz w:val="18"/>
                <w:szCs w:val="18"/>
              </w:rPr>
              <w:t>）</w:t>
            </w:r>
          </w:p>
        </w:tc>
        <w:tc>
          <w:tcPr>
            <w:tcW w:w="646" w:type="pct"/>
            <w:tcBorders>
              <w:top w:val="single" w:color="auto" w:sz="8" w:space="0"/>
              <w:left w:val="single" w:color="auto" w:sz="2" w:space="0"/>
              <w:bottom w:val="single" w:color="auto" w:sz="2" w:space="0"/>
              <w:right w:val="nil"/>
            </w:tcBorders>
            <w:vAlign w:val="center"/>
          </w:tcPr>
          <w:p w14:paraId="40196FE9">
            <w:pPr>
              <w:widowControl/>
              <w:jc w:val="center"/>
              <w:textAlignment w:val="center"/>
              <w:rPr>
                <w:kern w:val="0"/>
                <w:sz w:val="18"/>
                <w:szCs w:val="18"/>
              </w:rPr>
            </w:pPr>
            <w:r>
              <w:rPr>
                <w:kern w:val="0"/>
                <w:sz w:val="18"/>
                <w:szCs w:val="18"/>
              </w:rPr>
              <w:t>本期能源消费量增速</w:t>
            </w:r>
          </w:p>
          <w:p w14:paraId="527CC919">
            <w:pPr>
              <w:widowControl/>
              <w:jc w:val="center"/>
              <w:textAlignment w:val="center"/>
              <w:rPr>
                <w:kern w:val="0"/>
                <w:sz w:val="18"/>
                <w:szCs w:val="18"/>
              </w:rPr>
            </w:pPr>
            <w:r>
              <w:rPr>
                <w:kern w:val="0"/>
                <w:sz w:val="18"/>
                <w:szCs w:val="18"/>
              </w:rPr>
              <w:t>（</w:t>
            </w:r>
            <w:r>
              <w:rPr>
                <w:rFonts w:ascii="宋体" w:hAnsi="宋体"/>
                <w:kern w:val="0"/>
                <w:sz w:val="18"/>
                <w:szCs w:val="18"/>
              </w:rPr>
              <w:t>%</w:t>
            </w:r>
            <w:r>
              <w:rPr>
                <w:kern w:val="0"/>
                <w:sz w:val="18"/>
                <w:szCs w:val="18"/>
              </w:rPr>
              <w:t>）</w:t>
            </w:r>
          </w:p>
        </w:tc>
      </w:tr>
      <w:tr w14:paraId="7236E7B7">
        <w:tblPrEx>
          <w:tblCellMar>
            <w:top w:w="0" w:type="dxa"/>
            <w:left w:w="108" w:type="dxa"/>
            <w:bottom w:w="0" w:type="dxa"/>
            <w:right w:w="108" w:type="dxa"/>
          </w:tblCellMar>
        </w:tblPrEx>
        <w:trPr>
          <w:trHeight w:val="306" w:hRule="atLeast"/>
          <w:jc w:val="center"/>
        </w:trPr>
        <w:tc>
          <w:tcPr>
            <w:tcW w:w="1770" w:type="pct"/>
            <w:tcBorders>
              <w:top w:val="single" w:color="auto" w:sz="2" w:space="0"/>
              <w:left w:val="nil"/>
              <w:bottom w:val="single" w:color="auto" w:sz="2" w:space="0"/>
              <w:right w:val="single" w:color="auto" w:sz="2" w:space="0"/>
            </w:tcBorders>
            <w:shd w:val="clear" w:color="auto" w:fill="auto"/>
            <w:noWrap/>
            <w:vAlign w:val="center"/>
          </w:tcPr>
          <w:p w14:paraId="3E35ECB7">
            <w:pPr>
              <w:widowControl/>
              <w:spacing w:line="240" w:lineRule="exact"/>
              <w:jc w:val="center"/>
              <w:textAlignment w:val="center"/>
              <w:rPr>
                <w:kern w:val="0"/>
                <w:sz w:val="18"/>
                <w:szCs w:val="18"/>
              </w:rPr>
            </w:pPr>
            <w:r>
              <w:rPr>
                <w:kern w:val="0"/>
                <w:sz w:val="18"/>
                <w:szCs w:val="18"/>
              </w:rPr>
              <w:t>甲</w:t>
            </w:r>
          </w:p>
        </w:tc>
        <w:tc>
          <w:tcPr>
            <w:tcW w:w="64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0AC2545A">
            <w:pPr>
              <w:widowControl/>
              <w:spacing w:line="240" w:lineRule="exact"/>
              <w:jc w:val="center"/>
              <w:textAlignment w:val="center"/>
              <w:rPr>
                <w:kern w:val="0"/>
                <w:sz w:val="18"/>
                <w:szCs w:val="18"/>
              </w:rPr>
            </w:pPr>
            <w:r>
              <w:rPr>
                <w:kern w:val="0"/>
                <w:sz w:val="18"/>
                <w:szCs w:val="18"/>
              </w:rPr>
              <w:t>1</w:t>
            </w:r>
          </w:p>
        </w:tc>
        <w:tc>
          <w:tcPr>
            <w:tcW w:w="64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7AB401FA">
            <w:pPr>
              <w:widowControl/>
              <w:spacing w:line="240" w:lineRule="exact"/>
              <w:jc w:val="center"/>
              <w:textAlignment w:val="center"/>
              <w:rPr>
                <w:kern w:val="0"/>
                <w:sz w:val="18"/>
                <w:szCs w:val="18"/>
              </w:rPr>
            </w:pPr>
            <w:r>
              <w:rPr>
                <w:kern w:val="0"/>
                <w:sz w:val="18"/>
                <w:szCs w:val="18"/>
              </w:rPr>
              <w:t>2</w:t>
            </w:r>
          </w:p>
        </w:tc>
        <w:tc>
          <w:tcPr>
            <w:tcW w:w="64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3CF8B639">
            <w:pPr>
              <w:widowControl/>
              <w:spacing w:line="240" w:lineRule="exact"/>
              <w:jc w:val="center"/>
              <w:textAlignment w:val="center"/>
              <w:rPr>
                <w:kern w:val="0"/>
                <w:sz w:val="18"/>
                <w:szCs w:val="18"/>
              </w:rPr>
            </w:pPr>
            <w:r>
              <w:rPr>
                <w:kern w:val="0"/>
                <w:sz w:val="18"/>
                <w:szCs w:val="18"/>
              </w:rPr>
              <w:t>3</w:t>
            </w:r>
          </w:p>
        </w:tc>
        <w:tc>
          <w:tcPr>
            <w:tcW w:w="646" w:type="pct"/>
            <w:tcBorders>
              <w:top w:val="single" w:color="auto" w:sz="2" w:space="0"/>
              <w:left w:val="single" w:color="auto" w:sz="2" w:space="0"/>
              <w:bottom w:val="single" w:color="auto" w:sz="2" w:space="0"/>
              <w:right w:val="single" w:color="auto" w:sz="2" w:space="0"/>
            </w:tcBorders>
            <w:shd w:val="clear" w:color="auto" w:fill="auto"/>
            <w:noWrap/>
            <w:vAlign w:val="center"/>
          </w:tcPr>
          <w:p w14:paraId="2519EF24">
            <w:pPr>
              <w:widowControl/>
              <w:spacing w:line="240" w:lineRule="exact"/>
              <w:jc w:val="center"/>
              <w:textAlignment w:val="center"/>
              <w:rPr>
                <w:kern w:val="0"/>
                <w:sz w:val="18"/>
                <w:szCs w:val="18"/>
              </w:rPr>
            </w:pPr>
            <w:r>
              <w:rPr>
                <w:kern w:val="0"/>
                <w:sz w:val="18"/>
                <w:szCs w:val="18"/>
              </w:rPr>
              <w:t>4</w:t>
            </w:r>
          </w:p>
        </w:tc>
        <w:tc>
          <w:tcPr>
            <w:tcW w:w="646" w:type="pct"/>
            <w:tcBorders>
              <w:top w:val="single" w:color="auto" w:sz="2" w:space="0"/>
              <w:left w:val="single" w:color="auto" w:sz="2" w:space="0"/>
              <w:bottom w:val="single" w:color="auto" w:sz="2" w:space="0"/>
              <w:right w:val="nil"/>
            </w:tcBorders>
            <w:vAlign w:val="center"/>
          </w:tcPr>
          <w:p w14:paraId="1DEDBD9B">
            <w:pPr>
              <w:widowControl/>
              <w:spacing w:line="240" w:lineRule="exact"/>
              <w:jc w:val="center"/>
              <w:textAlignment w:val="center"/>
              <w:rPr>
                <w:kern w:val="0"/>
                <w:sz w:val="18"/>
                <w:szCs w:val="18"/>
              </w:rPr>
            </w:pPr>
            <w:r>
              <w:rPr>
                <w:kern w:val="0"/>
                <w:sz w:val="18"/>
                <w:szCs w:val="18"/>
              </w:rPr>
              <w:t>5</w:t>
            </w:r>
          </w:p>
        </w:tc>
      </w:tr>
      <w:tr w14:paraId="3D7AFA30">
        <w:tblPrEx>
          <w:tblCellMar>
            <w:top w:w="0" w:type="dxa"/>
            <w:left w:w="108" w:type="dxa"/>
            <w:bottom w:w="0" w:type="dxa"/>
            <w:right w:w="108" w:type="dxa"/>
          </w:tblCellMar>
        </w:tblPrEx>
        <w:trPr>
          <w:trHeight w:val="254" w:hRule="atLeast"/>
          <w:jc w:val="center"/>
        </w:trPr>
        <w:tc>
          <w:tcPr>
            <w:tcW w:w="1770" w:type="pct"/>
            <w:tcBorders>
              <w:top w:val="single" w:color="auto" w:sz="2" w:space="0"/>
              <w:left w:val="nil"/>
              <w:bottom w:val="nil"/>
              <w:right w:val="single" w:color="auto" w:sz="2" w:space="0"/>
            </w:tcBorders>
            <w:shd w:val="clear" w:color="auto" w:fill="auto"/>
            <w:noWrap/>
            <w:vAlign w:val="center"/>
          </w:tcPr>
          <w:p w14:paraId="30A38A73">
            <w:pPr>
              <w:widowControl/>
              <w:textAlignment w:val="center"/>
              <w:rPr>
                <w:kern w:val="0"/>
                <w:sz w:val="18"/>
                <w:szCs w:val="18"/>
              </w:rPr>
            </w:pPr>
            <w:r>
              <w:rPr>
                <w:kern w:val="0"/>
                <w:sz w:val="18"/>
                <w:szCs w:val="18"/>
              </w:rPr>
              <w:t>农、林、牧、渔业</w:t>
            </w:r>
          </w:p>
        </w:tc>
        <w:tc>
          <w:tcPr>
            <w:tcW w:w="646" w:type="pct"/>
            <w:vMerge w:val="restart"/>
            <w:tcBorders>
              <w:top w:val="single" w:color="auto" w:sz="2" w:space="0"/>
              <w:left w:val="single" w:color="auto" w:sz="2" w:space="0"/>
              <w:bottom w:val="single" w:color="auto" w:sz="8" w:space="0"/>
              <w:right w:val="single" w:color="auto" w:sz="2" w:space="0"/>
            </w:tcBorders>
            <w:shd w:val="clear" w:color="auto" w:fill="auto"/>
            <w:noWrap/>
            <w:vAlign w:val="center"/>
          </w:tcPr>
          <w:p w14:paraId="68DB8ECA">
            <w:pPr>
              <w:widowControl/>
              <w:jc w:val="center"/>
              <w:textAlignment w:val="center"/>
              <w:rPr>
                <w:kern w:val="0"/>
                <w:sz w:val="18"/>
                <w:szCs w:val="18"/>
              </w:rPr>
            </w:pPr>
          </w:p>
        </w:tc>
        <w:tc>
          <w:tcPr>
            <w:tcW w:w="646" w:type="pct"/>
            <w:vMerge w:val="restart"/>
            <w:tcBorders>
              <w:top w:val="single" w:color="auto" w:sz="2" w:space="0"/>
              <w:left w:val="single" w:color="auto" w:sz="2" w:space="0"/>
              <w:bottom w:val="single" w:color="auto" w:sz="8" w:space="0"/>
              <w:right w:val="single" w:color="auto" w:sz="2" w:space="0"/>
            </w:tcBorders>
            <w:shd w:val="clear" w:color="auto" w:fill="auto"/>
            <w:noWrap/>
            <w:vAlign w:val="center"/>
          </w:tcPr>
          <w:p w14:paraId="562920B0">
            <w:pPr>
              <w:widowControl/>
              <w:jc w:val="center"/>
              <w:textAlignment w:val="center"/>
              <w:rPr>
                <w:kern w:val="0"/>
                <w:sz w:val="18"/>
                <w:szCs w:val="18"/>
              </w:rPr>
            </w:pPr>
          </w:p>
        </w:tc>
        <w:tc>
          <w:tcPr>
            <w:tcW w:w="646" w:type="pct"/>
            <w:vMerge w:val="restart"/>
            <w:tcBorders>
              <w:top w:val="single" w:color="auto" w:sz="2" w:space="0"/>
              <w:left w:val="single" w:color="auto" w:sz="2" w:space="0"/>
              <w:bottom w:val="single" w:color="auto" w:sz="8" w:space="0"/>
              <w:right w:val="single" w:color="auto" w:sz="2" w:space="0"/>
            </w:tcBorders>
            <w:shd w:val="clear" w:color="auto" w:fill="auto"/>
            <w:noWrap/>
            <w:vAlign w:val="center"/>
          </w:tcPr>
          <w:p w14:paraId="1E484A72">
            <w:pPr>
              <w:widowControl/>
              <w:jc w:val="center"/>
              <w:textAlignment w:val="center"/>
              <w:rPr>
                <w:kern w:val="0"/>
                <w:sz w:val="18"/>
                <w:szCs w:val="18"/>
              </w:rPr>
            </w:pPr>
            <w:r>
              <w:rPr>
                <w:kern w:val="0"/>
                <w:sz w:val="18"/>
                <w:szCs w:val="18"/>
              </w:rPr>
              <w:t>3=2/1</w:t>
            </w:r>
          </w:p>
        </w:tc>
        <w:tc>
          <w:tcPr>
            <w:tcW w:w="646" w:type="pct"/>
            <w:vMerge w:val="restart"/>
            <w:tcBorders>
              <w:top w:val="single" w:color="auto" w:sz="2" w:space="0"/>
              <w:left w:val="single" w:color="auto" w:sz="2" w:space="0"/>
              <w:bottom w:val="single" w:color="auto" w:sz="8" w:space="0"/>
              <w:right w:val="single" w:color="auto" w:sz="2" w:space="0"/>
            </w:tcBorders>
            <w:shd w:val="clear" w:color="auto" w:fill="auto"/>
            <w:noWrap/>
            <w:vAlign w:val="center"/>
          </w:tcPr>
          <w:p w14:paraId="50125DBE">
            <w:pPr>
              <w:widowControl/>
              <w:jc w:val="center"/>
              <w:textAlignment w:val="center"/>
              <w:rPr>
                <w:kern w:val="0"/>
                <w:sz w:val="18"/>
                <w:szCs w:val="18"/>
              </w:rPr>
            </w:pPr>
          </w:p>
        </w:tc>
        <w:tc>
          <w:tcPr>
            <w:tcW w:w="646" w:type="pct"/>
            <w:vMerge w:val="restart"/>
            <w:tcBorders>
              <w:top w:val="single" w:color="auto" w:sz="2" w:space="0"/>
              <w:left w:val="single" w:color="auto" w:sz="2" w:space="0"/>
              <w:bottom w:val="single" w:color="auto" w:sz="8" w:space="0"/>
              <w:right w:val="nil"/>
            </w:tcBorders>
            <w:vAlign w:val="center"/>
          </w:tcPr>
          <w:p w14:paraId="61F3C75F">
            <w:pPr>
              <w:widowControl/>
              <w:jc w:val="center"/>
              <w:textAlignment w:val="center"/>
              <w:rPr>
                <w:kern w:val="0"/>
                <w:sz w:val="18"/>
                <w:szCs w:val="18"/>
              </w:rPr>
            </w:pPr>
            <w:r>
              <w:rPr>
                <w:kern w:val="0"/>
                <w:sz w:val="18"/>
                <w:szCs w:val="18"/>
              </w:rPr>
              <w:t>5=3*4</w:t>
            </w:r>
          </w:p>
        </w:tc>
      </w:tr>
      <w:tr w14:paraId="7F2FB89F">
        <w:tblPrEx>
          <w:tblCellMar>
            <w:top w:w="0" w:type="dxa"/>
            <w:left w:w="108" w:type="dxa"/>
            <w:bottom w:w="0" w:type="dxa"/>
            <w:right w:w="108" w:type="dxa"/>
          </w:tblCellMar>
        </w:tblPrEx>
        <w:trPr>
          <w:trHeight w:val="282" w:hRule="atLeast"/>
          <w:jc w:val="center"/>
        </w:trPr>
        <w:tc>
          <w:tcPr>
            <w:tcW w:w="1770" w:type="pct"/>
            <w:tcBorders>
              <w:top w:val="nil"/>
              <w:left w:val="nil"/>
              <w:bottom w:val="nil"/>
              <w:right w:val="single" w:color="auto" w:sz="2" w:space="0"/>
            </w:tcBorders>
            <w:shd w:val="clear" w:color="auto" w:fill="auto"/>
            <w:noWrap/>
            <w:vAlign w:val="center"/>
          </w:tcPr>
          <w:p w14:paraId="4B4E803A">
            <w:pPr>
              <w:widowControl/>
              <w:textAlignment w:val="center"/>
              <w:rPr>
                <w:kern w:val="0"/>
                <w:sz w:val="18"/>
                <w:szCs w:val="18"/>
              </w:rPr>
            </w:pPr>
            <w:r>
              <w:rPr>
                <w:kern w:val="0"/>
                <w:sz w:val="18"/>
                <w:szCs w:val="18"/>
              </w:rPr>
              <w:t>建筑业</w:t>
            </w: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11D74F70">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0AEB8183">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67F5FE2A">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130A9B5C">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nil"/>
            </w:tcBorders>
          </w:tcPr>
          <w:p w14:paraId="7C894784">
            <w:pPr>
              <w:widowControl/>
              <w:jc w:val="center"/>
              <w:textAlignment w:val="center"/>
              <w:rPr>
                <w:kern w:val="0"/>
                <w:sz w:val="18"/>
                <w:szCs w:val="18"/>
              </w:rPr>
            </w:pPr>
          </w:p>
        </w:tc>
      </w:tr>
      <w:tr w14:paraId="434DEF9A">
        <w:tblPrEx>
          <w:tblCellMar>
            <w:top w:w="0" w:type="dxa"/>
            <w:left w:w="108" w:type="dxa"/>
            <w:bottom w:w="0" w:type="dxa"/>
            <w:right w:w="108" w:type="dxa"/>
          </w:tblCellMar>
        </w:tblPrEx>
        <w:trPr>
          <w:trHeight w:val="251" w:hRule="atLeast"/>
          <w:jc w:val="center"/>
        </w:trPr>
        <w:tc>
          <w:tcPr>
            <w:tcW w:w="1770" w:type="pct"/>
            <w:tcBorders>
              <w:top w:val="nil"/>
              <w:left w:val="nil"/>
              <w:bottom w:val="nil"/>
              <w:right w:val="single" w:color="auto" w:sz="2" w:space="0"/>
            </w:tcBorders>
            <w:shd w:val="clear" w:color="auto" w:fill="auto"/>
            <w:noWrap/>
            <w:vAlign w:val="center"/>
          </w:tcPr>
          <w:p w14:paraId="03453E6B">
            <w:pPr>
              <w:widowControl/>
              <w:jc w:val="left"/>
              <w:textAlignment w:val="center"/>
              <w:rPr>
                <w:kern w:val="0"/>
                <w:sz w:val="18"/>
                <w:szCs w:val="18"/>
              </w:rPr>
            </w:pPr>
            <w:r>
              <w:rPr>
                <w:kern w:val="0"/>
                <w:sz w:val="18"/>
                <w:szCs w:val="18"/>
              </w:rPr>
              <w:t>服务业</w:t>
            </w:r>
            <w:r>
              <w:rPr>
                <w:rFonts w:hint="eastAsia"/>
                <w:kern w:val="0"/>
                <w:sz w:val="18"/>
                <w:szCs w:val="18"/>
                <w:vertAlign w:val="superscript"/>
              </w:rPr>
              <w:t>*</w:t>
            </w: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04AD4DBF">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59CEA0DA">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tcPr>
          <w:p w14:paraId="79CD89F8">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tcPr>
          <w:p w14:paraId="4055124B">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nil"/>
            </w:tcBorders>
          </w:tcPr>
          <w:p w14:paraId="7D768804">
            <w:pPr>
              <w:widowControl/>
              <w:jc w:val="center"/>
              <w:textAlignment w:val="center"/>
              <w:rPr>
                <w:kern w:val="0"/>
                <w:sz w:val="18"/>
                <w:szCs w:val="18"/>
              </w:rPr>
            </w:pPr>
          </w:p>
        </w:tc>
      </w:tr>
      <w:tr w14:paraId="10ECBEFD">
        <w:tblPrEx>
          <w:tblCellMar>
            <w:top w:w="0" w:type="dxa"/>
            <w:left w:w="108" w:type="dxa"/>
            <w:bottom w:w="0" w:type="dxa"/>
            <w:right w:w="108" w:type="dxa"/>
          </w:tblCellMar>
        </w:tblPrEx>
        <w:trPr>
          <w:trHeight w:val="258" w:hRule="atLeast"/>
          <w:jc w:val="center"/>
        </w:trPr>
        <w:tc>
          <w:tcPr>
            <w:tcW w:w="1770" w:type="pct"/>
            <w:tcBorders>
              <w:top w:val="nil"/>
              <w:left w:val="nil"/>
              <w:bottom w:val="nil"/>
              <w:right w:val="single" w:color="auto" w:sz="2" w:space="0"/>
            </w:tcBorders>
            <w:shd w:val="clear" w:color="auto" w:fill="auto"/>
            <w:noWrap/>
            <w:vAlign w:val="center"/>
          </w:tcPr>
          <w:p w14:paraId="5D64934C">
            <w:pPr>
              <w:widowControl/>
              <w:jc w:val="left"/>
              <w:textAlignment w:val="center"/>
              <w:rPr>
                <w:kern w:val="0"/>
                <w:sz w:val="18"/>
                <w:szCs w:val="18"/>
              </w:rPr>
            </w:pPr>
            <w:r>
              <w:rPr>
                <w:kern w:val="0"/>
                <w:sz w:val="18"/>
                <w:szCs w:val="18"/>
              </w:rPr>
              <w:t xml:space="preserve">  交通运输、仓储和邮政业</w:t>
            </w: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104D4D85">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69DF3583">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tcPr>
          <w:p w14:paraId="4FDAA5CC">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tcPr>
          <w:p w14:paraId="20484C61">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nil"/>
            </w:tcBorders>
          </w:tcPr>
          <w:p w14:paraId="73F5CFF3">
            <w:pPr>
              <w:widowControl/>
              <w:jc w:val="left"/>
              <w:textAlignment w:val="center"/>
              <w:rPr>
                <w:kern w:val="0"/>
                <w:sz w:val="18"/>
                <w:szCs w:val="18"/>
              </w:rPr>
            </w:pPr>
          </w:p>
        </w:tc>
      </w:tr>
      <w:tr w14:paraId="4A8E3AB5">
        <w:tblPrEx>
          <w:tblCellMar>
            <w:top w:w="0" w:type="dxa"/>
            <w:left w:w="108" w:type="dxa"/>
            <w:bottom w:w="0" w:type="dxa"/>
            <w:right w:w="108" w:type="dxa"/>
          </w:tblCellMar>
        </w:tblPrEx>
        <w:trPr>
          <w:trHeight w:val="265" w:hRule="atLeast"/>
          <w:jc w:val="center"/>
        </w:trPr>
        <w:tc>
          <w:tcPr>
            <w:tcW w:w="1770" w:type="pct"/>
            <w:tcBorders>
              <w:top w:val="nil"/>
              <w:left w:val="nil"/>
              <w:bottom w:val="single" w:color="auto" w:sz="8" w:space="0"/>
              <w:right w:val="single" w:color="auto" w:sz="2" w:space="0"/>
            </w:tcBorders>
            <w:shd w:val="clear" w:color="auto" w:fill="auto"/>
            <w:noWrap/>
            <w:vAlign w:val="center"/>
          </w:tcPr>
          <w:p w14:paraId="3B48935A">
            <w:pPr>
              <w:widowControl/>
              <w:jc w:val="left"/>
              <w:textAlignment w:val="center"/>
              <w:rPr>
                <w:kern w:val="0"/>
                <w:sz w:val="18"/>
                <w:szCs w:val="18"/>
              </w:rPr>
            </w:pPr>
            <w:r>
              <w:rPr>
                <w:kern w:val="0"/>
                <w:sz w:val="18"/>
                <w:szCs w:val="18"/>
              </w:rPr>
              <w:t xml:space="preserve">  服务业</w:t>
            </w:r>
            <w:r>
              <w:rPr>
                <w:kern w:val="0"/>
                <w:sz w:val="18"/>
                <w:szCs w:val="18"/>
                <w:vertAlign w:val="superscript"/>
              </w:rPr>
              <w:t>*</w:t>
            </w:r>
            <w:r>
              <w:rPr>
                <w:rFonts w:hint="eastAsia"/>
                <w:kern w:val="0"/>
                <w:sz w:val="18"/>
                <w:szCs w:val="18"/>
              </w:rPr>
              <w:t>（</w:t>
            </w:r>
            <w:r>
              <w:rPr>
                <w:kern w:val="0"/>
                <w:sz w:val="18"/>
                <w:szCs w:val="18"/>
              </w:rPr>
              <w:t>不含交通运输、仓储和邮政业</w:t>
            </w:r>
            <w:r>
              <w:rPr>
                <w:rFonts w:hint="eastAsia"/>
                <w:kern w:val="0"/>
                <w:sz w:val="18"/>
                <w:szCs w:val="18"/>
              </w:rPr>
              <w:t>）</w:t>
            </w: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2B37D6A4">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7E093E9A">
            <w:pPr>
              <w:widowControl/>
              <w:jc w:val="center"/>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33A86A63">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single" w:color="auto" w:sz="2" w:space="0"/>
            </w:tcBorders>
            <w:shd w:val="clear" w:color="auto" w:fill="auto"/>
            <w:noWrap/>
            <w:vAlign w:val="center"/>
          </w:tcPr>
          <w:p w14:paraId="13544F16">
            <w:pPr>
              <w:widowControl/>
              <w:jc w:val="left"/>
              <w:textAlignment w:val="center"/>
              <w:rPr>
                <w:kern w:val="0"/>
                <w:sz w:val="18"/>
                <w:szCs w:val="18"/>
              </w:rPr>
            </w:pPr>
          </w:p>
        </w:tc>
        <w:tc>
          <w:tcPr>
            <w:tcW w:w="646" w:type="pct"/>
            <w:vMerge w:val="continue"/>
            <w:tcBorders>
              <w:top w:val="single" w:color="auto" w:sz="8" w:space="0"/>
              <w:left w:val="single" w:color="auto" w:sz="2" w:space="0"/>
              <w:bottom w:val="single" w:color="auto" w:sz="8" w:space="0"/>
              <w:right w:val="nil"/>
            </w:tcBorders>
          </w:tcPr>
          <w:p w14:paraId="07488A11">
            <w:pPr>
              <w:widowControl/>
              <w:jc w:val="left"/>
              <w:textAlignment w:val="center"/>
              <w:rPr>
                <w:kern w:val="0"/>
                <w:sz w:val="18"/>
                <w:szCs w:val="18"/>
              </w:rPr>
            </w:pPr>
          </w:p>
        </w:tc>
      </w:tr>
    </w:tbl>
    <w:p w14:paraId="0F9EF025">
      <w:pPr>
        <w:spacing w:line="360" w:lineRule="exact"/>
        <w:ind w:firstLine="424" w:firstLineChars="202"/>
        <w:textAlignment w:val="center"/>
        <w:rPr>
          <w:ins w:id="520" w:author="kylin" w:date="2025-10-20T11:10:06Z"/>
          <w:rFonts w:ascii="宋体" w:hAnsi="宋体"/>
          <w:szCs w:val="21"/>
        </w:rPr>
      </w:pPr>
      <w:r>
        <w:rPr>
          <w:rFonts w:ascii="宋体" w:hAnsi="宋体"/>
          <w:szCs w:val="21"/>
        </w:rPr>
        <w:t>说明</w:t>
      </w:r>
      <w:r>
        <w:rPr>
          <w:szCs w:val="21"/>
        </w:rPr>
        <w:t>：</w:t>
      </w:r>
      <w:r>
        <w:rPr>
          <w:rFonts w:ascii="宋体" w:hAnsi="宋体"/>
          <w:szCs w:val="21"/>
        </w:rPr>
        <w:t>当经济运行正常</w:t>
      </w:r>
      <w:r>
        <w:rPr>
          <w:rFonts w:hint="eastAsia" w:ascii="宋体" w:hAnsi="宋体"/>
          <w:szCs w:val="21"/>
        </w:rPr>
        <w:t>、</w:t>
      </w:r>
      <w:r>
        <w:rPr>
          <w:rFonts w:ascii="宋体" w:hAnsi="宋体"/>
          <w:szCs w:val="21"/>
        </w:rPr>
        <w:t>数据波动较平稳时</w:t>
      </w:r>
      <w:r>
        <w:rPr>
          <w:szCs w:val="21"/>
        </w:rPr>
        <w:t>，</w:t>
      </w:r>
      <w:r>
        <w:rPr>
          <w:rFonts w:ascii="宋体" w:hAnsi="宋体"/>
          <w:szCs w:val="21"/>
        </w:rPr>
        <w:t>采用上年能源消费弹性系数</w:t>
      </w:r>
      <w:r>
        <w:rPr>
          <w:szCs w:val="21"/>
        </w:rPr>
        <w:t>；</w:t>
      </w:r>
      <w:r>
        <w:rPr>
          <w:rFonts w:ascii="宋体" w:hAnsi="宋体"/>
          <w:szCs w:val="21"/>
        </w:rPr>
        <w:t>当经济运行不正常</w:t>
      </w:r>
      <w:r>
        <w:rPr>
          <w:szCs w:val="21"/>
        </w:rPr>
        <w:t>，</w:t>
      </w:r>
      <w:r>
        <w:rPr>
          <w:rFonts w:ascii="宋体" w:hAnsi="宋体"/>
          <w:szCs w:val="21"/>
        </w:rPr>
        <w:t>或部分行业上年弹性系数为负、弹性系数过大及弹性系数接近零的情况下</w:t>
      </w:r>
      <w:r>
        <w:rPr>
          <w:szCs w:val="21"/>
        </w:rPr>
        <w:t>，</w:t>
      </w:r>
      <w:r>
        <w:rPr>
          <w:rFonts w:ascii="宋体" w:hAnsi="宋体"/>
          <w:szCs w:val="21"/>
        </w:rPr>
        <w:t>可采用</w:t>
      </w:r>
      <w:r>
        <w:rPr>
          <w:rFonts w:hint="eastAsia" w:ascii="宋体" w:hAnsi="宋体"/>
          <w:szCs w:val="21"/>
        </w:rPr>
        <w:t>往年</w:t>
      </w:r>
      <w:r>
        <w:rPr>
          <w:rFonts w:ascii="宋体" w:hAnsi="宋体"/>
          <w:szCs w:val="21"/>
        </w:rPr>
        <w:t>弹性系数。</w:t>
      </w:r>
    </w:p>
    <w:p w14:paraId="4F7ED8E7">
      <w:pPr>
        <w:spacing w:line="360" w:lineRule="exact"/>
        <w:ind w:right="-40" w:firstLine="420" w:firstLineChars="200"/>
        <w:textAlignment w:val="center"/>
        <w:rPr>
          <w:ins w:id="522" w:author="kylin" w:date="2025-10-20T11:10:07Z"/>
          <w:rFonts w:hint="eastAsia" w:ascii="宋体" w:hAnsi="宋体" w:eastAsia="宋体" w:cs="Times New Roman"/>
          <w:sz w:val="21"/>
          <w:szCs w:val="21"/>
          <w:lang w:eastAsia="zh-CN"/>
          <w:rPrChange w:id="523" w:author="kylin" w:date="2025-10-20T11:10:17Z">
            <w:rPr>
              <w:ins w:id="524" w:author="kylin" w:date="2025-10-20T11:10:07Z"/>
              <w:rFonts w:hint="eastAsia" w:ascii="仿宋_GB2312" w:hAnsi="仿宋_GB2312" w:eastAsia="仿宋_GB2312" w:cs="仿宋_GB2312"/>
              <w:sz w:val="32"/>
              <w:szCs w:val="32"/>
              <w:lang w:eastAsia="zh-CN"/>
            </w:rPr>
          </w:rPrChange>
        </w:rPr>
        <w:pPrChange w:id="521" w:author="kylin" w:date="2025-10-20T11:10:17Z">
          <w:pPr>
            <w:ind w:firstLine="640" w:firstLineChars="200"/>
          </w:pPr>
        </w:pPrChange>
      </w:pPr>
      <w:ins w:id="525" w:author="kylin" w:date="2025-10-20T11:10:07Z">
        <w:r>
          <w:rPr>
            <w:rFonts w:hint="eastAsia" w:ascii="宋体" w:hAnsi="宋体" w:eastAsia="宋体" w:cs="Times New Roman"/>
            <w:sz w:val="21"/>
            <w:szCs w:val="21"/>
            <w:lang w:val="en-US" w:eastAsia="zh-CN"/>
            <w:rPrChange w:id="526" w:author="kylin" w:date="2025-10-20T11:10:17Z">
              <w:rPr>
                <w:rFonts w:hint="eastAsia" w:ascii="仿宋_GB2312" w:hAnsi="仿宋_GB2312" w:eastAsia="仿宋_GB2312" w:cs="仿宋_GB2312"/>
                <w:sz w:val="32"/>
                <w:szCs w:val="32"/>
                <w:lang w:val="en-US" w:eastAsia="zh-CN"/>
              </w:rPr>
            </w:rPrChange>
          </w:rPr>
          <w:t>4</w:t>
        </w:r>
      </w:ins>
      <w:ins w:id="527" w:author="kylin" w:date="2025-10-20T11:10:07Z">
        <w:r>
          <w:rPr>
            <w:rFonts w:hint="eastAsia" w:ascii="宋体" w:hAnsi="宋体" w:eastAsia="宋体" w:cs="Times New Roman"/>
            <w:sz w:val="21"/>
            <w:szCs w:val="21"/>
            <w:lang w:eastAsia="zh-CN"/>
            <w:rPrChange w:id="528" w:author="kylin" w:date="2025-10-20T11:10:17Z">
              <w:rPr>
                <w:rFonts w:hint="eastAsia" w:ascii="仿宋_GB2312" w:hAnsi="仿宋_GB2312" w:eastAsia="仿宋_GB2312" w:cs="仿宋_GB2312"/>
                <w:sz w:val="32"/>
                <w:szCs w:val="32"/>
                <w:lang w:eastAsia="zh-CN"/>
              </w:rPr>
            </w:rPrChange>
          </w:rPr>
          <w:t>.核算方法四（电力增速推算法）：使用本期用电量增速、上年用电量占能源消费量比重核算。</w:t>
        </w:r>
      </w:ins>
    </w:p>
    <w:p w14:paraId="52DF46FF">
      <w:pPr>
        <w:spacing w:line="360" w:lineRule="exact"/>
        <w:ind w:right="-40" w:firstLine="420" w:firstLineChars="200"/>
        <w:textAlignment w:val="center"/>
        <w:rPr>
          <w:ins w:id="530" w:author="kylin" w:date="2025-10-20T11:10:07Z"/>
          <w:rFonts w:hint="eastAsia" w:ascii="宋体" w:hAnsi="宋体" w:eastAsia="宋体" w:cs="Times New Roman"/>
          <w:sz w:val="21"/>
          <w:szCs w:val="21"/>
          <w:lang w:eastAsia="zh-CN"/>
          <w:rPrChange w:id="531" w:author="kylin" w:date="2025-10-20T11:10:17Z">
            <w:rPr>
              <w:ins w:id="532" w:author="kylin" w:date="2025-10-20T11:10:07Z"/>
              <w:rFonts w:hint="eastAsia" w:ascii="仿宋_GB2312" w:hAnsi="仿宋_GB2312" w:eastAsia="仿宋_GB2312" w:cs="仿宋_GB2312"/>
              <w:sz w:val="32"/>
              <w:szCs w:val="32"/>
              <w:lang w:eastAsia="zh-CN"/>
            </w:rPr>
          </w:rPrChange>
        </w:rPr>
        <w:pPrChange w:id="529" w:author="kylin" w:date="2025-10-20T11:10:17Z">
          <w:pPr>
            <w:ind w:firstLine="640" w:firstLineChars="200"/>
          </w:pPr>
        </w:pPrChange>
      </w:pPr>
      <w:ins w:id="533" w:author="kylin" w:date="2025-10-20T11:10:07Z">
        <w:r>
          <w:rPr>
            <w:rFonts w:hint="eastAsia" w:ascii="宋体" w:hAnsi="宋体" w:eastAsia="宋体" w:cs="Times New Roman"/>
            <w:sz w:val="21"/>
            <w:szCs w:val="21"/>
            <w:lang w:eastAsia="zh-CN"/>
            <w:rPrChange w:id="534" w:author="kylin" w:date="2025-10-20T11:10:17Z">
              <w:rPr>
                <w:rFonts w:hint="eastAsia" w:ascii="仿宋_GB2312" w:hAnsi="仿宋_GB2312" w:eastAsia="仿宋_GB2312" w:cs="仿宋_GB2312"/>
                <w:sz w:val="32"/>
                <w:szCs w:val="32"/>
                <w:lang w:eastAsia="zh-CN"/>
              </w:rPr>
            </w:rPrChange>
          </w:rPr>
          <w:t>本期能源消费量增速=本期用电量增速×上年用电量占能源消费量比重</w:t>
        </w:r>
      </w:ins>
    </w:p>
    <w:p w14:paraId="2E725B80">
      <w:pPr>
        <w:spacing w:line="360" w:lineRule="exact"/>
        <w:ind w:right="-40" w:firstLine="420" w:firstLineChars="200"/>
        <w:textAlignment w:val="center"/>
        <w:rPr>
          <w:ins w:id="536" w:author="kylin" w:date="2025-10-20T11:10:07Z"/>
          <w:rFonts w:hint="eastAsia" w:ascii="宋体" w:hAnsi="宋体" w:eastAsia="宋体" w:cs="Times New Roman"/>
          <w:sz w:val="21"/>
          <w:szCs w:val="21"/>
          <w:lang w:eastAsia="zh-CN"/>
          <w:rPrChange w:id="537" w:author="kylin" w:date="2025-10-20T11:10:17Z">
            <w:rPr>
              <w:ins w:id="538" w:author="kylin" w:date="2025-10-20T11:10:07Z"/>
              <w:rFonts w:hint="eastAsia" w:ascii="仿宋_GB2312" w:hAnsi="仿宋_GB2312" w:eastAsia="仿宋_GB2312" w:cs="仿宋_GB2312"/>
              <w:sz w:val="32"/>
              <w:szCs w:val="32"/>
              <w:lang w:eastAsia="zh-CN"/>
            </w:rPr>
          </w:rPrChange>
        </w:rPr>
        <w:pPrChange w:id="535" w:author="kylin" w:date="2025-10-20T11:10:17Z">
          <w:pPr>
            <w:ind w:firstLine="640" w:firstLineChars="200"/>
          </w:pPr>
        </w:pPrChange>
      </w:pPr>
      <w:ins w:id="539" w:author="kylin" w:date="2025-10-20T11:10:07Z">
        <w:r>
          <w:rPr>
            <w:rFonts w:hint="eastAsia" w:ascii="宋体" w:hAnsi="宋体" w:eastAsia="宋体" w:cs="Times New Roman"/>
            <w:sz w:val="21"/>
            <w:szCs w:val="21"/>
            <w:lang w:eastAsia="zh-CN"/>
            <w:rPrChange w:id="540" w:author="kylin" w:date="2025-10-20T11:10:17Z">
              <w:rPr>
                <w:rFonts w:hint="eastAsia" w:ascii="仿宋_GB2312" w:hAnsi="仿宋_GB2312" w:eastAsia="仿宋_GB2312" w:cs="仿宋_GB2312"/>
                <w:sz w:val="32"/>
                <w:szCs w:val="32"/>
                <w:lang w:eastAsia="zh-CN"/>
              </w:rPr>
            </w:rPrChange>
          </w:rPr>
          <w:t>其中：</w:t>
        </w:r>
      </w:ins>
    </w:p>
    <w:p w14:paraId="467B9AFA">
      <w:pPr>
        <w:spacing w:line="360" w:lineRule="exact"/>
        <w:ind w:right="-40" w:firstLine="420" w:firstLineChars="200"/>
        <w:textAlignment w:val="center"/>
        <w:rPr>
          <w:ins w:id="542" w:author="kylin" w:date="2025-10-20T11:10:07Z"/>
          <w:rFonts w:hint="eastAsia" w:ascii="宋体" w:hAnsi="宋体" w:eastAsia="宋体" w:cs="Times New Roman"/>
          <w:sz w:val="21"/>
          <w:szCs w:val="21"/>
          <w:lang w:eastAsia="zh-CN"/>
          <w:rPrChange w:id="543" w:author="kylin" w:date="2025-10-20T11:10:17Z">
            <w:rPr>
              <w:ins w:id="544" w:author="kylin" w:date="2025-10-20T11:10:07Z"/>
              <w:rFonts w:hint="eastAsia" w:ascii="仿宋_GB2312" w:hAnsi="仿宋_GB2312" w:eastAsia="仿宋_GB2312" w:cs="仿宋_GB2312"/>
              <w:sz w:val="32"/>
              <w:szCs w:val="32"/>
              <w:lang w:eastAsia="zh-CN"/>
            </w:rPr>
          </w:rPrChange>
        </w:rPr>
        <w:pPrChange w:id="541" w:author="kylin" w:date="2025-10-20T11:10:17Z">
          <w:pPr>
            <w:ind w:firstLine="640" w:firstLineChars="200"/>
          </w:pPr>
        </w:pPrChange>
      </w:pPr>
      <w:ins w:id="545" w:author="kylin" w:date="2025-10-20T11:10:07Z">
        <w:r>
          <w:rPr>
            <w:rFonts w:hint="eastAsia" w:ascii="宋体" w:hAnsi="宋体" w:eastAsia="宋体" w:cs="Times New Roman"/>
            <w:sz w:val="21"/>
            <w:szCs w:val="21"/>
            <w:lang w:eastAsia="zh-CN"/>
            <w:rPrChange w:id="546" w:author="kylin" w:date="2025-10-20T11:10:17Z">
              <w:rPr>
                <w:rFonts w:hint="eastAsia" w:ascii="仿宋_GB2312" w:hAnsi="仿宋_GB2312" w:eastAsia="仿宋_GB2312" w:cs="仿宋_GB2312"/>
                <w:sz w:val="32"/>
                <w:szCs w:val="32"/>
                <w:lang w:eastAsia="zh-CN"/>
              </w:rPr>
            </w:rPrChange>
          </w:rPr>
          <w:t>（1）“本期用电量增速”是指各行业和居民生活本期用电量增速。</w:t>
        </w:r>
      </w:ins>
    </w:p>
    <w:p w14:paraId="6B3FDA00">
      <w:pPr>
        <w:spacing w:line="360" w:lineRule="exact"/>
        <w:ind w:right="-40" w:firstLine="420" w:firstLineChars="200"/>
        <w:jc w:val="left"/>
        <w:textAlignment w:val="center"/>
        <w:rPr>
          <w:ins w:id="548" w:author="kylin" w:date="2025-10-20T11:10:07Z"/>
          <w:rFonts w:hint="eastAsia" w:ascii="宋体" w:hAnsi="宋体"/>
          <w:spacing w:val="8"/>
          <w:sz w:val="18"/>
          <w:szCs w:val="18"/>
        </w:rPr>
        <w:pPrChange w:id="547" w:author="kylin" w:date="2025-10-20T11:10:26Z">
          <w:pPr>
            <w:spacing w:line="300" w:lineRule="exact"/>
            <w:jc w:val="left"/>
            <w:textAlignment w:val="center"/>
          </w:pPr>
        </w:pPrChange>
      </w:pPr>
      <w:ins w:id="549" w:author="kylin" w:date="2025-10-20T11:10:07Z">
        <w:r>
          <w:rPr>
            <w:rFonts w:hint="eastAsia" w:ascii="宋体" w:hAnsi="宋体" w:eastAsia="宋体" w:cs="Times New Roman"/>
            <w:sz w:val="21"/>
            <w:szCs w:val="21"/>
            <w:lang w:eastAsia="zh-CN"/>
            <w:rPrChange w:id="550" w:author="kylin" w:date="2025-10-20T11:10:17Z">
              <w:rPr>
                <w:rFonts w:hint="eastAsia" w:ascii="仿宋_GB2312" w:hAnsi="仿宋_GB2312" w:eastAsia="仿宋_GB2312" w:cs="仿宋_GB2312"/>
                <w:sz w:val="32"/>
                <w:szCs w:val="32"/>
                <w:lang w:eastAsia="zh-CN"/>
              </w:rPr>
            </w:rPrChange>
          </w:rPr>
          <w:t>（</w:t>
        </w:r>
      </w:ins>
      <w:ins w:id="551" w:author="kylin" w:date="2025-10-20T11:10:07Z">
        <w:r>
          <w:rPr>
            <w:rFonts w:hint="eastAsia" w:ascii="宋体" w:hAnsi="宋体" w:eastAsia="宋体" w:cs="Times New Roman"/>
            <w:sz w:val="21"/>
            <w:szCs w:val="21"/>
            <w:lang w:val="en-US" w:eastAsia="zh-CN"/>
            <w:rPrChange w:id="552" w:author="kylin" w:date="2025-10-20T11:10:17Z">
              <w:rPr>
                <w:rFonts w:hint="eastAsia" w:ascii="仿宋_GB2312" w:hAnsi="仿宋_GB2312" w:eastAsia="仿宋_GB2312" w:cs="仿宋_GB2312"/>
                <w:sz w:val="32"/>
                <w:szCs w:val="32"/>
                <w:lang w:val="en-US" w:eastAsia="zh-CN"/>
              </w:rPr>
            </w:rPrChange>
          </w:rPr>
          <w:t>2</w:t>
        </w:r>
      </w:ins>
      <w:ins w:id="553" w:author="kylin" w:date="2025-10-20T11:10:07Z">
        <w:r>
          <w:rPr>
            <w:rFonts w:hint="eastAsia" w:ascii="宋体" w:hAnsi="宋体" w:eastAsia="宋体" w:cs="Times New Roman"/>
            <w:sz w:val="21"/>
            <w:szCs w:val="21"/>
            <w:lang w:eastAsia="zh-CN"/>
            <w:rPrChange w:id="554" w:author="kylin" w:date="2025-10-20T11:10:17Z">
              <w:rPr>
                <w:rFonts w:hint="eastAsia" w:ascii="仿宋_GB2312" w:hAnsi="仿宋_GB2312" w:eastAsia="仿宋_GB2312" w:cs="仿宋_GB2312"/>
                <w:sz w:val="32"/>
                <w:szCs w:val="32"/>
                <w:lang w:eastAsia="zh-CN"/>
              </w:rPr>
            </w:rPrChange>
          </w:rPr>
          <w:t>）“上年用电量占能源消费量比重”是指上年能源平衡表中各行业和居民生活用电量占该行业和居民生活能源消费量的比重。</w:t>
        </w:r>
      </w:ins>
    </w:p>
    <w:p w14:paraId="3E2949D6">
      <w:pPr>
        <w:spacing w:line="300" w:lineRule="exact"/>
        <w:jc w:val="left"/>
        <w:textAlignment w:val="center"/>
        <w:rPr>
          <w:ins w:id="555" w:author="kylin" w:date="2025-10-20T11:10:07Z"/>
          <w:rFonts w:hint="eastAsia" w:ascii="宋体" w:hAnsi="宋体" w:eastAsia="宋体"/>
          <w:spacing w:val="8"/>
          <w:sz w:val="18"/>
          <w:szCs w:val="18"/>
          <w:lang w:eastAsia="zh-CN"/>
        </w:rPr>
      </w:pPr>
      <w:ins w:id="556" w:author="kylin" w:date="2025-10-20T11:10:07Z">
        <w:r>
          <w:rPr>
            <w:rFonts w:hint="eastAsia" w:ascii="宋体" w:hAnsi="宋体"/>
            <w:spacing w:val="8"/>
            <w:sz w:val="18"/>
            <w:szCs w:val="18"/>
          </w:rPr>
          <w:t>表</w:t>
        </w:r>
      </w:ins>
      <w:ins w:id="557" w:author="kylin" w:date="2025-10-20T11:10:07Z">
        <w:r>
          <w:rPr>
            <w:rFonts w:hint="eastAsia" w:ascii="宋体" w:hAnsi="宋体"/>
            <w:spacing w:val="8"/>
            <w:sz w:val="18"/>
            <w:szCs w:val="18"/>
            <w:lang w:val="en-US" w:eastAsia="zh-CN"/>
          </w:rPr>
          <w:t>4</w:t>
        </w:r>
      </w:ins>
    </w:p>
    <w:tbl>
      <w:tblPr>
        <w:tblStyle w:val="20"/>
        <w:tblW w:w="950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Change w:id="558" w:author="kylin" w:date="2025-10-27T16:27:42Z">
          <w:tblPr>
            <w:tblStyle w:val="20"/>
            <w:tblW w:w="809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PrChange>
      </w:tblPr>
      <w:tblGrid>
        <w:gridCol w:w="5117"/>
        <w:gridCol w:w="1484"/>
        <w:gridCol w:w="1417"/>
        <w:gridCol w:w="1485"/>
        <w:tblGridChange w:id="559">
          <w:tblGrid>
            <w:gridCol w:w="3710"/>
            <w:gridCol w:w="1484"/>
            <w:gridCol w:w="1417"/>
            <w:gridCol w:w="1485"/>
          </w:tblGrid>
        </w:tblGridChange>
      </w:tblGrid>
      <w:tr w14:paraId="188B72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561" w:author="kylin" w:date="2025-10-27T16:27:42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832" w:hRule="atLeast"/>
          <w:jc w:val="center"/>
          <w:ins w:id="560" w:author="kylin" w:date="2025-10-20T11:10:07Z"/>
          <w:trPrChange w:id="561" w:author="kylin" w:date="2025-10-27T16:27:42Z">
            <w:trPr>
              <w:jc w:val="center"/>
            </w:trPr>
          </w:trPrChange>
        </w:trPr>
        <w:tc>
          <w:tcPr>
            <w:tcW w:w="5117" w:type="dxa"/>
            <w:noWrap w:val="0"/>
            <w:vAlign w:val="center"/>
            <w:tcPrChange w:id="562" w:author="kylin" w:date="2025-10-27T16:27:42Z">
              <w:tcPr>
                <w:tcW w:w="3710" w:type="dxa"/>
                <w:noWrap w:val="0"/>
                <w:vAlign w:val="center"/>
              </w:tcPr>
            </w:tcPrChange>
          </w:tcPr>
          <w:p w14:paraId="6319353C">
            <w:pPr>
              <w:spacing w:line="240" w:lineRule="exact"/>
              <w:jc w:val="center"/>
              <w:textAlignment w:val="center"/>
              <w:rPr>
                <w:ins w:id="563" w:author="kylin" w:date="2025-10-20T11:10:07Z"/>
                <w:spacing w:val="8"/>
                <w:sz w:val="18"/>
                <w:szCs w:val="18"/>
              </w:rPr>
            </w:pPr>
            <w:ins w:id="564" w:author="kylin" w:date="2025-10-20T11:10:07Z">
              <w:r>
                <w:rPr>
                  <w:spacing w:val="8"/>
                  <w:sz w:val="18"/>
                  <w:szCs w:val="18"/>
                </w:rPr>
                <w:t>指标名称</w:t>
              </w:r>
            </w:ins>
          </w:p>
        </w:tc>
        <w:tc>
          <w:tcPr>
            <w:tcW w:w="1484" w:type="dxa"/>
            <w:noWrap w:val="0"/>
            <w:tcMar>
              <w:left w:w="0" w:type="dxa"/>
              <w:right w:w="0" w:type="dxa"/>
            </w:tcMar>
            <w:vAlign w:val="center"/>
            <w:tcPrChange w:id="565" w:author="kylin" w:date="2025-10-27T16:27:42Z">
              <w:tcPr>
                <w:tcW w:w="1484" w:type="dxa"/>
                <w:noWrap w:val="0"/>
                <w:tcMar>
                  <w:left w:w="0" w:type="dxa"/>
                  <w:right w:w="0" w:type="dxa"/>
                </w:tcMar>
                <w:vAlign w:val="center"/>
              </w:tcPr>
            </w:tcPrChange>
          </w:tcPr>
          <w:p w14:paraId="0F0C8D0E">
            <w:pPr>
              <w:spacing w:line="220" w:lineRule="exact"/>
              <w:jc w:val="center"/>
              <w:textAlignment w:val="center"/>
              <w:rPr>
                <w:ins w:id="566" w:author="kylin" w:date="2025-10-20T11:10:07Z"/>
                <w:rFonts w:hint="eastAsia" w:ascii="宋体" w:hAnsi="宋体" w:eastAsia="宋体"/>
                <w:kern w:val="13"/>
                <w:sz w:val="18"/>
                <w:szCs w:val="18"/>
                <w:lang w:eastAsia="zh-CN"/>
              </w:rPr>
            </w:pPr>
            <w:ins w:id="567" w:author="kylin" w:date="2025-10-20T11:10:07Z">
              <w:r>
                <w:rPr>
                  <w:rFonts w:hint="eastAsia" w:ascii="宋体" w:hAnsi="宋体"/>
                  <w:kern w:val="13"/>
                  <w:sz w:val="18"/>
                  <w:szCs w:val="18"/>
                </w:rPr>
                <w:t>本期用电量</w:t>
              </w:r>
            </w:ins>
            <w:ins w:id="568" w:author="kylin" w:date="2025-10-20T11:10:07Z">
              <w:r>
                <w:rPr>
                  <w:rFonts w:hint="eastAsia" w:ascii="宋体" w:hAnsi="宋体"/>
                  <w:kern w:val="13"/>
                  <w:sz w:val="18"/>
                  <w:szCs w:val="18"/>
                  <w:lang w:eastAsia="zh-CN"/>
                </w:rPr>
                <w:t>增速</w:t>
              </w:r>
            </w:ins>
          </w:p>
          <w:p w14:paraId="7CED482F">
            <w:pPr>
              <w:spacing w:line="220" w:lineRule="exact"/>
              <w:jc w:val="center"/>
              <w:textAlignment w:val="center"/>
              <w:rPr>
                <w:ins w:id="569" w:author="kylin" w:date="2025-10-20T11:10:07Z"/>
                <w:rFonts w:ascii="宋体" w:hAnsi="宋体"/>
                <w:kern w:val="13"/>
                <w:sz w:val="18"/>
                <w:szCs w:val="18"/>
              </w:rPr>
            </w:pPr>
            <w:ins w:id="570" w:author="kylin" w:date="2025-10-20T11:10:07Z">
              <w:r>
                <w:rPr>
                  <w:rFonts w:hint="eastAsia" w:ascii="宋体" w:hAnsi="宋体"/>
                  <w:kern w:val="13"/>
                  <w:sz w:val="18"/>
                  <w:szCs w:val="18"/>
                </w:rPr>
                <w:t>（</w:t>
              </w:r>
            </w:ins>
            <w:ins w:id="571" w:author="kylin" w:date="2025-10-20T11:10:07Z">
              <w:r>
                <w:rPr>
                  <w:rFonts w:hint="eastAsia" w:ascii="宋体" w:hAnsi="宋体"/>
                  <w:kern w:val="13"/>
                  <w:sz w:val="18"/>
                  <w:szCs w:val="18"/>
                  <w:lang w:val="en-US" w:eastAsia="zh-CN"/>
                </w:rPr>
                <w:t>%</w:t>
              </w:r>
            </w:ins>
            <w:ins w:id="572" w:author="kylin" w:date="2025-10-20T11:10:07Z">
              <w:r>
                <w:rPr>
                  <w:rFonts w:hint="eastAsia" w:ascii="宋体" w:hAnsi="宋体"/>
                  <w:kern w:val="13"/>
                  <w:sz w:val="18"/>
                  <w:szCs w:val="18"/>
                </w:rPr>
                <w:t>）</w:t>
              </w:r>
            </w:ins>
          </w:p>
        </w:tc>
        <w:tc>
          <w:tcPr>
            <w:tcW w:w="1417" w:type="dxa"/>
            <w:noWrap w:val="0"/>
            <w:vAlign w:val="center"/>
            <w:tcPrChange w:id="573" w:author="kylin" w:date="2025-10-27T16:27:42Z">
              <w:tcPr>
                <w:tcW w:w="1417" w:type="dxa"/>
                <w:noWrap w:val="0"/>
                <w:vAlign w:val="center"/>
              </w:tcPr>
            </w:tcPrChange>
          </w:tcPr>
          <w:p w14:paraId="29B7115A">
            <w:pPr>
              <w:spacing w:line="220" w:lineRule="exact"/>
              <w:jc w:val="center"/>
              <w:textAlignment w:val="center"/>
              <w:rPr>
                <w:ins w:id="574" w:author="kylin" w:date="2025-10-20T11:10:07Z"/>
                <w:rFonts w:ascii="宋体" w:hAnsi="宋体"/>
                <w:kern w:val="13"/>
                <w:sz w:val="18"/>
                <w:szCs w:val="18"/>
              </w:rPr>
            </w:pPr>
            <w:ins w:id="575" w:author="kylin" w:date="2025-10-20T11:10:07Z">
              <w:r>
                <w:rPr>
                  <w:rFonts w:hint="eastAsia" w:ascii="宋体" w:hAnsi="宋体"/>
                  <w:kern w:val="13"/>
                  <w:sz w:val="18"/>
                  <w:szCs w:val="18"/>
                </w:rPr>
                <w:t>上年用电量占能源消费量</w:t>
              </w:r>
            </w:ins>
          </w:p>
          <w:p w14:paraId="3F5C9D5D">
            <w:pPr>
              <w:spacing w:line="220" w:lineRule="exact"/>
              <w:jc w:val="center"/>
              <w:textAlignment w:val="center"/>
              <w:rPr>
                <w:ins w:id="576" w:author="kylin" w:date="2025-10-20T11:10:07Z"/>
                <w:rFonts w:ascii="宋体" w:hAnsi="宋体"/>
                <w:kern w:val="13"/>
                <w:sz w:val="18"/>
                <w:szCs w:val="18"/>
              </w:rPr>
            </w:pPr>
            <w:ins w:id="577" w:author="kylin" w:date="2025-10-20T11:10:07Z">
              <w:r>
                <w:rPr>
                  <w:rFonts w:hint="eastAsia" w:ascii="宋体" w:hAnsi="宋体"/>
                  <w:kern w:val="13"/>
                  <w:sz w:val="18"/>
                  <w:szCs w:val="18"/>
                </w:rPr>
                <w:t>比重（%）</w:t>
              </w:r>
            </w:ins>
          </w:p>
        </w:tc>
        <w:tc>
          <w:tcPr>
            <w:tcW w:w="1485" w:type="dxa"/>
            <w:noWrap w:val="0"/>
            <w:vAlign w:val="center"/>
            <w:tcPrChange w:id="578" w:author="kylin" w:date="2025-10-27T16:27:42Z">
              <w:tcPr>
                <w:tcW w:w="1485" w:type="dxa"/>
                <w:noWrap w:val="0"/>
                <w:vAlign w:val="center"/>
              </w:tcPr>
            </w:tcPrChange>
          </w:tcPr>
          <w:p w14:paraId="295BDB90">
            <w:pPr>
              <w:widowControl/>
              <w:jc w:val="center"/>
              <w:textAlignment w:val="center"/>
              <w:rPr>
                <w:ins w:id="579" w:author="kylin" w:date="2025-10-20T11:10:07Z"/>
                <w:kern w:val="0"/>
                <w:sz w:val="18"/>
                <w:szCs w:val="18"/>
              </w:rPr>
            </w:pPr>
            <w:ins w:id="580" w:author="kylin" w:date="2025-10-20T11:10:07Z">
              <w:r>
                <w:rPr>
                  <w:kern w:val="0"/>
                  <w:sz w:val="18"/>
                  <w:szCs w:val="18"/>
                </w:rPr>
                <w:t>本期能源消费量增速</w:t>
              </w:r>
            </w:ins>
          </w:p>
          <w:p w14:paraId="0712B4AB">
            <w:pPr>
              <w:spacing w:line="220" w:lineRule="exact"/>
              <w:jc w:val="center"/>
              <w:textAlignment w:val="center"/>
              <w:rPr>
                <w:ins w:id="581" w:author="kylin" w:date="2025-10-20T11:10:07Z"/>
                <w:rFonts w:ascii="宋体" w:hAnsi="宋体"/>
                <w:kern w:val="13"/>
                <w:sz w:val="18"/>
                <w:szCs w:val="18"/>
              </w:rPr>
            </w:pPr>
            <w:ins w:id="582" w:author="kylin" w:date="2025-10-20T11:10:07Z">
              <w:r>
                <w:rPr>
                  <w:kern w:val="0"/>
                  <w:sz w:val="18"/>
                  <w:szCs w:val="18"/>
                </w:rPr>
                <w:t>（</w:t>
              </w:r>
            </w:ins>
            <w:ins w:id="583" w:author="kylin" w:date="2025-10-20T11:10:07Z">
              <w:r>
                <w:rPr>
                  <w:rFonts w:ascii="宋体" w:hAnsi="宋体"/>
                  <w:kern w:val="0"/>
                  <w:sz w:val="18"/>
                  <w:szCs w:val="18"/>
                </w:rPr>
                <w:t>%</w:t>
              </w:r>
            </w:ins>
            <w:ins w:id="584" w:author="kylin" w:date="2025-10-20T11:10:07Z">
              <w:r>
                <w:rPr>
                  <w:kern w:val="0"/>
                  <w:sz w:val="18"/>
                  <w:szCs w:val="18"/>
                </w:rPr>
                <w:t>）</w:t>
              </w:r>
            </w:ins>
          </w:p>
        </w:tc>
      </w:tr>
      <w:tr w14:paraId="1BD3BA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586" w:author="kylin" w:date="2025-10-27T16:27:42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325" w:hRule="atLeast"/>
          <w:jc w:val="center"/>
          <w:ins w:id="585" w:author="kylin" w:date="2025-10-20T11:10:07Z"/>
          <w:trPrChange w:id="586" w:author="kylin" w:date="2025-10-27T16:27:42Z">
            <w:trPr>
              <w:jc w:val="center"/>
            </w:trPr>
          </w:trPrChange>
        </w:trPr>
        <w:tc>
          <w:tcPr>
            <w:tcW w:w="5117" w:type="dxa"/>
            <w:noWrap w:val="0"/>
            <w:vAlign w:val="center"/>
            <w:tcPrChange w:id="587" w:author="kylin" w:date="2025-10-27T16:27:42Z">
              <w:tcPr>
                <w:tcW w:w="3710" w:type="dxa"/>
                <w:noWrap w:val="0"/>
                <w:vAlign w:val="center"/>
              </w:tcPr>
            </w:tcPrChange>
          </w:tcPr>
          <w:p w14:paraId="2CE3FA47">
            <w:pPr>
              <w:spacing w:line="240" w:lineRule="exact"/>
              <w:jc w:val="center"/>
              <w:textAlignment w:val="center"/>
              <w:rPr>
                <w:ins w:id="588" w:author="kylin" w:date="2025-10-20T11:10:07Z"/>
                <w:spacing w:val="8"/>
                <w:sz w:val="18"/>
                <w:szCs w:val="18"/>
              </w:rPr>
            </w:pPr>
            <w:ins w:id="589" w:author="kylin" w:date="2025-10-20T11:10:07Z">
              <w:r>
                <w:rPr>
                  <w:spacing w:val="8"/>
                  <w:sz w:val="18"/>
                  <w:szCs w:val="18"/>
                </w:rPr>
                <w:t>甲</w:t>
              </w:r>
            </w:ins>
          </w:p>
        </w:tc>
        <w:tc>
          <w:tcPr>
            <w:tcW w:w="1484" w:type="dxa"/>
            <w:noWrap w:val="0"/>
            <w:vAlign w:val="center"/>
            <w:tcPrChange w:id="590" w:author="kylin" w:date="2025-10-27T16:27:42Z">
              <w:tcPr>
                <w:tcW w:w="1484" w:type="dxa"/>
                <w:noWrap w:val="0"/>
                <w:vAlign w:val="center"/>
              </w:tcPr>
            </w:tcPrChange>
          </w:tcPr>
          <w:p w14:paraId="6FA789A2">
            <w:pPr>
              <w:spacing w:line="240" w:lineRule="exact"/>
              <w:jc w:val="center"/>
              <w:textAlignment w:val="center"/>
              <w:rPr>
                <w:ins w:id="591" w:author="kylin" w:date="2025-10-20T11:10:07Z"/>
                <w:spacing w:val="8"/>
                <w:sz w:val="18"/>
                <w:szCs w:val="18"/>
              </w:rPr>
            </w:pPr>
            <w:ins w:id="592" w:author="kylin" w:date="2025-10-20T11:10:07Z">
              <w:r>
                <w:rPr>
                  <w:spacing w:val="8"/>
                  <w:sz w:val="18"/>
                  <w:szCs w:val="18"/>
                </w:rPr>
                <w:t>1</w:t>
              </w:r>
            </w:ins>
          </w:p>
        </w:tc>
        <w:tc>
          <w:tcPr>
            <w:tcW w:w="1417" w:type="dxa"/>
            <w:noWrap w:val="0"/>
            <w:vAlign w:val="center"/>
            <w:tcPrChange w:id="593" w:author="kylin" w:date="2025-10-27T16:27:42Z">
              <w:tcPr>
                <w:tcW w:w="1417" w:type="dxa"/>
                <w:noWrap w:val="0"/>
                <w:vAlign w:val="center"/>
              </w:tcPr>
            </w:tcPrChange>
          </w:tcPr>
          <w:p w14:paraId="14B5FD7B">
            <w:pPr>
              <w:spacing w:line="240" w:lineRule="exact"/>
              <w:jc w:val="center"/>
              <w:textAlignment w:val="center"/>
              <w:rPr>
                <w:ins w:id="594" w:author="kylin" w:date="2025-10-20T11:10:07Z"/>
                <w:rFonts w:hint="eastAsia" w:eastAsia="宋体"/>
                <w:spacing w:val="8"/>
                <w:sz w:val="18"/>
                <w:szCs w:val="18"/>
                <w:lang w:eastAsia="zh-CN"/>
              </w:rPr>
            </w:pPr>
            <w:ins w:id="595" w:author="kylin" w:date="2025-10-20T11:10:07Z">
              <w:r>
                <w:rPr>
                  <w:rFonts w:hint="eastAsia"/>
                  <w:spacing w:val="8"/>
                  <w:sz w:val="18"/>
                  <w:szCs w:val="18"/>
                  <w:lang w:val="en-US" w:eastAsia="zh-CN"/>
                </w:rPr>
                <w:t>2</w:t>
              </w:r>
            </w:ins>
          </w:p>
        </w:tc>
        <w:tc>
          <w:tcPr>
            <w:tcW w:w="1485" w:type="dxa"/>
            <w:noWrap w:val="0"/>
            <w:vAlign w:val="center"/>
            <w:tcPrChange w:id="596" w:author="kylin" w:date="2025-10-27T16:27:42Z">
              <w:tcPr>
                <w:tcW w:w="1485" w:type="dxa"/>
                <w:noWrap w:val="0"/>
                <w:vAlign w:val="center"/>
              </w:tcPr>
            </w:tcPrChange>
          </w:tcPr>
          <w:p w14:paraId="3D0FE74D">
            <w:pPr>
              <w:spacing w:line="240" w:lineRule="exact"/>
              <w:jc w:val="center"/>
              <w:textAlignment w:val="center"/>
              <w:rPr>
                <w:ins w:id="597" w:author="kylin" w:date="2025-10-20T11:10:07Z"/>
                <w:rFonts w:hint="eastAsia" w:eastAsia="宋体"/>
                <w:spacing w:val="8"/>
                <w:sz w:val="18"/>
                <w:szCs w:val="18"/>
                <w:lang w:eastAsia="zh-CN"/>
              </w:rPr>
            </w:pPr>
            <w:ins w:id="598" w:author="kylin" w:date="2025-10-20T11:10:07Z">
              <w:r>
                <w:rPr>
                  <w:rFonts w:hint="eastAsia"/>
                  <w:spacing w:val="8"/>
                  <w:sz w:val="18"/>
                  <w:szCs w:val="18"/>
                  <w:lang w:val="en-US" w:eastAsia="zh-CN"/>
                </w:rPr>
                <w:t>3</w:t>
              </w:r>
            </w:ins>
          </w:p>
        </w:tc>
      </w:tr>
      <w:tr w14:paraId="09988B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Change w:id="600" w:author="kylin" w:date="2025-10-27T16:27:42Z">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blPrExChange>
        </w:tblPrEx>
        <w:trPr>
          <w:trHeight w:val="799" w:hRule="atLeast"/>
          <w:jc w:val="center"/>
          <w:ins w:id="599" w:author="kylin" w:date="2025-10-20T11:10:07Z"/>
          <w:trPrChange w:id="600" w:author="kylin" w:date="2025-10-27T16:27:42Z">
            <w:trPr>
              <w:jc w:val="center"/>
            </w:trPr>
          </w:trPrChange>
        </w:trPr>
        <w:tc>
          <w:tcPr>
            <w:tcW w:w="5117" w:type="dxa"/>
            <w:noWrap w:val="0"/>
            <w:vAlign w:val="center"/>
            <w:tcPrChange w:id="601" w:author="kylin" w:date="2025-10-27T16:27:42Z">
              <w:tcPr>
                <w:tcW w:w="3710" w:type="dxa"/>
                <w:noWrap w:val="0"/>
                <w:vAlign w:val="center"/>
              </w:tcPr>
            </w:tcPrChange>
          </w:tcPr>
          <w:p w14:paraId="327E780E">
            <w:pPr>
              <w:spacing w:line="240" w:lineRule="exact"/>
              <w:textAlignment w:val="center"/>
              <w:rPr>
                <w:ins w:id="602" w:author="kylin" w:date="2025-10-20T11:10:07Z"/>
                <w:spacing w:val="8"/>
                <w:sz w:val="18"/>
                <w:szCs w:val="18"/>
              </w:rPr>
            </w:pPr>
            <w:ins w:id="603" w:author="kylin" w:date="2025-10-20T11:10:07Z">
              <w:r>
                <w:rPr>
                  <w:spacing w:val="8"/>
                  <w:sz w:val="18"/>
                  <w:szCs w:val="18"/>
                </w:rPr>
                <w:t>农、林、牧、渔业</w:t>
              </w:r>
            </w:ins>
          </w:p>
          <w:p w14:paraId="40203FC8">
            <w:pPr>
              <w:spacing w:line="240" w:lineRule="exact"/>
              <w:textAlignment w:val="center"/>
              <w:rPr>
                <w:ins w:id="604" w:author="kylin" w:date="2025-10-20T11:10:07Z"/>
                <w:spacing w:val="8"/>
                <w:sz w:val="18"/>
                <w:szCs w:val="18"/>
              </w:rPr>
            </w:pPr>
            <w:ins w:id="605" w:author="kylin" w:date="2025-10-20T11:10:07Z">
              <w:r>
                <w:rPr>
                  <w:spacing w:val="8"/>
                  <w:sz w:val="18"/>
                  <w:szCs w:val="18"/>
                </w:rPr>
                <w:t>建筑业</w:t>
              </w:r>
            </w:ins>
          </w:p>
          <w:p w14:paraId="2CB4DD3E">
            <w:pPr>
              <w:spacing w:line="240" w:lineRule="exact"/>
              <w:textAlignment w:val="center"/>
              <w:rPr>
                <w:ins w:id="606" w:author="kylin" w:date="2025-10-20T11:10:07Z"/>
                <w:spacing w:val="8"/>
                <w:sz w:val="18"/>
                <w:szCs w:val="18"/>
              </w:rPr>
            </w:pPr>
            <w:ins w:id="607" w:author="kylin" w:date="2025-10-20T11:10:07Z">
              <w:r>
                <w:rPr>
                  <w:spacing w:val="8"/>
                  <w:sz w:val="18"/>
                  <w:szCs w:val="18"/>
                </w:rPr>
                <w:t>服务业</w:t>
              </w:r>
            </w:ins>
            <w:ins w:id="608" w:author="kylin" w:date="2025-10-20T11:10:07Z">
              <w:r>
                <w:rPr>
                  <w:rFonts w:hint="eastAsia"/>
                  <w:kern w:val="0"/>
                  <w:sz w:val="18"/>
                  <w:szCs w:val="18"/>
                  <w:vertAlign w:val="superscript"/>
                </w:rPr>
                <w:t>*</w:t>
              </w:r>
            </w:ins>
            <w:ins w:id="609" w:author="kylin" w:date="2025-10-20T11:10:07Z">
              <w:r>
                <w:rPr>
                  <w:rFonts w:hint="eastAsia"/>
                  <w:spacing w:val="8"/>
                  <w:sz w:val="18"/>
                  <w:szCs w:val="18"/>
                </w:rPr>
                <w:t>（</w:t>
              </w:r>
            </w:ins>
            <w:ins w:id="610" w:author="kylin" w:date="2025-10-20T11:10:07Z">
              <w:r>
                <w:rPr>
                  <w:spacing w:val="8"/>
                  <w:sz w:val="18"/>
                  <w:szCs w:val="18"/>
                </w:rPr>
                <w:t>不含交通运输、仓储和邮政业</w:t>
              </w:r>
            </w:ins>
            <w:ins w:id="611" w:author="kylin" w:date="2025-10-20T11:10:07Z">
              <w:r>
                <w:rPr>
                  <w:rFonts w:hint="eastAsia"/>
                  <w:spacing w:val="8"/>
                  <w:sz w:val="18"/>
                  <w:szCs w:val="18"/>
                </w:rPr>
                <w:t>）</w:t>
              </w:r>
            </w:ins>
          </w:p>
          <w:p w14:paraId="1DAAE0AF">
            <w:pPr>
              <w:spacing w:line="240" w:lineRule="exact"/>
              <w:textAlignment w:val="center"/>
              <w:rPr>
                <w:ins w:id="612" w:author="kylin" w:date="2025-10-20T11:10:07Z"/>
                <w:spacing w:val="8"/>
                <w:sz w:val="18"/>
                <w:szCs w:val="18"/>
              </w:rPr>
            </w:pPr>
            <w:ins w:id="613" w:author="kylin" w:date="2025-10-20T11:10:07Z">
              <w:r>
                <w:rPr>
                  <w:rFonts w:hint="eastAsia"/>
                  <w:spacing w:val="8"/>
                  <w:sz w:val="18"/>
                  <w:szCs w:val="18"/>
                </w:rPr>
                <w:t>城镇</w:t>
              </w:r>
            </w:ins>
            <w:ins w:id="614" w:author="kylin" w:date="2025-10-20T11:10:07Z">
              <w:r>
                <w:rPr>
                  <w:spacing w:val="8"/>
                  <w:sz w:val="18"/>
                  <w:szCs w:val="18"/>
                </w:rPr>
                <w:t>居民生活</w:t>
              </w:r>
            </w:ins>
          </w:p>
          <w:p w14:paraId="5FEA529B">
            <w:pPr>
              <w:spacing w:line="240" w:lineRule="exact"/>
              <w:textAlignment w:val="center"/>
              <w:rPr>
                <w:ins w:id="615" w:author="kylin" w:date="2025-10-20T11:10:07Z"/>
                <w:spacing w:val="8"/>
                <w:sz w:val="18"/>
                <w:szCs w:val="18"/>
              </w:rPr>
            </w:pPr>
            <w:ins w:id="616" w:author="kylin" w:date="2025-10-20T11:10:07Z">
              <w:r>
                <w:rPr>
                  <w:rFonts w:hint="eastAsia"/>
                  <w:spacing w:val="8"/>
                  <w:sz w:val="18"/>
                  <w:szCs w:val="18"/>
                </w:rPr>
                <w:t>乡村</w:t>
              </w:r>
            </w:ins>
            <w:ins w:id="617" w:author="kylin" w:date="2025-10-20T11:10:07Z">
              <w:r>
                <w:rPr>
                  <w:spacing w:val="8"/>
                  <w:sz w:val="18"/>
                  <w:szCs w:val="18"/>
                </w:rPr>
                <w:t>居民生活</w:t>
              </w:r>
            </w:ins>
          </w:p>
        </w:tc>
        <w:tc>
          <w:tcPr>
            <w:tcW w:w="1484" w:type="dxa"/>
            <w:noWrap w:val="0"/>
            <w:vAlign w:val="center"/>
            <w:tcPrChange w:id="618" w:author="kylin" w:date="2025-10-27T16:27:42Z">
              <w:tcPr>
                <w:tcW w:w="1484" w:type="dxa"/>
                <w:noWrap w:val="0"/>
                <w:vAlign w:val="center"/>
              </w:tcPr>
            </w:tcPrChange>
          </w:tcPr>
          <w:p w14:paraId="445B8B81">
            <w:pPr>
              <w:spacing w:line="240" w:lineRule="exact"/>
              <w:jc w:val="center"/>
              <w:textAlignment w:val="center"/>
              <w:rPr>
                <w:ins w:id="619" w:author="kylin" w:date="2025-10-20T11:10:07Z"/>
                <w:spacing w:val="8"/>
                <w:sz w:val="18"/>
                <w:szCs w:val="18"/>
              </w:rPr>
            </w:pPr>
          </w:p>
        </w:tc>
        <w:tc>
          <w:tcPr>
            <w:tcW w:w="1417" w:type="dxa"/>
            <w:noWrap w:val="0"/>
            <w:vAlign w:val="center"/>
            <w:tcPrChange w:id="620" w:author="kylin" w:date="2025-10-27T16:27:42Z">
              <w:tcPr>
                <w:tcW w:w="1417" w:type="dxa"/>
                <w:noWrap w:val="0"/>
                <w:vAlign w:val="center"/>
              </w:tcPr>
            </w:tcPrChange>
          </w:tcPr>
          <w:p w14:paraId="170A1FCF">
            <w:pPr>
              <w:spacing w:line="240" w:lineRule="exact"/>
              <w:jc w:val="center"/>
              <w:textAlignment w:val="center"/>
              <w:rPr>
                <w:ins w:id="621" w:author="kylin" w:date="2025-10-20T11:10:07Z"/>
                <w:spacing w:val="8"/>
                <w:sz w:val="18"/>
                <w:szCs w:val="18"/>
              </w:rPr>
            </w:pPr>
          </w:p>
        </w:tc>
        <w:tc>
          <w:tcPr>
            <w:tcW w:w="1485" w:type="dxa"/>
            <w:noWrap w:val="0"/>
            <w:vAlign w:val="center"/>
            <w:tcPrChange w:id="622" w:author="kylin" w:date="2025-10-27T16:27:42Z">
              <w:tcPr>
                <w:tcW w:w="1485" w:type="dxa"/>
                <w:noWrap w:val="0"/>
                <w:vAlign w:val="center"/>
              </w:tcPr>
            </w:tcPrChange>
          </w:tcPr>
          <w:p w14:paraId="51792060">
            <w:pPr>
              <w:spacing w:line="240" w:lineRule="exact"/>
              <w:jc w:val="center"/>
              <w:textAlignment w:val="center"/>
              <w:rPr>
                <w:ins w:id="623" w:author="kylin" w:date="2025-10-20T11:10:07Z"/>
                <w:spacing w:val="8"/>
                <w:sz w:val="18"/>
                <w:szCs w:val="18"/>
              </w:rPr>
            </w:pPr>
            <w:ins w:id="624" w:author="kylin" w:date="2025-10-20T11:10:07Z">
              <w:r>
                <w:rPr>
                  <w:rFonts w:hint="eastAsia"/>
                  <w:spacing w:val="8"/>
                  <w:sz w:val="18"/>
                  <w:szCs w:val="18"/>
                  <w:lang w:val="en-US" w:eastAsia="zh-CN"/>
                </w:rPr>
                <w:t>3</w:t>
              </w:r>
            </w:ins>
            <w:ins w:id="625" w:author="kylin" w:date="2025-10-20T11:10:07Z">
              <w:r>
                <w:rPr>
                  <w:spacing w:val="8"/>
                  <w:sz w:val="18"/>
                  <w:szCs w:val="18"/>
                </w:rPr>
                <w:t>=1*2</w:t>
              </w:r>
            </w:ins>
          </w:p>
        </w:tc>
      </w:tr>
    </w:tbl>
    <w:p w14:paraId="5A64B658">
      <w:pPr>
        <w:ind w:firstLine="640" w:firstLineChars="200"/>
        <w:rPr>
          <w:ins w:id="626" w:author="kylin" w:date="2025-10-20T11:10:07Z"/>
          <w:rFonts w:hint="eastAsia" w:ascii="仿宋_GB2312" w:hAnsi="仿宋_GB2312" w:eastAsia="仿宋_GB2312" w:cs="仿宋_GB2312"/>
          <w:sz w:val="32"/>
          <w:szCs w:val="32"/>
          <w:lang w:val="en-US" w:eastAsia="zh-CN"/>
        </w:rPr>
      </w:pPr>
    </w:p>
    <w:p w14:paraId="6359417F">
      <w:pPr>
        <w:spacing w:line="360" w:lineRule="exact"/>
        <w:ind w:firstLine="424" w:firstLineChars="202"/>
        <w:textAlignment w:val="center"/>
        <w:rPr>
          <w:rFonts w:ascii="宋体" w:hAnsi="宋体"/>
          <w:szCs w:val="21"/>
        </w:rPr>
      </w:pPr>
      <w:del w:id="627" w:author="kylin" w:date="2025-10-20T11:10:06Z">
        <w:r>
          <w:rPr>
            <w:rFonts w:ascii="宋体" w:hAnsi="宋体"/>
            <w:szCs w:val="21"/>
          </w:rPr>
          <w:delText xml:space="preserve"> </w:delText>
        </w:r>
      </w:del>
    </w:p>
    <w:p w14:paraId="4F562DE5">
      <w:pPr>
        <w:spacing w:line="360" w:lineRule="exact"/>
        <w:ind w:right="-40" w:firstLine="430" w:firstLineChars="205"/>
        <w:textAlignment w:val="center"/>
        <w:rPr>
          <w:rFonts w:eastAsia="黑体"/>
          <w:szCs w:val="21"/>
        </w:rPr>
      </w:pPr>
      <w:r>
        <w:rPr>
          <w:rFonts w:eastAsia="黑体"/>
          <w:szCs w:val="21"/>
        </w:rPr>
        <w:t>三、</w:t>
      </w:r>
      <w:r>
        <w:rPr>
          <w:rFonts w:hint="eastAsia" w:eastAsia="黑体"/>
          <w:szCs w:val="21"/>
        </w:rPr>
        <w:t>分行业</w:t>
      </w:r>
      <w:r>
        <w:rPr>
          <w:rFonts w:eastAsia="黑体"/>
          <w:szCs w:val="21"/>
        </w:rPr>
        <w:t>和居民生活核算情况</w:t>
      </w:r>
    </w:p>
    <w:p w14:paraId="54AC4B99">
      <w:pPr>
        <w:spacing w:line="360" w:lineRule="exact"/>
        <w:ind w:right="-40" w:firstLine="424" w:firstLineChars="202"/>
        <w:textAlignment w:val="center"/>
        <w:rPr>
          <w:rFonts w:ascii="楷体_GB2312" w:eastAsia="楷体_GB2312"/>
          <w:szCs w:val="21"/>
        </w:rPr>
      </w:pPr>
      <w:r>
        <w:rPr>
          <w:rFonts w:hint="eastAsia" w:ascii="楷体_GB2312" w:eastAsia="楷体_GB2312"/>
          <w:szCs w:val="21"/>
        </w:rPr>
        <w:t>（一）农、林、牧、渔业</w:t>
      </w:r>
    </w:p>
    <w:p w14:paraId="164F1822">
      <w:pPr>
        <w:spacing w:line="360" w:lineRule="exact"/>
        <w:ind w:right="-40" w:firstLine="430" w:firstLineChars="205"/>
        <w:textAlignment w:val="center"/>
        <w:rPr>
          <w:szCs w:val="21"/>
          <w:lang w:val="zh-CN"/>
        </w:rPr>
      </w:pPr>
      <w:r>
        <w:rPr>
          <w:szCs w:val="21"/>
        </w:rPr>
        <w:t>分别</w:t>
      </w:r>
      <w:r>
        <w:rPr>
          <w:rFonts w:hint="eastAsia"/>
          <w:szCs w:val="21"/>
        </w:rPr>
        <w:t>按照</w:t>
      </w:r>
      <w:r>
        <w:rPr>
          <w:szCs w:val="21"/>
        </w:rPr>
        <w:t>核算方法</w:t>
      </w:r>
      <w:r>
        <w:rPr>
          <w:rFonts w:hint="eastAsia"/>
          <w:szCs w:val="21"/>
        </w:rPr>
        <w:t>一、</w:t>
      </w:r>
      <w:r>
        <w:rPr>
          <w:szCs w:val="21"/>
        </w:rPr>
        <w:t>核算方法</w:t>
      </w:r>
      <w:r>
        <w:rPr>
          <w:rFonts w:hint="eastAsia"/>
          <w:szCs w:val="21"/>
        </w:rPr>
        <w:t>二</w:t>
      </w:r>
      <w:del w:id="628" w:author="kylin" w:date="2025-10-20T11:10:46Z">
        <w:r>
          <w:rPr>
            <w:rFonts w:hint="default"/>
            <w:szCs w:val="21"/>
            <w:lang w:val="en-US"/>
          </w:rPr>
          <w:delText>和</w:delText>
        </w:r>
      </w:del>
      <w:ins w:id="629" w:author="kylin" w:date="2025-10-20T11:10:52Z">
        <w:r>
          <w:rPr>
            <w:rFonts w:hint="eastAsia"/>
            <w:szCs w:val="21"/>
            <w:lang w:val="en-US" w:eastAsia="zh-CN"/>
          </w:rPr>
          <w:t>、</w:t>
        </w:r>
      </w:ins>
      <w:r>
        <w:rPr>
          <w:szCs w:val="21"/>
        </w:rPr>
        <w:t>核算方法</w:t>
      </w:r>
      <w:r>
        <w:rPr>
          <w:rFonts w:hint="eastAsia"/>
          <w:szCs w:val="21"/>
        </w:rPr>
        <w:t>三</w:t>
      </w:r>
      <w:ins w:id="630" w:author="kylin" w:date="2025-10-20T11:10:56Z">
        <w:r>
          <w:rPr>
            <w:rFonts w:hint="eastAsia"/>
            <w:szCs w:val="21"/>
            <w:lang w:eastAsia="zh-CN"/>
          </w:rPr>
          <w:t>和</w:t>
        </w:r>
      </w:ins>
      <w:ins w:id="631" w:author="kylin" w:date="2025-10-20T11:10:58Z">
        <w:r>
          <w:rPr>
            <w:rFonts w:hint="eastAsia"/>
            <w:szCs w:val="21"/>
            <w:lang w:eastAsia="zh-CN"/>
          </w:rPr>
          <w:t>核算方法</w:t>
        </w:r>
      </w:ins>
      <w:ins w:id="632" w:author="kylin" w:date="2025-10-20T11:10:59Z">
        <w:r>
          <w:rPr>
            <w:rFonts w:hint="eastAsia"/>
            <w:szCs w:val="21"/>
            <w:lang w:eastAsia="zh-CN"/>
          </w:rPr>
          <w:t>四</w:t>
        </w:r>
      </w:ins>
      <w:r>
        <w:rPr>
          <w:rFonts w:hint="eastAsia"/>
          <w:szCs w:val="21"/>
        </w:rPr>
        <w:t>进行核算。</w:t>
      </w:r>
    </w:p>
    <w:p w14:paraId="61D8BE17">
      <w:pPr>
        <w:spacing w:line="360" w:lineRule="exact"/>
        <w:ind w:firstLine="420" w:firstLineChars="200"/>
        <w:textAlignment w:val="center"/>
        <w:rPr>
          <w:rFonts w:ascii="楷体_GB2312" w:eastAsia="楷体_GB2312"/>
          <w:szCs w:val="21"/>
        </w:rPr>
      </w:pPr>
      <w:r>
        <w:rPr>
          <w:rFonts w:hint="eastAsia" w:ascii="楷体_GB2312" w:eastAsia="楷体_GB2312"/>
          <w:szCs w:val="21"/>
        </w:rPr>
        <w:t>（二）工业</w:t>
      </w:r>
    </w:p>
    <w:p w14:paraId="19432B77">
      <w:pPr>
        <w:spacing w:line="360" w:lineRule="exact"/>
        <w:ind w:firstLine="420" w:firstLineChars="200"/>
        <w:textAlignment w:val="center"/>
        <w:rPr>
          <w:rFonts w:ascii="宋体" w:hAnsi="宋体"/>
          <w:szCs w:val="21"/>
        </w:rPr>
      </w:pPr>
      <w:r>
        <w:rPr>
          <w:rFonts w:ascii="宋体" w:hAnsi="宋体"/>
          <w:szCs w:val="21"/>
        </w:rPr>
        <w:t>工业不使用以上</w:t>
      </w:r>
      <w:del w:id="633" w:author="kylin" w:date="2025-10-20T11:11:17Z">
        <w:r>
          <w:rPr>
            <w:rFonts w:ascii="宋体" w:hAnsi="宋体"/>
            <w:szCs w:val="21"/>
          </w:rPr>
          <w:delText>三</w:delText>
        </w:r>
      </w:del>
      <w:ins w:id="634" w:author="kylin" w:date="2025-10-20T11:11:17Z">
        <w:r>
          <w:rPr>
            <w:rFonts w:hint="eastAsia" w:ascii="宋体" w:hAnsi="宋体"/>
            <w:szCs w:val="21"/>
            <w:lang w:eastAsia="zh-CN"/>
          </w:rPr>
          <w:t>四</w:t>
        </w:r>
      </w:ins>
      <w:r>
        <w:rPr>
          <w:rFonts w:ascii="宋体" w:hAnsi="宋体"/>
          <w:szCs w:val="21"/>
        </w:rPr>
        <w:t>种核算方法</w:t>
      </w:r>
      <w:r>
        <w:rPr>
          <w:szCs w:val="21"/>
        </w:rPr>
        <w:t>，</w:t>
      </w:r>
      <w:r>
        <w:rPr>
          <w:rFonts w:ascii="宋体" w:hAnsi="宋体"/>
          <w:szCs w:val="21"/>
        </w:rPr>
        <w:t>使用本期规模以上工业能源消费量及上年规模以上工业占工业能源消费量比重进行核算。因此</w:t>
      </w:r>
      <w:r>
        <w:rPr>
          <w:rFonts w:hint="eastAsia"/>
          <w:szCs w:val="21"/>
        </w:rPr>
        <w:t>，</w:t>
      </w:r>
      <w:del w:id="635" w:author="kylin" w:date="2025-10-20T11:11:20Z">
        <w:r>
          <w:rPr>
            <w:rFonts w:ascii="宋体" w:hAnsi="宋体"/>
            <w:szCs w:val="21"/>
          </w:rPr>
          <w:delText>三</w:delText>
        </w:r>
      </w:del>
      <w:ins w:id="636" w:author="kylin" w:date="2025-10-20T11:11:20Z">
        <w:r>
          <w:rPr>
            <w:rFonts w:hint="eastAsia" w:ascii="宋体" w:hAnsi="宋体"/>
            <w:szCs w:val="21"/>
            <w:lang w:eastAsia="zh-CN"/>
          </w:rPr>
          <w:t>四</w:t>
        </w:r>
      </w:ins>
      <w:r>
        <w:rPr>
          <w:rFonts w:ascii="宋体" w:hAnsi="宋体"/>
          <w:szCs w:val="21"/>
        </w:rPr>
        <w:t>种核算方法中的工业数据均使用本方法数据结果</w:t>
      </w:r>
      <w:r>
        <w:rPr>
          <w:rFonts w:hint="eastAsia" w:ascii="宋体" w:hAnsi="宋体"/>
          <w:szCs w:val="21"/>
        </w:rPr>
        <w:t>。</w:t>
      </w:r>
    </w:p>
    <w:p w14:paraId="013E2219">
      <w:pPr>
        <w:spacing w:line="360" w:lineRule="exact"/>
        <w:ind w:firstLine="424" w:firstLineChars="202"/>
        <w:textAlignment w:val="center"/>
        <w:rPr>
          <w:rFonts w:ascii="宋体" w:hAnsi="宋体"/>
          <w:szCs w:val="21"/>
        </w:rPr>
      </w:pPr>
      <w:r>
        <w:rPr>
          <w:rFonts w:ascii="宋体" w:hAnsi="宋体"/>
          <w:szCs w:val="21"/>
        </w:rPr>
        <w:t>1.</w:t>
      </w:r>
      <w:r>
        <w:rPr>
          <w:rFonts w:hint="eastAsia" w:ascii="宋体" w:hAnsi="宋体"/>
          <w:szCs w:val="21"/>
        </w:rPr>
        <w:t>规模</w:t>
      </w:r>
      <w:r>
        <w:rPr>
          <w:rFonts w:ascii="宋体" w:hAnsi="宋体"/>
          <w:szCs w:val="21"/>
        </w:rPr>
        <w:t>以上工业企业数据整理</w:t>
      </w:r>
    </w:p>
    <w:p w14:paraId="56C444AD">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资料来源于205-1/-2表</w:t>
      </w:r>
      <w:r>
        <w:rPr>
          <w:rFonts w:hint="eastAsia" w:ascii="宋体" w:hAnsi="宋体"/>
          <w:szCs w:val="21"/>
        </w:rPr>
        <w:t>。</w:t>
      </w:r>
    </w:p>
    <w:p w14:paraId="72CF0813">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ascii="宋体" w:hAnsi="宋体"/>
          <w:szCs w:val="21"/>
        </w:rPr>
        <w:t>企业数据整理的目的是将企业电力</w:t>
      </w:r>
      <w:r>
        <w:rPr>
          <w:rFonts w:hint="eastAsia" w:ascii="宋体" w:hAnsi="宋体"/>
          <w:szCs w:val="21"/>
        </w:rPr>
        <w:t>当量</w:t>
      </w:r>
      <w:r>
        <w:rPr>
          <w:rFonts w:ascii="宋体" w:hAnsi="宋体"/>
          <w:szCs w:val="21"/>
        </w:rPr>
        <w:t>折标系数调整为</w:t>
      </w:r>
      <w:r>
        <w:rPr>
          <w:rFonts w:hint="eastAsia" w:ascii="宋体" w:hAnsi="宋体"/>
          <w:szCs w:val="21"/>
        </w:rPr>
        <w:t>等价折标系数</w:t>
      </w:r>
      <w:r>
        <w:rPr>
          <w:szCs w:val="21"/>
        </w:rPr>
        <w:t>（</w:t>
      </w:r>
      <w:r>
        <w:rPr>
          <w:rFonts w:ascii="宋体" w:hAnsi="宋体"/>
          <w:szCs w:val="21"/>
        </w:rPr>
        <w:t>发电煤耗</w:t>
      </w:r>
      <w:r>
        <w:rPr>
          <w:szCs w:val="21"/>
        </w:rPr>
        <w:t>）</w:t>
      </w:r>
      <w:r>
        <w:rPr>
          <w:rFonts w:ascii="宋体" w:hAnsi="宋体"/>
          <w:szCs w:val="21"/>
        </w:rPr>
        <w:t>。</w:t>
      </w:r>
    </w:p>
    <w:p w14:paraId="1CD958BF">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3</w:t>
      </w:r>
      <w:r>
        <w:rPr>
          <w:rFonts w:hint="eastAsia"/>
          <w:szCs w:val="21"/>
        </w:rPr>
        <w:t>）</w:t>
      </w:r>
      <w:r>
        <w:rPr>
          <w:rFonts w:ascii="宋体" w:hAnsi="宋体"/>
          <w:szCs w:val="21"/>
        </w:rPr>
        <w:t>企业数据整理的原则</w:t>
      </w:r>
      <w:r>
        <w:rPr>
          <w:szCs w:val="21"/>
        </w:rPr>
        <w:t>：</w:t>
      </w:r>
    </w:p>
    <w:p w14:paraId="3FC94CB5">
      <w:pPr>
        <w:spacing w:line="360" w:lineRule="exact"/>
        <w:ind w:firstLine="424" w:firstLineChars="202"/>
        <w:textAlignment w:val="center"/>
        <w:rPr>
          <w:rFonts w:ascii="宋体" w:hAnsi="宋体"/>
          <w:szCs w:val="21"/>
        </w:rPr>
      </w:pPr>
      <w:r>
        <w:rPr>
          <w:rFonts w:hint="eastAsia" w:ascii="宋体" w:hAnsi="宋体"/>
          <w:szCs w:val="21"/>
        </w:rPr>
        <w:t>①</w:t>
      </w:r>
      <w:r>
        <w:rPr>
          <w:rFonts w:ascii="宋体" w:hAnsi="宋体"/>
          <w:szCs w:val="21"/>
        </w:rPr>
        <w:t>用电企业电力等价折标系数采用本地区平均等价折标系数</w:t>
      </w:r>
      <w:r>
        <w:rPr>
          <w:szCs w:val="21"/>
        </w:rPr>
        <w:t>（</w:t>
      </w:r>
      <w:r>
        <w:rPr>
          <w:rFonts w:ascii="宋体" w:hAnsi="宋体"/>
          <w:szCs w:val="21"/>
        </w:rPr>
        <w:t>按205-2表计算</w:t>
      </w:r>
      <w:r>
        <w:rPr>
          <w:szCs w:val="21"/>
        </w:rPr>
        <w:t>）；</w:t>
      </w:r>
    </w:p>
    <w:p w14:paraId="676D0476">
      <w:pPr>
        <w:spacing w:line="360" w:lineRule="exact"/>
        <w:ind w:firstLine="424" w:firstLineChars="202"/>
        <w:textAlignment w:val="center"/>
        <w:rPr>
          <w:rFonts w:ascii="宋体" w:hAnsi="宋体"/>
          <w:szCs w:val="21"/>
        </w:rPr>
      </w:pPr>
      <w:r>
        <w:rPr>
          <w:rFonts w:hint="eastAsia" w:ascii="宋体" w:hAnsi="宋体"/>
          <w:szCs w:val="21"/>
        </w:rPr>
        <w:t>②</w:t>
      </w:r>
      <w:r>
        <w:rPr>
          <w:rFonts w:ascii="宋体" w:hAnsi="宋体"/>
          <w:szCs w:val="21"/>
        </w:rPr>
        <w:t>火力发电企业和有自备电厂且发电量大于本企业用电量的企业</w:t>
      </w:r>
      <w:r>
        <w:rPr>
          <w:szCs w:val="21"/>
        </w:rPr>
        <w:t>，</w:t>
      </w:r>
      <w:r>
        <w:rPr>
          <w:rFonts w:ascii="宋体" w:hAnsi="宋体"/>
          <w:szCs w:val="21"/>
        </w:rPr>
        <w:t>采用本企业等价折标系数</w:t>
      </w:r>
      <w:r>
        <w:rPr>
          <w:szCs w:val="21"/>
        </w:rPr>
        <w:t>；</w:t>
      </w:r>
    </w:p>
    <w:p w14:paraId="53C52226">
      <w:pPr>
        <w:spacing w:line="360" w:lineRule="exact"/>
        <w:ind w:firstLine="424" w:firstLineChars="202"/>
        <w:textAlignment w:val="center"/>
        <w:rPr>
          <w:rFonts w:ascii="宋体" w:hAnsi="宋体"/>
          <w:szCs w:val="21"/>
        </w:rPr>
      </w:pPr>
      <w:r>
        <w:rPr>
          <w:rFonts w:hint="eastAsia" w:ascii="宋体" w:hAnsi="宋体"/>
          <w:szCs w:val="21"/>
        </w:rPr>
        <w:t>③</w:t>
      </w:r>
      <w:r>
        <w:rPr>
          <w:rFonts w:ascii="宋体" w:hAnsi="宋体"/>
          <w:szCs w:val="21"/>
        </w:rPr>
        <w:t>有自备电厂</w:t>
      </w:r>
      <w:r>
        <w:rPr>
          <w:szCs w:val="21"/>
        </w:rPr>
        <w:t>（</w:t>
      </w:r>
      <w:r>
        <w:rPr>
          <w:rFonts w:ascii="宋体" w:hAnsi="宋体"/>
          <w:szCs w:val="21"/>
        </w:rPr>
        <w:t>或发电机组</w:t>
      </w:r>
      <w:r>
        <w:rPr>
          <w:szCs w:val="21"/>
        </w:rPr>
        <w:t>）</w:t>
      </w:r>
      <w:r>
        <w:rPr>
          <w:rFonts w:ascii="宋体" w:hAnsi="宋体"/>
          <w:szCs w:val="21"/>
        </w:rPr>
        <w:t>且本企业用电量大于发电量的企业</w:t>
      </w:r>
      <w:r>
        <w:rPr>
          <w:szCs w:val="21"/>
        </w:rPr>
        <w:t>，</w:t>
      </w:r>
      <w:r>
        <w:rPr>
          <w:rFonts w:ascii="宋体" w:hAnsi="宋体"/>
          <w:szCs w:val="21"/>
        </w:rPr>
        <w:t>购入的电量</w:t>
      </w:r>
      <w:r>
        <w:rPr>
          <w:szCs w:val="21"/>
        </w:rPr>
        <w:t>（</w:t>
      </w:r>
      <w:r>
        <w:rPr>
          <w:rFonts w:ascii="宋体" w:hAnsi="宋体"/>
          <w:szCs w:val="21"/>
        </w:rPr>
        <w:t>企业电力消费合计</w:t>
      </w:r>
      <w:r>
        <w:rPr>
          <w:szCs w:val="21"/>
        </w:rPr>
        <w:t>－</w:t>
      </w:r>
      <w:r>
        <w:rPr>
          <w:rFonts w:ascii="宋体" w:hAnsi="宋体"/>
          <w:szCs w:val="21"/>
        </w:rPr>
        <w:t>电力产出</w:t>
      </w:r>
      <w:r>
        <w:rPr>
          <w:szCs w:val="21"/>
        </w:rPr>
        <w:t>）</w:t>
      </w:r>
      <w:r>
        <w:rPr>
          <w:rFonts w:ascii="宋体" w:hAnsi="宋体"/>
          <w:szCs w:val="21"/>
        </w:rPr>
        <w:t>采用本地区平均等价折标系数</w:t>
      </w:r>
      <w:r>
        <w:rPr>
          <w:szCs w:val="21"/>
        </w:rPr>
        <w:t>，</w:t>
      </w:r>
      <w:r>
        <w:rPr>
          <w:rFonts w:ascii="宋体" w:hAnsi="宋体"/>
          <w:szCs w:val="21"/>
        </w:rPr>
        <w:t>本企业生产的电量采用本企业等价折标系数。</w:t>
      </w:r>
    </w:p>
    <w:p w14:paraId="163EEE7D">
      <w:pPr>
        <w:spacing w:line="360" w:lineRule="exact"/>
        <w:ind w:firstLine="424" w:firstLineChars="202"/>
        <w:textAlignment w:val="cente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规模</w:t>
      </w:r>
      <w:r>
        <w:rPr>
          <w:rFonts w:ascii="宋体" w:hAnsi="宋体"/>
          <w:szCs w:val="21"/>
        </w:rPr>
        <w:t>以上工业能源消费量计算</w:t>
      </w:r>
    </w:p>
    <w:p w14:paraId="5A8152AB">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1</w:t>
      </w:r>
      <w:r>
        <w:rPr>
          <w:rFonts w:hint="eastAsia"/>
          <w:szCs w:val="21"/>
        </w:rPr>
        <w:t>）</w:t>
      </w:r>
      <w:r>
        <w:rPr>
          <w:rFonts w:ascii="宋体" w:hAnsi="宋体"/>
          <w:szCs w:val="21"/>
        </w:rPr>
        <w:t>电力等价折标系数</w:t>
      </w:r>
    </w:p>
    <w:p w14:paraId="3EA55F30">
      <w:pPr>
        <w:spacing w:line="360" w:lineRule="exact"/>
        <w:ind w:left="1890" w:leftChars="200" w:hanging="1470" w:hangingChars="700"/>
        <w:textAlignment w:val="center"/>
        <w:rPr>
          <w:rFonts w:ascii="宋体" w:hAnsi="宋体"/>
          <w:szCs w:val="21"/>
        </w:rPr>
      </w:pPr>
      <w:r>
        <w:rPr>
          <w:rFonts w:ascii="宋体" w:hAnsi="宋体"/>
          <w:szCs w:val="21"/>
        </w:rPr>
        <w:t>电力等价折标系数</w:t>
      </w:r>
      <w:r>
        <w:rPr>
          <w:szCs w:val="21"/>
        </w:rPr>
        <w:t>＝</w:t>
      </w:r>
      <w:r>
        <w:rPr>
          <w:rFonts w:ascii="宋体" w:hAnsi="宋体"/>
          <w:szCs w:val="21"/>
        </w:rPr>
        <w:t>火力发电投入的能源合计</w:t>
      </w:r>
      <w:r>
        <w:rPr>
          <w:szCs w:val="21"/>
        </w:rPr>
        <w:t>（</w:t>
      </w:r>
      <w:r>
        <w:rPr>
          <w:rFonts w:ascii="宋体" w:hAnsi="宋体"/>
          <w:szCs w:val="21"/>
        </w:rPr>
        <w:t>205-2表第40行第3栏</w:t>
      </w:r>
      <w:r>
        <w:rPr>
          <w:szCs w:val="21"/>
        </w:rPr>
        <w:t>）</w:t>
      </w:r>
      <w:r>
        <w:rPr>
          <w:rFonts w:ascii="宋体" w:hAnsi="宋体"/>
          <w:szCs w:val="21"/>
        </w:rPr>
        <w:t>÷电力产出量</w:t>
      </w:r>
      <w:r>
        <w:rPr>
          <w:szCs w:val="21"/>
        </w:rPr>
        <w:t>（</w:t>
      </w:r>
      <w:r>
        <w:rPr>
          <w:rFonts w:ascii="宋体" w:hAnsi="宋体"/>
          <w:szCs w:val="21"/>
        </w:rPr>
        <w:t>205-2表</w:t>
      </w:r>
    </w:p>
    <w:p w14:paraId="32E82985">
      <w:pPr>
        <w:spacing w:line="360" w:lineRule="exact"/>
        <w:ind w:left="420"/>
        <w:textAlignment w:val="center"/>
        <w:rPr>
          <w:rFonts w:ascii="宋体" w:hAnsi="宋体"/>
          <w:szCs w:val="21"/>
        </w:rPr>
      </w:pPr>
      <w:r>
        <w:rPr>
          <w:rFonts w:ascii="宋体" w:hAnsi="宋体"/>
          <w:szCs w:val="21"/>
        </w:rPr>
        <w:t xml:space="preserve">                  第33行第11栏</w:t>
      </w:r>
      <w:r>
        <w:rPr>
          <w:szCs w:val="21"/>
        </w:rPr>
        <w:t>）</w:t>
      </w:r>
    </w:p>
    <w:p w14:paraId="29717BE8">
      <w:pPr>
        <w:spacing w:line="360" w:lineRule="exact"/>
        <w:ind w:firstLine="424" w:firstLineChars="202"/>
        <w:textAlignment w:val="center"/>
        <w:rPr>
          <w:rFonts w:ascii="宋体" w:hAnsi="宋体"/>
          <w:szCs w:val="21"/>
        </w:rPr>
      </w:pPr>
      <w:r>
        <w:rPr>
          <w:rFonts w:hint="eastAsia"/>
          <w:szCs w:val="21"/>
        </w:rPr>
        <w:t>（</w:t>
      </w:r>
      <w:r>
        <w:rPr>
          <w:rFonts w:ascii="宋体" w:hAnsi="宋体"/>
          <w:szCs w:val="21"/>
        </w:rPr>
        <w:t>2</w:t>
      </w:r>
      <w:r>
        <w:rPr>
          <w:rFonts w:hint="eastAsia"/>
          <w:szCs w:val="21"/>
        </w:rPr>
        <w:t>）</w:t>
      </w:r>
      <w:r>
        <w:rPr>
          <w:rFonts w:hint="eastAsia" w:ascii="宋体" w:hAnsi="宋体"/>
          <w:szCs w:val="21"/>
        </w:rPr>
        <w:t>企业</w:t>
      </w:r>
      <w:r>
        <w:rPr>
          <w:rFonts w:ascii="宋体" w:hAnsi="宋体"/>
          <w:szCs w:val="21"/>
        </w:rPr>
        <w:t>能源消费量</w:t>
      </w:r>
      <w:r>
        <w:rPr>
          <w:rFonts w:hint="eastAsia"/>
          <w:szCs w:val="21"/>
        </w:rPr>
        <w:t>（</w:t>
      </w:r>
      <w:r>
        <w:rPr>
          <w:rFonts w:hint="eastAsia" w:ascii="宋体" w:hAnsi="宋体"/>
          <w:szCs w:val="21"/>
        </w:rPr>
        <w:t>等价值</w:t>
      </w:r>
      <w:r>
        <w:rPr>
          <w:rFonts w:hint="eastAsia"/>
          <w:szCs w:val="21"/>
        </w:rPr>
        <w:t>）</w:t>
      </w:r>
    </w:p>
    <w:p w14:paraId="7510EE34">
      <w:pPr>
        <w:spacing w:line="360" w:lineRule="exact"/>
        <w:ind w:left="3108" w:leftChars="200" w:hanging="2688" w:hangingChars="1280"/>
        <w:textAlignment w:val="center"/>
        <w:rPr>
          <w:rFonts w:ascii="宋体" w:hAnsi="宋体"/>
          <w:szCs w:val="21"/>
        </w:rPr>
      </w:pPr>
      <w:r>
        <w:rPr>
          <w:rFonts w:hint="eastAsia" w:ascii="宋体" w:hAnsi="宋体"/>
          <w:szCs w:val="21"/>
        </w:rPr>
        <w:t>企业能源消费量</w:t>
      </w:r>
      <w:r>
        <w:rPr>
          <w:rFonts w:hint="eastAsia"/>
          <w:szCs w:val="21"/>
        </w:rPr>
        <w:t>（</w:t>
      </w:r>
      <w:r>
        <w:rPr>
          <w:rFonts w:hint="eastAsia" w:ascii="宋体" w:hAnsi="宋体"/>
          <w:szCs w:val="21"/>
        </w:rPr>
        <w:t>等价值</w:t>
      </w:r>
      <w:r>
        <w:rPr>
          <w:rFonts w:hint="eastAsia"/>
          <w:szCs w:val="21"/>
        </w:rPr>
        <w:t>）</w:t>
      </w:r>
      <w:r>
        <w:rPr>
          <w:szCs w:val="21"/>
        </w:rPr>
        <w:t>＝</w:t>
      </w:r>
      <w:r>
        <w:rPr>
          <w:rFonts w:ascii="宋体" w:hAnsi="宋体"/>
          <w:szCs w:val="21"/>
        </w:rPr>
        <w:t>综合能源消费量</w:t>
      </w:r>
      <w:r>
        <w:rPr>
          <w:szCs w:val="21"/>
        </w:rPr>
        <w:t>（</w:t>
      </w:r>
      <w:r>
        <w:rPr>
          <w:rFonts w:ascii="宋体" w:hAnsi="宋体"/>
          <w:szCs w:val="21"/>
        </w:rPr>
        <w:t>205-1表代码48</w:t>
      </w:r>
      <w:r>
        <w:rPr>
          <w:szCs w:val="21"/>
        </w:rPr>
        <w:t>）＋</w:t>
      </w:r>
      <w:r>
        <w:rPr>
          <w:rFonts w:ascii="宋体" w:hAnsi="宋体"/>
          <w:szCs w:val="21"/>
        </w:rPr>
        <w:t>工业生产电力消费×</w:t>
      </w:r>
      <w:r>
        <w:rPr>
          <w:szCs w:val="21"/>
        </w:rPr>
        <w:t>（</w:t>
      </w:r>
      <w:r>
        <w:rPr>
          <w:rFonts w:ascii="宋体" w:hAnsi="宋体"/>
          <w:szCs w:val="21"/>
        </w:rPr>
        <w:t>电力等价折标系数</w:t>
      </w:r>
      <w:r>
        <w:rPr>
          <w:szCs w:val="21"/>
        </w:rPr>
        <w:t>－</w:t>
      </w:r>
      <w:r>
        <w:rPr>
          <w:rFonts w:ascii="宋体" w:hAnsi="宋体"/>
          <w:szCs w:val="21"/>
        </w:rPr>
        <w:t>1.229</w:t>
      </w:r>
      <w:r>
        <w:rPr>
          <w:szCs w:val="21"/>
        </w:rPr>
        <w:t>）－</w:t>
      </w:r>
      <w:r>
        <w:rPr>
          <w:rFonts w:ascii="宋体" w:hAnsi="宋体"/>
          <w:szCs w:val="21"/>
        </w:rPr>
        <w:t>电力产出量×</w:t>
      </w:r>
      <w:r>
        <w:rPr>
          <w:szCs w:val="21"/>
        </w:rPr>
        <w:t>（</w:t>
      </w:r>
      <w:r>
        <w:rPr>
          <w:rFonts w:ascii="宋体" w:hAnsi="宋体"/>
          <w:szCs w:val="21"/>
        </w:rPr>
        <w:t>电力等价折标系数</w:t>
      </w:r>
      <w:r>
        <w:rPr>
          <w:szCs w:val="21"/>
        </w:rPr>
        <w:t>－</w:t>
      </w:r>
      <w:r>
        <w:rPr>
          <w:rFonts w:ascii="宋体" w:hAnsi="宋体"/>
          <w:szCs w:val="21"/>
        </w:rPr>
        <w:t>1.229</w:t>
      </w:r>
      <w:r>
        <w:rPr>
          <w:szCs w:val="21"/>
        </w:rPr>
        <w:t>）</w:t>
      </w:r>
    </w:p>
    <w:p w14:paraId="1B548A4D">
      <w:pPr>
        <w:pStyle w:val="16"/>
        <w:spacing w:line="360" w:lineRule="exact"/>
        <w:ind w:firstLine="424" w:firstLineChars="202"/>
        <w:textAlignment w:val="center"/>
        <w:rPr>
          <w:rFonts w:hAnsi="Times New Roman"/>
          <w:szCs w:val="21"/>
        </w:rPr>
      </w:pPr>
      <w:r>
        <w:rPr>
          <w:szCs w:val="21"/>
        </w:rPr>
        <w:t>有自备电厂</w:t>
      </w:r>
      <w:r>
        <w:rPr>
          <w:rFonts w:ascii="Times New Roman" w:hAnsi="Times New Roman"/>
          <w:szCs w:val="21"/>
        </w:rPr>
        <w:t>（</w:t>
      </w:r>
      <w:r>
        <w:rPr>
          <w:szCs w:val="21"/>
        </w:rPr>
        <w:t>或发电机组</w:t>
      </w:r>
      <w:r>
        <w:rPr>
          <w:rFonts w:ascii="Times New Roman" w:hAnsi="Times New Roman"/>
          <w:szCs w:val="21"/>
        </w:rPr>
        <w:t>）</w:t>
      </w:r>
      <w:r>
        <w:rPr>
          <w:szCs w:val="21"/>
        </w:rPr>
        <w:t>的企业按照上述</w:t>
      </w:r>
      <w:r>
        <w:rPr>
          <w:rFonts w:hint="eastAsia"/>
          <w:szCs w:val="21"/>
          <w:lang w:eastAsia="zh-CN"/>
        </w:rPr>
        <w:t>“</w:t>
      </w:r>
      <w:r>
        <w:rPr>
          <w:szCs w:val="21"/>
        </w:rPr>
        <w:t>企业数据整理的原则</w:t>
      </w:r>
      <w:r>
        <w:rPr>
          <w:rFonts w:hint="eastAsia"/>
          <w:szCs w:val="21"/>
          <w:lang w:eastAsia="zh-CN"/>
        </w:rPr>
        <w:t>”</w:t>
      </w:r>
      <w:r>
        <w:rPr>
          <w:rFonts w:hAnsi="Times New Roman"/>
          <w:szCs w:val="21"/>
        </w:rPr>
        <w:t>分别采用不同系数进行计算。</w:t>
      </w:r>
    </w:p>
    <w:p w14:paraId="58181660">
      <w:pPr>
        <w:pStyle w:val="16"/>
        <w:spacing w:line="360" w:lineRule="exact"/>
        <w:ind w:firstLine="424" w:firstLineChars="202"/>
        <w:textAlignment w:val="center"/>
        <w:rPr>
          <w:szCs w:val="21"/>
        </w:rPr>
      </w:pPr>
      <w:r>
        <w:rPr>
          <w:rFonts w:hint="eastAsia" w:hAnsi="Times New Roman"/>
          <w:szCs w:val="21"/>
        </w:rPr>
        <w:t>3</w:t>
      </w:r>
      <w:r>
        <w:rPr>
          <w:rFonts w:hAnsi="Times New Roman"/>
          <w:szCs w:val="21"/>
        </w:rPr>
        <w:t>.工业</w:t>
      </w:r>
      <w:r>
        <w:rPr>
          <w:rFonts w:hint="eastAsia" w:hAnsi="Times New Roman"/>
          <w:szCs w:val="21"/>
        </w:rPr>
        <w:t>能源消费量核算</w:t>
      </w:r>
      <w:r>
        <w:rPr>
          <w:szCs w:val="21"/>
        </w:rPr>
        <w:t>方法：使用</w:t>
      </w:r>
      <w:r>
        <w:rPr>
          <w:rFonts w:hint="eastAsia"/>
          <w:szCs w:val="21"/>
        </w:rPr>
        <w:t>本期</w:t>
      </w:r>
      <w:r>
        <w:rPr>
          <w:szCs w:val="21"/>
        </w:rPr>
        <w:t>规模</w:t>
      </w:r>
      <w:r>
        <w:rPr>
          <w:rFonts w:hint="eastAsia"/>
          <w:szCs w:val="21"/>
        </w:rPr>
        <w:t>以上</w:t>
      </w:r>
      <w:r>
        <w:rPr>
          <w:szCs w:val="21"/>
        </w:rPr>
        <w:t>工业能源消费量及</w:t>
      </w:r>
      <w:r>
        <w:rPr>
          <w:rFonts w:hint="eastAsia"/>
          <w:szCs w:val="21"/>
        </w:rPr>
        <w:t>上年规模以上工业占工业能源消费量比重</w:t>
      </w:r>
      <w:r>
        <w:rPr>
          <w:szCs w:val="21"/>
        </w:rPr>
        <w:t>进行</w:t>
      </w:r>
      <w:r>
        <w:rPr>
          <w:rFonts w:hint="eastAsia"/>
          <w:szCs w:val="21"/>
        </w:rPr>
        <w:t>核</w:t>
      </w:r>
      <w:r>
        <w:rPr>
          <w:szCs w:val="21"/>
        </w:rPr>
        <w:t>算。</w:t>
      </w:r>
    </w:p>
    <w:p w14:paraId="5513B3E7">
      <w:pPr>
        <w:pStyle w:val="16"/>
        <w:spacing w:line="360" w:lineRule="exact"/>
        <w:ind w:left="2415" w:leftChars="200" w:hanging="1995" w:hangingChars="950"/>
        <w:textAlignment w:val="center"/>
        <w:rPr>
          <w:szCs w:val="21"/>
        </w:rPr>
      </w:pPr>
      <w:r>
        <w:rPr>
          <w:szCs w:val="21"/>
        </w:rPr>
        <w:t>本期</w:t>
      </w:r>
      <w:r>
        <w:rPr>
          <w:rFonts w:hint="eastAsia"/>
          <w:szCs w:val="21"/>
        </w:rPr>
        <w:t>工业能源消费量</w:t>
      </w:r>
      <w:r>
        <w:rPr>
          <w:szCs w:val="21"/>
        </w:rPr>
        <w:t>=本期规模以上工业能源消费量÷上年规模以上工业占工业能源消费量比重</w:t>
      </w:r>
    </w:p>
    <w:p w14:paraId="351B80E9">
      <w:pPr>
        <w:pStyle w:val="16"/>
        <w:spacing w:line="360" w:lineRule="exact"/>
        <w:ind w:left="2415" w:leftChars="1100" w:hanging="105" w:hangingChars="50"/>
        <w:textAlignment w:val="center"/>
        <w:rPr>
          <w:szCs w:val="21"/>
        </w:rPr>
      </w:pPr>
      <w:r>
        <w:rPr>
          <w:rFonts w:hint="eastAsia"/>
          <w:szCs w:val="21"/>
        </w:rPr>
        <w:t>=本期规模以上工业能源消费量÷（上年规模以上工业能源消费量/上年工业能源消费量）</w:t>
      </w:r>
    </w:p>
    <w:p w14:paraId="5EB4F2C5">
      <w:pPr>
        <w:spacing w:line="360" w:lineRule="atLeast"/>
        <w:ind w:right="-40" w:firstLine="430" w:firstLineChars="205"/>
        <w:textAlignment w:val="center"/>
      </w:pPr>
      <w:r>
        <w:rPr>
          <w:rFonts w:ascii="宋体" w:hAnsi="宋体"/>
          <w:szCs w:val="21"/>
        </w:rPr>
        <w:t>其中</w:t>
      </w:r>
      <w:r>
        <w:rPr>
          <w:szCs w:val="21"/>
        </w:rPr>
        <w:t>：</w:t>
      </w:r>
    </w:p>
    <w:p w14:paraId="2C86251B">
      <w:pPr>
        <w:spacing w:line="360" w:lineRule="atLeast"/>
        <w:ind w:right="-40" w:firstLine="430" w:firstLineChars="205"/>
        <w:textAlignment w:val="center"/>
        <w:rPr>
          <w:szCs w:val="21"/>
        </w:rPr>
      </w:pPr>
      <w:r>
        <w:rPr>
          <w:szCs w:val="21"/>
        </w:rPr>
        <w:t>（</w:t>
      </w:r>
      <w:r>
        <w:rPr>
          <w:rFonts w:ascii="宋体" w:hAnsi="宋体"/>
          <w:szCs w:val="21"/>
        </w:rPr>
        <w:t>1</w:t>
      </w:r>
      <w:r>
        <w:rPr>
          <w:szCs w:val="21"/>
        </w:rPr>
        <w:t>）</w:t>
      </w:r>
      <w:r>
        <w:rPr>
          <w:rFonts w:hint="eastAsia"/>
          <w:szCs w:val="21"/>
          <w:lang w:eastAsia="zh-CN"/>
        </w:rPr>
        <w:t>“</w:t>
      </w:r>
      <w:r>
        <w:rPr>
          <w:rFonts w:ascii="宋体" w:hAnsi="宋体"/>
          <w:szCs w:val="21"/>
        </w:rPr>
        <w:t>本期规模以上工业能源消费量</w:t>
      </w:r>
      <w:r>
        <w:rPr>
          <w:rFonts w:hint="eastAsia"/>
          <w:szCs w:val="21"/>
          <w:lang w:eastAsia="zh-CN"/>
        </w:rPr>
        <w:t>”</w:t>
      </w:r>
      <w:r>
        <w:rPr>
          <w:rFonts w:hint="eastAsia" w:ascii="宋体" w:hAnsi="宋体"/>
          <w:szCs w:val="21"/>
          <w:lang w:eastAsia="zh-CN"/>
        </w:rPr>
        <w:t>“</w:t>
      </w:r>
      <w:r>
        <w:rPr>
          <w:rFonts w:ascii="宋体" w:hAnsi="宋体"/>
          <w:szCs w:val="21"/>
        </w:rPr>
        <w:t>上年规模以上工业能源消费量</w:t>
      </w:r>
      <w:r>
        <w:rPr>
          <w:rFonts w:hint="eastAsia" w:ascii="宋体" w:hAnsi="宋体"/>
          <w:szCs w:val="21"/>
          <w:lang w:eastAsia="zh-CN"/>
        </w:rPr>
        <w:t>”</w:t>
      </w:r>
      <w:r>
        <w:rPr>
          <w:rFonts w:ascii="宋体" w:hAnsi="宋体"/>
          <w:szCs w:val="21"/>
        </w:rPr>
        <w:t>是</w:t>
      </w:r>
      <w:r>
        <w:rPr>
          <w:rFonts w:hint="eastAsia" w:ascii="宋体" w:hAnsi="宋体"/>
          <w:szCs w:val="21"/>
        </w:rPr>
        <w:t>指</w:t>
      </w:r>
      <w:r>
        <w:rPr>
          <w:rFonts w:ascii="宋体" w:hAnsi="宋体"/>
          <w:szCs w:val="21"/>
        </w:rPr>
        <w:t>205-1/-2表本期和上年数据</w:t>
      </w:r>
      <w:r>
        <w:rPr>
          <w:rFonts w:hint="eastAsia" w:ascii="宋体" w:hAnsi="宋体"/>
          <w:szCs w:val="21"/>
        </w:rPr>
        <w:t>。</w:t>
      </w:r>
    </w:p>
    <w:p w14:paraId="337AFCA9">
      <w:pPr>
        <w:pStyle w:val="16"/>
        <w:spacing w:line="360" w:lineRule="exact"/>
        <w:ind w:firstLine="424" w:firstLineChars="202"/>
        <w:textAlignment w:val="center"/>
        <w:rPr>
          <w:spacing w:val="8"/>
          <w:szCs w:val="21"/>
        </w:rPr>
      </w:pPr>
      <w:r>
        <w:rPr>
          <w:szCs w:val="21"/>
        </w:rPr>
        <w:t>（2）</w:t>
      </w:r>
      <w:r>
        <w:rPr>
          <w:rFonts w:hint="eastAsia"/>
          <w:szCs w:val="21"/>
          <w:lang w:eastAsia="zh-CN"/>
        </w:rPr>
        <w:t>“</w:t>
      </w:r>
      <w:r>
        <w:rPr>
          <w:szCs w:val="21"/>
        </w:rPr>
        <w:t>上年工业能源消费量</w:t>
      </w:r>
      <w:r>
        <w:rPr>
          <w:rFonts w:hint="eastAsia"/>
          <w:szCs w:val="21"/>
          <w:lang w:eastAsia="zh-CN"/>
        </w:rPr>
        <w:t>”</w:t>
      </w:r>
      <w:r>
        <w:rPr>
          <w:szCs w:val="21"/>
        </w:rPr>
        <w:t>是指上年能源平衡表中工业能源消费量数据。</w:t>
      </w:r>
    </w:p>
    <w:p w14:paraId="038D400B">
      <w:pPr>
        <w:pStyle w:val="16"/>
        <w:spacing w:line="360" w:lineRule="exact"/>
        <w:ind w:firstLine="0" w:firstLineChars="0"/>
        <w:textAlignment w:val="center"/>
        <w:rPr>
          <w:spacing w:val="8"/>
          <w:sz w:val="18"/>
          <w:szCs w:val="18"/>
        </w:rPr>
      </w:pPr>
      <w:r>
        <w:rPr>
          <w:spacing w:val="8"/>
          <w:sz w:val="18"/>
          <w:szCs w:val="18"/>
        </w:rPr>
        <w:t>表</w:t>
      </w:r>
      <w:del w:id="637" w:author="kylin" w:date="2025-10-30T09:39:09Z">
        <w:r>
          <w:rPr>
            <w:rFonts w:hint="default" w:hAnsi="Times New Roman"/>
            <w:sz w:val="18"/>
            <w:szCs w:val="18"/>
            <w:lang w:val="en-US"/>
          </w:rPr>
          <w:delText>4</w:delText>
        </w:r>
      </w:del>
      <w:ins w:id="638" w:author="kylin" w:date="2025-10-30T09:39:09Z">
        <w:r>
          <w:rPr>
            <w:rFonts w:hint="default" w:hAnsi="Times New Roman"/>
            <w:sz w:val="18"/>
            <w:szCs w:val="18"/>
            <w:lang w:val="en-US"/>
          </w:rPr>
          <w:t>5</w:t>
        </w:r>
      </w:ins>
    </w:p>
    <w:tbl>
      <w:tblPr>
        <w:tblStyle w:val="20"/>
        <w:tblW w:w="5238"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99"/>
        <w:gridCol w:w="1657"/>
        <w:gridCol w:w="1657"/>
        <w:gridCol w:w="1657"/>
        <w:gridCol w:w="1657"/>
        <w:gridCol w:w="1659"/>
      </w:tblGrid>
      <w:tr w14:paraId="22CE8D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45" w:hRule="atLeast"/>
          <w:jc w:val="center"/>
        </w:trPr>
        <w:tc>
          <w:tcPr>
            <w:tcW w:w="892" w:type="pct"/>
            <w:vAlign w:val="center"/>
          </w:tcPr>
          <w:p w14:paraId="171B7F65">
            <w:pPr>
              <w:spacing w:line="240" w:lineRule="exact"/>
              <w:jc w:val="center"/>
              <w:textAlignment w:val="center"/>
              <w:rPr>
                <w:spacing w:val="8"/>
                <w:sz w:val="18"/>
                <w:szCs w:val="18"/>
              </w:rPr>
            </w:pPr>
            <w:r>
              <w:rPr>
                <w:spacing w:val="8"/>
                <w:sz w:val="18"/>
                <w:szCs w:val="18"/>
              </w:rPr>
              <w:t>指标名称</w:t>
            </w:r>
          </w:p>
        </w:tc>
        <w:tc>
          <w:tcPr>
            <w:tcW w:w="821" w:type="pct"/>
            <w:vAlign w:val="center"/>
          </w:tcPr>
          <w:p w14:paraId="3532ABD0">
            <w:pPr>
              <w:spacing w:line="240" w:lineRule="atLeast"/>
              <w:jc w:val="center"/>
              <w:textAlignment w:val="center"/>
              <w:rPr>
                <w:kern w:val="0"/>
                <w:sz w:val="18"/>
                <w:szCs w:val="18"/>
              </w:rPr>
            </w:pPr>
            <w:r>
              <w:rPr>
                <w:spacing w:val="30"/>
                <w:kern w:val="0"/>
                <w:sz w:val="18"/>
                <w:szCs w:val="18"/>
              </w:rPr>
              <w:t>上年工</w:t>
            </w:r>
            <w:r>
              <w:rPr>
                <w:kern w:val="0"/>
                <w:sz w:val="18"/>
                <w:szCs w:val="18"/>
              </w:rPr>
              <w:t>业</w:t>
            </w:r>
          </w:p>
          <w:p w14:paraId="1D62C622">
            <w:pPr>
              <w:spacing w:line="240" w:lineRule="exact"/>
              <w:jc w:val="center"/>
              <w:textAlignment w:val="center"/>
              <w:rPr>
                <w:sz w:val="20"/>
                <w:szCs w:val="20"/>
              </w:rPr>
            </w:pPr>
            <w:r>
              <w:rPr>
                <w:sz w:val="18"/>
                <w:szCs w:val="18"/>
              </w:rPr>
              <w:t>（万吨标准煤）</w:t>
            </w:r>
          </w:p>
        </w:tc>
        <w:tc>
          <w:tcPr>
            <w:tcW w:w="821" w:type="pct"/>
            <w:vAlign w:val="center"/>
          </w:tcPr>
          <w:p w14:paraId="0CE33352">
            <w:pPr>
              <w:spacing w:line="240" w:lineRule="exact"/>
              <w:jc w:val="center"/>
              <w:textAlignment w:val="center"/>
              <w:rPr>
                <w:kern w:val="0"/>
                <w:sz w:val="18"/>
                <w:szCs w:val="18"/>
              </w:rPr>
            </w:pPr>
            <w:r>
              <w:rPr>
                <w:rFonts w:hint="eastAsia"/>
                <w:kern w:val="0"/>
                <w:sz w:val="18"/>
                <w:szCs w:val="18"/>
              </w:rPr>
              <w:t>上年规模</w:t>
            </w:r>
          </w:p>
          <w:p w14:paraId="566E3B0E">
            <w:pPr>
              <w:spacing w:line="240" w:lineRule="exact"/>
              <w:jc w:val="center"/>
              <w:textAlignment w:val="center"/>
              <w:rPr>
                <w:sz w:val="18"/>
                <w:szCs w:val="18"/>
              </w:rPr>
            </w:pPr>
            <w:r>
              <w:rPr>
                <w:rFonts w:hint="eastAsia"/>
                <w:kern w:val="0"/>
                <w:sz w:val="18"/>
                <w:szCs w:val="18"/>
              </w:rPr>
              <w:t>以上</w:t>
            </w:r>
            <w:r>
              <w:rPr>
                <w:rFonts w:hint="eastAsia"/>
                <w:sz w:val="18"/>
                <w:szCs w:val="18"/>
              </w:rPr>
              <w:t>工业</w:t>
            </w:r>
          </w:p>
          <w:p w14:paraId="53FF18F9">
            <w:pPr>
              <w:spacing w:line="240" w:lineRule="exact"/>
              <w:jc w:val="center"/>
              <w:textAlignment w:val="center"/>
              <w:rPr>
                <w:sz w:val="18"/>
                <w:szCs w:val="18"/>
              </w:rPr>
            </w:pPr>
            <w:r>
              <w:rPr>
                <w:sz w:val="18"/>
                <w:szCs w:val="18"/>
              </w:rPr>
              <w:t>（万吨标准煤）</w:t>
            </w:r>
          </w:p>
        </w:tc>
        <w:tc>
          <w:tcPr>
            <w:tcW w:w="821" w:type="pct"/>
            <w:vAlign w:val="center"/>
          </w:tcPr>
          <w:p w14:paraId="4489D0BD">
            <w:pPr>
              <w:spacing w:line="240" w:lineRule="exact"/>
              <w:jc w:val="center"/>
              <w:textAlignment w:val="center"/>
              <w:rPr>
                <w:spacing w:val="8"/>
                <w:sz w:val="18"/>
                <w:szCs w:val="18"/>
              </w:rPr>
            </w:pPr>
            <w:r>
              <w:rPr>
                <w:rFonts w:hint="eastAsia"/>
                <w:spacing w:val="8"/>
                <w:sz w:val="18"/>
                <w:szCs w:val="18"/>
              </w:rPr>
              <w:t>上年规模以上</w:t>
            </w:r>
          </w:p>
          <w:p w14:paraId="58029C89">
            <w:pPr>
              <w:spacing w:line="240" w:lineRule="exact"/>
              <w:jc w:val="center"/>
              <w:textAlignment w:val="center"/>
              <w:rPr>
                <w:spacing w:val="8"/>
                <w:sz w:val="18"/>
                <w:szCs w:val="18"/>
              </w:rPr>
            </w:pPr>
            <w:r>
              <w:rPr>
                <w:rFonts w:hint="eastAsia"/>
                <w:spacing w:val="8"/>
                <w:sz w:val="18"/>
                <w:szCs w:val="18"/>
              </w:rPr>
              <w:t>工业占全部工业</w:t>
            </w:r>
          </w:p>
          <w:p w14:paraId="06EBA2C3">
            <w:pPr>
              <w:spacing w:line="240" w:lineRule="exact"/>
              <w:jc w:val="center"/>
              <w:textAlignment w:val="center"/>
              <w:rPr>
                <w:spacing w:val="8"/>
                <w:sz w:val="18"/>
                <w:szCs w:val="18"/>
              </w:rPr>
            </w:pPr>
            <w:r>
              <w:rPr>
                <w:rFonts w:hint="eastAsia"/>
                <w:spacing w:val="8"/>
                <w:sz w:val="18"/>
                <w:szCs w:val="18"/>
              </w:rPr>
              <w:t>比重</w:t>
            </w:r>
            <w:r>
              <w:rPr>
                <w:sz w:val="18"/>
                <w:szCs w:val="18"/>
              </w:rPr>
              <w:t>（</w:t>
            </w:r>
            <w:r>
              <w:rPr>
                <w:rFonts w:ascii="宋体" w:hAnsi="宋体"/>
                <w:sz w:val="18"/>
                <w:szCs w:val="18"/>
              </w:rPr>
              <w:t>%</w:t>
            </w:r>
            <w:r>
              <w:rPr>
                <w:sz w:val="18"/>
                <w:szCs w:val="18"/>
              </w:rPr>
              <w:t>）</w:t>
            </w:r>
          </w:p>
        </w:tc>
        <w:tc>
          <w:tcPr>
            <w:tcW w:w="821" w:type="pct"/>
            <w:vAlign w:val="center"/>
          </w:tcPr>
          <w:p w14:paraId="673C56AC">
            <w:pPr>
              <w:spacing w:line="240" w:lineRule="exact"/>
              <w:jc w:val="center"/>
              <w:textAlignment w:val="center"/>
              <w:rPr>
                <w:kern w:val="0"/>
                <w:sz w:val="18"/>
                <w:szCs w:val="18"/>
              </w:rPr>
            </w:pPr>
            <w:r>
              <w:rPr>
                <w:kern w:val="0"/>
                <w:sz w:val="18"/>
                <w:szCs w:val="18"/>
              </w:rPr>
              <w:t>本期规模</w:t>
            </w:r>
          </w:p>
          <w:p w14:paraId="13B6E412">
            <w:pPr>
              <w:spacing w:line="240" w:lineRule="exact"/>
              <w:jc w:val="center"/>
              <w:textAlignment w:val="center"/>
              <w:rPr>
                <w:sz w:val="18"/>
                <w:szCs w:val="18"/>
              </w:rPr>
            </w:pPr>
            <w:r>
              <w:rPr>
                <w:kern w:val="0"/>
                <w:sz w:val="18"/>
                <w:szCs w:val="18"/>
              </w:rPr>
              <w:t>以上</w:t>
            </w:r>
            <w:r>
              <w:rPr>
                <w:sz w:val="18"/>
                <w:szCs w:val="18"/>
              </w:rPr>
              <w:t>工业</w:t>
            </w:r>
          </w:p>
          <w:p w14:paraId="332E448F">
            <w:pPr>
              <w:spacing w:line="240" w:lineRule="exact"/>
              <w:jc w:val="center"/>
              <w:textAlignment w:val="center"/>
              <w:rPr>
                <w:sz w:val="18"/>
                <w:szCs w:val="18"/>
              </w:rPr>
            </w:pPr>
            <w:r>
              <w:rPr>
                <w:sz w:val="18"/>
                <w:szCs w:val="18"/>
              </w:rPr>
              <w:t>（</w:t>
            </w:r>
            <w:r>
              <w:rPr>
                <w:rFonts w:hint="eastAsia"/>
                <w:sz w:val="18"/>
                <w:szCs w:val="18"/>
              </w:rPr>
              <w:t>万吨标准煤）</w:t>
            </w:r>
          </w:p>
        </w:tc>
        <w:tc>
          <w:tcPr>
            <w:tcW w:w="822" w:type="pct"/>
            <w:vAlign w:val="center"/>
          </w:tcPr>
          <w:p w14:paraId="3F8883E0">
            <w:pPr>
              <w:spacing w:line="240" w:lineRule="exact"/>
              <w:jc w:val="center"/>
              <w:textAlignment w:val="center"/>
              <w:rPr>
                <w:sz w:val="18"/>
                <w:szCs w:val="18"/>
              </w:rPr>
            </w:pPr>
            <w:r>
              <w:rPr>
                <w:spacing w:val="30"/>
                <w:kern w:val="0"/>
                <w:sz w:val="18"/>
                <w:szCs w:val="18"/>
                <w:fitText w:val="900" w:id="-1974319358"/>
              </w:rPr>
              <w:t>本期工</w:t>
            </w:r>
            <w:r>
              <w:rPr>
                <w:spacing w:val="0"/>
                <w:kern w:val="0"/>
                <w:sz w:val="18"/>
                <w:szCs w:val="18"/>
                <w:fitText w:val="900" w:id="-1974319358"/>
              </w:rPr>
              <w:t>业</w:t>
            </w:r>
          </w:p>
          <w:p w14:paraId="39E792E9">
            <w:pPr>
              <w:spacing w:line="240" w:lineRule="exact"/>
              <w:jc w:val="center"/>
              <w:textAlignment w:val="center"/>
              <w:rPr>
                <w:sz w:val="18"/>
                <w:szCs w:val="18"/>
              </w:rPr>
            </w:pPr>
            <w:r>
              <w:rPr>
                <w:sz w:val="18"/>
                <w:szCs w:val="18"/>
              </w:rPr>
              <w:t>（</w:t>
            </w:r>
            <w:r>
              <w:rPr>
                <w:rFonts w:hint="eastAsia"/>
                <w:sz w:val="18"/>
                <w:szCs w:val="18"/>
              </w:rPr>
              <w:t>万吨标准煤）</w:t>
            </w:r>
          </w:p>
        </w:tc>
      </w:tr>
      <w:tr w14:paraId="48A5C6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92" w:type="pct"/>
            <w:tcBorders>
              <w:bottom w:val="single" w:color="auto" w:sz="2" w:space="0"/>
            </w:tcBorders>
            <w:vAlign w:val="center"/>
          </w:tcPr>
          <w:p w14:paraId="2847FA40">
            <w:pPr>
              <w:spacing w:line="300" w:lineRule="exact"/>
              <w:jc w:val="center"/>
              <w:textAlignment w:val="center"/>
              <w:rPr>
                <w:spacing w:val="8"/>
                <w:sz w:val="18"/>
                <w:szCs w:val="18"/>
              </w:rPr>
            </w:pPr>
            <w:r>
              <w:rPr>
                <w:spacing w:val="8"/>
                <w:sz w:val="18"/>
                <w:szCs w:val="18"/>
              </w:rPr>
              <w:t>甲</w:t>
            </w:r>
          </w:p>
        </w:tc>
        <w:tc>
          <w:tcPr>
            <w:tcW w:w="821" w:type="pct"/>
            <w:tcBorders>
              <w:bottom w:val="single" w:color="auto" w:sz="2" w:space="0"/>
            </w:tcBorders>
            <w:vAlign w:val="center"/>
          </w:tcPr>
          <w:p w14:paraId="61EA412A">
            <w:pPr>
              <w:spacing w:line="300" w:lineRule="exact"/>
              <w:jc w:val="center"/>
              <w:textAlignment w:val="center"/>
              <w:rPr>
                <w:spacing w:val="8"/>
                <w:sz w:val="18"/>
                <w:szCs w:val="18"/>
              </w:rPr>
            </w:pPr>
            <w:r>
              <w:rPr>
                <w:spacing w:val="8"/>
                <w:sz w:val="18"/>
                <w:szCs w:val="18"/>
              </w:rPr>
              <w:t>1</w:t>
            </w:r>
          </w:p>
        </w:tc>
        <w:tc>
          <w:tcPr>
            <w:tcW w:w="821" w:type="pct"/>
            <w:tcBorders>
              <w:bottom w:val="single" w:color="auto" w:sz="2" w:space="0"/>
            </w:tcBorders>
            <w:vAlign w:val="center"/>
          </w:tcPr>
          <w:p w14:paraId="32FD6881">
            <w:pPr>
              <w:spacing w:line="300" w:lineRule="exact"/>
              <w:jc w:val="center"/>
              <w:textAlignment w:val="center"/>
              <w:rPr>
                <w:spacing w:val="8"/>
                <w:sz w:val="18"/>
                <w:szCs w:val="18"/>
              </w:rPr>
            </w:pPr>
            <w:r>
              <w:rPr>
                <w:spacing w:val="8"/>
                <w:sz w:val="18"/>
                <w:szCs w:val="18"/>
              </w:rPr>
              <w:t>2</w:t>
            </w:r>
          </w:p>
        </w:tc>
        <w:tc>
          <w:tcPr>
            <w:tcW w:w="821" w:type="pct"/>
            <w:tcBorders>
              <w:bottom w:val="single" w:color="auto" w:sz="2" w:space="0"/>
            </w:tcBorders>
            <w:vAlign w:val="center"/>
          </w:tcPr>
          <w:p w14:paraId="5434E276">
            <w:pPr>
              <w:spacing w:line="300" w:lineRule="exact"/>
              <w:jc w:val="center"/>
              <w:textAlignment w:val="center"/>
              <w:rPr>
                <w:spacing w:val="8"/>
                <w:sz w:val="18"/>
                <w:szCs w:val="18"/>
              </w:rPr>
            </w:pPr>
            <w:r>
              <w:rPr>
                <w:spacing w:val="8"/>
                <w:sz w:val="18"/>
                <w:szCs w:val="18"/>
              </w:rPr>
              <w:t>3</w:t>
            </w:r>
          </w:p>
        </w:tc>
        <w:tc>
          <w:tcPr>
            <w:tcW w:w="821" w:type="pct"/>
            <w:tcBorders>
              <w:bottom w:val="single" w:color="auto" w:sz="2" w:space="0"/>
            </w:tcBorders>
            <w:vAlign w:val="center"/>
          </w:tcPr>
          <w:p w14:paraId="0F9E921D">
            <w:pPr>
              <w:spacing w:line="300" w:lineRule="exact"/>
              <w:jc w:val="center"/>
              <w:textAlignment w:val="center"/>
              <w:rPr>
                <w:spacing w:val="8"/>
                <w:sz w:val="18"/>
                <w:szCs w:val="18"/>
              </w:rPr>
            </w:pPr>
            <w:r>
              <w:rPr>
                <w:spacing w:val="8"/>
                <w:sz w:val="18"/>
                <w:szCs w:val="18"/>
              </w:rPr>
              <w:t>4</w:t>
            </w:r>
          </w:p>
        </w:tc>
        <w:tc>
          <w:tcPr>
            <w:tcW w:w="822" w:type="pct"/>
            <w:tcBorders>
              <w:bottom w:val="single" w:color="auto" w:sz="2" w:space="0"/>
            </w:tcBorders>
            <w:vAlign w:val="center"/>
          </w:tcPr>
          <w:p w14:paraId="21AE82B2">
            <w:pPr>
              <w:spacing w:line="300" w:lineRule="exact"/>
              <w:jc w:val="center"/>
              <w:textAlignment w:val="center"/>
              <w:rPr>
                <w:spacing w:val="8"/>
                <w:sz w:val="18"/>
                <w:szCs w:val="18"/>
              </w:rPr>
            </w:pPr>
            <w:r>
              <w:rPr>
                <w:spacing w:val="8"/>
                <w:sz w:val="18"/>
                <w:szCs w:val="18"/>
              </w:rPr>
              <w:t>5</w:t>
            </w:r>
          </w:p>
        </w:tc>
      </w:tr>
      <w:tr w14:paraId="6B73D0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9" w:hRule="atLeast"/>
          <w:jc w:val="center"/>
        </w:trPr>
        <w:tc>
          <w:tcPr>
            <w:tcW w:w="892" w:type="pct"/>
            <w:tcBorders>
              <w:top w:val="single" w:color="auto" w:sz="2" w:space="0"/>
              <w:bottom w:val="single" w:color="auto" w:sz="8" w:space="0"/>
            </w:tcBorders>
            <w:vAlign w:val="center"/>
          </w:tcPr>
          <w:p w14:paraId="4EBB9F4A">
            <w:pPr>
              <w:spacing w:line="300" w:lineRule="exact"/>
              <w:jc w:val="center"/>
              <w:textAlignment w:val="center"/>
              <w:rPr>
                <w:spacing w:val="8"/>
                <w:sz w:val="18"/>
                <w:szCs w:val="18"/>
              </w:rPr>
            </w:pPr>
            <w:r>
              <w:rPr>
                <w:spacing w:val="8"/>
                <w:sz w:val="18"/>
                <w:szCs w:val="18"/>
              </w:rPr>
              <w:t>能源消费量</w:t>
            </w:r>
          </w:p>
        </w:tc>
        <w:tc>
          <w:tcPr>
            <w:tcW w:w="821" w:type="pct"/>
            <w:tcBorders>
              <w:top w:val="single" w:color="auto" w:sz="2" w:space="0"/>
              <w:bottom w:val="single" w:color="auto" w:sz="8" w:space="0"/>
            </w:tcBorders>
          </w:tcPr>
          <w:p w14:paraId="3E7F6F1C">
            <w:pPr>
              <w:spacing w:line="300" w:lineRule="exact"/>
              <w:textAlignment w:val="center"/>
              <w:rPr>
                <w:spacing w:val="8"/>
                <w:sz w:val="18"/>
                <w:szCs w:val="18"/>
              </w:rPr>
            </w:pPr>
          </w:p>
        </w:tc>
        <w:tc>
          <w:tcPr>
            <w:tcW w:w="821" w:type="pct"/>
            <w:tcBorders>
              <w:top w:val="single" w:color="auto" w:sz="2" w:space="0"/>
              <w:bottom w:val="single" w:color="auto" w:sz="8" w:space="0"/>
            </w:tcBorders>
          </w:tcPr>
          <w:p w14:paraId="2EB27321">
            <w:pPr>
              <w:spacing w:line="300" w:lineRule="exact"/>
              <w:textAlignment w:val="center"/>
              <w:rPr>
                <w:spacing w:val="8"/>
                <w:sz w:val="18"/>
                <w:szCs w:val="18"/>
              </w:rPr>
            </w:pPr>
          </w:p>
        </w:tc>
        <w:tc>
          <w:tcPr>
            <w:tcW w:w="821" w:type="pct"/>
            <w:tcBorders>
              <w:top w:val="single" w:color="auto" w:sz="2" w:space="0"/>
              <w:bottom w:val="single" w:color="auto" w:sz="8" w:space="0"/>
            </w:tcBorders>
            <w:vAlign w:val="center"/>
          </w:tcPr>
          <w:p w14:paraId="5D499767">
            <w:pPr>
              <w:spacing w:line="300" w:lineRule="exact"/>
              <w:jc w:val="center"/>
              <w:textAlignment w:val="center"/>
              <w:rPr>
                <w:spacing w:val="8"/>
                <w:sz w:val="18"/>
                <w:szCs w:val="18"/>
              </w:rPr>
            </w:pPr>
            <w:r>
              <w:rPr>
                <w:spacing w:val="8"/>
                <w:sz w:val="18"/>
                <w:szCs w:val="18"/>
              </w:rPr>
              <w:t>3=2/1</w:t>
            </w:r>
          </w:p>
        </w:tc>
        <w:tc>
          <w:tcPr>
            <w:tcW w:w="821" w:type="pct"/>
            <w:tcBorders>
              <w:top w:val="single" w:color="auto" w:sz="2" w:space="0"/>
              <w:bottom w:val="single" w:color="auto" w:sz="8" w:space="0"/>
            </w:tcBorders>
            <w:vAlign w:val="center"/>
          </w:tcPr>
          <w:p w14:paraId="4F0BD059">
            <w:pPr>
              <w:spacing w:line="300" w:lineRule="exact"/>
              <w:jc w:val="center"/>
              <w:textAlignment w:val="center"/>
              <w:rPr>
                <w:spacing w:val="8"/>
                <w:sz w:val="18"/>
                <w:szCs w:val="18"/>
              </w:rPr>
            </w:pPr>
          </w:p>
        </w:tc>
        <w:tc>
          <w:tcPr>
            <w:tcW w:w="822" w:type="pct"/>
            <w:tcBorders>
              <w:top w:val="single" w:color="auto" w:sz="2" w:space="0"/>
              <w:bottom w:val="single" w:color="auto" w:sz="8" w:space="0"/>
            </w:tcBorders>
            <w:vAlign w:val="center"/>
          </w:tcPr>
          <w:p w14:paraId="684C7324">
            <w:pPr>
              <w:spacing w:line="300" w:lineRule="exact"/>
              <w:jc w:val="center"/>
              <w:textAlignment w:val="center"/>
              <w:rPr>
                <w:spacing w:val="8"/>
                <w:sz w:val="18"/>
                <w:szCs w:val="18"/>
              </w:rPr>
            </w:pPr>
            <w:r>
              <w:rPr>
                <w:spacing w:val="8"/>
                <w:sz w:val="18"/>
                <w:szCs w:val="18"/>
              </w:rPr>
              <w:t>5=4/3</w:t>
            </w:r>
          </w:p>
        </w:tc>
      </w:tr>
    </w:tbl>
    <w:p w14:paraId="3D4BB268">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（三）建筑业</w:t>
      </w:r>
    </w:p>
    <w:p w14:paraId="137C2C77">
      <w:pPr>
        <w:spacing w:line="360" w:lineRule="exact"/>
        <w:ind w:right="-40" w:firstLine="420" w:firstLineChars="200"/>
        <w:textAlignment w:val="center"/>
        <w:rPr>
          <w:szCs w:val="21"/>
        </w:rPr>
      </w:pPr>
      <w:r>
        <w:rPr>
          <w:szCs w:val="21"/>
        </w:rPr>
        <w:t>分别按照核算方法一、核算方法二</w:t>
      </w:r>
      <w:del w:id="639" w:author="kylin" w:date="2025-10-20T11:11:58Z">
        <w:r>
          <w:rPr>
            <w:szCs w:val="21"/>
          </w:rPr>
          <w:delText>和</w:delText>
        </w:r>
      </w:del>
      <w:ins w:id="640" w:author="kylin" w:date="2025-10-20T11:11:58Z">
        <w:r>
          <w:rPr>
            <w:rFonts w:hint="eastAsia"/>
            <w:szCs w:val="21"/>
            <w:lang w:eastAsia="zh-CN"/>
          </w:rPr>
          <w:t>、</w:t>
        </w:r>
      </w:ins>
      <w:r>
        <w:rPr>
          <w:szCs w:val="21"/>
        </w:rPr>
        <w:t>核算方法三</w:t>
      </w:r>
      <w:ins w:id="641" w:author="kylin" w:date="2025-10-20T11:12:05Z">
        <w:r>
          <w:rPr>
            <w:rFonts w:hint="eastAsia"/>
            <w:szCs w:val="21"/>
            <w:lang w:eastAsia="zh-CN"/>
          </w:rPr>
          <w:t>和核算方法四</w:t>
        </w:r>
      </w:ins>
      <w:r>
        <w:rPr>
          <w:szCs w:val="21"/>
        </w:rPr>
        <w:t>进行</w:t>
      </w:r>
      <w:r>
        <w:rPr>
          <w:rFonts w:hint="eastAsia"/>
          <w:szCs w:val="21"/>
        </w:rPr>
        <w:t>核算。</w:t>
      </w:r>
    </w:p>
    <w:p w14:paraId="6FEB3EC0">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（四）交通运输、</w:t>
      </w:r>
      <w:r>
        <w:rPr>
          <w:rFonts w:ascii="楷体_GB2312" w:eastAsia="楷体_GB2312"/>
          <w:szCs w:val="21"/>
        </w:rPr>
        <w:t>仓储</w:t>
      </w:r>
      <w:r>
        <w:rPr>
          <w:rFonts w:hint="eastAsia" w:ascii="楷体_GB2312" w:eastAsia="楷体_GB2312"/>
          <w:szCs w:val="21"/>
        </w:rPr>
        <w:t>和</w:t>
      </w:r>
      <w:r>
        <w:rPr>
          <w:rFonts w:ascii="楷体_GB2312" w:eastAsia="楷体_GB2312"/>
          <w:szCs w:val="21"/>
        </w:rPr>
        <w:t>邮政业</w:t>
      </w:r>
    </w:p>
    <w:p w14:paraId="3F878BAC">
      <w:pPr>
        <w:spacing w:line="360" w:lineRule="exact"/>
        <w:ind w:right="-40" w:firstLine="420" w:firstLineChars="200"/>
        <w:textAlignment w:val="center"/>
        <w:rPr>
          <w:szCs w:val="21"/>
        </w:rPr>
      </w:pPr>
      <w:r>
        <w:rPr>
          <w:rFonts w:hint="eastAsia"/>
          <w:szCs w:val="21"/>
        </w:rPr>
        <w:t>分别按照核算方法二、核算方法三进行核算，</w:t>
      </w:r>
      <w:r>
        <w:rPr>
          <w:szCs w:val="21"/>
        </w:rPr>
        <w:t>核算方法一</w:t>
      </w:r>
      <w:ins w:id="642" w:author="kylin" w:date="2025-10-27T14:20:45Z">
        <w:r>
          <w:rPr>
            <w:rFonts w:hint="eastAsia"/>
            <w:szCs w:val="21"/>
            <w:lang w:eastAsia="zh-CN"/>
          </w:rPr>
          <w:t>、</w:t>
        </w:r>
      </w:ins>
      <w:ins w:id="643" w:author="kylin" w:date="2025-10-27T14:20:46Z">
        <w:r>
          <w:rPr>
            <w:rFonts w:hint="eastAsia"/>
            <w:szCs w:val="21"/>
            <w:lang w:eastAsia="zh-CN"/>
          </w:rPr>
          <w:t>四</w:t>
        </w:r>
      </w:ins>
      <w:ins w:id="644" w:author="kylin" w:date="2025-10-27T14:27:10Z">
        <w:r>
          <w:rPr>
            <w:rFonts w:hint="eastAsia"/>
            <w:szCs w:val="21"/>
            <w:lang w:eastAsia="zh-CN"/>
          </w:rPr>
          <w:t>均</w:t>
        </w:r>
      </w:ins>
      <w:r>
        <w:rPr>
          <w:szCs w:val="21"/>
        </w:rPr>
        <w:t>使用核算方法二数据结果</w:t>
      </w:r>
      <w:r>
        <w:rPr>
          <w:rFonts w:hint="eastAsia"/>
          <w:szCs w:val="21"/>
        </w:rPr>
        <w:t>。</w:t>
      </w:r>
    </w:p>
    <w:p w14:paraId="3C651039">
      <w:pPr>
        <w:spacing w:line="360" w:lineRule="exact"/>
        <w:ind w:right="-40" w:firstLine="420" w:firstLineChars="200"/>
        <w:textAlignment w:val="center"/>
        <w:rPr>
          <w:rFonts w:ascii="楷体_GB2312" w:eastAsia="楷体_GB2312"/>
          <w:szCs w:val="21"/>
        </w:rPr>
      </w:pPr>
      <w:r>
        <w:rPr>
          <w:rFonts w:hint="eastAsia" w:ascii="楷体_GB2312" w:eastAsia="楷体_GB2312"/>
          <w:szCs w:val="21"/>
        </w:rPr>
        <w:t>（五）服务业</w:t>
      </w:r>
      <w:r>
        <w:rPr>
          <w:rFonts w:hint="eastAsia" w:ascii="楷体_GB2312" w:eastAsia="楷体_GB2312"/>
          <w:szCs w:val="21"/>
          <w:vertAlign w:val="superscript"/>
        </w:rPr>
        <w:t>*</w:t>
      </w:r>
      <w:r>
        <w:rPr>
          <w:rFonts w:hint="eastAsia" w:ascii="楷体_GB2312" w:eastAsia="楷体_GB2312"/>
          <w:szCs w:val="21"/>
        </w:rPr>
        <w:t>（不含</w:t>
      </w:r>
      <w:r>
        <w:rPr>
          <w:rFonts w:ascii="楷体_GB2312" w:eastAsia="楷体_GB2312"/>
          <w:szCs w:val="21"/>
        </w:rPr>
        <w:t>交通运输、仓储和</w:t>
      </w:r>
      <w:r>
        <w:rPr>
          <w:rFonts w:hint="eastAsia" w:ascii="楷体_GB2312" w:eastAsia="楷体_GB2312"/>
          <w:szCs w:val="21"/>
        </w:rPr>
        <w:t>邮政业）</w:t>
      </w:r>
    </w:p>
    <w:p w14:paraId="740CE49F">
      <w:pPr>
        <w:spacing w:line="360" w:lineRule="exact"/>
        <w:ind w:right="-40" w:firstLine="420" w:firstLineChars="200"/>
        <w:textAlignment w:val="center"/>
        <w:rPr>
          <w:szCs w:val="21"/>
        </w:rPr>
      </w:pPr>
      <w:r>
        <w:rPr>
          <w:szCs w:val="21"/>
        </w:rPr>
        <w:t>分别按照核算方法一、核算方法二</w:t>
      </w:r>
      <w:del w:id="645" w:author="kylin" w:date="2025-10-20T11:12:18Z">
        <w:r>
          <w:rPr>
            <w:szCs w:val="21"/>
          </w:rPr>
          <w:delText>和</w:delText>
        </w:r>
      </w:del>
      <w:ins w:id="646" w:author="kylin" w:date="2025-10-20T11:12:18Z">
        <w:r>
          <w:rPr>
            <w:rFonts w:hint="eastAsia"/>
            <w:szCs w:val="21"/>
            <w:lang w:eastAsia="zh-CN"/>
          </w:rPr>
          <w:t>、</w:t>
        </w:r>
      </w:ins>
      <w:r>
        <w:rPr>
          <w:szCs w:val="21"/>
        </w:rPr>
        <w:t>核算方法三</w:t>
      </w:r>
      <w:ins w:id="647" w:author="kylin" w:date="2025-10-20T11:12:16Z">
        <w:r>
          <w:rPr>
            <w:rFonts w:hint="eastAsia"/>
            <w:szCs w:val="21"/>
            <w:lang w:eastAsia="zh-CN"/>
          </w:rPr>
          <w:t>和核算方法四</w:t>
        </w:r>
      </w:ins>
      <w:r>
        <w:rPr>
          <w:szCs w:val="21"/>
        </w:rPr>
        <w:t>进行</w:t>
      </w:r>
      <w:r>
        <w:rPr>
          <w:rFonts w:hint="eastAsia"/>
          <w:szCs w:val="21"/>
        </w:rPr>
        <w:t>核算。</w:t>
      </w:r>
    </w:p>
    <w:p w14:paraId="7017B94C">
      <w:pPr>
        <w:spacing w:line="360" w:lineRule="exact"/>
        <w:ind w:right="-40" w:firstLine="420" w:firstLineChars="200"/>
        <w:textAlignment w:val="center"/>
        <w:rPr>
          <w:rFonts w:ascii="楷体_GB2312" w:eastAsia="楷体_GB2312"/>
          <w:szCs w:val="21"/>
        </w:rPr>
      </w:pPr>
      <w:r>
        <w:rPr>
          <w:rFonts w:ascii="楷体_GB2312" w:eastAsia="楷体_GB2312"/>
          <w:szCs w:val="21"/>
        </w:rPr>
        <w:t>（</w:t>
      </w:r>
      <w:r>
        <w:rPr>
          <w:rFonts w:hint="eastAsia" w:ascii="楷体_GB2312" w:eastAsia="楷体_GB2312"/>
          <w:szCs w:val="21"/>
        </w:rPr>
        <w:t>六</w:t>
      </w:r>
      <w:r>
        <w:rPr>
          <w:rFonts w:ascii="楷体_GB2312" w:eastAsia="楷体_GB2312"/>
          <w:szCs w:val="21"/>
        </w:rPr>
        <w:t>）居民生活</w:t>
      </w:r>
    </w:p>
    <w:p w14:paraId="797A4BA3">
      <w:pPr>
        <w:spacing w:line="360" w:lineRule="exact"/>
        <w:ind w:firstLine="420" w:firstLineChars="200"/>
        <w:textAlignment w:val="center"/>
        <w:rPr>
          <w:szCs w:val="21"/>
        </w:rPr>
      </w:pPr>
      <w:r>
        <w:rPr>
          <w:rFonts w:hint="eastAsia" w:ascii="宋体" w:hAnsi="宋体"/>
          <w:szCs w:val="21"/>
        </w:rPr>
        <w:t>城镇、</w:t>
      </w:r>
      <w:r>
        <w:rPr>
          <w:rFonts w:ascii="宋体" w:hAnsi="宋体"/>
          <w:szCs w:val="21"/>
        </w:rPr>
        <w:t>乡村均</w:t>
      </w:r>
      <w:r>
        <w:rPr>
          <w:rFonts w:hint="eastAsia"/>
          <w:szCs w:val="21"/>
        </w:rPr>
        <w:t>按照核算方法一进行核算，</w:t>
      </w:r>
      <w:r>
        <w:rPr>
          <w:szCs w:val="21"/>
        </w:rPr>
        <w:t>核算方法二</w:t>
      </w:r>
      <w:r>
        <w:rPr>
          <w:rFonts w:hint="eastAsia"/>
          <w:szCs w:val="21"/>
        </w:rPr>
        <w:t>、</w:t>
      </w:r>
      <w:r>
        <w:rPr>
          <w:szCs w:val="21"/>
        </w:rPr>
        <w:t>三</w:t>
      </w:r>
      <w:ins w:id="648" w:author="kylin" w:date="2025-10-20T11:12:26Z">
        <w:r>
          <w:rPr>
            <w:rFonts w:hint="eastAsia"/>
            <w:szCs w:val="21"/>
            <w:lang w:eastAsia="zh-CN"/>
          </w:rPr>
          <w:t>、</w:t>
        </w:r>
      </w:ins>
      <w:ins w:id="649" w:author="kylin" w:date="2025-10-20T11:12:27Z">
        <w:r>
          <w:rPr>
            <w:rFonts w:hint="eastAsia"/>
            <w:szCs w:val="21"/>
            <w:lang w:eastAsia="zh-CN"/>
          </w:rPr>
          <w:t>四</w:t>
        </w:r>
      </w:ins>
      <w:r>
        <w:rPr>
          <w:szCs w:val="21"/>
        </w:rPr>
        <w:t>均使用核算方法一数据结果。</w:t>
      </w:r>
    </w:p>
    <w:p w14:paraId="7A81CFC9">
      <w:pPr>
        <w:spacing w:line="360" w:lineRule="exact"/>
        <w:ind w:firstLine="420" w:firstLineChars="200"/>
        <w:textAlignment w:val="center"/>
        <w:rPr>
          <w:rFonts w:eastAsia="黑体"/>
          <w:szCs w:val="21"/>
        </w:rPr>
      </w:pPr>
      <w:r>
        <w:rPr>
          <w:rFonts w:eastAsia="黑体"/>
          <w:szCs w:val="21"/>
        </w:rPr>
        <w:t>四、</w:t>
      </w:r>
      <w:r>
        <w:rPr>
          <w:rFonts w:hint="eastAsia" w:eastAsia="黑体"/>
          <w:szCs w:val="21"/>
        </w:rPr>
        <w:t>审核方法</w:t>
      </w:r>
    </w:p>
    <w:p w14:paraId="66FB4445">
      <w:pPr>
        <w:pStyle w:val="9"/>
        <w:spacing w:line="360" w:lineRule="exact"/>
        <w:ind w:right="0" w:firstLine="420" w:firstLineChars="200"/>
        <w:textAlignment w:val="center"/>
      </w:pPr>
      <w:r>
        <w:rPr>
          <w:rFonts w:hint="eastAsia"/>
          <w:szCs w:val="21"/>
        </w:rPr>
        <w:t>季度地区能源消费总量审核的重点是</w:t>
      </w:r>
      <w:r>
        <w:rPr>
          <w:szCs w:val="21"/>
        </w:rPr>
        <w:t>电力等价</w:t>
      </w:r>
      <w:r>
        <w:rPr>
          <w:rFonts w:hint="eastAsia"/>
          <w:szCs w:val="21"/>
        </w:rPr>
        <w:t>折标系数</w:t>
      </w:r>
      <w:r>
        <w:rPr>
          <w:szCs w:val="21"/>
        </w:rPr>
        <w:t>、分行业能耗增速、消费端与供应端数据</w:t>
      </w:r>
      <w:r>
        <w:rPr>
          <w:rFonts w:hint="eastAsia"/>
          <w:szCs w:val="21"/>
          <w:lang w:eastAsia="zh-CN"/>
        </w:rPr>
        <w:t>等</w:t>
      </w:r>
      <w:r>
        <w:rPr>
          <w:szCs w:val="21"/>
        </w:rPr>
        <w:t>综合指标。</w:t>
      </w:r>
      <w:r>
        <w:rPr>
          <w:rFonts w:hint="eastAsia"/>
          <w:szCs w:val="21"/>
        </w:rPr>
        <w:t>核算本期电力等价折标系数时，其变动克数应参考中电联、规模以上工业等价折标系数的变动情况。在</w:t>
      </w:r>
      <w:r>
        <w:rPr>
          <w:szCs w:val="21"/>
        </w:rPr>
        <w:t>对分行业</w:t>
      </w:r>
      <w:r>
        <w:rPr>
          <w:rFonts w:hint="eastAsia"/>
          <w:szCs w:val="21"/>
        </w:rPr>
        <w:t>能耗</w:t>
      </w:r>
      <w:r>
        <w:rPr>
          <w:szCs w:val="21"/>
        </w:rPr>
        <w:t>增速进行审核时，</w:t>
      </w:r>
      <w:r>
        <w:rPr>
          <w:rFonts w:hint="eastAsia"/>
          <w:szCs w:val="21"/>
        </w:rPr>
        <w:t>农、林、牧、渔业，</w:t>
      </w:r>
      <w:r>
        <w:rPr>
          <w:szCs w:val="21"/>
        </w:rPr>
        <w:t>建筑业</w:t>
      </w:r>
      <w:r>
        <w:rPr>
          <w:rFonts w:hint="eastAsia"/>
          <w:szCs w:val="21"/>
        </w:rPr>
        <w:t>，服务业</w:t>
      </w:r>
      <w:r>
        <w:rPr>
          <w:rFonts w:hint="eastAsia"/>
          <w:szCs w:val="21"/>
          <w:vertAlign w:val="superscript"/>
        </w:rPr>
        <w:t>*</w:t>
      </w:r>
      <w:r>
        <w:rPr>
          <w:rFonts w:hint="eastAsia"/>
          <w:szCs w:val="21"/>
        </w:rPr>
        <w:t>（不</w:t>
      </w:r>
      <w:r>
        <w:rPr>
          <w:szCs w:val="21"/>
        </w:rPr>
        <w:t>含</w:t>
      </w:r>
      <w:r>
        <w:rPr>
          <w:rFonts w:hint="eastAsia"/>
          <w:szCs w:val="21"/>
        </w:rPr>
        <w:t>交通运输、仓储和邮政业）、</w:t>
      </w:r>
      <w:r>
        <w:rPr>
          <w:szCs w:val="21"/>
        </w:rPr>
        <w:t>城镇居民生活和乡村居民生活主要依据电力</w:t>
      </w:r>
      <w:r>
        <w:rPr>
          <w:rFonts w:hint="eastAsia"/>
          <w:szCs w:val="21"/>
        </w:rPr>
        <w:t>推算数（</w:t>
      </w:r>
      <w:r>
        <w:rPr>
          <w:szCs w:val="21"/>
        </w:rPr>
        <w:t>是</w:t>
      </w:r>
      <w:r>
        <w:rPr>
          <w:rFonts w:hint="eastAsia"/>
          <w:szCs w:val="21"/>
        </w:rPr>
        <w:t>指各行业和居民生活本期用电量增速</w:t>
      </w:r>
      <w:r>
        <w:rPr>
          <w:szCs w:val="21"/>
        </w:rPr>
        <w:t>乘以</w:t>
      </w:r>
      <w:r>
        <w:rPr>
          <w:rFonts w:hint="eastAsia"/>
          <w:szCs w:val="21"/>
        </w:rPr>
        <w:t>上年能源平衡表中各行业和居民生活用电量占该行业和居民生活能源消费量的比重</w:t>
      </w:r>
      <w:r>
        <w:rPr>
          <w:rFonts w:hint="eastAsia"/>
          <w:szCs w:val="21"/>
          <w:lang w:eastAsia="zh-CN"/>
        </w:rPr>
        <w:t>及有关数据</w:t>
      </w:r>
      <w:r>
        <w:rPr>
          <w:rFonts w:hint="eastAsia"/>
          <w:szCs w:val="21"/>
        </w:rPr>
        <w:t>）；</w:t>
      </w:r>
      <w:r>
        <w:t>规模以上工业主要依据</w:t>
      </w:r>
      <w:r>
        <w:rPr>
          <w:rFonts w:hint="eastAsia"/>
        </w:rPr>
        <w:t>205-1/-2表</w:t>
      </w:r>
      <w:r>
        <w:t>数据；</w:t>
      </w:r>
      <w:r>
        <w:rPr>
          <w:rFonts w:hint="eastAsia"/>
          <w:lang w:eastAsia="zh-CN"/>
        </w:rPr>
        <w:t>规模以下工业主要依据增加值数据和规模以上工业数据</w:t>
      </w:r>
      <w:r>
        <w:t>；</w:t>
      </w:r>
      <w:r>
        <w:rPr>
          <w:rFonts w:hint="eastAsia"/>
        </w:rPr>
        <w:t>交通运输、仓储和邮政业主要</w:t>
      </w:r>
      <w:r>
        <w:t>依据增加值</w:t>
      </w:r>
      <w:r>
        <w:rPr>
          <w:rFonts w:hint="eastAsia"/>
          <w:lang w:eastAsia="zh-CN"/>
        </w:rPr>
        <w:t>及有关</w:t>
      </w:r>
      <w:r>
        <w:t>数据</w:t>
      </w:r>
      <w:r>
        <w:rPr>
          <w:rFonts w:hint="eastAsia"/>
        </w:rPr>
        <w:t>。同</w:t>
      </w:r>
      <w:r>
        <w:t>时</w:t>
      </w:r>
      <w:r>
        <w:rPr>
          <w:rFonts w:hint="eastAsia"/>
        </w:rPr>
        <w:t>，</w:t>
      </w:r>
      <w:r>
        <w:t>结合国家数据进行审核</w:t>
      </w:r>
      <w:r>
        <w:rPr>
          <w:rFonts w:hint="eastAsia"/>
          <w:lang w:eastAsia="zh-CN"/>
        </w:rPr>
        <w:t>。</w:t>
      </w:r>
      <w:r>
        <w:rPr>
          <w:rFonts w:hint="eastAsia"/>
        </w:rPr>
        <w:t>整体而言，能耗核算结果应符合经济社会发展规律和地区实际，综合指标基本衔接。</w:t>
      </w:r>
    </w:p>
    <w:p w14:paraId="507E25BF">
      <w:pPr>
        <w:spacing w:line="360" w:lineRule="atLeast"/>
        <w:ind w:firstLine="420" w:firstLineChars="200"/>
        <w:textAlignment w:val="center"/>
        <w:rPr>
          <w:rFonts w:eastAsia="黑体"/>
          <w:szCs w:val="21"/>
        </w:rPr>
      </w:pPr>
      <w:r>
        <w:rPr>
          <w:rFonts w:eastAsia="黑体"/>
          <w:szCs w:val="21"/>
        </w:rPr>
        <w:t>五、核算结果报送</w:t>
      </w:r>
    </w:p>
    <w:p w14:paraId="29ABB248">
      <w:pPr>
        <w:spacing w:line="360" w:lineRule="atLeast"/>
        <w:ind w:firstLine="420" w:firstLineChars="200"/>
        <w:textAlignment w:val="center"/>
        <w:rPr>
          <w:spacing w:val="8"/>
          <w:sz w:val="18"/>
          <w:szCs w:val="18"/>
        </w:rPr>
      </w:pPr>
      <w:r>
        <w:rPr>
          <w:rFonts w:ascii="宋体" w:hAnsi="宋体"/>
          <w:szCs w:val="21"/>
        </w:rPr>
        <w:t>1.核算表</w:t>
      </w:r>
    </w:p>
    <w:p w14:paraId="2357BE7E">
      <w:pPr>
        <w:ind w:firstLine="196" w:firstLineChars="100"/>
        <w:textAlignment w:val="center"/>
        <w:rPr>
          <w:spacing w:val="8"/>
          <w:sz w:val="18"/>
          <w:szCs w:val="18"/>
        </w:rPr>
      </w:pPr>
    </w:p>
    <w:p w14:paraId="4EFA8BCF">
      <w:pPr>
        <w:textAlignment w:val="center"/>
        <w:rPr>
          <w:spacing w:val="8"/>
          <w:sz w:val="18"/>
          <w:szCs w:val="18"/>
        </w:rPr>
      </w:pPr>
    </w:p>
    <w:p w14:paraId="24EBAF97">
      <w:pPr>
        <w:textAlignment w:val="center"/>
        <w:rPr>
          <w:spacing w:val="8"/>
          <w:sz w:val="18"/>
          <w:szCs w:val="18"/>
        </w:rPr>
      </w:pPr>
      <w:r>
        <w:rPr>
          <w:spacing w:val="8"/>
          <w:sz w:val="18"/>
          <w:szCs w:val="18"/>
        </w:rPr>
        <w:t>表</w:t>
      </w:r>
      <w:del w:id="650" w:author="kylin" w:date="2025-10-30T09:39:12Z">
        <w:r>
          <w:rPr>
            <w:rFonts w:hint="default" w:ascii="宋体" w:hAnsi="宋体"/>
            <w:spacing w:val="8"/>
            <w:sz w:val="18"/>
            <w:szCs w:val="18"/>
            <w:lang w:val="en-US"/>
          </w:rPr>
          <w:delText>5</w:delText>
        </w:r>
      </w:del>
      <w:ins w:id="651" w:author="kylin" w:date="2025-10-30T09:39:12Z">
        <w:r>
          <w:rPr>
            <w:rFonts w:hint="default" w:ascii="宋体" w:hAnsi="宋体"/>
            <w:spacing w:val="8"/>
            <w:sz w:val="18"/>
            <w:szCs w:val="18"/>
            <w:lang w:val="en-US"/>
          </w:rPr>
          <w:t>6</w:t>
        </w:r>
      </w:ins>
    </w:p>
    <w:tbl>
      <w:tblPr>
        <w:tblStyle w:val="20"/>
        <w:tblW w:w="10206"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4111"/>
        <w:gridCol w:w="1276"/>
        <w:gridCol w:w="608"/>
        <w:gridCol w:w="907"/>
        <w:gridCol w:w="907"/>
        <w:gridCol w:w="907"/>
        <w:gridCol w:w="745"/>
        <w:gridCol w:w="745"/>
      </w:tblGrid>
      <w:tr w14:paraId="19E3A7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111" w:type="dxa"/>
            <w:vMerge w:val="restart"/>
            <w:tcBorders>
              <w:top w:val="single" w:color="auto" w:sz="8" w:space="0"/>
              <w:left w:val="nil"/>
              <w:bottom w:val="single" w:color="auto" w:sz="4" w:space="0"/>
              <w:right w:val="single" w:color="auto" w:sz="2" w:space="0"/>
            </w:tcBorders>
            <w:vAlign w:val="center"/>
          </w:tcPr>
          <w:p w14:paraId="4533FADF">
            <w:pPr>
              <w:jc w:val="center"/>
              <w:textAlignment w:val="center"/>
              <w:rPr>
                <w:sz w:val="18"/>
                <w:szCs w:val="18"/>
              </w:rPr>
            </w:pPr>
            <w:r>
              <w:rPr>
                <w:sz w:val="18"/>
                <w:szCs w:val="18"/>
              </w:rPr>
              <w:t>指标名称</w:t>
            </w:r>
          </w:p>
        </w:tc>
        <w:tc>
          <w:tcPr>
            <w:tcW w:w="1276" w:type="dxa"/>
            <w:vMerge w:val="restart"/>
            <w:tcBorders>
              <w:top w:val="single" w:color="auto" w:sz="8" w:space="0"/>
              <w:left w:val="single" w:color="auto" w:sz="2" w:space="0"/>
              <w:bottom w:val="single" w:color="auto" w:sz="4" w:space="0"/>
              <w:right w:val="single" w:color="auto" w:sz="2" w:space="0"/>
            </w:tcBorders>
            <w:vAlign w:val="center"/>
          </w:tcPr>
          <w:p w14:paraId="10D1A61A">
            <w:pPr>
              <w:jc w:val="center"/>
              <w:textAlignment w:val="center"/>
              <w:rPr>
                <w:sz w:val="18"/>
                <w:szCs w:val="18"/>
              </w:rPr>
            </w:pPr>
            <w:r>
              <w:rPr>
                <w:sz w:val="18"/>
                <w:szCs w:val="18"/>
              </w:rPr>
              <w:t>计量单位</w:t>
            </w:r>
          </w:p>
        </w:tc>
        <w:tc>
          <w:tcPr>
            <w:tcW w:w="608" w:type="dxa"/>
            <w:vMerge w:val="restart"/>
            <w:tcBorders>
              <w:top w:val="single" w:color="auto" w:sz="8" w:space="0"/>
              <w:left w:val="single" w:color="auto" w:sz="2" w:space="0"/>
              <w:bottom w:val="single" w:color="auto" w:sz="4" w:space="0"/>
              <w:right w:val="single" w:color="auto" w:sz="2" w:space="0"/>
            </w:tcBorders>
            <w:vAlign w:val="center"/>
          </w:tcPr>
          <w:p w14:paraId="0B1D173C">
            <w:pPr>
              <w:jc w:val="center"/>
              <w:textAlignment w:val="center"/>
              <w:rPr>
                <w:sz w:val="18"/>
                <w:szCs w:val="18"/>
              </w:rPr>
            </w:pPr>
            <w:r>
              <w:rPr>
                <w:sz w:val="18"/>
                <w:szCs w:val="18"/>
              </w:rPr>
              <w:t>代码</w:t>
            </w:r>
          </w:p>
        </w:tc>
        <w:tc>
          <w:tcPr>
            <w:tcW w:w="907" w:type="dxa"/>
            <w:vMerge w:val="restart"/>
            <w:tcBorders>
              <w:top w:val="single" w:color="auto" w:sz="8" w:space="0"/>
              <w:left w:val="single" w:color="auto" w:sz="2" w:space="0"/>
              <w:bottom w:val="single" w:color="auto" w:sz="4" w:space="0"/>
              <w:right w:val="single" w:color="auto" w:sz="2" w:space="0"/>
            </w:tcBorders>
            <w:vAlign w:val="center"/>
          </w:tcPr>
          <w:p w14:paraId="25A71925">
            <w:pPr>
              <w:jc w:val="center"/>
              <w:textAlignment w:val="center"/>
              <w:rPr>
                <w:sz w:val="18"/>
                <w:szCs w:val="18"/>
              </w:rPr>
            </w:pPr>
            <w:r>
              <w:rPr>
                <w:sz w:val="18"/>
                <w:szCs w:val="18"/>
              </w:rPr>
              <w:t>本期</w:t>
            </w:r>
          </w:p>
        </w:tc>
        <w:tc>
          <w:tcPr>
            <w:tcW w:w="907" w:type="dxa"/>
            <w:vMerge w:val="restart"/>
            <w:tcBorders>
              <w:top w:val="single" w:color="auto" w:sz="8" w:space="0"/>
              <w:left w:val="single" w:color="auto" w:sz="2" w:space="0"/>
              <w:bottom w:val="single" w:color="auto" w:sz="4" w:space="0"/>
              <w:right w:val="single" w:color="auto" w:sz="2" w:space="0"/>
            </w:tcBorders>
            <w:vAlign w:val="center"/>
          </w:tcPr>
          <w:p w14:paraId="046F0372">
            <w:pPr>
              <w:jc w:val="center"/>
              <w:textAlignment w:val="center"/>
              <w:rPr>
                <w:sz w:val="18"/>
                <w:szCs w:val="18"/>
              </w:rPr>
            </w:pPr>
            <w:r>
              <w:rPr>
                <w:sz w:val="18"/>
                <w:szCs w:val="18"/>
              </w:rPr>
              <w:t>上年同期</w:t>
            </w:r>
          </w:p>
        </w:tc>
        <w:tc>
          <w:tcPr>
            <w:tcW w:w="907" w:type="dxa"/>
            <w:vMerge w:val="restart"/>
            <w:tcBorders>
              <w:top w:val="single" w:color="auto" w:sz="8" w:space="0"/>
              <w:left w:val="single" w:color="auto" w:sz="2" w:space="0"/>
              <w:bottom w:val="single" w:color="auto" w:sz="4" w:space="0"/>
              <w:right w:val="single" w:color="auto" w:sz="2" w:space="0"/>
            </w:tcBorders>
            <w:vAlign w:val="center"/>
          </w:tcPr>
          <w:p w14:paraId="0E5F6CD2">
            <w:pPr>
              <w:jc w:val="center"/>
              <w:textAlignment w:val="center"/>
              <w:rPr>
                <w:sz w:val="18"/>
                <w:szCs w:val="18"/>
              </w:rPr>
            </w:pPr>
            <w:r>
              <w:rPr>
                <w:sz w:val="18"/>
                <w:szCs w:val="18"/>
              </w:rPr>
              <w:t>比上年</w:t>
            </w:r>
          </w:p>
          <w:p w14:paraId="45303876">
            <w:pPr>
              <w:jc w:val="center"/>
              <w:textAlignment w:val="center"/>
              <w:rPr>
                <w:sz w:val="18"/>
                <w:szCs w:val="18"/>
              </w:rPr>
            </w:pPr>
            <w:r>
              <w:rPr>
                <w:sz w:val="18"/>
                <w:szCs w:val="18"/>
              </w:rPr>
              <w:t>同期增长</w:t>
            </w:r>
          </w:p>
          <w:p w14:paraId="282303DE">
            <w:pPr>
              <w:jc w:val="center"/>
              <w:textAlignment w:val="center"/>
              <w:rPr>
                <w:sz w:val="18"/>
                <w:szCs w:val="18"/>
              </w:rPr>
            </w:pPr>
            <w:r>
              <w:rPr>
                <w:rFonts w:hint="eastAsia"/>
                <w:sz w:val="18"/>
                <w:szCs w:val="18"/>
              </w:rPr>
              <w:t>（</w:t>
            </w:r>
            <w:r>
              <w:rPr>
                <w:rFonts w:ascii="宋体" w:hAnsi="宋体"/>
                <w:sz w:val="18"/>
                <w:szCs w:val="18"/>
              </w:rPr>
              <w:t>%</w:t>
            </w:r>
            <w:r>
              <w:rPr>
                <w:rFonts w:hint="eastAsia"/>
                <w:sz w:val="18"/>
                <w:szCs w:val="18"/>
              </w:rPr>
              <w:t>）</w:t>
            </w:r>
          </w:p>
        </w:tc>
        <w:tc>
          <w:tcPr>
            <w:tcW w:w="1490" w:type="dxa"/>
            <w:gridSpan w:val="2"/>
            <w:tcBorders>
              <w:top w:val="single" w:color="auto" w:sz="8" w:space="0"/>
              <w:left w:val="single" w:color="auto" w:sz="2" w:space="0"/>
              <w:bottom w:val="single" w:color="auto" w:sz="2" w:space="0"/>
              <w:right w:val="nil"/>
            </w:tcBorders>
            <w:vAlign w:val="center"/>
          </w:tcPr>
          <w:p w14:paraId="4F1A712A">
            <w:pPr>
              <w:jc w:val="center"/>
              <w:textAlignment w:val="center"/>
              <w:rPr>
                <w:sz w:val="18"/>
                <w:szCs w:val="18"/>
              </w:rPr>
            </w:pPr>
            <w:r>
              <w:rPr>
                <w:sz w:val="18"/>
                <w:szCs w:val="18"/>
              </w:rPr>
              <w:t>能耗比重</w:t>
            </w:r>
            <w:r>
              <w:rPr>
                <w:rFonts w:hint="eastAsia"/>
                <w:sz w:val="18"/>
                <w:szCs w:val="18"/>
              </w:rPr>
              <w:t>（</w:t>
            </w:r>
            <w:r>
              <w:rPr>
                <w:rFonts w:ascii="宋体" w:hAnsi="宋体"/>
                <w:sz w:val="18"/>
                <w:szCs w:val="18"/>
              </w:rPr>
              <w:t>%</w:t>
            </w:r>
            <w:r>
              <w:rPr>
                <w:rFonts w:hint="eastAsia"/>
                <w:sz w:val="18"/>
                <w:szCs w:val="18"/>
              </w:rPr>
              <w:t>）</w:t>
            </w:r>
          </w:p>
        </w:tc>
      </w:tr>
      <w:tr w14:paraId="34CB4A3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111" w:type="dxa"/>
            <w:vMerge w:val="continue"/>
            <w:tcBorders>
              <w:left w:val="nil"/>
              <w:bottom w:val="single" w:color="auto" w:sz="2" w:space="0"/>
              <w:right w:val="single" w:color="auto" w:sz="2" w:space="0"/>
            </w:tcBorders>
            <w:vAlign w:val="center"/>
          </w:tcPr>
          <w:p w14:paraId="56F6ADD5">
            <w:pPr>
              <w:jc w:val="center"/>
              <w:textAlignment w:val="center"/>
              <w:rPr>
                <w:sz w:val="18"/>
                <w:szCs w:val="18"/>
              </w:rPr>
            </w:pPr>
          </w:p>
        </w:tc>
        <w:tc>
          <w:tcPr>
            <w:tcW w:w="1276" w:type="dxa"/>
            <w:vMerge w:val="continue"/>
            <w:tcBorders>
              <w:left w:val="single" w:color="auto" w:sz="2" w:space="0"/>
              <w:bottom w:val="single" w:color="auto" w:sz="2" w:space="0"/>
              <w:right w:val="single" w:color="auto" w:sz="2" w:space="0"/>
            </w:tcBorders>
            <w:vAlign w:val="center"/>
          </w:tcPr>
          <w:p w14:paraId="4762E286">
            <w:pPr>
              <w:jc w:val="center"/>
              <w:textAlignment w:val="center"/>
              <w:rPr>
                <w:sz w:val="18"/>
                <w:szCs w:val="18"/>
              </w:rPr>
            </w:pPr>
          </w:p>
        </w:tc>
        <w:tc>
          <w:tcPr>
            <w:tcW w:w="608" w:type="dxa"/>
            <w:vMerge w:val="continue"/>
            <w:tcBorders>
              <w:left w:val="single" w:color="auto" w:sz="2" w:space="0"/>
              <w:bottom w:val="single" w:color="auto" w:sz="2" w:space="0"/>
              <w:right w:val="single" w:color="auto" w:sz="2" w:space="0"/>
            </w:tcBorders>
            <w:vAlign w:val="center"/>
          </w:tcPr>
          <w:p w14:paraId="0F287C1C">
            <w:pPr>
              <w:jc w:val="center"/>
              <w:textAlignment w:val="center"/>
              <w:rPr>
                <w:sz w:val="18"/>
                <w:szCs w:val="18"/>
              </w:rPr>
            </w:pPr>
          </w:p>
        </w:tc>
        <w:tc>
          <w:tcPr>
            <w:tcW w:w="907" w:type="dxa"/>
            <w:vMerge w:val="continue"/>
            <w:tcBorders>
              <w:left w:val="single" w:color="auto" w:sz="2" w:space="0"/>
              <w:bottom w:val="single" w:color="auto" w:sz="2" w:space="0"/>
              <w:right w:val="single" w:color="auto" w:sz="2" w:space="0"/>
            </w:tcBorders>
            <w:vAlign w:val="center"/>
          </w:tcPr>
          <w:p w14:paraId="49773DA4">
            <w:pPr>
              <w:jc w:val="center"/>
              <w:textAlignment w:val="center"/>
              <w:rPr>
                <w:sz w:val="18"/>
                <w:szCs w:val="18"/>
              </w:rPr>
            </w:pPr>
          </w:p>
        </w:tc>
        <w:tc>
          <w:tcPr>
            <w:tcW w:w="907" w:type="dxa"/>
            <w:vMerge w:val="continue"/>
            <w:tcBorders>
              <w:left w:val="single" w:color="auto" w:sz="2" w:space="0"/>
              <w:bottom w:val="single" w:color="auto" w:sz="2" w:space="0"/>
              <w:right w:val="single" w:color="auto" w:sz="2" w:space="0"/>
            </w:tcBorders>
            <w:vAlign w:val="center"/>
          </w:tcPr>
          <w:p w14:paraId="6B0DBB68">
            <w:pPr>
              <w:jc w:val="center"/>
              <w:textAlignment w:val="center"/>
              <w:rPr>
                <w:sz w:val="18"/>
                <w:szCs w:val="18"/>
              </w:rPr>
            </w:pPr>
          </w:p>
        </w:tc>
        <w:tc>
          <w:tcPr>
            <w:tcW w:w="907" w:type="dxa"/>
            <w:vMerge w:val="continue"/>
            <w:tcBorders>
              <w:left w:val="single" w:color="auto" w:sz="2" w:space="0"/>
              <w:bottom w:val="single" w:color="auto" w:sz="2" w:space="0"/>
              <w:right w:val="single" w:color="auto" w:sz="2" w:space="0"/>
            </w:tcBorders>
            <w:vAlign w:val="center"/>
          </w:tcPr>
          <w:p w14:paraId="22D30E87">
            <w:pPr>
              <w:jc w:val="center"/>
              <w:textAlignment w:val="center"/>
              <w:rPr>
                <w:sz w:val="18"/>
                <w:szCs w:val="18"/>
              </w:rPr>
            </w:pPr>
          </w:p>
        </w:tc>
        <w:tc>
          <w:tcPr>
            <w:tcW w:w="745" w:type="dxa"/>
            <w:tcBorders>
              <w:top w:val="single" w:color="auto" w:sz="2" w:space="0"/>
              <w:left w:val="single" w:color="auto" w:sz="2" w:space="0"/>
              <w:bottom w:val="single" w:color="auto" w:sz="2" w:space="0"/>
              <w:right w:val="single" w:color="auto" w:sz="2" w:space="0"/>
            </w:tcBorders>
            <w:vAlign w:val="center"/>
          </w:tcPr>
          <w:p w14:paraId="51F1E162">
            <w:pPr>
              <w:jc w:val="center"/>
              <w:textAlignment w:val="center"/>
              <w:rPr>
                <w:sz w:val="18"/>
                <w:szCs w:val="18"/>
              </w:rPr>
            </w:pPr>
            <w:r>
              <w:rPr>
                <w:sz w:val="18"/>
                <w:szCs w:val="18"/>
              </w:rPr>
              <w:t>本期</w:t>
            </w:r>
          </w:p>
        </w:tc>
        <w:tc>
          <w:tcPr>
            <w:tcW w:w="745" w:type="dxa"/>
            <w:tcBorders>
              <w:top w:val="single" w:color="auto" w:sz="2" w:space="0"/>
              <w:left w:val="single" w:color="auto" w:sz="2" w:space="0"/>
              <w:bottom w:val="single" w:color="auto" w:sz="2" w:space="0"/>
              <w:right w:val="nil"/>
            </w:tcBorders>
            <w:vAlign w:val="center"/>
          </w:tcPr>
          <w:p w14:paraId="25D7B1E0">
            <w:pPr>
              <w:jc w:val="center"/>
              <w:textAlignment w:val="center"/>
              <w:rPr>
                <w:sz w:val="18"/>
                <w:szCs w:val="18"/>
              </w:rPr>
            </w:pPr>
            <w:r>
              <w:rPr>
                <w:sz w:val="18"/>
                <w:szCs w:val="18"/>
              </w:rPr>
              <w:t>上年</w:t>
            </w:r>
          </w:p>
          <w:p w14:paraId="57EAC7AA">
            <w:pPr>
              <w:jc w:val="center"/>
              <w:textAlignment w:val="center"/>
              <w:rPr>
                <w:sz w:val="18"/>
                <w:szCs w:val="18"/>
              </w:rPr>
            </w:pPr>
            <w:r>
              <w:rPr>
                <w:sz w:val="18"/>
                <w:szCs w:val="18"/>
              </w:rPr>
              <w:t>同期</w:t>
            </w:r>
          </w:p>
        </w:tc>
      </w:tr>
      <w:tr w14:paraId="215C97A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324" w:hRule="atLeast"/>
          <w:jc w:val="center"/>
        </w:trPr>
        <w:tc>
          <w:tcPr>
            <w:tcW w:w="4111" w:type="dxa"/>
            <w:tcBorders>
              <w:top w:val="single" w:color="auto" w:sz="2" w:space="0"/>
              <w:left w:val="nil"/>
              <w:bottom w:val="single" w:color="auto" w:sz="2" w:space="0"/>
              <w:right w:val="single" w:color="auto" w:sz="2" w:space="0"/>
            </w:tcBorders>
            <w:vAlign w:val="center"/>
          </w:tcPr>
          <w:p w14:paraId="6A0DE198">
            <w:pPr>
              <w:spacing w:line="240" w:lineRule="exact"/>
              <w:jc w:val="center"/>
              <w:textAlignment w:val="center"/>
              <w:rPr>
                <w:sz w:val="18"/>
                <w:szCs w:val="18"/>
              </w:rPr>
            </w:pPr>
            <w:r>
              <w:rPr>
                <w:sz w:val="18"/>
                <w:szCs w:val="18"/>
              </w:rPr>
              <w:t>甲</w:t>
            </w:r>
          </w:p>
        </w:tc>
        <w:tc>
          <w:tcPr>
            <w:tcW w:w="1276" w:type="dxa"/>
            <w:tcBorders>
              <w:top w:val="single" w:color="auto" w:sz="2" w:space="0"/>
              <w:left w:val="single" w:color="auto" w:sz="2" w:space="0"/>
              <w:bottom w:val="single" w:color="auto" w:sz="2" w:space="0"/>
              <w:right w:val="single" w:color="auto" w:sz="2" w:space="0"/>
            </w:tcBorders>
            <w:vAlign w:val="center"/>
          </w:tcPr>
          <w:p w14:paraId="4B638C8F">
            <w:pPr>
              <w:spacing w:line="240" w:lineRule="exact"/>
              <w:jc w:val="center"/>
              <w:textAlignment w:val="center"/>
              <w:rPr>
                <w:sz w:val="18"/>
                <w:szCs w:val="18"/>
              </w:rPr>
            </w:pPr>
            <w:r>
              <w:rPr>
                <w:sz w:val="18"/>
                <w:szCs w:val="18"/>
              </w:rPr>
              <w:t>乙</w:t>
            </w:r>
          </w:p>
        </w:tc>
        <w:tc>
          <w:tcPr>
            <w:tcW w:w="608" w:type="dxa"/>
            <w:tcBorders>
              <w:top w:val="single" w:color="auto" w:sz="2" w:space="0"/>
              <w:left w:val="single" w:color="auto" w:sz="2" w:space="0"/>
              <w:bottom w:val="single" w:color="auto" w:sz="2" w:space="0"/>
              <w:right w:val="single" w:color="auto" w:sz="2" w:space="0"/>
            </w:tcBorders>
            <w:vAlign w:val="center"/>
          </w:tcPr>
          <w:p w14:paraId="74E745AE">
            <w:pPr>
              <w:spacing w:line="240" w:lineRule="exact"/>
              <w:jc w:val="center"/>
              <w:textAlignment w:val="center"/>
              <w:rPr>
                <w:sz w:val="18"/>
                <w:szCs w:val="18"/>
              </w:rPr>
            </w:pPr>
            <w:r>
              <w:rPr>
                <w:sz w:val="18"/>
                <w:szCs w:val="18"/>
              </w:rPr>
              <w:t>丙</w:t>
            </w:r>
          </w:p>
        </w:tc>
        <w:tc>
          <w:tcPr>
            <w:tcW w:w="907" w:type="dxa"/>
            <w:tcBorders>
              <w:top w:val="single" w:color="auto" w:sz="2" w:space="0"/>
              <w:left w:val="single" w:color="auto" w:sz="2" w:space="0"/>
              <w:bottom w:val="single" w:color="auto" w:sz="2" w:space="0"/>
              <w:right w:val="single" w:color="auto" w:sz="2" w:space="0"/>
            </w:tcBorders>
            <w:vAlign w:val="center"/>
          </w:tcPr>
          <w:p w14:paraId="21B411D0">
            <w:pPr>
              <w:spacing w:line="240" w:lineRule="exact"/>
              <w:jc w:val="center"/>
              <w:textAlignment w:val="center"/>
              <w:rPr>
                <w:sz w:val="18"/>
                <w:szCs w:val="18"/>
              </w:rPr>
            </w:pPr>
            <w:r>
              <w:rPr>
                <w:sz w:val="18"/>
                <w:szCs w:val="18"/>
              </w:rPr>
              <w:t>1</w:t>
            </w:r>
          </w:p>
        </w:tc>
        <w:tc>
          <w:tcPr>
            <w:tcW w:w="907" w:type="dxa"/>
            <w:tcBorders>
              <w:top w:val="single" w:color="auto" w:sz="2" w:space="0"/>
              <w:left w:val="single" w:color="auto" w:sz="2" w:space="0"/>
              <w:bottom w:val="single" w:color="auto" w:sz="2" w:space="0"/>
              <w:right w:val="single" w:color="auto" w:sz="2" w:space="0"/>
            </w:tcBorders>
            <w:vAlign w:val="center"/>
          </w:tcPr>
          <w:p w14:paraId="60638816">
            <w:pPr>
              <w:spacing w:line="240" w:lineRule="exact"/>
              <w:jc w:val="center"/>
              <w:textAlignment w:val="center"/>
              <w:rPr>
                <w:sz w:val="18"/>
                <w:szCs w:val="18"/>
              </w:rPr>
            </w:pPr>
            <w:r>
              <w:rPr>
                <w:sz w:val="18"/>
                <w:szCs w:val="18"/>
              </w:rPr>
              <w:t>2</w:t>
            </w:r>
          </w:p>
        </w:tc>
        <w:tc>
          <w:tcPr>
            <w:tcW w:w="907" w:type="dxa"/>
            <w:tcBorders>
              <w:top w:val="single" w:color="auto" w:sz="2" w:space="0"/>
              <w:left w:val="single" w:color="auto" w:sz="2" w:space="0"/>
              <w:bottom w:val="single" w:color="auto" w:sz="2" w:space="0"/>
              <w:right w:val="single" w:color="auto" w:sz="2" w:space="0"/>
            </w:tcBorders>
            <w:vAlign w:val="center"/>
          </w:tcPr>
          <w:p w14:paraId="06550FCE">
            <w:pPr>
              <w:spacing w:line="240" w:lineRule="exact"/>
              <w:jc w:val="center"/>
              <w:textAlignment w:val="center"/>
              <w:rPr>
                <w:sz w:val="18"/>
                <w:szCs w:val="18"/>
              </w:rPr>
            </w:pPr>
            <w:r>
              <w:rPr>
                <w:sz w:val="18"/>
                <w:szCs w:val="18"/>
              </w:rPr>
              <w:t>3</w:t>
            </w:r>
          </w:p>
        </w:tc>
        <w:tc>
          <w:tcPr>
            <w:tcW w:w="745" w:type="dxa"/>
            <w:tcBorders>
              <w:top w:val="single" w:color="auto" w:sz="2" w:space="0"/>
              <w:left w:val="single" w:color="auto" w:sz="2" w:space="0"/>
              <w:bottom w:val="single" w:color="auto" w:sz="2" w:space="0"/>
              <w:right w:val="single" w:color="auto" w:sz="2" w:space="0"/>
            </w:tcBorders>
            <w:vAlign w:val="center"/>
          </w:tcPr>
          <w:p w14:paraId="56B5010E">
            <w:pPr>
              <w:spacing w:line="240" w:lineRule="exact"/>
              <w:jc w:val="center"/>
              <w:textAlignment w:val="center"/>
              <w:rPr>
                <w:sz w:val="18"/>
                <w:szCs w:val="18"/>
              </w:rPr>
            </w:pPr>
            <w:r>
              <w:rPr>
                <w:sz w:val="18"/>
                <w:szCs w:val="18"/>
              </w:rPr>
              <w:t>4</w:t>
            </w:r>
          </w:p>
        </w:tc>
        <w:tc>
          <w:tcPr>
            <w:tcW w:w="745" w:type="dxa"/>
            <w:tcBorders>
              <w:top w:val="single" w:color="auto" w:sz="2" w:space="0"/>
              <w:left w:val="single" w:color="auto" w:sz="2" w:space="0"/>
              <w:bottom w:val="single" w:color="auto" w:sz="2" w:space="0"/>
              <w:right w:val="nil"/>
            </w:tcBorders>
            <w:vAlign w:val="center"/>
          </w:tcPr>
          <w:p w14:paraId="66775C6D">
            <w:pPr>
              <w:spacing w:line="240" w:lineRule="exact"/>
              <w:jc w:val="center"/>
              <w:textAlignment w:val="center"/>
              <w:rPr>
                <w:sz w:val="18"/>
                <w:szCs w:val="18"/>
              </w:rPr>
            </w:pPr>
            <w:r>
              <w:rPr>
                <w:sz w:val="18"/>
                <w:szCs w:val="18"/>
              </w:rPr>
              <w:t>5</w:t>
            </w:r>
          </w:p>
        </w:tc>
      </w:tr>
      <w:tr w14:paraId="28C8EE5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111" w:type="dxa"/>
            <w:tcBorders>
              <w:top w:val="single" w:color="auto" w:sz="2" w:space="0"/>
              <w:left w:val="nil"/>
              <w:bottom w:val="single" w:color="auto" w:sz="8" w:space="0"/>
              <w:right w:val="single" w:color="auto" w:sz="2" w:space="0"/>
            </w:tcBorders>
            <w:vAlign w:val="center"/>
          </w:tcPr>
          <w:p w14:paraId="2BCEF5F4">
            <w:pPr>
              <w:spacing w:line="240" w:lineRule="exact"/>
              <w:ind w:firstLine="180" w:firstLineChars="100"/>
              <w:textAlignment w:val="center"/>
              <w:rPr>
                <w:sz w:val="18"/>
                <w:szCs w:val="18"/>
              </w:rPr>
            </w:pPr>
            <w:r>
              <w:rPr>
                <w:sz w:val="18"/>
                <w:szCs w:val="18"/>
              </w:rPr>
              <w:t>一、能源消费总量</w:t>
            </w:r>
          </w:p>
          <w:p w14:paraId="4B6C303D">
            <w:pPr>
              <w:spacing w:line="240" w:lineRule="exact"/>
              <w:ind w:left="360"/>
              <w:textAlignment w:val="center"/>
              <w:rPr>
                <w:sz w:val="18"/>
                <w:szCs w:val="18"/>
              </w:rPr>
            </w:pPr>
            <w:r>
              <w:rPr>
                <w:rFonts w:hint="eastAsia"/>
                <w:sz w:val="18"/>
                <w:szCs w:val="18"/>
              </w:rPr>
              <w:t>（</w:t>
            </w:r>
            <w:r>
              <w:rPr>
                <w:sz w:val="18"/>
                <w:szCs w:val="18"/>
              </w:rPr>
              <w:t>一</w:t>
            </w:r>
            <w:r>
              <w:rPr>
                <w:rFonts w:hint="eastAsia"/>
                <w:sz w:val="18"/>
                <w:szCs w:val="18"/>
              </w:rPr>
              <w:t>）</w:t>
            </w:r>
            <w:r>
              <w:rPr>
                <w:sz w:val="18"/>
                <w:szCs w:val="18"/>
              </w:rPr>
              <w:t>农、林、牧、渔业</w:t>
            </w:r>
          </w:p>
          <w:p w14:paraId="3DCECF32">
            <w:pPr>
              <w:spacing w:line="240" w:lineRule="exact"/>
              <w:ind w:left="360"/>
              <w:textAlignment w:val="center"/>
              <w:rPr>
                <w:sz w:val="18"/>
                <w:szCs w:val="18"/>
              </w:rPr>
            </w:pPr>
            <w:r>
              <w:rPr>
                <w:rFonts w:hint="eastAsia"/>
                <w:sz w:val="18"/>
                <w:szCs w:val="18"/>
              </w:rPr>
              <w:t>（</w:t>
            </w:r>
            <w:r>
              <w:rPr>
                <w:sz w:val="18"/>
                <w:szCs w:val="18"/>
              </w:rPr>
              <w:t>二</w:t>
            </w:r>
            <w:r>
              <w:rPr>
                <w:rFonts w:hint="eastAsia"/>
                <w:sz w:val="18"/>
                <w:szCs w:val="18"/>
              </w:rPr>
              <w:t>）</w:t>
            </w:r>
            <w:r>
              <w:rPr>
                <w:sz w:val="18"/>
                <w:szCs w:val="18"/>
              </w:rPr>
              <w:t>工业和建筑业</w:t>
            </w:r>
          </w:p>
          <w:p w14:paraId="06824014">
            <w:pPr>
              <w:spacing w:line="240" w:lineRule="exact"/>
              <w:ind w:firstLine="540" w:firstLineChars="300"/>
              <w:textAlignment w:val="center"/>
              <w:rPr>
                <w:sz w:val="18"/>
                <w:szCs w:val="18"/>
              </w:rPr>
            </w:pPr>
            <w:r>
              <w:rPr>
                <w:rFonts w:ascii="宋体" w:hAnsi="宋体"/>
                <w:sz w:val="18"/>
                <w:szCs w:val="18"/>
              </w:rPr>
              <w:t xml:space="preserve">  1.</w:t>
            </w:r>
            <w:r>
              <w:rPr>
                <w:sz w:val="18"/>
                <w:szCs w:val="18"/>
              </w:rPr>
              <w:t>工业</w:t>
            </w:r>
          </w:p>
          <w:p w14:paraId="76A66E20">
            <w:pPr>
              <w:spacing w:line="240" w:lineRule="exact"/>
              <w:ind w:left="864"/>
              <w:textAlignment w:val="center"/>
              <w:rPr>
                <w:sz w:val="18"/>
                <w:szCs w:val="18"/>
              </w:rPr>
            </w:pPr>
            <w:r>
              <w:rPr>
                <w:rFonts w:hint="eastAsia"/>
                <w:sz w:val="18"/>
                <w:szCs w:val="18"/>
              </w:rPr>
              <w:t>（</w:t>
            </w:r>
            <w:r>
              <w:rPr>
                <w:rFonts w:ascii="宋体" w:hAnsi="宋体"/>
                <w:sz w:val="18"/>
                <w:szCs w:val="18"/>
              </w:rPr>
              <w:t>1</w:t>
            </w:r>
            <w:r>
              <w:rPr>
                <w:rFonts w:hint="eastAsia"/>
                <w:sz w:val="18"/>
                <w:szCs w:val="18"/>
              </w:rPr>
              <w:t>）</w:t>
            </w:r>
            <w:r>
              <w:rPr>
                <w:sz w:val="18"/>
                <w:szCs w:val="18"/>
              </w:rPr>
              <w:t>规模以上工业</w:t>
            </w:r>
          </w:p>
          <w:p w14:paraId="1C10D3DA">
            <w:pPr>
              <w:spacing w:line="240" w:lineRule="exact"/>
              <w:ind w:left="864"/>
              <w:textAlignment w:val="center"/>
              <w:rPr>
                <w:sz w:val="18"/>
                <w:szCs w:val="18"/>
              </w:rPr>
            </w:pPr>
            <w:r>
              <w:rPr>
                <w:rFonts w:hint="eastAsia"/>
                <w:sz w:val="18"/>
                <w:szCs w:val="18"/>
              </w:rPr>
              <w:t>（</w:t>
            </w:r>
            <w:r>
              <w:rPr>
                <w:rFonts w:ascii="宋体" w:hAnsi="宋体"/>
                <w:sz w:val="18"/>
                <w:szCs w:val="18"/>
              </w:rPr>
              <w:t>2</w:t>
            </w:r>
            <w:r>
              <w:rPr>
                <w:rFonts w:hint="eastAsia"/>
                <w:sz w:val="18"/>
                <w:szCs w:val="18"/>
              </w:rPr>
              <w:t>）</w:t>
            </w:r>
            <w:r>
              <w:rPr>
                <w:sz w:val="18"/>
                <w:szCs w:val="18"/>
              </w:rPr>
              <w:t>规模以下工业</w:t>
            </w:r>
          </w:p>
          <w:p w14:paraId="2F857E33">
            <w:pPr>
              <w:spacing w:line="240" w:lineRule="exact"/>
              <w:ind w:firstLine="540" w:firstLineChars="300"/>
              <w:textAlignment w:val="center"/>
              <w:rPr>
                <w:sz w:val="18"/>
                <w:szCs w:val="18"/>
              </w:rPr>
            </w:pPr>
            <w:r>
              <w:rPr>
                <w:rFonts w:ascii="宋体" w:hAnsi="宋体"/>
                <w:sz w:val="18"/>
                <w:szCs w:val="18"/>
              </w:rPr>
              <w:t xml:space="preserve">  2.</w:t>
            </w:r>
            <w:r>
              <w:rPr>
                <w:sz w:val="18"/>
                <w:szCs w:val="18"/>
              </w:rPr>
              <w:t>建筑业</w:t>
            </w:r>
          </w:p>
          <w:p w14:paraId="57DBA5EE">
            <w:pPr>
              <w:spacing w:line="240" w:lineRule="exact"/>
              <w:ind w:left="360"/>
              <w:textAlignment w:val="center"/>
              <w:rPr>
                <w:sz w:val="18"/>
                <w:szCs w:val="18"/>
              </w:rPr>
            </w:pPr>
            <w:r>
              <w:rPr>
                <w:rFonts w:hint="eastAsia"/>
                <w:sz w:val="18"/>
                <w:szCs w:val="18"/>
              </w:rPr>
              <w:t>（</w:t>
            </w:r>
            <w:r>
              <w:rPr>
                <w:sz w:val="18"/>
                <w:szCs w:val="18"/>
              </w:rPr>
              <w:t>三</w:t>
            </w:r>
            <w:r>
              <w:rPr>
                <w:rFonts w:hint="eastAsia"/>
                <w:sz w:val="18"/>
                <w:szCs w:val="18"/>
              </w:rPr>
              <w:t>）</w:t>
            </w:r>
            <w:r>
              <w:rPr>
                <w:sz w:val="18"/>
                <w:szCs w:val="18"/>
              </w:rPr>
              <w:t>服务业</w:t>
            </w:r>
            <w:r>
              <w:rPr>
                <w:rFonts w:hint="eastAsia"/>
                <w:kern w:val="0"/>
                <w:sz w:val="18"/>
                <w:szCs w:val="18"/>
                <w:vertAlign w:val="superscript"/>
              </w:rPr>
              <w:t>*</w:t>
            </w:r>
          </w:p>
          <w:p w14:paraId="5C60EB5A">
            <w:pPr>
              <w:spacing w:line="240" w:lineRule="exact"/>
              <w:ind w:firstLine="360"/>
              <w:textAlignment w:val="center"/>
              <w:rPr>
                <w:sz w:val="18"/>
                <w:szCs w:val="18"/>
              </w:rPr>
            </w:pPr>
            <w:r>
              <w:rPr>
                <w:sz w:val="18"/>
                <w:szCs w:val="18"/>
              </w:rPr>
              <w:t xml:space="preserve">    </w:t>
            </w:r>
            <w:r>
              <w:rPr>
                <w:rFonts w:ascii="宋体" w:hAnsi="宋体"/>
                <w:sz w:val="18"/>
                <w:szCs w:val="18"/>
              </w:rPr>
              <w:t>1.</w:t>
            </w:r>
            <w:r>
              <w:rPr>
                <w:sz w:val="18"/>
                <w:szCs w:val="18"/>
              </w:rPr>
              <w:t>交通运输、仓储和邮政业</w:t>
            </w:r>
          </w:p>
          <w:p w14:paraId="4050E588">
            <w:pPr>
              <w:widowControl/>
              <w:ind w:firstLine="720" w:firstLineChars="400"/>
              <w:jc w:val="left"/>
              <w:textAlignment w:val="center"/>
            </w:pPr>
            <w:r>
              <w:rPr>
                <w:rFonts w:ascii="宋体" w:hAnsi="宋体"/>
                <w:sz w:val="18"/>
                <w:szCs w:val="18"/>
              </w:rPr>
              <w:t>2.</w:t>
            </w:r>
            <w:r>
              <w:rPr>
                <w:sz w:val="18"/>
                <w:szCs w:val="18"/>
              </w:rPr>
              <w:t>服务业</w:t>
            </w:r>
            <w:r>
              <w:rPr>
                <w:sz w:val="18"/>
                <w:szCs w:val="18"/>
                <w:vertAlign w:val="superscript"/>
              </w:rPr>
              <w:t>*</w:t>
            </w:r>
            <w:r>
              <w:rPr>
                <w:rFonts w:hint="eastAsia"/>
                <w:sz w:val="18"/>
                <w:szCs w:val="18"/>
              </w:rPr>
              <w:t>（</w:t>
            </w:r>
            <w:r>
              <w:rPr>
                <w:sz w:val="18"/>
                <w:szCs w:val="18"/>
              </w:rPr>
              <w:t>不含交通运输、仓储和邮政业</w:t>
            </w:r>
            <w:r>
              <w:rPr>
                <w:rFonts w:hint="eastAsia"/>
                <w:sz w:val="18"/>
                <w:szCs w:val="18"/>
              </w:rPr>
              <w:t>）</w:t>
            </w:r>
          </w:p>
          <w:p w14:paraId="4F47EAC5">
            <w:pPr>
              <w:spacing w:line="240" w:lineRule="exact"/>
              <w:ind w:firstLine="360"/>
              <w:textAlignment w:val="center"/>
              <w:rPr>
                <w:sz w:val="18"/>
                <w:szCs w:val="18"/>
              </w:rPr>
            </w:pPr>
            <w:r>
              <w:rPr>
                <w:rFonts w:hint="eastAsia"/>
                <w:sz w:val="18"/>
                <w:szCs w:val="18"/>
              </w:rPr>
              <w:t>（</w:t>
            </w:r>
            <w:r>
              <w:rPr>
                <w:sz w:val="18"/>
                <w:szCs w:val="18"/>
              </w:rPr>
              <w:t>四</w:t>
            </w:r>
            <w:r>
              <w:rPr>
                <w:rFonts w:hint="eastAsia"/>
                <w:sz w:val="18"/>
                <w:szCs w:val="18"/>
              </w:rPr>
              <w:t>）</w:t>
            </w:r>
            <w:r>
              <w:rPr>
                <w:sz w:val="18"/>
                <w:szCs w:val="18"/>
              </w:rPr>
              <w:t>居民生活</w:t>
            </w:r>
          </w:p>
          <w:p w14:paraId="7DE9734C">
            <w:pPr>
              <w:spacing w:line="240" w:lineRule="exact"/>
              <w:ind w:firstLine="539"/>
              <w:textAlignment w:val="center"/>
              <w:rPr>
                <w:rFonts w:ascii="宋体" w:hAnsi="宋体"/>
                <w:sz w:val="18"/>
                <w:szCs w:val="18"/>
              </w:rPr>
            </w:pPr>
            <w:r>
              <w:rPr>
                <w:rFonts w:ascii="宋体" w:hAnsi="宋体"/>
                <w:sz w:val="18"/>
                <w:szCs w:val="18"/>
              </w:rPr>
              <w:t xml:space="preserve">  1.</w:t>
            </w:r>
            <w:r>
              <w:rPr>
                <w:rFonts w:hint="eastAsia" w:ascii="宋体" w:hAnsi="宋体"/>
                <w:sz w:val="18"/>
                <w:szCs w:val="18"/>
              </w:rPr>
              <w:t>城镇</w:t>
            </w:r>
          </w:p>
          <w:p w14:paraId="1F0B9315">
            <w:pPr>
              <w:spacing w:line="240" w:lineRule="exact"/>
              <w:ind w:firstLine="538" w:firstLineChars="299"/>
              <w:textAlignment w:val="center"/>
              <w:rPr>
                <w:rFonts w:ascii="宋体" w:hAnsi="宋体"/>
                <w:sz w:val="18"/>
                <w:szCs w:val="18"/>
              </w:rPr>
            </w:pPr>
            <w:r>
              <w:rPr>
                <w:rFonts w:ascii="宋体" w:hAnsi="宋体"/>
                <w:sz w:val="18"/>
                <w:szCs w:val="18"/>
              </w:rPr>
              <w:t xml:space="preserve">  2.</w:t>
            </w:r>
            <w:r>
              <w:rPr>
                <w:rFonts w:hint="eastAsia" w:ascii="宋体" w:hAnsi="宋体"/>
                <w:sz w:val="18"/>
                <w:szCs w:val="18"/>
              </w:rPr>
              <w:t>乡村</w:t>
            </w:r>
          </w:p>
          <w:p w14:paraId="11B59AAF">
            <w:pPr>
              <w:spacing w:line="240" w:lineRule="exact"/>
              <w:ind w:firstLine="180" w:firstLineChars="100"/>
              <w:textAlignment w:val="center"/>
              <w:rPr>
                <w:rFonts w:ascii="宋体" w:hAnsi="宋体"/>
                <w:sz w:val="18"/>
                <w:szCs w:val="18"/>
              </w:rPr>
            </w:pPr>
            <w:r>
              <w:rPr>
                <w:rFonts w:ascii="宋体" w:hAnsi="宋体"/>
                <w:sz w:val="18"/>
                <w:szCs w:val="18"/>
              </w:rPr>
              <w:t>二、GDP</w:t>
            </w:r>
          </w:p>
          <w:p w14:paraId="7CF24071">
            <w:pPr>
              <w:spacing w:line="240" w:lineRule="exact"/>
              <w:ind w:firstLine="180" w:firstLineChars="100"/>
              <w:textAlignment w:val="center"/>
              <w:rPr>
                <w:rFonts w:ascii="宋体" w:hAnsi="宋体"/>
                <w:sz w:val="18"/>
                <w:szCs w:val="18"/>
              </w:rPr>
            </w:pPr>
            <w:r>
              <w:rPr>
                <w:rFonts w:ascii="宋体" w:hAnsi="宋体"/>
                <w:sz w:val="18"/>
                <w:szCs w:val="18"/>
              </w:rPr>
              <w:t>三、单位GDP能耗</w:t>
            </w:r>
          </w:p>
          <w:p w14:paraId="0A6FAB8D">
            <w:pPr>
              <w:spacing w:line="240" w:lineRule="exact"/>
              <w:ind w:firstLine="180"/>
              <w:textAlignment w:val="center"/>
              <w:rPr>
                <w:rFonts w:ascii="宋体" w:hAnsi="宋体"/>
                <w:sz w:val="18"/>
                <w:szCs w:val="18"/>
              </w:rPr>
            </w:pPr>
            <w:r>
              <w:rPr>
                <w:rFonts w:ascii="宋体" w:hAnsi="宋体"/>
                <w:sz w:val="18"/>
                <w:szCs w:val="18"/>
              </w:rPr>
              <w:t>四、规模以上工业单位增加值能耗</w:t>
            </w:r>
          </w:p>
          <w:p w14:paraId="5B54CE1F">
            <w:pPr>
              <w:spacing w:line="240" w:lineRule="exact"/>
              <w:ind w:firstLine="180"/>
              <w:textAlignment w:val="center"/>
              <w:rPr>
                <w:sz w:val="18"/>
                <w:szCs w:val="18"/>
              </w:rPr>
            </w:pPr>
            <w:r>
              <w:rPr>
                <w:rFonts w:ascii="宋体" w:hAnsi="宋体"/>
                <w:sz w:val="18"/>
                <w:szCs w:val="18"/>
              </w:rPr>
              <w:t>五、单位GDP电耗</w:t>
            </w:r>
          </w:p>
        </w:tc>
        <w:tc>
          <w:tcPr>
            <w:tcW w:w="1276" w:type="dxa"/>
            <w:tcBorders>
              <w:top w:val="single" w:color="auto" w:sz="2" w:space="0"/>
              <w:left w:val="single" w:color="auto" w:sz="2" w:space="0"/>
              <w:bottom w:val="single" w:color="auto" w:sz="8" w:space="0"/>
              <w:right w:val="single" w:color="auto" w:sz="2" w:space="0"/>
            </w:tcBorders>
            <w:vAlign w:val="center"/>
          </w:tcPr>
          <w:p w14:paraId="6B7E0508">
            <w:pPr>
              <w:spacing w:line="240" w:lineRule="exact"/>
              <w:jc w:val="center"/>
              <w:textAlignment w:val="center"/>
              <w:rPr>
                <w:sz w:val="18"/>
                <w:szCs w:val="18"/>
              </w:rPr>
            </w:pPr>
            <w:r>
              <w:rPr>
                <w:sz w:val="18"/>
                <w:szCs w:val="18"/>
              </w:rPr>
              <w:t>万吨标准煤</w:t>
            </w:r>
          </w:p>
          <w:p w14:paraId="0935F96E">
            <w:pPr>
              <w:spacing w:line="240" w:lineRule="exact"/>
              <w:jc w:val="center"/>
              <w:textAlignment w:val="center"/>
              <w:rPr>
                <w:sz w:val="18"/>
                <w:szCs w:val="18"/>
              </w:rPr>
            </w:pPr>
            <w:r>
              <w:rPr>
                <w:sz w:val="18"/>
                <w:szCs w:val="18"/>
              </w:rPr>
              <w:t>万吨标准煤</w:t>
            </w:r>
          </w:p>
          <w:p w14:paraId="2422C7D6">
            <w:pPr>
              <w:spacing w:line="240" w:lineRule="exact"/>
              <w:jc w:val="center"/>
              <w:textAlignment w:val="center"/>
              <w:rPr>
                <w:sz w:val="18"/>
                <w:szCs w:val="18"/>
              </w:rPr>
            </w:pPr>
            <w:r>
              <w:rPr>
                <w:sz w:val="18"/>
                <w:szCs w:val="18"/>
              </w:rPr>
              <w:t>万吨标准煤</w:t>
            </w:r>
          </w:p>
          <w:p w14:paraId="4D2E632D">
            <w:pPr>
              <w:spacing w:line="240" w:lineRule="exact"/>
              <w:jc w:val="center"/>
              <w:textAlignment w:val="center"/>
              <w:rPr>
                <w:sz w:val="18"/>
                <w:szCs w:val="18"/>
              </w:rPr>
            </w:pPr>
            <w:r>
              <w:rPr>
                <w:sz w:val="18"/>
                <w:szCs w:val="18"/>
              </w:rPr>
              <w:t>万吨标准煤</w:t>
            </w:r>
          </w:p>
          <w:p w14:paraId="78BD1346">
            <w:pPr>
              <w:spacing w:line="240" w:lineRule="exact"/>
              <w:jc w:val="center"/>
              <w:textAlignment w:val="center"/>
              <w:rPr>
                <w:sz w:val="18"/>
                <w:szCs w:val="18"/>
              </w:rPr>
            </w:pPr>
            <w:r>
              <w:rPr>
                <w:sz w:val="18"/>
                <w:szCs w:val="18"/>
              </w:rPr>
              <w:t>万吨标准煤</w:t>
            </w:r>
          </w:p>
          <w:p w14:paraId="2846E98A">
            <w:pPr>
              <w:spacing w:line="240" w:lineRule="exact"/>
              <w:jc w:val="center"/>
              <w:textAlignment w:val="center"/>
              <w:rPr>
                <w:sz w:val="18"/>
                <w:szCs w:val="18"/>
              </w:rPr>
            </w:pPr>
            <w:r>
              <w:rPr>
                <w:sz w:val="18"/>
                <w:szCs w:val="18"/>
              </w:rPr>
              <w:t>万吨标准煤</w:t>
            </w:r>
          </w:p>
          <w:p w14:paraId="1C6516A0">
            <w:pPr>
              <w:spacing w:line="240" w:lineRule="exact"/>
              <w:jc w:val="center"/>
              <w:textAlignment w:val="center"/>
              <w:rPr>
                <w:sz w:val="18"/>
                <w:szCs w:val="18"/>
              </w:rPr>
            </w:pPr>
            <w:r>
              <w:rPr>
                <w:sz w:val="18"/>
                <w:szCs w:val="18"/>
              </w:rPr>
              <w:t>万吨标准煤</w:t>
            </w:r>
          </w:p>
          <w:p w14:paraId="06D5DFA0">
            <w:pPr>
              <w:spacing w:line="240" w:lineRule="exact"/>
              <w:jc w:val="center"/>
              <w:textAlignment w:val="center"/>
              <w:rPr>
                <w:sz w:val="18"/>
                <w:szCs w:val="18"/>
              </w:rPr>
            </w:pPr>
            <w:r>
              <w:rPr>
                <w:sz w:val="18"/>
                <w:szCs w:val="18"/>
              </w:rPr>
              <w:t>万吨标准煤</w:t>
            </w:r>
          </w:p>
          <w:p w14:paraId="59EB2620">
            <w:pPr>
              <w:spacing w:line="240" w:lineRule="exact"/>
              <w:jc w:val="center"/>
              <w:textAlignment w:val="center"/>
              <w:rPr>
                <w:sz w:val="18"/>
                <w:szCs w:val="18"/>
              </w:rPr>
            </w:pPr>
            <w:r>
              <w:rPr>
                <w:sz w:val="18"/>
                <w:szCs w:val="18"/>
              </w:rPr>
              <w:t>万吨标准煤</w:t>
            </w:r>
          </w:p>
          <w:p w14:paraId="56948D89">
            <w:pPr>
              <w:widowControl/>
              <w:jc w:val="center"/>
              <w:textAlignment w:val="center"/>
              <w:rPr>
                <w:sz w:val="18"/>
                <w:szCs w:val="18"/>
              </w:rPr>
            </w:pPr>
            <w:r>
              <w:rPr>
                <w:rFonts w:hint="eastAsia"/>
                <w:sz w:val="18"/>
                <w:szCs w:val="18"/>
              </w:rPr>
              <w:t>万吨标准煤</w:t>
            </w:r>
          </w:p>
          <w:p w14:paraId="5A03649B">
            <w:pPr>
              <w:spacing w:line="240" w:lineRule="exact"/>
              <w:jc w:val="center"/>
              <w:textAlignment w:val="center"/>
              <w:rPr>
                <w:sz w:val="18"/>
                <w:szCs w:val="18"/>
              </w:rPr>
            </w:pPr>
            <w:r>
              <w:rPr>
                <w:sz w:val="18"/>
                <w:szCs w:val="18"/>
              </w:rPr>
              <w:t>万吨标准煤</w:t>
            </w:r>
          </w:p>
          <w:p w14:paraId="4CD2D813">
            <w:pPr>
              <w:spacing w:line="240" w:lineRule="exact"/>
              <w:jc w:val="center"/>
              <w:textAlignment w:val="center"/>
              <w:rPr>
                <w:sz w:val="18"/>
                <w:szCs w:val="18"/>
              </w:rPr>
            </w:pPr>
            <w:r>
              <w:rPr>
                <w:sz w:val="18"/>
                <w:szCs w:val="18"/>
              </w:rPr>
              <w:t>万吨标准煤</w:t>
            </w:r>
          </w:p>
          <w:p w14:paraId="51EA97B8">
            <w:pPr>
              <w:spacing w:line="240" w:lineRule="exact"/>
              <w:jc w:val="center"/>
              <w:textAlignment w:val="center"/>
              <w:rPr>
                <w:sz w:val="18"/>
                <w:szCs w:val="18"/>
              </w:rPr>
            </w:pPr>
            <w:r>
              <w:rPr>
                <w:sz w:val="18"/>
                <w:szCs w:val="18"/>
              </w:rPr>
              <w:t>万吨标准煤</w:t>
            </w:r>
          </w:p>
          <w:p w14:paraId="0CDFAD36">
            <w:pPr>
              <w:spacing w:line="240" w:lineRule="exact"/>
              <w:jc w:val="center"/>
              <w:textAlignment w:val="center"/>
              <w:rPr>
                <w:sz w:val="18"/>
                <w:szCs w:val="18"/>
              </w:rPr>
            </w:pPr>
            <w:r>
              <w:rPr>
                <w:sz w:val="18"/>
                <w:szCs w:val="18"/>
              </w:rPr>
              <w:t>亿元</w:t>
            </w:r>
          </w:p>
          <w:p w14:paraId="00E14E29">
            <w:pPr>
              <w:spacing w:line="240" w:lineRule="exact"/>
              <w:jc w:val="center"/>
              <w:textAlignment w:val="center"/>
              <w:rPr>
                <w:sz w:val="18"/>
                <w:szCs w:val="18"/>
              </w:rPr>
            </w:pPr>
            <w:r>
              <w:rPr>
                <w:sz w:val="18"/>
                <w:szCs w:val="18"/>
              </w:rPr>
              <w:t>吨标准煤/万元</w:t>
            </w:r>
          </w:p>
          <w:p w14:paraId="3381DA45">
            <w:pPr>
              <w:spacing w:line="240" w:lineRule="exact"/>
              <w:jc w:val="center"/>
              <w:textAlignment w:val="center"/>
              <w:rPr>
                <w:sz w:val="18"/>
                <w:szCs w:val="18"/>
              </w:rPr>
            </w:pPr>
            <w:r>
              <w:rPr>
                <w:sz w:val="18"/>
                <w:szCs w:val="18"/>
              </w:rPr>
              <w:t>吨标准煤/万元</w:t>
            </w:r>
          </w:p>
          <w:p w14:paraId="2E3AA675">
            <w:pPr>
              <w:spacing w:line="240" w:lineRule="exact"/>
              <w:jc w:val="center"/>
              <w:textAlignment w:val="center"/>
              <w:rPr>
                <w:sz w:val="18"/>
                <w:szCs w:val="18"/>
              </w:rPr>
            </w:pPr>
            <w:r>
              <w:rPr>
                <w:sz w:val="18"/>
                <w:szCs w:val="18"/>
              </w:rPr>
              <w:t>千瓦时/万元</w:t>
            </w:r>
          </w:p>
        </w:tc>
        <w:tc>
          <w:tcPr>
            <w:tcW w:w="608" w:type="dxa"/>
            <w:tcBorders>
              <w:top w:val="single" w:color="auto" w:sz="2" w:space="0"/>
              <w:left w:val="single" w:color="auto" w:sz="2" w:space="0"/>
              <w:bottom w:val="single" w:color="auto" w:sz="8" w:space="0"/>
              <w:right w:val="nil"/>
            </w:tcBorders>
            <w:vAlign w:val="center"/>
          </w:tcPr>
          <w:p w14:paraId="5C731F5B">
            <w:pPr>
              <w:spacing w:line="240" w:lineRule="exact"/>
              <w:jc w:val="center"/>
              <w:textAlignment w:val="center"/>
              <w:rPr>
                <w:sz w:val="18"/>
                <w:szCs w:val="18"/>
              </w:rPr>
            </w:pPr>
            <w:r>
              <w:rPr>
                <w:sz w:val="18"/>
                <w:szCs w:val="18"/>
              </w:rPr>
              <w:t>01</w:t>
            </w:r>
          </w:p>
          <w:p w14:paraId="1D44016F">
            <w:pPr>
              <w:spacing w:line="240" w:lineRule="exact"/>
              <w:jc w:val="center"/>
              <w:textAlignment w:val="center"/>
              <w:rPr>
                <w:sz w:val="18"/>
                <w:szCs w:val="18"/>
              </w:rPr>
            </w:pPr>
            <w:r>
              <w:rPr>
                <w:sz w:val="18"/>
                <w:szCs w:val="18"/>
              </w:rPr>
              <w:t>02</w:t>
            </w:r>
          </w:p>
          <w:p w14:paraId="006F4831">
            <w:pPr>
              <w:spacing w:line="240" w:lineRule="exact"/>
              <w:jc w:val="center"/>
              <w:textAlignment w:val="center"/>
              <w:rPr>
                <w:sz w:val="18"/>
                <w:szCs w:val="18"/>
              </w:rPr>
            </w:pPr>
            <w:r>
              <w:rPr>
                <w:sz w:val="18"/>
                <w:szCs w:val="18"/>
              </w:rPr>
              <w:t>03</w:t>
            </w:r>
          </w:p>
          <w:p w14:paraId="7B7B6D23">
            <w:pPr>
              <w:spacing w:line="240" w:lineRule="exact"/>
              <w:jc w:val="center"/>
              <w:textAlignment w:val="center"/>
              <w:rPr>
                <w:sz w:val="18"/>
                <w:szCs w:val="18"/>
              </w:rPr>
            </w:pPr>
            <w:r>
              <w:rPr>
                <w:sz w:val="18"/>
                <w:szCs w:val="18"/>
              </w:rPr>
              <w:t>04</w:t>
            </w:r>
          </w:p>
          <w:p w14:paraId="7FE82661">
            <w:pPr>
              <w:spacing w:line="240" w:lineRule="exact"/>
              <w:jc w:val="center"/>
              <w:textAlignment w:val="center"/>
              <w:rPr>
                <w:sz w:val="18"/>
                <w:szCs w:val="18"/>
              </w:rPr>
            </w:pPr>
            <w:r>
              <w:rPr>
                <w:sz w:val="18"/>
                <w:szCs w:val="18"/>
              </w:rPr>
              <w:t>05</w:t>
            </w:r>
          </w:p>
          <w:p w14:paraId="0AB2BAA8">
            <w:pPr>
              <w:spacing w:line="240" w:lineRule="exact"/>
              <w:jc w:val="center"/>
              <w:textAlignment w:val="center"/>
              <w:rPr>
                <w:sz w:val="18"/>
                <w:szCs w:val="18"/>
              </w:rPr>
            </w:pPr>
            <w:r>
              <w:rPr>
                <w:sz w:val="18"/>
                <w:szCs w:val="18"/>
              </w:rPr>
              <w:t>06</w:t>
            </w:r>
          </w:p>
          <w:p w14:paraId="7BC7AF40">
            <w:pPr>
              <w:spacing w:line="240" w:lineRule="exact"/>
              <w:jc w:val="center"/>
              <w:textAlignment w:val="center"/>
              <w:rPr>
                <w:sz w:val="18"/>
                <w:szCs w:val="18"/>
              </w:rPr>
            </w:pPr>
            <w:r>
              <w:rPr>
                <w:sz w:val="18"/>
                <w:szCs w:val="18"/>
              </w:rPr>
              <w:t>07</w:t>
            </w:r>
          </w:p>
          <w:p w14:paraId="6CC5E92D">
            <w:pPr>
              <w:spacing w:line="240" w:lineRule="exact"/>
              <w:jc w:val="center"/>
              <w:textAlignment w:val="center"/>
              <w:rPr>
                <w:sz w:val="18"/>
                <w:szCs w:val="18"/>
              </w:rPr>
            </w:pPr>
            <w:r>
              <w:rPr>
                <w:sz w:val="18"/>
                <w:szCs w:val="18"/>
              </w:rPr>
              <w:t>08</w:t>
            </w:r>
          </w:p>
          <w:p w14:paraId="7BE23764">
            <w:pPr>
              <w:spacing w:line="240" w:lineRule="exact"/>
              <w:jc w:val="center"/>
              <w:textAlignment w:val="center"/>
              <w:rPr>
                <w:sz w:val="18"/>
                <w:szCs w:val="18"/>
              </w:rPr>
            </w:pPr>
            <w:r>
              <w:rPr>
                <w:sz w:val="18"/>
                <w:szCs w:val="18"/>
              </w:rPr>
              <w:t>09</w:t>
            </w:r>
          </w:p>
          <w:p w14:paraId="48BFF659">
            <w:pPr>
              <w:spacing w:line="240" w:lineRule="exact"/>
              <w:jc w:val="center"/>
              <w:textAlignment w:val="center"/>
              <w:rPr>
                <w:sz w:val="18"/>
                <w:szCs w:val="18"/>
              </w:rPr>
            </w:pPr>
            <w:r>
              <w:rPr>
                <w:sz w:val="18"/>
                <w:szCs w:val="18"/>
              </w:rPr>
              <w:t>10</w:t>
            </w:r>
          </w:p>
          <w:p w14:paraId="338B342E">
            <w:pPr>
              <w:spacing w:line="240" w:lineRule="exact"/>
              <w:jc w:val="center"/>
              <w:textAlignment w:val="center"/>
              <w:rPr>
                <w:sz w:val="18"/>
                <w:szCs w:val="18"/>
              </w:rPr>
            </w:pPr>
            <w:r>
              <w:rPr>
                <w:sz w:val="18"/>
                <w:szCs w:val="18"/>
              </w:rPr>
              <w:t>11</w:t>
            </w:r>
          </w:p>
          <w:p w14:paraId="3BB388C0">
            <w:pPr>
              <w:spacing w:line="240" w:lineRule="exact"/>
              <w:jc w:val="center"/>
              <w:textAlignment w:val="center"/>
              <w:rPr>
                <w:sz w:val="18"/>
                <w:szCs w:val="18"/>
              </w:rPr>
            </w:pPr>
            <w:r>
              <w:rPr>
                <w:sz w:val="18"/>
                <w:szCs w:val="18"/>
              </w:rPr>
              <w:t>12</w:t>
            </w:r>
          </w:p>
          <w:p w14:paraId="69E14CE7">
            <w:pPr>
              <w:spacing w:line="240" w:lineRule="exact"/>
              <w:jc w:val="center"/>
              <w:textAlignment w:val="center"/>
              <w:rPr>
                <w:sz w:val="18"/>
                <w:szCs w:val="18"/>
              </w:rPr>
            </w:pPr>
            <w:r>
              <w:rPr>
                <w:sz w:val="18"/>
                <w:szCs w:val="18"/>
              </w:rPr>
              <w:t>13</w:t>
            </w:r>
          </w:p>
          <w:p w14:paraId="7F3E20B8">
            <w:pPr>
              <w:spacing w:line="240" w:lineRule="exact"/>
              <w:jc w:val="center"/>
              <w:textAlignment w:val="center"/>
              <w:rPr>
                <w:sz w:val="18"/>
                <w:szCs w:val="18"/>
              </w:rPr>
            </w:pPr>
            <w:r>
              <w:rPr>
                <w:sz w:val="18"/>
                <w:szCs w:val="18"/>
              </w:rPr>
              <w:t>14</w:t>
            </w:r>
          </w:p>
          <w:p w14:paraId="4F4BFB0E">
            <w:pPr>
              <w:spacing w:line="240" w:lineRule="exact"/>
              <w:jc w:val="center"/>
              <w:textAlignment w:val="center"/>
              <w:rPr>
                <w:sz w:val="18"/>
                <w:szCs w:val="18"/>
              </w:rPr>
            </w:pPr>
            <w:r>
              <w:rPr>
                <w:sz w:val="18"/>
                <w:szCs w:val="18"/>
              </w:rPr>
              <w:t>15</w:t>
            </w:r>
          </w:p>
          <w:p w14:paraId="670BFFB7">
            <w:pPr>
              <w:spacing w:line="240" w:lineRule="exact"/>
              <w:jc w:val="center"/>
              <w:textAlignment w:val="center"/>
              <w:rPr>
                <w:sz w:val="18"/>
                <w:szCs w:val="18"/>
              </w:rPr>
            </w:pPr>
            <w:r>
              <w:rPr>
                <w:sz w:val="18"/>
                <w:szCs w:val="18"/>
              </w:rPr>
              <w:t>16</w:t>
            </w:r>
          </w:p>
          <w:p w14:paraId="31671F97">
            <w:pPr>
              <w:spacing w:line="240" w:lineRule="exact"/>
              <w:jc w:val="center"/>
              <w:textAlignment w:val="center"/>
              <w:rPr>
                <w:sz w:val="18"/>
                <w:szCs w:val="18"/>
              </w:rPr>
            </w:pPr>
            <w:r>
              <w:rPr>
                <w:sz w:val="18"/>
                <w:szCs w:val="18"/>
              </w:rPr>
              <w:t>17</w:t>
            </w:r>
          </w:p>
        </w:tc>
        <w:tc>
          <w:tcPr>
            <w:tcW w:w="907" w:type="dxa"/>
            <w:tcBorders>
              <w:top w:val="single" w:color="auto" w:sz="2" w:space="0"/>
              <w:left w:val="single" w:color="auto" w:sz="2" w:space="0"/>
              <w:bottom w:val="single" w:color="auto" w:sz="8" w:space="0"/>
              <w:right w:val="single" w:color="auto" w:sz="2" w:space="0"/>
            </w:tcBorders>
            <w:vAlign w:val="center"/>
          </w:tcPr>
          <w:p w14:paraId="1EF00698">
            <w:pPr>
              <w:textAlignment w:val="center"/>
              <w:rPr>
                <w:sz w:val="18"/>
                <w:szCs w:val="18"/>
              </w:rPr>
            </w:pPr>
          </w:p>
          <w:p w14:paraId="365DB813">
            <w:pPr>
              <w:widowControl/>
              <w:jc w:val="left"/>
              <w:textAlignment w:val="center"/>
              <w:rPr>
                <w:sz w:val="18"/>
                <w:szCs w:val="18"/>
              </w:rPr>
            </w:pPr>
          </w:p>
        </w:tc>
        <w:tc>
          <w:tcPr>
            <w:tcW w:w="907" w:type="dxa"/>
            <w:tcBorders>
              <w:top w:val="single" w:color="auto" w:sz="2" w:space="0"/>
              <w:left w:val="single" w:color="auto" w:sz="2" w:space="0"/>
              <w:bottom w:val="single" w:color="auto" w:sz="8" w:space="0"/>
              <w:right w:val="single" w:color="auto" w:sz="2" w:space="0"/>
            </w:tcBorders>
            <w:vAlign w:val="center"/>
          </w:tcPr>
          <w:p w14:paraId="75D17C55">
            <w:pPr>
              <w:textAlignment w:val="center"/>
              <w:rPr>
                <w:sz w:val="18"/>
                <w:szCs w:val="18"/>
              </w:rPr>
            </w:pPr>
          </w:p>
          <w:p w14:paraId="121C637E">
            <w:pPr>
              <w:widowControl/>
              <w:jc w:val="left"/>
              <w:textAlignment w:val="center"/>
            </w:pPr>
          </w:p>
        </w:tc>
        <w:tc>
          <w:tcPr>
            <w:tcW w:w="907" w:type="dxa"/>
            <w:tcBorders>
              <w:top w:val="single" w:color="auto" w:sz="2" w:space="0"/>
              <w:left w:val="single" w:color="auto" w:sz="2" w:space="0"/>
              <w:bottom w:val="single" w:color="auto" w:sz="8" w:space="0"/>
              <w:right w:val="single" w:color="auto" w:sz="2" w:space="0"/>
            </w:tcBorders>
            <w:vAlign w:val="center"/>
          </w:tcPr>
          <w:p w14:paraId="78641209">
            <w:pPr>
              <w:textAlignment w:val="center"/>
              <w:rPr>
                <w:sz w:val="18"/>
                <w:szCs w:val="18"/>
              </w:rPr>
            </w:pPr>
          </w:p>
          <w:p w14:paraId="776A3390">
            <w:pPr>
              <w:widowControl/>
              <w:jc w:val="left"/>
              <w:textAlignment w:val="center"/>
            </w:pPr>
          </w:p>
        </w:tc>
        <w:tc>
          <w:tcPr>
            <w:tcW w:w="745" w:type="dxa"/>
            <w:tcBorders>
              <w:top w:val="single" w:color="auto" w:sz="2" w:space="0"/>
              <w:left w:val="single" w:color="auto" w:sz="2" w:space="0"/>
              <w:bottom w:val="single" w:color="auto" w:sz="8" w:space="0"/>
              <w:right w:val="single" w:color="auto" w:sz="2" w:space="0"/>
            </w:tcBorders>
            <w:vAlign w:val="center"/>
          </w:tcPr>
          <w:p w14:paraId="003A7D90">
            <w:pPr>
              <w:spacing w:line="236" w:lineRule="exact"/>
              <w:jc w:val="center"/>
              <w:textAlignment w:val="center"/>
              <w:rPr>
                <w:sz w:val="18"/>
                <w:szCs w:val="18"/>
              </w:rPr>
            </w:pPr>
            <w:r>
              <w:rPr>
                <w:sz w:val="18"/>
                <w:szCs w:val="18"/>
              </w:rPr>
              <w:t>100</w:t>
            </w:r>
          </w:p>
          <w:p w14:paraId="258FBF44">
            <w:pPr>
              <w:spacing w:line="236" w:lineRule="exact"/>
              <w:jc w:val="center"/>
              <w:textAlignment w:val="center"/>
              <w:rPr>
                <w:sz w:val="18"/>
                <w:szCs w:val="18"/>
              </w:rPr>
            </w:pPr>
          </w:p>
          <w:p w14:paraId="45CC8D09">
            <w:pPr>
              <w:spacing w:line="236" w:lineRule="exact"/>
              <w:jc w:val="center"/>
              <w:textAlignment w:val="center"/>
              <w:rPr>
                <w:sz w:val="18"/>
                <w:szCs w:val="18"/>
              </w:rPr>
            </w:pPr>
          </w:p>
          <w:p w14:paraId="2A67ABDB">
            <w:pPr>
              <w:spacing w:line="236" w:lineRule="exact"/>
              <w:jc w:val="center"/>
              <w:textAlignment w:val="center"/>
              <w:rPr>
                <w:sz w:val="18"/>
                <w:szCs w:val="18"/>
              </w:rPr>
            </w:pPr>
          </w:p>
          <w:p w14:paraId="53252AB4">
            <w:pPr>
              <w:spacing w:line="236" w:lineRule="exact"/>
              <w:jc w:val="center"/>
              <w:textAlignment w:val="center"/>
              <w:rPr>
                <w:sz w:val="18"/>
                <w:szCs w:val="18"/>
              </w:rPr>
            </w:pPr>
          </w:p>
          <w:p w14:paraId="70155CD6">
            <w:pPr>
              <w:spacing w:line="236" w:lineRule="exact"/>
              <w:jc w:val="center"/>
              <w:textAlignment w:val="center"/>
              <w:rPr>
                <w:sz w:val="18"/>
                <w:szCs w:val="18"/>
              </w:rPr>
            </w:pPr>
          </w:p>
          <w:p w14:paraId="0204A068">
            <w:pPr>
              <w:spacing w:line="236" w:lineRule="exact"/>
              <w:jc w:val="center"/>
              <w:textAlignment w:val="center"/>
              <w:rPr>
                <w:sz w:val="18"/>
                <w:szCs w:val="18"/>
              </w:rPr>
            </w:pPr>
          </w:p>
          <w:p w14:paraId="40CA55E9">
            <w:pPr>
              <w:spacing w:line="236" w:lineRule="exact"/>
              <w:jc w:val="center"/>
              <w:textAlignment w:val="center"/>
              <w:rPr>
                <w:sz w:val="18"/>
                <w:szCs w:val="18"/>
              </w:rPr>
            </w:pPr>
          </w:p>
          <w:p w14:paraId="79EC0841">
            <w:pPr>
              <w:widowControl/>
              <w:jc w:val="left"/>
              <w:textAlignment w:val="center"/>
            </w:pPr>
          </w:p>
          <w:p w14:paraId="32811E7B">
            <w:pPr>
              <w:spacing w:line="236" w:lineRule="exact"/>
              <w:jc w:val="center"/>
              <w:textAlignment w:val="center"/>
              <w:rPr>
                <w:sz w:val="18"/>
                <w:szCs w:val="18"/>
              </w:rPr>
            </w:pPr>
          </w:p>
          <w:p w14:paraId="2EFEAA50">
            <w:pPr>
              <w:spacing w:line="236" w:lineRule="exact"/>
              <w:jc w:val="center"/>
              <w:textAlignment w:val="center"/>
              <w:rPr>
                <w:sz w:val="18"/>
                <w:szCs w:val="18"/>
              </w:rPr>
            </w:pPr>
          </w:p>
          <w:p w14:paraId="6C6548DE">
            <w:pPr>
              <w:spacing w:line="236" w:lineRule="exact"/>
              <w:jc w:val="center"/>
              <w:textAlignment w:val="center"/>
              <w:rPr>
                <w:sz w:val="18"/>
                <w:szCs w:val="18"/>
              </w:rPr>
            </w:pPr>
          </w:p>
          <w:p w14:paraId="04CFB1FA">
            <w:pPr>
              <w:spacing w:line="236" w:lineRule="exact"/>
              <w:jc w:val="center"/>
              <w:textAlignment w:val="center"/>
              <w:rPr>
                <w:sz w:val="18"/>
                <w:szCs w:val="18"/>
              </w:rPr>
            </w:pPr>
          </w:p>
          <w:p w14:paraId="3623E114">
            <w:pPr>
              <w:spacing w:line="236" w:lineRule="exact"/>
              <w:jc w:val="center"/>
              <w:textAlignment w:val="center"/>
              <w:rPr>
                <w:sz w:val="18"/>
                <w:szCs w:val="18"/>
              </w:rPr>
            </w:pPr>
            <w:r>
              <w:rPr>
                <w:sz w:val="18"/>
                <w:szCs w:val="18"/>
              </w:rPr>
              <w:t>—</w:t>
            </w:r>
          </w:p>
          <w:p w14:paraId="63EA68BE">
            <w:pPr>
              <w:spacing w:line="236" w:lineRule="exact"/>
              <w:jc w:val="center"/>
              <w:textAlignment w:val="center"/>
              <w:rPr>
                <w:sz w:val="18"/>
                <w:szCs w:val="18"/>
              </w:rPr>
            </w:pPr>
            <w:r>
              <w:rPr>
                <w:sz w:val="18"/>
                <w:szCs w:val="18"/>
              </w:rPr>
              <w:t>—</w:t>
            </w:r>
          </w:p>
          <w:p w14:paraId="07F879CC">
            <w:pPr>
              <w:spacing w:line="236" w:lineRule="exact"/>
              <w:jc w:val="center"/>
              <w:textAlignment w:val="center"/>
              <w:rPr>
                <w:sz w:val="18"/>
                <w:szCs w:val="18"/>
              </w:rPr>
            </w:pPr>
            <w:r>
              <w:rPr>
                <w:sz w:val="18"/>
                <w:szCs w:val="18"/>
              </w:rPr>
              <w:t>—</w:t>
            </w:r>
          </w:p>
          <w:p w14:paraId="7BC9B84C">
            <w:pPr>
              <w:spacing w:line="236" w:lineRule="exact"/>
              <w:jc w:val="center"/>
              <w:textAlignment w:val="center"/>
              <w:rPr>
                <w:sz w:val="18"/>
                <w:szCs w:val="18"/>
              </w:rPr>
            </w:pPr>
            <w:r>
              <w:rPr>
                <w:sz w:val="18"/>
                <w:szCs w:val="18"/>
              </w:rPr>
              <w:t>—</w:t>
            </w:r>
          </w:p>
        </w:tc>
        <w:tc>
          <w:tcPr>
            <w:tcW w:w="745" w:type="dxa"/>
            <w:tcBorders>
              <w:top w:val="single" w:color="auto" w:sz="2" w:space="0"/>
              <w:left w:val="single" w:color="auto" w:sz="2" w:space="0"/>
              <w:bottom w:val="single" w:color="auto" w:sz="8" w:space="0"/>
              <w:right w:val="nil"/>
            </w:tcBorders>
            <w:vAlign w:val="center"/>
          </w:tcPr>
          <w:p w14:paraId="1B9DC9BE">
            <w:pPr>
              <w:spacing w:line="236" w:lineRule="exact"/>
              <w:jc w:val="center"/>
              <w:textAlignment w:val="center"/>
              <w:rPr>
                <w:sz w:val="18"/>
                <w:szCs w:val="18"/>
              </w:rPr>
            </w:pPr>
            <w:r>
              <w:rPr>
                <w:sz w:val="18"/>
                <w:szCs w:val="18"/>
              </w:rPr>
              <w:t>100</w:t>
            </w:r>
          </w:p>
          <w:p w14:paraId="1565A639">
            <w:pPr>
              <w:spacing w:line="236" w:lineRule="exact"/>
              <w:jc w:val="center"/>
              <w:textAlignment w:val="center"/>
              <w:rPr>
                <w:sz w:val="18"/>
                <w:szCs w:val="18"/>
              </w:rPr>
            </w:pPr>
          </w:p>
          <w:p w14:paraId="479F148B">
            <w:pPr>
              <w:spacing w:line="236" w:lineRule="exact"/>
              <w:jc w:val="center"/>
              <w:textAlignment w:val="center"/>
              <w:rPr>
                <w:sz w:val="18"/>
                <w:szCs w:val="18"/>
              </w:rPr>
            </w:pPr>
          </w:p>
          <w:p w14:paraId="753BB398">
            <w:pPr>
              <w:spacing w:line="236" w:lineRule="exact"/>
              <w:jc w:val="center"/>
              <w:textAlignment w:val="center"/>
              <w:rPr>
                <w:sz w:val="18"/>
                <w:szCs w:val="18"/>
              </w:rPr>
            </w:pPr>
          </w:p>
          <w:p w14:paraId="54BA32ED">
            <w:pPr>
              <w:spacing w:line="236" w:lineRule="exact"/>
              <w:jc w:val="center"/>
              <w:textAlignment w:val="center"/>
              <w:rPr>
                <w:sz w:val="18"/>
                <w:szCs w:val="18"/>
              </w:rPr>
            </w:pPr>
          </w:p>
          <w:p w14:paraId="0E4CF7D3">
            <w:pPr>
              <w:spacing w:line="236" w:lineRule="exact"/>
              <w:jc w:val="center"/>
              <w:textAlignment w:val="center"/>
              <w:rPr>
                <w:sz w:val="18"/>
                <w:szCs w:val="18"/>
              </w:rPr>
            </w:pPr>
          </w:p>
          <w:p w14:paraId="53A50722">
            <w:pPr>
              <w:spacing w:line="236" w:lineRule="exact"/>
              <w:jc w:val="center"/>
              <w:textAlignment w:val="center"/>
              <w:rPr>
                <w:sz w:val="18"/>
                <w:szCs w:val="18"/>
              </w:rPr>
            </w:pPr>
          </w:p>
          <w:p w14:paraId="4C61687C">
            <w:pPr>
              <w:spacing w:line="236" w:lineRule="exact"/>
              <w:jc w:val="center"/>
              <w:textAlignment w:val="center"/>
              <w:rPr>
                <w:sz w:val="18"/>
                <w:szCs w:val="18"/>
              </w:rPr>
            </w:pPr>
          </w:p>
          <w:p w14:paraId="658C381E">
            <w:pPr>
              <w:widowControl/>
              <w:jc w:val="left"/>
              <w:textAlignment w:val="center"/>
            </w:pPr>
          </w:p>
          <w:p w14:paraId="7EE59CFB">
            <w:pPr>
              <w:spacing w:line="236" w:lineRule="exact"/>
              <w:jc w:val="center"/>
              <w:textAlignment w:val="center"/>
              <w:rPr>
                <w:sz w:val="18"/>
                <w:szCs w:val="18"/>
              </w:rPr>
            </w:pPr>
          </w:p>
          <w:p w14:paraId="0176F864">
            <w:pPr>
              <w:spacing w:line="236" w:lineRule="exact"/>
              <w:jc w:val="center"/>
              <w:textAlignment w:val="center"/>
              <w:rPr>
                <w:sz w:val="18"/>
                <w:szCs w:val="18"/>
              </w:rPr>
            </w:pPr>
          </w:p>
          <w:p w14:paraId="5E8D6087">
            <w:pPr>
              <w:spacing w:line="236" w:lineRule="exact"/>
              <w:jc w:val="center"/>
              <w:textAlignment w:val="center"/>
              <w:rPr>
                <w:sz w:val="18"/>
                <w:szCs w:val="18"/>
              </w:rPr>
            </w:pPr>
          </w:p>
          <w:p w14:paraId="36569C14">
            <w:pPr>
              <w:spacing w:line="236" w:lineRule="exact"/>
              <w:jc w:val="center"/>
              <w:textAlignment w:val="center"/>
              <w:rPr>
                <w:sz w:val="18"/>
                <w:szCs w:val="18"/>
              </w:rPr>
            </w:pPr>
          </w:p>
          <w:p w14:paraId="570549D8">
            <w:pPr>
              <w:spacing w:line="236" w:lineRule="exact"/>
              <w:jc w:val="center"/>
              <w:textAlignment w:val="center"/>
              <w:rPr>
                <w:sz w:val="18"/>
                <w:szCs w:val="18"/>
              </w:rPr>
            </w:pPr>
            <w:r>
              <w:rPr>
                <w:sz w:val="18"/>
                <w:szCs w:val="18"/>
              </w:rPr>
              <w:t>—</w:t>
            </w:r>
          </w:p>
          <w:p w14:paraId="3392C01F">
            <w:pPr>
              <w:spacing w:line="236" w:lineRule="exact"/>
              <w:jc w:val="center"/>
              <w:textAlignment w:val="center"/>
              <w:rPr>
                <w:sz w:val="18"/>
                <w:szCs w:val="18"/>
              </w:rPr>
            </w:pPr>
            <w:r>
              <w:rPr>
                <w:sz w:val="18"/>
                <w:szCs w:val="18"/>
              </w:rPr>
              <w:t>—</w:t>
            </w:r>
          </w:p>
          <w:p w14:paraId="5D4D56C5">
            <w:pPr>
              <w:spacing w:line="236" w:lineRule="exact"/>
              <w:jc w:val="center"/>
              <w:textAlignment w:val="center"/>
              <w:rPr>
                <w:sz w:val="18"/>
                <w:szCs w:val="18"/>
              </w:rPr>
            </w:pPr>
            <w:r>
              <w:rPr>
                <w:sz w:val="18"/>
                <w:szCs w:val="18"/>
              </w:rPr>
              <w:t>—</w:t>
            </w:r>
          </w:p>
          <w:p w14:paraId="58C1DE1E">
            <w:pPr>
              <w:spacing w:line="236" w:lineRule="exact"/>
              <w:jc w:val="center"/>
              <w:textAlignment w:val="center"/>
              <w:rPr>
                <w:sz w:val="18"/>
                <w:szCs w:val="18"/>
              </w:rPr>
            </w:pPr>
            <w:r>
              <w:rPr>
                <w:sz w:val="18"/>
                <w:szCs w:val="18"/>
              </w:rPr>
              <w:t>—</w:t>
            </w:r>
          </w:p>
        </w:tc>
      </w:tr>
    </w:tbl>
    <w:p w14:paraId="099538DB">
      <w:pPr>
        <w:spacing w:line="360" w:lineRule="atLeast"/>
        <w:ind w:right="-40" w:firstLine="424" w:firstLineChars="202"/>
        <w:textAlignment w:val="center"/>
        <w:rPr>
          <w:rFonts w:ascii="宋体" w:hAnsi="宋体"/>
          <w:szCs w:val="21"/>
        </w:rPr>
      </w:pPr>
      <w:r>
        <w:rPr>
          <w:rFonts w:ascii="宋体" w:hAnsi="宋体"/>
          <w:szCs w:val="21"/>
        </w:rPr>
        <w:t>其中</w:t>
      </w:r>
      <w:r>
        <w:rPr>
          <w:rFonts w:hint="eastAsia" w:ascii="宋体" w:hAnsi="宋体"/>
          <w:szCs w:val="21"/>
        </w:rPr>
        <w:t>，</w:t>
      </w:r>
      <w:r>
        <w:rPr>
          <w:rFonts w:ascii="宋体" w:hAnsi="宋体"/>
          <w:szCs w:val="21"/>
        </w:rPr>
        <w:t>万元地区生产总值能耗</w:t>
      </w:r>
      <w:r>
        <w:rPr>
          <w:rFonts w:hint="eastAsia" w:ascii="宋体" w:hAnsi="宋体"/>
          <w:szCs w:val="21"/>
        </w:rPr>
        <w:t>（</w:t>
      </w:r>
      <w:r>
        <w:rPr>
          <w:rFonts w:ascii="宋体" w:hAnsi="宋体"/>
          <w:szCs w:val="21"/>
        </w:rPr>
        <w:t>简称单位GDP能耗</w:t>
      </w:r>
      <w:r>
        <w:rPr>
          <w:rFonts w:hint="eastAsia" w:ascii="宋体" w:hAnsi="宋体"/>
          <w:szCs w:val="21"/>
        </w:rPr>
        <w:t>）</w:t>
      </w:r>
      <w:r>
        <w:rPr>
          <w:rFonts w:ascii="宋体" w:hAnsi="宋体"/>
          <w:szCs w:val="21"/>
        </w:rPr>
        <w:t>及其降低率计算方法</w:t>
      </w:r>
      <w:r>
        <w:rPr>
          <w:rFonts w:hint="eastAsia" w:ascii="宋体" w:hAnsi="宋体"/>
          <w:szCs w:val="21"/>
        </w:rPr>
        <w:t>：</w:t>
      </w:r>
    </w:p>
    <w:p w14:paraId="458A79B2">
      <w:pPr>
        <w:spacing w:line="240" w:lineRule="atLeast"/>
        <w:ind w:left="420" w:leftChars="200" w:firstLine="840" w:firstLineChars="400"/>
        <w:textAlignment w:val="center"/>
        <w:rPr>
          <w:rFonts w:ascii="宋体" w:hAnsi="宋体"/>
        </w:rPr>
      </w:pPr>
      <m:oMathPara>
        <m:oMathParaPr>
          <m:jc m:val="left"/>
        </m:oMathParaPr>
        <m:oMath>
          <m:r>
            <m:rPr>
              <m:sty m:val="p"/>
            </m:rPr>
            <w:rPr>
              <w:rFonts w:hint="eastAsia" w:ascii="Cambria Math" w:hAnsi="Cambria Math"/>
            </w:rPr>
            <m:t>单位</m:t>
          </m:r>
          <m:r>
            <m:rPr>
              <m:sty m:val="p"/>
            </m:rPr>
            <w:rPr>
              <w:rFonts w:ascii="Cambria Math" w:hAnsi="Cambria Math"/>
            </w:rPr>
            <m:t>GDP能耗=</m:t>
          </m:r>
          <m:f>
            <m:fPr>
              <m:ctrlPr>
                <w:rPr>
                  <w:rFonts w:ascii="Cambria Math" w:hAnsi="Cambria Math"/>
                </w:rPr>
              </m:ctrlPr>
            </m:fPr>
            <m:num>
              <m:r>
                <m:rPr>
                  <m:sty m:val="p"/>
                </m:rPr>
                <w:rPr>
                  <w:rFonts w:hint="eastAsia" w:ascii="Cambria Math" w:hAnsi="Cambria Math"/>
                </w:rPr>
                <m:t>能源消费总量</m:t>
              </m:r>
              <m:ctrlPr>
                <w:rPr>
                  <w:rFonts w:ascii="Cambria Math" w:hAnsi="Cambria Math"/>
                </w:rPr>
              </m:ctrlPr>
            </m:num>
            <m:den>
              <m:r>
                <m:rPr>
                  <m:sty m:val="p"/>
                </m:rPr>
                <w:rPr>
                  <w:rFonts w:ascii="Cambria Math" w:hAnsi="Cambria Math"/>
                </w:rPr>
                <m:t>GDP</m:t>
              </m:r>
              <m:ctrlPr>
                <w:rPr>
                  <w:rFonts w:ascii="Cambria Math" w:hAnsi="Cambria Math"/>
                </w:rPr>
              </m:ctrlPr>
            </m:den>
          </m:f>
        </m:oMath>
      </m:oMathPara>
    </w:p>
    <w:p w14:paraId="1601BF8D">
      <w:pPr>
        <w:spacing w:line="240" w:lineRule="atLeast"/>
        <w:ind w:left="420" w:leftChars="200" w:firstLine="420" w:firstLineChars="200"/>
        <w:textAlignment w:val="center"/>
        <w:rPr>
          <w:rFonts w:ascii="宋体" w:hAnsi="宋体"/>
        </w:rPr>
      </w:pPr>
      <m:oMathPara>
        <m:oMathParaPr>
          <m:jc m:val="left"/>
        </m:oMathParaPr>
        <m:oMath>
          <m:r>
            <m:rPr>
              <m:sty m:val="p"/>
            </m:rPr>
            <w:rPr>
              <w:rFonts w:hint="eastAsia" w:ascii="Cambria Math" w:hAnsi="Cambria Math"/>
            </w:rPr>
            <m:t>单位</m:t>
          </m:r>
          <m:r>
            <m:rPr>
              <m:sty m:val="p"/>
            </m:rPr>
            <w:rPr>
              <w:rFonts w:ascii="Cambria Math" w:hAnsi="Cambria Math"/>
            </w:rPr>
            <m:t>GDP能耗上升或下降</m:t>
          </m:r>
          <m:d>
            <m:dPr>
              <m:ctrlPr>
                <w:rPr>
                  <w:rFonts w:ascii="Cambria Math" w:hAnsi="Cambria Math"/>
                </w:rPr>
              </m:ctrlPr>
            </m:dPr>
            <m:e>
              <m:r>
                <m:rPr>
                  <m:sty m:val="p"/>
                </m:rPr>
                <w:rPr>
                  <w:rFonts w:ascii="Cambria Math" w:hAnsi="Cambria Math"/>
                </w:rPr>
                <m:t>±%</m:t>
              </m:r>
              <m:ctrlPr>
                <w:rPr>
                  <w:rFonts w:ascii="Cambria Math" w:hAnsi="Cambria Math"/>
                </w:rPr>
              </m:ctrlPr>
            </m:e>
          </m:d>
          <m:r>
            <m:rPr>
              <m:sty m:val="p"/>
            </m:rPr>
            <w:rPr>
              <w:rFonts w:ascii="Cambria Math" w:hAnsi="Cambria Math"/>
            </w:rPr>
            <m:t>=</m:t>
          </m:r>
          <m:d>
            <m:dPr>
              <m:ctrlPr>
                <w:rPr>
                  <w:rFonts w:ascii="Cambria Math" w:hAnsi="Cambria Math"/>
                </w:rPr>
              </m:ctrlPr>
            </m:dPr>
            <m:e>
              <m:f>
                <m:fPr>
                  <m:ctrlPr>
                    <w:rPr>
                      <w:rFonts w:ascii="Cambria Math" w:hAnsi="Cambria Math"/>
                    </w:rPr>
                  </m:ctrlPr>
                </m:fPr>
                <m:num>
                  <m:f>
                    <m:fPr>
                      <m:type m:val="lin"/>
                      <m:ctrlPr>
                        <w:rPr>
                          <w:rFonts w:ascii="Cambria Math" w:hAnsi="Cambria Math"/>
                          <w:i/>
                        </w:rPr>
                      </m:ctrlPr>
                    </m:fPr>
                    <m:num>
                      <m:r>
                        <m:rPr>
                          <m:sty m:val="p"/>
                        </m:rPr>
                        <w:rPr>
                          <w:rFonts w:hint="eastAsia" w:ascii="Cambria Math" w:hAnsi="Cambria Math"/>
                        </w:rPr>
                        <m:t>本期</m:t>
                      </m:r>
                      <m:r>
                        <m:rPr>
                          <m:sty m:val="p"/>
                        </m:rPr>
                        <w:rPr>
                          <w:rFonts w:ascii="Cambria Math" w:hAnsi="Cambria Math"/>
                        </w:rPr>
                        <m:t>能源消费总量</m:t>
                      </m:r>
                      <m:ctrlPr>
                        <w:rPr>
                          <w:rFonts w:ascii="Cambria Math" w:hAnsi="Cambria Math"/>
                          <w:i/>
                        </w:rPr>
                      </m:ctrlPr>
                    </m:num>
                    <m:den>
                      <m:r>
                        <m:rPr>
                          <m:sty m:val="p"/>
                        </m:rPr>
                        <w:rPr>
                          <w:rFonts w:hint="eastAsia" w:ascii="Cambria Math" w:hAnsi="Cambria Math"/>
                        </w:rPr>
                        <m:t>本期</m:t>
                      </m:r>
                      <m:r>
                        <m:rPr>
                          <m:sty m:val="p"/>
                        </m:rPr>
                        <w:rPr>
                          <w:rFonts w:ascii="Cambria Math" w:hAnsi="Cambria Math"/>
                        </w:rPr>
                        <m:t>GDP</m:t>
                      </m:r>
                      <m:ctrlPr>
                        <w:rPr>
                          <w:rFonts w:ascii="Cambria Math" w:hAnsi="Cambria Math"/>
                          <w:i/>
                        </w:rPr>
                      </m:ctrlPr>
                    </m:den>
                  </m:f>
                  <m:ctrlPr>
                    <w:rPr>
                      <w:rFonts w:ascii="Cambria Math" w:hAnsi="Cambria Math"/>
                    </w:rPr>
                  </m:ctrlPr>
                </m:num>
                <m:den>
                  <m:f>
                    <m:fPr>
                      <m:type m:val="lin"/>
                      <m:ctrlPr>
                        <w:rPr>
                          <w:rFonts w:ascii="Cambria Math" w:hAnsi="Cambria Math"/>
                          <w:i/>
                        </w:rPr>
                      </m:ctrlPr>
                    </m:fPr>
                    <m:num>
                      <m:r>
                        <m:rPr>
                          <m:sty m:val="p"/>
                        </m:rPr>
                        <w:rPr>
                          <w:rFonts w:hint="eastAsia" w:ascii="Cambria Math" w:hAnsi="Cambria Math"/>
                        </w:rPr>
                        <m:t>上年同期</m:t>
                      </m:r>
                      <m:r>
                        <m:rPr>
                          <m:sty m:val="p"/>
                        </m:rPr>
                        <w:rPr>
                          <w:rFonts w:ascii="Cambria Math" w:hAnsi="Cambria Math"/>
                        </w:rPr>
                        <m:t>能源消费总量</m:t>
                      </m:r>
                      <m:ctrlPr>
                        <w:rPr>
                          <w:rFonts w:ascii="Cambria Math" w:hAnsi="Cambria Math"/>
                          <w:i/>
                        </w:rPr>
                      </m:ctrlPr>
                    </m:num>
                    <m:den>
                      <m:r>
                        <m:rPr>
                          <m:sty m:val="p"/>
                        </m:rPr>
                        <w:rPr>
                          <w:rFonts w:hint="eastAsia" w:ascii="Cambria Math" w:hAnsi="Cambria Math"/>
                        </w:rPr>
                        <m:t>上年同期</m:t>
                      </m:r>
                      <m:r>
                        <m:rPr>
                          <m:sty m:val="p"/>
                        </m:rPr>
                        <w:rPr>
                          <w:rFonts w:ascii="Cambria Math" w:hAnsi="Cambria Math"/>
                        </w:rPr>
                        <m:t>GDP</m:t>
                      </m:r>
                      <m:ctrlPr>
                        <w:rPr>
                          <w:rFonts w:ascii="Cambria Math" w:hAnsi="Cambria Math"/>
                          <w:i/>
                        </w:rPr>
                      </m:ctrlPr>
                    </m:den>
                  </m:f>
                  <m:ctrlPr>
                    <w:rPr>
                      <w:rFonts w:ascii="Cambria Math" w:hAnsi="Cambria Math"/>
                    </w:rPr>
                  </m:ctrlPr>
                </m:den>
              </m:f>
              <m:r>
                <m:rPr/>
                <w:rPr>
                  <w:rFonts w:ascii="Cambria Math" w:hAnsi="Cambria Math"/>
                </w:rPr>
                <m:t>−1</m:t>
              </m:r>
              <m:ctrlPr>
                <w:rPr>
                  <w:rFonts w:ascii="Cambria Math" w:hAnsi="Cambria Math"/>
                  <w:i/>
                </w:rPr>
              </m:ctrlPr>
            </m:e>
          </m:d>
          <m:r>
            <m:rPr/>
            <w:rPr>
              <w:rFonts w:ascii="Cambria Math" w:hAnsi="Cambria Math"/>
            </w:rPr>
            <m:t>×100%</m:t>
          </m:r>
        </m:oMath>
      </m:oMathPara>
    </w:p>
    <w:p w14:paraId="6994F067">
      <w:pPr>
        <w:ind w:left="420" w:leftChars="200" w:firstLine="420" w:firstLineChars="200"/>
        <w:textAlignment w:val="center"/>
        <w:rPr>
          <w:rFonts w:ascii="宋体" w:hAnsi="宋体"/>
        </w:rPr>
      </w:pPr>
      <m:oMathPara>
        <m:oMathParaPr>
          <m:jc m:val="left"/>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hint="eastAsia" w:ascii="Cambria Math" w:hAnsi="Cambria Math"/>
                    </w:rPr>
                    <m:t>本期</m:t>
                  </m:r>
                  <m:r>
                    <m:rPr>
                      <m:sty m:val="p"/>
                    </m:rPr>
                    <w:rPr>
                      <w:rFonts w:ascii="Cambria Math" w:hAnsi="Cambria Math"/>
                    </w:rPr>
                    <m:t>能源消费总量</m:t>
                  </m:r>
                  <m:ctrlPr>
                    <w:rPr>
                      <w:rFonts w:ascii="Cambria Math" w:hAnsi="Cambria Math"/>
                    </w:rPr>
                  </m:ctrlPr>
                </m:num>
                <m:den>
                  <m:r>
                    <m:rPr>
                      <m:sty m:val="p"/>
                    </m:rPr>
                    <w:rPr>
                      <w:rFonts w:hint="eastAsia" w:ascii="Cambria Math" w:hAnsi="Cambria Math"/>
                    </w:rPr>
                    <m:t>上年同期能源消费总量</m:t>
                  </m:r>
                  <m:ctrlPr>
                    <w:rPr>
                      <w:rFonts w:ascii="Cambria Math" w:hAnsi="Cambria Math"/>
                    </w:rPr>
                  </m:ctrlPr>
                </m:den>
              </m:f>
              <m:r>
                <m:rPr/>
                <w:rPr>
                  <w:rFonts w:ascii="Cambria Math" w:hAnsi="Cambria Math"/>
                </w:rPr>
                <m:t>÷</m:t>
              </m:r>
              <m:f>
                <m:fPr>
                  <m:ctrlPr>
                    <w:rPr>
                      <w:rFonts w:ascii="Cambria Math" w:hAnsi="Cambria Math"/>
                      <w:i/>
                    </w:rPr>
                  </m:ctrlPr>
                </m:fPr>
                <m:num>
                  <m:r>
                    <m:rPr>
                      <m:sty m:val="p"/>
                    </m:rPr>
                    <w:rPr>
                      <w:rFonts w:hint="eastAsia" w:ascii="Cambria Math" w:hAnsi="Cambria Math"/>
                    </w:rPr>
                    <m:t>本期</m:t>
                  </m:r>
                  <m:r>
                    <m:rPr>
                      <m:sty m:val="p"/>
                    </m:rPr>
                    <w:rPr>
                      <w:rFonts w:ascii="Cambria Math" w:hAnsi="Cambria Math"/>
                    </w:rPr>
                    <m:t>GDP</m:t>
                  </m:r>
                  <m:ctrlPr>
                    <w:rPr>
                      <w:rFonts w:ascii="Cambria Math" w:hAnsi="Cambria Math"/>
                      <w:i/>
                    </w:rPr>
                  </m:ctrlPr>
                </m:num>
                <m:den>
                  <m:r>
                    <m:rPr>
                      <m:sty m:val="p"/>
                    </m:rPr>
                    <w:rPr>
                      <w:rFonts w:hint="eastAsia" w:ascii="Cambria Math" w:hAnsi="Cambria Math"/>
                    </w:rPr>
                    <m:t>上年同期</m:t>
                  </m:r>
                  <m:r>
                    <m:rPr>
                      <m:sty m:val="p"/>
                    </m:rPr>
                    <w:rPr>
                      <w:rFonts w:ascii="Cambria Math" w:hAnsi="Cambria Math"/>
                    </w:rPr>
                    <m:t>GDP</m:t>
                  </m:r>
                  <m:ctrlPr>
                    <w:rPr>
                      <w:rFonts w:ascii="Cambria Math" w:hAnsi="Cambria Math"/>
                      <w:i/>
                    </w:rPr>
                  </m:ctrlPr>
                </m:den>
              </m:f>
              <m:r>
                <m:rPr/>
                <w:rPr>
                  <w:rFonts w:ascii="Cambria Math" w:hAnsi="Cambria Math"/>
                </w:rPr>
                <m:t>−1</m:t>
              </m:r>
              <m:ctrlPr>
                <w:rPr>
                  <w:rFonts w:ascii="Cambria Math" w:hAnsi="Cambria Math"/>
                  <w:i/>
                </w:rPr>
              </m:ctrlPr>
            </m:e>
          </m:d>
          <m:r>
            <m:rPr/>
            <w:rPr>
              <w:rFonts w:ascii="Cambria Math" w:hAnsi="Cambria Math"/>
            </w:rPr>
            <m:t>×100%</m:t>
          </m:r>
        </m:oMath>
      </m:oMathPara>
    </w:p>
    <w:p w14:paraId="15ABEA39">
      <w:pPr>
        <w:ind w:left="420" w:leftChars="200" w:firstLine="420" w:firstLineChars="200"/>
        <w:textAlignment w:val="center"/>
        <w:rPr>
          <w:rFonts w:ascii="宋体" w:hAnsi="宋体"/>
        </w:rPr>
      </w:pPr>
      <m:oMathPara>
        <m:oMathParaPr>
          <m:jc m:val="left"/>
        </m:oMathParaPr>
        <m:oMath>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hint="eastAsia" w:ascii="Cambria Math" w:hAnsi="Cambria Math"/>
                    </w:rPr>
                    <m:t>本期</m:t>
                  </m:r>
                  <m:r>
                    <m:rPr>
                      <m:sty m:val="p"/>
                    </m:rPr>
                    <w:rPr>
                      <w:rFonts w:ascii="Cambria Math" w:hAnsi="Cambria Math"/>
                    </w:rPr>
                    <m:t>能源消费总量</m:t>
                  </m:r>
                  <m:r>
                    <m:rPr>
                      <m:sty m:val="p"/>
                    </m:rPr>
                    <w:rPr>
                      <w:rFonts w:hint="eastAsia" w:ascii="Cambria Math" w:hAnsi="Cambria Math"/>
                    </w:rPr>
                    <m:t>发展速度</m:t>
                  </m:r>
                  <m:ctrlPr>
                    <w:rPr>
                      <w:rFonts w:ascii="Cambria Math" w:hAnsi="Cambria Math"/>
                    </w:rPr>
                  </m:ctrlPr>
                </m:num>
                <m:den>
                  <m:r>
                    <m:rPr>
                      <m:sty m:val="p"/>
                    </m:rPr>
                    <w:rPr>
                      <w:rFonts w:hint="eastAsia" w:ascii="Cambria Math" w:hAnsi="Cambria Math"/>
                    </w:rPr>
                    <m:t>本期</m:t>
                  </m:r>
                  <m:r>
                    <m:rPr>
                      <m:sty m:val="p"/>
                    </m:rPr>
                    <w:rPr>
                      <w:rFonts w:ascii="Cambria Math" w:hAnsi="Cambria Math"/>
                    </w:rPr>
                    <m:t>GDP</m:t>
                  </m:r>
                  <m:r>
                    <m:rPr>
                      <m:sty m:val="p"/>
                    </m:rPr>
                    <w:rPr>
                      <w:rFonts w:hint="eastAsia" w:ascii="Cambria Math" w:hAnsi="Cambria Math"/>
                    </w:rPr>
                    <m:t>发展</m:t>
                  </m:r>
                  <m:r>
                    <m:rPr>
                      <m:sty m:val="p"/>
                    </m:rPr>
                    <w:rPr>
                      <w:rFonts w:ascii="Cambria Math" w:hAnsi="Cambria Math"/>
                    </w:rPr>
                    <m:t>速度</m:t>
                  </m:r>
                  <m:ctrlPr>
                    <w:rPr>
                      <w:rFonts w:ascii="Cambria Math" w:hAnsi="Cambria Math"/>
                    </w:rPr>
                  </m:ctrlPr>
                </m:den>
              </m:f>
              <m:r>
                <m:rPr/>
                <w:rPr>
                  <w:rFonts w:ascii="Cambria Math" w:hAnsi="Cambria Math"/>
                </w:rPr>
                <m:t>−1</m:t>
              </m:r>
              <m:ctrlPr>
                <w:rPr>
                  <w:rFonts w:ascii="Cambria Math" w:hAnsi="Cambria Math"/>
                  <w:i/>
                </w:rPr>
              </m:ctrlPr>
            </m:e>
          </m:d>
          <m:r>
            <m:rPr/>
            <w:rPr>
              <w:rFonts w:ascii="Cambria Math" w:hAnsi="Cambria Math"/>
            </w:rPr>
            <m:t>×100%</m:t>
          </m:r>
        </m:oMath>
      </m:oMathPara>
    </w:p>
    <w:p w14:paraId="6BB10B57">
      <w:pPr>
        <w:pStyle w:val="9"/>
        <w:spacing w:line="360" w:lineRule="exact"/>
        <w:ind w:right="0" w:firstLine="420" w:firstLineChars="200"/>
        <w:textAlignment w:val="center"/>
        <w:rPr>
          <w:szCs w:val="21"/>
        </w:rPr>
      </w:pPr>
      <w:r>
        <w:rPr>
          <w:szCs w:val="21"/>
        </w:rPr>
        <w:t>计算能源消费总量发展速度和GDP发展速度时，两年的能源消费总量和GDP均使用2位小数；计算单位GDP能耗上升或下降（±%）时，两个发展速度均使用1位小数；单位GDP能耗上升或下降（±%）保留1位小数</w:t>
      </w:r>
      <w:r>
        <w:rPr>
          <w:rFonts w:hint="eastAsia"/>
          <w:szCs w:val="21"/>
        </w:rPr>
        <w:t>对外提供；</w:t>
      </w:r>
      <w:r>
        <w:rPr>
          <w:szCs w:val="21"/>
        </w:rPr>
        <w:t>规模以上工业单位增加值能耗和单位GDP电耗</w:t>
      </w:r>
      <w:r>
        <w:rPr>
          <w:rFonts w:hint="eastAsia"/>
          <w:szCs w:val="21"/>
        </w:rPr>
        <w:t>上升或下降（±%）同上。</w:t>
      </w:r>
    </w:p>
    <w:p w14:paraId="6FE41303">
      <w:pPr>
        <w:pStyle w:val="9"/>
        <w:spacing w:line="360" w:lineRule="exact"/>
        <w:ind w:right="0" w:firstLine="420" w:firstLineChars="200"/>
        <w:textAlignment w:val="center"/>
        <w:rPr>
          <w:rFonts w:ascii="Times New Roman" w:hAnsi="Times New Roman"/>
          <w:szCs w:val="21"/>
        </w:rPr>
      </w:pPr>
      <w:r>
        <w:rPr>
          <w:szCs w:val="21"/>
        </w:rPr>
        <w:t>2.相</w:t>
      </w:r>
      <w:r>
        <w:rPr>
          <w:rFonts w:ascii="Times New Roman" w:hAnsi="Times New Roman"/>
          <w:szCs w:val="21"/>
        </w:rPr>
        <w:t>关基础资料</w:t>
      </w:r>
    </w:p>
    <w:p w14:paraId="692B0347">
      <w:pPr>
        <w:pStyle w:val="9"/>
        <w:spacing w:line="360" w:lineRule="exact"/>
        <w:ind w:right="0" w:firstLine="420" w:firstLineChars="200"/>
        <w:textAlignment w:val="center"/>
        <w:rPr>
          <w:rFonts w:ascii="Times New Roman" w:hAnsi="Times New Roman"/>
          <w:szCs w:val="21"/>
        </w:rPr>
      </w:pPr>
      <w:r>
        <w:rPr>
          <w:rFonts w:hint="eastAsia" w:ascii="Times New Roman" w:hAnsi="Times New Roman"/>
          <w:szCs w:val="21"/>
        </w:rPr>
        <w:t>（略）</w:t>
      </w:r>
    </w:p>
    <w:p w14:paraId="24213110">
      <w:pPr>
        <w:spacing w:line="360" w:lineRule="exact"/>
        <w:ind w:right="-40" w:firstLine="430" w:firstLineChars="205"/>
        <w:textAlignment w:val="center"/>
      </w:pPr>
      <w:bookmarkStart w:id="3" w:name="DSIEqnMarkerStart"/>
      <w:bookmarkEnd w:id="3"/>
      <w:bookmarkStart w:id="4" w:name="DSIEqnMarkerEnd"/>
      <w:bookmarkEnd w:id="4"/>
    </w:p>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汉仪书宋一简">
    <w:altName w:val="宋体"/>
    <w:panose1 w:val="00000000000000000000"/>
    <w:charset w:val="86"/>
    <w:family w:val="auto"/>
    <w:pitch w:val="default"/>
    <w:sig w:usb0="00000000" w:usb1="00000000" w:usb2="00000012"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7">
    <w:altName w:val="仿宋"/>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汉仪书宋二S">
    <w:altName w:val="宋体"/>
    <w:panose1 w:val="00020600040101010101"/>
    <w:charset w:val="86"/>
    <w:family w:val="auto"/>
    <w:pitch w:val="default"/>
    <w:sig w:usb0="00000000" w:usb1="00000000" w:usb2="00000016"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8EA399">
      <w:pPr>
        <w:pStyle w:val="15"/>
      </w:pPr>
      <w:r>
        <w:rPr>
          <w:rStyle w:val="27"/>
        </w:rPr>
        <w:footnoteRef/>
      </w:r>
      <w:r>
        <w:t xml:space="preserve"> </w:t>
      </w:r>
      <w:r>
        <w:rPr>
          <w:rFonts w:hint="eastAsia"/>
        </w:rPr>
        <w:t>注</w:t>
      </w:r>
      <w:r>
        <w:t>：</w:t>
      </w:r>
      <w:r>
        <w:rPr>
          <w:rFonts w:hint="eastAsia"/>
        </w:rPr>
        <w:t>标</w:t>
      </w:r>
      <w:r>
        <w:rPr>
          <w:rFonts w:hint="eastAsia" w:ascii="宋体" w:hAnsi="宋体"/>
        </w:rPr>
        <w:t>★的为</w:t>
      </w:r>
      <w:r>
        <w:rPr>
          <w:rFonts w:hint="eastAsia" w:ascii="宋体" w:hAnsi="宋体"/>
          <w:lang w:eastAsia="zh-CN"/>
        </w:rPr>
        <w:t>“</w:t>
      </w:r>
      <w:r>
        <w:rPr>
          <w:rFonts w:hint="eastAsia" w:ascii="宋体" w:hAnsi="宋体"/>
        </w:rPr>
        <w:t>能源购进、消费与库存</w:t>
      </w:r>
      <w:r>
        <w:rPr>
          <w:rFonts w:hint="eastAsia" w:ascii="宋体" w:hAnsi="宋体"/>
          <w:lang w:eastAsia="zh-CN"/>
        </w:rPr>
        <w:t>”</w:t>
      </w:r>
      <w:r>
        <w:rPr>
          <w:rFonts w:hint="eastAsia" w:ascii="宋体" w:hAnsi="宋体"/>
        </w:rPr>
        <w:t>（205-1表）中包含</w:t>
      </w:r>
      <w:r>
        <w:rPr>
          <w:rFonts w:ascii="宋体" w:hAnsi="宋体"/>
        </w:rPr>
        <w:t>的</w:t>
      </w:r>
      <w:r>
        <w:rPr>
          <w:rFonts w:hint="eastAsia" w:ascii="宋体" w:hAnsi="宋体"/>
        </w:rPr>
        <w:t>指标</w:t>
      </w:r>
      <w:r>
        <w:rPr>
          <w:rFonts w:ascii="宋体" w:hAnsi="宋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818B">
    <w:pPr>
      <w:pStyle w:val="14"/>
      <w:pBdr>
        <w:bottom w:val="none" w:color="auto" w:sz="0" w:space="0"/>
      </w:pBdr>
      <w:ind w:right="360" w:firstLine="36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A5C2">
    <w:pPr>
      <w:pStyle w:val="14"/>
      <w:pBdr>
        <w:bottom w:val="none" w:color="auto" w:sz="0" w:space="0"/>
      </w:pBdr>
      <w:ind w:right="360" w:firstLine="360"/>
      <w:jc w:val="both"/>
      <w:rPr>
        <w:rFonts w:ascii="宋体" w:hAnsi="宋体"/>
      </w:rPr>
    </w:pPr>
    <w:r>
      <w:rPr>
        <w:rFonts w:hint="eastAsia" w:ascii="宋体" w:hAnsi="宋体"/>
        <w:kern w:val="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BC7A">
    <w:pPr>
      <w:pStyle w:val="14"/>
      <w:framePr w:wrap="around" w:vAnchor="text" w:hAnchor="margin" w:xAlign="outside" w:y="1"/>
      <w:pBdr>
        <w:top w:val="none" w:color="auto" w:sz="0" w:space="0"/>
        <w:left w:val="none" w:color="auto" w:sz="0" w:space="0"/>
        <w:bottom w:val="none" w:color="auto" w:sz="0" w:space="1"/>
        <w:right w:val="none" w:color="auto" w:sz="0" w:space="0"/>
        <w:between w:val="none" w:color="auto" w:sz="0" w:space="0"/>
      </w:pBdr>
      <w:rPr>
        <w:rStyle w:val="24"/>
        <w:sz w:val="21"/>
        <w:szCs w:val="24"/>
      </w:rPr>
    </w:pPr>
    <w:r>
      <w:rPr>
        <w:rStyle w:val="24"/>
      </w:rPr>
      <w:fldChar w:fldCharType="begin"/>
    </w:r>
    <w:r>
      <w:rPr>
        <w:rStyle w:val="24"/>
      </w:rPr>
      <w:instrText xml:space="preserve">PAGE  </w:instrText>
    </w:r>
    <w:r>
      <w:rPr>
        <w:rStyle w:val="24"/>
      </w:rPr>
      <w:fldChar w:fldCharType="separate"/>
    </w:r>
    <w:r>
      <w:rPr>
        <w:rStyle w:val="24"/>
      </w:rPr>
      <w:t>- 26 -</w:t>
    </w:r>
    <w:r>
      <w:rPr>
        <w:rStyle w:val="24"/>
      </w:rPr>
      <w:fldChar w:fldCharType="end"/>
    </w:r>
  </w:p>
  <w:p w14:paraId="7F154ECA">
    <w:pPr>
      <w:pStyle w:val="14"/>
      <w:pBdr>
        <w:bottom w:val="single" w:color="auto" w:sz="6" w:space="0"/>
      </w:pBdr>
      <w:rPr>
        <w:rFonts w:ascii="宋体" w:hAnsi="宋体"/>
      </w:rPr>
    </w:pPr>
    <w:r>
      <w:rPr>
        <w:rFonts w:hint="eastAsia" w:ascii="宋体" w:hAnsi="宋体"/>
        <w:kern w:val="0"/>
      </w:rPr>
      <w:t>能源统计报表制度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5CE9">
    <w:pPr>
      <w:pStyle w:val="14"/>
      <w:framePr w:wrap="around" w:vAnchor="text" w:hAnchor="margin" w:xAlign="outside" w:y="1"/>
      <w:pBdr>
        <w:bottom w:val="none" w:color="auto" w:sz="0" w:space="0"/>
      </w:pBdr>
      <w:rPr>
        <w:rStyle w:val="24"/>
      </w:rPr>
    </w:pPr>
    <w:r>
      <w:rPr>
        <w:rStyle w:val="24"/>
      </w:rPr>
      <w:fldChar w:fldCharType="begin"/>
    </w:r>
    <w:r>
      <w:rPr>
        <w:rStyle w:val="24"/>
      </w:rPr>
      <w:instrText xml:space="preserve">PAGE  </w:instrText>
    </w:r>
    <w:r>
      <w:rPr>
        <w:rStyle w:val="24"/>
      </w:rPr>
      <w:fldChar w:fldCharType="separate"/>
    </w:r>
    <w:r>
      <w:rPr>
        <w:rStyle w:val="24"/>
      </w:rPr>
      <w:t>- 66 -</w:t>
    </w:r>
    <w:r>
      <w:rPr>
        <w:rStyle w:val="24"/>
      </w:rPr>
      <w:fldChar w:fldCharType="end"/>
    </w:r>
  </w:p>
  <w:p w14:paraId="04FC2E79">
    <w:pPr>
      <w:pStyle w:val="14"/>
      <w:ind w:right="360" w:firstLine="360"/>
      <w:rPr>
        <w:rFonts w:ascii="宋体" w:hAnsi="宋体"/>
      </w:rPr>
    </w:pPr>
    <w:r>
      <w:rPr>
        <w:rFonts w:hint="eastAsia" w:ascii="宋体" w:hAnsi="宋体"/>
        <w:kern w:val="0"/>
      </w:rPr>
      <w:t>能源统计报表制度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E8B59"/>
    <w:multiLevelType w:val="singleLevel"/>
    <w:tmpl w:val="B1DE8B59"/>
    <w:lvl w:ilvl="0" w:tentative="0">
      <w:start w:val="4"/>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政府值班室">
    <w15:presenceInfo w15:providerId="WPS Office" w15:userId="3838823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50"/>
  <w:drawingGridHorizontalSpacing w:val="105"/>
  <w:drawingGridVerticalSpacing w:val="143"/>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YjRmNzY4OWNkNDVlNTJjNTk1N2MzMGUzMmQ3ODcifQ=="/>
  </w:docVars>
  <w:rsids>
    <w:rsidRoot w:val="00CC24B1"/>
    <w:rsid w:val="00002D70"/>
    <w:rsid w:val="00020A5C"/>
    <w:rsid w:val="0002178F"/>
    <w:rsid w:val="000220A3"/>
    <w:rsid w:val="000245AD"/>
    <w:rsid w:val="0002487D"/>
    <w:rsid w:val="00030029"/>
    <w:rsid w:val="00030037"/>
    <w:rsid w:val="00047360"/>
    <w:rsid w:val="0005387B"/>
    <w:rsid w:val="00056808"/>
    <w:rsid w:val="00065F74"/>
    <w:rsid w:val="00066560"/>
    <w:rsid w:val="000747F3"/>
    <w:rsid w:val="00077AE4"/>
    <w:rsid w:val="0008109C"/>
    <w:rsid w:val="00082FDB"/>
    <w:rsid w:val="00083F8C"/>
    <w:rsid w:val="000950B4"/>
    <w:rsid w:val="00096F47"/>
    <w:rsid w:val="000B0405"/>
    <w:rsid w:val="000B677F"/>
    <w:rsid w:val="000C1AA6"/>
    <w:rsid w:val="000C4EAE"/>
    <w:rsid w:val="000C5DFF"/>
    <w:rsid w:val="000C7A5E"/>
    <w:rsid w:val="000D204A"/>
    <w:rsid w:val="000E0D8C"/>
    <w:rsid w:val="000E5DBA"/>
    <w:rsid w:val="000E7364"/>
    <w:rsid w:val="000F0D75"/>
    <w:rsid w:val="000F1C2D"/>
    <w:rsid w:val="000F33F9"/>
    <w:rsid w:val="00101BFF"/>
    <w:rsid w:val="00110E74"/>
    <w:rsid w:val="00111DDD"/>
    <w:rsid w:val="00112D9F"/>
    <w:rsid w:val="00113C6C"/>
    <w:rsid w:val="0011719D"/>
    <w:rsid w:val="00124F0F"/>
    <w:rsid w:val="001258F2"/>
    <w:rsid w:val="00134B68"/>
    <w:rsid w:val="00137DFE"/>
    <w:rsid w:val="00140E02"/>
    <w:rsid w:val="00143FEE"/>
    <w:rsid w:val="0014667E"/>
    <w:rsid w:val="00147A31"/>
    <w:rsid w:val="0015204A"/>
    <w:rsid w:val="001566F0"/>
    <w:rsid w:val="00162C80"/>
    <w:rsid w:val="0016742C"/>
    <w:rsid w:val="001707F5"/>
    <w:rsid w:val="001770FB"/>
    <w:rsid w:val="00177AB7"/>
    <w:rsid w:val="00177F45"/>
    <w:rsid w:val="00183E3B"/>
    <w:rsid w:val="0018555F"/>
    <w:rsid w:val="001947AE"/>
    <w:rsid w:val="001A2539"/>
    <w:rsid w:val="001A3725"/>
    <w:rsid w:val="001A395B"/>
    <w:rsid w:val="001A6C72"/>
    <w:rsid w:val="001B7740"/>
    <w:rsid w:val="001C0B01"/>
    <w:rsid w:val="001C0E3B"/>
    <w:rsid w:val="001D09C2"/>
    <w:rsid w:val="001D1238"/>
    <w:rsid w:val="001E56C6"/>
    <w:rsid w:val="001E57C4"/>
    <w:rsid w:val="001E6B61"/>
    <w:rsid w:val="001F6DA6"/>
    <w:rsid w:val="0020344E"/>
    <w:rsid w:val="002042E3"/>
    <w:rsid w:val="00204D9C"/>
    <w:rsid w:val="00222C2B"/>
    <w:rsid w:val="00225EAC"/>
    <w:rsid w:val="00231C37"/>
    <w:rsid w:val="002321BF"/>
    <w:rsid w:val="002359CD"/>
    <w:rsid w:val="00240C80"/>
    <w:rsid w:val="00251BE2"/>
    <w:rsid w:val="0025244F"/>
    <w:rsid w:val="002564E6"/>
    <w:rsid w:val="00257B01"/>
    <w:rsid w:val="0026003A"/>
    <w:rsid w:val="002608B7"/>
    <w:rsid w:val="00275E97"/>
    <w:rsid w:val="002768B1"/>
    <w:rsid w:val="002773FF"/>
    <w:rsid w:val="002805E7"/>
    <w:rsid w:val="00281591"/>
    <w:rsid w:val="002933EA"/>
    <w:rsid w:val="002934AF"/>
    <w:rsid w:val="00293965"/>
    <w:rsid w:val="002A0F74"/>
    <w:rsid w:val="002A4245"/>
    <w:rsid w:val="002A45DE"/>
    <w:rsid w:val="002A657A"/>
    <w:rsid w:val="002B6813"/>
    <w:rsid w:val="002C6042"/>
    <w:rsid w:val="002E1082"/>
    <w:rsid w:val="002E6286"/>
    <w:rsid w:val="002E63D2"/>
    <w:rsid w:val="002F4E7F"/>
    <w:rsid w:val="002F6625"/>
    <w:rsid w:val="00301271"/>
    <w:rsid w:val="003015DF"/>
    <w:rsid w:val="00311DD2"/>
    <w:rsid w:val="00312B17"/>
    <w:rsid w:val="00312C5B"/>
    <w:rsid w:val="003132C4"/>
    <w:rsid w:val="003222E8"/>
    <w:rsid w:val="00330C36"/>
    <w:rsid w:val="00333A3C"/>
    <w:rsid w:val="00334462"/>
    <w:rsid w:val="003370AF"/>
    <w:rsid w:val="00337473"/>
    <w:rsid w:val="00344BD2"/>
    <w:rsid w:val="003468DC"/>
    <w:rsid w:val="00350C2E"/>
    <w:rsid w:val="00357125"/>
    <w:rsid w:val="00370BE8"/>
    <w:rsid w:val="003846B6"/>
    <w:rsid w:val="0039738E"/>
    <w:rsid w:val="003A1C19"/>
    <w:rsid w:val="003A42F4"/>
    <w:rsid w:val="003A5DFC"/>
    <w:rsid w:val="003C1872"/>
    <w:rsid w:val="003C42E8"/>
    <w:rsid w:val="003C74B5"/>
    <w:rsid w:val="003D538D"/>
    <w:rsid w:val="003D684E"/>
    <w:rsid w:val="003E32E6"/>
    <w:rsid w:val="003E3C6E"/>
    <w:rsid w:val="0040594D"/>
    <w:rsid w:val="0041233B"/>
    <w:rsid w:val="00414AD6"/>
    <w:rsid w:val="004259B4"/>
    <w:rsid w:val="00425F90"/>
    <w:rsid w:val="00436717"/>
    <w:rsid w:val="00436A16"/>
    <w:rsid w:val="00445AF5"/>
    <w:rsid w:val="00447E03"/>
    <w:rsid w:val="00451D8F"/>
    <w:rsid w:val="00457725"/>
    <w:rsid w:val="00460768"/>
    <w:rsid w:val="004629FA"/>
    <w:rsid w:val="004668BA"/>
    <w:rsid w:val="00473369"/>
    <w:rsid w:val="0047583C"/>
    <w:rsid w:val="00477E19"/>
    <w:rsid w:val="00481D7D"/>
    <w:rsid w:val="004828AA"/>
    <w:rsid w:val="00487632"/>
    <w:rsid w:val="004919CD"/>
    <w:rsid w:val="00496A2A"/>
    <w:rsid w:val="004B19D4"/>
    <w:rsid w:val="004B5C7E"/>
    <w:rsid w:val="004D0D61"/>
    <w:rsid w:val="004D4EC3"/>
    <w:rsid w:val="004D6E46"/>
    <w:rsid w:val="004E21AC"/>
    <w:rsid w:val="004E6DCC"/>
    <w:rsid w:val="004F0906"/>
    <w:rsid w:val="004F1444"/>
    <w:rsid w:val="004F5874"/>
    <w:rsid w:val="005016CC"/>
    <w:rsid w:val="00503776"/>
    <w:rsid w:val="00505690"/>
    <w:rsid w:val="0050579D"/>
    <w:rsid w:val="00506C11"/>
    <w:rsid w:val="00511EDA"/>
    <w:rsid w:val="00520873"/>
    <w:rsid w:val="00531E82"/>
    <w:rsid w:val="005330A2"/>
    <w:rsid w:val="005362DD"/>
    <w:rsid w:val="0054545E"/>
    <w:rsid w:val="00553774"/>
    <w:rsid w:val="005644CD"/>
    <w:rsid w:val="00565185"/>
    <w:rsid w:val="00567E86"/>
    <w:rsid w:val="00572880"/>
    <w:rsid w:val="005769DA"/>
    <w:rsid w:val="0058056F"/>
    <w:rsid w:val="00580BEE"/>
    <w:rsid w:val="00582151"/>
    <w:rsid w:val="0058505C"/>
    <w:rsid w:val="00593E58"/>
    <w:rsid w:val="005A156B"/>
    <w:rsid w:val="005A3111"/>
    <w:rsid w:val="005A4571"/>
    <w:rsid w:val="005A6F78"/>
    <w:rsid w:val="005B19A7"/>
    <w:rsid w:val="005B1F1B"/>
    <w:rsid w:val="005B5409"/>
    <w:rsid w:val="005C0776"/>
    <w:rsid w:val="005D2757"/>
    <w:rsid w:val="005D4C04"/>
    <w:rsid w:val="005D60BF"/>
    <w:rsid w:val="005E5B99"/>
    <w:rsid w:val="005F4FF8"/>
    <w:rsid w:val="00600AB1"/>
    <w:rsid w:val="00601FF9"/>
    <w:rsid w:val="00612087"/>
    <w:rsid w:val="0062487E"/>
    <w:rsid w:val="00634DC5"/>
    <w:rsid w:val="0064550C"/>
    <w:rsid w:val="006458ED"/>
    <w:rsid w:val="00646081"/>
    <w:rsid w:val="00646F61"/>
    <w:rsid w:val="00651CA1"/>
    <w:rsid w:val="006528D6"/>
    <w:rsid w:val="0066191F"/>
    <w:rsid w:val="00664A76"/>
    <w:rsid w:val="0067123C"/>
    <w:rsid w:val="006732FD"/>
    <w:rsid w:val="00680EC0"/>
    <w:rsid w:val="00682299"/>
    <w:rsid w:val="006848C8"/>
    <w:rsid w:val="00686D9F"/>
    <w:rsid w:val="00697091"/>
    <w:rsid w:val="006B00C2"/>
    <w:rsid w:val="006B1A62"/>
    <w:rsid w:val="006B47CA"/>
    <w:rsid w:val="006B78A7"/>
    <w:rsid w:val="006C19C2"/>
    <w:rsid w:val="006C6216"/>
    <w:rsid w:val="006D0816"/>
    <w:rsid w:val="006D0F8E"/>
    <w:rsid w:val="006D5FA2"/>
    <w:rsid w:val="006E0433"/>
    <w:rsid w:val="006E51FA"/>
    <w:rsid w:val="006F2CFF"/>
    <w:rsid w:val="006F704A"/>
    <w:rsid w:val="006F7912"/>
    <w:rsid w:val="007038F5"/>
    <w:rsid w:val="007066CC"/>
    <w:rsid w:val="007119B8"/>
    <w:rsid w:val="007159F0"/>
    <w:rsid w:val="0071768E"/>
    <w:rsid w:val="00720F94"/>
    <w:rsid w:val="007221B3"/>
    <w:rsid w:val="00723A39"/>
    <w:rsid w:val="00727066"/>
    <w:rsid w:val="0073719C"/>
    <w:rsid w:val="00753A32"/>
    <w:rsid w:val="00764003"/>
    <w:rsid w:val="00782173"/>
    <w:rsid w:val="007867E3"/>
    <w:rsid w:val="007901FD"/>
    <w:rsid w:val="00792892"/>
    <w:rsid w:val="00792C30"/>
    <w:rsid w:val="007931F9"/>
    <w:rsid w:val="00795811"/>
    <w:rsid w:val="00797D10"/>
    <w:rsid w:val="007A774F"/>
    <w:rsid w:val="007B32FF"/>
    <w:rsid w:val="007B7825"/>
    <w:rsid w:val="007D7E43"/>
    <w:rsid w:val="007E1DDB"/>
    <w:rsid w:val="007E4742"/>
    <w:rsid w:val="007E5E93"/>
    <w:rsid w:val="007F115B"/>
    <w:rsid w:val="007F300A"/>
    <w:rsid w:val="007F7A10"/>
    <w:rsid w:val="007F7C81"/>
    <w:rsid w:val="00800713"/>
    <w:rsid w:val="0080274F"/>
    <w:rsid w:val="008028C1"/>
    <w:rsid w:val="008038AD"/>
    <w:rsid w:val="00806A2A"/>
    <w:rsid w:val="0080773F"/>
    <w:rsid w:val="00807783"/>
    <w:rsid w:val="00810C03"/>
    <w:rsid w:val="00814212"/>
    <w:rsid w:val="008246C2"/>
    <w:rsid w:val="00826314"/>
    <w:rsid w:val="00834DC7"/>
    <w:rsid w:val="00842FD5"/>
    <w:rsid w:val="00843374"/>
    <w:rsid w:val="008438E2"/>
    <w:rsid w:val="00845AFA"/>
    <w:rsid w:val="00845D71"/>
    <w:rsid w:val="00846323"/>
    <w:rsid w:val="00846452"/>
    <w:rsid w:val="00846AF4"/>
    <w:rsid w:val="008564F2"/>
    <w:rsid w:val="00863C4E"/>
    <w:rsid w:val="008643A4"/>
    <w:rsid w:val="00873A22"/>
    <w:rsid w:val="00884224"/>
    <w:rsid w:val="00895C2B"/>
    <w:rsid w:val="00897B07"/>
    <w:rsid w:val="008A0A73"/>
    <w:rsid w:val="008A40B2"/>
    <w:rsid w:val="008A7F1E"/>
    <w:rsid w:val="008D6FE7"/>
    <w:rsid w:val="008D71F0"/>
    <w:rsid w:val="008E680C"/>
    <w:rsid w:val="008E7E33"/>
    <w:rsid w:val="008F185E"/>
    <w:rsid w:val="008F2342"/>
    <w:rsid w:val="008F32FF"/>
    <w:rsid w:val="008F3C54"/>
    <w:rsid w:val="00902313"/>
    <w:rsid w:val="00912048"/>
    <w:rsid w:val="009139EA"/>
    <w:rsid w:val="0092448E"/>
    <w:rsid w:val="00925760"/>
    <w:rsid w:val="00926361"/>
    <w:rsid w:val="00930C0E"/>
    <w:rsid w:val="00931175"/>
    <w:rsid w:val="00936BAA"/>
    <w:rsid w:val="009376B8"/>
    <w:rsid w:val="00941E73"/>
    <w:rsid w:val="00942144"/>
    <w:rsid w:val="00944EF2"/>
    <w:rsid w:val="009615DC"/>
    <w:rsid w:val="00966074"/>
    <w:rsid w:val="00972EA3"/>
    <w:rsid w:val="00973571"/>
    <w:rsid w:val="00976FCC"/>
    <w:rsid w:val="009869B3"/>
    <w:rsid w:val="00991096"/>
    <w:rsid w:val="009937CF"/>
    <w:rsid w:val="00995FF2"/>
    <w:rsid w:val="009B1429"/>
    <w:rsid w:val="009B6975"/>
    <w:rsid w:val="009C07AF"/>
    <w:rsid w:val="009C388E"/>
    <w:rsid w:val="009C3C29"/>
    <w:rsid w:val="009C7488"/>
    <w:rsid w:val="009D4758"/>
    <w:rsid w:val="009F0369"/>
    <w:rsid w:val="009F3B7B"/>
    <w:rsid w:val="009F3B81"/>
    <w:rsid w:val="009F7DDD"/>
    <w:rsid w:val="00A0380C"/>
    <w:rsid w:val="00A04904"/>
    <w:rsid w:val="00A0607B"/>
    <w:rsid w:val="00A165E2"/>
    <w:rsid w:val="00A20274"/>
    <w:rsid w:val="00A23D70"/>
    <w:rsid w:val="00A33F59"/>
    <w:rsid w:val="00A34DDB"/>
    <w:rsid w:val="00A3733D"/>
    <w:rsid w:val="00A454A1"/>
    <w:rsid w:val="00A462B1"/>
    <w:rsid w:val="00A47415"/>
    <w:rsid w:val="00A506DF"/>
    <w:rsid w:val="00A52F78"/>
    <w:rsid w:val="00A535DE"/>
    <w:rsid w:val="00A60C54"/>
    <w:rsid w:val="00A6162B"/>
    <w:rsid w:val="00A62F27"/>
    <w:rsid w:val="00A645DD"/>
    <w:rsid w:val="00A70040"/>
    <w:rsid w:val="00A72FEF"/>
    <w:rsid w:val="00A730EE"/>
    <w:rsid w:val="00A7448F"/>
    <w:rsid w:val="00A80E4C"/>
    <w:rsid w:val="00A83B6C"/>
    <w:rsid w:val="00A844C1"/>
    <w:rsid w:val="00A952B2"/>
    <w:rsid w:val="00AA2A61"/>
    <w:rsid w:val="00AA7CD7"/>
    <w:rsid w:val="00AB00E1"/>
    <w:rsid w:val="00AB1DE1"/>
    <w:rsid w:val="00AB5D0D"/>
    <w:rsid w:val="00AC14EF"/>
    <w:rsid w:val="00AC17FB"/>
    <w:rsid w:val="00AC4C54"/>
    <w:rsid w:val="00AC66F6"/>
    <w:rsid w:val="00AE0CA0"/>
    <w:rsid w:val="00AE14E1"/>
    <w:rsid w:val="00AE4C5D"/>
    <w:rsid w:val="00AE603D"/>
    <w:rsid w:val="00AF5B9B"/>
    <w:rsid w:val="00B008DE"/>
    <w:rsid w:val="00B00DA6"/>
    <w:rsid w:val="00B04009"/>
    <w:rsid w:val="00B0605A"/>
    <w:rsid w:val="00B074EF"/>
    <w:rsid w:val="00B11299"/>
    <w:rsid w:val="00B127B6"/>
    <w:rsid w:val="00B132AC"/>
    <w:rsid w:val="00B13496"/>
    <w:rsid w:val="00B17A1F"/>
    <w:rsid w:val="00B27CC9"/>
    <w:rsid w:val="00B42F63"/>
    <w:rsid w:val="00B519D8"/>
    <w:rsid w:val="00B54FFF"/>
    <w:rsid w:val="00B604DA"/>
    <w:rsid w:val="00B67216"/>
    <w:rsid w:val="00B6738C"/>
    <w:rsid w:val="00B67A3D"/>
    <w:rsid w:val="00B702A4"/>
    <w:rsid w:val="00B725A4"/>
    <w:rsid w:val="00B73CA0"/>
    <w:rsid w:val="00B75B0A"/>
    <w:rsid w:val="00B91317"/>
    <w:rsid w:val="00B92FC3"/>
    <w:rsid w:val="00B94DF9"/>
    <w:rsid w:val="00B95889"/>
    <w:rsid w:val="00BA04EC"/>
    <w:rsid w:val="00BA4174"/>
    <w:rsid w:val="00BA4C9A"/>
    <w:rsid w:val="00BB1D0B"/>
    <w:rsid w:val="00BB4A28"/>
    <w:rsid w:val="00BB7CBA"/>
    <w:rsid w:val="00BC3C1B"/>
    <w:rsid w:val="00BD4210"/>
    <w:rsid w:val="00BD78E9"/>
    <w:rsid w:val="00BE02AD"/>
    <w:rsid w:val="00BE45E5"/>
    <w:rsid w:val="00BE534A"/>
    <w:rsid w:val="00BF30AF"/>
    <w:rsid w:val="00BF6E36"/>
    <w:rsid w:val="00BF7444"/>
    <w:rsid w:val="00BF7B1D"/>
    <w:rsid w:val="00BF7CFB"/>
    <w:rsid w:val="00C07B97"/>
    <w:rsid w:val="00C07C3B"/>
    <w:rsid w:val="00C12E3A"/>
    <w:rsid w:val="00C16808"/>
    <w:rsid w:val="00C33FC0"/>
    <w:rsid w:val="00C42A02"/>
    <w:rsid w:val="00C53626"/>
    <w:rsid w:val="00C54636"/>
    <w:rsid w:val="00C65D20"/>
    <w:rsid w:val="00C84533"/>
    <w:rsid w:val="00C8527D"/>
    <w:rsid w:val="00C859BC"/>
    <w:rsid w:val="00C877A2"/>
    <w:rsid w:val="00C877BE"/>
    <w:rsid w:val="00C90C3B"/>
    <w:rsid w:val="00C9345D"/>
    <w:rsid w:val="00C9395A"/>
    <w:rsid w:val="00CA3675"/>
    <w:rsid w:val="00CA486D"/>
    <w:rsid w:val="00CA76EA"/>
    <w:rsid w:val="00CC181F"/>
    <w:rsid w:val="00CC24B1"/>
    <w:rsid w:val="00CD269D"/>
    <w:rsid w:val="00CD5333"/>
    <w:rsid w:val="00CD6336"/>
    <w:rsid w:val="00CE275B"/>
    <w:rsid w:val="00CE6969"/>
    <w:rsid w:val="00CE78C0"/>
    <w:rsid w:val="00CF5464"/>
    <w:rsid w:val="00D019EB"/>
    <w:rsid w:val="00D02174"/>
    <w:rsid w:val="00D231D1"/>
    <w:rsid w:val="00D321EC"/>
    <w:rsid w:val="00D42D98"/>
    <w:rsid w:val="00D526E6"/>
    <w:rsid w:val="00D561C2"/>
    <w:rsid w:val="00D5728A"/>
    <w:rsid w:val="00D6250A"/>
    <w:rsid w:val="00D633E2"/>
    <w:rsid w:val="00D81E30"/>
    <w:rsid w:val="00D865DE"/>
    <w:rsid w:val="00D86A13"/>
    <w:rsid w:val="00D93931"/>
    <w:rsid w:val="00D96CA9"/>
    <w:rsid w:val="00DA1CE7"/>
    <w:rsid w:val="00DA275F"/>
    <w:rsid w:val="00DB1673"/>
    <w:rsid w:val="00DB6B55"/>
    <w:rsid w:val="00DC01EB"/>
    <w:rsid w:val="00DD796A"/>
    <w:rsid w:val="00DE05ED"/>
    <w:rsid w:val="00DE13E7"/>
    <w:rsid w:val="00DE29FE"/>
    <w:rsid w:val="00DE507B"/>
    <w:rsid w:val="00DF288A"/>
    <w:rsid w:val="00E10EF7"/>
    <w:rsid w:val="00E41165"/>
    <w:rsid w:val="00E4135A"/>
    <w:rsid w:val="00E4398A"/>
    <w:rsid w:val="00E52005"/>
    <w:rsid w:val="00E53F03"/>
    <w:rsid w:val="00E5478F"/>
    <w:rsid w:val="00E60DE0"/>
    <w:rsid w:val="00E624B0"/>
    <w:rsid w:val="00E64B7F"/>
    <w:rsid w:val="00E65CAA"/>
    <w:rsid w:val="00E7111A"/>
    <w:rsid w:val="00E750C1"/>
    <w:rsid w:val="00E76A00"/>
    <w:rsid w:val="00E84F9D"/>
    <w:rsid w:val="00E8740B"/>
    <w:rsid w:val="00E94079"/>
    <w:rsid w:val="00E958DE"/>
    <w:rsid w:val="00EA2CEE"/>
    <w:rsid w:val="00EA3C27"/>
    <w:rsid w:val="00EA4307"/>
    <w:rsid w:val="00EA6EC3"/>
    <w:rsid w:val="00EB2EB9"/>
    <w:rsid w:val="00EC6403"/>
    <w:rsid w:val="00ED5B93"/>
    <w:rsid w:val="00ED63C4"/>
    <w:rsid w:val="00EE6E08"/>
    <w:rsid w:val="00EE7159"/>
    <w:rsid w:val="00EF07AE"/>
    <w:rsid w:val="00EF09CE"/>
    <w:rsid w:val="00EF54A0"/>
    <w:rsid w:val="00EF7E05"/>
    <w:rsid w:val="00F02CEE"/>
    <w:rsid w:val="00F02EF8"/>
    <w:rsid w:val="00F059CA"/>
    <w:rsid w:val="00F0767D"/>
    <w:rsid w:val="00F07D95"/>
    <w:rsid w:val="00F13318"/>
    <w:rsid w:val="00F156B6"/>
    <w:rsid w:val="00F200DE"/>
    <w:rsid w:val="00F404FC"/>
    <w:rsid w:val="00F4629A"/>
    <w:rsid w:val="00F47C4D"/>
    <w:rsid w:val="00F63197"/>
    <w:rsid w:val="00F715D4"/>
    <w:rsid w:val="00F71B8C"/>
    <w:rsid w:val="00F82D47"/>
    <w:rsid w:val="00F84A5E"/>
    <w:rsid w:val="00FA4AA6"/>
    <w:rsid w:val="00FB05D6"/>
    <w:rsid w:val="00FB2A91"/>
    <w:rsid w:val="00FB6028"/>
    <w:rsid w:val="00FB70F2"/>
    <w:rsid w:val="00FC08AE"/>
    <w:rsid w:val="00FD021C"/>
    <w:rsid w:val="00FD3D6F"/>
    <w:rsid w:val="00FD68F3"/>
    <w:rsid w:val="00FE6464"/>
    <w:rsid w:val="00FE6BC0"/>
    <w:rsid w:val="00FE7559"/>
    <w:rsid w:val="00FE777C"/>
    <w:rsid w:val="00FF4405"/>
    <w:rsid w:val="00FF7808"/>
    <w:rsid w:val="01CA5BE2"/>
    <w:rsid w:val="02727ED8"/>
    <w:rsid w:val="02DC2947"/>
    <w:rsid w:val="02E47F03"/>
    <w:rsid w:val="03433A17"/>
    <w:rsid w:val="03E529A9"/>
    <w:rsid w:val="03F00314"/>
    <w:rsid w:val="055E338D"/>
    <w:rsid w:val="05AA1B80"/>
    <w:rsid w:val="06191E5D"/>
    <w:rsid w:val="066970DD"/>
    <w:rsid w:val="066E070B"/>
    <w:rsid w:val="074E867B"/>
    <w:rsid w:val="07B2191F"/>
    <w:rsid w:val="07F919EC"/>
    <w:rsid w:val="08CA615E"/>
    <w:rsid w:val="08DF18A9"/>
    <w:rsid w:val="09445BD2"/>
    <w:rsid w:val="09972933"/>
    <w:rsid w:val="09DD62BC"/>
    <w:rsid w:val="0A6448ED"/>
    <w:rsid w:val="0AD55E09"/>
    <w:rsid w:val="0B2226D0"/>
    <w:rsid w:val="0B457ECA"/>
    <w:rsid w:val="0B776866"/>
    <w:rsid w:val="0C757A49"/>
    <w:rsid w:val="0D072DF9"/>
    <w:rsid w:val="0D5477C2"/>
    <w:rsid w:val="0DB94D37"/>
    <w:rsid w:val="0DBB399B"/>
    <w:rsid w:val="0DBF68FD"/>
    <w:rsid w:val="0DCF51FF"/>
    <w:rsid w:val="0E1B30A2"/>
    <w:rsid w:val="0EF89DA7"/>
    <w:rsid w:val="0F0142DF"/>
    <w:rsid w:val="0F320029"/>
    <w:rsid w:val="0FB83312"/>
    <w:rsid w:val="0FCB85D1"/>
    <w:rsid w:val="0FFF82F2"/>
    <w:rsid w:val="0FFFA490"/>
    <w:rsid w:val="10AB31E1"/>
    <w:rsid w:val="10AF0EAA"/>
    <w:rsid w:val="111916D8"/>
    <w:rsid w:val="114C6825"/>
    <w:rsid w:val="118F180E"/>
    <w:rsid w:val="12AF42FA"/>
    <w:rsid w:val="12D81B1D"/>
    <w:rsid w:val="12DB6BAC"/>
    <w:rsid w:val="12F32097"/>
    <w:rsid w:val="13106D14"/>
    <w:rsid w:val="1373024F"/>
    <w:rsid w:val="13FB3FAC"/>
    <w:rsid w:val="13FC3E6E"/>
    <w:rsid w:val="14FD6EB5"/>
    <w:rsid w:val="15695ACC"/>
    <w:rsid w:val="16104199"/>
    <w:rsid w:val="16704EA2"/>
    <w:rsid w:val="16B7A4B1"/>
    <w:rsid w:val="16D5C220"/>
    <w:rsid w:val="16E41182"/>
    <w:rsid w:val="172C3C5C"/>
    <w:rsid w:val="173366A5"/>
    <w:rsid w:val="17460DCE"/>
    <w:rsid w:val="17776891"/>
    <w:rsid w:val="177EE7BD"/>
    <w:rsid w:val="17811D51"/>
    <w:rsid w:val="178F83FA"/>
    <w:rsid w:val="17A315CA"/>
    <w:rsid w:val="17BA30E9"/>
    <w:rsid w:val="17BEA3B0"/>
    <w:rsid w:val="17EB5456"/>
    <w:rsid w:val="17F76345"/>
    <w:rsid w:val="180F7DE7"/>
    <w:rsid w:val="18D97CCB"/>
    <w:rsid w:val="18D9D249"/>
    <w:rsid w:val="197F3A44"/>
    <w:rsid w:val="19FF9344"/>
    <w:rsid w:val="19FFCA39"/>
    <w:rsid w:val="1AFB2C2A"/>
    <w:rsid w:val="1B391CB3"/>
    <w:rsid w:val="1BEC29C6"/>
    <w:rsid w:val="1BFD768B"/>
    <w:rsid w:val="1C102C0B"/>
    <w:rsid w:val="1C5FAB6E"/>
    <w:rsid w:val="1C5FF30C"/>
    <w:rsid w:val="1CB861C4"/>
    <w:rsid w:val="1CFB349C"/>
    <w:rsid w:val="1D374CD6"/>
    <w:rsid w:val="1D775C30"/>
    <w:rsid w:val="1D886D0B"/>
    <w:rsid w:val="1DA32D30"/>
    <w:rsid w:val="1DAE0D06"/>
    <w:rsid w:val="1DDC29EA"/>
    <w:rsid w:val="1DDF4351"/>
    <w:rsid w:val="1DF33DC6"/>
    <w:rsid w:val="1DFCD608"/>
    <w:rsid w:val="1DFF22EA"/>
    <w:rsid w:val="1E359A76"/>
    <w:rsid w:val="1E5D0E5B"/>
    <w:rsid w:val="1EDF8FE7"/>
    <w:rsid w:val="1F3600C6"/>
    <w:rsid w:val="1F374545"/>
    <w:rsid w:val="1F380D17"/>
    <w:rsid w:val="1F4E8294"/>
    <w:rsid w:val="1F6115C2"/>
    <w:rsid w:val="1F6C309F"/>
    <w:rsid w:val="1F7F38BF"/>
    <w:rsid w:val="1FB18090"/>
    <w:rsid w:val="1FCD5959"/>
    <w:rsid w:val="1FE61E81"/>
    <w:rsid w:val="1FFF634E"/>
    <w:rsid w:val="1FFFA267"/>
    <w:rsid w:val="1FFFAA0F"/>
    <w:rsid w:val="21710B34"/>
    <w:rsid w:val="21834FE5"/>
    <w:rsid w:val="227A0588"/>
    <w:rsid w:val="22BA3662"/>
    <w:rsid w:val="22E6CA15"/>
    <w:rsid w:val="22FB3264"/>
    <w:rsid w:val="230E4E04"/>
    <w:rsid w:val="23366E5F"/>
    <w:rsid w:val="236E72FF"/>
    <w:rsid w:val="23C640E9"/>
    <w:rsid w:val="23DF0178"/>
    <w:rsid w:val="23E8105A"/>
    <w:rsid w:val="23F32AEA"/>
    <w:rsid w:val="243048CD"/>
    <w:rsid w:val="24402676"/>
    <w:rsid w:val="24715D06"/>
    <w:rsid w:val="24C10D89"/>
    <w:rsid w:val="24DE5F00"/>
    <w:rsid w:val="253477E9"/>
    <w:rsid w:val="253634F0"/>
    <w:rsid w:val="25956B0F"/>
    <w:rsid w:val="25B63C34"/>
    <w:rsid w:val="26672398"/>
    <w:rsid w:val="2668214E"/>
    <w:rsid w:val="269EA984"/>
    <w:rsid w:val="276E6B7B"/>
    <w:rsid w:val="278F2052"/>
    <w:rsid w:val="27DA8378"/>
    <w:rsid w:val="27FD8FCA"/>
    <w:rsid w:val="27FF129D"/>
    <w:rsid w:val="27FF4615"/>
    <w:rsid w:val="27FFD442"/>
    <w:rsid w:val="287F397E"/>
    <w:rsid w:val="28DB614B"/>
    <w:rsid w:val="29C721E5"/>
    <w:rsid w:val="29EE86EA"/>
    <w:rsid w:val="2B5B9BE8"/>
    <w:rsid w:val="2BDFE8AA"/>
    <w:rsid w:val="2BFF6CB6"/>
    <w:rsid w:val="2C763FEC"/>
    <w:rsid w:val="2DBD5E70"/>
    <w:rsid w:val="2DEFE88A"/>
    <w:rsid w:val="2E5A3DAC"/>
    <w:rsid w:val="2E61B32E"/>
    <w:rsid w:val="2E8468A1"/>
    <w:rsid w:val="2EBE15D9"/>
    <w:rsid w:val="2EDF1C7C"/>
    <w:rsid w:val="2EE939DE"/>
    <w:rsid w:val="2EEADEA9"/>
    <w:rsid w:val="2F6A3E9A"/>
    <w:rsid w:val="2F87FA02"/>
    <w:rsid w:val="2FD9DD9E"/>
    <w:rsid w:val="2FEF7ECF"/>
    <w:rsid w:val="2FF0D12E"/>
    <w:rsid w:val="2FF7A57E"/>
    <w:rsid w:val="2FFAE007"/>
    <w:rsid w:val="2FFBC1EA"/>
    <w:rsid w:val="2FFFB1D8"/>
    <w:rsid w:val="30A10652"/>
    <w:rsid w:val="30F8AC56"/>
    <w:rsid w:val="31395D05"/>
    <w:rsid w:val="326A5BCD"/>
    <w:rsid w:val="32BE2CA3"/>
    <w:rsid w:val="32E177A3"/>
    <w:rsid w:val="335FEE4B"/>
    <w:rsid w:val="33AB6E8F"/>
    <w:rsid w:val="33AC0630"/>
    <w:rsid w:val="33BFD3A1"/>
    <w:rsid w:val="33DB858A"/>
    <w:rsid w:val="33EE40BD"/>
    <w:rsid w:val="33FB6FD7"/>
    <w:rsid w:val="33FFAE6C"/>
    <w:rsid w:val="34663D86"/>
    <w:rsid w:val="346F275C"/>
    <w:rsid w:val="34DF166B"/>
    <w:rsid w:val="34E05800"/>
    <w:rsid w:val="35691E38"/>
    <w:rsid w:val="359E4F53"/>
    <w:rsid w:val="35DE5ECC"/>
    <w:rsid w:val="35ED6974"/>
    <w:rsid w:val="36674C84"/>
    <w:rsid w:val="36D218C1"/>
    <w:rsid w:val="36FD79CA"/>
    <w:rsid w:val="373D010B"/>
    <w:rsid w:val="3797D0BD"/>
    <w:rsid w:val="37996EF4"/>
    <w:rsid w:val="37D38483"/>
    <w:rsid w:val="37FB01DA"/>
    <w:rsid w:val="37FDF11E"/>
    <w:rsid w:val="37FF2A6D"/>
    <w:rsid w:val="37FF781F"/>
    <w:rsid w:val="38B90269"/>
    <w:rsid w:val="38F7EBEB"/>
    <w:rsid w:val="38FA3E9E"/>
    <w:rsid w:val="390A56A6"/>
    <w:rsid w:val="393E4111"/>
    <w:rsid w:val="3979A7C1"/>
    <w:rsid w:val="397A6C67"/>
    <w:rsid w:val="397E85FC"/>
    <w:rsid w:val="39B9094D"/>
    <w:rsid w:val="39E031E7"/>
    <w:rsid w:val="3A6516AD"/>
    <w:rsid w:val="3A9C574C"/>
    <w:rsid w:val="3AA50DED"/>
    <w:rsid w:val="3B1C5F0A"/>
    <w:rsid w:val="3B263C82"/>
    <w:rsid w:val="3B3DEBF2"/>
    <w:rsid w:val="3B3F9FFE"/>
    <w:rsid w:val="3B663F94"/>
    <w:rsid w:val="3B69B8CC"/>
    <w:rsid w:val="3B765DA8"/>
    <w:rsid w:val="3B7E49E2"/>
    <w:rsid w:val="3BBA11CE"/>
    <w:rsid w:val="3BDF495C"/>
    <w:rsid w:val="3BDF4AF5"/>
    <w:rsid w:val="3BF7F9D6"/>
    <w:rsid w:val="3BFA239A"/>
    <w:rsid w:val="3BFDF3E1"/>
    <w:rsid w:val="3C7F129D"/>
    <w:rsid w:val="3C9E63E6"/>
    <w:rsid w:val="3CBD0812"/>
    <w:rsid w:val="3CEFA396"/>
    <w:rsid w:val="3CFA77F9"/>
    <w:rsid w:val="3CFF26C0"/>
    <w:rsid w:val="3CFF6FE2"/>
    <w:rsid w:val="3D5E2C92"/>
    <w:rsid w:val="3D6B2C35"/>
    <w:rsid w:val="3D735521"/>
    <w:rsid w:val="3D7E3914"/>
    <w:rsid w:val="3D890218"/>
    <w:rsid w:val="3D9798BF"/>
    <w:rsid w:val="3DA05553"/>
    <w:rsid w:val="3DB65553"/>
    <w:rsid w:val="3DC500AC"/>
    <w:rsid w:val="3DD34658"/>
    <w:rsid w:val="3DD41F20"/>
    <w:rsid w:val="3DD6592F"/>
    <w:rsid w:val="3DE7C5D5"/>
    <w:rsid w:val="3DF64A16"/>
    <w:rsid w:val="3DFBBFF1"/>
    <w:rsid w:val="3DFD09D0"/>
    <w:rsid w:val="3DFF32DA"/>
    <w:rsid w:val="3DFF69B4"/>
    <w:rsid w:val="3DFF6CBF"/>
    <w:rsid w:val="3E201F3A"/>
    <w:rsid w:val="3EB606B0"/>
    <w:rsid w:val="3EB72624"/>
    <w:rsid w:val="3EC53A22"/>
    <w:rsid w:val="3ECD0651"/>
    <w:rsid w:val="3EDD47A5"/>
    <w:rsid w:val="3EFE0614"/>
    <w:rsid w:val="3EFF8034"/>
    <w:rsid w:val="3F3B68BF"/>
    <w:rsid w:val="3F571D4F"/>
    <w:rsid w:val="3F59A78A"/>
    <w:rsid w:val="3F5B327B"/>
    <w:rsid w:val="3F6306E4"/>
    <w:rsid w:val="3F662929"/>
    <w:rsid w:val="3F793651"/>
    <w:rsid w:val="3F7F7E9B"/>
    <w:rsid w:val="3F7FBAFA"/>
    <w:rsid w:val="3F7FF299"/>
    <w:rsid w:val="3F8FCA18"/>
    <w:rsid w:val="3F9EE6E6"/>
    <w:rsid w:val="3FAE4E2F"/>
    <w:rsid w:val="3FB06A9B"/>
    <w:rsid w:val="3FBDFD2F"/>
    <w:rsid w:val="3FBE0214"/>
    <w:rsid w:val="3FBFF1D1"/>
    <w:rsid w:val="3FC97015"/>
    <w:rsid w:val="3FCFE0D1"/>
    <w:rsid w:val="3FD601D5"/>
    <w:rsid w:val="3FE72B60"/>
    <w:rsid w:val="3FEE969F"/>
    <w:rsid w:val="3FEF9FD9"/>
    <w:rsid w:val="3FEFB8B0"/>
    <w:rsid w:val="3FEFCC73"/>
    <w:rsid w:val="3FFBDDAB"/>
    <w:rsid w:val="3FFF4526"/>
    <w:rsid w:val="3FFF4C62"/>
    <w:rsid w:val="3FFF52AE"/>
    <w:rsid w:val="3FFF7CFC"/>
    <w:rsid w:val="40302EE3"/>
    <w:rsid w:val="412344D1"/>
    <w:rsid w:val="416C40CA"/>
    <w:rsid w:val="41F76EEF"/>
    <w:rsid w:val="43233385"/>
    <w:rsid w:val="432DC2AF"/>
    <w:rsid w:val="43DF4B14"/>
    <w:rsid w:val="43EB161A"/>
    <w:rsid w:val="43EFEF93"/>
    <w:rsid w:val="44A825EB"/>
    <w:rsid w:val="45224346"/>
    <w:rsid w:val="452901C3"/>
    <w:rsid w:val="45391B56"/>
    <w:rsid w:val="4549138D"/>
    <w:rsid w:val="45DD05D2"/>
    <w:rsid w:val="45ED17B6"/>
    <w:rsid w:val="463351B6"/>
    <w:rsid w:val="46FFB162"/>
    <w:rsid w:val="47575FE9"/>
    <w:rsid w:val="475B14E3"/>
    <w:rsid w:val="47C922CE"/>
    <w:rsid w:val="47DE55F6"/>
    <w:rsid w:val="47EBC53D"/>
    <w:rsid w:val="47FBE816"/>
    <w:rsid w:val="47FF7456"/>
    <w:rsid w:val="48044449"/>
    <w:rsid w:val="48853780"/>
    <w:rsid w:val="489323E0"/>
    <w:rsid w:val="48B904B6"/>
    <w:rsid w:val="4A20347D"/>
    <w:rsid w:val="4A7D6E7A"/>
    <w:rsid w:val="4AA406B4"/>
    <w:rsid w:val="4B247FF5"/>
    <w:rsid w:val="4B382583"/>
    <w:rsid w:val="4B4A74AB"/>
    <w:rsid w:val="4B6F909D"/>
    <w:rsid w:val="4BA001D7"/>
    <w:rsid w:val="4BE06263"/>
    <w:rsid w:val="4BF77045"/>
    <w:rsid w:val="4C3B634B"/>
    <w:rsid w:val="4C3D6555"/>
    <w:rsid w:val="4CB708CE"/>
    <w:rsid w:val="4D7A079E"/>
    <w:rsid w:val="4D844549"/>
    <w:rsid w:val="4DBF2A90"/>
    <w:rsid w:val="4DE6A8A8"/>
    <w:rsid w:val="4DED20EF"/>
    <w:rsid w:val="4DF00122"/>
    <w:rsid w:val="4E0B653D"/>
    <w:rsid w:val="4E3F2AA6"/>
    <w:rsid w:val="4E600FED"/>
    <w:rsid w:val="4E6A8968"/>
    <w:rsid w:val="4E6B7DE1"/>
    <w:rsid w:val="4E755E48"/>
    <w:rsid w:val="4E921D7E"/>
    <w:rsid w:val="4F093D37"/>
    <w:rsid w:val="4F1546BA"/>
    <w:rsid w:val="4F1F29AF"/>
    <w:rsid w:val="4F3D7B21"/>
    <w:rsid w:val="4F71253E"/>
    <w:rsid w:val="4F8F8D88"/>
    <w:rsid w:val="4F957773"/>
    <w:rsid w:val="4FB2FE82"/>
    <w:rsid w:val="4FDEE696"/>
    <w:rsid w:val="4FFF6E8B"/>
    <w:rsid w:val="50294CC7"/>
    <w:rsid w:val="50A3255A"/>
    <w:rsid w:val="511D2626"/>
    <w:rsid w:val="517F0AA6"/>
    <w:rsid w:val="519E85AD"/>
    <w:rsid w:val="522B768A"/>
    <w:rsid w:val="5357CBF7"/>
    <w:rsid w:val="53983FEE"/>
    <w:rsid w:val="544F11B4"/>
    <w:rsid w:val="555831C2"/>
    <w:rsid w:val="557FA169"/>
    <w:rsid w:val="5589508E"/>
    <w:rsid w:val="55B654BC"/>
    <w:rsid w:val="55DF4F52"/>
    <w:rsid w:val="55ED8F69"/>
    <w:rsid w:val="561E6A4C"/>
    <w:rsid w:val="566E4111"/>
    <w:rsid w:val="56771F42"/>
    <w:rsid w:val="56CC5376"/>
    <w:rsid w:val="56DD1A43"/>
    <w:rsid w:val="56DF154F"/>
    <w:rsid w:val="56F97128"/>
    <w:rsid w:val="574F3637"/>
    <w:rsid w:val="576337B2"/>
    <w:rsid w:val="576F039E"/>
    <w:rsid w:val="57757564"/>
    <w:rsid w:val="57B33042"/>
    <w:rsid w:val="57BC664B"/>
    <w:rsid w:val="57C67D06"/>
    <w:rsid w:val="57D675F0"/>
    <w:rsid w:val="57DB50E8"/>
    <w:rsid w:val="57DE58CF"/>
    <w:rsid w:val="57EE590C"/>
    <w:rsid w:val="57FB0E4D"/>
    <w:rsid w:val="57FD1C5C"/>
    <w:rsid w:val="57FD3876"/>
    <w:rsid w:val="57FF1242"/>
    <w:rsid w:val="582562DF"/>
    <w:rsid w:val="58A509C8"/>
    <w:rsid w:val="58C779E0"/>
    <w:rsid w:val="58FFA93E"/>
    <w:rsid w:val="595D3F61"/>
    <w:rsid w:val="59960CB3"/>
    <w:rsid w:val="59A9345F"/>
    <w:rsid w:val="59E051FD"/>
    <w:rsid w:val="5A355549"/>
    <w:rsid w:val="5A4530E7"/>
    <w:rsid w:val="5A5F4F96"/>
    <w:rsid w:val="5A7DBC17"/>
    <w:rsid w:val="5AB7A75F"/>
    <w:rsid w:val="5ABC51D3"/>
    <w:rsid w:val="5ADFF83C"/>
    <w:rsid w:val="5AFBD179"/>
    <w:rsid w:val="5AFF1F2B"/>
    <w:rsid w:val="5AFF9AA3"/>
    <w:rsid w:val="5B156740"/>
    <w:rsid w:val="5B4975D8"/>
    <w:rsid w:val="5B72AC16"/>
    <w:rsid w:val="5BDB8E79"/>
    <w:rsid w:val="5BDC37A3"/>
    <w:rsid w:val="5BDFD765"/>
    <w:rsid w:val="5BF3EB1F"/>
    <w:rsid w:val="5BF7FC00"/>
    <w:rsid w:val="5BFFE0FB"/>
    <w:rsid w:val="5BFFFD92"/>
    <w:rsid w:val="5C12397D"/>
    <w:rsid w:val="5C1271C4"/>
    <w:rsid w:val="5C3912E5"/>
    <w:rsid w:val="5CBF9D66"/>
    <w:rsid w:val="5CDF6182"/>
    <w:rsid w:val="5D4753CD"/>
    <w:rsid w:val="5D6F7651"/>
    <w:rsid w:val="5D7FF6A6"/>
    <w:rsid w:val="5DC32E6C"/>
    <w:rsid w:val="5DD7A7EF"/>
    <w:rsid w:val="5DE27796"/>
    <w:rsid w:val="5DF76D4B"/>
    <w:rsid w:val="5DFF9F14"/>
    <w:rsid w:val="5E2DDE52"/>
    <w:rsid w:val="5E712FDD"/>
    <w:rsid w:val="5E7361E3"/>
    <w:rsid w:val="5EAD022E"/>
    <w:rsid w:val="5EB79112"/>
    <w:rsid w:val="5ECC3EAD"/>
    <w:rsid w:val="5EFF0D9D"/>
    <w:rsid w:val="5F3F28D7"/>
    <w:rsid w:val="5F602A66"/>
    <w:rsid w:val="5F7F0975"/>
    <w:rsid w:val="5F7FD78C"/>
    <w:rsid w:val="5F903CB1"/>
    <w:rsid w:val="5F9635E5"/>
    <w:rsid w:val="5F9F1404"/>
    <w:rsid w:val="5FAE8285"/>
    <w:rsid w:val="5FAF37C8"/>
    <w:rsid w:val="5FAFFE5B"/>
    <w:rsid w:val="5FD51340"/>
    <w:rsid w:val="5FDFAA52"/>
    <w:rsid w:val="5FEB616C"/>
    <w:rsid w:val="5FF31240"/>
    <w:rsid w:val="5FF6FABC"/>
    <w:rsid w:val="5FFB1FAA"/>
    <w:rsid w:val="5FFDCFD2"/>
    <w:rsid w:val="5FFE07D8"/>
    <w:rsid w:val="5FFF2783"/>
    <w:rsid w:val="5FFFABE5"/>
    <w:rsid w:val="60196362"/>
    <w:rsid w:val="603D5158"/>
    <w:rsid w:val="6151253D"/>
    <w:rsid w:val="61FF9B74"/>
    <w:rsid w:val="6217167A"/>
    <w:rsid w:val="62AD3016"/>
    <w:rsid w:val="62FDD945"/>
    <w:rsid w:val="633151E2"/>
    <w:rsid w:val="637B25CE"/>
    <w:rsid w:val="63DF6E81"/>
    <w:rsid w:val="63FAE20C"/>
    <w:rsid w:val="63FE3327"/>
    <w:rsid w:val="643F6637"/>
    <w:rsid w:val="64C86FBA"/>
    <w:rsid w:val="64E60474"/>
    <w:rsid w:val="65D33E68"/>
    <w:rsid w:val="65E69356"/>
    <w:rsid w:val="65EFED67"/>
    <w:rsid w:val="668A3988"/>
    <w:rsid w:val="66AE8D3D"/>
    <w:rsid w:val="66DF79ED"/>
    <w:rsid w:val="66E55F1D"/>
    <w:rsid w:val="66EB2908"/>
    <w:rsid w:val="67503EDE"/>
    <w:rsid w:val="67515261"/>
    <w:rsid w:val="677F8391"/>
    <w:rsid w:val="679FCB3C"/>
    <w:rsid w:val="67A601A3"/>
    <w:rsid w:val="67B66B9D"/>
    <w:rsid w:val="67BCFD14"/>
    <w:rsid w:val="67DFC50B"/>
    <w:rsid w:val="67F7D2FC"/>
    <w:rsid w:val="67FA64E7"/>
    <w:rsid w:val="67FD4FEA"/>
    <w:rsid w:val="67FD9FF2"/>
    <w:rsid w:val="67FDD710"/>
    <w:rsid w:val="67FDDC98"/>
    <w:rsid w:val="68272F3B"/>
    <w:rsid w:val="68961CEF"/>
    <w:rsid w:val="68DF5C27"/>
    <w:rsid w:val="68F44821"/>
    <w:rsid w:val="694F1A58"/>
    <w:rsid w:val="696BA6A5"/>
    <w:rsid w:val="69862AD0"/>
    <w:rsid w:val="69BB5B30"/>
    <w:rsid w:val="69FEC5DA"/>
    <w:rsid w:val="69FF98F0"/>
    <w:rsid w:val="6A4B0A57"/>
    <w:rsid w:val="6A797FCA"/>
    <w:rsid w:val="6A7B5B3F"/>
    <w:rsid w:val="6A843983"/>
    <w:rsid w:val="6AFB953C"/>
    <w:rsid w:val="6B0B2CCE"/>
    <w:rsid w:val="6B193C9B"/>
    <w:rsid w:val="6B37213F"/>
    <w:rsid w:val="6B7FA965"/>
    <w:rsid w:val="6B8FB650"/>
    <w:rsid w:val="6BCD4E8E"/>
    <w:rsid w:val="6BE22C58"/>
    <w:rsid w:val="6BE564B6"/>
    <w:rsid w:val="6BFBD22C"/>
    <w:rsid w:val="6BFF1CE1"/>
    <w:rsid w:val="6C7517D5"/>
    <w:rsid w:val="6CB79711"/>
    <w:rsid w:val="6CFE5C6F"/>
    <w:rsid w:val="6D3F95D9"/>
    <w:rsid w:val="6DDFAB84"/>
    <w:rsid w:val="6DE5FFD5"/>
    <w:rsid w:val="6DFD6F85"/>
    <w:rsid w:val="6DFF1CF0"/>
    <w:rsid w:val="6E3D2E9E"/>
    <w:rsid w:val="6E657FE0"/>
    <w:rsid w:val="6E766D26"/>
    <w:rsid w:val="6E8E6067"/>
    <w:rsid w:val="6EAFB485"/>
    <w:rsid w:val="6EB9535D"/>
    <w:rsid w:val="6EDA5B56"/>
    <w:rsid w:val="6EEB4A98"/>
    <w:rsid w:val="6EEBB6EE"/>
    <w:rsid w:val="6EED2336"/>
    <w:rsid w:val="6EEF5F40"/>
    <w:rsid w:val="6EF33E3F"/>
    <w:rsid w:val="6EF71F9B"/>
    <w:rsid w:val="6EFBA82F"/>
    <w:rsid w:val="6EFE8266"/>
    <w:rsid w:val="6EFF8142"/>
    <w:rsid w:val="6F1C7E94"/>
    <w:rsid w:val="6F4B0D46"/>
    <w:rsid w:val="6F5B6F33"/>
    <w:rsid w:val="6F6E699B"/>
    <w:rsid w:val="6F6F8011"/>
    <w:rsid w:val="6F7278A6"/>
    <w:rsid w:val="6F7DA3CC"/>
    <w:rsid w:val="6F7FC21C"/>
    <w:rsid w:val="6F814DBD"/>
    <w:rsid w:val="6F8F93E5"/>
    <w:rsid w:val="6F9E4E10"/>
    <w:rsid w:val="6FA605FD"/>
    <w:rsid w:val="6FAF48D2"/>
    <w:rsid w:val="6FBB532B"/>
    <w:rsid w:val="6FBF6B3A"/>
    <w:rsid w:val="6FBFF870"/>
    <w:rsid w:val="6FCEB63C"/>
    <w:rsid w:val="6FD48A57"/>
    <w:rsid w:val="6FDA2E63"/>
    <w:rsid w:val="6FEB53C7"/>
    <w:rsid w:val="6FEB5D76"/>
    <w:rsid w:val="6FEFA8CD"/>
    <w:rsid w:val="6FEFB53E"/>
    <w:rsid w:val="6FF394BF"/>
    <w:rsid w:val="6FF67BDB"/>
    <w:rsid w:val="6FF74140"/>
    <w:rsid w:val="6FF9CEDC"/>
    <w:rsid w:val="6FFB5F42"/>
    <w:rsid w:val="6FFCC7AB"/>
    <w:rsid w:val="6FFF29E6"/>
    <w:rsid w:val="6FFFA108"/>
    <w:rsid w:val="702F7EED"/>
    <w:rsid w:val="7083561C"/>
    <w:rsid w:val="70BF5C96"/>
    <w:rsid w:val="7165D92E"/>
    <w:rsid w:val="71AFA320"/>
    <w:rsid w:val="71E70058"/>
    <w:rsid w:val="71E95716"/>
    <w:rsid w:val="71FE3740"/>
    <w:rsid w:val="72AE640F"/>
    <w:rsid w:val="72D5C4A2"/>
    <w:rsid w:val="72FF3C64"/>
    <w:rsid w:val="737072C6"/>
    <w:rsid w:val="7374017F"/>
    <w:rsid w:val="73776A35"/>
    <w:rsid w:val="737B8286"/>
    <w:rsid w:val="737FC01C"/>
    <w:rsid w:val="7396563E"/>
    <w:rsid w:val="73DCC1C6"/>
    <w:rsid w:val="73DF7169"/>
    <w:rsid w:val="73ED2351"/>
    <w:rsid w:val="73FB9A3D"/>
    <w:rsid w:val="73FF5A0F"/>
    <w:rsid w:val="741257C1"/>
    <w:rsid w:val="74142A36"/>
    <w:rsid w:val="745F6AFA"/>
    <w:rsid w:val="746564E5"/>
    <w:rsid w:val="74842EFD"/>
    <w:rsid w:val="74FB6B72"/>
    <w:rsid w:val="755F4125"/>
    <w:rsid w:val="759CCDE8"/>
    <w:rsid w:val="75A9673A"/>
    <w:rsid w:val="75ACC141"/>
    <w:rsid w:val="75B3B99F"/>
    <w:rsid w:val="75BE9A71"/>
    <w:rsid w:val="75EF34BE"/>
    <w:rsid w:val="75FDA4D9"/>
    <w:rsid w:val="75FFB589"/>
    <w:rsid w:val="7633B91C"/>
    <w:rsid w:val="7637815B"/>
    <w:rsid w:val="76576111"/>
    <w:rsid w:val="766D9388"/>
    <w:rsid w:val="766FAE0C"/>
    <w:rsid w:val="76BB58E6"/>
    <w:rsid w:val="76BF4357"/>
    <w:rsid w:val="76DBC933"/>
    <w:rsid w:val="76E04AC7"/>
    <w:rsid w:val="76EBB520"/>
    <w:rsid w:val="76FB9401"/>
    <w:rsid w:val="770943E5"/>
    <w:rsid w:val="770F34BE"/>
    <w:rsid w:val="772F54B2"/>
    <w:rsid w:val="7734816A"/>
    <w:rsid w:val="774F59B8"/>
    <w:rsid w:val="775D980E"/>
    <w:rsid w:val="775FAC97"/>
    <w:rsid w:val="7767B043"/>
    <w:rsid w:val="776EB6D2"/>
    <w:rsid w:val="776F7D8A"/>
    <w:rsid w:val="7777CB5B"/>
    <w:rsid w:val="777ECBD9"/>
    <w:rsid w:val="777F3877"/>
    <w:rsid w:val="7795A5E8"/>
    <w:rsid w:val="779DDF7B"/>
    <w:rsid w:val="77A3D101"/>
    <w:rsid w:val="77AB14EB"/>
    <w:rsid w:val="77AF2DC1"/>
    <w:rsid w:val="77BF0E1A"/>
    <w:rsid w:val="77BF3870"/>
    <w:rsid w:val="77BF5250"/>
    <w:rsid w:val="77BF8579"/>
    <w:rsid w:val="77BFA169"/>
    <w:rsid w:val="77BFB9BC"/>
    <w:rsid w:val="77CF1D73"/>
    <w:rsid w:val="77D24480"/>
    <w:rsid w:val="77D36F75"/>
    <w:rsid w:val="77DF8ED5"/>
    <w:rsid w:val="77DFCC37"/>
    <w:rsid w:val="77F4DB79"/>
    <w:rsid w:val="77F981C6"/>
    <w:rsid w:val="77F9A2A1"/>
    <w:rsid w:val="77FB3775"/>
    <w:rsid w:val="77FD70C2"/>
    <w:rsid w:val="77FDF988"/>
    <w:rsid w:val="77FE0963"/>
    <w:rsid w:val="77FE73B6"/>
    <w:rsid w:val="77FF7347"/>
    <w:rsid w:val="783F4327"/>
    <w:rsid w:val="78A710A6"/>
    <w:rsid w:val="78A76B3C"/>
    <w:rsid w:val="78AD9FE4"/>
    <w:rsid w:val="78BF0436"/>
    <w:rsid w:val="78D552F4"/>
    <w:rsid w:val="78EDE986"/>
    <w:rsid w:val="78F53D3D"/>
    <w:rsid w:val="78F76519"/>
    <w:rsid w:val="78FD930F"/>
    <w:rsid w:val="797F3F14"/>
    <w:rsid w:val="797F88BF"/>
    <w:rsid w:val="798E3BE3"/>
    <w:rsid w:val="79BF630B"/>
    <w:rsid w:val="79CF5DAC"/>
    <w:rsid w:val="79E35397"/>
    <w:rsid w:val="79FD1487"/>
    <w:rsid w:val="79FF5CBA"/>
    <w:rsid w:val="7A7D1073"/>
    <w:rsid w:val="7A7D72C6"/>
    <w:rsid w:val="7A9FA093"/>
    <w:rsid w:val="7ABDD248"/>
    <w:rsid w:val="7AD856F5"/>
    <w:rsid w:val="7AFD085D"/>
    <w:rsid w:val="7AFF7D1F"/>
    <w:rsid w:val="7AFFB89D"/>
    <w:rsid w:val="7B548E99"/>
    <w:rsid w:val="7B5768F4"/>
    <w:rsid w:val="7B626B1F"/>
    <w:rsid w:val="7B67BE08"/>
    <w:rsid w:val="7B6DEE2A"/>
    <w:rsid w:val="7B6EFF4C"/>
    <w:rsid w:val="7B914D13"/>
    <w:rsid w:val="7B931A0F"/>
    <w:rsid w:val="7BB5E3CE"/>
    <w:rsid w:val="7BBDD2EE"/>
    <w:rsid w:val="7BD50A83"/>
    <w:rsid w:val="7BE66BB6"/>
    <w:rsid w:val="7BEFA0E3"/>
    <w:rsid w:val="7BFBF7BC"/>
    <w:rsid w:val="7BFE6846"/>
    <w:rsid w:val="7BFE8297"/>
    <w:rsid w:val="7BFEC224"/>
    <w:rsid w:val="7BFF38CE"/>
    <w:rsid w:val="7BFF8949"/>
    <w:rsid w:val="7BFFC7C7"/>
    <w:rsid w:val="7BFFCF70"/>
    <w:rsid w:val="7C4D5413"/>
    <w:rsid w:val="7CAF8DAC"/>
    <w:rsid w:val="7CBD87B6"/>
    <w:rsid w:val="7CD76D73"/>
    <w:rsid w:val="7CDD3018"/>
    <w:rsid w:val="7CEE7D03"/>
    <w:rsid w:val="7CF69270"/>
    <w:rsid w:val="7CFDF1DE"/>
    <w:rsid w:val="7CFF76C2"/>
    <w:rsid w:val="7D3C1910"/>
    <w:rsid w:val="7D3D5400"/>
    <w:rsid w:val="7D763DDA"/>
    <w:rsid w:val="7D777BC5"/>
    <w:rsid w:val="7D7AADBA"/>
    <w:rsid w:val="7DAB7E35"/>
    <w:rsid w:val="7DB76478"/>
    <w:rsid w:val="7DBFCF4F"/>
    <w:rsid w:val="7DC51E8D"/>
    <w:rsid w:val="7DD14345"/>
    <w:rsid w:val="7DDCDD38"/>
    <w:rsid w:val="7DEE9BB5"/>
    <w:rsid w:val="7DEF3C12"/>
    <w:rsid w:val="7DEF4BF7"/>
    <w:rsid w:val="7DF31402"/>
    <w:rsid w:val="7DF7B8CD"/>
    <w:rsid w:val="7DF9EDD4"/>
    <w:rsid w:val="7DFBF215"/>
    <w:rsid w:val="7DFDE541"/>
    <w:rsid w:val="7DFE3A56"/>
    <w:rsid w:val="7DFFADE8"/>
    <w:rsid w:val="7E1B9AAE"/>
    <w:rsid w:val="7E3DC866"/>
    <w:rsid w:val="7E6E5FBB"/>
    <w:rsid w:val="7E7B1DD8"/>
    <w:rsid w:val="7E7DBCDF"/>
    <w:rsid w:val="7E8F79F4"/>
    <w:rsid w:val="7E9F93DF"/>
    <w:rsid w:val="7EBBFA19"/>
    <w:rsid w:val="7EBC4478"/>
    <w:rsid w:val="7EBD9710"/>
    <w:rsid w:val="7EBE40F4"/>
    <w:rsid w:val="7EC735EC"/>
    <w:rsid w:val="7EE7973A"/>
    <w:rsid w:val="7EEDEF74"/>
    <w:rsid w:val="7EEED2EA"/>
    <w:rsid w:val="7EEF8764"/>
    <w:rsid w:val="7EEFC159"/>
    <w:rsid w:val="7EF44BD7"/>
    <w:rsid w:val="7EF5B5C8"/>
    <w:rsid w:val="7EF71DF4"/>
    <w:rsid w:val="7EFC0F2F"/>
    <w:rsid w:val="7EFDDF0E"/>
    <w:rsid w:val="7EFE36AC"/>
    <w:rsid w:val="7EFF33CE"/>
    <w:rsid w:val="7EFFF596"/>
    <w:rsid w:val="7F1F8C63"/>
    <w:rsid w:val="7F1FEDFB"/>
    <w:rsid w:val="7F1FF15B"/>
    <w:rsid w:val="7F272AB6"/>
    <w:rsid w:val="7F373BD7"/>
    <w:rsid w:val="7F3C7FC4"/>
    <w:rsid w:val="7F3E639F"/>
    <w:rsid w:val="7F3F5CE8"/>
    <w:rsid w:val="7F3F9D34"/>
    <w:rsid w:val="7F4D0390"/>
    <w:rsid w:val="7F4F8446"/>
    <w:rsid w:val="7F525A70"/>
    <w:rsid w:val="7F5635DA"/>
    <w:rsid w:val="7F5F1073"/>
    <w:rsid w:val="7F6F3D84"/>
    <w:rsid w:val="7F6FD4B0"/>
    <w:rsid w:val="7F7612DF"/>
    <w:rsid w:val="7F7B427C"/>
    <w:rsid w:val="7F7D75FC"/>
    <w:rsid w:val="7F7EBC83"/>
    <w:rsid w:val="7F7F3AEE"/>
    <w:rsid w:val="7F7F9930"/>
    <w:rsid w:val="7F7FAC2C"/>
    <w:rsid w:val="7F7FC8DD"/>
    <w:rsid w:val="7F8C710A"/>
    <w:rsid w:val="7F8D8F55"/>
    <w:rsid w:val="7F9B90BC"/>
    <w:rsid w:val="7F9CB213"/>
    <w:rsid w:val="7F9DE7E5"/>
    <w:rsid w:val="7F9E5417"/>
    <w:rsid w:val="7FAE7243"/>
    <w:rsid w:val="7FAF3036"/>
    <w:rsid w:val="7FAFCEBC"/>
    <w:rsid w:val="7FB33201"/>
    <w:rsid w:val="7FB69A45"/>
    <w:rsid w:val="7FB6B4AB"/>
    <w:rsid w:val="7FB7068F"/>
    <w:rsid w:val="7FBBF026"/>
    <w:rsid w:val="7FBD5632"/>
    <w:rsid w:val="7FBDB1C3"/>
    <w:rsid w:val="7FBE0092"/>
    <w:rsid w:val="7FBEFCDD"/>
    <w:rsid w:val="7FBFF804"/>
    <w:rsid w:val="7FCEB198"/>
    <w:rsid w:val="7FD40F45"/>
    <w:rsid w:val="7FD7AC1E"/>
    <w:rsid w:val="7FD91BC1"/>
    <w:rsid w:val="7FDB33FA"/>
    <w:rsid w:val="7FDC3B09"/>
    <w:rsid w:val="7FDC8EE2"/>
    <w:rsid w:val="7FDCD04B"/>
    <w:rsid w:val="7FDD0522"/>
    <w:rsid w:val="7FDD4109"/>
    <w:rsid w:val="7FDE0623"/>
    <w:rsid w:val="7FDE57F9"/>
    <w:rsid w:val="7FDF0B4B"/>
    <w:rsid w:val="7FDFB68B"/>
    <w:rsid w:val="7FDFC1D5"/>
    <w:rsid w:val="7FE32FB6"/>
    <w:rsid w:val="7FE3A96D"/>
    <w:rsid w:val="7FE601EC"/>
    <w:rsid w:val="7FE97F3F"/>
    <w:rsid w:val="7FE9A68F"/>
    <w:rsid w:val="7FEF22BC"/>
    <w:rsid w:val="7FEF5E81"/>
    <w:rsid w:val="7FEF690B"/>
    <w:rsid w:val="7FF39757"/>
    <w:rsid w:val="7FF5FDFA"/>
    <w:rsid w:val="7FF74A60"/>
    <w:rsid w:val="7FF76F5D"/>
    <w:rsid w:val="7FF99042"/>
    <w:rsid w:val="7FFBF0EE"/>
    <w:rsid w:val="7FFE705A"/>
    <w:rsid w:val="7FFEA9FA"/>
    <w:rsid w:val="7FFECEBB"/>
    <w:rsid w:val="7FFEE3F1"/>
    <w:rsid w:val="7FFF0324"/>
    <w:rsid w:val="7FFF247B"/>
    <w:rsid w:val="7FFF565B"/>
    <w:rsid w:val="7FFF6912"/>
    <w:rsid w:val="7FFF7346"/>
    <w:rsid w:val="7FFF7CC0"/>
    <w:rsid w:val="7FFFB803"/>
    <w:rsid w:val="7FFFD52C"/>
    <w:rsid w:val="7FFFFB59"/>
    <w:rsid w:val="83AF48C6"/>
    <w:rsid w:val="87CCE8A1"/>
    <w:rsid w:val="87DD63AE"/>
    <w:rsid w:val="89BFA0C4"/>
    <w:rsid w:val="89FF5752"/>
    <w:rsid w:val="8B3F5811"/>
    <w:rsid w:val="8DBFB894"/>
    <w:rsid w:val="8DDD6F10"/>
    <w:rsid w:val="8F6B95A7"/>
    <w:rsid w:val="8F773F17"/>
    <w:rsid w:val="8FEBA205"/>
    <w:rsid w:val="8FEF627A"/>
    <w:rsid w:val="8FF94CD7"/>
    <w:rsid w:val="91BD0EBC"/>
    <w:rsid w:val="93DBD6DC"/>
    <w:rsid w:val="97BEA979"/>
    <w:rsid w:val="97CF2CE2"/>
    <w:rsid w:val="97DDD03B"/>
    <w:rsid w:val="97FB1A0F"/>
    <w:rsid w:val="97FD6F87"/>
    <w:rsid w:val="9ABF41DE"/>
    <w:rsid w:val="9BEB1477"/>
    <w:rsid w:val="9CFFD2A5"/>
    <w:rsid w:val="9D7F5037"/>
    <w:rsid w:val="9D8F24C5"/>
    <w:rsid w:val="9DC6E90A"/>
    <w:rsid w:val="9DDE4740"/>
    <w:rsid w:val="9DF70D21"/>
    <w:rsid w:val="9EBF2BB2"/>
    <w:rsid w:val="9F7FC592"/>
    <w:rsid w:val="9F9BE9E6"/>
    <w:rsid w:val="9FB5CF3E"/>
    <w:rsid w:val="9FB714C6"/>
    <w:rsid w:val="9FDF7F38"/>
    <w:rsid w:val="9FEDF492"/>
    <w:rsid w:val="9FF736D5"/>
    <w:rsid w:val="9FF76D83"/>
    <w:rsid w:val="9FFD9780"/>
    <w:rsid w:val="9FFF68D6"/>
    <w:rsid w:val="A72DDBC4"/>
    <w:rsid w:val="A77D4C2D"/>
    <w:rsid w:val="A7E7AD64"/>
    <w:rsid w:val="A7FF12E9"/>
    <w:rsid w:val="A7FF3C40"/>
    <w:rsid w:val="AA5F0B8B"/>
    <w:rsid w:val="AB6F79EB"/>
    <w:rsid w:val="ABF37D0C"/>
    <w:rsid w:val="ABFAB9F7"/>
    <w:rsid w:val="ABFE31AC"/>
    <w:rsid w:val="AD763007"/>
    <w:rsid w:val="AD7B2E90"/>
    <w:rsid w:val="ADCFCEB8"/>
    <w:rsid w:val="ADDF25C9"/>
    <w:rsid w:val="ADF7487E"/>
    <w:rsid w:val="AE773093"/>
    <w:rsid w:val="AEDEB1DD"/>
    <w:rsid w:val="AF72DF75"/>
    <w:rsid w:val="AFCFE69F"/>
    <w:rsid w:val="AFDC13D3"/>
    <w:rsid w:val="AFDFD4A4"/>
    <w:rsid w:val="AFE77DE3"/>
    <w:rsid w:val="AFF5AA9D"/>
    <w:rsid w:val="AFF7252E"/>
    <w:rsid w:val="AFFF28EC"/>
    <w:rsid w:val="AFFF3AF9"/>
    <w:rsid w:val="AFFF8ED1"/>
    <w:rsid w:val="B0FB1635"/>
    <w:rsid w:val="B1BDD3FC"/>
    <w:rsid w:val="B22B42D2"/>
    <w:rsid w:val="B3CD379F"/>
    <w:rsid w:val="B3F732F1"/>
    <w:rsid w:val="B3F9E403"/>
    <w:rsid w:val="B3FD8768"/>
    <w:rsid w:val="B4FF7A1B"/>
    <w:rsid w:val="B5D12840"/>
    <w:rsid w:val="B5DFAFD9"/>
    <w:rsid w:val="B5EFFF80"/>
    <w:rsid w:val="B5FFA90B"/>
    <w:rsid w:val="B6FEED6B"/>
    <w:rsid w:val="B74F17AF"/>
    <w:rsid w:val="B775037F"/>
    <w:rsid w:val="B776EFAA"/>
    <w:rsid w:val="B77D6C83"/>
    <w:rsid w:val="B77F1BEC"/>
    <w:rsid w:val="B797CD30"/>
    <w:rsid w:val="B7B880C7"/>
    <w:rsid w:val="B7DD0606"/>
    <w:rsid w:val="B7FE6DD9"/>
    <w:rsid w:val="B7FFDD61"/>
    <w:rsid w:val="B8EF74CC"/>
    <w:rsid w:val="B8F4ED41"/>
    <w:rsid w:val="B97FE95B"/>
    <w:rsid w:val="B9FF213E"/>
    <w:rsid w:val="BA5F8B30"/>
    <w:rsid w:val="BA7D729E"/>
    <w:rsid w:val="BADF5CB0"/>
    <w:rsid w:val="BAFDA41E"/>
    <w:rsid w:val="BAFEDAB2"/>
    <w:rsid w:val="BB2836D2"/>
    <w:rsid w:val="BB3B6DDE"/>
    <w:rsid w:val="BB3F985B"/>
    <w:rsid w:val="BB4615BC"/>
    <w:rsid w:val="BB6D2650"/>
    <w:rsid w:val="BB7B135C"/>
    <w:rsid w:val="BB7FAF8A"/>
    <w:rsid w:val="BB99F9B7"/>
    <w:rsid w:val="BB9B705F"/>
    <w:rsid w:val="BBDBDE6A"/>
    <w:rsid w:val="BBDF78EC"/>
    <w:rsid w:val="BBEB0CDD"/>
    <w:rsid w:val="BBF754E8"/>
    <w:rsid w:val="BBF97BA8"/>
    <w:rsid w:val="BCFBA8B0"/>
    <w:rsid w:val="BCFDBF25"/>
    <w:rsid w:val="BD73D593"/>
    <w:rsid w:val="BD7FAE65"/>
    <w:rsid w:val="BDA30218"/>
    <w:rsid w:val="BDBF15AF"/>
    <w:rsid w:val="BDF9B22C"/>
    <w:rsid w:val="BDFD3CDB"/>
    <w:rsid w:val="BDFD76C6"/>
    <w:rsid w:val="BDFD94C1"/>
    <w:rsid w:val="BDFFC0BD"/>
    <w:rsid w:val="BDFFFD8E"/>
    <w:rsid w:val="BE5BDBAF"/>
    <w:rsid w:val="BEB9BC61"/>
    <w:rsid w:val="BEBF1E7F"/>
    <w:rsid w:val="BECEA7FB"/>
    <w:rsid w:val="BEE18C7C"/>
    <w:rsid w:val="BEE251FB"/>
    <w:rsid w:val="BEF77009"/>
    <w:rsid w:val="BF142C02"/>
    <w:rsid w:val="BF2DBDA8"/>
    <w:rsid w:val="BF3EFD2C"/>
    <w:rsid w:val="BF3F71CE"/>
    <w:rsid w:val="BF6DC541"/>
    <w:rsid w:val="BF75E3BD"/>
    <w:rsid w:val="BF7718EA"/>
    <w:rsid w:val="BF7E64AD"/>
    <w:rsid w:val="BF7FD50B"/>
    <w:rsid w:val="BF9391B5"/>
    <w:rsid w:val="BF977FAC"/>
    <w:rsid w:val="BFAF8F2C"/>
    <w:rsid w:val="BFBD5C83"/>
    <w:rsid w:val="BFBED073"/>
    <w:rsid w:val="BFBF491B"/>
    <w:rsid w:val="BFBFBD6C"/>
    <w:rsid w:val="BFBFC472"/>
    <w:rsid w:val="BFC536CF"/>
    <w:rsid w:val="BFD939EE"/>
    <w:rsid w:val="BFDD48C0"/>
    <w:rsid w:val="BFDF2AAA"/>
    <w:rsid w:val="BFEF4225"/>
    <w:rsid w:val="BFF3A03C"/>
    <w:rsid w:val="BFF44353"/>
    <w:rsid w:val="BFF5C045"/>
    <w:rsid w:val="BFF90658"/>
    <w:rsid w:val="BFF9E349"/>
    <w:rsid w:val="BFFD58E1"/>
    <w:rsid w:val="BFFFB099"/>
    <w:rsid w:val="BFFFE573"/>
    <w:rsid w:val="C1D5EC7B"/>
    <w:rsid w:val="C66FA648"/>
    <w:rsid w:val="C6FE0596"/>
    <w:rsid w:val="C74F5EF6"/>
    <w:rsid w:val="C79D88D7"/>
    <w:rsid w:val="C7F3B81E"/>
    <w:rsid w:val="C7FF87E7"/>
    <w:rsid w:val="C81FCB95"/>
    <w:rsid w:val="C90FB9C0"/>
    <w:rsid w:val="C98F39AF"/>
    <w:rsid w:val="C9AE47DD"/>
    <w:rsid w:val="CA635DA7"/>
    <w:rsid w:val="CB723849"/>
    <w:rsid w:val="CBD18CAE"/>
    <w:rsid w:val="CBE38B41"/>
    <w:rsid w:val="CBEB9A50"/>
    <w:rsid w:val="CBF7479F"/>
    <w:rsid w:val="CBF926C9"/>
    <w:rsid w:val="CC4F07CB"/>
    <w:rsid w:val="CCBB8969"/>
    <w:rsid w:val="CCE726AC"/>
    <w:rsid w:val="CD3DDCB1"/>
    <w:rsid w:val="CD9CD311"/>
    <w:rsid w:val="CDCFCA8B"/>
    <w:rsid w:val="CDFF5E8B"/>
    <w:rsid w:val="CE2D94E1"/>
    <w:rsid w:val="CEDF4F96"/>
    <w:rsid w:val="CEF51E03"/>
    <w:rsid w:val="CEFEAA89"/>
    <w:rsid w:val="CEFF2990"/>
    <w:rsid w:val="CF7714B0"/>
    <w:rsid w:val="CFBF1FC9"/>
    <w:rsid w:val="CFDE5DA3"/>
    <w:rsid w:val="CFEE4181"/>
    <w:rsid w:val="CFF586A9"/>
    <w:rsid w:val="CFFB57E1"/>
    <w:rsid w:val="CFFEE1FD"/>
    <w:rsid w:val="D10F1E07"/>
    <w:rsid w:val="D19FDA62"/>
    <w:rsid w:val="D2FE0200"/>
    <w:rsid w:val="D30D88DB"/>
    <w:rsid w:val="D3BF5DD8"/>
    <w:rsid w:val="D4E5818D"/>
    <w:rsid w:val="D4F75929"/>
    <w:rsid w:val="D5EB9616"/>
    <w:rsid w:val="D667B349"/>
    <w:rsid w:val="D676EC76"/>
    <w:rsid w:val="D6FC7001"/>
    <w:rsid w:val="D727F837"/>
    <w:rsid w:val="D73EEE1F"/>
    <w:rsid w:val="D75B3A2D"/>
    <w:rsid w:val="D75E98D2"/>
    <w:rsid w:val="D79EACBA"/>
    <w:rsid w:val="D7AFD127"/>
    <w:rsid w:val="D7FBF527"/>
    <w:rsid w:val="D7FFCFE5"/>
    <w:rsid w:val="D8FF2637"/>
    <w:rsid w:val="D9EF5A59"/>
    <w:rsid w:val="D9EF6582"/>
    <w:rsid w:val="D9F86B36"/>
    <w:rsid w:val="D9FD69F7"/>
    <w:rsid w:val="DAB6E452"/>
    <w:rsid w:val="DAB8C7C8"/>
    <w:rsid w:val="DAD33C4E"/>
    <w:rsid w:val="DAF3B792"/>
    <w:rsid w:val="DAFEDD62"/>
    <w:rsid w:val="DAFF8187"/>
    <w:rsid w:val="DB5D1016"/>
    <w:rsid w:val="DB7B18CA"/>
    <w:rsid w:val="DB9DEAD3"/>
    <w:rsid w:val="DBEFC8C4"/>
    <w:rsid w:val="DBEFED3C"/>
    <w:rsid w:val="DBF3BEB9"/>
    <w:rsid w:val="DBF74BB8"/>
    <w:rsid w:val="DBF90C99"/>
    <w:rsid w:val="DBF92698"/>
    <w:rsid w:val="DBF97FCA"/>
    <w:rsid w:val="DBFD4142"/>
    <w:rsid w:val="DBFFEB0D"/>
    <w:rsid w:val="DC74BEA8"/>
    <w:rsid w:val="DCD71425"/>
    <w:rsid w:val="DCFAE7A0"/>
    <w:rsid w:val="DD3AE93C"/>
    <w:rsid w:val="DDAE1BDF"/>
    <w:rsid w:val="DDBB06A8"/>
    <w:rsid w:val="DDEE072B"/>
    <w:rsid w:val="DDFF3ACF"/>
    <w:rsid w:val="DE670DB8"/>
    <w:rsid w:val="DE7BAA77"/>
    <w:rsid w:val="DE9BD9C8"/>
    <w:rsid w:val="DEB5C755"/>
    <w:rsid w:val="DEBFC292"/>
    <w:rsid w:val="DED9EB3C"/>
    <w:rsid w:val="DEF2FCBF"/>
    <w:rsid w:val="DEF30D58"/>
    <w:rsid w:val="DEFE722A"/>
    <w:rsid w:val="DEFF3E9F"/>
    <w:rsid w:val="DEFF47C8"/>
    <w:rsid w:val="DEFFCCDA"/>
    <w:rsid w:val="DF0DD22B"/>
    <w:rsid w:val="DF34126B"/>
    <w:rsid w:val="DF4F7C5B"/>
    <w:rsid w:val="DF61DC87"/>
    <w:rsid w:val="DF7195D1"/>
    <w:rsid w:val="DF77E096"/>
    <w:rsid w:val="DF7A0355"/>
    <w:rsid w:val="DF7D2067"/>
    <w:rsid w:val="DF7FD725"/>
    <w:rsid w:val="DFABD57F"/>
    <w:rsid w:val="DFAF91EE"/>
    <w:rsid w:val="DFB6EB40"/>
    <w:rsid w:val="DFB78999"/>
    <w:rsid w:val="DFB7F65B"/>
    <w:rsid w:val="DFBBDCE2"/>
    <w:rsid w:val="DFBE1A18"/>
    <w:rsid w:val="DFBE3EF8"/>
    <w:rsid w:val="DFCD4263"/>
    <w:rsid w:val="DFDCBCC5"/>
    <w:rsid w:val="DFDCBD6C"/>
    <w:rsid w:val="DFDF25BE"/>
    <w:rsid w:val="DFDFC685"/>
    <w:rsid w:val="DFE73303"/>
    <w:rsid w:val="DFF4D12E"/>
    <w:rsid w:val="DFF6D5DE"/>
    <w:rsid w:val="DFF7B296"/>
    <w:rsid w:val="DFFCB8CC"/>
    <w:rsid w:val="DFFF2212"/>
    <w:rsid w:val="DFFF5F87"/>
    <w:rsid w:val="E29E19E7"/>
    <w:rsid w:val="E3A42E49"/>
    <w:rsid w:val="E3A9B4E9"/>
    <w:rsid w:val="E55828EE"/>
    <w:rsid w:val="E5EDEC28"/>
    <w:rsid w:val="E67E265C"/>
    <w:rsid w:val="E6DBD0EB"/>
    <w:rsid w:val="E6DD5F13"/>
    <w:rsid w:val="E6F9DA2C"/>
    <w:rsid w:val="E6FD0424"/>
    <w:rsid w:val="E6FF13EB"/>
    <w:rsid w:val="E73F88B0"/>
    <w:rsid w:val="E778AF84"/>
    <w:rsid w:val="E77FAD6B"/>
    <w:rsid w:val="E77FB13B"/>
    <w:rsid w:val="E77FB1B5"/>
    <w:rsid w:val="E79FAAB5"/>
    <w:rsid w:val="E7BBEED6"/>
    <w:rsid w:val="E7BF2ECC"/>
    <w:rsid w:val="E7BFD682"/>
    <w:rsid w:val="E7D77B0F"/>
    <w:rsid w:val="E7DA1D3C"/>
    <w:rsid w:val="E7DD55C2"/>
    <w:rsid w:val="E7ED9943"/>
    <w:rsid w:val="E7FF0829"/>
    <w:rsid w:val="E7FFD579"/>
    <w:rsid w:val="E97BBC26"/>
    <w:rsid w:val="E9BF7458"/>
    <w:rsid w:val="E9BFDDEF"/>
    <w:rsid w:val="E9DF66A4"/>
    <w:rsid w:val="E9EB481E"/>
    <w:rsid w:val="E9FD7009"/>
    <w:rsid w:val="E9FF0175"/>
    <w:rsid w:val="EABF1E61"/>
    <w:rsid w:val="EAF3DB8B"/>
    <w:rsid w:val="EB37FEC4"/>
    <w:rsid w:val="EB67F237"/>
    <w:rsid w:val="EB8A2C6B"/>
    <w:rsid w:val="EBADAA89"/>
    <w:rsid w:val="EBDF4E7E"/>
    <w:rsid w:val="EBF76957"/>
    <w:rsid w:val="EBFF1E1A"/>
    <w:rsid w:val="EBFFDB12"/>
    <w:rsid w:val="ECFF6704"/>
    <w:rsid w:val="ED3D9D83"/>
    <w:rsid w:val="ED592632"/>
    <w:rsid w:val="ED770481"/>
    <w:rsid w:val="ED7DB070"/>
    <w:rsid w:val="ED7E90A1"/>
    <w:rsid w:val="ED9FD5E2"/>
    <w:rsid w:val="EDC6F421"/>
    <w:rsid w:val="EDC7D214"/>
    <w:rsid w:val="EDDF81C7"/>
    <w:rsid w:val="EDFBA26A"/>
    <w:rsid w:val="EDFDB52E"/>
    <w:rsid w:val="EDFF849A"/>
    <w:rsid w:val="EE6A4D65"/>
    <w:rsid w:val="EE7D330A"/>
    <w:rsid w:val="EEBDA156"/>
    <w:rsid w:val="EEBF8DC5"/>
    <w:rsid w:val="EEF7D679"/>
    <w:rsid w:val="EEFBB4A1"/>
    <w:rsid w:val="EF2F33BB"/>
    <w:rsid w:val="EF3FD93F"/>
    <w:rsid w:val="EF747E04"/>
    <w:rsid w:val="EF7EFA67"/>
    <w:rsid w:val="EF7F0C11"/>
    <w:rsid w:val="EF7F7E90"/>
    <w:rsid w:val="EF7FDCAF"/>
    <w:rsid w:val="EF8B921F"/>
    <w:rsid w:val="EF9FD955"/>
    <w:rsid w:val="EFA98A6E"/>
    <w:rsid w:val="EFB187B5"/>
    <w:rsid w:val="EFB91AF8"/>
    <w:rsid w:val="EFD3A58A"/>
    <w:rsid w:val="EFD72CDE"/>
    <w:rsid w:val="EFD76CB8"/>
    <w:rsid w:val="EFDB2D3A"/>
    <w:rsid w:val="EFECC12A"/>
    <w:rsid w:val="EFEDA580"/>
    <w:rsid w:val="EFEF24CC"/>
    <w:rsid w:val="EFEF5AD7"/>
    <w:rsid w:val="EFEFAA18"/>
    <w:rsid w:val="EFF5B886"/>
    <w:rsid w:val="EFF6C110"/>
    <w:rsid w:val="EFF6D7DA"/>
    <w:rsid w:val="EFF969D3"/>
    <w:rsid w:val="EFFAEE6C"/>
    <w:rsid w:val="EFFB2444"/>
    <w:rsid w:val="EFFBF41D"/>
    <w:rsid w:val="EFFDA6F3"/>
    <w:rsid w:val="EFFDCD48"/>
    <w:rsid w:val="EFFDCEB6"/>
    <w:rsid w:val="F0A6ABE4"/>
    <w:rsid w:val="F0FE26E9"/>
    <w:rsid w:val="F0FFDB7D"/>
    <w:rsid w:val="F1CA4F8F"/>
    <w:rsid w:val="F1EBCFDE"/>
    <w:rsid w:val="F1EDAB99"/>
    <w:rsid w:val="F1F795E2"/>
    <w:rsid w:val="F27DF37C"/>
    <w:rsid w:val="F2CE6F1C"/>
    <w:rsid w:val="F2EF4F3B"/>
    <w:rsid w:val="F2FDBDE9"/>
    <w:rsid w:val="F35D84E8"/>
    <w:rsid w:val="F37EAA8B"/>
    <w:rsid w:val="F3EF6539"/>
    <w:rsid w:val="F3EFCCCB"/>
    <w:rsid w:val="F3F13533"/>
    <w:rsid w:val="F3F77725"/>
    <w:rsid w:val="F3FDC978"/>
    <w:rsid w:val="F3FFCD90"/>
    <w:rsid w:val="F47DCD17"/>
    <w:rsid w:val="F4CE45EB"/>
    <w:rsid w:val="F55FA5B0"/>
    <w:rsid w:val="F570450F"/>
    <w:rsid w:val="F57BFFB0"/>
    <w:rsid w:val="F5A1972D"/>
    <w:rsid w:val="F5EA4F08"/>
    <w:rsid w:val="F5F21EE8"/>
    <w:rsid w:val="F5F780AB"/>
    <w:rsid w:val="F5FCFE33"/>
    <w:rsid w:val="F5FF4304"/>
    <w:rsid w:val="F62B2C20"/>
    <w:rsid w:val="F64798D4"/>
    <w:rsid w:val="F6BAE30F"/>
    <w:rsid w:val="F6BF7AB6"/>
    <w:rsid w:val="F6CB3212"/>
    <w:rsid w:val="F6EF4A1D"/>
    <w:rsid w:val="F6FCE5A2"/>
    <w:rsid w:val="F6FF1098"/>
    <w:rsid w:val="F6FF2E22"/>
    <w:rsid w:val="F6FF90EC"/>
    <w:rsid w:val="F76D2BA4"/>
    <w:rsid w:val="F76F16B5"/>
    <w:rsid w:val="F774BB82"/>
    <w:rsid w:val="F77F25C6"/>
    <w:rsid w:val="F77F5EAF"/>
    <w:rsid w:val="F78B6964"/>
    <w:rsid w:val="F7AFBD01"/>
    <w:rsid w:val="F7CA152D"/>
    <w:rsid w:val="F7D737B8"/>
    <w:rsid w:val="F7DB3214"/>
    <w:rsid w:val="F7DF327B"/>
    <w:rsid w:val="F7DFA04D"/>
    <w:rsid w:val="F7EBB7E8"/>
    <w:rsid w:val="F7F39E8D"/>
    <w:rsid w:val="F7F63D07"/>
    <w:rsid w:val="F7F7C66C"/>
    <w:rsid w:val="F7FA2BF4"/>
    <w:rsid w:val="F7FB259A"/>
    <w:rsid w:val="F7FD90CA"/>
    <w:rsid w:val="F7FD9D46"/>
    <w:rsid w:val="F7FE6854"/>
    <w:rsid w:val="F7FF3C2D"/>
    <w:rsid w:val="F7FF45CE"/>
    <w:rsid w:val="F7FF4AB4"/>
    <w:rsid w:val="F7FFEBA5"/>
    <w:rsid w:val="F7FFF36F"/>
    <w:rsid w:val="F82AF9B4"/>
    <w:rsid w:val="F8FB91DD"/>
    <w:rsid w:val="F8FDDAFC"/>
    <w:rsid w:val="F93698F8"/>
    <w:rsid w:val="F9449101"/>
    <w:rsid w:val="F96ABF24"/>
    <w:rsid w:val="F973A89C"/>
    <w:rsid w:val="F974D933"/>
    <w:rsid w:val="F97F9F38"/>
    <w:rsid w:val="F9AF23E7"/>
    <w:rsid w:val="F9B988FF"/>
    <w:rsid w:val="F9BD2841"/>
    <w:rsid w:val="F9BE5473"/>
    <w:rsid w:val="F9D7838E"/>
    <w:rsid w:val="F9DF3B80"/>
    <w:rsid w:val="F9EFA52C"/>
    <w:rsid w:val="F9F30807"/>
    <w:rsid w:val="F9F5F6C2"/>
    <w:rsid w:val="F9FEB969"/>
    <w:rsid w:val="F9FEE1C1"/>
    <w:rsid w:val="F9FF1920"/>
    <w:rsid w:val="FA7A21B6"/>
    <w:rsid w:val="FABE8D54"/>
    <w:rsid w:val="FAC7B05D"/>
    <w:rsid w:val="FAD7582F"/>
    <w:rsid w:val="FAD77005"/>
    <w:rsid w:val="FADEFC29"/>
    <w:rsid w:val="FAEE94BA"/>
    <w:rsid w:val="FAF5E04D"/>
    <w:rsid w:val="FAFF315A"/>
    <w:rsid w:val="FAFF53C4"/>
    <w:rsid w:val="FAFFDDA3"/>
    <w:rsid w:val="FB0DC116"/>
    <w:rsid w:val="FB16B29D"/>
    <w:rsid w:val="FB4AAB78"/>
    <w:rsid w:val="FB4F9859"/>
    <w:rsid w:val="FB6920BE"/>
    <w:rsid w:val="FB6DD21B"/>
    <w:rsid w:val="FB6E6F48"/>
    <w:rsid w:val="FB7E6CDD"/>
    <w:rsid w:val="FB7EB3A0"/>
    <w:rsid w:val="FB7F7916"/>
    <w:rsid w:val="FB8F3947"/>
    <w:rsid w:val="FBA975F0"/>
    <w:rsid w:val="FBBAC893"/>
    <w:rsid w:val="FBBD5CD5"/>
    <w:rsid w:val="FBBFEC84"/>
    <w:rsid w:val="FBD3297B"/>
    <w:rsid w:val="FBE6B1AB"/>
    <w:rsid w:val="FBEBF6AD"/>
    <w:rsid w:val="FBF52A0E"/>
    <w:rsid w:val="FBF99293"/>
    <w:rsid w:val="FBFA2EED"/>
    <w:rsid w:val="FBFF75BA"/>
    <w:rsid w:val="FBFFC1F8"/>
    <w:rsid w:val="FCBF4BA6"/>
    <w:rsid w:val="FCCBE321"/>
    <w:rsid w:val="FCDF175B"/>
    <w:rsid w:val="FCDF7769"/>
    <w:rsid w:val="FCEB2B09"/>
    <w:rsid w:val="FCEC32CE"/>
    <w:rsid w:val="FCEF4663"/>
    <w:rsid w:val="FCF756FE"/>
    <w:rsid w:val="FD5B05D6"/>
    <w:rsid w:val="FD6CC9DB"/>
    <w:rsid w:val="FD6DA0D4"/>
    <w:rsid w:val="FD793E05"/>
    <w:rsid w:val="FD7F57AF"/>
    <w:rsid w:val="FD7FC0E7"/>
    <w:rsid w:val="FD8EDD78"/>
    <w:rsid w:val="FDBFE339"/>
    <w:rsid w:val="FDDB55CD"/>
    <w:rsid w:val="FDDF75F2"/>
    <w:rsid w:val="FDDF8FCC"/>
    <w:rsid w:val="FDDFEA7F"/>
    <w:rsid w:val="FDE5B723"/>
    <w:rsid w:val="FDECFAEE"/>
    <w:rsid w:val="FDF1FCDC"/>
    <w:rsid w:val="FDF409C9"/>
    <w:rsid w:val="FDF7E529"/>
    <w:rsid w:val="FDF81C25"/>
    <w:rsid w:val="FDFBBABA"/>
    <w:rsid w:val="FDFD0EB3"/>
    <w:rsid w:val="FDFD17A7"/>
    <w:rsid w:val="FDFF43F4"/>
    <w:rsid w:val="FDFFB273"/>
    <w:rsid w:val="FDFFB3FB"/>
    <w:rsid w:val="FE1BDFD8"/>
    <w:rsid w:val="FE2F1196"/>
    <w:rsid w:val="FE3D2F5E"/>
    <w:rsid w:val="FE4D98F5"/>
    <w:rsid w:val="FE5EB263"/>
    <w:rsid w:val="FE69BB4B"/>
    <w:rsid w:val="FE6E6161"/>
    <w:rsid w:val="FE6FDDAB"/>
    <w:rsid w:val="FE7B170C"/>
    <w:rsid w:val="FE7C6C23"/>
    <w:rsid w:val="FE7EA366"/>
    <w:rsid w:val="FEA7E486"/>
    <w:rsid w:val="FEBFD834"/>
    <w:rsid w:val="FED723D6"/>
    <w:rsid w:val="FEEFB4E3"/>
    <w:rsid w:val="FEF1D68E"/>
    <w:rsid w:val="FEF99BC9"/>
    <w:rsid w:val="FEFAA45D"/>
    <w:rsid w:val="FEFB538E"/>
    <w:rsid w:val="FEFF1536"/>
    <w:rsid w:val="FEFF6888"/>
    <w:rsid w:val="FEFF820C"/>
    <w:rsid w:val="FEFF9908"/>
    <w:rsid w:val="FEFFF482"/>
    <w:rsid w:val="FF1371BA"/>
    <w:rsid w:val="FF2377CB"/>
    <w:rsid w:val="FF2AE1AF"/>
    <w:rsid w:val="FF3CFF8F"/>
    <w:rsid w:val="FF3FA699"/>
    <w:rsid w:val="FF4C7C1A"/>
    <w:rsid w:val="FF6379E8"/>
    <w:rsid w:val="FF6BC836"/>
    <w:rsid w:val="FF6D3C98"/>
    <w:rsid w:val="FF6FB401"/>
    <w:rsid w:val="FF7385A8"/>
    <w:rsid w:val="FF74B1DA"/>
    <w:rsid w:val="FF79BE2E"/>
    <w:rsid w:val="FF7CA8C5"/>
    <w:rsid w:val="FF7E18EB"/>
    <w:rsid w:val="FF7E83B6"/>
    <w:rsid w:val="FF7EDCF2"/>
    <w:rsid w:val="FF7EEBB8"/>
    <w:rsid w:val="FF7F1569"/>
    <w:rsid w:val="FF7F8981"/>
    <w:rsid w:val="FF7F997F"/>
    <w:rsid w:val="FF872AF2"/>
    <w:rsid w:val="FF8A9D25"/>
    <w:rsid w:val="FF8D4193"/>
    <w:rsid w:val="FF8DD6EA"/>
    <w:rsid w:val="FF9A72E3"/>
    <w:rsid w:val="FF9EC42A"/>
    <w:rsid w:val="FF9F447B"/>
    <w:rsid w:val="FF9FEC3B"/>
    <w:rsid w:val="FFAA5A0A"/>
    <w:rsid w:val="FFABB114"/>
    <w:rsid w:val="FFB65348"/>
    <w:rsid w:val="FFB7472C"/>
    <w:rsid w:val="FFBBD7C1"/>
    <w:rsid w:val="FFBEA3C1"/>
    <w:rsid w:val="FFBF44D4"/>
    <w:rsid w:val="FFBF7CEE"/>
    <w:rsid w:val="FFCF2594"/>
    <w:rsid w:val="FFDBE9FF"/>
    <w:rsid w:val="FFDD4FFE"/>
    <w:rsid w:val="FFDF14F7"/>
    <w:rsid w:val="FFDF38F3"/>
    <w:rsid w:val="FFDFEB31"/>
    <w:rsid w:val="FFDFEE0B"/>
    <w:rsid w:val="FFE315D0"/>
    <w:rsid w:val="FFE51C75"/>
    <w:rsid w:val="FFE5AFD9"/>
    <w:rsid w:val="FFEA9A88"/>
    <w:rsid w:val="FFEF2DE1"/>
    <w:rsid w:val="FFEF337A"/>
    <w:rsid w:val="FFEF4130"/>
    <w:rsid w:val="FFEF5862"/>
    <w:rsid w:val="FFEF7A55"/>
    <w:rsid w:val="FFEFB1A3"/>
    <w:rsid w:val="FFEFC5F7"/>
    <w:rsid w:val="FFF354A5"/>
    <w:rsid w:val="FFF50CAF"/>
    <w:rsid w:val="FFF5B12A"/>
    <w:rsid w:val="FFF71E66"/>
    <w:rsid w:val="FFF727E9"/>
    <w:rsid w:val="FFF77054"/>
    <w:rsid w:val="FFF7FD6B"/>
    <w:rsid w:val="FFFAC6B1"/>
    <w:rsid w:val="FFFB0CAF"/>
    <w:rsid w:val="FFFB15FC"/>
    <w:rsid w:val="FFFB37A4"/>
    <w:rsid w:val="FFFB4F13"/>
    <w:rsid w:val="FFFB5416"/>
    <w:rsid w:val="FFFBDF6C"/>
    <w:rsid w:val="FFFBEDD3"/>
    <w:rsid w:val="FFFD3AF9"/>
    <w:rsid w:val="FFFEA549"/>
    <w:rsid w:val="FFFF36ED"/>
    <w:rsid w:val="FFFF4A0D"/>
    <w:rsid w:val="FFFF598C"/>
    <w:rsid w:val="FFFFA3CB"/>
    <w:rsid w:val="FFFFC310"/>
    <w:rsid w:val="FFFFC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lang w:val="zh-CN" w:eastAsia="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paragraph" w:styleId="6">
    <w:name w:val="Document Map"/>
    <w:basedOn w:val="1"/>
    <w:semiHidden/>
    <w:qFormat/>
    <w:uiPriority w:val="0"/>
    <w:pPr>
      <w:shd w:val="clear" w:color="auto" w:fill="000080"/>
    </w:pPr>
  </w:style>
  <w:style w:type="paragraph" w:styleId="7">
    <w:name w:val="annotation text"/>
    <w:basedOn w:val="1"/>
    <w:link w:val="42"/>
    <w:qFormat/>
    <w:uiPriority w:val="99"/>
    <w:pPr>
      <w:jc w:val="left"/>
    </w:pPr>
  </w:style>
  <w:style w:type="paragraph" w:styleId="8">
    <w:name w:val="Body Text"/>
    <w:basedOn w:val="1"/>
    <w:qFormat/>
    <w:uiPriority w:val="0"/>
    <w:pPr>
      <w:adjustRightInd w:val="0"/>
      <w:spacing w:line="360" w:lineRule="exact"/>
      <w:jc w:val="center"/>
    </w:pPr>
    <w:rPr>
      <w:rFonts w:ascii="宋体" w:hAnsi="宋体"/>
      <w:sz w:val="32"/>
      <w:szCs w:val="32"/>
    </w:rPr>
  </w:style>
  <w:style w:type="paragraph" w:styleId="9">
    <w:name w:val="Body Text Indent"/>
    <w:basedOn w:val="1"/>
    <w:qFormat/>
    <w:uiPriority w:val="0"/>
    <w:pPr>
      <w:ind w:right="-38" w:firstLine="403" w:firstLineChars="192"/>
    </w:pPr>
    <w:rPr>
      <w:rFonts w:ascii="宋体" w:hAnsi="宋体"/>
    </w:rPr>
  </w:style>
  <w:style w:type="paragraph" w:styleId="10">
    <w:name w:val="Plain Text"/>
    <w:basedOn w:val="1"/>
    <w:link w:val="32"/>
    <w:qFormat/>
    <w:uiPriority w:val="0"/>
    <w:rPr>
      <w:rFonts w:ascii="宋体" w:hAnsi="Courier New" w:cs="Courier New"/>
      <w:szCs w:val="21"/>
    </w:rPr>
  </w:style>
  <w:style w:type="paragraph" w:styleId="11">
    <w:name w:val="Body Text Indent 2"/>
    <w:basedOn w:val="1"/>
    <w:qFormat/>
    <w:uiPriority w:val="0"/>
    <w:pPr>
      <w:tabs>
        <w:tab w:val="left" w:pos="4320"/>
      </w:tabs>
      <w:ind w:left="8446" w:leftChars="1284" w:hanging="5750"/>
    </w:pPr>
    <w:rPr>
      <w:rFonts w:ascii="宋体"/>
      <w:sz w:val="28"/>
    </w:rPr>
  </w:style>
  <w:style w:type="paragraph" w:styleId="12">
    <w:name w:val="Balloon Text"/>
    <w:basedOn w:val="1"/>
    <w:link w:val="33"/>
    <w:semiHidden/>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1"/>
    <w:qFormat/>
    <w:uiPriority w:val="0"/>
    <w:pPr>
      <w:snapToGrid w:val="0"/>
      <w:jc w:val="left"/>
    </w:pPr>
    <w:rPr>
      <w:sz w:val="18"/>
      <w:szCs w:val="18"/>
    </w:rPr>
  </w:style>
  <w:style w:type="paragraph" w:styleId="16">
    <w:name w:val="Body Text Indent 3"/>
    <w:basedOn w:val="1"/>
    <w:qFormat/>
    <w:uiPriority w:val="0"/>
    <w:pPr>
      <w:autoSpaceDE w:val="0"/>
      <w:autoSpaceDN w:val="0"/>
      <w:adjustRightInd w:val="0"/>
      <w:spacing w:line="360" w:lineRule="auto"/>
      <w:ind w:firstLine="420" w:firstLineChars="200"/>
    </w:pPr>
    <w:rPr>
      <w:rFonts w:ascii="宋体" w:hAnsi="宋体"/>
    </w:rPr>
  </w:style>
  <w:style w:type="paragraph" w:styleId="17">
    <w:name w:val="Body Text 2"/>
    <w:basedOn w:val="1"/>
    <w:qFormat/>
    <w:uiPriority w:val="0"/>
    <w:pPr>
      <w:widowControl/>
      <w:jc w:val="left"/>
    </w:pPr>
    <w:rPr>
      <w:rFonts w:ascii="Arial" w:hAnsi="Arial"/>
      <w:color w:val="0000FF"/>
      <w:szCs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9">
    <w:name w:val="annotation subject"/>
    <w:basedOn w:val="7"/>
    <w:next w:val="7"/>
    <w:link w:val="4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qFormat/>
    <w:uiPriority w:val="99"/>
    <w:rPr>
      <w:sz w:val="21"/>
      <w:szCs w:val="21"/>
    </w:rPr>
  </w:style>
  <w:style w:type="character" w:styleId="27">
    <w:name w:val="footnote reference"/>
    <w:qFormat/>
    <w:uiPriority w:val="0"/>
    <w:rPr>
      <w:vertAlign w:val="superscript"/>
    </w:rPr>
  </w:style>
  <w:style w:type="paragraph" w:customStyle="1" w:styleId="28">
    <w:name w:val="默认段落字体 Para Char Char"/>
    <w:basedOn w:val="1"/>
    <w:qFormat/>
    <w:uiPriority w:val="0"/>
  </w:style>
  <w:style w:type="paragraph" w:customStyle="1" w:styleId="29">
    <w:name w:val="Char Char Char Char"/>
    <w:basedOn w:val="1"/>
    <w:qFormat/>
    <w:uiPriority w:val="0"/>
    <w:pPr>
      <w:autoSpaceDE w:val="0"/>
      <w:autoSpaceDN w:val="0"/>
    </w:pPr>
    <w:rPr>
      <w:rFonts w:ascii="Tahoma" w:hAnsi="Tahoma"/>
      <w:sz w:val="24"/>
      <w:szCs w:val="20"/>
    </w:rPr>
  </w:style>
  <w:style w:type="character" w:customStyle="1" w:styleId="30">
    <w:name w:val="页眉 Char"/>
    <w:link w:val="14"/>
    <w:qFormat/>
    <w:locked/>
    <w:uiPriority w:val="0"/>
    <w:rPr>
      <w:rFonts w:eastAsia="宋体"/>
      <w:kern w:val="2"/>
      <w:sz w:val="18"/>
      <w:szCs w:val="18"/>
      <w:lang w:val="en-US" w:eastAsia="zh-CN" w:bidi="ar-SA"/>
    </w:rPr>
  </w:style>
  <w:style w:type="character" w:customStyle="1" w:styleId="31">
    <w:name w:val="页脚 Char"/>
    <w:link w:val="13"/>
    <w:qFormat/>
    <w:uiPriority w:val="0"/>
    <w:rPr>
      <w:rFonts w:eastAsia="宋体"/>
      <w:kern w:val="2"/>
      <w:sz w:val="18"/>
      <w:szCs w:val="18"/>
      <w:lang w:val="en-US" w:eastAsia="zh-CN" w:bidi="ar-SA"/>
    </w:rPr>
  </w:style>
  <w:style w:type="character" w:customStyle="1" w:styleId="32">
    <w:name w:val="纯文本 Char"/>
    <w:link w:val="10"/>
    <w:qFormat/>
    <w:uiPriority w:val="0"/>
    <w:rPr>
      <w:rFonts w:ascii="宋体" w:hAnsi="Courier New" w:eastAsia="宋体" w:cs="Courier New"/>
      <w:kern w:val="2"/>
      <w:sz w:val="21"/>
      <w:szCs w:val="21"/>
      <w:lang w:val="en-US" w:eastAsia="zh-CN" w:bidi="ar-SA"/>
    </w:rPr>
  </w:style>
  <w:style w:type="character" w:customStyle="1" w:styleId="33">
    <w:name w:val="批注框文本 Char"/>
    <w:link w:val="12"/>
    <w:semiHidden/>
    <w:qFormat/>
    <w:uiPriority w:val="0"/>
    <w:rPr>
      <w:rFonts w:eastAsia="宋体"/>
      <w:kern w:val="2"/>
      <w:sz w:val="18"/>
      <w:szCs w:val="18"/>
      <w:lang w:val="en-US" w:eastAsia="zh-CN" w:bidi="ar-SA"/>
    </w:rPr>
  </w:style>
  <w:style w:type="paragraph" w:customStyle="1" w:styleId="34">
    <w:name w:val="Char Char Char Char Char Char Char Char Char Char Char Char1 Char Char Char Char"/>
    <w:basedOn w:val="1"/>
    <w:qFormat/>
    <w:uiPriority w:val="0"/>
    <w:pPr>
      <w:tabs>
        <w:tab w:val="left" w:pos="432"/>
      </w:tabs>
      <w:spacing w:line="400" w:lineRule="exact"/>
      <w:ind w:left="432" w:hanging="432"/>
    </w:pPr>
  </w:style>
  <w:style w:type="paragraph" w:customStyle="1" w:styleId="35">
    <w:name w:val="内文文字"/>
    <w:qFormat/>
    <w:uiPriority w:val="0"/>
    <w:pPr>
      <w:widowControl w:val="0"/>
      <w:autoSpaceDE w:val="0"/>
      <w:autoSpaceDN w:val="0"/>
      <w:adjustRightInd w:val="0"/>
      <w:spacing w:line="290" w:lineRule="atLeast"/>
      <w:ind w:firstLine="397"/>
      <w:jc w:val="both"/>
    </w:pPr>
    <w:rPr>
      <w:rFonts w:hint="eastAsia" w:ascii="汉仪书宋一简" w:hAnsi="Times New Roman" w:eastAsia="汉仪书宋一简" w:cs="Times New Roman"/>
      <w:color w:val="000000"/>
      <w:sz w:val="18"/>
      <w:lang w:val="en-US" w:eastAsia="zh-CN" w:bidi="ar-SA"/>
    </w:rPr>
  </w:style>
  <w:style w:type="paragraph" w:customStyle="1" w:styleId="36">
    <w:name w:val="列出段落1"/>
    <w:basedOn w:val="1"/>
    <w:qFormat/>
    <w:uiPriority w:val="0"/>
    <w:pPr>
      <w:ind w:firstLine="420" w:firstLineChars="200"/>
    </w:pPr>
    <w:rPr>
      <w:rFonts w:ascii="Calibri" w:hAnsi="Calibri"/>
      <w:szCs w:val="22"/>
    </w:rPr>
  </w:style>
  <w:style w:type="paragraph" w:customStyle="1" w:styleId="37">
    <w:name w:val="Char Char8"/>
    <w:basedOn w:val="1"/>
    <w:qFormat/>
    <w:uiPriority w:val="0"/>
    <w:pPr>
      <w:autoSpaceDE w:val="0"/>
      <w:autoSpaceDN w:val="0"/>
    </w:pPr>
    <w:rPr>
      <w:rFonts w:ascii="Tahoma" w:hAnsi="Tahoma"/>
      <w:sz w:val="24"/>
      <w:szCs w:val="20"/>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p0"/>
    <w:basedOn w:val="1"/>
    <w:qFormat/>
    <w:uiPriority w:val="0"/>
    <w:pPr>
      <w:widowControl/>
    </w:pPr>
    <w:rPr>
      <w:rFonts w:ascii="Calibri" w:hAnsi="Calibri" w:cs="宋体"/>
      <w:kern w:val="0"/>
      <w:szCs w:val="21"/>
    </w:rPr>
  </w:style>
  <w:style w:type="character" w:customStyle="1" w:styleId="40">
    <w:name w:val="标题 1 Char"/>
    <w:link w:val="3"/>
    <w:qFormat/>
    <w:uiPriority w:val="0"/>
    <w:rPr>
      <w:b/>
      <w:bCs/>
      <w:kern w:val="44"/>
      <w:sz w:val="44"/>
      <w:szCs w:val="44"/>
    </w:rPr>
  </w:style>
  <w:style w:type="character" w:customStyle="1" w:styleId="41">
    <w:name w:val="脚注文本 Char"/>
    <w:link w:val="15"/>
    <w:qFormat/>
    <w:uiPriority w:val="0"/>
    <w:rPr>
      <w:kern w:val="2"/>
      <w:sz w:val="18"/>
      <w:szCs w:val="18"/>
    </w:rPr>
  </w:style>
  <w:style w:type="character" w:customStyle="1" w:styleId="42">
    <w:name w:val="批注文字 Char"/>
    <w:link w:val="7"/>
    <w:qFormat/>
    <w:uiPriority w:val="99"/>
    <w:rPr>
      <w:kern w:val="2"/>
      <w:sz w:val="21"/>
      <w:szCs w:val="24"/>
    </w:rPr>
  </w:style>
  <w:style w:type="character" w:customStyle="1" w:styleId="43">
    <w:name w:val="MTConvertedEquation"/>
    <w:qFormat/>
    <w:uiPriority w:val="0"/>
    <w:rPr>
      <w:spacing w:val="8"/>
      <w:sz w:val="28"/>
      <w:szCs w:val="28"/>
    </w:rPr>
  </w:style>
  <w:style w:type="character" w:customStyle="1" w:styleId="44">
    <w:name w:val="批注主题 Char"/>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home\kylin\D:\home\kylin\.config\browser360\Default\DirectOpenDownloadCache\D:\home\kylin\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NBS</Company>
  <Pages>99</Pages>
  <Words>4778</Words>
  <Characters>5477</Characters>
  <Lines>242</Lines>
  <Paragraphs>225</Paragraphs>
  <TotalTime>40</TotalTime>
  <ScaleCrop>false</ScaleCrop>
  <LinksUpToDate>false</LinksUpToDate>
  <CharactersWithSpaces>5544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2020-11-23T08:51:00Z</dcterms:created>
  <dc:creator>孙庆国(修改)</dc:creator>
  <cp:lastModifiedBy>政府值班室</cp:lastModifiedBy>
  <cp:lastPrinted>2025-10-31T01:50:00Z</cp:lastPrinted>
  <dcterms:modified xsi:type="dcterms:W3CDTF">2026-04-30T08:37:12Z</dcterms:modified>
  <dc:title>目    录</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CF1E94145B307367B3FA3B677B93D366</vt:lpwstr>
  </property>
  <property fmtid="{D5CDD505-2E9C-101B-9397-08002B2CF9AE}" pid="5" name="KSOTemplateDocerSaveRecord">
    <vt:lpwstr>eyJoZGlkIjoiZjQ0ZjJhYzMyN2U5NjMzMmY5Y2RjODQ4OGU5ZWMxZGQiLCJ1c2VySWQiOiI4MDkwNzQxNzgifQ==</vt:lpwstr>
  </property>
</Properties>
</file>