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charts/colors7.xml" ContentType="application/vnd.ms-office.chartcolorstyle+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olors5.xml" ContentType="application/vnd.ms-office.chartcolorstyle+xml"/>
  <Override PartName="/word/charts/colors6.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4.xml" ContentType="application/vnd.ms-office.chartcolorstyle+xml"/>
  <Override PartName="/word/charts/colors3.xml" ContentType="application/vnd.ms-office.chartcolorstyle+xml"/>
  <Override PartName="/word/charts/style6.xml" ContentType="application/vnd.ms-office.chartstyle+xml"/>
  <Override PartName="/word/charts/style7.xml" ContentType="application/vnd.ms-office.chart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charts/style5.xml" ContentType="application/vnd.ms-office.chartstyle+xml"/>
  <Override PartName="/word/charts/style4.xml" ContentType="application/vnd.ms-office.chartstyle+xml"/>
  <Override PartName="/word/charts/style3.xml" ContentType="application/vnd.ms-office.chart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DD" w:rsidRDefault="009229DD">
      <w:pPr>
        <w:spacing w:line="600" w:lineRule="exact"/>
        <w:jc w:val="center"/>
        <w:outlineLvl w:val="0"/>
        <w:rPr>
          <w:rFonts w:ascii="方正小标宋简体" w:eastAsia="方正小标宋简体" w:hAnsi="宋体" w:hint="eastAsia"/>
          <w:color w:val="000000"/>
          <w:sz w:val="72"/>
          <w:szCs w:val="72"/>
        </w:rPr>
      </w:pPr>
      <w:bookmarkStart w:id="0" w:name="_Toc15306267"/>
    </w:p>
    <w:p w:rsidR="009229DD" w:rsidRDefault="009229DD">
      <w:pPr>
        <w:spacing w:line="600" w:lineRule="exact"/>
        <w:jc w:val="center"/>
        <w:outlineLvl w:val="0"/>
        <w:rPr>
          <w:rFonts w:ascii="方正小标宋简体" w:eastAsia="方正小标宋简体" w:hAnsi="宋体"/>
          <w:color w:val="000000"/>
          <w:sz w:val="72"/>
          <w:szCs w:val="72"/>
        </w:rPr>
      </w:pPr>
    </w:p>
    <w:p w:rsidR="009229DD" w:rsidRDefault="009229DD">
      <w:pPr>
        <w:spacing w:line="600" w:lineRule="exact"/>
        <w:jc w:val="center"/>
        <w:outlineLvl w:val="0"/>
        <w:rPr>
          <w:rFonts w:ascii="方正小标宋简体" w:eastAsia="方正小标宋简体" w:hAnsi="宋体"/>
          <w:color w:val="000000"/>
          <w:sz w:val="72"/>
          <w:szCs w:val="72"/>
        </w:rPr>
      </w:pPr>
    </w:p>
    <w:p w:rsidR="009229DD" w:rsidRDefault="009229DD">
      <w:pPr>
        <w:spacing w:line="600" w:lineRule="exact"/>
        <w:jc w:val="center"/>
        <w:outlineLvl w:val="0"/>
        <w:rPr>
          <w:rFonts w:ascii="方正小标宋简体" w:eastAsia="方正小标宋简体" w:hAnsi="宋体"/>
          <w:color w:val="000000"/>
          <w:sz w:val="72"/>
          <w:szCs w:val="72"/>
        </w:rPr>
      </w:pPr>
    </w:p>
    <w:p w:rsidR="009229DD" w:rsidRDefault="00E14845">
      <w:pPr>
        <w:adjustRightInd w:val="0"/>
        <w:snapToGrid w:val="0"/>
        <w:spacing w:line="360" w:lineRule="auto"/>
        <w:jc w:val="center"/>
        <w:outlineLvl w:val="0"/>
        <w:rPr>
          <w:rFonts w:ascii="方正小标宋简体" w:eastAsia="方正小标宋简体" w:hAnsi="宋体"/>
          <w:color w:val="000000"/>
          <w:sz w:val="52"/>
          <w:szCs w:val="52"/>
        </w:rPr>
      </w:pPr>
      <w:bookmarkStart w:id="1" w:name="_Toc15377425"/>
      <w:bookmarkStart w:id="2" w:name="_Toc15377193"/>
      <w:bookmarkStart w:id="3" w:name="_Toc15378441"/>
      <w:bookmarkStart w:id="4" w:name="_Toc15396475"/>
      <w:bookmarkStart w:id="5" w:name="_Toc15396597"/>
      <w:r>
        <w:rPr>
          <w:rFonts w:ascii="黑体" w:eastAsia="黑体" w:hAnsi="黑体"/>
          <w:color w:val="000000"/>
          <w:sz w:val="52"/>
          <w:szCs w:val="52"/>
        </w:rPr>
        <w:t>201</w:t>
      </w:r>
      <w:r>
        <w:rPr>
          <w:rFonts w:ascii="黑体" w:eastAsia="黑体" w:hAnsi="黑体" w:hint="eastAsia"/>
          <w:color w:val="000000"/>
          <w:sz w:val="52"/>
          <w:szCs w:val="52"/>
        </w:rPr>
        <w:t>9</w:t>
      </w:r>
      <w:r>
        <w:rPr>
          <w:rFonts w:ascii="方正小标宋简体" w:eastAsia="方正小标宋简体" w:hAnsi="宋体" w:hint="eastAsia"/>
          <w:color w:val="000000"/>
          <w:sz w:val="52"/>
          <w:szCs w:val="52"/>
        </w:rPr>
        <w:t>年度</w:t>
      </w:r>
      <w:bookmarkEnd w:id="1"/>
      <w:bookmarkEnd w:id="2"/>
      <w:bookmarkEnd w:id="3"/>
      <w:bookmarkEnd w:id="4"/>
      <w:bookmarkEnd w:id="5"/>
    </w:p>
    <w:p w:rsidR="009229DD" w:rsidRDefault="00E14845">
      <w:pPr>
        <w:adjustRightInd w:val="0"/>
        <w:snapToGrid w:val="0"/>
        <w:spacing w:line="360" w:lineRule="auto"/>
        <w:jc w:val="center"/>
        <w:outlineLvl w:val="0"/>
        <w:rPr>
          <w:rFonts w:ascii="方正小标宋简体" w:eastAsia="方正小标宋简体" w:hAnsi="宋体"/>
          <w:color w:val="000000"/>
          <w:sz w:val="52"/>
          <w:szCs w:val="52"/>
        </w:rPr>
      </w:pPr>
      <w:bookmarkStart w:id="6" w:name="_Toc15377194"/>
      <w:bookmarkStart w:id="7" w:name="_Toc15306268"/>
      <w:bookmarkStart w:id="8" w:name="_Toc15378442"/>
      <w:bookmarkStart w:id="9" w:name="_Toc15377426"/>
      <w:bookmarkStart w:id="10" w:name="_Toc15396598"/>
      <w:bookmarkStart w:id="11" w:name="_Toc15396476"/>
      <w:bookmarkEnd w:id="0"/>
      <w:r>
        <w:rPr>
          <w:rFonts w:ascii="方正小标宋简体" w:eastAsia="方正小标宋简体" w:hAnsi="宋体" w:hint="eastAsia"/>
          <w:color w:val="000000"/>
          <w:sz w:val="52"/>
          <w:szCs w:val="52"/>
        </w:rPr>
        <w:t>邻水县交通运输局</w:t>
      </w:r>
    </w:p>
    <w:p w:rsidR="009229DD" w:rsidRDefault="00E14845">
      <w:pPr>
        <w:adjustRightInd w:val="0"/>
        <w:snapToGrid w:val="0"/>
        <w:spacing w:line="360" w:lineRule="auto"/>
        <w:jc w:val="center"/>
        <w:outlineLvl w:val="0"/>
        <w:rPr>
          <w:rFonts w:ascii="方正小标宋简体" w:eastAsia="方正小标宋简体" w:hAnsi="宋体"/>
          <w:color w:val="000000"/>
          <w:sz w:val="48"/>
          <w:szCs w:val="48"/>
        </w:rPr>
      </w:pPr>
      <w:r>
        <w:rPr>
          <w:rFonts w:ascii="方正小标宋简体" w:eastAsia="方正小标宋简体" w:hAnsi="宋体" w:hint="eastAsia"/>
          <w:color w:val="000000"/>
          <w:sz w:val="52"/>
          <w:szCs w:val="52"/>
        </w:rPr>
        <w:t>部门决算</w:t>
      </w:r>
      <w:bookmarkEnd w:id="6"/>
      <w:bookmarkEnd w:id="7"/>
      <w:bookmarkEnd w:id="8"/>
      <w:bookmarkEnd w:id="9"/>
      <w:bookmarkEnd w:id="10"/>
      <w:bookmarkEnd w:id="11"/>
      <w:r>
        <w:rPr>
          <w:rFonts w:ascii="方正小标宋简体" w:eastAsia="方正小标宋简体" w:hAnsi="宋体" w:hint="eastAsia"/>
          <w:color w:val="000000"/>
          <w:sz w:val="52"/>
          <w:szCs w:val="52"/>
        </w:rPr>
        <w:t>编制说明</w:t>
      </w:r>
    </w:p>
    <w:p w:rsidR="009229DD" w:rsidRDefault="00E14845">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9229DD" w:rsidRDefault="00343211">
      <w:pPr>
        <w:widowControl/>
        <w:jc w:val="center"/>
        <w:rPr>
          <w:rFonts w:ascii="黑体" w:eastAsia="黑体" w:hAnsi="黑体" w:cstheme="minorBidi"/>
          <w:sz w:val="28"/>
          <w:szCs w:val="28"/>
        </w:rPr>
      </w:pPr>
      <w:r w:rsidRPr="00343211">
        <w:rPr>
          <w:rFonts w:ascii="黑体" w:eastAsia="黑体" w:hAnsi="黑体"/>
          <w:color w:val="000000"/>
          <w:sz w:val="48"/>
          <w:szCs w:val="48"/>
        </w:rPr>
        <w:fldChar w:fldCharType="begin"/>
      </w:r>
      <w:r w:rsidR="00E14845">
        <w:rPr>
          <w:rFonts w:ascii="黑体" w:eastAsia="黑体" w:hAnsi="黑体"/>
          <w:color w:val="000000"/>
          <w:sz w:val="48"/>
          <w:szCs w:val="48"/>
        </w:rPr>
        <w:instrText xml:space="preserve"> TOC \o "1-2" \h \z \u </w:instrText>
      </w:r>
      <w:r w:rsidRPr="00343211">
        <w:rPr>
          <w:rFonts w:ascii="黑体" w:eastAsia="黑体" w:hAnsi="黑体"/>
          <w:color w:val="000000"/>
          <w:sz w:val="48"/>
          <w:szCs w:val="48"/>
        </w:rPr>
        <w:fldChar w:fldCharType="separate"/>
      </w:r>
    </w:p>
    <w:p w:rsidR="009229DD" w:rsidRDefault="00E14845">
      <w:pPr>
        <w:pStyle w:val="10"/>
        <w:rPr>
          <w:color w:val="C00000"/>
        </w:rPr>
      </w:pPr>
      <w:r>
        <w:rPr>
          <w:rFonts w:hint="eastAsia"/>
        </w:rPr>
        <w:t>公开时间：2020年8月20日</w:t>
      </w:r>
    </w:p>
    <w:p w:rsidR="009229DD" w:rsidRDefault="00343211">
      <w:pPr>
        <w:pStyle w:val="10"/>
        <w:rPr>
          <w:rFonts w:cstheme="minorBidi"/>
        </w:rPr>
      </w:pPr>
      <w:hyperlink w:anchor="_Toc15396599" w:history="1">
        <w:r w:rsidR="00E14845">
          <w:rPr>
            <w:rStyle w:val="a9"/>
            <w:rFonts w:hint="eastAsia"/>
          </w:rPr>
          <w:t>第一部分部门概况</w:t>
        </w:r>
        <w:r w:rsidR="00E14845">
          <w:tab/>
        </w:r>
        <w:r w:rsidR="00E14845">
          <w:rPr>
            <w:rFonts w:hint="eastAsia"/>
          </w:rPr>
          <w:t>4</w:t>
        </w:r>
      </w:hyperlink>
    </w:p>
    <w:p w:rsidR="009229DD" w:rsidRDefault="00343211">
      <w:pPr>
        <w:pStyle w:val="20"/>
        <w:rPr>
          <w:rFonts w:ascii="仿宋" w:eastAsia="仿宋" w:hAnsi="仿宋" w:cstheme="minorBidi"/>
          <w:sz w:val="28"/>
          <w:szCs w:val="28"/>
        </w:rPr>
      </w:pPr>
      <w:hyperlink w:anchor="_Toc15396600" w:history="1">
        <w:r w:rsidR="00E14845">
          <w:rPr>
            <w:rStyle w:val="a9"/>
            <w:rFonts w:ascii="仿宋" w:eastAsia="仿宋" w:hAnsi="仿宋" w:hint="eastAsia"/>
            <w:sz w:val="28"/>
            <w:szCs w:val="28"/>
          </w:rPr>
          <w:t>一、基本职能及主要工作</w:t>
        </w:r>
        <w:r w:rsidR="00E14845">
          <w:rPr>
            <w:rFonts w:ascii="仿宋" w:eastAsia="仿宋" w:hAnsi="仿宋"/>
            <w:sz w:val="28"/>
            <w:szCs w:val="28"/>
          </w:rPr>
          <w:tab/>
        </w:r>
        <w:r w:rsidR="00E14845">
          <w:rPr>
            <w:rFonts w:ascii="仿宋" w:eastAsia="仿宋" w:hAnsi="仿宋" w:hint="eastAsia"/>
            <w:sz w:val="28"/>
            <w:szCs w:val="28"/>
          </w:rPr>
          <w:t>4</w:t>
        </w:r>
      </w:hyperlink>
    </w:p>
    <w:p w:rsidR="009229DD" w:rsidRDefault="00343211">
      <w:pPr>
        <w:pStyle w:val="20"/>
        <w:rPr>
          <w:rFonts w:ascii="仿宋" w:eastAsia="仿宋" w:hAnsi="仿宋" w:cstheme="minorBidi"/>
          <w:sz w:val="28"/>
          <w:szCs w:val="28"/>
        </w:rPr>
      </w:pPr>
      <w:hyperlink w:anchor="_Toc15396601" w:history="1">
        <w:r w:rsidR="00E14845">
          <w:rPr>
            <w:rStyle w:val="a9"/>
            <w:rFonts w:ascii="仿宋" w:eastAsia="仿宋" w:hAnsi="仿宋" w:hint="eastAsia"/>
            <w:sz w:val="28"/>
            <w:szCs w:val="28"/>
          </w:rPr>
          <w:t>二、机构设置</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_Toc15396601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4</w:t>
        </w:r>
        <w:r>
          <w:rPr>
            <w:rFonts w:ascii="仿宋" w:eastAsia="仿宋" w:hAnsi="仿宋"/>
            <w:sz w:val="28"/>
            <w:szCs w:val="28"/>
          </w:rPr>
          <w:fldChar w:fldCharType="end"/>
        </w:r>
      </w:hyperlink>
    </w:p>
    <w:p w:rsidR="009229DD" w:rsidRDefault="00343211">
      <w:pPr>
        <w:pStyle w:val="10"/>
      </w:pPr>
      <w:hyperlink w:anchor="_Toc15396602" w:history="1">
        <w:r w:rsidR="00E14845">
          <w:rPr>
            <w:rStyle w:val="a9"/>
            <w:rFonts w:hint="eastAsia"/>
          </w:rPr>
          <w:t>第二部分</w:t>
        </w:r>
        <w:r w:rsidR="00E14845">
          <w:rPr>
            <w:rStyle w:val="a9"/>
          </w:rPr>
          <w:t xml:space="preserve"> 201</w:t>
        </w:r>
        <w:r w:rsidR="00E14845">
          <w:rPr>
            <w:rStyle w:val="a9"/>
            <w:rFonts w:hint="eastAsia"/>
          </w:rPr>
          <w:t>9年度部门决算情况说明</w:t>
        </w:r>
        <w:r w:rsidR="00E14845">
          <w:tab/>
        </w:r>
        <w:r>
          <w:fldChar w:fldCharType="begin"/>
        </w:r>
        <w:r w:rsidR="00E14845">
          <w:instrText xml:space="preserve"> PAGEREF _Toc15396602 \h </w:instrText>
        </w:r>
        <w:r>
          <w:fldChar w:fldCharType="separate"/>
        </w:r>
        <w:r w:rsidR="00E14845">
          <w:t>5</w:t>
        </w:r>
        <w:r>
          <w:fldChar w:fldCharType="end"/>
        </w:r>
      </w:hyperlink>
    </w:p>
    <w:p w:rsidR="009229DD" w:rsidRDefault="00343211">
      <w:pPr>
        <w:pStyle w:val="20"/>
        <w:rPr>
          <w:rFonts w:ascii="仿宋" w:eastAsia="仿宋" w:hAnsi="仿宋" w:cstheme="minorBidi"/>
          <w:sz w:val="28"/>
          <w:szCs w:val="28"/>
        </w:rPr>
      </w:pPr>
      <w:hyperlink w:anchor="_Toc15396603" w:history="1">
        <w:r w:rsidR="00E14845">
          <w:rPr>
            <w:rStyle w:val="a9"/>
            <w:rFonts w:ascii="仿宋" w:eastAsia="仿宋" w:hAnsi="仿宋" w:cstheme="majorBidi" w:hint="eastAsia"/>
            <w:bCs/>
            <w:sz w:val="28"/>
            <w:szCs w:val="28"/>
          </w:rPr>
          <w:t>一、</w:t>
        </w:r>
        <w:r w:rsidR="00E14845">
          <w:rPr>
            <w:rStyle w:val="a9"/>
            <w:rFonts w:ascii="仿宋" w:eastAsia="仿宋" w:hAnsi="仿宋" w:hint="eastAsia"/>
            <w:sz w:val="28"/>
            <w:szCs w:val="28"/>
          </w:rPr>
          <w:t>收</w:t>
        </w:r>
        <w:r w:rsidR="00E14845">
          <w:rPr>
            <w:rStyle w:val="a9"/>
            <w:rFonts w:ascii="仿宋" w:eastAsia="仿宋" w:hAnsi="仿宋" w:cstheme="majorBidi" w:hint="eastAsia"/>
            <w:bCs/>
            <w:sz w:val="28"/>
            <w:szCs w:val="28"/>
          </w:rPr>
          <w:t>入支出决算总体情况说明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_Toc15396603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5</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4" w:history="1">
        <w:r w:rsidR="00E14845">
          <w:rPr>
            <w:rStyle w:val="a9"/>
            <w:rFonts w:ascii="仿宋" w:eastAsia="仿宋" w:hAnsi="仿宋" w:cstheme="majorBidi" w:hint="eastAsia"/>
            <w:bCs/>
            <w:sz w:val="28"/>
            <w:szCs w:val="28"/>
          </w:rPr>
          <w:t>二、</w:t>
        </w:r>
        <w:r w:rsidR="00E14845">
          <w:rPr>
            <w:rStyle w:val="a9"/>
            <w:rFonts w:ascii="仿宋" w:eastAsia="仿宋" w:hAnsi="仿宋" w:hint="eastAsia"/>
            <w:sz w:val="28"/>
            <w:szCs w:val="28"/>
          </w:rPr>
          <w:t>收</w:t>
        </w:r>
        <w:r w:rsidR="00E14845">
          <w:rPr>
            <w:rStyle w:val="a9"/>
            <w:rFonts w:ascii="仿宋" w:eastAsia="仿宋" w:hAnsi="仿宋" w:cstheme="majorBidi" w:hint="eastAsia"/>
            <w:bCs/>
            <w:sz w:val="28"/>
            <w:szCs w:val="28"/>
          </w:rPr>
          <w:t>入决算情况说明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_Toc15396604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5</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5" w:history="1">
        <w:r w:rsidR="00E14845">
          <w:rPr>
            <w:rStyle w:val="a9"/>
            <w:rFonts w:ascii="仿宋" w:eastAsia="仿宋" w:hAnsi="仿宋" w:cstheme="majorBidi" w:hint="eastAsia"/>
            <w:bCs/>
            <w:sz w:val="28"/>
            <w:szCs w:val="28"/>
          </w:rPr>
          <w:t>三、</w:t>
        </w:r>
        <w:r w:rsidR="00E14845">
          <w:rPr>
            <w:rStyle w:val="a9"/>
            <w:rFonts w:ascii="仿宋" w:eastAsia="仿宋" w:hAnsi="仿宋" w:hint="eastAsia"/>
            <w:sz w:val="28"/>
            <w:szCs w:val="28"/>
          </w:rPr>
          <w:t>支</w:t>
        </w:r>
        <w:r w:rsidR="00E14845">
          <w:rPr>
            <w:rStyle w:val="a9"/>
            <w:rFonts w:ascii="仿宋" w:eastAsia="仿宋" w:hAnsi="仿宋" w:cstheme="majorBidi" w:hint="eastAsia"/>
            <w:bCs/>
            <w:sz w:val="28"/>
            <w:szCs w:val="28"/>
          </w:rPr>
          <w:t>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_Toc15396605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5</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6" w:history="1">
        <w:r w:rsidR="00E14845">
          <w:rPr>
            <w:rStyle w:val="a9"/>
            <w:rFonts w:ascii="仿宋" w:eastAsia="仿宋" w:hAnsi="仿宋" w:hint="eastAsia"/>
            <w:sz w:val="28"/>
            <w:szCs w:val="28"/>
          </w:rPr>
          <w:t>四、财</w:t>
        </w:r>
        <w:r w:rsidR="00E14845">
          <w:rPr>
            <w:rStyle w:val="a9"/>
            <w:rFonts w:ascii="仿宋" w:eastAsia="仿宋" w:hAnsi="仿宋" w:cstheme="majorBidi" w:hint="eastAsia"/>
            <w:bCs/>
            <w:sz w:val="28"/>
            <w:szCs w:val="28"/>
          </w:rPr>
          <w:t>政拨款收入支出决算总体情况说明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_Toc15396606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6</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7" w:history="1">
        <w:r w:rsidR="00E14845">
          <w:rPr>
            <w:rStyle w:val="a9"/>
            <w:rFonts w:ascii="仿宋" w:eastAsia="仿宋" w:hAnsi="仿宋" w:hint="eastAsia"/>
            <w:sz w:val="28"/>
            <w:szCs w:val="28"/>
          </w:rPr>
          <w:t>五、一</w:t>
        </w:r>
        <w:r w:rsidR="00E14845">
          <w:rPr>
            <w:rStyle w:val="a9"/>
            <w:rFonts w:ascii="仿宋" w:eastAsia="仿宋" w:hAnsi="仿宋" w:cstheme="majorBidi" w:hint="eastAsia"/>
            <w:bCs/>
            <w:sz w:val="28"/>
            <w:szCs w:val="28"/>
          </w:rPr>
          <w:t>般公共预算财政拨款支出决算情况说明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_Toc15396607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6</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8" w:history="1">
        <w:r w:rsidR="00E14845">
          <w:rPr>
            <w:rStyle w:val="a9"/>
            <w:rFonts w:ascii="仿宋" w:eastAsia="仿宋" w:hAnsi="仿宋" w:hint="eastAsia"/>
            <w:sz w:val="28"/>
            <w:szCs w:val="28"/>
          </w:rPr>
          <w:t>六、一</w:t>
        </w:r>
        <w:r w:rsidR="00E14845">
          <w:rPr>
            <w:rStyle w:val="a9"/>
            <w:rFonts w:ascii="仿宋" w:eastAsia="仿宋" w:hAnsi="仿宋" w:cstheme="majorBidi" w:hint="eastAsia"/>
            <w:bCs/>
            <w:sz w:val="28"/>
            <w:szCs w:val="28"/>
          </w:rPr>
          <w:t>般公共预算财政拨款基本支出决算情况说明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_Toc15396608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8</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09" w:history="1">
        <w:r w:rsidR="00E14845">
          <w:rPr>
            <w:rStyle w:val="a9"/>
            <w:rFonts w:ascii="仿宋" w:eastAsia="仿宋" w:hAnsi="仿宋" w:hint="eastAsia"/>
            <w:sz w:val="28"/>
            <w:szCs w:val="28"/>
          </w:rPr>
          <w:t>七、</w:t>
        </w:r>
        <w:r w:rsidR="00E14845">
          <w:rPr>
            <w:rStyle w:val="a9"/>
            <w:rFonts w:ascii="仿宋" w:eastAsia="仿宋" w:hAnsi="仿宋"/>
            <w:sz w:val="28"/>
            <w:szCs w:val="28"/>
          </w:rPr>
          <w:t>“</w:t>
        </w:r>
        <w:r w:rsidR="00E14845">
          <w:rPr>
            <w:rStyle w:val="a9"/>
            <w:rFonts w:ascii="仿宋" w:eastAsia="仿宋" w:hAnsi="仿宋" w:cstheme="majorBidi" w:hint="eastAsia"/>
            <w:bCs/>
            <w:sz w:val="28"/>
            <w:szCs w:val="28"/>
          </w:rPr>
          <w:t>三公”经费财政拨款支出决算情况说明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_Toc15396609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9</w:t>
        </w:r>
        <w:r>
          <w:rPr>
            <w:rFonts w:ascii="仿宋" w:eastAsia="仿宋" w:hAnsi="仿宋"/>
            <w:sz w:val="28"/>
            <w:szCs w:val="28"/>
          </w:rPr>
          <w:fldChar w:fldCharType="end"/>
        </w:r>
      </w:hyperlink>
    </w:p>
    <w:p w:rsidR="009229DD" w:rsidRDefault="00343211">
      <w:pPr>
        <w:pStyle w:val="20"/>
        <w:rPr>
          <w:rFonts w:ascii="仿宋" w:eastAsia="仿宋" w:hAnsi="仿宋" w:cstheme="minorBidi"/>
          <w:sz w:val="28"/>
          <w:szCs w:val="28"/>
        </w:rPr>
      </w:pPr>
      <w:hyperlink w:anchor="_Toc15396610" w:history="1">
        <w:r w:rsidR="00E14845">
          <w:rPr>
            <w:rStyle w:val="a9"/>
            <w:rFonts w:ascii="仿宋" w:eastAsia="仿宋" w:hAnsi="仿宋" w:hint="eastAsia"/>
            <w:sz w:val="28"/>
            <w:szCs w:val="28"/>
          </w:rPr>
          <w:t>八、</w:t>
        </w:r>
        <w:r w:rsidR="00E14845">
          <w:rPr>
            <w:rStyle w:val="a9"/>
            <w:rFonts w:ascii="仿宋" w:eastAsia="仿宋" w:hAnsi="仿宋" w:cstheme="majorBidi" w:hint="eastAsia"/>
            <w:bCs/>
            <w:sz w:val="28"/>
            <w:szCs w:val="28"/>
          </w:rPr>
          <w:t>政府性基金预算支出决算情况说明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_Toc15396610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10</w:t>
        </w:r>
        <w:r>
          <w:rPr>
            <w:rFonts w:ascii="仿宋" w:eastAsia="仿宋" w:hAnsi="仿宋"/>
            <w:sz w:val="28"/>
            <w:szCs w:val="28"/>
          </w:rPr>
          <w:fldChar w:fldCharType="end"/>
        </w:r>
      </w:hyperlink>
    </w:p>
    <w:p w:rsidR="009229DD" w:rsidRDefault="00343211">
      <w:pPr>
        <w:pStyle w:val="20"/>
        <w:rPr>
          <w:rFonts w:ascii="仿宋" w:eastAsia="仿宋" w:hAnsi="仿宋"/>
          <w:sz w:val="28"/>
          <w:szCs w:val="28"/>
        </w:rPr>
      </w:pPr>
      <w:hyperlink w:anchor="_Toc15396611" w:history="1">
        <w:r w:rsidR="00E14845">
          <w:rPr>
            <w:rStyle w:val="a9"/>
            <w:rFonts w:ascii="仿宋" w:eastAsia="仿宋" w:hAnsi="仿宋" w:cstheme="majorBidi" w:hint="eastAsia"/>
            <w:bCs/>
            <w:sz w:val="28"/>
            <w:szCs w:val="28"/>
          </w:rPr>
          <w:t>九、</w:t>
        </w:r>
        <w:r w:rsidR="00E14845">
          <w:rPr>
            <w:rStyle w:val="a9"/>
            <w:rFonts w:ascii="仿宋" w:eastAsia="仿宋" w:hAnsi="仿宋" w:hint="eastAsia"/>
            <w:sz w:val="28"/>
            <w:szCs w:val="28"/>
          </w:rPr>
          <w:t xml:space="preserve"> 国</w:t>
        </w:r>
        <w:r w:rsidR="00E14845">
          <w:rPr>
            <w:rStyle w:val="a9"/>
            <w:rFonts w:ascii="仿宋" w:eastAsia="仿宋" w:hAnsi="仿宋" w:cstheme="majorBidi" w:hint="eastAsia"/>
            <w:bCs/>
            <w:sz w:val="28"/>
            <w:szCs w:val="28"/>
          </w:rPr>
          <w:t>有资本经营预算支出决算情况说明</w:t>
        </w:r>
        <w:r w:rsidR="00E14845">
          <w:rPr>
            <w:rFonts w:ascii="仿宋" w:eastAsia="仿宋" w:hAnsi="仿宋"/>
            <w:sz w:val="28"/>
            <w:szCs w:val="28"/>
          </w:rPr>
          <w:tab/>
        </w:r>
        <w:r>
          <w:rPr>
            <w:rFonts w:ascii="仿宋" w:eastAsia="仿宋" w:hAnsi="仿宋"/>
            <w:sz w:val="28"/>
            <w:szCs w:val="28"/>
          </w:rPr>
          <w:fldChar w:fldCharType="begin"/>
        </w:r>
        <w:r w:rsidR="00E14845">
          <w:rPr>
            <w:rFonts w:ascii="仿宋" w:eastAsia="仿宋" w:hAnsi="仿宋"/>
            <w:sz w:val="28"/>
            <w:szCs w:val="28"/>
          </w:rPr>
          <w:instrText xml:space="preserve"> PAGEREF _Toc15396611 \h </w:instrText>
        </w:r>
        <w:r>
          <w:rPr>
            <w:rFonts w:ascii="仿宋" w:eastAsia="仿宋" w:hAnsi="仿宋"/>
            <w:sz w:val="28"/>
            <w:szCs w:val="28"/>
          </w:rPr>
        </w:r>
        <w:r>
          <w:rPr>
            <w:rFonts w:ascii="仿宋" w:eastAsia="仿宋" w:hAnsi="仿宋"/>
            <w:sz w:val="28"/>
            <w:szCs w:val="28"/>
          </w:rPr>
          <w:fldChar w:fldCharType="separate"/>
        </w:r>
        <w:r w:rsidR="00E14845">
          <w:rPr>
            <w:rFonts w:ascii="仿宋" w:eastAsia="仿宋" w:hAnsi="仿宋"/>
            <w:sz w:val="28"/>
            <w:szCs w:val="28"/>
          </w:rPr>
          <w:t>11</w:t>
        </w:r>
        <w:r>
          <w:rPr>
            <w:rFonts w:ascii="仿宋" w:eastAsia="仿宋" w:hAnsi="仿宋"/>
            <w:sz w:val="28"/>
            <w:szCs w:val="28"/>
          </w:rPr>
          <w:fldChar w:fldCharType="end"/>
        </w:r>
      </w:hyperlink>
    </w:p>
    <w:p w:rsidR="009229DD" w:rsidRDefault="00E14845">
      <w:pPr>
        <w:rPr>
          <w:rStyle w:val="a9"/>
          <w:rFonts w:ascii="仿宋" w:eastAsia="仿宋" w:hAnsi="仿宋" w:cstheme="majorBidi"/>
          <w:bCs/>
          <w:sz w:val="28"/>
          <w:szCs w:val="28"/>
        </w:rPr>
      </w:pPr>
      <w:r>
        <w:rPr>
          <w:rFonts w:ascii="仿宋" w:eastAsia="仿宋" w:hAnsi="仿宋" w:hint="eastAsia"/>
          <w:sz w:val="28"/>
          <w:szCs w:val="28"/>
        </w:rPr>
        <w:t xml:space="preserve">   十、</w:t>
      </w:r>
      <w:r>
        <w:rPr>
          <w:rStyle w:val="a9"/>
          <w:rFonts w:ascii="仿宋" w:eastAsia="仿宋" w:hAnsi="仿宋" w:cstheme="majorBidi" w:hint="eastAsia"/>
          <w:bCs/>
          <w:sz w:val="28"/>
          <w:szCs w:val="28"/>
        </w:rPr>
        <w:t>预算绩效情况说明</w:t>
      </w:r>
      <w:r>
        <w:rPr>
          <w:rStyle w:val="a9"/>
          <w:rFonts w:ascii="Arial" w:eastAsia="仿宋" w:hAnsi="Arial" w:cs="Arial"/>
          <w:bCs/>
          <w:sz w:val="28"/>
          <w:szCs w:val="28"/>
        </w:rPr>
        <w:t>……………………………………………</w:t>
      </w:r>
      <w:r w:rsidR="00343211">
        <w:rPr>
          <w:rFonts w:ascii="仿宋" w:eastAsia="仿宋" w:hAnsi="仿宋"/>
          <w:sz w:val="28"/>
          <w:szCs w:val="28"/>
        </w:rPr>
        <w:fldChar w:fldCharType="begin"/>
      </w:r>
      <w:r>
        <w:rPr>
          <w:rFonts w:ascii="仿宋" w:eastAsia="仿宋" w:hAnsi="仿宋"/>
          <w:sz w:val="28"/>
          <w:szCs w:val="28"/>
        </w:rPr>
        <w:instrText xml:space="preserve"> PAGEREF _Toc15396612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11</w:t>
      </w:r>
      <w:r w:rsidR="00343211">
        <w:rPr>
          <w:rFonts w:ascii="仿宋" w:eastAsia="仿宋" w:hAnsi="仿宋"/>
          <w:sz w:val="28"/>
          <w:szCs w:val="28"/>
        </w:rPr>
        <w:fldChar w:fldCharType="end"/>
      </w:r>
    </w:p>
    <w:p w:rsidR="009229DD" w:rsidRDefault="00343211">
      <w:pPr>
        <w:pStyle w:val="20"/>
        <w:rPr>
          <w:rFonts w:ascii="仿宋" w:eastAsia="仿宋" w:hAnsi="仿宋" w:cstheme="minorBidi"/>
          <w:sz w:val="28"/>
          <w:szCs w:val="28"/>
        </w:rPr>
      </w:pPr>
      <w:hyperlink w:anchor="_Toc15396612" w:history="1">
        <w:r w:rsidR="00E14845">
          <w:rPr>
            <w:rStyle w:val="a9"/>
            <w:rFonts w:ascii="仿宋" w:eastAsia="仿宋" w:hAnsi="仿宋" w:hint="eastAsia"/>
            <w:sz w:val="28"/>
            <w:szCs w:val="28"/>
          </w:rPr>
          <w:t>十</w:t>
        </w:r>
        <w:r w:rsidR="00E14845">
          <w:rPr>
            <w:rStyle w:val="a9"/>
            <w:rFonts w:ascii="仿宋" w:eastAsia="仿宋" w:hAnsi="仿宋" w:cstheme="majorBidi" w:hint="eastAsia"/>
            <w:bCs/>
            <w:sz w:val="28"/>
            <w:szCs w:val="28"/>
          </w:rPr>
          <w:t>一、其他重要事项的情况说明</w:t>
        </w:r>
        <w:r w:rsidR="00E14845">
          <w:rPr>
            <w:rFonts w:ascii="仿宋" w:eastAsia="仿宋" w:hAnsi="仿宋"/>
            <w:sz w:val="28"/>
            <w:szCs w:val="28"/>
          </w:rPr>
          <w:tab/>
        </w:r>
        <w:r w:rsidR="00E14845">
          <w:rPr>
            <w:rFonts w:ascii="仿宋" w:eastAsia="仿宋" w:hAnsi="仿宋" w:hint="eastAsia"/>
            <w:sz w:val="28"/>
            <w:szCs w:val="28"/>
          </w:rPr>
          <w:t>1</w:t>
        </w:r>
      </w:hyperlink>
      <w:r w:rsidR="00E14845">
        <w:rPr>
          <w:rFonts w:ascii="仿宋" w:eastAsia="仿宋" w:hAnsi="仿宋" w:hint="eastAsia"/>
          <w:sz w:val="28"/>
          <w:szCs w:val="28"/>
        </w:rPr>
        <w:t>5</w:t>
      </w:r>
    </w:p>
    <w:p w:rsidR="009229DD" w:rsidRDefault="00343211">
      <w:pPr>
        <w:pStyle w:val="10"/>
        <w:rPr>
          <w:rFonts w:cstheme="minorBidi"/>
        </w:rPr>
      </w:pPr>
      <w:hyperlink w:anchor="_Toc15396613" w:history="1">
        <w:r w:rsidR="00E14845">
          <w:rPr>
            <w:rStyle w:val="a9"/>
            <w:rFonts w:hint="eastAsia"/>
            <w:bCs/>
            <w:kern w:val="44"/>
          </w:rPr>
          <w:t>第三部分</w:t>
        </w:r>
        <w:r w:rsidR="00E14845">
          <w:rPr>
            <w:rStyle w:val="a9"/>
            <w:rFonts w:hint="eastAsia"/>
          </w:rPr>
          <w:t xml:space="preserve"> 名</w:t>
        </w:r>
        <w:r w:rsidR="00E14845">
          <w:rPr>
            <w:rStyle w:val="a9"/>
            <w:rFonts w:hint="eastAsia"/>
            <w:bCs/>
            <w:kern w:val="44"/>
          </w:rPr>
          <w:t>词解释</w:t>
        </w:r>
        <w:r w:rsidR="00E14845">
          <w:tab/>
        </w:r>
        <w:r>
          <w:fldChar w:fldCharType="begin"/>
        </w:r>
        <w:r w:rsidR="00E14845">
          <w:instrText xml:space="preserve"> PAGEREF _Toc15396613 \h </w:instrText>
        </w:r>
        <w:r>
          <w:fldChar w:fldCharType="separate"/>
        </w:r>
        <w:r w:rsidR="00E14845">
          <w:t>16</w:t>
        </w:r>
        <w:r>
          <w:fldChar w:fldCharType="end"/>
        </w:r>
      </w:hyperlink>
    </w:p>
    <w:p w:rsidR="009229DD" w:rsidRDefault="00343211">
      <w:pPr>
        <w:pStyle w:val="10"/>
        <w:rPr>
          <w:rFonts w:cstheme="minorBidi"/>
        </w:rPr>
      </w:pPr>
      <w:hyperlink w:anchor="_Toc15396614" w:history="1">
        <w:r w:rsidR="00E14845">
          <w:rPr>
            <w:rStyle w:val="a9"/>
            <w:rFonts w:hint="eastAsia"/>
          </w:rPr>
          <w:t>第</w:t>
        </w:r>
        <w:r w:rsidR="00E14845">
          <w:rPr>
            <w:rStyle w:val="a9"/>
            <w:rFonts w:hint="eastAsia"/>
            <w:bCs/>
            <w:kern w:val="44"/>
          </w:rPr>
          <w:t>四部分附件</w:t>
        </w:r>
        <w:r w:rsidR="00E14845">
          <w:tab/>
        </w:r>
        <w:r>
          <w:fldChar w:fldCharType="begin"/>
        </w:r>
        <w:r w:rsidR="00E14845">
          <w:instrText xml:space="preserve"> PAGEREF _Toc15396614 \h </w:instrText>
        </w:r>
        <w:r>
          <w:fldChar w:fldCharType="separate"/>
        </w:r>
        <w:r w:rsidR="00E14845">
          <w:t>19</w:t>
        </w:r>
        <w:r>
          <w:fldChar w:fldCharType="end"/>
        </w:r>
      </w:hyperlink>
    </w:p>
    <w:p w:rsidR="009229DD" w:rsidRDefault="00343211">
      <w:pPr>
        <w:pStyle w:val="10"/>
        <w:rPr>
          <w:rFonts w:cstheme="minorBidi"/>
        </w:rPr>
      </w:pPr>
      <w:hyperlink w:anchor="_Toc15396618" w:history="1">
        <w:r w:rsidR="00E14845">
          <w:rPr>
            <w:rStyle w:val="a9"/>
            <w:rFonts w:hint="eastAsia"/>
          </w:rPr>
          <w:t>第</w:t>
        </w:r>
        <w:r w:rsidR="00E14845">
          <w:rPr>
            <w:rStyle w:val="a9"/>
            <w:rFonts w:hint="eastAsia"/>
            <w:bCs/>
            <w:kern w:val="44"/>
          </w:rPr>
          <w:t>五部分附表</w:t>
        </w:r>
        <w:r w:rsidR="00E14845">
          <w:tab/>
        </w:r>
        <w:r>
          <w:fldChar w:fldCharType="begin"/>
        </w:r>
        <w:r w:rsidR="00E14845">
          <w:instrText xml:space="preserve"> PAGEREF _Toc15396618 \h </w:instrText>
        </w:r>
        <w:r>
          <w:fldChar w:fldCharType="separate"/>
        </w:r>
        <w:r w:rsidR="00E14845">
          <w:t>21</w:t>
        </w:r>
        <w: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lastRenderedPageBreak/>
        <w:t>一、</w:t>
      </w:r>
      <w:hyperlink w:anchor="_Toc15396619" w:history="1">
        <w:r>
          <w:rPr>
            <w:rStyle w:val="a9"/>
            <w:rFonts w:ascii="仿宋" w:eastAsia="仿宋" w:hAnsi="仿宋" w:hint="eastAsia"/>
            <w:sz w:val="28"/>
            <w:szCs w:val="28"/>
          </w:rPr>
          <w:t>收入支出决算总表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_Toc15396619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二、</w:t>
      </w:r>
      <w:hyperlink w:anchor="_Toc15396620" w:history="1">
        <w:r>
          <w:rPr>
            <w:rStyle w:val="a9"/>
            <w:rFonts w:ascii="仿宋" w:eastAsia="仿宋" w:hAnsi="仿宋" w:hint="eastAsia"/>
            <w:sz w:val="28"/>
            <w:szCs w:val="28"/>
          </w:rPr>
          <w:t>收入决算表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_Toc15396620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三、</w:t>
      </w:r>
      <w:hyperlink w:anchor="_Toc15396621" w:history="1">
        <w:r>
          <w:rPr>
            <w:rStyle w:val="a9"/>
            <w:rFonts w:ascii="仿宋" w:eastAsia="仿宋" w:hAnsi="仿宋" w:hint="eastAsia"/>
            <w:sz w:val="28"/>
            <w:szCs w:val="28"/>
          </w:rPr>
          <w:t>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_Toc15396621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四、</w:t>
      </w:r>
      <w:hyperlink w:anchor="_Toc15396622" w:history="1">
        <w:r>
          <w:rPr>
            <w:rStyle w:val="a9"/>
            <w:rFonts w:ascii="仿宋" w:eastAsia="仿宋" w:hAnsi="仿宋" w:hint="eastAsia"/>
            <w:sz w:val="28"/>
            <w:szCs w:val="28"/>
          </w:rPr>
          <w:t>财政拨款收入支出决算总表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_Toc15396622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sz w:val="28"/>
          <w:szCs w:val="28"/>
        </w:rPr>
      </w:pPr>
      <w:r>
        <w:rPr>
          <w:rFonts w:ascii="仿宋" w:eastAsia="仿宋" w:hAnsi="仿宋" w:hint="eastAsia"/>
          <w:sz w:val="28"/>
          <w:szCs w:val="28"/>
        </w:rPr>
        <w:t>五、</w:t>
      </w:r>
      <w:hyperlink w:anchor="_Toc15396623" w:history="1">
        <w:r>
          <w:rPr>
            <w:rFonts w:ascii="仿宋" w:eastAsia="仿宋" w:hAnsi="仿宋" w:hint="eastAsia"/>
            <w:sz w:val="28"/>
            <w:szCs w:val="28"/>
          </w:rPr>
          <w:t>财政拨款支出决算明细表（政府经济分类科目）</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_Toc15396623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六、</w:t>
      </w:r>
      <w:hyperlink w:anchor="_Toc15396624" w:history="1">
        <w:r>
          <w:rPr>
            <w:rStyle w:val="a9"/>
            <w:rFonts w:ascii="仿宋" w:eastAsia="仿宋" w:hAnsi="仿宋" w:hint="eastAsia"/>
            <w:sz w:val="28"/>
            <w:szCs w:val="28"/>
          </w:rPr>
          <w:t>一般公共预算财政拨款支出决算表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_Toc15396624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七、</w:t>
      </w:r>
      <w:hyperlink w:anchor="_Toc15396625" w:history="1">
        <w:r>
          <w:rPr>
            <w:rStyle w:val="a9"/>
            <w:rFonts w:ascii="仿宋" w:eastAsia="仿宋" w:hAnsi="仿宋" w:hint="eastAsia"/>
            <w:sz w:val="28"/>
            <w:szCs w:val="28"/>
          </w:rPr>
          <w:t>一般公共预算财政拨款支出决算明细表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_Toc15396625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八、</w:t>
      </w:r>
      <w:hyperlink w:anchor="_Toc15396626" w:history="1">
        <w:r>
          <w:rPr>
            <w:rStyle w:val="a9"/>
            <w:rFonts w:ascii="仿宋" w:eastAsia="仿宋" w:hAnsi="仿宋" w:hint="eastAsia"/>
            <w:sz w:val="28"/>
            <w:szCs w:val="28"/>
          </w:rPr>
          <w:t>一般公共预算财政拨款基本支出决算表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_Toc15396626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九、</w:t>
      </w:r>
      <w:hyperlink w:anchor="_Toc15396627" w:history="1">
        <w:r>
          <w:rPr>
            <w:rStyle w:val="a9"/>
            <w:rFonts w:ascii="仿宋" w:eastAsia="仿宋" w:hAnsi="仿宋" w:hint="eastAsia"/>
            <w:sz w:val="28"/>
            <w:szCs w:val="28"/>
          </w:rPr>
          <w:t>一般公共预算财政拨款项目支出决算表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_Toc15396627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十、</w:t>
      </w:r>
      <w:hyperlink w:anchor="_Toc15396628" w:history="1">
        <w:r>
          <w:rPr>
            <w:rStyle w:val="a9"/>
            <w:rFonts w:ascii="仿宋" w:eastAsia="仿宋" w:hAnsi="仿宋" w:hint="eastAsia"/>
            <w:sz w:val="28"/>
            <w:szCs w:val="28"/>
          </w:rPr>
          <w:t>一般公共预算财政拨款“三公”经费支出决算表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_Toc15396628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十一、</w:t>
      </w:r>
      <w:hyperlink w:anchor="_Toc15396629" w:history="1">
        <w:r>
          <w:rPr>
            <w:rStyle w:val="a9"/>
            <w:rFonts w:ascii="仿宋" w:eastAsia="仿宋" w:hAnsi="仿宋" w:hint="eastAsia"/>
            <w:sz w:val="28"/>
            <w:szCs w:val="28"/>
          </w:rPr>
          <w:t>政府性基金预算财政拨款收入支出决算表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_Toc15396629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8"/>
          <w:szCs w:val="28"/>
        </w:rPr>
      </w:pPr>
      <w:r>
        <w:rPr>
          <w:rFonts w:ascii="仿宋" w:eastAsia="仿宋" w:hAnsi="仿宋" w:hint="eastAsia"/>
          <w:sz w:val="28"/>
          <w:szCs w:val="28"/>
        </w:rPr>
        <w:t>十二、</w:t>
      </w:r>
      <w:hyperlink w:anchor="_Toc15396630" w:history="1">
        <w:r>
          <w:rPr>
            <w:rStyle w:val="a9"/>
            <w:rFonts w:ascii="仿宋" w:eastAsia="仿宋" w:hAnsi="仿宋" w:hint="eastAsia"/>
            <w:sz w:val="28"/>
            <w:szCs w:val="28"/>
          </w:rPr>
          <w:t>政府性基金预算财政拨款“三公”经费支出决算表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_Toc15396630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E14845">
      <w:pPr>
        <w:pStyle w:val="20"/>
        <w:rPr>
          <w:rFonts w:ascii="仿宋" w:eastAsia="仿宋" w:hAnsi="仿宋" w:cstheme="minorBidi"/>
          <w:sz w:val="24"/>
        </w:rPr>
      </w:pPr>
      <w:r>
        <w:rPr>
          <w:rFonts w:ascii="仿宋" w:eastAsia="仿宋" w:hAnsi="仿宋" w:hint="eastAsia"/>
          <w:sz w:val="28"/>
          <w:szCs w:val="28"/>
        </w:rPr>
        <w:t>十三、</w:t>
      </w:r>
      <w:hyperlink w:anchor="_Toc15396631" w:history="1">
        <w:r>
          <w:rPr>
            <w:rStyle w:val="a9"/>
            <w:rFonts w:ascii="仿宋" w:eastAsia="仿宋" w:hAnsi="仿宋" w:hint="eastAsia"/>
            <w:sz w:val="28"/>
            <w:szCs w:val="28"/>
          </w:rPr>
          <w:t>国有资本经营预算支出决算表</w:t>
        </w:r>
        <w:r>
          <w:rPr>
            <w:rFonts w:ascii="仿宋" w:eastAsia="仿宋" w:hAnsi="仿宋"/>
            <w:sz w:val="28"/>
            <w:szCs w:val="28"/>
          </w:rPr>
          <w:tab/>
        </w:r>
        <w:r w:rsidR="00343211">
          <w:rPr>
            <w:rFonts w:ascii="仿宋" w:eastAsia="仿宋" w:hAnsi="仿宋"/>
            <w:sz w:val="28"/>
            <w:szCs w:val="28"/>
          </w:rPr>
          <w:fldChar w:fldCharType="begin"/>
        </w:r>
        <w:r>
          <w:rPr>
            <w:rFonts w:ascii="仿宋" w:eastAsia="仿宋" w:hAnsi="仿宋"/>
            <w:sz w:val="28"/>
            <w:szCs w:val="28"/>
          </w:rPr>
          <w:instrText xml:space="preserve"> PAGEREF _Toc15396631 \h </w:instrText>
        </w:r>
        <w:r w:rsidR="00343211">
          <w:rPr>
            <w:rFonts w:ascii="仿宋" w:eastAsia="仿宋" w:hAnsi="仿宋"/>
            <w:sz w:val="28"/>
            <w:szCs w:val="28"/>
          </w:rPr>
        </w:r>
        <w:r w:rsidR="00343211">
          <w:rPr>
            <w:rFonts w:ascii="仿宋" w:eastAsia="仿宋" w:hAnsi="仿宋"/>
            <w:sz w:val="28"/>
            <w:szCs w:val="28"/>
          </w:rPr>
          <w:fldChar w:fldCharType="separate"/>
        </w:r>
        <w:r>
          <w:rPr>
            <w:rFonts w:ascii="仿宋" w:eastAsia="仿宋" w:hAnsi="仿宋"/>
            <w:sz w:val="28"/>
            <w:szCs w:val="28"/>
          </w:rPr>
          <w:t>21</w:t>
        </w:r>
        <w:r w:rsidR="00343211">
          <w:rPr>
            <w:rFonts w:ascii="仿宋" w:eastAsia="仿宋" w:hAnsi="仿宋"/>
            <w:sz w:val="28"/>
            <w:szCs w:val="28"/>
          </w:rPr>
          <w:fldChar w:fldCharType="end"/>
        </w:r>
      </w:hyperlink>
    </w:p>
    <w:p w:rsidR="009229DD" w:rsidRDefault="00343211">
      <w:pPr>
        <w:widowControl/>
        <w:jc w:val="left"/>
        <w:rPr>
          <w:rFonts w:ascii="仿宋" w:eastAsia="仿宋" w:hAnsi="仿宋"/>
          <w:color w:val="000000"/>
          <w:sz w:val="24"/>
        </w:rPr>
      </w:pPr>
      <w:r>
        <w:rPr>
          <w:rFonts w:ascii="仿宋" w:eastAsia="仿宋" w:hAnsi="仿宋"/>
          <w:color w:val="000000"/>
          <w:sz w:val="24"/>
        </w:rPr>
        <w:fldChar w:fldCharType="end"/>
      </w:r>
    </w:p>
    <w:p w:rsidR="009229DD" w:rsidRDefault="00E14845">
      <w:pPr>
        <w:widowControl/>
        <w:jc w:val="left"/>
        <w:rPr>
          <w:rFonts w:ascii="黑体" w:eastAsia="黑体" w:hAnsi="黑体"/>
          <w:bCs/>
          <w:kern w:val="44"/>
          <w:sz w:val="44"/>
          <w:szCs w:val="44"/>
        </w:rPr>
      </w:pPr>
      <w:bookmarkStart w:id="12" w:name="_Toc15396599"/>
      <w:bookmarkStart w:id="13" w:name="_Toc15377196"/>
      <w:r>
        <w:rPr>
          <w:rFonts w:ascii="黑体" w:eastAsia="黑体" w:hAnsi="黑体"/>
          <w:b/>
        </w:rPr>
        <w:br w:type="page"/>
      </w:r>
    </w:p>
    <w:p w:rsidR="009229DD" w:rsidRDefault="00E14845">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9229DD" w:rsidRDefault="009229DD">
      <w:pPr>
        <w:widowControl/>
        <w:jc w:val="left"/>
        <w:rPr>
          <w:rFonts w:ascii="黑体" w:eastAsia="黑体"/>
          <w:color w:val="000000"/>
          <w:sz w:val="32"/>
          <w:szCs w:val="32"/>
        </w:rPr>
      </w:pPr>
    </w:p>
    <w:p w:rsidR="009229DD" w:rsidRDefault="00E14845">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9229DD" w:rsidRDefault="00E14845">
      <w:pPr>
        <w:pStyle w:val="a3"/>
        <w:adjustRightInd w:val="0"/>
        <w:snapToGrid w:val="0"/>
        <w:spacing w:before="93" w:line="600" w:lineRule="exact"/>
        <w:ind w:firstLineChars="210" w:firstLine="672"/>
        <w:outlineLvl w:val="2"/>
        <w:rPr>
          <w:rFonts w:ascii="仿宋" w:eastAsia="仿宋" w:hAnsi="仿宋" w:cs="仿宋"/>
          <w:bCs/>
          <w:color w:val="000000"/>
          <w:sz w:val="32"/>
          <w:szCs w:val="32"/>
        </w:rPr>
      </w:pPr>
      <w:bookmarkStart w:id="16" w:name="_Toc15377198"/>
      <w:bookmarkStart w:id="17" w:name="_Toc15378445"/>
      <w:r>
        <w:rPr>
          <w:rFonts w:ascii="仿宋" w:eastAsia="仿宋" w:hAnsi="仿宋" w:hint="eastAsia"/>
          <w:bCs/>
          <w:color w:val="000000"/>
          <w:sz w:val="32"/>
          <w:szCs w:val="32"/>
        </w:rPr>
        <w:t>（一）主要职能。</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1.贯彻执行国家、省有关交通运输行业的方针、政策和法律、法规。组织拟订公路、水路等行业发展规划和年度计划并监督实施，会同有关部门组织编制综合运输体系规划，拟订物流业发展规划。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2.拟订全县交通运输规范性文件，负责本系统、本部门依法行政工作，落实行政执法责任制。指导公路、水路行业有关体制改革工作，承担全县国省干道收费公路管理的有关工作。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3.承担道路、水路交通运输市场监管责任，贯彻执行道路、水路运输有关政策、技术标准和运营规范，负责城乡客运和出租汽车行业管理工作，会同有关部门制定运输价格。维护交通运输行业平等竞争秩序。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w:t>
      </w:r>
      <w:r>
        <w:rPr>
          <w:rFonts w:ascii="仿宋" w:eastAsia="仿宋" w:hAnsi="仿宋" w:cs="仿宋" w:hint="eastAsia"/>
          <w:kern w:val="0"/>
          <w:sz w:val="32"/>
          <w:szCs w:val="32"/>
        </w:rPr>
        <w:lastRenderedPageBreak/>
        <w:t xml:space="preserve">故的应急处置，依法组织或参与事故调查处理工作。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5.负责提出公路、水路固定资产投资规模、方向和财政性资金安排建议，按照规定权限审批（审核）、核准省、市规划内和年度计划规模内固定资产投资项目；指导交通运输行业审计工作。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6.负责全县公路、水路交通建设行业管理，承担公路、水路建设市场监管责任，维护交通建设行业平等竞争秩序。贯彻执行公路、水路工程建设相关政策、制度、技术标准，组织协调公路、水路有关重点工程建设和工程质量、安全生产监督管理工作。负责对交通行业和产业项目的招标投标活动的监督。指导交通运输基础设施管理和维护，承担有关重要设施的管理和维护。按规定负责港口规划和港口岸线使用管理工作，指导交通运输行业特许经营管理。配合有关部门实施交通运输行业职业资格管理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7.指导公路、水路行业安全生产和应急管理工作。按规定组织协调重点物资和紧急客货运输，负责全县重点公路及重点干线路网运行监测和协调。组织协调地方交通战备工作，承担国防动员有关工作。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8.贯彻执行有关交通运输科技政策，组织制定交通运输科技政策的措施并监督实施，组织科技开发。指导全县交通运输信息化建设，监测分析运行情况，开展相关统计工作，发布有关信息。指导公路、水路行业环境保护和节能减排工</w:t>
      </w:r>
      <w:r>
        <w:rPr>
          <w:rFonts w:ascii="仿宋" w:eastAsia="仿宋" w:hAnsi="仿宋" w:cs="仿宋" w:hint="eastAsia"/>
          <w:kern w:val="0"/>
          <w:sz w:val="32"/>
          <w:szCs w:val="32"/>
        </w:rPr>
        <w:lastRenderedPageBreak/>
        <w:t xml:space="preserve">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9.负责公路、水路有关涉外工作，开展对外经济技术交流与合作，指导全县交通运输行业招商引资和利用外资工作。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10.承担县政府公布的有关行政审批事项。 </w:t>
      </w:r>
    </w:p>
    <w:p w:rsidR="009229DD" w:rsidRDefault="00E14845">
      <w:pPr>
        <w:pStyle w:val="a3"/>
        <w:adjustRightInd w:val="0"/>
        <w:snapToGrid w:val="0"/>
        <w:spacing w:before="93" w:line="600" w:lineRule="exact"/>
        <w:ind w:firstLineChars="200" w:firstLine="640"/>
        <w:outlineLvl w:val="2"/>
        <w:rPr>
          <w:rFonts w:ascii="仿宋" w:eastAsia="仿宋" w:hAnsi="仿宋" w:cs="仿宋"/>
          <w:bCs/>
          <w:color w:val="000000"/>
          <w:sz w:val="32"/>
          <w:szCs w:val="32"/>
        </w:rPr>
      </w:pPr>
      <w:r>
        <w:rPr>
          <w:rFonts w:ascii="仿宋" w:eastAsia="仿宋" w:hAnsi="仿宋" w:cs="仿宋" w:hint="eastAsia"/>
          <w:sz w:val="32"/>
          <w:szCs w:val="32"/>
        </w:rPr>
        <w:t>11.承办县政府交办的其他事项。</w:t>
      </w:r>
    </w:p>
    <w:p w:rsidR="009229DD" w:rsidRDefault="00E14845">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（职能参照批准的三定方案）</w:t>
      </w:r>
      <w:bookmarkEnd w:id="16"/>
      <w:bookmarkEnd w:id="17"/>
    </w:p>
    <w:p w:rsidR="009229DD" w:rsidRDefault="00E14845">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9229DD" w:rsidRDefault="00E14845">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1.克难攻坚抓建设，交通工程项目全面完成。</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2019年，交通工程建设时间紧、任务重、压力大，系统干部职工负重前行，创新举措，克难攻坚，掀起交通大会战热潮，十大工程建设顺利推进。</w:t>
      </w:r>
      <w:r>
        <w:rPr>
          <w:rFonts w:ascii="仿宋" w:eastAsia="仿宋" w:hAnsi="仿宋" w:cs="仿宋" w:hint="eastAsia"/>
          <w:sz w:val="32"/>
          <w:szCs w:val="32"/>
        </w:rPr>
        <w:t>全年新（续）建项目42个，累计总投资21亿元，2019年完成投资10.5亿元</w:t>
      </w:r>
      <w:r>
        <w:rPr>
          <w:rFonts w:ascii="仿宋" w:eastAsia="仿宋" w:hAnsi="仿宋" w:cs="仿宋" w:hint="eastAsia"/>
          <w:kern w:val="0"/>
          <w:sz w:val="32"/>
          <w:szCs w:val="32"/>
        </w:rPr>
        <w:t>。</w:t>
      </w:r>
    </w:p>
    <w:p w:rsidR="009229DD" w:rsidRDefault="00E14845">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2.齐心协力抓管理，交通运输秩序不断规范</w:t>
      </w:r>
    </w:p>
    <w:p w:rsidR="009229DD" w:rsidRDefault="00E14845">
      <w:pPr>
        <w:spacing w:line="480" w:lineRule="auto"/>
        <w:ind w:firstLineChars="200" w:firstLine="640"/>
        <w:outlineLvl w:val="0"/>
        <w:rPr>
          <w:rFonts w:ascii="仿宋" w:eastAsia="仿宋" w:hAnsi="仿宋" w:cs="仿宋"/>
          <w:kern w:val="0"/>
          <w:sz w:val="32"/>
          <w:szCs w:val="32"/>
        </w:rPr>
      </w:pPr>
      <w:r>
        <w:rPr>
          <w:rFonts w:ascii="仿宋" w:eastAsia="仿宋" w:hAnsi="仿宋" w:cs="仿宋" w:hint="eastAsia"/>
          <w:kern w:val="0"/>
          <w:sz w:val="32"/>
          <w:szCs w:val="32"/>
        </w:rPr>
        <w:t>把发展质量作为提升交通运输形象的生命线工程，着力提升工程质量、服务质量、管理质量，交通运输发展秩序不断规范。</w:t>
      </w:r>
    </w:p>
    <w:p w:rsidR="009229DD" w:rsidRDefault="00E14845">
      <w:pPr>
        <w:spacing w:line="480" w:lineRule="auto"/>
        <w:ind w:firstLineChars="200" w:firstLine="640"/>
        <w:rPr>
          <w:rFonts w:ascii="仿宋" w:eastAsia="仿宋" w:hAnsi="仿宋" w:cs="仿宋"/>
          <w:sz w:val="32"/>
          <w:szCs w:val="32"/>
        </w:rPr>
      </w:pPr>
      <w:r>
        <w:rPr>
          <w:rFonts w:ascii="仿宋" w:eastAsia="仿宋" w:hAnsi="仿宋" w:cs="仿宋" w:hint="eastAsia"/>
          <w:sz w:val="32"/>
          <w:szCs w:val="32"/>
        </w:rPr>
        <w:t>3.着眼长远抓规划，发展后劲不断增强</w:t>
      </w:r>
    </w:p>
    <w:p w:rsidR="009229DD" w:rsidRDefault="00E14845">
      <w:pPr>
        <w:spacing w:line="480" w:lineRule="auto"/>
        <w:ind w:firstLineChars="200" w:firstLine="640"/>
        <w:rPr>
          <w:rFonts w:ascii="仿宋" w:eastAsia="仿宋" w:hAnsi="仿宋" w:cs="仿宋"/>
          <w:sz w:val="32"/>
          <w:szCs w:val="32"/>
        </w:rPr>
      </w:pPr>
      <w:r>
        <w:rPr>
          <w:rFonts w:ascii="仿宋" w:eastAsia="仿宋" w:hAnsi="仿宋" w:cs="仿宋" w:hint="eastAsia"/>
          <w:kern w:val="0"/>
          <w:sz w:val="32"/>
          <w:szCs w:val="32"/>
        </w:rPr>
        <w:t>牢固树立“抓大项目就是加快发展，抓好项目就是科学发展”的意识，结合邻水交通发展实际，强化项目规划和争取，不断增强交通发展后劲。精心编制项目</w:t>
      </w:r>
      <w:r>
        <w:rPr>
          <w:rFonts w:ascii="仿宋" w:eastAsia="仿宋" w:hAnsi="仿宋" w:cs="仿宋" w:hint="eastAsia"/>
          <w:sz w:val="32"/>
          <w:szCs w:val="32"/>
        </w:rPr>
        <w:t>；</w:t>
      </w:r>
      <w:r>
        <w:rPr>
          <w:rFonts w:ascii="仿宋" w:eastAsia="仿宋" w:hAnsi="仿宋" w:cs="仿宋" w:hint="eastAsia"/>
          <w:kern w:val="0"/>
          <w:sz w:val="32"/>
          <w:szCs w:val="32"/>
        </w:rPr>
        <w:t>努力争取资金，</w:t>
      </w:r>
      <w:r>
        <w:rPr>
          <w:rFonts w:ascii="仿宋" w:eastAsia="仿宋" w:hAnsi="仿宋" w:cs="仿宋" w:hint="eastAsia"/>
          <w:sz w:val="32"/>
          <w:szCs w:val="32"/>
        </w:rPr>
        <w:t>全年累计到位资金2.3亿元；</w:t>
      </w:r>
      <w:r>
        <w:rPr>
          <w:rFonts w:ascii="仿宋" w:eastAsia="仿宋" w:hAnsi="仿宋" w:cs="仿宋" w:hint="eastAsia"/>
          <w:kern w:val="0"/>
          <w:sz w:val="32"/>
          <w:szCs w:val="32"/>
        </w:rPr>
        <w:t>加强规划对接。</w:t>
      </w:r>
      <w:r>
        <w:rPr>
          <w:rFonts w:ascii="仿宋" w:eastAsia="仿宋" w:hAnsi="仿宋" w:cs="仿宋" w:hint="eastAsia"/>
          <w:sz w:val="32"/>
          <w:szCs w:val="32"/>
        </w:rPr>
        <w:t>除加强与省市交</w:t>
      </w:r>
      <w:r>
        <w:rPr>
          <w:rFonts w:ascii="仿宋" w:eastAsia="仿宋" w:hAnsi="仿宋" w:cs="仿宋" w:hint="eastAsia"/>
          <w:sz w:val="32"/>
          <w:szCs w:val="32"/>
        </w:rPr>
        <w:lastRenderedPageBreak/>
        <w:t>通部门汇报衔接外，主动加强与重庆市交委、渝北交委、大竹、垫江、前锋、华蓥等周边地区交通部门的对接，确保路网规划更科学、出境道路更通畅。重庆市交委 “十三五”规划中已将邻水纳入重庆大交通规划考虑范围。（四）全力以赴抓稳定，发展环境持续优化。</w:t>
      </w:r>
    </w:p>
    <w:p w:rsidR="009229DD" w:rsidRDefault="00E14845">
      <w:pPr>
        <w:spacing w:line="480" w:lineRule="auto"/>
        <w:ind w:firstLineChars="200" w:firstLine="640"/>
        <w:rPr>
          <w:rFonts w:ascii="仿宋" w:eastAsia="仿宋" w:hAnsi="仿宋"/>
          <w:bCs/>
          <w:color w:val="000000"/>
          <w:sz w:val="32"/>
          <w:szCs w:val="32"/>
        </w:rPr>
      </w:pPr>
      <w:r>
        <w:rPr>
          <w:rFonts w:ascii="仿宋" w:eastAsia="仿宋" w:hAnsi="仿宋" w:cs="仿宋" w:hint="eastAsia"/>
          <w:kern w:val="0"/>
          <w:sz w:val="32"/>
          <w:szCs w:val="32"/>
        </w:rPr>
        <w:t>树立安全稳定促发展的理念，把安全和稳定工作摆在重要位置，畅通信访渠道，回应群众关切，积极解决老百姓关心的热点难点问题，营造了良好交通发展环境。加强安全监管，全面实现平安交通。畅通信访渠道，积极回应群众关切。主动接受监督，认真办理提案议案。</w:t>
      </w:r>
    </w:p>
    <w:p w:rsidR="009229DD" w:rsidRDefault="00E14845">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9229DD" w:rsidRDefault="00E14845">
      <w:pPr>
        <w:ind w:firstLineChars="200" w:firstLine="640"/>
        <w:rPr>
          <w:rFonts w:ascii="仿宋" w:eastAsia="仿宋" w:hAnsi="仿宋"/>
          <w:sz w:val="32"/>
          <w:szCs w:val="32"/>
        </w:rPr>
      </w:pPr>
      <w:r>
        <w:rPr>
          <w:rFonts w:ascii="仿宋" w:eastAsia="仿宋" w:hAnsi="仿宋" w:hint="eastAsia"/>
          <w:sz w:val="32"/>
          <w:szCs w:val="32"/>
        </w:rPr>
        <w:t>邻水县交通运输局下属单位9个，企业单位4个；编制部门预决算（包括下属二级决算单位）5个。 其中：参工管理单位3个，事业单位2个。</w:t>
      </w:r>
    </w:p>
    <w:p w:rsidR="009229DD" w:rsidRDefault="00E14845">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纳入邻水县2018年度部门决算编制范围的二级预算单位包括：</w:t>
      </w:r>
    </w:p>
    <w:p w:rsidR="009229DD" w:rsidRDefault="00E1484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邻水县公路养护管理一段</w:t>
      </w:r>
    </w:p>
    <w:p w:rsidR="009229DD" w:rsidRDefault="00E1484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邻水县公路养护管理二段</w:t>
      </w:r>
    </w:p>
    <w:p w:rsidR="009229DD" w:rsidRDefault="00E1484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邻水县路政大队</w:t>
      </w:r>
    </w:p>
    <w:p w:rsidR="009229DD" w:rsidRDefault="00E1484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邻水县海事处</w:t>
      </w:r>
    </w:p>
    <w:p w:rsidR="009229DD" w:rsidRDefault="00E1484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lastRenderedPageBreak/>
        <w:t>邻水县公路运输管理所</w:t>
      </w:r>
    </w:p>
    <w:p w:rsidR="009229DD" w:rsidRDefault="00E14845">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9229DD" w:rsidRDefault="00E14845">
      <w:pPr>
        <w:pStyle w:val="1"/>
        <w:ind w:right="440"/>
        <w:jc w:val="right"/>
        <w:rPr>
          <w:rFonts w:eastAsia="黑体"/>
        </w:rPr>
      </w:pPr>
      <w:bookmarkStart w:id="22" w:name="_Toc15377204"/>
      <w:bookmarkStart w:id="23" w:name="_Toc15396602"/>
      <w:r>
        <w:rPr>
          <w:rFonts w:ascii="黑体" w:eastAsia="黑体" w:hAnsi="黑体" w:hint="eastAsia"/>
          <w:b w:val="0"/>
          <w:color w:val="000000"/>
        </w:rPr>
        <w:lastRenderedPageBreak/>
        <w:t>第二部分</w:t>
      </w:r>
      <w:r>
        <w:rPr>
          <w:rStyle w:val="1Char"/>
          <w:rFonts w:ascii="黑体" w:eastAsia="黑体" w:hAnsi="黑体" w:hint="eastAsia"/>
        </w:rPr>
        <w:t>2019年度部门决算情况说</w:t>
      </w:r>
      <w:bookmarkEnd w:id="22"/>
      <w:bookmarkEnd w:id="23"/>
      <w:r>
        <w:rPr>
          <w:rStyle w:val="1Char"/>
          <w:rFonts w:ascii="黑体" w:eastAsia="黑体" w:hAnsi="黑体" w:hint="eastAsia"/>
        </w:rPr>
        <w:t>明</w:t>
      </w:r>
    </w:p>
    <w:p w:rsidR="009229DD" w:rsidRDefault="00E14845">
      <w:pPr>
        <w:pStyle w:val="11"/>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9229DD" w:rsidRDefault="00E14845">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2019年度收入总计21843.41万元、支出总计37151.33万元。与2018年相比，收入总计减少11265.07万元，支出总计增加10359.59万元，分别下降34</w:t>
      </w:r>
      <w:r>
        <w:rPr>
          <w:rFonts w:ascii="仿宋" w:eastAsia="仿宋" w:hAnsi="仿宋"/>
          <w:color w:val="000000"/>
          <w:sz w:val="32"/>
          <w:szCs w:val="32"/>
        </w:rPr>
        <w:t>%</w:t>
      </w:r>
      <w:r>
        <w:rPr>
          <w:rFonts w:ascii="仿宋" w:eastAsia="仿宋" w:hAnsi="仿宋" w:hint="eastAsia"/>
          <w:color w:val="000000"/>
          <w:sz w:val="32"/>
          <w:szCs w:val="32"/>
        </w:rPr>
        <w:t>和增长38%。主要变动原因是2019年交通建设项目资金变动。</w:t>
      </w:r>
    </w:p>
    <w:p w:rsidR="009229DD" w:rsidRDefault="009229DD">
      <w:pPr>
        <w:spacing w:line="600" w:lineRule="exact"/>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rPr>
          <w:rFonts w:ascii="仿宋" w:eastAsia="仿宋" w:hAnsi="仿宋"/>
          <w:color w:val="000000" w:themeColor="text1"/>
          <w:sz w:val="32"/>
          <w:szCs w:val="32"/>
        </w:rPr>
      </w:pPr>
    </w:p>
    <w:p w:rsidR="009229DD" w:rsidRDefault="009229DD">
      <w:pPr>
        <w:spacing w:line="600" w:lineRule="exact"/>
        <w:rPr>
          <w:rFonts w:ascii="仿宋_GB2312" w:eastAsia="仿宋_GB2312"/>
          <w:color w:val="000000"/>
          <w:sz w:val="32"/>
          <w:szCs w:val="32"/>
        </w:rPr>
      </w:pPr>
    </w:p>
    <w:p w:rsidR="009229DD" w:rsidRDefault="009229DD">
      <w:pPr>
        <w:spacing w:line="600" w:lineRule="exact"/>
        <w:rPr>
          <w:rFonts w:ascii="仿宋_GB2312" w:eastAsia="仿宋_GB2312"/>
          <w:color w:val="000000"/>
          <w:sz w:val="32"/>
          <w:szCs w:val="32"/>
        </w:rPr>
      </w:pPr>
    </w:p>
    <w:p w:rsidR="009229DD" w:rsidRDefault="00E14845">
      <w:pPr>
        <w:spacing w:line="600" w:lineRule="exact"/>
        <w:rPr>
          <w:rFonts w:ascii="仿宋_GB2312" w:eastAsia="仿宋_GB2312"/>
          <w:color w:val="000000"/>
          <w:sz w:val="32"/>
          <w:szCs w:val="32"/>
        </w:rPr>
      </w:pPr>
      <w:r>
        <w:rPr>
          <w:rFonts w:ascii="仿宋" w:eastAsia="仿宋" w:hAnsi="仿宋" w:hint="eastAsia"/>
          <w:noProof/>
          <w:color w:val="000000" w:themeColor="text1"/>
          <w:sz w:val="32"/>
          <w:szCs w:val="32"/>
        </w:rPr>
        <w:drawing>
          <wp:anchor distT="0" distB="0" distL="114300" distR="114300" simplePos="0" relativeHeight="251658240" behindDoc="0" locked="0" layoutInCell="1" allowOverlap="1">
            <wp:simplePos x="0" y="0"/>
            <wp:positionH relativeFrom="column">
              <wp:posOffset>410845</wp:posOffset>
            </wp:positionH>
            <wp:positionV relativeFrom="paragraph">
              <wp:posOffset>-1595755</wp:posOffset>
            </wp:positionV>
            <wp:extent cx="4728210" cy="1894840"/>
            <wp:effectExtent l="4445" t="4445" r="1079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229DD" w:rsidRDefault="00E14845">
      <w:pPr>
        <w:spacing w:line="600" w:lineRule="exact"/>
        <w:ind w:firstLineChars="300" w:firstLine="960"/>
        <w:rPr>
          <w:rStyle w:val="2Char"/>
          <w:rFonts w:ascii="黑体" w:eastAsia="黑体" w:hAnsi="黑体"/>
          <w:b w:val="0"/>
        </w:rPr>
      </w:pPr>
      <w:bookmarkStart w:id="26" w:name="_Toc15377206"/>
      <w:bookmarkStart w:id="27" w:name="_Toc15396604"/>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9229DD" w:rsidRDefault="00E14845">
      <w:pPr>
        <w:pStyle w:val="11"/>
        <w:numPr>
          <w:ilvl w:val="0"/>
          <w:numId w:val="2"/>
        </w:numPr>
        <w:spacing w:line="600" w:lineRule="exact"/>
        <w:ind w:firstLineChars="0"/>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9229DD" w:rsidRDefault="00E14845">
      <w:pPr>
        <w:spacing w:line="600" w:lineRule="exact"/>
        <w:ind w:firstLineChars="200" w:firstLine="640"/>
        <w:outlineLvl w:val="1"/>
        <w:rPr>
          <w:rFonts w:ascii="仿宋" w:eastAsia="仿宋" w:hAnsi="仿宋"/>
          <w:b/>
          <w:bCs/>
          <w:color w:val="C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9年本年收入合计21843.41万元，其中：一般公共预算财政拨款收入21440.72万元，占98.16</w:t>
      </w:r>
      <w:r>
        <w:rPr>
          <w:rFonts w:ascii="仿宋" w:eastAsia="仿宋" w:hAnsi="仿宋"/>
          <w:color w:val="000000"/>
          <w:sz w:val="32"/>
          <w:szCs w:val="32"/>
        </w:rPr>
        <w:t>%</w:t>
      </w:r>
      <w:r>
        <w:rPr>
          <w:rFonts w:ascii="仿宋" w:eastAsia="仿宋" w:hAnsi="仿宋" w:hint="eastAsia"/>
          <w:color w:val="000000"/>
          <w:sz w:val="32"/>
          <w:szCs w:val="32"/>
        </w:rPr>
        <w:t>；政府性基金预算财政拨款收入402.69万元，占1.84</w:t>
      </w:r>
      <w:r>
        <w:rPr>
          <w:rFonts w:ascii="仿宋" w:eastAsia="仿宋" w:hAnsi="仿宋"/>
          <w:color w:val="000000"/>
          <w:sz w:val="32"/>
          <w:szCs w:val="32"/>
        </w:rPr>
        <w:t>%</w:t>
      </w:r>
      <w:r>
        <w:rPr>
          <w:rFonts w:ascii="仿宋" w:eastAsia="仿宋" w:hAnsi="仿宋" w:hint="eastAsia"/>
          <w:color w:val="000000"/>
          <w:sz w:val="32"/>
          <w:szCs w:val="32"/>
        </w:rPr>
        <w:t>；国有资本经营预算财政拨款收入0万元，占0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E14845">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59264" behindDoc="0" locked="0" layoutInCell="1" allowOverlap="1">
            <wp:simplePos x="0" y="0"/>
            <wp:positionH relativeFrom="column">
              <wp:posOffset>534670</wp:posOffset>
            </wp:positionH>
            <wp:positionV relativeFrom="paragraph">
              <wp:posOffset>42545</wp:posOffset>
            </wp:positionV>
            <wp:extent cx="4156075" cy="2447925"/>
            <wp:effectExtent l="4445" t="5080" r="11430" b="444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9229DD">
      <w:pPr>
        <w:spacing w:line="600" w:lineRule="exact"/>
        <w:ind w:firstLineChars="200" w:firstLine="640"/>
        <w:rPr>
          <w:rFonts w:ascii="仿宋" w:eastAsia="仿宋" w:hAnsi="仿宋"/>
          <w:color w:val="000000" w:themeColor="text1"/>
          <w:sz w:val="32"/>
          <w:szCs w:val="32"/>
        </w:rPr>
      </w:pPr>
    </w:p>
    <w:p w:rsidR="009229DD" w:rsidRDefault="00E14845">
      <w:pPr>
        <w:spacing w:line="600" w:lineRule="exact"/>
        <w:ind w:firstLineChars="300" w:firstLine="960"/>
        <w:rPr>
          <w:rFonts w:ascii="仿宋_GB2312" w:eastAsia="仿宋_GB2312"/>
          <w:color w:val="FF0000"/>
          <w:sz w:val="32"/>
          <w:szCs w:val="32"/>
        </w:rPr>
      </w:pPr>
      <w:r>
        <w:rPr>
          <w:rFonts w:ascii="仿宋" w:eastAsia="仿宋" w:hAnsi="仿宋" w:hint="eastAsia"/>
          <w:color w:val="000000" w:themeColor="text1"/>
          <w:sz w:val="32"/>
          <w:szCs w:val="32"/>
        </w:rPr>
        <w:t>（图2：收入决算结构图）（饼状图）</w:t>
      </w:r>
    </w:p>
    <w:p w:rsidR="009229DD" w:rsidRDefault="00E14845">
      <w:pPr>
        <w:pStyle w:val="11"/>
        <w:numPr>
          <w:ilvl w:val="0"/>
          <w:numId w:val="2"/>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9229DD" w:rsidRDefault="00E1484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9年本年支出合计37151.33万元，其中：基本支出563.6万元，占1.52</w:t>
      </w:r>
      <w:r>
        <w:rPr>
          <w:rFonts w:ascii="仿宋" w:eastAsia="仿宋" w:hAnsi="仿宋"/>
          <w:color w:val="000000"/>
          <w:sz w:val="32"/>
          <w:szCs w:val="32"/>
        </w:rPr>
        <w:t>%</w:t>
      </w:r>
      <w:r>
        <w:rPr>
          <w:rFonts w:ascii="仿宋" w:eastAsia="仿宋" w:hAnsi="仿宋" w:hint="eastAsia"/>
          <w:color w:val="000000"/>
          <w:sz w:val="32"/>
          <w:szCs w:val="32"/>
        </w:rPr>
        <w:t>；项目支出36587.73万元，占98.48</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E14845">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0288" behindDoc="0" locked="0" layoutInCell="1" allowOverlap="1">
            <wp:simplePos x="0" y="0"/>
            <wp:positionH relativeFrom="column">
              <wp:posOffset>410845</wp:posOffset>
            </wp:positionH>
            <wp:positionV relativeFrom="paragraph">
              <wp:posOffset>-2167255</wp:posOffset>
            </wp:positionV>
            <wp:extent cx="4432935" cy="2458085"/>
            <wp:effectExtent l="4445" t="4445" r="20320" b="1397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229DD" w:rsidRDefault="00E14845">
      <w:pPr>
        <w:spacing w:line="600" w:lineRule="exact"/>
        <w:ind w:firstLineChars="200" w:firstLine="640"/>
        <w:rPr>
          <w:rFonts w:ascii="仿宋_GB2312" w:eastAsia="仿宋_GB2312"/>
          <w:color w:val="FF0000"/>
          <w:sz w:val="32"/>
          <w:szCs w:val="32"/>
        </w:rPr>
      </w:pPr>
      <w:r>
        <w:rPr>
          <w:rFonts w:ascii="仿宋" w:eastAsia="仿宋" w:hAnsi="仿宋" w:hint="eastAsia"/>
          <w:color w:val="000000" w:themeColor="text1"/>
          <w:sz w:val="32"/>
          <w:szCs w:val="32"/>
        </w:rPr>
        <w:t>（图3：支出决算结构图）（饼状图）</w:t>
      </w:r>
    </w:p>
    <w:p w:rsidR="009229DD" w:rsidRDefault="00E14845">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9229DD" w:rsidRDefault="00E1484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9年财政拨款收入总计21843.41万元，支出总计</w:t>
      </w:r>
      <w:r>
        <w:rPr>
          <w:rFonts w:ascii="仿宋" w:eastAsia="仿宋" w:hAnsi="仿宋" w:hint="eastAsia"/>
          <w:color w:val="000000"/>
          <w:sz w:val="32"/>
          <w:szCs w:val="32"/>
        </w:rPr>
        <w:lastRenderedPageBreak/>
        <w:t>37151.33万元。与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8年相比，财政拨款收入总计减少11265.07万元，支出总计增加10359.59万元，分别下降34</w:t>
      </w:r>
      <w:r>
        <w:rPr>
          <w:rFonts w:ascii="仿宋" w:eastAsia="仿宋" w:hAnsi="仿宋"/>
          <w:color w:val="000000"/>
          <w:sz w:val="32"/>
          <w:szCs w:val="32"/>
        </w:rPr>
        <w:t>%</w:t>
      </w:r>
      <w:r>
        <w:rPr>
          <w:rFonts w:ascii="仿宋" w:eastAsia="仿宋" w:hAnsi="仿宋" w:hint="eastAsia"/>
          <w:color w:val="000000"/>
          <w:sz w:val="32"/>
          <w:szCs w:val="32"/>
        </w:rPr>
        <w:t>和增长38%。主要变动原因是2019年交通建设项目资金变动。</w:t>
      </w:r>
    </w:p>
    <w:p w:rsidR="009229DD" w:rsidRDefault="00E14845">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318770</wp:posOffset>
            </wp:positionH>
            <wp:positionV relativeFrom="paragraph">
              <wp:posOffset>233045</wp:posOffset>
            </wp:positionV>
            <wp:extent cx="4728210" cy="1894840"/>
            <wp:effectExtent l="4445" t="4445" r="10795" b="571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hAnsi="仿宋" w:hint="eastAsia"/>
          <w:color w:val="000000" w:themeColor="text1"/>
          <w:sz w:val="32"/>
          <w:szCs w:val="32"/>
        </w:rPr>
        <w:t>（图4：财政拨款收、支决算总计变动情况）（柱状图）</w:t>
      </w:r>
    </w:p>
    <w:p w:rsidR="009229DD" w:rsidRDefault="00E14845">
      <w:pPr>
        <w:spacing w:line="600" w:lineRule="exact"/>
        <w:ind w:firstLine="640"/>
        <w:rPr>
          <w:rFonts w:ascii="仿宋" w:eastAsia="仿宋" w:hAnsi="仿宋"/>
          <w:b/>
          <w:color w:val="00B050"/>
          <w:sz w:val="32"/>
          <w:szCs w:val="32"/>
        </w:rPr>
      </w:pPr>
      <w:r>
        <w:rPr>
          <w:rFonts w:ascii="仿宋" w:eastAsia="仿宋" w:hAnsi="仿宋" w:hint="eastAsia"/>
          <w:b/>
          <w:color w:val="C00000"/>
          <w:sz w:val="32"/>
          <w:szCs w:val="32"/>
        </w:rPr>
        <w:t>（除国有资本经营预算外，数据来源于财决</w:t>
      </w:r>
      <w:r>
        <w:rPr>
          <w:rFonts w:ascii="仿宋" w:eastAsia="仿宋" w:hAnsi="仿宋"/>
          <w:b/>
          <w:color w:val="C00000"/>
          <w:sz w:val="32"/>
          <w:szCs w:val="32"/>
        </w:rPr>
        <w:t>Z01-1</w:t>
      </w:r>
      <w:r>
        <w:rPr>
          <w:rFonts w:ascii="仿宋" w:eastAsia="仿宋" w:hAnsi="仿宋" w:hint="eastAsia"/>
          <w:b/>
          <w:color w:val="C00000"/>
          <w:sz w:val="32"/>
          <w:szCs w:val="32"/>
        </w:rPr>
        <w:t>表，口径为“总计”数+国有资本经营预算。）</w:t>
      </w:r>
    </w:p>
    <w:p w:rsidR="009229DD" w:rsidRDefault="00E14845">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9229DD" w:rsidRDefault="00E14845" w:rsidP="009229DD">
      <w:pPr>
        <w:spacing w:line="600" w:lineRule="exact"/>
        <w:ind w:firstLineChars="200" w:firstLine="640"/>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9229DD" w:rsidRDefault="00E14845">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9年一般公共预算财政拨款支出30522.82万元，占本年支出合计的82.16</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8年相比，一般公共预算财政拨款增加17426.63万元，增长133.07</w:t>
      </w:r>
      <w:r>
        <w:rPr>
          <w:rFonts w:ascii="仿宋" w:eastAsia="仿宋" w:hAnsi="仿宋"/>
          <w:color w:val="000000"/>
          <w:sz w:val="32"/>
          <w:szCs w:val="32"/>
        </w:rPr>
        <w:t>%</w:t>
      </w:r>
      <w:r>
        <w:rPr>
          <w:rFonts w:ascii="仿宋" w:eastAsia="仿宋" w:hAnsi="仿宋" w:hint="eastAsia"/>
          <w:color w:val="000000"/>
          <w:sz w:val="32"/>
          <w:szCs w:val="32"/>
        </w:rPr>
        <w:t>。主要变动原因是2018年交通建设项目资金变动。</w:t>
      </w: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E14845">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lastRenderedPageBreak/>
        <w:drawing>
          <wp:anchor distT="0" distB="0" distL="114300" distR="114300" simplePos="0" relativeHeight="251662336" behindDoc="0" locked="0" layoutInCell="1" allowOverlap="1">
            <wp:simplePos x="0" y="0"/>
            <wp:positionH relativeFrom="column">
              <wp:posOffset>410845</wp:posOffset>
            </wp:positionH>
            <wp:positionV relativeFrom="paragraph">
              <wp:posOffset>-1405255</wp:posOffset>
            </wp:positionV>
            <wp:extent cx="4661535" cy="1704975"/>
            <wp:effectExtent l="4445" t="4445" r="20320"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229DD" w:rsidRDefault="00E14845">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9229DD" w:rsidRDefault="00E14845" w:rsidP="009229DD">
      <w:pPr>
        <w:spacing w:line="600" w:lineRule="exact"/>
        <w:ind w:firstLineChars="200" w:firstLine="640"/>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政拨款支出30522.82万元，主要用于以下方面</w:t>
      </w:r>
      <w:r>
        <w:rPr>
          <w:rFonts w:ascii="仿宋" w:eastAsia="仿宋" w:hAnsi="仿宋"/>
          <w:color w:val="000000" w:themeColor="text1"/>
          <w:sz w:val="32"/>
          <w:szCs w:val="32"/>
        </w:rPr>
        <w:t>:</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支出190.21万元，占0.63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卫生健康（类）</w:t>
      </w:r>
      <w:r>
        <w:rPr>
          <w:rFonts w:ascii="仿宋" w:eastAsia="仿宋" w:hAnsi="仿宋" w:hint="eastAsia"/>
          <w:color w:val="000000" w:themeColor="text1"/>
          <w:sz w:val="32"/>
          <w:szCs w:val="32"/>
        </w:rPr>
        <w:t>支出11.82万元，占0.04%；</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城乡社区（类）</w:t>
      </w:r>
      <w:r>
        <w:rPr>
          <w:rFonts w:ascii="仿宋" w:eastAsia="仿宋" w:hAnsi="仿宋" w:hint="eastAsia"/>
          <w:color w:val="000000" w:themeColor="text1"/>
          <w:sz w:val="32"/>
          <w:szCs w:val="32"/>
        </w:rPr>
        <w:t>支出12.4万元，占0.04%；</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农林水（类）</w:t>
      </w:r>
      <w:r>
        <w:rPr>
          <w:rFonts w:ascii="仿宋" w:eastAsia="仿宋" w:hAnsi="仿宋" w:hint="eastAsia"/>
          <w:color w:val="000000" w:themeColor="text1"/>
          <w:sz w:val="32"/>
          <w:szCs w:val="32"/>
        </w:rPr>
        <w:t>支出6470.46万元，占21.2%；</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交通运输（类）</w:t>
      </w:r>
      <w:r>
        <w:rPr>
          <w:rFonts w:ascii="仿宋" w:eastAsia="仿宋" w:hAnsi="仿宋" w:hint="eastAsia"/>
          <w:color w:val="000000" w:themeColor="text1"/>
          <w:sz w:val="32"/>
          <w:szCs w:val="32"/>
        </w:rPr>
        <w:t>支出23814.46万元，占78.03%；</w:t>
      </w:r>
    </w:p>
    <w:p w:rsidR="009229DD" w:rsidRDefault="00E14845">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住房保障（类）</w:t>
      </w:r>
      <w:r>
        <w:rPr>
          <w:rFonts w:ascii="仿宋" w:eastAsia="仿宋" w:hAnsi="仿宋" w:hint="eastAsia"/>
          <w:color w:val="000000" w:themeColor="text1"/>
          <w:sz w:val="32"/>
          <w:szCs w:val="32"/>
        </w:rPr>
        <w:t>支出23.45万元，占0.08%。</w:t>
      </w:r>
    </w:p>
    <w:p w:rsidR="009229DD" w:rsidRDefault="00E14845">
      <w:pPr>
        <w:spacing w:line="600" w:lineRule="exact"/>
        <w:ind w:firstLine="640"/>
        <w:rPr>
          <w:rFonts w:ascii="仿宋" w:eastAsia="仿宋" w:hAnsi="仿宋"/>
          <w:color w:val="C00000"/>
          <w:sz w:val="32"/>
          <w:szCs w:val="32"/>
        </w:rPr>
      </w:pPr>
      <w:r>
        <w:rPr>
          <w:rFonts w:ascii="仿宋" w:eastAsia="仿宋" w:hAnsi="仿宋" w:hint="eastAsia"/>
          <w:b/>
          <w:color w:val="C00000"/>
          <w:sz w:val="32"/>
          <w:szCs w:val="32"/>
        </w:rPr>
        <w:t>（罗列全部功能分类科目，至类级。）</w:t>
      </w: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9229DD">
      <w:pPr>
        <w:spacing w:line="600" w:lineRule="exact"/>
        <w:ind w:firstLineChars="200" w:firstLine="640"/>
        <w:rPr>
          <w:rFonts w:ascii="仿宋" w:eastAsia="仿宋" w:hAnsi="仿宋"/>
          <w:color w:val="000000"/>
          <w:sz w:val="32"/>
          <w:szCs w:val="32"/>
        </w:rPr>
      </w:pPr>
    </w:p>
    <w:p w:rsidR="009229DD" w:rsidRDefault="00E14845">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3360" behindDoc="0" locked="0" layoutInCell="1" allowOverlap="1">
            <wp:simplePos x="0" y="0"/>
            <wp:positionH relativeFrom="column">
              <wp:posOffset>410845</wp:posOffset>
            </wp:positionH>
            <wp:positionV relativeFrom="paragraph">
              <wp:posOffset>-2205355</wp:posOffset>
            </wp:positionV>
            <wp:extent cx="4965700" cy="2867025"/>
            <wp:effectExtent l="4445" t="4445" r="20955" b="508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229DD" w:rsidRDefault="00E14845">
      <w:pPr>
        <w:spacing w:line="600" w:lineRule="exact"/>
        <w:ind w:firstLineChars="100" w:firstLine="320"/>
        <w:rPr>
          <w:rFonts w:ascii="仿宋" w:eastAsia="仿宋" w:hAnsi="仿宋"/>
          <w:color w:val="000000"/>
          <w:sz w:val="32"/>
          <w:szCs w:val="32"/>
        </w:rPr>
      </w:pPr>
      <w:r>
        <w:rPr>
          <w:rFonts w:ascii="仿宋" w:eastAsia="仿宋" w:hAnsi="仿宋" w:hint="eastAsia"/>
          <w:color w:val="000000"/>
          <w:sz w:val="32"/>
          <w:szCs w:val="32"/>
        </w:rPr>
        <w:t>（</w:t>
      </w:r>
    </w:p>
    <w:p w:rsidR="009229DD" w:rsidRDefault="00E14845">
      <w:pPr>
        <w:spacing w:line="600" w:lineRule="exact"/>
        <w:ind w:firstLineChars="100" w:firstLine="320"/>
        <w:rPr>
          <w:rFonts w:ascii="仿宋" w:eastAsia="仿宋" w:hAnsi="仿宋"/>
          <w:color w:val="000000"/>
          <w:sz w:val="32"/>
          <w:szCs w:val="32"/>
        </w:rPr>
      </w:pPr>
      <w:r>
        <w:rPr>
          <w:rFonts w:ascii="仿宋" w:eastAsia="仿宋" w:hAnsi="仿宋" w:hint="eastAsia"/>
          <w:color w:val="000000"/>
          <w:sz w:val="32"/>
          <w:szCs w:val="32"/>
        </w:rPr>
        <w:lastRenderedPageBreak/>
        <w:t>图6：一般公共预算财政拨款支出决算结构）（饼状图）</w:t>
      </w:r>
    </w:p>
    <w:p w:rsidR="009229DD" w:rsidRDefault="009229DD">
      <w:pPr>
        <w:spacing w:line="600" w:lineRule="exact"/>
        <w:ind w:firstLineChars="200" w:firstLine="640"/>
        <w:rPr>
          <w:rFonts w:ascii="仿宋" w:eastAsia="仿宋" w:hAnsi="仿宋"/>
          <w:color w:val="000000"/>
          <w:sz w:val="32"/>
          <w:szCs w:val="32"/>
        </w:rPr>
      </w:pPr>
    </w:p>
    <w:p w:rsidR="009229DD" w:rsidRDefault="00E14845" w:rsidP="009229DD">
      <w:pPr>
        <w:spacing w:line="600" w:lineRule="exact"/>
        <w:ind w:firstLineChars="200" w:firstLine="640"/>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9229DD" w:rsidRDefault="00E14845" w:rsidP="009229DD">
      <w:pPr>
        <w:spacing w:line="600" w:lineRule="exact"/>
        <w:ind w:firstLineChars="200" w:firstLine="640"/>
        <w:outlineLvl w:val="2"/>
        <w:rPr>
          <w:rFonts w:ascii="仿宋" w:eastAsia="仿宋" w:hAnsi="仿宋"/>
          <w:b/>
          <w:color w:val="000000"/>
          <w:sz w:val="32"/>
          <w:szCs w:val="32"/>
        </w:rPr>
      </w:pPr>
      <w:bookmarkStart w:id="37" w:name="_Toc15377444"/>
      <w:bookmarkStart w:id="38" w:name="_Toc15377213"/>
      <w:bookmarkStart w:id="39" w:name="_Toc15378460"/>
      <w:r>
        <w:rPr>
          <w:rFonts w:ascii="仿宋" w:eastAsia="仿宋" w:hAnsi="仿宋" w:hint="eastAsia"/>
          <w:b/>
          <w:color w:val="000000" w:themeColor="text1"/>
          <w:sz w:val="32"/>
          <w:szCs w:val="32"/>
        </w:rPr>
        <w:t>2019年一般公共预算支出决算数为30522.82</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社会保障和就业（类）行政事业单位离退休、人力资源和社会保障管理事务、抚恤（款）其他人力资源和社会保障管理事务支出（项）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支出决算为190.21万元，完成预算100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color w:val="000000"/>
          <w:sz w:val="32"/>
          <w:szCs w:val="32"/>
        </w:rPr>
        <w:t>2.卫生健康（类）行政事业单位医疗、财政对基本医疗保险基金的补助（款）行政单位医疗、事业单位医疗、财政对其他基本医疗保险基金的补助（项）：</w:t>
      </w:r>
      <w:r>
        <w:rPr>
          <w:rStyle w:val="a7"/>
          <w:rFonts w:ascii="仿宋" w:eastAsia="仿宋" w:hAnsi="仿宋" w:hint="eastAsia"/>
          <w:b w:val="0"/>
          <w:bCs/>
          <w:color w:val="000000"/>
          <w:sz w:val="32"/>
          <w:szCs w:val="32"/>
        </w:rPr>
        <w:t>支出决算为11.82万元，完成预算100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color w:val="000000"/>
          <w:sz w:val="32"/>
          <w:szCs w:val="32"/>
        </w:rPr>
        <w:t>3.城乡社区支出（类）城乡社区管理事务（款）其他城乡社区管理事务支出（项）：</w:t>
      </w:r>
      <w:r>
        <w:rPr>
          <w:rStyle w:val="a7"/>
          <w:rFonts w:ascii="仿宋" w:eastAsia="仿宋" w:hAnsi="仿宋" w:hint="eastAsia"/>
          <w:b w:val="0"/>
          <w:bCs/>
          <w:color w:val="000000"/>
          <w:sz w:val="32"/>
          <w:szCs w:val="32"/>
        </w:rPr>
        <w:t>支出决算为12.4万元，完成预算100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Fonts w:ascii="仿宋" w:eastAsia="仿宋" w:hAnsi="仿宋" w:hint="eastAsia"/>
          <w:b/>
          <w:bCs/>
          <w:color w:val="000000"/>
          <w:sz w:val="32"/>
          <w:szCs w:val="32"/>
        </w:rPr>
        <w:t>4.农林水支出（类）农业（款）农村公益事业（项）：</w:t>
      </w:r>
      <w:r>
        <w:rPr>
          <w:rStyle w:val="a7"/>
          <w:rFonts w:ascii="仿宋" w:eastAsia="仿宋" w:hAnsi="仿宋" w:hint="eastAsia"/>
          <w:b w:val="0"/>
          <w:bCs/>
          <w:color w:val="000000"/>
          <w:sz w:val="32"/>
          <w:szCs w:val="32"/>
        </w:rPr>
        <w:t>支出决算为6470.46万元，完成预算100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color w:val="000000"/>
          <w:sz w:val="32"/>
          <w:szCs w:val="32"/>
        </w:rPr>
        <w:t>5.交通运输支出（类）公路水路运输、车辆购置税支出（款）行政运行、一般行政管理事务、公路建设、公路养护、公路和运输安全、车辆购置税用于公路等基础设施建设支出、车辆购置税用于农村公路建设支出、车辆购置税其他支</w:t>
      </w:r>
      <w:r>
        <w:rPr>
          <w:rStyle w:val="a7"/>
          <w:rFonts w:ascii="仿宋" w:eastAsia="仿宋" w:hAnsi="仿宋" w:hint="eastAsia"/>
          <w:color w:val="000000"/>
          <w:sz w:val="32"/>
          <w:szCs w:val="32"/>
        </w:rPr>
        <w:lastRenderedPageBreak/>
        <w:t>出（项）：</w:t>
      </w:r>
      <w:r>
        <w:rPr>
          <w:rStyle w:val="a7"/>
          <w:rFonts w:ascii="仿宋" w:eastAsia="仿宋" w:hAnsi="仿宋" w:hint="eastAsia"/>
          <w:b w:val="0"/>
          <w:bCs/>
          <w:color w:val="000000"/>
          <w:sz w:val="32"/>
          <w:szCs w:val="32"/>
        </w:rPr>
        <w:t>支出决算为23814.46万元，完成预算100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rsidP="009229DD">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color w:val="000000"/>
          <w:sz w:val="32"/>
          <w:szCs w:val="32"/>
        </w:rPr>
        <w:t>6.住房保障支出（类）住房改革支出（款）住房公积金（项）：</w:t>
      </w:r>
      <w:r>
        <w:rPr>
          <w:rStyle w:val="a7"/>
          <w:rFonts w:ascii="仿宋" w:eastAsia="仿宋" w:hAnsi="仿宋" w:hint="eastAsia"/>
          <w:b w:val="0"/>
          <w:bCs/>
          <w:color w:val="000000"/>
          <w:sz w:val="32"/>
          <w:szCs w:val="32"/>
        </w:rPr>
        <w:t>支出决算为23.45万元，完成预算100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（数据来源财决</w:t>
      </w:r>
      <w:r>
        <w:rPr>
          <w:rFonts w:ascii="仿宋" w:eastAsia="仿宋" w:hAnsi="仿宋"/>
          <w:b/>
          <w:color w:val="000000"/>
          <w:sz w:val="32"/>
          <w:szCs w:val="32"/>
        </w:rPr>
        <w:t>08</w:t>
      </w:r>
      <w:r>
        <w:rPr>
          <w:rFonts w:ascii="仿宋" w:eastAsia="仿宋" w:hAnsi="仿宋" w:hint="eastAsia"/>
          <w:b/>
          <w:color w:val="000000"/>
          <w:sz w:val="32"/>
          <w:szCs w:val="32"/>
        </w:rPr>
        <w:t>表，罗列全部功能分类科目至项级。上述“预算”口径为调整预算数。增减变动原因为决算数</w:t>
      </w:r>
      <w:r>
        <w:rPr>
          <w:rFonts w:ascii="仿宋" w:eastAsia="仿宋" w:hAnsi="仿宋"/>
          <w:b/>
          <w:color w:val="000000"/>
          <w:sz w:val="32"/>
          <w:szCs w:val="32"/>
        </w:rPr>
        <w:t>&lt;</w:t>
      </w:r>
      <w:r>
        <w:rPr>
          <w:rFonts w:ascii="仿宋" w:eastAsia="仿宋" w:hAnsi="仿宋" w:hint="eastAsia"/>
          <w:b/>
          <w:color w:val="000000"/>
          <w:sz w:val="32"/>
          <w:szCs w:val="32"/>
        </w:rPr>
        <w:t>项级</w:t>
      </w:r>
      <w:r>
        <w:rPr>
          <w:rFonts w:ascii="仿宋" w:eastAsia="仿宋" w:hAnsi="仿宋"/>
          <w:b/>
          <w:color w:val="000000"/>
          <w:sz w:val="32"/>
          <w:szCs w:val="32"/>
        </w:rPr>
        <w:t>&gt;</w:t>
      </w:r>
      <w:r>
        <w:rPr>
          <w:rFonts w:ascii="仿宋" w:eastAsia="仿宋" w:hAnsi="仿宋" w:hint="eastAsia"/>
          <w:b/>
          <w:color w:val="000000"/>
          <w:sz w:val="32"/>
          <w:szCs w:val="32"/>
        </w:rPr>
        <w:t>和调整预算数</w:t>
      </w:r>
      <w:r>
        <w:rPr>
          <w:rFonts w:ascii="仿宋" w:eastAsia="仿宋" w:hAnsi="仿宋"/>
          <w:b/>
          <w:color w:val="000000"/>
          <w:sz w:val="32"/>
          <w:szCs w:val="32"/>
        </w:rPr>
        <w:t>&lt;</w:t>
      </w:r>
      <w:r>
        <w:rPr>
          <w:rFonts w:ascii="仿宋" w:eastAsia="仿宋" w:hAnsi="仿宋" w:hint="eastAsia"/>
          <w:b/>
          <w:color w:val="000000"/>
          <w:sz w:val="32"/>
          <w:szCs w:val="32"/>
        </w:rPr>
        <w:t>项级</w:t>
      </w:r>
      <w:r>
        <w:rPr>
          <w:rFonts w:ascii="仿宋" w:eastAsia="仿宋" w:hAnsi="仿宋"/>
          <w:b/>
          <w:color w:val="000000"/>
          <w:sz w:val="32"/>
          <w:szCs w:val="32"/>
        </w:rPr>
        <w:t>&gt;</w:t>
      </w:r>
      <w:r>
        <w:rPr>
          <w:rFonts w:ascii="仿宋" w:eastAsia="仿宋" w:hAnsi="仿宋" w:hint="eastAsia"/>
          <w:b/>
          <w:color w:val="000000"/>
          <w:sz w:val="32"/>
          <w:szCs w:val="32"/>
        </w:rPr>
        <w:t>比较，与预算数持平可以不写原因。）</w:t>
      </w:r>
    </w:p>
    <w:p w:rsidR="009229DD" w:rsidRDefault="00E14845">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9229DD" w:rsidRDefault="00E14845">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9年一般公共预算财政拨款基本支出563.59万元，其中：</w:t>
      </w:r>
    </w:p>
    <w:p w:rsidR="009229DD" w:rsidRDefault="00E14845">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410.95万元，主要包括：基本工资、津贴补贴、奖金、绩效工资、机关事业单位基本养老保险缴费、职业年金缴费、其他社会保障缴费、其他工资福利支出、离休费、退休费、抚恤金、生活补助、住房公积金、其他对个人和家庭的补助支出等。</w:t>
      </w:r>
      <w:r>
        <w:rPr>
          <w:rFonts w:ascii="仿宋" w:eastAsia="仿宋" w:hAnsi="仿宋"/>
          <w:b/>
          <w:bCs/>
          <w:color w:val="C00000"/>
          <w:sz w:val="32"/>
          <w:szCs w:val="32"/>
        </w:rPr>
        <w:br/>
      </w:r>
      <w:r>
        <w:rPr>
          <w:rFonts w:ascii="仿宋" w:eastAsia="仿宋" w:hAnsi="仿宋" w:hint="eastAsia"/>
          <w:color w:val="000000"/>
          <w:sz w:val="32"/>
          <w:szCs w:val="32"/>
        </w:rPr>
        <w:t xml:space="preserve">　　公用经费152.64万元，主要包括：办公费、印刷费、水费、电费、邮电费、物业管理费、差旅费、培训费、公务接待费、劳务费、工会经费、其他商品和服务支出等。</w:t>
      </w:r>
    </w:p>
    <w:p w:rsidR="009229DD" w:rsidRDefault="00E14845">
      <w:pPr>
        <w:spacing w:line="600" w:lineRule="exact"/>
        <w:ind w:firstLine="640"/>
        <w:rPr>
          <w:rFonts w:ascii="仿宋" w:eastAsia="仿宋" w:hAnsi="仿宋"/>
          <w:b/>
          <w:color w:val="FF0000"/>
          <w:sz w:val="32"/>
          <w:szCs w:val="32"/>
        </w:rPr>
      </w:pPr>
      <w:r>
        <w:rPr>
          <w:rFonts w:ascii="仿宋" w:eastAsia="仿宋" w:hAnsi="仿宋" w:hint="eastAsia"/>
          <w:b/>
          <w:color w:val="000000" w:themeColor="text1"/>
          <w:sz w:val="32"/>
          <w:szCs w:val="32"/>
        </w:rPr>
        <w:t>（数据来源财决</w:t>
      </w:r>
      <w:r>
        <w:rPr>
          <w:rFonts w:ascii="仿宋" w:eastAsia="仿宋" w:hAnsi="仿宋"/>
          <w:b/>
          <w:color w:val="000000" w:themeColor="text1"/>
          <w:sz w:val="32"/>
          <w:szCs w:val="32"/>
        </w:rPr>
        <w:t>0</w:t>
      </w:r>
      <w:r>
        <w:rPr>
          <w:rFonts w:ascii="仿宋" w:eastAsia="仿宋" w:hAnsi="仿宋" w:hint="eastAsia"/>
          <w:b/>
          <w:color w:val="000000" w:themeColor="text1"/>
          <w:sz w:val="32"/>
          <w:szCs w:val="32"/>
        </w:rPr>
        <w:t>8-1表，根据本部门实际支出情况罗列全部经济分类科目。）</w:t>
      </w:r>
    </w:p>
    <w:p w:rsidR="009229DD" w:rsidRDefault="00E14845">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9229DD" w:rsidRDefault="00E14845">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lastRenderedPageBreak/>
        <w:t>（一）“三公”经费财政拨款支出决算总体情况说明</w:t>
      </w:r>
      <w:bookmarkEnd w:id="44"/>
    </w:p>
    <w:p w:rsidR="009229DD" w:rsidRDefault="00E14845">
      <w:pPr>
        <w:spacing w:line="600" w:lineRule="exact"/>
        <w:ind w:firstLineChars="200" w:firstLine="640"/>
        <w:rPr>
          <w:rStyle w:val="a7"/>
          <w:rFonts w:ascii="仿宋" w:eastAsia="仿宋" w:hAnsi="仿宋"/>
          <w:b w:val="0"/>
          <w:bCs/>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9年“三公”经费财政拨款支出决算为10万元，完成预算100</w:t>
      </w:r>
      <w:r>
        <w:rPr>
          <w:rFonts w:ascii="仿宋" w:eastAsia="仿宋" w:hAnsi="仿宋"/>
          <w:color w:val="000000"/>
          <w:sz w:val="32"/>
          <w:szCs w:val="32"/>
        </w:rPr>
        <w:t>%</w:t>
      </w:r>
      <w:r>
        <w:rPr>
          <w:rFonts w:ascii="仿宋" w:eastAsia="仿宋" w:hAnsi="仿宋" w:hint="eastAsia"/>
          <w:color w:val="000000"/>
          <w:sz w:val="32"/>
          <w:szCs w:val="32"/>
        </w:rPr>
        <w:t>，</w:t>
      </w:r>
      <w:r>
        <w:rPr>
          <w:rStyle w:val="a7"/>
          <w:rFonts w:ascii="仿宋" w:eastAsia="仿宋" w:hAnsi="仿宋" w:hint="eastAsia"/>
          <w:b w:val="0"/>
          <w:bCs/>
          <w:color w:val="000000"/>
          <w:sz w:val="32"/>
          <w:szCs w:val="32"/>
        </w:rPr>
        <w:t>决算数等于预算数。</w:t>
      </w:r>
    </w:p>
    <w:p w:rsidR="009229DD" w:rsidRDefault="00E14845">
      <w:pPr>
        <w:spacing w:line="600" w:lineRule="exact"/>
        <w:ind w:firstLine="640"/>
        <w:rPr>
          <w:rFonts w:ascii="仿宋" w:eastAsia="仿宋" w:hAnsi="仿宋"/>
          <w:b/>
          <w:color w:val="000000" w:themeColor="text1"/>
          <w:sz w:val="32"/>
          <w:szCs w:val="32"/>
        </w:rPr>
      </w:pPr>
      <w:r>
        <w:rPr>
          <w:rFonts w:ascii="仿宋" w:eastAsia="仿宋" w:hAnsi="仿宋" w:hint="eastAsia"/>
          <w:b/>
          <w:color w:val="000000"/>
          <w:sz w:val="32"/>
          <w:szCs w:val="32"/>
        </w:rPr>
        <w:t>（上述“预算”口径为调整预</w:t>
      </w:r>
      <w:r>
        <w:rPr>
          <w:rFonts w:ascii="仿宋" w:eastAsia="仿宋" w:hAnsi="仿宋" w:hint="eastAsia"/>
          <w:b/>
          <w:color w:val="000000" w:themeColor="text1"/>
          <w:sz w:val="32"/>
          <w:szCs w:val="32"/>
        </w:rPr>
        <w:t>算数，包括政府性基金支出决算情况。）</w:t>
      </w:r>
    </w:p>
    <w:p w:rsidR="009229DD" w:rsidRDefault="00E14845">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9229DD" w:rsidRDefault="00E1484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；公务接待费支出决算10万元，占100</w:t>
      </w:r>
      <w:r>
        <w:rPr>
          <w:rFonts w:ascii="仿宋" w:eastAsia="仿宋" w:hAnsi="仿宋"/>
          <w:color w:val="000000"/>
          <w:sz w:val="32"/>
          <w:szCs w:val="32"/>
        </w:rPr>
        <w:t>%</w:t>
      </w:r>
      <w:r>
        <w:rPr>
          <w:rFonts w:ascii="仿宋" w:eastAsia="仿宋" w:hAnsi="仿宋" w:hint="eastAsia"/>
          <w:color w:val="000000"/>
          <w:sz w:val="32"/>
          <w:szCs w:val="32"/>
        </w:rPr>
        <w:t>。具体情况如下：</w:t>
      </w: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9229DD">
      <w:pPr>
        <w:spacing w:line="600" w:lineRule="exact"/>
        <w:ind w:firstLine="640"/>
        <w:rPr>
          <w:rFonts w:ascii="仿宋" w:eastAsia="仿宋" w:hAnsi="仿宋"/>
          <w:color w:val="000000"/>
          <w:sz w:val="32"/>
          <w:szCs w:val="32"/>
        </w:rPr>
      </w:pPr>
    </w:p>
    <w:p w:rsidR="009229DD" w:rsidRDefault="00E14845">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410845</wp:posOffset>
            </wp:positionH>
            <wp:positionV relativeFrom="paragraph">
              <wp:posOffset>-2529205</wp:posOffset>
            </wp:positionV>
            <wp:extent cx="4727575" cy="2820035"/>
            <wp:effectExtent l="4445" t="4445" r="11430" b="1397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229DD" w:rsidRDefault="00E14845">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（图8：“三公”经费财政拨款支出结构）（饼状图）</w:t>
      </w:r>
    </w:p>
    <w:p w:rsidR="009229DD" w:rsidRDefault="00E1484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9229DD" w:rsidRDefault="00E14845">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lastRenderedPageBreak/>
        <w:t>开支内容包括：…（团组名称、出访地点、取得成效）等。</w:t>
      </w:r>
    </w:p>
    <w:p w:rsidR="009229DD" w:rsidRDefault="00E1484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9229DD" w:rsidRDefault="00E14845">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公务用车购置支出0</w:t>
      </w:r>
      <w:r>
        <w:rPr>
          <w:rFonts w:ascii="仿宋_GB2312" w:eastAsia="仿宋_GB2312" w:hint="eastAsia"/>
          <w:color w:val="000000"/>
          <w:sz w:val="32"/>
          <w:szCs w:val="32"/>
        </w:rPr>
        <w:t>万元。全年按规定更新购置公务用车0辆，其中：轿车0辆、金额0万元，越野车0辆、金额0万元，载客汽车0辆、金额0元。截至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月底，单位共有公务用车0辆，其中：轿车0辆、越野车0辆、载客汽车0辆。</w:t>
      </w:r>
    </w:p>
    <w:p w:rsidR="009229DD" w:rsidRDefault="00E14845">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9229DD" w:rsidRDefault="00E1484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公务接待费支出10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8年减少2.37万元，下降19.16</w:t>
      </w:r>
      <w:r>
        <w:rPr>
          <w:rFonts w:ascii="仿宋_GB2312" w:eastAsia="仿宋_GB2312"/>
          <w:color w:val="000000"/>
          <w:sz w:val="32"/>
          <w:szCs w:val="32"/>
        </w:rPr>
        <w:t>%</w:t>
      </w:r>
      <w:r>
        <w:rPr>
          <w:rFonts w:ascii="仿宋_GB2312" w:eastAsia="仿宋_GB2312" w:hint="eastAsia"/>
          <w:color w:val="000000"/>
          <w:sz w:val="32"/>
          <w:szCs w:val="32"/>
        </w:rPr>
        <w:t>。主要原因是接待费用减少。</w:t>
      </w:r>
    </w:p>
    <w:p w:rsidR="009229DD" w:rsidRDefault="00E1484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主要用于开展业务活动开支的交通费、住宿费、用餐费等。国内公务接待200批次，2000人次（不包括陪同人员），共计支出10万元，具体内容包括：四好农村公路示范县创建考评接待费，金额1062元等。</w:t>
      </w:r>
    </w:p>
    <w:p w:rsidR="009229DD" w:rsidRDefault="00E14845">
      <w:pPr>
        <w:spacing w:line="600" w:lineRule="exact"/>
        <w:ind w:firstLineChars="200" w:firstLine="640"/>
        <w:rPr>
          <w:rFonts w:ascii="仿宋" w:eastAsia="仿宋_GB2312" w:hAnsi="仿宋"/>
          <w:b/>
          <w:color w:val="C00000"/>
          <w:sz w:val="32"/>
          <w:szCs w:val="32"/>
        </w:rPr>
      </w:pPr>
      <w:r>
        <w:rPr>
          <w:rFonts w:ascii="仿宋_GB2312" w:eastAsia="仿宋_GB2312" w:hint="eastAsia"/>
          <w:color w:val="000000"/>
          <w:sz w:val="32"/>
          <w:szCs w:val="32"/>
        </w:rPr>
        <w:t>其中：</w:t>
      </w:r>
      <w:r>
        <w:rPr>
          <w:rFonts w:ascii="仿宋" w:eastAsia="仿宋" w:hAnsi="仿宋" w:hint="eastAsia"/>
          <w:b/>
          <w:color w:val="000000"/>
          <w:sz w:val="32"/>
          <w:szCs w:val="32"/>
        </w:rPr>
        <w:t>外事接待支出0</w:t>
      </w:r>
      <w:r>
        <w:rPr>
          <w:rFonts w:ascii="仿宋_GB2312" w:eastAsia="仿宋_GB2312" w:hint="eastAsia"/>
          <w:color w:val="000000"/>
          <w:sz w:val="32"/>
          <w:szCs w:val="32"/>
        </w:rPr>
        <w:t>万元。</w:t>
      </w:r>
    </w:p>
    <w:p w:rsidR="009229DD" w:rsidRDefault="00E14845">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其他国内公务接待支出0</w:t>
      </w:r>
      <w:r>
        <w:rPr>
          <w:rFonts w:ascii="仿宋_GB2312" w:eastAsia="仿宋_GB2312" w:hint="eastAsia"/>
          <w:color w:val="000000"/>
          <w:sz w:val="32"/>
          <w:szCs w:val="32"/>
        </w:rPr>
        <w:t>万元</w:t>
      </w:r>
      <w:bookmarkStart w:id="46" w:name="_Toc15377218"/>
      <w:bookmarkStart w:id="47" w:name="_Toc15396610"/>
      <w:r>
        <w:rPr>
          <w:rFonts w:ascii="仿宋_GB2312" w:eastAsia="仿宋_GB2312" w:hint="eastAsia"/>
          <w:color w:val="000000"/>
          <w:sz w:val="32"/>
          <w:szCs w:val="32"/>
        </w:rPr>
        <w:t>。</w:t>
      </w:r>
    </w:p>
    <w:p w:rsidR="009229DD" w:rsidRDefault="00E14845">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9229DD" w:rsidRDefault="00E14845">
      <w:pPr>
        <w:spacing w:line="600" w:lineRule="exact"/>
        <w:ind w:firstLine="640"/>
        <w:rPr>
          <w:rFonts w:ascii="仿宋_GB2312" w:eastAsia="仿宋_GB2312"/>
          <w:color w:val="000000"/>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9年政府性基金预算拨款支出6628.51万元。</w:t>
      </w:r>
    </w:p>
    <w:p w:rsidR="009229DD" w:rsidRDefault="00E14845">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9229DD" w:rsidRDefault="00E1484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9229DD" w:rsidRDefault="00E14845">
      <w:pPr>
        <w:pStyle w:val="111"/>
        <w:numPr>
          <w:ilvl w:val="0"/>
          <w:numId w:val="4"/>
        </w:numPr>
        <w:spacing w:line="580" w:lineRule="exact"/>
        <w:ind w:firstLineChars="0"/>
        <w:rPr>
          <w:rFonts w:ascii="仿宋" w:eastAsia="仿宋" w:hAnsi="仿宋" w:cs="楷体_GB2312"/>
          <w:b/>
          <w:bCs/>
          <w:sz w:val="32"/>
          <w:szCs w:val="32"/>
        </w:rPr>
      </w:pPr>
      <w:bookmarkStart w:id="50" w:name="_Toc15377221"/>
      <w:bookmarkStart w:id="51" w:name="_Toc15396612"/>
      <w:r>
        <w:rPr>
          <w:rStyle w:val="2Char"/>
          <w:rFonts w:ascii="黑体" w:eastAsia="黑体" w:hAnsi="黑体" w:cs="黑体" w:hint="eastAsia"/>
          <w:b w:val="0"/>
        </w:rPr>
        <w:t>预算绩效情况说明</w:t>
      </w:r>
    </w:p>
    <w:p w:rsidR="009229DD" w:rsidRDefault="00E14845">
      <w:pPr>
        <w:spacing w:line="580" w:lineRule="exact"/>
        <w:rPr>
          <w:rFonts w:ascii="仿宋" w:eastAsia="仿宋" w:hAnsi="仿宋" w:cs="楷体_GB2312"/>
          <w:b/>
          <w:bCs/>
          <w:sz w:val="32"/>
          <w:szCs w:val="32"/>
        </w:rPr>
      </w:pPr>
      <w:r>
        <w:rPr>
          <w:rFonts w:ascii="仿宋" w:eastAsia="仿宋" w:hAnsi="仿宋" w:cs="楷体_GB2312" w:hint="eastAsia"/>
          <w:b/>
          <w:bCs/>
          <w:sz w:val="32"/>
          <w:szCs w:val="32"/>
        </w:rPr>
        <w:t xml:space="preserve">    （一）预算绩效管理工作开展情况。</w:t>
      </w:r>
    </w:p>
    <w:p w:rsidR="009229DD" w:rsidRDefault="00E14845">
      <w:pPr>
        <w:widowControl/>
        <w:wordWrap w:val="0"/>
        <w:ind w:leftChars="71" w:left="149" w:firstLineChars="200" w:firstLine="640"/>
        <w:jc w:val="left"/>
        <w:textAlignment w:val="bottom"/>
        <w:rPr>
          <w:rFonts w:ascii="仿宋" w:eastAsia="仿宋" w:hAnsi="仿宋" w:cs="楷体_GB2312"/>
          <w:b/>
          <w:bCs/>
          <w:color w:val="C00000"/>
          <w:sz w:val="32"/>
          <w:szCs w:val="32"/>
        </w:rPr>
      </w:pPr>
      <w:r>
        <w:rPr>
          <w:rFonts w:ascii="仿宋_GB2312" w:eastAsia="仿宋_GB2312" w:hAnsi="仿宋_GB2312" w:cs="仿宋_GB2312" w:hint="eastAsia"/>
          <w:sz w:val="32"/>
          <w:szCs w:val="32"/>
        </w:rPr>
        <w:t>根据预算绩效管理要求，本部门（单位）在年初预算编制阶段，组织对国省干线及重点项目、农村公路、安保工程、桥梁及站点建设项目开展了预算事前绩效评估，对省道202线建设等3个项目编制了绩效目标；预算执行过程中，选取3个项目开展了绩效监控；年终执行完毕后，对3个项目开展了绩效目标完成情况梳理填报。</w:t>
      </w:r>
    </w:p>
    <w:p w:rsidR="009229DD" w:rsidRDefault="00E14845">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本部门按要求对2019年部门整体支出开展绩效自评，从评价情况来看，全县今年新（续）项目42个，圆满完成任务，</w:t>
      </w:r>
      <w:r>
        <w:rPr>
          <w:rFonts w:eastAsia="仿宋_GB2312"/>
          <w:kern w:val="0"/>
          <w:sz w:val="33"/>
          <w:szCs w:val="33"/>
        </w:rPr>
        <w:t>其中北出口及连接线、省道</w:t>
      </w:r>
      <w:r>
        <w:rPr>
          <w:rFonts w:eastAsia="仿宋_GB2312"/>
          <w:kern w:val="0"/>
          <w:sz w:val="33"/>
          <w:szCs w:val="33"/>
        </w:rPr>
        <w:t>406</w:t>
      </w:r>
      <w:r>
        <w:rPr>
          <w:rFonts w:eastAsia="仿宋_GB2312"/>
          <w:kern w:val="0"/>
          <w:sz w:val="33"/>
          <w:szCs w:val="33"/>
        </w:rPr>
        <w:t>二期、华蓥山东麓产业大道南段、省道</w:t>
      </w:r>
      <w:r>
        <w:rPr>
          <w:rFonts w:eastAsia="仿宋_GB2312"/>
          <w:kern w:val="0"/>
          <w:sz w:val="33"/>
          <w:szCs w:val="33"/>
        </w:rPr>
        <w:t>202</w:t>
      </w:r>
      <w:r>
        <w:rPr>
          <w:rFonts w:eastAsia="仿宋_GB2312"/>
          <w:kern w:val="0"/>
          <w:sz w:val="33"/>
          <w:szCs w:val="33"/>
        </w:rPr>
        <w:t>等</w:t>
      </w:r>
      <w:r>
        <w:rPr>
          <w:rFonts w:eastAsia="仿宋_GB2312"/>
          <w:kern w:val="0"/>
          <w:sz w:val="33"/>
          <w:szCs w:val="33"/>
        </w:rPr>
        <w:t>4</w:t>
      </w:r>
      <w:r>
        <w:rPr>
          <w:rFonts w:eastAsia="仿宋_GB2312"/>
          <w:kern w:val="0"/>
          <w:sz w:val="33"/>
          <w:szCs w:val="33"/>
        </w:rPr>
        <w:t>个工程开工建设，实现了县委决策；</w:t>
      </w:r>
      <w:r>
        <w:rPr>
          <w:rFonts w:eastAsia="仿宋_GB2312"/>
          <w:color w:val="000000"/>
          <w:kern w:val="0"/>
          <w:sz w:val="33"/>
          <w:szCs w:val="33"/>
        </w:rPr>
        <w:t>广忠黔铁路、城宣大邻高速、长渝邻快速通道、省道</w:t>
      </w:r>
      <w:r>
        <w:rPr>
          <w:rFonts w:eastAsia="仿宋_GB2312"/>
          <w:color w:val="000000"/>
          <w:kern w:val="0"/>
          <w:sz w:val="33"/>
          <w:szCs w:val="33"/>
        </w:rPr>
        <w:t>407</w:t>
      </w:r>
      <w:r>
        <w:rPr>
          <w:rFonts w:eastAsia="仿宋_GB2312"/>
          <w:color w:val="000000"/>
          <w:kern w:val="0"/>
          <w:sz w:val="33"/>
          <w:szCs w:val="33"/>
        </w:rPr>
        <w:t>、广邻快速通道等</w:t>
      </w:r>
      <w:r>
        <w:rPr>
          <w:rFonts w:eastAsia="仿宋_GB2312"/>
          <w:color w:val="000000"/>
          <w:kern w:val="0"/>
          <w:sz w:val="33"/>
          <w:szCs w:val="33"/>
        </w:rPr>
        <w:t>5</w:t>
      </w:r>
      <w:r>
        <w:rPr>
          <w:rFonts w:eastAsia="仿宋_GB2312"/>
          <w:color w:val="000000"/>
          <w:kern w:val="0"/>
          <w:sz w:val="33"/>
          <w:szCs w:val="33"/>
        </w:rPr>
        <w:t>个项目取得实质性进展；省道</w:t>
      </w:r>
      <w:r>
        <w:rPr>
          <w:rFonts w:eastAsia="仿宋_GB2312"/>
          <w:color w:val="000000"/>
          <w:kern w:val="0"/>
          <w:sz w:val="33"/>
          <w:szCs w:val="33"/>
        </w:rPr>
        <w:t>208</w:t>
      </w:r>
      <w:r>
        <w:rPr>
          <w:rFonts w:eastAsia="仿宋_GB2312"/>
          <w:color w:val="000000"/>
          <w:kern w:val="0"/>
          <w:sz w:val="33"/>
          <w:szCs w:val="33"/>
        </w:rPr>
        <w:t>子中至大湾支线、南北大道北延段等</w:t>
      </w:r>
      <w:r>
        <w:rPr>
          <w:rFonts w:eastAsia="仿宋_GB2312"/>
          <w:color w:val="000000"/>
          <w:kern w:val="0"/>
          <w:sz w:val="33"/>
          <w:szCs w:val="33"/>
        </w:rPr>
        <w:t>2</w:t>
      </w:r>
      <w:r>
        <w:rPr>
          <w:rFonts w:eastAsia="仿宋_GB2312"/>
          <w:color w:val="000000"/>
          <w:kern w:val="0"/>
          <w:sz w:val="33"/>
          <w:szCs w:val="33"/>
        </w:rPr>
        <w:t>个项目正在积极对接；机械化养护中心已完成选址，正在进行设计；县乡道改善提升风垭至御临、长安至大堰、双五路、丰凉路（丰禾双五路）黑化等全面竣工，石门坎至南堂、双庙林果环线、观音小环线等主体完工，</w:t>
      </w:r>
      <w:r>
        <w:rPr>
          <w:rFonts w:eastAsia="仿宋_GB2312"/>
          <w:color w:val="000000"/>
          <w:kern w:val="0"/>
          <w:sz w:val="33"/>
          <w:szCs w:val="33"/>
        </w:rPr>
        <w:t>6</w:t>
      </w:r>
      <w:r>
        <w:rPr>
          <w:rFonts w:eastAsia="仿宋_GB2312"/>
          <w:color w:val="000000"/>
          <w:kern w:val="0"/>
          <w:sz w:val="33"/>
          <w:szCs w:val="33"/>
        </w:rPr>
        <w:t>条县乡道大中修工程即将进场施工；省市重点工程省道</w:t>
      </w:r>
      <w:r>
        <w:rPr>
          <w:rFonts w:eastAsia="仿宋_GB2312"/>
          <w:color w:val="000000"/>
          <w:kern w:val="0"/>
          <w:sz w:val="33"/>
          <w:szCs w:val="33"/>
        </w:rPr>
        <w:t>208</w:t>
      </w:r>
      <w:r>
        <w:rPr>
          <w:rFonts w:eastAsia="仿宋_GB2312"/>
          <w:color w:val="000000"/>
          <w:kern w:val="0"/>
          <w:sz w:val="33"/>
          <w:szCs w:val="33"/>
        </w:rPr>
        <w:t>子中至高滩完成</w:t>
      </w:r>
      <w:r>
        <w:rPr>
          <w:rFonts w:eastAsia="仿宋_GB2312"/>
          <w:color w:val="000000"/>
          <w:kern w:val="0"/>
          <w:sz w:val="33"/>
          <w:szCs w:val="33"/>
        </w:rPr>
        <w:lastRenderedPageBreak/>
        <w:t>路基土石方工程</w:t>
      </w:r>
      <w:r>
        <w:rPr>
          <w:rFonts w:eastAsia="仿宋_GB2312"/>
          <w:color w:val="000000"/>
          <w:kern w:val="0"/>
          <w:sz w:val="33"/>
          <w:szCs w:val="33"/>
        </w:rPr>
        <w:t>67%</w:t>
      </w:r>
      <w:r>
        <w:rPr>
          <w:rFonts w:eastAsia="仿宋_GB2312"/>
          <w:color w:val="000000"/>
          <w:kern w:val="0"/>
          <w:sz w:val="33"/>
          <w:szCs w:val="33"/>
        </w:rPr>
        <w:t>，涵洞工程完成</w:t>
      </w:r>
      <w:r>
        <w:rPr>
          <w:rFonts w:eastAsia="仿宋_GB2312"/>
          <w:color w:val="000000"/>
          <w:kern w:val="0"/>
          <w:sz w:val="33"/>
          <w:szCs w:val="33"/>
        </w:rPr>
        <w:t>59%</w:t>
      </w:r>
      <w:r>
        <w:rPr>
          <w:rFonts w:eastAsia="仿宋_GB2312"/>
          <w:color w:val="000000"/>
          <w:kern w:val="0"/>
          <w:sz w:val="33"/>
          <w:szCs w:val="33"/>
        </w:rPr>
        <w:t>，桥梁工程完成</w:t>
      </w:r>
      <w:r>
        <w:rPr>
          <w:rFonts w:eastAsia="仿宋_GB2312"/>
          <w:color w:val="000000"/>
          <w:kern w:val="0"/>
          <w:sz w:val="33"/>
          <w:szCs w:val="33"/>
        </w:rPr>
        <w:t>5%</w:t>
      </w:r>
      <w:r>
        <w:rPr>
          <w:rFonts w:eastAsia="仿宋_GB2312"/>
          <w:color w:val="000000"/>
          <w:kern w:val="0"/>
          <w:sz w:val="33"/>
          <w:szCs w:val="33"/>
        </w:rPr>
        <w:t>，路基防护工程完成</w:t>
      </w:r>
      <w:r>
        <w:rPr>
          <w:rFonts w:eastAsia="仿宋_GB2312"/>
          <w:color w:val="000000"/>
          <w:kern w:val="0"/>
          <w:sz w:val="33"/>
          <w:szCs w:val="33"/>
        </w:rPr>
        <w:t>31%</w:t>
      </w:r>
      <w:r>
        <w:rPr>
          <w:rFonts w:eastAsia="仿宋_GB2312"/>
          <w:color w:val="000000"/>
          <w:kern w:val="0"/>
          <w:sz w:val="33"/>
          <w:szCs w:val="33"/>
        </w:rPr>
        <w:t>；铜锣山旅游扶贫产业环线竣工通车；龙桥乡跳石大桥主体完成，丰禾镇鄢家河等</w:t>
      </w:r>
      <w:r>
        <w:rPr>
          <w:rFonts w:eastAsia="仿宋_GB2312"/>
          <w:color w:val="000000"/>
          <w:kern w:val="0"/>
          <w:sz w:val="33"/>
          <w:szCs w:val="33"/>
        </w:rPr>
        <w:t>3</w:t>
      </w:r>
      <w:r>
        <w:rPr>
          <w:rFonts w:eastAsia="仿宋_GB2312"/>
          <w:color w:val="000000"/>
          <w:kern w:val="0"/>
          <w:sz w:val="33"/>
          <w:szCs w:val="33"/>
        </w:rPr>
        <w:t>座桥梁正在施工</w:t>
      </w:r>
      <w:r>
        <w:rPr>
          <w:rFonts w:ascii="仿宋_GB2312" w:eastAsia="仿宋_GB2312" w:hAnsi="仿宋_GB2312" w:cs="仿宋_GB2312" w:hint="eastAsia"/>
          <w:sz w:val="32"/>
          <w:szCs w:val="32"/>
        </w:rPr>
        <w:t>。</w:t>
      </w:r>
    </w:p>
    <w:p w:rsidR="009229DD" w:rsidRDefault="00E14845">
      <w:pPr>
        <w:spacing w:line="580" w:lineRule="exact"/>
        <w:ind w:firstLine="640"/>
        <w:rPr>
          <w:rFonts w:ascii="仿宋_GB2312" w:eastAsia="仿宋_GB2312" w:hAnsi="仿宋_GB2312" w:cs="仿宋_GB2312"/>
          <w:sz w:val="32"/>
          <w:szCs w:val="32"/>
        </w:rPr>
      </w:pPr>
      <w:r>
        <w:rPr>
          <w:rFonts w:ascii="仿宋" w:eastAsia="仿宋" w:hAnsi="仿宋" w:cs="楷体_GB2312" w:hint="eastAsia"/>
          <w:b/>
          <w:bCs/>
          <w:sz w:val="32"/>
          <w:szCs w:val="32"/>
        </w:rPr>
        <w:t>（二）项目绩效目标完成情况。</w:t>
      </w:r>
    </w:p>
    <w:p w:rsidR="009229DD" w:rsidRDefault="00E1484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本部门在2019年度部门决算中反映“农村公路养护大、中修建管养运一体化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“农村公路规划设计工作经费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 农村公路试验检测及质量监督管理工作经费”等4个项目绩效目标实际完成情况。</w:t>
      </w:r>
    </w:p>
    <w:p w:rsidR="009229DD" w:rsidRDefault="00E14845">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公路养护大、中修建管养运一体化项目绩效目标完成情况综述。项目全年预算数500万元，执行数为500万元，完成预算的100%。通过项目实施，提高我县路网运输能力，提升我县经济发展，方便群众出行。发现的主要问题：存在项目支付进度拨付不及时的问题。下一步改进措施：加强项目建设进度和支付进度，完成项目绩效目标考核。</w:t>
      </w:r>
    </w:p>
    <w:p w:rsidR="009229DD" w:rsidRDefault="00E14845">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公路规划设计工作经费、农村公路试验检测及质量监督管理工作经费、指挥部及重点项目建设管理工作经费绩效目标完成情况综述。项目全年预算数240万元，执行数为240万元，完成预算的100%。通过项目实施，提高我县路网运输能力，提升我县经济发展，方便群众出行。发现的主要问题：存在项目支付进度拨付不及时的问题。下一步改进措施：加强项目建设进度和支付进度，完成项目绩效目标考核。</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9229DD">
        <w:trPr>
          <w:trHeight w:val="1034"/>
        </w:trPr>
        <w:tc>
          <w:tcPr>
            <w:tcW w:w="9960" w:type="dxa"/>
            <w:gridSpan w:val="6"/>
            <w:tcMar>
              <w:top w:w="15" w:type="dxa"/>
              <w:left w:w="15" w:type="dxa"/>
              <w:bottom w:w="0" w:type="dxa"/>
              <w:right w:w="15" w:type="dxa"/>
            </w:tcMar>
            <w:vAlign w:val="center"/>
          </w:tcPr>
          <w:p w:rsidR="009229DD" w:rsidRDefault="00E14845">
            <w:pPr>
              <w:pStyle w:val="110"/>
              <w:widowControl/>
              <w:ind w:leftChars="1310" w:left="4173" w:hangingChars="395" w:hanging="1422"/>
              <w:textAlignment w:val="center"/>
              <w:rPr>
                <w:rFonts w:ascii="宋体" w:hAnsi="宋体" w:cs="宋体"/>
                <w:color w:val="000000"/>
                <w:sz w:val="32"/>
                <w:szCs w:val="32"/>
              </w:rPr>
            </w:pPr>
            <w:r>
              <w:rPr>
                <w:rFonts w:ascii="黑体" w:eastAsia="黑体" w:hAnsi="黑体" w:cs="宋体" w:hint="eastAsia"/>
                <w:bCs/>
                <w:color w:val="000000"/>
                <w:kern w:val="0"/>
                <w:sz w:val="36"/>
                <w:szCs w:val="36"/>
              </w:rPr>
              <w:lastRenderedPageBreak/>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9229DD">
        <w:trPr>
          <w:trHeight w:val="437"/>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邻水县交通重点建设项目</w:t>
            </w:r>
          </w:p>
        </w:tc>
      </w:tr>
      <w:tr w:rsidR="009229DD">
        <w:trPr>
          <w:trHeight w:val="682"/>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邻水县交通运输局</w:t>
            </w:r>
          </w:p>
        </w:tc>
      </w:tr>
      <w:tr w:rsidR="009229DD">
        <w:trPr>
          <w:trHeight w:val="787"/>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740万元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740万元</w:t>
            </w:r>
          </w:p>
        </w:tc>
      </w:tr>
      <w:tr w:rsidR="009229DD">
        <w:trPr>
          <w:trHeight w:val="93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740万元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740万元</w:t>
            </w:r>
          </w:p>
        </w:tc>
      </w:tr>
      <w:tr w:rsidR="009229DD">
        <w:trPr>
          <w:trHeight w:val="78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jc w:val="center"/>
              <w:rPr>
                <w:rFonts w:ascii="宋体" w:hAnsi="宋体" w:cs="宋体"/>
                <w:color w:val="000000"/>
                <w:sz w:val="22"/>
                <w:szCs w:val="22"/>
              </w:rPr>
            </w:pPr>
          </w:p>
        </w:tc>
      </w:tr>
      <w:tr w:rsidR="009229DD">
        <w:trPr>
          <w:trHeight w:val="497"/>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实际完成目标</w:t>
            </w:r>
          </w:p>
        </w:tc>
      </w:tr>
      <w:tr w:rsidR="009229DD">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完成年初预期目标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完成年初预期目标</w:t>
            </w:r>
          </w:p>
        </w:tc>
      </w:tr>
      <w:tr w:rsidR="009229DD">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预期指标值</w:t>
            </w:r>
          </w:p>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实际完成指标值</w:t>
            </w:r>
          </w:p>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(包含数字及文字描述)</w:t>
            </w:r>
          </w:p>
        </w:tc>
      </w:tr>
      <w:tr w:rsidR="009229DD">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sz w:val="22"/>
                <w:szCs w:val="22"/>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r w:rsidR="009229DD">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9229DD" w:rsidRDefault="009229DD">
            <w:pPr>
              <w:widowControl/>
              <w:jc w:val="left"/>
              <w:rPr>
                <w:rFonts w:ascii="宋体" w:hAnsi="宋体" w:cs="宋体"/>
                <w:color w:val="000000"/>
                <w:sz w:val="22"/>
                <w:szCs w:val="2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E14845">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229DD" w:rsidRDefault="009229DD">
            <w:pPr>
              <w:widowControl/>
              <w:jc w:val="center"/>
              <w:textAlignment w:val="center"/>
              <w:rPr>
                <w:rFonts w:ascii="宋体" w:hAnsi="宋体" w:cs="宋体"/>
                <w:color w:val="000000"/>
                <w:sz w:val="22"/>
                <w:szCs w:val="22"/>
              </w:rPr>
            </w:pPr>
          </w:p>
        </w:tc>
      </w:tr>
    </w:tbl>
    <w:p w:rsidR="009229DD" w:rsidRDefault="00E14845">
      <w:pPr>
        <w:spacing w:line="580" w:lineRule="exact"/>
        <w:rPr>
          <w:rFonts w:ascii="仿宋" w:eastAsia="仿宋" w:hAnsi="仿宋" w:cs="仿宋_GB2312"/>
          <w:sz w:val="32"/>
          <w:szCs w:val="32"/>
        </w:rPr>
      </w:pPr>
      <w:r>
        <w:rPr>
          <w:rFonts w:ascii="仿宋" w:eastAsia="仿宋" w:hAnsi="仿宋" w:cs="楷体_GB2312" w:hint="eastAsia"/>
          <w:b/>
          <w:bCs/>
          <w:sz w:val="32"/>
          <w:szCs w:val="32"/>
        </w:rPr>
        <w:t>（三）部门开展绩效评价结果。</w:t>
      </w:r>
    </w:p>
    <w:p w:rsidR="009229DD" w:rsidRDefault="00E14845">
      <w:pPr>
        <w:spacing w:line="580" w:lineRule="exact"/>
        <w:ind w:firstLineChars="200"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本部门按要求对2019年部门整体支出绩效评价情况开展自评，《邻水县交通运输局2019年部门整体支出绩效评价报告》见附件。</w:t>
      </w:r>
    </w:p>
    <w:p w:rsidR="009229DD" w:rsidRDefault="00E14845">
      <w:pPr>
        <w:spacing w:line="600" w:lineRule="exact"/>
        <w:ind w:firstLineChars="250" w:firstLine="800"/>
        <w:outlineLvl w:val="1"/>
        <w:rPr>
          <w:rStyle w:val="2Char"/>
          <w:rFonts w:ascii="黑体" w:eastAsia="黑体" w:hAnsi="黑体"/>
        </w:rPr>
      </w:pPr>
      <w:r>
        <w:rPr>
          <w:rFonts w:ascii="黑体" w:eastAsia="黑体" w:hAnsi="黑体" w:hint="eastAsia"/>
          <w:color w:val="000000"/>
          <w:sz w:val="32"/>
          <w:szCs w:val="32"/>
        </w:rPr>
        <w:t>十</w:t>
      </w:r>
      <w:r>
        <w:rPr>
          <w:rStyle w:val="2Char"/>
          <w:rFonts w:ascii="黑体" w:eastAsia="黑体" w:hAnsi="黑体" w:hint="eastAsia"/>
        </w:rPr>
        <w:t>一、</w:t>
      </w:r>
      <w:r>
        <w:rPr>
          <w:rStyle w:val="2Char"/>
          <w:rFonts w:ascii="黑体" w:eastAsia="黑体" w:hAnsi="黑体" w:hint="eastAsia"/>
          <w:b w:val="0"/>
        </w:rPr>
        <w:t>其他重要事项的情况说明</w:t>
      </w:r>
      <w:bookmarkEnd w:id="50"/>
      <w:bookmarkEnd w:id="51"/>
    </w:p>
    <w:p w:rsidR="009229DD" w:rsidRDefault="00E14845" w:rsidP="009229DD">
      <w:pPr>
        <w:spacing w:line="600" w:lineRule="exact"/>
        <w:ind w:firstLineChars="200" w:firstLine="640"/>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9229DD" w:rsidRDefault="00E14845">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9年，邻水县交通运输局机关运行经费支出</w:t>
      </w:r>
      <w:r>
        <w:rPr>
          <w:rFonts w:ascii="仿宋" w:eastAsia="仿宋" w:hAnsi="仿宋" w:hint="eastAsia"/>
          <w:color w:val="000000"/>
          <w:sz w:val="32"/>
          <w:szCs w:val="32"/>
        </w:rPr>
        <w:t>152.64</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8年（127.87万元）增加24.77万元，增长19.38</w:t>
      </w:r>
      <w:r>
        <w:rPr>
          <w:rFonts w:ascii="仿宋_GB2312" w:eastAsia="仿宋_GB2312"/>
          <w:color w:val="000000"/>
          <w:sz w:val="32"/>
          <w:szCs w:val="32"/>
        </w:rPr>
        <w:t>%</w:t>
      </w:r>
      <w:r>
        <w:rPr>
          <w:rFonts w:ascii="仿宋_GB2312" w:eastAsia="仿宋_GB2312" w:hint="eastAsia"/>
          <w:color w:val="000000"/>
          <w:sz w:val="32"/>
          <w:szCs w:val="32"/>
        </w:rPr>
        <w:t>。主要原因建设项目变动及人员变动。</w:t>
      </w:r>
    </w:p>
    <w:p w:rsidR="009229DD" w:rsidRDefault="00E14845">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（数据来源财决F03表）</w:t>
      </w:r>
    </w:p>
    <w:p w:rsidR="009229DD" w:rsidRDefault="00E14845" w:rsidP="009229DD">
      <w:pPr>
        <w:autoSpaceDE w:val="0"/>
        <w:autoSpaceDN w:val="0"/>
        <w:adjustRightInd w:val="0"/>
        <w:spacing w:line="600" w:lineRule="exact"/>
        <w:ind w:firstLineChars="200" w:firstLine="640"/>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9229DD" w:rsidRDefault="00E14845">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9年，政府采购支出总额0万元</w:t>
      </w:r>
    </w:p>
    <w:p w:rsidR="009229DD" w:rsidRDefault="00E14845" w:rsidP="009229DD">
      <w:pPr>
        <w:autoSpaceDE w:val="0"/>
        <w:autoSpaceDN w:val="0"/>
        <w:adjustRightInd w:val="0"/>
        <w:spacing w:line="600" w:lineRule="exact"/>
        <w:ind w:firstLineChars="200" w:firstLine="640"/>
        <w:jc w:val="left"/>
        <w:outlineLvl w:val="2"/>
        <w:rPr>
          <w:rFonts w:ascii="仿宋" w:eastAsia="仿宋" w:hAnsi="仿宋"/>
          <w:b/>
          <w:color w:val="000000"/>
          <w:sz w:val="32"/>
          <w:szCs w:val="32"/>
        </w:rPr>
      </w:pPr>
      <w:r>
        <w:rPr>
          <w:rFonts w:ascii="仿宋" w:eastAsia="仿宋" w:hAnsi="仿宋" w:hint="eastAsia"/>
          <w:b/>
          <w:color w:val="000000"/>
          <w:sz w:val="32"/>
          <w:szCs w:val="32"/>
        </w:rPr>
        <w:t>（数据来源财决F03表）</w:t>
      </w:r>
    </w:p>
    <w:p w:rsidR="009229DD" w:rsidRDefault="00E14845" w:rsidP="009229DD">
      <w:pPr>
        <w:autoSpaceDE w:val="0"/>
        <w:autoSpaceDN w:val="0"/>
        <w:adjustRightInd w:val="0"/>
        <w:spacing w:line="600" w:lineRule="exact"/>
        <w:ind w:firstLineChars="200" w:firstLine="640"/>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9229DD" w:rsidRDefault="00E14845">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日，共有车辆0辆。</w:t>
      </w:r>
    </w:p>
    <w:p w:rsidR="009229DD" w:rsidRDefault="00E14845" w:rsidP="009229DD">
      <w:pPr>
        <w:autoSpaceDE w:val="0"/>
        <w:autoSpaceDN w:val="0"/>
        <w:adjustRightInd w:val="0"/>
        <w:spacing w:line="600" w:lineRule="exact"/>
        <w:ind w:firstLineChars="200" w:firstLine="640"/>
        <w:jc w:val="left"/>
        <w:outlineLvl w:val="2"/>
        <w:rPr>
          <w:rFonts w:ascii="仿宋" w:eastAsia="仿宋" w:hAnsi="仿宋"/>
          <w:b/>
          <w:color w:val="000000"/>
          <w:sz w:val="32"/>
          <w:szCs w:val="32"/>
        </w:rPr>
      </w:pPr>
      <w:r>
        <w:rPr>
          <w:rFonts w:ascii="仿宋" w:eastAsia="仿宋" w:hAnsi="仿宋" w:hint="eastAsia"/>
          <w:b/>
          <w:color w:val="000000"/>
          <w:sz w:val="32"/>
          <w:szCs w:val="32"/>
        </w:rPr>
        <w:t>（数据来源财决F03表，按部门决算报表填报数据罗列车辆情况。）</w:t>
      </w:r>
    </w:p>
    <w:p w:rsidR="009229DD" w:rsidRDefault="009229DD">
      <w:pPr>
        <w:spacing w:line="600" w:lineRule="atLeast"/>
        <w:ind w:firstLineChars="200" w:firstLine="643"/>
        <w:rPr>
          <w:rFonts w:ascii="仿宋_GB2312" w:eastAsia="仿宋_GB2312"/>
          <w:b/>
          <w:color w:val="000000"/>
          <w:sz w:val="32"/>
          <w:szCs w:val="32"/>
        </w:rPr>
      </w:pPr>
    </w:p>
    <w:p w:rsidR="009229DD" w:rsidRDefault="00E14845">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9229DD" w:rsidRDefault="00E14845">
      <w:pPr>
        <w:numPr>
          <w:ilvl w:val="0"/>
          <w:numId w:val="6"/>
        </w:numPr>
        <w:spacing w:line="600" w:lineRule="exact"/>
        <w:ind w:firstLineChars="150" w:firstLine="663"/>
        <w:jc w:val="center"/>
        <w:outlineLvl w:val="0"/>
        <w:rPr>
          <w:rStyle w:val="1Char"/>
          <w:rFonts w:ascii="黑体" w:eastAsia="黑体" w:hAnsi="黑体"/>
          <w:b w:val="0"/>
        </w:rPr>
      </w:pPr>
      <w:bookmarkStart w:id="55" w:name="_Toc15396613"/>
      <w:bookmarkStart w:id="56" w:name="_Toc15377225"/>
      <w:r>
        <w:rPr>
          <w:rFonts w:ascii="黑体" w:eastAsia="黑体" w:hAnsi="黑体" w:hint="eastAsia"/>
          <w:b/>
          <w:color w:val="000000"/>
          <w:sz w:val="44"/>
          <w:szCs w:val="44"/>
        </w:rPr>
        <w:lastRenderedPageBreak/>
        <w:t>名</w:t>
      </w:r>
      <w:r>
        <w:rPr>
          <w:rStyle w:val="1Char"/>
          <w:rFonts w:ascii="黑体" w:eastAsia="黑体" w:hAnsi="黑体" w:hint="eastAsia"/>
          <w:b w:val="0"/>
        </w:rPr>
        <w:t>词解释</w:t>
      </w:r>
      <w:bookmarkEnd w:id="55"/>
      <w:bookmarkEnd w:id="56"/>
    </w:p>
    <w:p w:rsidR="009229DD" w:rsidRDefault="009229DD">
      <w:pPr>
        <w:spacing w:line="600" w:lineRule="exact"/>
        <w:jc w:val="left"/>
        <w:rPr>
          <w:rFonts w:ascii="宋体"/>
          <w:b/>
          <w:color w:val="000000"/>
          <w:sz w:val="44"/>
          <w:szCs w:val="44"/>
        </w:rPr>
      </w:pP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9229DD" w:rsidRDefault="00E14845">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9229DD" w:rsidRDefault="00E14845">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w:t>
      </w:r>
      <w:r>
        <w:rPr>
          <w:rFonts w:ascii="仿宋_GB2312" w:eastAsia="仿宋_GB2312" w:hint="eastAsia"/>
          <w:color w:val="000000"/>
          <w:sz w:val="32"/>
          <w:szCs w:val="32"/>
        </w:rPr>
        <w:lastRenderedPageBreak/>
        <w:t>和事业发展目标所发生的支出。</w:t>
      </w:r>
    </w:p>
    <w:p w:rsidR="009229DD" w:rsidRDefault="00E14845">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229DD" w:rsidRDefault="00E1484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229DD" w:rsidRDefault="00E14845">
      <w:pPr>
        <w:spacing w:line="600" w:lineRule="exact"/>
        <w:jc w:val="center"/>
        <w:outlineLvl w:val="0"/>
        <w:rPr>
          <w:rStyle w:val="1Char"/>
          <w:rFonts w:ascii="黑体" w:eastAsia="黑体" w:hAnsi="黑体"/>
          <w:b w:val="0"/>
        </w:rPr>
      </w:pPr>
      <w:bookmarkStart w:id="57" w:name="_GoBack"/>
      <w:bookmarkStart w:id="58" w:name="_Toc15377226"/>
      <w:bookmarkEnd w:id="57"/>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9229DD" w:rsidRDefault="009229DD">
      <w:pPr>
        <w:spacing w:line="600" w:lineRule="exact"/>
        <w:jc w:val="center"/>
        <w:outlineLvl w:val="0"/>
        <w:rPr>
          <w:rStyle w:val="1Char"/>
        </w:rPr>
      </w:pPr>
    </w:p>
    <w:p w:rsidR="009229DD" w:rsidRDefault="00E14845">
      <w:pPr>
        <w:spacing w:line="600" w:lineRule="exact"/>
        <w:jc w:val="center"/>
        <w:outlineLvl w:val="0"/>
        <w:rPr>
          <w:rFonts w:ascii="黑体" w:eastAsia="黑体" w:hAnsi="黑体" w:cs="方正小标宋简体"/>
          <w:sz w:val="36"/>
          <w:szCs w:val="36"/>
        </w:rPr>
      </w:pPr>
      <w:bookmarkStart w:id="60" w:name="_Toc15396616"/>
      <w:r>
        <w:rPr>
          <w:rFonts w:ascii="黑体" w:eastAsia="黑体" w:hAnsi="黑体" w:cs="方正小标宋简体" w:hint="eastAsia"/>
          <w:sz w:val="36"/>
          <w:szCs w:val="36"/>
        </w:rPr>
        <w:t>邻水县交通运输局</w:t>
      </w:r>
    </w:p>
    <w:p w:rsidR="009229DD" w:rsidRDefault="00E14845">
      <w:pPr>
        <w:spacing w:line="600" w:lineRule="exact"/>
        <w:jc w:val="center"/>
        <w:outlineLvl w:val="0"/>
        <w:rPr>
          <w:rFonts w:ascii="黑体" w:eastAsia="黑体" w:hAnsi="黑体" w:cs="方正小标宋简体"/>
          <w:sz w:val="36"/>
          <w:szCs w:val="36"/>
        </w:rPr>
      </w:pPr>
      <w:r>
        <w:rPr>
          <w:rFonts w:ascii="黑体" w:eastAsia="黑体" w:hAnsi="黑体" w:cs="方正小标宋简体" w:hint="eastAsia"/>
          <w:sz w:val="36"/>
          <w:szCs w:val="36"/>
        </w:rPr>
        <w:t>2019年部门整体支出绩效评价报告</w:t>
      </w:r>
      <w:bookmarkEnd w:id="60"/>
    </w:p>
    <w:p w:rsidR="009229DD" w:rsidRDefault="009229DD">
      <w:pPr>
        <w:spacing w:line="580" w:lineRule="exact"/>
        <w:ind w:firstLineChars="200" w:firstLine="640"/>
        <w:rPr>
          <w:rFonts w:ascii="黑体" w:eastAsia="黑体" w:hAnsi="黑体" w:cs="黑体"/>
          <w:sz w:val="32"/>
          <w:szCs w:val="32"/>
        </w:rPr>
      </w:pPr>
    </w:p>
    <w:p w:rsidR="009229DD" w:rsidRDefault="00E1484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一、单位概况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（一）机构组成。</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 w:hint="eastAsia"/>
          <w:kern w:val="0"/>
          <w:sz w:val="32"/>
          <w:szCs w:val="32"/>
        </w:rPr>
        <w:t>邻水县交通运输局属于行政单位，内设股室7个，下属单位5个，邻水县公路养护管理一段、邻水县公路养护管理二段、邻水县地方海事处（航务处）、邻水县公路运输管理所、邻水县路政大队。</w:t>
      </w:r>
    </w:p>
    <w:p w:rsidR="009229DD" w:rsidRDefault="00E14845">
      <w:pPr>
        <w:numPr>
          <w:ilvl w:val="0"/>
          <w:numId w:val="7"/>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机构职能。</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1.贯彻执行国家、省有关交通运输行业的方针、政策和法律、法规。组织拟订公路、水路等行业发展规划和年度计划并监督实施，会同有关部门组织编制综合运输体系规划，拟订物流业发展规划。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2.拟订全县交通运输规范性文件，负责本系统、本部门依法行政工作，落实行政执法责任制。指导公路、水路行业有关体制改革工作，承担全县国省干道收费公路管理的有关工作。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3.承担道路、水路交通运输市场监管责任，贯彻执行道路、水路运输有关政策、技术标准和运营规范，负责城乡客运和出租汽车行业管理工作，会同有关部门制定运输价格。</w:t>
      </w:r>
      <w:r>
        <w:rPr>
          <w:rFonts w:ascii="仿宋" w:eastAsia="仿宋" w:hAnsi="仿宋" w:cs="仿宋" w:hint="eastAsia"/>
          <w:kern w:val="0"/>
          <w:sz w:val="32"/>
          <w:szCs w:val="32"/>
        </w:rPr>
        <w:lastRenderedPageBreak/>
        <w:t xml:space="preserve">维护交通运输行业平等竞争秩序。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5.负责提出公路、水路固定资产投资规模、方向和财政性资金安排建议，按照规定权限审批（审核）、核准省、市规划内和年度计划规模内固定资产投资项目；指导交通运输行业审计工作。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6.负责全县公路、水路交通建设行业管理，承担公路、水路建设市场监管责任，维护交通建设行业平等竞争秩序。贯彻执行公路、水路工程建设相关政策、制度、技术标准，组织协调公路、水路有关重点工程建设和工程质量、安全生产监督管理工作。负责对交通行业和产业项目的招标投标活动的监督。指导交通运输基础设施管理和维护，承担有关重要设施的管理和维护。按规定负责港口规划和港口岸线使用管理工作，指导交通运输行业特许经营管理。配合有关部门实施交通运输行业职业资格管理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7.指导公路、水路行业安全生产和应急管理工作。按规定组织协调重点物资和紧急客货运输，负责全县重点公路及重点干线路网运行监测和协调。组织协调地方交通战备工</w:t>
      </w:r>
      <w:r>
        <w:rPr>
          <w:rFonts w:ascii="仿宋" w:eastAsia="仿宋" w:hAnsi="仿宋" w:cs="仿宋" w:hint="eastAsia"/>
          <w:kern w:val="0"/>
          <w:sz w:val="32"/>
          <w:szCs w:val="32"/>
        </w:rPr>
        <w:lastRenderedPageBreak/>
        <w:t xml:space="preserve">作，承担国防动员有关工作。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8.贯彻执行有关交通运输科技政策，组织制定交通运输科技政策的措施并监督实施，组织科技开发。指导全县交通运输信息化建设，监测分析运行情况，开展相关统计工作，发布有关信息。指导公路、水路行业环境保护和节能减排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9.负责公路、水路有关涉外工作，开展对外经济技术交流与合作，指导全县交通运输行业招商引资和利用外资工作。 </w:t>
      </w:r>
    </w:p>
    <w:p w:rsidR="009229DD" w:rsidRDefault="00E14845">
      <w:pPr>
        <w:spacing w:line="48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10.承担县政府公布的有关行政审批事项。 </w:t>
      </w:r>
    </w:p>
    <w:p w:rsidR="009229DD" w:rsidRDefault="00E14845">
      <w:pPr>
        <w:pStyle w:val="a3"/>
        <w:adjustRightInd w:val="0"/>
        <w:snapToGrid w:val="0"/>
        <w:spacing w:before="93" w:line="600" w:lineRule="exact"/>
        <w:ind w:firstLineChars="200" w:firstLine="640"/>
        <w:outlineLvl w:val="2"/>
        <w:rPr>
          <w:rFonts w:ascii="仿宋" w:eastAsia="仿宋" w:hAnsi="仿宋" w:cs="仿宋_GB2312"/>
          <w:sz w:val="32"/>
          <w:szCs w:val="32"/>
        </w:rPr>
      </w:pPr>
      <w:r>
        <w:rPr>
          <w:rFonts w:ascii="仿宋" w:eastAsia="仿宋" w:hAnsi="仿宋" w:cs="仿宋" w:hint="eastAsia"/>
          <w:sz w:val="32"/>
          <w:szCs w:val="32"/>
        </w:rPr>
        <w:t>11.承办县政府交办的其他事项。</w:t>
      </w:r>
    </w:p>
    <w:p w:rsidR="009229DD" w:rsidRDefault="00E14845">
      <w:pPr>
        <w:numPr>
          <w:ilvl w:val="0"/>
          <w:numId w:val="7"/>
        </w:numPr>
        <w:spacing w:line="480" w:lineRule="auto"/>
        <w:ind w:firstLineChars="200" w:firstLine="640"/>
        <w:rPr>
          <w:rFonts w:ascii="仿宋" w:eastAsia="仿宋" w:hAnsi="仿宋" w:cs="仿宋_GB2312"/>
          <w:sz w:val="32"/>
          <w:szCs w:val="32"/>
        </w:rPr>
      </w:pPr>
      <w:r>
        <w:rPr>
          <w:rFonts w:ascii="仿宋" w:eastAsia="仿宋" w:hAnsi="仿宋" w:cs="仿宋_GB2312"/>
          <w:sz w:val="32"/>
          <w:szCs w:val="32"/>
        </w:rPr>
        <w:t>人员概况。</w:t>
      </w:r>
    </w:p>
    <w:p w:rsidR="009229DD" w:rsidRDefault="00E14845">
      <w:pPr>
        <w:spacing w:line="480" w:lineRule="auto"/>
        <w:ind w:firstLineChars="200" w:firstLine="640"/>
        <w:rPr>
          <w:rFonts w:ascii="仿宋" w:eastAsia="仿宋" w:hAnsi="仿宋" w:cs="仿宋_GB2312"/>
          <w:sz w:val="32"/>
          <w:szCs w:val="32"/>
        </w:rPr>
      </w:pPr>
      <w:r>
        <w:rPr>
          <w:rFonts w:ascii="仿宋" w:eastAsia="仿宋" w:hAnsi="仿宋" w:cs="仿宋" w:hint="eastAsia"/>
          <w:kern w:val="0"/>
          <w:sz w:val="32"/>
          <w:szCs w:val="32"/>
        </w:rPr>
        <w:t>邻水县交通运输局人员编制32人，2019年年末人员总数情况构成：在职人员29人（其中交通运输局公务员13人、事业人员16人；退休人员2人。人员构成情况为有公务员，又有事业人员。与上年末在职人员32人减少3人，离退休人员14人。</w:t>
      </w:r>
    </w:p>
    <w:p w:rsidR="009229DD" w:rsidRDefault="00E14845">
      <w:pPr>
        <w:spacing w:line="580" w:lineRule="exact"/>
        <w:ind w:firstLineChars="200" w:firstLine="640"/>
        <w:rPr>
          <w:rFonts w:ascii="黑体" w:eastAsia="黑体" w:hAnsi="黑体" w:cs="黑体"/>
          <w:sz w:val="32"/>
          <w:szCs w:val="32"/>
        </w:rPr>
      </w:pPr>
      <w:r>
        <w:rPr>
          <w:rFonts w:ascii="黑体" w:eastAsia="黑体" w:hAnsi="黑体" w:cs="黑体"/>
          <w:sz w:val="32"/>
          <w:szCs w:val="32"/>
        </w:rPr>
        <w:t>二、部门财政资金收支情况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（一）部门财政资金收入情况。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2019年部门决算收入21843.41万元，其中一般公共预算财政拨款收入21440.72万元，政府性基金财政预算拨款收入402.69万元。</w:t>
      </w:r>
    </w:p>
    <w:p w:rsidR="009229DD" w:rsidRDefault="00E14845">
      <w:pPr>
        <w:numPr>
          <w:ilvl w:val="0"/>
          <w:numId w:val="8"/>
        </w:num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lastRenderedPageBreak/>
        <w:t>部门财政资金支出情况。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2019年部门决算支出37151.33万元，其中基本支出</w:t>
      </w:r>
      <w:r>
        <w:rPr>
          <w:rFonts w:ascii="仿宋" w:eastAsia="仿宋" w:hAnsi="仿宋" w:hint="eastAsia"/>
          <w:color w:val="000000"/>
          <w:sz w:val="32"/>
          <w:szCs w:val="32"/>
        </w:rPr>
        <w:t>563.6</w:t>
      </w:r>
      <w:r>
        <w:rPr>
          <w:rFonts w:ascii="仿宋" w:eastAsia="仿宋" w:hAnsi="仿宋" w:cs="仿宋_GB2312" w:hint="eastAsia"/>
          <w:sz w:val="32"/>
          <w:szCs w:val="32"/>
        </w:rPr>
        <w:t>万元，项目支出</w:t>
      </w:r>
      <w:r>
        <w:rPr>
          <w:rFonts w:ascii="仿宋" w:eastAsia="仿宋" w:hAnsi="仿宋" w:hint="eastAsia"/>
          <w:color w:val="000000"/>
          <w:sz w:val="32"/>
          <w:szCs w:val="32"/>
        </w:rPr>
        <w:t>36587.73</w:t>
      </w:r>
      <w:r>
        <w:rPr>
          <w:rFonts w:ascii="仿宋" w:eastAsia="仿宋" w:hAnsi="仿宋" w:cs="仿宋_GB2312" w:hint="eastAsia"/>
          <w:sz w:val="32"/>
          <w:szCs w:val="32"/>
        </w:rPr>
        <w:t>万元。</w:t>
      </w:r>
    </w:p>
    <w:p w:rsidR="009229DD" w:rsidRDefault="00E14845">
      <w:pPr>
        <w:spacing w:line="580" w:lineRule="exact"/>
        <w:ind w:firstLineChars="200" w:firstLine="640"/>
        <w:rPr>
          <w:rFonts w:ascii="黑体" w:eastAsia="黑体" w:hAnsi="黑体" w:cs="黑体"/>
          <w:sz w:val="32"/>
          <w:szCs w:val="32"/>
        </w:rPr>
      </w:pPr>
      <w:r>
        <w:rPr>
          <w:rFonts w:ascii="黑体" w:eastAsia="黑体" w:hAnsi="黑体" w:cs="黑体"/>
          <w:sz w:val="32"/>
          <w:szCs w:val="32"/>
        </w:rPr>
        <w:t>三、部门整体预算绩效管理情况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（一）部门预算管理</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县财政局2019年部门预算编制通知要求，按时完成部门年初预算编制工作。在编制过程中，认真核实单位实际财政供养人数和单位实有编制情况，正确编制人员经费和公用经费等，做到尽量细化项目资金支出预算范围和科目，及时上报财政相关股室进行审核，对所编制的预算予以调整通过。部门绩效目标要素完整、以项目完成数量指标为核心细化量化，部门绩效目标实际实现程度与预期目标基本一致，预算编制准确度较高。</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我局在执行各项资金预算中，严格按照中央、省、市、县各级财务规定，管好、用好每笔资金。在项目资金使用过程中，严格按照项目资金管理办法的规定切实做到专款专用，从而发挥好项目经费对项目实施的促进作用。</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我局严格执行中央八项规定、省、市十项规定，着力控制“三公”经费预算支出。全年无因公出国（境）费用；严格执行党政机关厉行节约反对浪费条例，加强内部财务管理。“三公”支出逐年递减。部门预算项目在12月份达到执行进度的100%。</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（二）结果应用情况</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严格按照部门整体支出绩效评价指标体系进行部门绩</w:t>
      </w:r>
      <w:r>
        <w:rPr>
          <w:rFonts w:ascii="仿宋" w:eastAsia="仿宋" w:hAnsi="仿宋" w:cs="仿宋_GB2312" w:hint="eastAsia"/>
          <w:sz w:val="32"/>
          <w:szCs w:val="32"/>
        </w:rPr>
        <w:lastRenderedPageBreak/>
        <w:t>效目标评价，部门整体支出自评得分与评价组抽查得分差异在5%以内，评价效果好。按要求随同预算决算及时到财政监督股在县政府门户网站进行公开并接受社会的监督且基础数据信息和会计信息资料真实、完整、准确。同时按要求将部门整体绩效自评情况和自行组织的评价情况向社会公开。根据绩效管理结果整改问题、完善政策、改进管理的情况及时向财政部门反馈结果。</w:t>
      </w:r>
    </w:p>
    <w:p w:rsidR="009229DD" w:rsidRDefault="00E14845">
      <w:pPr>
        <w:spacing w:line="580" w:lineRule="exact"/>
        <w:ind w:firstLineChars="200" w:firstLine="640"/>
        <w:rPr>
          <w:rFonts w:ascii="仿宋" w:eastAsia="仿宋" w:hAnsi="仿宋" w:cs="仿宋_GB2312"/>
          <w:sz w:val="32"/>
          <w:szCs w:val="32"/>
        </w:rPr>
      </w:pPr>
      <w:r>
        <w:rPr>
          <w:rFonts w:ascii="黑体" w:eastAsia="黑体" w:hAnsi="黑体" w:cs="黑体"/>
          <w:sz w:val="32"/>
          <w:szCs w:val="32"/>
        </w:rPr>
        <w:t>四、评价结论及建议</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（一）评价结论。</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2019年我局部门支出预算，保障了部门日常正常运转，完善硬件配套设施。加大投入，确保我县交通重点建设，有力促进了邻水经济的健康有序发展，为全县的经济发展作出了应有的贡献。自评得分95.5分。</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（二）存在问题。</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部分资料收集不够完善，归档不够规范；对项目的跟踪服务不够主动；经办人员的业务能力有待提高。</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（三）改进建议。</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1、细化预算编制工作，认真做好预算的编制。进一步加强单位内部机构各股室的预算管理意识，严格按照预算编制的相关制度和要求进行预算编制。</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4、对相关人员加强培训，特别是针对《预算法》、《行政事业单位会计制度》等学习培训，规范部门预算收支核算，切实提高部门预算收支管理水平。</w:t>
      </w:r>
    </w:p>
    <w:p w:rsidR="009229DD" w:rsidRDefault="009229DD">
      <w:pPr>
        <w:spacing w:line="580" w:lineRule="exact"/>
        <w:ind w:firstLineChars="200" w:firstLine="640"/>
        <w:jc w:val="right"/>
        <w:rPr>
          <w:rFonts w:ascii="仿宋" w:eastAsia="仿宋" w:hAnsi="仿宋" w:cs="仿宋_GB2312"/>
          <w:sz w:val="32"/>
          <w:szCs w:val="32"/>
        </w:rPr>
      </w:pPr>
    </w:p>
    <w:p w:rsidR="009229DD" w:rsidRDefault="00E14845">
      <w:pPr>
        <w:spacing w:line="580" w:lineRule="exact"/>
        <w:ind w:firstLineChars="200" w:firstLine="640"/>
        <w:jc w:val="right"/>
        <w:rPr>
          <w:rFonts w:ascii="仿宋" w:eastAsia="仿宋" w:hAnsi="仿宋" w:cs="仿宋_GB2312"/>
          <w:sz w:val="32"/>
          <w:szCs w:val="32"/>
        </w:rPr>
      </w:pPr>
      <w:r>
        <w:rPr>
          <w:rFonts w:ascii="仿宋" w:eastAsia="仿宋" w:hAnsi="仿宋" w:cs="仿宋_GB2312" w:hint="eastAsia"/>
          <w:sz w:val="32"/>
          <w:szCs w:val="32"/>
        </w:rPr>
        <w:t>邻水县交通运输局</w:t>
      </w:r>
    </w:p>
    <w:p w:rsidR="009229DD" w:rsidRDefault="00E14845">
      <w:pPr>
        <w:spacing w:line="580" w:lineRule="exact"/>
        <w:ind w:firstLineChars="200" w:firstLine="640"/>
        <w:jc w:val="right"/>
        <w:rPr>
          <w:rFonts w:ascii="仿宋" w:eastAsia="仿宋" w:hAnsi="仿宋" w:cs="仿宋_GB2312"/>
          <w:sz w:val="32"/>
          <w:szCs w:val="32"/>
        </w:rPr>
      </w:pPr>
      <w:r>
        <w:rPr>
          <w:rFonts w:ascii="仿宋" w:eastAsia="仿宋" w:hAnsi="仿宋" w:cs="仿宋_GB2312" w:hint="eastAsia"/>
          <w:sz w:val="32"/>
          <w:szCs w:val="32"/>
        </w:rPr>
        <w:t>2020年8月</w:t>
      </w:r>
      <w:r w:rsidR="000E4B92">
        <w:rPr>
          <w:rFonts w:ascii="仿宋" w:eastAsia="仿宋" w:hAnsi="仿宋" w:cs="仿宋_GB2312" w:hint="eastAsia"/>
          <w:sz w:val="32"/>
          <w:szCs w:val="32"/>
        </w:rPr>
        <w:t>1</w:t>
      </w:r>
      <w:r>
        <w:rPr>
          <w:rFonts w:ascii="仿宋" w:eastAsia="仿宋" w:hAnsi="仿宋" w:cs="仿宋_GB2312" w:hint="eastAsia"/>
          <w:sz w:val="32"/>
          <w:szCs w:val="32"/>
        </w:rPr>
        <w:t>6日</w:t>
      </w:r>
    </w:p>
    <w:p w:rsidR="009229DD" w:rsidRDefault="00E14845">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br w:type="page"/>
      </w:r>
    </w:p>
    <w:p w:rsidR="009229DD" w:rsidRDefault="00E14845">
      <w:pPr>
        <w:spacing w:line="600" w:lineRule="exact"/>
        <w:jc w:val="center"/>
        <w:outlineLvl w:val="0"/>
        <w:rPr>
          <w:rStyle w:val="1Char"/>
          <w:rFonts w:ascii="黑体" w:eastAsia="黑体" w:hAnsi="黑体"/>
          <w:b w:val="0"/>
        </w:rPr>
      </w:pPr>
      <w:bookmarkStart w:id="61"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61"/>
    </w:p>
    <w:p w:rsidR="009229DD" w:rsidRDefault="009229DD">
      <w:pPr>
        <w:spacing w:line="600" w:lineRule="exact"/>
        <w:jc w:val="center"/>
        <w:outlineLvl w:val="0"/>
        <w:rPr>
          <w:rFonts w:ascii="仿宋" w:eastAsia="仿宋" w:hAnsi="仿宋"/>
          <w:b/>
          <w:color w:val="000000"/>
          <w:sz w:val="44"/>
          <w:szCs w:val="44"/>
        </w:rPr>
      </w:pPr>
    </w:p>
    <w:p w:rsidR="009229DD" w:rsidRDefault="00E14845">
      <w:pPr>
        <w:pStyle w:val="2"/>
        <w:rPr>
          <w:rFonts w:ascii="仿宋" w:eastAsia="仿宋" w:hAnsi="仿宋"/>
          <w:color w:val="000000"/>
        </w:rPr>
      </w:pPr>
      <w:bookmarkStart w:id="62" w:name="_Toc15396619"/>
      <w:r>
        <w:rPr>
          <w:rFonts w:ascii="仿宋" w:eastAsia="仿宋" w:hAnsi="仿宋" w:hint="eastAsia"/>
          <w:b w:val="0"/>
          <w:color w:val="000000"/>
        </w:rPr>
        <w:t>一、收</w:t>
      </w:r>
      <w:r>
        <w:rPr>
          <w:rStyle w:val="2Char"/>
          <w:rFonts w:ascii="仿宋" w:eastAsia="仿宋" w:hAnsi="仿宋" w:hint="eastAsia"/>
        </w:rPr>
        <w:t>入支出决算总表</w:t>
      </w:r>
      <w:bookmarkEnd w:id="62"/>
    </w:p>
    <w:p w:rsidR="009229DD" w:rsidRDefault="00E14845">
      <w:pPr>
        <w:pStyle w:val="2"/>
        <w:rPr>
          <w:rFonts w:ascii="仿宋" w:eastAsia="仿宋" w:hAnsi="仿宋"/>
          <w:color w:val="000000"/>
        </w:rPr>
      </w:pPr>
      <w:bookmarkStart w:id="63" w:name="_Toc15396620"/>
      <w:r>
        <w:rPr>
          <w:rFonts w:ascii="仿宋" w:eastAsia="仿宋" w:hAnsi="仿宋" w:hint="eastAsia"/>
          <w:b w:val="0"/>
          <w:color w:val="000000"/>
        </w:rPr>
        <w:t>二、收</w:t>
      </w:r>
      <w:r>
        <w:rPr>
          <w:rStyle w:val="2Char"/>
          <w:rFonts w:ascii="仿宋" w:eastAsia="仿宋" w:hAnsi="仿宋" w:hint="eastAsia"/>
        </w:rPr>
        <w:t>入总表</w:t>
      </w:r>
      <w:bookmarkEnd w:id="63"/>
    </w:p>
    <w:p w:rsidR="009229DD" w:rsidRDefault="00E14845">
      <w:pPr>
        <w:pStyle w:val="2"/>
        <w:rPr>
          <w:rFonts w:ascii="仿宋" w:eastAsia="仿宋" w:hAnsi="仿宋"/>
          <w:color w:val="000000"/>
        </w:rPr>
      </w:pPr>
      <w:bookmarkStart w:id="64"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4"/>
    </w:p>
    <w:p w:rsidR="009229DD" w:rsidRDefault="00E14845">
      <w:pPr>
        <w:pStyle w:val="2"/>
        <w:rPr>
          <w:rFonts w:ascii="仿宋" w:eastAsia="仿宋" w:hAnsi="仿宋"/>
          <w:b w:val="0"/>
          <w:color w:val="000000"/>
        </w:rPr>
      </w:pPr>
      <w:bookmarkStart w:id="65"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5"/>
    </w:p>
    <w:p w:rsidR="009229DD" w:rsidRDefault="00E14845">
      <w:pPr>
        <w:pStyle w:val="2"/>
        <w:rPr>
          <w:rFonts w:ascii="仿宋" w:eastAsia="仿宋" w:hAnsi="仿宋"/>
          <w:color w:val="000000"/>
        </w:rPr>
      </w:pPr>
      <w:bookmarkStart w:id="66"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6"/>
    </w:p>
    <w:p w:rsidR="009229DD" w:rsidRDefault="00E14845">
      <w:pPr>
        <w:pStyle w:val="2"/>
        <w:rPr>
          <w:rFonts w:ascii="仿宋" w:eastAsia="仿宋" w:hAnsi="仿宋"/>
          <w:color w:val="000000"/>
        </w:rPr>
      </w:pPr>
      <w:bookmarkStart w:id="67"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7"/>
    </w:p>
    <w:p w:rsidR="009229DD" w:rsidRDefault="00E14845">
      <w:pPr>
        <w:pStyle w:val="2"/>
        <w:rPr>
          <w:rFonts w:ascii="仿宋" w:eastAsia="仿宋" w:hAnsi="仿宋"/>
          <w:color w:val="000000"/>
        </w:rPr>
      </w:pPr>
      <w:bookmarkStart w:id="68"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8"/>
    </w:p>
    <w:p w:rsidR="009229DD" w:rsidRDefault="00E14845">
      <w:pPr>
        <w:pStyle w:val="2"/>
        <w:rPr>
          <w:rFonts w:ascii="仿宋" w:eastAsia="仿宋" w:hAnsi="仿宋"/>
          <w:color w:val="000000"/>
        </w:rPr>
      </w:pPr>
      <w:bookmarkStart w:id="69"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9"/>
    </w:p>
    <w:p w:rsidR="009229DD" w:rsidRDefault="00E14845">
      <w:pPr>
        <w:pStyle w:val="2"/>
        <w:rPr>
          <w:rFonts w:ascii="仿宋" w:eastAsia="仿宋" w:hAnsi="仿宋"/>
          <w:color w:val="000000"/>
        </w:rPr>
      </w:pPr>
      <w:bookmarkStart w:id="70"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0"/>
    </w:p>
    <w:p w:rsidR="009229DD" w:rsidRDefault="00E14845">
      <w:pPr>
        <w:pStyle w:val="2"/>
        <w:rPr>
          <w:rFonts w:ascii="仿宋" w:eastAsia="仿宋" w:hAnsi="仿宋"/>
          <w:color w:val="000000"/>
        </w:rPr>
      </w:pPr>
      <w:bookmarkStart w:id="71"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1"/>
    </w:p>
    <w:p w:rsidR="009229DD" w:rsidRDefault="00E14845">
      <w:pPr>
        <w:pStyle w:val="2"/>
        <w:rPr>
          <w:rFonts w:ascii="仿宋" w:eastAsia="仿宋" w:hAnsi="仿宋"/>
          <w:color w:val="000000"/>
        </w:rPr>
      </w:pPr>
      <w:bookmarkStart w:id="72"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2"/>
    </w:p>
    <w:p w:rsidR="009229DD" w:rsidRDefault="00E14845">
      <w:pPr>
        <w:pStyle w:val="2"/>
        <w:rPr>
          <w:rFonts w:ascii="仿宋" w:eastAsia="仿宋" w:hAnsi="仿宋"/>
          <w:color w:val="000000"/>
        </w:rPr>
      </w:pPr>
      <w:bookmarkStart w:id="73"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3"/>
    </w:p>
    <w:p w:rsidR="009229DD" w:rsidRDefault="00E14845">
      <w:pPr>
        <w:pStyle w:val="2"/>
        <w:rPr>
          <w:rFonts w:ascii="仿宋" w:eastAsia="仿宋" w:hAnsi="仿宋"/>
          <w:color w:val="000000" w:themeColor="text1"/>
        </w:rPr>
      </w:pPr>
      <w:bookmarkStart w:id="74"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4"/>
    </w:p>
    <w:sectPr w:rsidR="009229DD" w:rsidSect="009229DD">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9DD" w:rsidRDefault="009229DD" w:rsidP="009229DD">
      <w:r>
        <w:separator/>
      </w:r>
    </w:p>
  </w:endnote>
  <w:endnote w:type="continuationSeparator" w:id="1">
    <w:p w:rsidR="009229DD" w:rsidRDefault="009229DD" w:rsidP="00922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9229DD" w:rsidRDefault="00343211">
        <w:pPr>
          <w:pStyle w:val="a5"/>
          <w:jc w:val="center"/>
        </w:pPr>
        <w:r>
          <w:fldChar w:fldCharType="begin"/>
        </w:r>
        <w:r w:rsidR="00E14845">
          <w:instrText>PAGE   \* MERGEFORMAT</w:instrText>
        </w:r>
        <w:r>
          <w:fldChar w:fldCharType="separate"/>
        </w:r>
        <w:r w:rsidR="000E4B92" w:rsidRPr="000E4B92">
          <w:rPr>
            <w:noProof/>
            <w:lang w:val="zh-CN"/>
          </w:rPr>
          <w:t>29</w:t>
        </w:r>
        <w:r>
          <w:fldChar w:fldCharType="end"/>
        </w:r>
      </w:p>
    </w:sdtContent>
  </w:sdt>
  <w:p w:rsidR="009229DD" w:rsidRDefault="009229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9DD" w:rsidRDefault="009229DD" w:rsidP="009229DD">
      <w:r>
        <w:separator/>
      </w:r>
    </w:p>
  </w:footnote>
  <w:footnote w:type="continuationSeparator" w:id="1">
    <w:p w:rsidR="009229DD" w:rsidRDefault="009229DD" w:rsidP="00922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9DD" w:rsidRDefault="009229D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D13E44"/>
    <w:multiLevelType w:val="singleLevel"/>
    <w:tmpl w:val="97D13E44"/>
    <w:lvl w:ilvl="0">
      <w:start w:val="2"/>
      <w:numFmt w:val="chineseCounting"/>
      <w:suff w:val="nothing"/>
      <w:lvlText w:val="（%1）"/>
      <w:lvlJc w:val="left"/>
      <w:rPr>
        <w:rFonts w:hint="eastAsia"/>
      </w:rPr>
    </w:lvl>
  </w:abstractNum>
  <w:abstractNum w:abstractNumId="1">
    <w:nsid w:val="B026C66B"/>
    <w:multiLevelType w:val="singleLevel"/>
    <w:tmpl w:val="B026C66B"/>
    <w:lvl w:ilvl="0">
      <w:start w:val="1"/>
      <w:numFmt w:val="decimal"/>
      <w:lvlText w:val="%1."/>
      <w:lvlJc w:val="left"/>
      <w:pPr>
        <w:tabs>
          <w:tab w:val="left" w:pos="312"/>
        </w:tabs>
      </w:p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nsid w:val="52E69320"/>
    <w:multiLevelType w:val="singleLevel"/>
    <w:tmpl w:val="52E69320"/>
    <w:lvl w:ilvl="0">
      <w:start w:val="2"/>
      <w:numFmt w:val="chineseCounting"/>
      <w:suff w:val="nothing"/>
      <w:lvlText w:val="（%1）"/>
      <w:lvlJc w:val="left"/>
      <w:rPr>
        <w:rFonts w:hint="eastAsia"/>
      </w:rPr>
    </w:lvl>
  </w:abstractNum>
  <w:abstractNum w:abstractNumId="7">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7"/>
  </w:num>
  <w:num w:numId="2">
    <w:abstractNumId w:val="4"/>
  </w:num>
  <w:num w:numId="3">
    <w:abstractNumId w:val="2"/>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4B9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43211"/>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29DD"/>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14845"/>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6518D4"/>
    <w:rsid w:val="019D020D"/>
    <w:rsid w:val="04906E08"/>
    <w:rsid w:val="05665609"/>
    <w:rsid w:val="05680E80"/>
    <w:rsid w:val="056F2DD7"/>
    <w:rsid w:val="06053DCB"/>
    <w:rsid w:val="0670344A"/>
    <w:rsid w:val="07164E2C"/>
    <w:rsid w:val="07D76440"/>
    <w:rsid w:val="07FC6A07"/>
    <w:rsid w:val="080B15C5"/>
    <w:rsid w:val="08627A7D"/>
    <w:rsid w:val="08DB785C"/>
    <w:rsid w:val="08DF4A03"/>
    <w:rsid w:val="091F6460"/>
    <w:rsid w:val="0938401C"/>
    <w:rsid w:val="09502692"/>
    <w:rsid w:val="09750786"/>
    <w:rsid w:val="09C6465D"/>
    <w:rsid w:val="0A5C175F"/>
    <w:rsid w:val="0A81165A"/>
    <w:rsid w:val="0AAE1F42"/>
    <w:rsid w:val="0ABD1E27"/>
    <w:rsid w:val="0B31254E"/>
    <w:rsid w:val="0B81130F"/>
    <w:rsid w:val="0BA93787"/>
    <w:rsid w:val="0C8A48B9"/>
    <w:rsid w:val="0CB5560E"/>
    <w:rsid w:val="0CC854AF"/>
    <w:rsid w:val="0CD87849"/>
    <w:rsid w:val="0D141724"/>
    <w:rsid w:val="0D63596C"/>
    <w:rsid w:val="0E1D0A37"/>
    <w:rsid w:val="0E482ABA"/>
    <w:rsid w:val="0EE309CF"/>
    <w:rsid w:val="0EE6339E"/>
    <w:rsid w:val="0FB61FCB"/>
    <w:rsid w:val="0FC94BB8"/>
    <w:rsid w:val="0FF03ECF"/>
    <w:rsid w:val="102E2669"/>
    <w:rsid w:val="104B484A"/>
    <w:rsid w:val="1082456E"/>
    <w:rsid w:val="10A61824"/>
    <w:rsid w:val="10C055FF"/>
    <w:rsid w:val="10E11385"/>
    <w:rsid w:val="12301974"/>
    <w:rsid w:val="128E5591"/>
    <w:rsid w:val="12FF0DFF"/>
    <w:rsid w:val="1323337C"/>
    <w:rsid w:val="14217DBC"/>
    <w:rsid w:val="14786DF2"/>
    <w:rsid w:val="14CC5179"/>
    <w:rsid w:val="150563D7"/>
    <w:rsid w:val="166447A8"/>
    <w:rsid w:val="16BB723D"/>
    <w:rsid w:val="17A66B6C"/>
    <w:rsid w:val="17E00E27"/>
    <w:rsid w:val="185E5F0D"/>
    <w:rsid w:val="18CA50DD"/>
    <w:rsid w:val="192D4B0A"/>
    <w:rsid w:val="19782B7D"/>
    <w:rsid w:val="197F039C"/>
    <w:rsid w:val="19AE3228"/>
    <w:rsid w:val="1A1A4BE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592A71"/>
    <w:rsid w:val="1E5B574C"/>
    <w:rsid w:val="1E774B19"/>
    <w:rsid w:val="1FAD4B5E"/>
    <w:rsid w:val="200D08C5"/>
    <w:rsid w:val="2011450B"/>
    <w:rsid w:val="202920F5"/>
    <w:rsid w:val="204978C9"/>
    <w:rsid w:val="204C32BC"/>
    <w:rsid w:val="20F14F56"/>
    <w:rsid w:val="20F73A71"/>
    <w:rsid w:val="21013642"/>
    <w:rsid w:val="221833EE"/>
    <w:rsid w:val="23072046"/>
    <w:rsid w:val="23396B0C"/>
    <w:rsid w:val="234E1921"/>
    <w:rsid w:val="240371BF"/>
    <w:rsid w:val="24A57890"/>
    <w:rsid w:val="24D65456"/>
    <w:rsid w:val="2587478A"/>
    <w:rsid w:val="25AF5F5F"/>
    <w:rsid w:val="25C81910"/>
    <w:rsid w:val="25CD34A7"/>
    <w:rsid w:val="266409A7"/>
    <w:rsid w:val="272B0D69"/>
    <w:rsid w:val="274B1A23"/>
    <w:rsid w:val="27C509F4"/>
    <w:rsid w:val="27F64446"/>
    <w:rsid w:val="28D263A4"/>
    <w:rsid w:val="28E430DB"/>
    <w:rsid w:val="29681010"/>
    <w:rsid w:val="29C100EB"/>
    <w:rsid w:val="29FD04D3"/>
    <w:rsid w:val="2AFB3E8A"/>
    <w:rsid w:val="2B2321ED"/>
    <w:rsid w:val="2BCC6816"/>
    <w:rsid w:val="2C731283"/>
    <w:rsid w:val="2CDD568C"/>
    <w:rsid w:val="2D0D150B"/>
    <w:rsid w:val="2D572FED"/>
    <w:rsid w:val="2DBB77E4"/>
    <w:rsid w:val="2EF07F24"/>
    <w:rsid w:val="2F276F76"/>
    <w:rsid w:val="30671C33"/>
    <w:rsid w:val="30830D6D"/>
    <w:rsid w:val="311E4CC4"/>
    <w:rsid w:val="31264DB3"/>
    <w:rsid w:val="319F7F4E"/>
    <w:rsid w:val="320B5BBB"/>
    <w:rsid w:val="326547E0"/>
    <w:rsid w:val="32A3760D"/>
    <w:rsid w:val="33A326E3"/>
    <w:rsid w:val="33A43D1B"/>
    <w:rsid w:val="33FF0876"/>
    <w:rsid w:val="34B5613E"/>
    <w:rsid w:val="35557B64"/>
    <w:rsid w:val="35F50EDF"/>
    <w:rsid w:val="36B92E40"/>
    <w:rsid w:val="36DB765E"/>
    <w:rsid w:val="36E52D78"/>
    <w:rsid w:val="379F191A"/>
    <w:rsid w:val="38157F43"/>
    <w:rsid w:val="387A53A2"/>
    <w:rsid w:val="38B068D2"/>
    <w:rsid w:val="3921257D"/>
    <w:rsid w:val="39521163"/>
    <w:rsid w:val="39591230"/>
    <w:rsid w:val="39CF559D"/>
    <w:rsid w:val="3A5E5FD2"/>
    <w:rsid w:val="3B540FB8"/>
    <w:rsid w:val="3BE32EEC"/>
    <w:rsid w:val="3C110791"/>
    <w:rsid w:val="3C3030B1"/>
    <w:rsid w:val="3C470B98"/>
    <w:rsid w:val="3CC14590"/>
    <w:rsid w:val="3CED456E"/>
    <w:rsid w:val="3D1F26A6"/>
    <w:rsid w:val="3D6C123C"/>
    <w:rsid w:val="3DA64744"/>
    <w:rsid w:val="3DC43237"/>
    <w:rsid w:val="3E437624"/>
    <w:rsid w:val="3EA65D93"/>
    <w:rsid w:val="3F553F84"/>
    <w:rsid w:val="3F575F3F"/>
    <w:rsid w:val="3F5F08F0"/>
    <w:rsid w:val="3FBB7DBB"/>
    <w:rsid w:val="3FC55605"/>
    <w:rsid w:val="40F406B1"/>
    <w:rsid w:val="41283F2D"/>
    <w:rsid w:val="41AE4F5B"/>
    <w:rsid w:val="42626A7E"/>
    <w:rsid w:val="427573B9"/>
    <w:rsid w:val="42975CC0"/>
    <w:rsid w:val="42FC7EEE"/>
    <w:rsid w:val="43406EA5"/>
    <w:rsid w:val="43640C8D"/>
    <w:rsid w:val="43726164"/>
    <w:rsid w:val="4395586C"/>
    <w:rsid w:val="453F22AB"/>
    <w:rsid w:val="4543723E"/>
    <w:rsid w:val="45E92037"/>
    <w:rsid w:val="45F533FF"/>
    <w:rsid w:val="45F67999"/>
    <w:rsid w:val="463B6A3B"/>
    <w:rsid w:val="46707414"/>
    <w:rsid w:val="46761096"/>
    <w:rsid w:val="46B56547"/>
    <w:rsid w:val="47934A31"/>
    <w:rsid w:val="48906FA0"/>
    <w:rsid w:val="49542693"/>
    <w:rsid w:val="49FB098E"/>
    <w:rsid w:val="4A7429C3"/>
    <w:rsid w:val="4B9922DA"/>
    <w:rsid w:val="4BA921D2"/>
    <w:rsid w:val="4C1572FA"/>
    <w:rsid w:val="4C2557A1"/>
    <w:rsid w:val="4C642CE8"/>
    <w:rsid w:val="4C760694"/>
    <w:rsid w:val="4C7C5968"/>
    <w:rsid w:val="4C866024"/>
    <w:rsid w:val="4D78509A"/>
    <w:rsid w:val="4D7F2D1C"/>
    <w:rsid w:val="4DD80E3E"/>
    <w:rsid w:val="4DDE6AAC"/>
    <w:rsid w:val="4E570E02"/>
    <w:rsid w:val="4F8605B0"/>
    <w:rsid w:val="5019773A"/>
    <w:rsid w:val="50904919"/>
    <w:rsid w:val="51302B71"/>
    <w:rsid w:val="521305F1"/>
    <w:rsid w:val="52B9593E"/>
    <w:rsid w:val="52BA47EA"/>
    <w:rsid w:val="52F265D6"/>
    <w:rsid w:val="53611C44"/>
    <w:rsid w:val="54AF45F1"/>
    <w:rsid w:val="553F1ED1"/>
    <w:rsid w:val="5563759E"/>
    <w:rsid w:val="567D2FAC"/>
    <w:rsid w:val="569D4BAD"/>
    <w:rsid w:val="56E57E86"/>
    <w:rsid w:val="577F3753"/>
    <w:rsid w:val="57977A37"/>
    <w:rsid w:val="585C7890"/>
    <w:rsid w:val="58934F0E"/>
    <w:rsid w:val="598C7D37"/>
    <w:rsid w:val="5A8674B7"/>
    <w:rsid w:val="5B127621"/>
    <w:rsid w:val="5B722BD2"/>
    <w:rsid w:val="5BB243CD"/>
    <w:rsid w:val="5BC72F5C"/>
    <w:rsid w:val="5C0A446A"/>
    <w:rsid w:val="5CB55867"/>
    <w:rsid w:val="5CF43801"/>
    <w:rsid w:val="5D0E3085"/>
    <w:rsid w:val="5DC429DB"/>
    <w:rsid w:val="5DD53F16"/>
    <w:rsid w:val="5E697827"/>
    <w:rsid w:val="5EC04069"/>
    <w:rsid w:val="5F130570"/>
    <w:rsid w:val="5F3C2C4C"/>
    <w:rsid w:val="5FE83DDC"/>
    <w:rsid w:val="5FFD314F"/>
    <w:rsid w:val="602C7B0A"/>
    <w:rsid w:val="60D51BAD"/>
    <w:rsid w:val="614C380B"/>
    <w:rsid w:val="61660953"/>
    <w:rsid w:val="61787CCC"/>
    <w:rsid w:val="618E7474"/>
    <w:rsid w:val="61CC2AD1"/>
    <w:rsid w:val="61F90DDB"/>
    <w:rsid w:val="62167842"/>
    <w:rsid w:val="6299211C"/>
    <w:rsid w:val="634A698B"/>
    <w:rsid w:val="634B3D11"/>
    <w:rsid w:val="634E7453"/>
    <w:rsid w:val="63E262CC"/>
    <w:rsid w:val="64875955"/>
    <w:rsid w:val="648F372B"/>
    <w:rsid w:val="64ED02C6"/>
    <w:rsid w:val="64FD6E47"/>
    <w:rsid w:val="65D45BC1"/>
    <w:rsid w:val="65E965C1"/>
    <w:rsid w:val="66252916"/>
    <w:rsid w:val="666C38FC"/>
    <w:rsid w:val="67281B3B"/>
    <w:rsid w:val="67595EDB"/>
    <w:rsid w:val="67880D72"/>
    <w:rsid w:val="67C42A8D"/>
    <w:rsid w:val="67D15BEF"/>
    <w:rsid w:val="681F5675"/>
    <w:rsid w:val="6A023EA5"/>
    <w:rsid w:val="6A2B1D02"/>
    <w:rsid w:val="6A6A03D2"/>
    <w:rsid w:val="6A8675DF"/>
    <w:rsid w:val="6AE16007"/>
    <w:rsid w:val="6AEF7C96"/>
    <w:rsid w:val="6B2F5F7F"/>
    <w:rsid w:val="6B7D34B9"/>
    <w:rsid w:val="6B922000"/>
    <w:rsid w:val="6BF734A9"/>
    <w:rsid w:val="6C6425DA"/>
    <w:rsid w:val="6CC124CD"/>
    <w:rsid w:val="6EF11141"/>
    <w:rsid w:val="6F594757"/>
    <w:rsid w:val="6F735A4B"/>
    <w:rsid w:val="6F964DC4"/>
    <w:rsid w:val="6FFD05C9"/>
    <w:rsid w:val="713848F7"/>
    <w:rsid w:val="71744D96"/>
    <w:rsid w:val="71D45B61"/>
    <w:rsid w:val="73520AF6"/>
    <w:rsid w:val="73557246"/>
    <w:rsid w:val="73F53E32"/>
    <w:rsid w:val="75A00DAA"/>
    <w:rsid w:val="7610485C"/>
    <w:rsid w:val="762F6050"/>
    <w:rsid w:val="76540119"/>
    <w:rsid w:val="77602A5E"/>
    <w:rsid w:val="77CD7FEF"/>
    <w:rsid w:val="78494E0D"/>
    <w:rsid w:val="79550F53"/>
    <w:rsid w:val="798858BA"/>
    <w:rsid w:val="7A771F91"/>
    <w:rsid w:val="7A7A4B56"/>
    <w:rsid w:val="7A94354D"/>
    <w:rsid w:val="7AF9643C"/>
    <w:rsid w:val="7BF31862"/>
    <w:rsid w:val="7D030AEF"/>
    <w:rsid w:val="7DBB53B8"/>
    <w:rsid w:val="7E545E01"/>
    <w:rsid w:val="7E9F6105"/>
    <w:rsid w:val="7F3D6C86"/>
    <w:rsid w:val="7FE76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FollowedHyperlink" w:semiHidden="0" w:qFormat="1"/>
    <w:lsdException w:name="Strong" w:semiHidden="0"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DD"/>
    <w:pPr>
      <w:widowControl w:val="0"/>
      <w:jc w:val="both"/>
    </w:pPr>
    <w:rPr>
      <w:kern w:val="2"/>
      <w:sz w:val="21"/>
      <w:szCs w:val="24"/>
    </w:rPr>
  </w:style>
  <w:style w:type="paragraph" w:styleId="1">
    <w:name w:val="heading 1"/>
    <w:basedOn w:val="a"/>
    <w:next w:val="a"/>
    <w:link w:val="1Char"/>
    <w:uiPriority w:val="9"/>
    <w:qFormat/>
    <w:rsid w:val="009229D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229D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229D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229DD"/>
    <w:pPr>
      <w:spacing w:beforeLines="30"/>
    </w:pPr>
    <w:rPr>
      <w:rFonts w:ascii="仿宋_GB2312" w:eastAsia="仿宋_GB2312"/>
      <w:kern w:val="0"/>
      <w:sz w:val="30"/>
    </w:rPr>
  </w:style>
  <w:style w:type="paragraph" w:styleId="30">
    <w:name w:val="toc 3"/>
    <w:basedOn w:val="a"/>
    <w:next w:val="a"/>
    <w:uiPriority w:val="39"/>
    <w:unhideWhenUsed/>
    <w:qFormat/>
    <w:rsid w:val="009229DD"/>
    <w:pPr>
      <w:tabs>
        <w:tab w:val="right" w:leader="dot" w:pos="8296"/>
      </w:tabs>
      <w:ind w:leftChars="400" w:left="840"/>
    </w:pPr>
  </w:style>
  <w:style w:type="paragraph" w:styleId="a4">
    <w:name w:val="Balloon Text"/>
    <w:basedOn w:val="a"/>
    <w:link w:val="Char0"/>
    <w:uiPriority w:val="99"/>
    <w:unhideWhenUsed/>
    <w:qFormat/>
    <w:rsid w:val="009229DD"/>
    <w:rPr>
      <w:sz w:val="18"/>
      <w:szCs w:val="18"/>
    </w:rPr>
  </w:style>
  <w:style w:type="paragraph" w:styleId="a5">
    <w:name w:val="footer"/>
    <w:basedOn w:val="a"/>
    <w:link w:val="Char1"/>
    <w:uiPriority w:val="99"/>
    <w:qFormat/>
    <w:rsid w:val="009229DD"/>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9229D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229D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229DD"/>
    <w:pPr>
      <w:tabs>
        <w:tab w:val="right" w:leader="dot" w:pos="8296"/>
      </w:tabs>
      <w:ind w:leftChars="200" w:left="420"/>
    </w:pPr>
  </w:style>
  <w:style w:type="character" w:styleId="a7">
    <w:name w:val="Strong"/>
    <w:basedOn w:val="a0"/>
    <w:uiPriority w:val="99"/>
    <w:qFormat/>
    <w:rsid w:val="009229DD"/>
    <w:rPr>
      <w:b/>
    </w:rPr>
  </w:style>
  <w:style w:type="character" w:styleId="a8">
    <w:name w:val="FollowedHyperlink"/>
    <w:basedOn w:val="a0"/>
    <w:uiPriority w:val="99"/>
    <w:unhideWhenUsed/>
    <w:qFormat/>
    <w:rsid w:val="009229DD"/>
    <w:rPr>
      <w:color w:val="2786E4"/>
      <w:u w:val="none"/>
    </w:rPr>
  </w:style>
  <w:style w:type="character" w:styleId="a9">
    <w:name w:val="Hyperlink"/>
    <w:basedOn w:val="a0"/>
    <w:uiPriority w:val="99"/>
    <w:unhideWhenUsed/>
    <w:qFormat/>
    <w:rsid w:val="009229DD"/>
    <w:rPr>
      <w:color w:val="0000FF" w:themeColor="hyperlink"/>
      <w:u w:val="single"/>
    </w:rPr>
  </w:style>
  <w:style w:type="character" w:customStyle="1" w:styleId="HeaderChar">
    <w:name w:val="Header Char"/>
    <w:basedOn w:val="a0"/>
    <w:uiPriority w:val="99"/>
    <w:semiHidden/>
    <w:qFormat/>
    <w:rsid w:val="009229DD"/>
    <w:rPr>
      <w:rFonts w:ascii="Times New Roman" w:hAnsi="Times New Roman"/>
      <w:sz w:val="18"/>
      <w:szCs w:val="18"/>
    </w:rPr>
  </w:style>
  <w:style w:type="character" w:customStyle="1" w:styleId="Char2">
    <w:name w:val="页眉 Char"/>
    <w:link w:val="a6"/>
    <w:uiPriority w:val="99"/>
    <w:semiHidden/>
    <w:qFormat/>
    <w:locked/>
    <w:rsid w:val="009229DD"/>
    <w:rPr>
      <w:sz w:val="18"/>
    </w:rPr>
  </w:style>
  <w:style w:type="character" w:customStyle="1" w:styleId="FooterChar">
    <w:name w:val="Footer Char"/>
    <w:basedOn w:val="a0"/>
    <w:uiPriority w:val="99"/>
    <w:semiHidden/>
    <w:qFormat/>
    <w:rsid w:val="009229DD"/>
    <w:rPr>
      <w:rFonts w:ascii="Times New Roman" w:hAnsi="Times New Roman"/>
      <w:sz w:val="18"/>
      <w:szCs w:val="18"/>
    </w:rPr>
  </w:style>
  <w:style w:type="character" w:customStyle="1" w:styleId="Char1">
    <w:name w:val="页脚 Char"/>
    <w:link w:val="a5"/>
    <w:uiPriority w:val="99"/>
    <w:qFormat/>
    <w:locked/>
    <w:rsid w:val="009229DD"/>
    <w:rPr>
      <w:sz w:val="18"/>
    </w:rPr>
  </w:style>
  <w:style w:type="character" w:customStyle="1" w:styleId="BodyTextChar">
    <w:name w:val="Body Text Char"/>
    <w:basedOn w:val="a0"/>
    <w:uiPriority w:val="99"/>
    <w:semiHidden/>
    <w:qFormat/>
    <w:rsid w:val="009229DD"/>
    <w:rPr>
      <w:rFonts w:ascii="Times New Roman" w:hAnsi="Times New Roman"/>
      <w:szCs w:val="24"/>
    </w:rPr>
  </w:style>
  <w:style w:type="character" w:customStyle="1" w:styleId="Char">
    <w:name w:val="正文文本 Char"/>
    <w:link w:val="a3"/>
    <w:uiPriority w:val="99"/>
    <w:qFormat/>
    <w:locked/>
    <w:rsid w:val="009229DD"/>
    <w:rPr>
      <w:rFonts w:ascii="仿宋_GB2312" w:eastAsia="仿宋_GB2312" w:hAnsi="Times New Roman"/>
      <w:sz w:val="24"/>
    </w:rPr>
  </w:style>
  <w:style w:type="paragraph" w:customStyle="1" w:styleId="Default">
    <w:name w:val="Default"/>
    <w:uiPriority w:val="99"/>
    <w:qFormat/>
    <w:rsid w:val="009229DD"/>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9229DD"/>
    <w:pPr>
      <w:ind w:firstLineChars="200" w:firstLine="420"/>
    </w:pPr>
  </w:style>
  <w:style w:type="character" w:customStyle="1" w:styleId="1Char">
    <w:name w:val="标题 1 Char"/>
    <w:basedOn w:val="a0"/>
    <w:link w:val="1"/>
    <w:uiPriority w:val="9"/>
    <w:qFormat/>
    <w:rsid w:val="009229DD"/>
    <w:rPr>
      <w:rFonts w:ascii="Times New Roman" w:hAnsi="Times New Roman"/>
      <w:b/>
      <w:bCs/>
      <w:kern w:val="44"/>
      <w:sz w:val="44"/>
      <w:szCs w:val="44"/>
    </w:rPr>
  </w:style>
  <w:style w:type="character" w:customStyle="1" w:styleId="2Char">
    <w:name w:val="标题 2 Char"/>
    <w:basedOn w:val="a0"/>
    <w:link w:val="2"/>
    <w:uiPriority w:val="9"/>
    <w:qFormat/>
    <w:rsid w:val="009229D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229D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9229DD"/>
    <w:rPr>
      <w:rFonts w:ascii="Times New Roman" w:hAnsi="Times New Roman"/>
      <w:kern w:val="2"/>
      <w:sz w:val="18"/>
      <w:szCs w:val="18"/>
    </w:rPr>
  </w:style>
  <w:style w:type="character" w:customStyle="1" w:styleId="3Char">
    <w:name w:val="标题 3 Char"/>
    <w:basedOn w:val="a0"/>
    <w:link w:val="3"/>
    <w:uiPriority w:val="9"/>
    <w:qFormat/>
    <w:rsid w:val="009229DD"/>
    <w:rPr>
      <w:rFonts w:ascii="Times New Roman" w:hAnsi="Times New Roman"/>
      <w:b/>
      <w:bCs/>
      <w:kern w:val="2"/>
      <w:sz w:val="32"/>
      <w:szCs w:val="32"/>
    </w:rPr>
  </w:style>
  <w:style w:type="paragraph" w:customStyle="1" w:styleId="111">
    <w:name w:val="列出段落111"/>
    <w:basedOn w:val="a"/>
    <w:uiPriority w:val="34"/>
    <w:qFormat/>
    <w:rsid w:val="009229DD"/>
    <w:pPr>
      <w:ind w:firstLineChars="200" w:firstLine="420"/>
    </w:pPr>
  </w:style>
  <w:style w:type="character" w:customStyle="1" w:styleId="rec-time">
    <w:name w:val="rec-time"/>
    <w:basedOn w:val="a0"/>
    <w:qFormat/>
    <w:rsid w:val="009229DD"/>
  </w:style>
  <w:style w:type="character" w:customStyle="1" w:styleId="rec-status-desc">
    <w:name w:val="rec-status-desc"/>
    <w:basedOn w:val="a0"/>
    <w:qFormat/>
    <w:rsid w:val="009229DD"/>
  </w:style>
  <w:style w:type="character" w:customStyle="1" w:styleId="rec-volume">
    <w:name w:val="rec-volume"/>
    <w:basedOn w:val="a0"/>
    <w:qFormat/>
    <w:rsid w:val="009229DD"/>
  </w:style>
  <w:style w:type="paragraph" w:customStyle="1" w:styleId="110">
    <w:name w:val="列出段落11"/>
    <w:basedOn w:val="a"/>
    <w:uiPriority w:val="34"/>
    <w:qFormat/>
    <w:rsid w:val="009229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package6.package"/></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package7.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spPr>
        <a:noFill/>
        <a:ln>
          <a:noFill/>
        </a:ln>
        <a:effectLst/>
      </c:spPr>
    </c:title>
    <c:plotArea>
      <c:layout/>
      <c:barChart>
        <c:barDir val="col"/>
        <c:grouping val="clustered"/>
        <c:ser>
          <c:idx val="0"/>
          <c:order val="0"/>
          <c:tx>
            <c:strRef>
              <c:f>Sheet1!$B$1</c:f>
              <c:strCache>
                <c:ptCount val="1"/>
                <c:pt idx="0">
                  <c:v>收入</c:v>
                </c:pt>
              </c:strCache>
            </c:strRef>
          </c:tx>
          <c:spPr>
            <a:solidFill>
              <a:schemeClr val="accent1"/>
            </a:solidFill>
            <a:ln>
              <a:noFill/>
            </a:ln>
            <a:effectLst/>
          </c:spPr>
          <c:cat>
            <c:strRef>
              <c:f>Sheet1!$A$2:$A$3</c:f>
              <c:strCache>
                <c:ptCount val="2"/>
                <c:pt idx="0">
                  <c:v>2018年</c:v>
                </c:pt>
                <c:pt idx="1">
                  <c:v>2019年</c:v>
                </c:pt>
              </c:strCache>
            </c:strRef>
          </c:cat>
          <c:val>
            <c:numRef>
              <c:f>Sheet1!$B$2:$B$3</c:f>
              <c:numCache>
                <c:formatCode>General</c:formatCode>
                <c:ptCount val="2"/>
                <c:pt idx="0">
                  <c:v>33108.480000000003</c:v>
                </c:pt>
                <c:pt idx="1">
                  <c:v>21843.41</c:v>
                </c:pt>
              </c:numCache>
            </c:numRef>
          </c:val>
        </c:ser>
        <c:ser>
          <c:idx val="1"/>
          <c:order val="1"/>
          <c:tx>
            <c:strRef>
              <c:f>Sheet1!$C$1</c:f>
              <c:strCache>
                <c:ptCount val="1"/>
                <c:pt idx="0">
                  <c:v>支出</c:v>
                </c:pt>
              </c:strCache>
            </c:strRef>
          </c:tx>
          <c:spPr>
            <a:solidFill>
              <a:schemeClr val="accent2"/>
            </a:solidFill>
            <a:ln>
              <a:noFill/>
            </a:ln>
            <a:effectLst/>
          </c:spPr>
          <c:cat>
            <c:strRef>
              <c:f>Sheet1!$A$2:$A$3</c:f>
              <c:strCache>
                <c:ptCount val="2"/>
                <c:pt idx="0">
                  <c:v>2018年</c:v>
                </c:pt>
                <c:pt idx="1">
                  <c:v>2019年</c:v>
                </c:pt>
              </c:strCache>
            </c:strRef>
          </c:cat>
          <c:val>
            <c:numRef>
              <c:f>Sheet1!$C$2:$C$3</c:f>
              <c:numCache>
                <c:formatCode>General</c:formatCode>
                <c:ptCount val="2"/>
                <c:pt idx="0">
                  <c:v>26791.74</c:v>
                </c:pt>
                <c:pt idx="1">
                  <c:v>37151.33</c:v>
                </c:pt>
              </c:numCache>
            </c:numRef>
          </c:val>
        </c:ser>
        <c:ser>
          <c:idx val="2"/>
          <c:order val="2"/>
          <c:tx>
            <c:strRef>
              <c:f>Sheet1!#REF!</c:f>
              <c:strCache>
                <c:ptCount val="1"/>
              </c:strCache>
            </c:strRef>
          </c:tx>
          <c:spPr>
            <a:solidFill>
              <a:schemeClr val="accent3"/>
            </a:solidFill>
            <a:ln>
              <a:noFill/>
            </a:ln>
            <a:effectLst/>
          </c:spPr>
          <c:cat>
            <c:strRef>
              <c:f>Sheet1!$A$2:$A$3</c:f>
              <c:strCache>
                <c:ptCount val="2"/>
                <c:pt idx="0">
                  <c:v>2018年</c:v>
                </c:pt>
                <c:pt idx="1">
                  <c:v>2019年</c:v>
                </c:pt>
              </c:strCache>
            </c:strRef>
          </c:cat>
          <c:val>
            <c:numRef>
              <c:f>Sheet1!#REF!</c:f>
              <c:numCache>
                <c:formatCode>General</c:formatCode>
                <c:ptCount val="1"/>
                <c:pt idx="0">
                  <c:v>1</c:v>
                </c:pt>
              </c:numCache>
            </c:numRef>
          </c:val>
        </c:ser>
        <c:gapWidth val="75"/>
        <c:overlap val="-25"/>
        <c:axId val="165244928"/>
        <c:axId val="165246464"/>
      </c:barChart>
      <c:catAx>
        <c:axId val="16524492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246464"/>
        <c:crosses val="autoZero"/>
        <c:auto val="1"/>
        <c:lblAlgn val="ctr"/>
        <c:lblOffset val="100"/>
      </c:catAx>
      <c:valAx>
        <c:axId val="1652464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244928"/>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收入决算结构图</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Sheet1!$A$2:$A$3</c:f>
              <c:strCache>
                <c:ptCount val="2"/>
                <c:pt idx="0">
                  <c:v>一般公共预算财政笔款收入</c:v>
                </c:pt>
                <c:pt idx="1">
                  <c:v>政府性基金预算财政拨款收入</c:v>
                </c:pt>
              </c:strCache>
            </c:strRef>
          </c:cat>
          <c:val>
            <c:numRef>
              <c:f>Sheet1!$B$2:$B$3</c:f>
              <c:numCache>
                <c:formatCode>General</c:formatCode>
                <c:ptCount val="2"/>
                <c:pt idx="0">
                  <c:v>21440.720000000001</c:v>
                </c:pt>
                <c:pt idx="1">
                  <c:v>402.69</c:v>
                </c:pt>
              </c:numCache>
            </c:numRef>
          </c:val>
        </c:ser>
        <c:firstSliceAng val="0"/>
      </c:pieChart>
      <c:spPr>
        <a:noFill/>
        <a:ln>
          <a:noFill/>
        </a:ln>
        <a:effectLst/>
      </c:spPr>
    </c:plotArea>
    <c:legend>
      <c:legendPos val="b"/>
      <c:layout>
        <c:manualLayout>
          <c:xMode val="edge"/>
          <c:yMode val="edge"/>
          <c:x val="8.7902156877047333E-2"/>
          <c:y val="0.90583657587548583"/>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支出决算结构图</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Sheet1!$A$2:$A$3</c:f>
              <c:strCache>
                <c:ptCount val="2"/>
                <c:pt idx="0">
                  <c:v>基本支出</c:v>
                </c:pt>
                <c:pt idx="1">
                  <c:v>项目支出</c:v>
                </c:pt>
              </c:strCache>
            </c:strRef>
          </c:cat>
          <c:val>
            <c:numRef>
              <c:f>Sheet1!$B$2:$B$3</c:f>
              <c:numCache>
                <c:formatCode>General</c:formatCode>
                <c:ptCount val="2"/>
                <c:pt idx="0">
                  <c:v>563.6</c:v>
                </c:pt>
                <c:pt idx="1">
                  <c:v>36587.729999999996</c:v>
                </c:pt>
              </c:numCache>
            </c:numRef>
          </c:val>
        </c:ser>
        <c:firstSliceAng val="0"/>
      </c:pieChart>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spPr>
        <a:noFill/>
        <a:ln>
          <a:noFill/>
        </a:ln>
        <a:effectLst/>
      </c:spPr>
    </c:title>
    <c:plotArea>
      <c:layout/>
      <c:barChart>
        <c:barDir val="col"/>
        <c:grouping val="clustered"/>
        <c:ser>
          <c:idx val="0"/>
          <c:order val="0"/>
          <c:tx>
            <c:strRef>
              <c:f>Sheet1!$B$1</c:f>
              <c:strCache>
                <c:ptCount val="1"/>
                <c:pt idx="0">
                  <c:v>收入</c:v>
                </c:pt>
              </c:strCache>
            </c:strRef>
          </c:tx>
          <c:spPr>
            <a:solidFill>
              <a:schemeClr val="accent1"/>
            </a:solidFill>
            <a:ln>
              <a:noFill/>
            </a:ln>
            <a:effectLst/>
          </c:spPr>
          <c:cat>
            <c:strRef>
              <c:f>Sheet1!$A$2:$A$3</c:f>
              <c:strCache>
                <c:ptCount val="2"/>
                <c:pt idx="0">
                  <c:v>2018年</c:v>
                </c:pt>
                <c:pt idx="1">
                  <c:v>2019年</c:v>
                </c:pt>
              </c:strCache>
            </c:strRef>
          </c:cat>
          <c:val>
            <c:numRef>
              <c:f>Sheet1!$B$2:$B$3</c:f>
              <c:numCache>
                <c:formatCode>General</c:formatCode>
                <c:ptCount val="2"/>
                <c:pt idx="0">
                  <c:v>33108.480000000003</c:v>
                </c:pt>
                <c:pt idx="1">
                  <c:v>21843.41</c:v>
                </c:pt>
              </c:numCache>
            </c:numRef>
          </c:val>
        </c:ser>
        <c:ser>
          <c:idx val="1"/>
          <c:order val="1"/>
          <c:tx>
            <c:strRef>
              <c:f>Sheet1!$C$1</c:f>
              <c:strCache>
                <c:ptCount val="1"/>
                <c:pt idx="0">
                  <c:v>支出</c:v>
                </c:pt>
              </c:strCache>
            </c:strRef>
          </c:tx>
          <c:spPr>
            <a:solidFill>
              <a:schemeClr val="accent2"/>
            </a:solidFill>
            <a:ln>
              <a:noFill/>
            </a:ln>
            <a:effectLst/>
          </c:spPr>
          <c:cat>
            <c:strRef>
              <c:f>Sheet1!$A$2:$A$3</c:f>
              <c:strCache>
                <c:ptCount val="2"/>
                <c:pt idx="0">
                  <c:v>2018年</c:v>
                </c:pt>
                <c:pt idx="1">
                  <c:v>2019年</c:v>
                </c:pt>
              </c:strCache>
            </c:strRef>
          </c:cat>
          <c:val>
            <c:numRef>
              <c:f>Sheet1!$C$2:$C$3</c:f>
              <c:numCache>
                <c:formatCode>General</c:formatCode>
                <c:ptCount val="2"/>
                <c:pt idx="0">
                  <c:v>26791.74</c:v>
                </c:pt>
                <c:pt idx="1">
                  <c:v>37151.33</c:v>
                </c:pt>
              </c:numCache>
            </c:numRef>
          </c:val>
        </c:ser>
        <c:ser>
          <c:idx val="2"/>
          <c:order val="2"/>
          <c:tx>
            <c:strRef>
              <c:f>Sheet1!#REF!</c:f>
              <c:strCache>
                <c:ptCount val="1"/>
              </c:strCache>
            </c:strRef>
          </c:tx>
          <c:spPr>
            <a:solidFill>
              <a:schemeClr val="accent3"/>
            </a:solidFill>
            <a:ln>
              <a:noFill/>
            </a:ln>
            <a:effectLst/>
          </c:spPr>
          <c:cat>
            <c:strRef>
              <c:f>Sheet1!$A$2:$A$3</c:f>
              <c:strCache>
                <c:ptCount val="2"/>
                <c:pt idx="0">
                  <c:v>2018年</c:v>
                </c:pt>
                <c:pt idx="1">
                  <c:v>2019年</c:v>
                </c:pt>
              </c:strCache>
            </c:strRef>
          </c:cat>
          <c:val>
            <c:numRef>
              <c:f>Sheet1!#REF!</c:f>
              <c:numCache>
                <c:formatCode>General</c:formatCode>
                <c:ptCount val="1"/>
                <c:pt idx="0">
                  <c:v>1</c:v>
                </c:pt>
              </c:numCache>
            </c:numRef>
          </c:val>
        </c:ser>
        <c:gapWidth val="75"/>
        <c:overlap val="-25"/>
        <c:axId val="165517568"/>
        <c:axId val="165535744"/>
      </c:barChart>
      <c:catAx>
        <c:axId val="16551756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535744"/>
        <c:crosses val="autoZero"/>
        <c:auto val="1"/>
        <c:lblAlgn val="ctr"/>
        <c:lblOffset val="100"/>
      </c:catAx>
      <c:valAx>
        <c:axId val="165535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517568"/>
        <c:crosses val="autoZero"/>
        <c:crossBetween val="between"/>
      </c:valAx>
      <c:spPr>
        <a:noFill/>
        <a:ln>
          <a:noFill/>
        </a:ln>
        <a:effectLst/>
      </c:spPr>
    </c:plotArea>
    <c:legend>
      <c:legendPos val="b"/>
      <c:layout>
        <c:manualLayout>
          <c:xMode val="edge"/>
          <c:yMode val="edge"/>
          <c:x val="0.3761751275852811"/>
          <c:y val="0.87835120643431641"/>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Sheet1!$B$1</c:f>
              <c:strCache>
                <c:ptCount val="1"/>
                <c:pt idx="0">
                  <c:v>一般公共预算财政拨款支出</c:v>
                </c:pt>
              </c:strCache>
            </c:strRef>
          </c:tx>
          <c:spPr>
            <a:solidFill>
              <a:schemeClr val="accent1"/>
            </a:solidFill>
            <a:ln>
              <a:noFill/>
            </a:ln>
            <a:effectLst/>
          </c:spPr>
          <c:cat>
            <c:strRef>
              <c:f>Sheet1!$A$2:$A$3</c:f>
              <c:strCache>
                <c:ptCount val="2"/>
                <c:pt idx="0">
                  <c:v>2018年</c:v>
                </c:pt>
                <c:pt idx="1">
                  <c:v>2019年</c:v>
                </c:pt>
              </c:strCache>
            </c:strRef>
          </c:cat>
          <c:val>
            <c:numRef>
              <c:f>Sheet1!$B$2:$B$3</c:f>
              <c:numCache>
                <c:formatCode>General</c:formatCode>
                <c:ptCount val="2"/>
                <c:pt idx="0">
                  <c:v>13096.19</c:v>
                </c:pt>
                <c:pt idx="1">
                  <c:v>30522.82</c:v>
                </c:pt>
              </c:numCache>
            </c:numRef>
          </c:val>
        </c:ser>
        <c:gapWidth val="219"/>
        <c:overlap val="-27"/>
        <c:axId val="166007168"/>
        <c:axId val="166008704"/>
      </c:barChart>
      <c:catAx>
        <c:axId val="16600716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6008704"/>
        <c:crosses val="autoZero"/>
        <c:auto val="1"/>
        <c:lblAlgn val="ctr"/>
        <c:lblOffset val="100"/>
      </c:catAx>
      <c:valAx>
        <c:axId val="16600870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6007168"/>
        <c:crosses val="autoZero"/>
        <c:crossBetween val="between"/>
      </c:valAx>
      <c:spPr>
        <a:noFill/>
        <a:ln>
          <a:noFill/>
        </a:ln>
        <a:effectLst/>
      </c:spPr>
    </c:plotArea>
    <c:legend>
      <c:legendPos val="b"/>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一般公共预算财政拨款支出决算结构</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cat>
            <c:strRef>
              <c:f>Sheet1!$A$2:$A$7</c:f>
              <c:strCache>
                <c:ptCount val="6"/>
                <c:pt idx="0">
                  <c:v>社会保障和就业（类）支出</c:v>
                </c:pt>
                <c:pt idx="1">
                  <c:v>卫生健康（类）支出</c:v>
                </c:pt>
                <c:pt idx="2">
                  <c:v>城乡社区（类）支出</c:v>
                </c:pt>
                <c:pt idx="3">
                  <c:v>农林水（类）支出</c:v>
                </c:pt>
                <c:pt idx="4">
                  <c:v>交通运输（类）支出</c:v>
                </c:pt>
                <c:pt idx="5">
                  <c:v>住房保障（类）支出</c:v>
                </c:pt>
              </c:strCache>
            </c:strRef>
          </c:cat>
          <c:val>
            <c:numRef>
              <c:f>Sheet1!$B$2:$B$7</c:f>
              <c:numCache>
                <c:formatCode>General</c:formatCode>
                <c:ptCount val="6"/>
                <c:pt idx="0">
                  <c:v>190.20999999999998</c:v>
                </c:pt>
                <c:pt idx="1">
                  <c:v>11.82</c:v>
                </c:pt>
                <c:pt idx="2">
                  <c:v>12.4</c:v>
                </c:pt>
                <c:pt idx="3">
                  <c:v>6470.46</c:v>
                </c:pt>
                <c:pt idx="4">
                  <c:v>23814.460000000006</c:v>
                </c:pt>
                <c:pt idx="5">
                  <c:v>23.45</c:v>
                </c:pt>
              </c:numCache>
            </c:numRef>
          </c:val>
        </c:ser>
        <c:firstSliceAng val="0"/>
      </c:pieChart>
      <c:spPr>
        <a:noFill/>
        <a:ln>
          <a:noFill/>
        </a:ln>
        <a:effectLst/>
      </c:spPr>
    </c:plotArea>
    <c:legend>
      <c:legendPos val="b"/>
      <c:layout>
        <c:manualLayout>
          <c:xMode val="edge"/>
          <c:yMode val="edge"/>
          <c:x val="9.8337595907928427E-2"/>
          <c:y val="0.82281284606866001"/>
          <c:w val="0.84782608695652217"/>
          <c:h val="0.16965669988925797"/>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“三公”经费财政拨款支出结构</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10</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55EE963-AE7E-4F3B-BBF1-9AF15C920B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9806</Words>
  <Characters>2882</Characters>
  <Application>Microsoft Office Word</Application>
  <DocSecurity>0</DocSecurity>
  <Lines>24</Lines>
  <Paragraphs>25</Paragraphs>
  <ScaleCrop>false</ScaleCrop>
  <Company>四川省财政厅</Company>
  <LinksUpToDate>false</LinksUpToDate>
  <CharactersWithSpaces>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微软用户</cp:lastModifiedBy>
  <cp:revision>7</cp:revision>
  <cp:lastPrinted>2020-08-10T08:26:00Z</cp:lastPrinted>
  <dcterms:created xsi:type="dcterms:W3CDTF">2020-08-10T04:06:00Z</dcterms:created>
  <dcterms:modified xsi:type="dcterms:W3CDTF">2020-09-08T03:12:00Z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