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A5C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5F9BB2F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资格审查必要合格条件评审表及量化评分表</w:t>
      </w:r>
    </w:p>
    <w:p w14:paraId="023F16D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12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3B6C92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716" w:type="dxa"/>
            <w:noWrap w:val="0"/>
            <w:vAlign w:val="center"/>
          </w:tcPr>
          <w:p w14:paraId="7116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7C5C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01EA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13AED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79EE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0D1E49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716" w:type="dxa"/>
            <w:noWrap w:val="0"/>
            <w:vAlign w:val="center"/>
          </w:tcPr>
          <w:p w14:paraId="15FD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EE4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442" w:type="dxa"/>
            <w:noWrap w:val="0"/>
            <w:vAlign w:val="center"/>
          </w:tcPr>
          <w:p w14:paraId="38151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398" w:type="dxa"/>
            <w:noWrap w:val="0"/>
            <w:vAlign w:val="center"/>
          </w:tcPr>
          <w:p w14:paraId="30EDF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7325B6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716" w:type="dxa"/>
            <w:noWrap w:val="0"/>
            <w:vAlign w:val="center"/>
          </w:tcPr>
          <w:p w14:paraId="4593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24BA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442" w:type="dxa"/>
            <w:noWrap w:val="0"/>
            <w:vAlign w:val="center"/>
          </w:tcPr>
          <w:p w14:paraId="13AD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3567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2F880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6" w:type="dxa"/>
            <w:noWrap w:val="0"/>
            <w:vAlign w:val="center"/>
          </w:tcPr>
          <w:p w14:paraId="45BA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6F62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质量合格证明</w:t>
            </w:r>
          </w:p>
        </w:tc>
        <w:tc>
          <w:tcPr>
            <w:tcW w:w="4442" w:type="dxa"/>
            <w:noWrap w:val="0"/>
            <w:vAlign w:val="center"/>
          </w:tcPr>
          <w:p w14:paraId="29B7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与所报价产品一致，符合国家规定，真是有效</w:t>
            </w:r>
          </w:p>
        </w:tc>
        <w:tc>
          <w:tcPr>
            <w:tcW w:w="2398" w:type="dxa"/>
            <w:noWrap w:val="0"/>
            <w:vAlign w:val="center"/>
          </w:tcPr>
          <w:p w14:paraId="68496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A4ABF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716" w:type="dxa"/>
            <w:noWrap w:val="0"/>
            <w:vAlign w:val="center"/>
          </w:tcPr>
          <w:p w14:paraId="3D5C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23EB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430B9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</w:t>
            </w:r>
          </w:p>
        </w:tc>
        <w:tc>
          <w:tcPr>
            <w:tcW w:w="2398" w:type="dxa"/>
            <w:noWrap w:val="0"/>
            <w:vAlign w:val="center"/>
          </w:tcPr>
          <w:p w14:paraId="3CCC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68BE14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716" w:type="dxa"/>
            <w:noWrap w:val="0"/>
            <w:vAlign w:val="center"/>
          </w:tcPr>
          <w:p w14:paraId="0A4B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0067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18F8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报价不得超过最高限价</w:t>
            </w:r>
          </w:p>
        </w:tc>
        <w:tc>
          <w:tcPr>
            <w:tcW w:w="2398" w:type="dxa"/>
            <w:noWrap w:val="0"/>
            <w:vAlign w:val="center"/>
          </w:tcPr>
          <w:p w14:paraId="484D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2B2D0D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2700" w:type="dxa"/>
            <w:gridSpan w:val="2"/>
            <w:noWrap w:val="0"/>
            <w:vAlign w:val="center"/>
          </w:tcPr>
          <w:p w14:paraId="5526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1388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14:paraId="25363E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6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206C60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33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  <w:t>表二  量化评分标准</w:t>
      </w:r>
    </w:p>
    <w:tbl>
      <w:tblPr>
        <w:tblStyle w:val="12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82"/>
        <w:gridCol w:w="1147"/>
      </w:tblGrid>
      <w:tr w14:paraId="119B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403D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7962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1E560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4FC0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6E16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2CB39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单价，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033CD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0673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11DC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479EC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须提供对公账户，“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49049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5186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1655C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服务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1116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提出需求后，一天内送达得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0分，两天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内送达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分，超出两天不得分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6805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2C2C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672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75D02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5F1D059">
      <w:pPr>
        <w:pStyle w:val="2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882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F1EED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FF1EED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150A7CE3"/>
    <w:rsid w:val="006D7A7E"/>
    <w:rsid w:val="03E56DE9"/>
    <w:rsid w:val="04AC7907"/>
    <w:rsid w:val="05EE2312"/>
    <w:rsid w:val="08EB69C8"/>
    <w:rsid w:val="0A5E0D9E"/>
    <w:rsid w:val="0B440899"/>
    <w:rsid w:val="0C8459C7"/>
    <w:rsid w:val="0CBB4B8B"/>
    <w:rsid w:val="0FA00383"/>
    <w:rsid w:val="111725AC"/>
    <w:rsid w:val="14013D7E"/>
    <w:rsid w:val="14C00865"/>
    <w:rsid w:val="14E135FC"/>
    <w:rsid w:val="150A7CE3"/>
    <w:rsid w:val="15EA64E1"/>
    <w:rsid w:val="170B4961"/>
    <w:rsid w:val="17306175"/>
    <w:rsid w:val="1BAD738B"/>
    <w:rsid w:val="1C993AEE"/>
    <w:rsid w:val="1CEA70FC"/>
    <w:rsid w:val="1DE83E7A"/>
    <w:rsid w:val="1E9516DF"/>
    <w:rsid w:val="1F7D58BF"/>
    <w:rsid w:val="2259371E"/>
    <w:rsid w:val="23BB1F62"/>
    <w:rsid w:val="25C776EB"/>
    <w:rsid w:val="263E259E"/>
    <w:rsid w:val="27005865"/>
    <w:rsid w:val="2849380E"/>
    <w:rsid w:val="28F57A6B"/>
    <w:rsid w:val="296C30EA"/>
    <w:rsid w:val="2983795C"/>
    <w:rsid w:val="2A24600D"/>
    <w:rsid w:val="2DF37884"/>
    <w:rsid w:val="300264A9"/>
    <w:rsid w:val="314C1EA9"/>
    <w:rsid w:val="31746D93"/>
    <w:rsid w:val="33675B68"/>
    <w:rsid w:val="35B7090C"/>
    <w:rsid w:val="36D12314"/>
    <w:rsid w:val="3A5532BF"/>
    <w:rsid w:val="3C526A0A"/>
    <w:rsid w:val="3DCF6D50"/>
    <w:rsid w:val="3DDA79BB"/>
    <w:rsid w:val="3FF27CBD"/>
    <w:rsid w:val="43566DE0"/>
    <w:rsid w:val="45977B98"/>
    <w:rsid w:val="46452B3D"/>
    <w:rsid w:val="46BE2E01"/>
    <w:rsid w:val="47161986"/>
    <w:rsid w:val="4BB02E05"/>
    <w:rsid w:val="4BBC17AA"/>
    <w:rsid w:val="4BEB4E5E"/>
    <w:rsid w:val="4DA51CCE"/>
    <w:rsid w:val="4DAB6213"/>
    <w:rsid w:val="4DC841F4"/>
    <w:rsid w:val="4FF170DA"/>
    <w:rsid w:val="50CD1EFF"/>
    <w:rsid w:val="521A25B7"/>
    <w:rsid w:val="53AE0BC8"/>
    <w:rsid w:val="541873DB"/>
    <w:rsid w:val="543B5E3D"/>
    <w:rsid w:val="55AF412E"/>
    <w:rsid w:val="55DB04AC"/>
    <w:rsid w:val="56C854A7"/>
    <w:rsid w:val="570C379D"/>
    <w:rsid w:val="5963770A"/>
    <w:rsid w:val="59F91E1B"/>
    <w:rsid w:val="5ACB7C5C"/>
    <w:rsid w:val="5BB478E2"/>
    <w:rsid w:val="5DBB3E11"/>
    <w:rsid w:val="5DBC1ADE"/>
    <w:rsid w:val="5E20634A"/>
    <w:rsid w:val="5E2F405E"/>
    <w:rsid w:val="5E4044BD"/>
    <w:rsid w:val="5E7F5B61"/>
    <w:rsid w:val="606B14E1"/>
    <w:rsid w:val="615C62C7"/>
    <w:rsid w:val="6312354D"/>
    <w:rsid w:val="63413151"/>
    <w:rsid w:val="67662023"/>
    <w:rsid w:val="67C65F8D"/>
    <w:rsid w:val="6A5B5631"/>
    <w:rsid w:val="6A77666C"/>
    <w:rsid w:val="6BC164E1"/>
    <w:rsid w:val="6C446B60"/>
    <w:rsid w:val="6CD43C37"/>
    <w:rsid w:val="6D227606"/>
    <w:rsid w:val="6D592EA5"/>
    <w:rsid w:val="6D7952F5"/>
    <w:rsid w:val="6EC60178"/>
    <w:rsid w:val="6EE319D8"/>
    <w:rsid w:val="6F3C482C"/>
    <w:rsid w:val="71FB277D"/>
    <w:rsid w:val="75E05A3B"/>
    <w:rsid w:val="75E53D28"/>
    <w:rsid w:val="75FB29EF"/>
    <w:rsid w:val="78F06342"/>
    <w:rsid w:val="7BDA1655"/>
    <w:rsid w:val="7CB11B66"/>
    <w:rsid w:val="7E29333C"/>
    <w:rsid w:val="7E8A1F33"/>
    <w:rsid w:val="7EF74A68"/>
    <w:rsid w:val="7F7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paragraph" w:customStyle="1" w:styleId="16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31"/>
    <w:basedOn w:val="14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20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378</Characters>
  <Lines>0</Lines>
  <Paragraphs>0</Paragraphs>
  <TotalTime>30</TotalTime>
  <ScaleCrop>false</ScaleCrop>
  <LinksUpToDate>false</LinksUpToDate>
  <CharactersWithSpaces>382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SADLVE</cp:lastModifiedBy>
  <cp:lastPrinted>2023-02-17T02:40:00Z</cp:lastPrinted>
  <dcterms:modified xsi:type="dcterms:W3CDTF">2024-08-21T08:07:09Z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1361878D6A60490C83AFF1B5273A3FB8_13</vt:lpwstr>
  </property>
</Properties>
</file>