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20" w:lineRule="exact"/>
        <w:jc w:val="center"/>
        <w:outlineLvl w:val="0"/>
        <w:rPr>
          <w:rFonts w:hint="eastAsia" w:ascii="仿宋_GB2312" w:hAnsi="仿宋_GB2312" w:eastAsia="仿宋_GB2312" w:cs="仿宋_GB2312"/>
          <w:color w:val="000000"/>
          <w:sz w:val="72"/>
          <w:szCs w:val="72"/>
        </w:rPr>
      </w:pPr>
      <w:bookmarkStart w:id="76" w:name="_GoBack"/>
      <w:bookmarkEnd w:id="76"/>
      <w:bookmarkStart w:id="0" w:name="_Toc15306267"/>
    </w:p>
    <w:p>
      <w:pPr>
        <w:pageBreakBefore w:val="0"/>
        <w:kinsoku/>
        <w:wordWrap/>
        <w:overflowPunct/>
        <w:topLinePunct w:val="0"/>
        <w:bidi w:val="0"/>
        <w:spacing w:line="520" w:lineRule="exact"/>
        <w:jc w:val="center"/>
        <w:outlineLvl w:val="0"/>
        <w:rPr>
          <w:rFonts w:hint="eastAsia" w:ascii="仿宋_GB2312" w:hAnsi="仿宋_GB2312" w:eastAsia="仿宋_GB2312" w:cs="仿宋_GB2312"/>
          <w:color w:val="000000"/>
          <w:sz w:val="72"/>
          <w:szCs w:val="72"/>
        </w:rPr>
      </w:pPr>
    </w:p>
    <w:p>
      <w:pPr>
        <w:pageBreakBefore w:val="0"/>
        <w:kinsoku/>
        <w:wordWrap/>
        <w:overflowPunct/>
        <w:topLinePunct w:val="0"/>
        <w:bidi w:val="0"/>
        <w:spacing w:line="520" w:lineRule="exact"/>
        <w:jc w:val="center"/>
        <w:outlineLvl w:val="0"/>
        <w:rPr>
          <w:rFonts w:hint="eastAsia" w:ascii="仿宋_GB2312" w:hAnsi="仿宋_GB2312" w:eastAsia="仿宋_GB2312" w:cs="仿宋_GB2312"/>
          <w:color w:val="000000"/>
          <w:sz w:val="72"/>
          <w:szCs w:val="72"/>
        </w:rPr>
      </w:pPr>
    </w:p>
    <w:p>
      <w:pPr>
        <w:keepNext w:val="0"/>
        <w:keepLines w:val="0"/>
        <w:pageBreakBefore w:val="0"/>
        <w:widowControl w:val="0"/>
        <w:kinsoku/>
        <w:wordWrap/>
        <w:overflowPunct/>
        <w:topLinePunct w:val="0"/>
        <w:autoSpaceDE/>
        <w:autoSpaceDN/>
        <w:bidi w:val="0"/>
        <w:spacing w:line="940" w:lineRule="exact"/>
        <w:jc w:val="center"/>
        <w:textAlignment w:val="auto"/>
        <w:outlineLvl w:val="0"/>
        <w:rPr>
          <w:rFonts w:hint="eastAsia" w:ascii="仿宋_GB2312" w:hAnsi="仿宋_GB2312" w:eastAsia="仿宋_GB2312" w:cs="仿宋_GB2312"/>
          <w:b/>
          <w:bCs/>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940" w:lineRule="exact"/>
        <w:jc w:val="center"/>
        <w:textAlignment w:val="auto"/>
        <w:outlineLvl w:val="0"/>
        <w:rPr>
          <w:rFonts w:hint="eastAsia" w:ascii="黑体" w:hAnsi="黑体" w:eastAsia="黑体" w:cs="黑体"/>
          <w:b w:val="0"/>
          <w:bCs w:val="0"/>
          <w:color w:val="000000"/>
          <w:sz w:val="72"/>
          <w:szCs w:val="72"/>
        </w:rPr>
      </w:pPr>
      <w:bookmarkStart w:id="1" w:name="_Toc15396475"/>
      <w:bookmarkStart w:id="2" w:name="_Toc15396597"/>
      <w:bookmarkStart w:id="3" w:name="_Toc15377193"/>
      <w:bookmarkStart w:id="4" w:name="_Toc15378441"/>
      <w:bookmarkStart w:id="5" w:name="_Toc15377425"/>
      <w:r>
        <w:rPr>
          <w:rFonts w:hint="eastAsia" w:ascii="黑体" w:hAnsi="黑体" w:eastAsia="黑体" w:cs="黑体"/>
          <w:b w:val="0"/>
          <w:bCs w:val="0"/>
          <w:color w:val="000000"/>
          <w:sz w:val="72"/>
          <w:szCs w:val="72"/>
        </w:rPr>
        <w:t>2018年度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940" w:lineRule="exact"/>
        <w:jc w:val="center"/>
        <w:textAlignment w:val="auto"/>
        <w:outlineLvl w:val="0"/>
        <w:rPr>
          <w:rFonts w:hint="eastAsia" w:ascii="黑体" w:hAnsi="黑体" w:eastAsia="黑体" w:cs="黑体"/>
          <w:b w:val="0"/>
          <w:bCs w:val="0"/>
          <w:color w:val="000000"/>
          <w:sz w:val="72"/>
          <w:szCs w:val="72"/>
          <w:lang w:eastAsia="zh-CN"/>
        </w:rPr>
      </w:pPr>
      <w:bookmarkStart w:id="6" w:name="_Toc15396598"/>
      <w:bookmarkStart w:id="7" w:name="_Toc15378442"/>
      <w:bookmarkStart w:id="8" w:name="_Toc15377194"/>
      <w:bookmarkStart w:id="9" w:name="_Toc15377426"/>
      <w:bookmarkStart w:id="10" w:name="_Toc15396476"/>
      <w:r>
        <w:rPr>
          <w:rFonts w:hint="eastAsia" w:ascii="黑体" w:hAnsi="黑体" w:eastAsia="黑体" w:cs="黑体"/>
          <w:b w:val="0"/>
          <w:bCs w:val="0"/>
          <w:color w:val="000000"/>
          <w:sz w:val="72"/>
          <w:szCs w:val="72"/>
        </w:rPr>
        <w:t>四川省</w:t>
      </w:r>
      <w:bookmarkEnd w:id="0"/>
      <w:bookmarkStart w:id="11" w:name="_Toc15306268"/>
      <w:r>
        <w:rPr>
          <w:rFonts w:hint="eastAsia" w:ascii="黑体" w:hAnsi="黑体" w:eastAsia="黑体" w:cs="黑体"/>
          <w:b w:val="0"/>
          <w:bCs w:val="0"/>
          <w:color w:val="000000"/>
          <w:sz w:val="72"/>
          <w:szCs w:val="72"/>
          <w:lang w:eastAsia="zh-CN"/>
        </w:rPr>
        <w:t>邻水县袁市镇</w:t>
      </w:r>
    </w:p>
    <w:p>
      <w:pPr>
        <w:keepNext w:val="0"/>
        <w:keepLines w:val="0"/>
        <w:pageBreakBefore w:val="0"/>
        <w:widowControl w:val="0"/>
        <w:kinsoku/>
        <w:wordWrap/>
        <w:overflowPunct/>
        <w:topLinePunct w:val="0"/>
        <w:autoSpaceDE/>
        <w:autoSpaceDN/>
        <w:bidi w:val="0"/>
        <w:adjustRightInd w:val="0"/>
        <w:snapToGrid w:val="0"/>
        <w:spacing w:line="940" w:lineRule="exact"/>
        <w:jc w:val="center"/>
        <w:textAlignment w:val="auto"/>
        <w:outlineLvl w:val="0"/>
        <w:rPr>
          <w:rFonts w:hint="eastAsia" w:ascii="黑体" w:hAnsi="黑体" w:eastAsia="黑体" w:cs="黑体"/>
          <w:b w:val="0"/>
          <w:bCs w:val="0"/>
          <w:color w:val="000000"/>
          <w:sz w:val="72"/>
          <w:szCs w:val="72"/>
        </w:rPr>
      </w:pPr>
      <w:r>
        <w:rPr>
          <w:rFonts w:hint="eastAsia" w:ascii="黑体" w:hAnsi="黑体" w:eastAsia="黑体" w:cs="黑体"/>
          <w:b w:val="0"/>
          <w:bCs w:val="0"/>
          <w:color w:val="000000"/>
          <w:sz w:val="72"/>
          <w:szCs w:val="72"/>
          <w:lang w:eastAsia="zh-CN"/>
        </w:rPr>
        <w:t>人民政府</w:t>
      </w:r>
      <w:r>
        <w:rPr>
          <w:rFonts w:hint="eastAsia" w:ascii="黑体" w:hAnsi="黑体" w:eastAsia="黑体" w:cs="黑体"/>
          <w:b w:val="0"/>
          <w:bCs w:val="0"/>
          <w:color w:val="000000"/>
          <w:sz w:val="72"/>
          <w:szCs w:val="72"/>
        </w:rPr>
        <w:t>决算</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940" w:lineRule="exact"/>
        <w:jc w:val="center"/>
        <w:textAlignment w:val="auto"/>
        <w:outlineLvl w:val="0"/>
        <w:rPr>
          <w:rFonts w:hint="eastAsia" w:ascii="仿宋_GB2312" w:hAnsi="仿宋_GB2312" w:eastAsia="仿宋_GB2312" w:cs="仿宋_GB2312"/>
          <w:b/>
          <w:bCs/>
          <w:color w:val="000000"/>
          <w:sz w:val="52"/>
          <w:szCs w:val="52"/>
        </w:rPr>
      </w:pPr>
    </w:p>
    <w:p>
      <w:pPr>
        <w:pageBreakBefore w:val="0"/>
        <w:widowControl/>
        <w:kinsoku/>
        <w:wordWrap/>
        <w:overflowPunct/>
        <w:topLinePunct w:val="0"/>
        <w:bidi w:val="0"/>
        <w:spacing w:line="520" w:lineRule="exact"/>
        <w:jc w:val="center"/>
        <w:rPr>
          <w:rFonts w:hint="eastAsia" w:ascii="仿宋_GB2312" w:hAnsi="仿宋_GB2312" w:eastAsia="仿宋_GB2312" w:cs="仿宋_GB2312"/>
          <w:color w:val="000000"/>
          <w:sz w:val="48"/>
          <w:szCs w:val="48"/>
        </w:rPr>
      </w:pPr>
      <w:r>
        <w:rPr>
          <w:rFonts w:hint="eastAsia" w:ascii="仿宋_GB2312" w:hAnsi="仿宋_GB2312" w:eastAsia="仿宋_GB2312" w:cs="仿宋_GB2312"/>
          <w:color w:val="000000"/>
          <w:sz w:val="36"/>
          <w:szCs w:val="36"/>
        </w:rPr>
        <w:br w:type="page"/>
      </w:r>
      <w:r>
        <w:rPr>
          <w:rFonts w:hint="eastAsia" w:ascii="仿宋_GB2312" w:hAnsi="仿宋_GB2312" w:eastAsia="仿宋_GB2312" w:cs="仿宋_GB2312"/>
          <w:color w:val="000000"/>
          <w:sz w:val="48"/>
          <w:szCs w:val="48"/>
        </w:rPr>
        <w:t>目录</w:t>
      </w:r>
    </w:p>
    <w:p>
      <w:pPr>
        <w:pageBreakBefore w:val="0"/>
        <w:widowControl/>
        <w:kinsoku/>
        <w:wordWrap/>
        <w:overflowPunct/>
        <w:topLinePunct w:val="0"/>
        <w:bidi w:val="0"/>
        <w:spacing w:line="5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48"/>
          <w:szCs w:val="48"/>
        </w:rPr>
        <w:fldChar w:fldCharType="begin"/>
      </w:r>
      <w:r>
        <w:rPr>
          <w:rFonts w:hint="eastAsia" w:ascii="仿宋_GB2312" w:hAnsi="仿宋_GB2312" w:eastAsia="仿宋_GB2312" w:cs="仿宋_GB2312"/>
          <w:color w:val="000000"/>
          <w:sz w:val="48"/>
          <w:szCs w:val="48"/>
        </w:rPr>
        <w:instrText xml:space="preserve"> TOC \o "1-2" \h \z \u </w:instrText>
      </w:r>
      <w:r>
        <w:rPr>
          <w:rFonts w:hint="eastAsia" w:ascii="仿宋_GB2312" w:hAnsi="仿宋_GB2312" w:eastAsia="仿宋_GB2312" w:cs="仿宋_GB2312"/>
          <w:color w:val="000000"/>
          <w:sz w:val="48"/>
          <w:szCs w:val="48"/>
        </w:rPr>
        <w:fldChar w:fldCharType="separate"/>
      </w:r>
    </w:p>
    <w:p>
      <w:pPr>
        <w:pStyle w:val="9"/>
        <w:pageBreakBefore w:val="0"/>
        <w:kinsoku/>
        <w:wordWrap/>
        <w:overflowPunct/>
        <w:topLinePunct w:val="0"/>
        <w:bidi w:val="0"/>
        <w:spacing w:before="0" w:line="520" w:lineRule="exact"/>
        <w:rPr>
          <w:rFonts w:hint="eastAsia" w:ascii="仿宋_GB2312" w:hAnsi="仿宋_GB2312" w:eastAsia="仿宋_GB2312" w:cs="仿宋_GB2312"/>
        </w:rPr>
      </w:pPr>
      <w:r>
        <w:rPr>
          <w:rFonts w:hint="eastAsia" w:ascii="仿宋_GB2312" w:hAnsi="仿宋_GB2312" w:eastAsia="仿宋_GB2312" w:cs="仿宋_GB2312"/>
        </w:rPr>
        <w:t>公开时间：2019年8</w:t>
      </w:r>
      <w:r>
        <w:rPr>
          <w:rFonts w:hint="eastAsia" w:ascii="仿宋_GB2312" w:hAnsi="仿宋_GB2312" w:eastAsia="仿宋_GB2312" w:cs="仿宋_GB2312"/>
          <w:lang w:eastAsia="zh-CN"/>
        </w:rPr>
        <w:t>月</w:t>
      </w:r>
      <w:r>
        <w:rPr>
          <w:rFonts w:hint="eastAsia" w:ascii="仿宋_GB2312" w:hAnsi="仿宋_GB2312" w:eastAsia="仿宋_GB2312" w:cs="仿宋_GB2312"/>
        </w:rPr>
        <w:t>29日</w:t>
      </w:r>
    </w:p>
    <w:p>
      <w:pPr>
        <w:pageBreakBefore w:val="0"/>
        <w:kinsoku/>
        <w:wordWrap/>
        <w:overflowPunct/>
        <w:topLinePunct w:val="0"/>
        <w:bidi w:val="0"/>
        <w:spacing w:line="520" w:lineRule="exact"/>
        <w:rPr>
          <w:rFonts w:hint="eastAsia" w:ascii="仿宋_GB2312" w:hAnsi="仿宋_GB2312" w:eastAsia="仿宋_GB2312" w:cs="仿宋_GB2312"/>
        </w:rPr>
      </w:pPr>
    </w:p>
    <w:p>
      <w:pPr>
        <w:pStyle w:val="9"/>
        <w:pageBreakBefore w:val="0"/>
        <w:kinsoku/>
        <w:wordWrap/>
        <w:overflowPunct/>
        <w:topLinePunct w:val="0"/>
        <w:bidi w:val="0"/>
        <w:spacing w:before="0" w:line="520" w:lineRule="exact"/>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"_Toc15396599"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rPr>
        <w:t>第一部分 部门概况</w:t>
      </w:r>
      <w:r>
        <w:rPr>
          <w:rFonts w:hint="eastAsia" w:ascii="仿宋_GB2312" w:hAnsi="仿宋_GB2312" w:eastAsia="仿宋_GB2312" w:cs="仿宋_GB2312"/>
        </w:rPr>
        <w:tab/>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"_Toc15396600"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一、基本职能及主要工作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"_Toc15396601"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9"/>
        <w:pageBreakBefore w:val="0"/>
        <w:kinsoku/>
        <w:wordWrap/>
        <w:overflowPunct/>
        <w:topLinePunct w:val="0"/>
        <w:bidi w:val="0"/>
        <w:spacing w:before="0" w:line="520" w:lineRule="exact"/>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"_Toc15396602"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rPr>
        <w:t>第二部分 2018年度部门决算情况说明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"_Toc15396603"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bCs/>
          <w:sz w:val="28"/>
          <w:szCs w:val="28"/>
        </w:rPr>
        <w:t>一、</w:t>
      </w:r>
      <w:r>
        <w:rPr>
          <w:rStyle w:val="16"/>
          <w:rFonts w:hint="eastAsia" w:ascii="仿宋_GB2312" w:hAnsi="仿宋_GB2312" w:eastAsia="仿宋_GB2312" w:cs="仿宋_GB2312"/>
          <w:sz w:val="28"/>
          <w:szCs w:val="28"/>
        </w:rPr>
        <w:t>收</w:t>
      </w:r>
      <w:r>
        <w:rPr>
          <w:rStyle w:val="16"/>
          <w:rFonts w:hint="eastAsia" w:ascii="仿宋_GB2312" w:hAnsi="仿宋_GB2312" w:eastAsia="仿宋_GB2312" w:cs="仿宋_GB2312"/>
          <w:bCs/>
          <w:sz w:val="28"/>
          <w:szCs w:val="28"/>
        </w:rPr>
        <w:t>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"_Toc15396604"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bCs/>
          <w:sz w:val="28"/>
          <w:szCs w:val="28"/>
        </w:rPr>
        <w:t>二、</w:t>
      </w:r>
      <w:r>
        <w:rPr>
          <w:rStyle w:val="16"/>
          <w:rFonts w:hint="eastAsia" w:ascii="仿宋_GB2312" w:hAnsi="仿宋_GB2312" w:eastAsia="仿宋_GB2312" w:cs="仿宋_GB2312"/>
          <w:sz w:val="28"/>
          <w:szCs w:val="28"/>
        </w:rPr>
        <w:t>收</w:t>
      </w:r>
      <w:r>
        <w:rPr>
          <w:rStyle w:val="16"/>
          <w:rFonts w:hint="eastAsia" w:ascii="仿宋_GB2312" w:hAnsi="仿宋_GB2312" w:eastAsia="仿宋_GB2312" w:cs="仿宋_GB2312"/>
          <w:bCs/>
          <w:sz w:val="28"/>
          <w:szCs w:val="28"/>
        </w:rPr>
        <w:t>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"_Toc15396605"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bCs/>
          <w:sz w:val="28"/>
          <w:szCs w:val="28"/>
        </w:rPr>
        <w:t>三、</w:t>
      </w:r>
      <w:r>
        <w:rPr>
          <w:rStyle w:val="16"/>
          <w:rFonts w:hint="eastAsia" w:ascii="仿宋_GB2312" w:hAnsi="仿宋_GB2312" w:eastAsia="仿宋_GB2312" w:cs="仿宋_GB2312"/>
          <w:sz w:val="28"/>
          <w:szCs w:val="28"/>
        </w:rPr>
        <w:t>支</w:t>
      </w:r>
      <w:r>
        <w:rPr>
          <w:rStyle w:val="16"/>
          <w:rFonts w:hint="eastAsia" w:ascii="仿宋_GB2312" w:hAnsi="仿宋_GB2312" w:eastAsia="仿宋_GB2312" w:cs="仿宋_GB2312"/>
          <w:bCs/>
          <w:sz w:val="28"/>
          <w:szCs w:val="28"/>
        </w:rPr>
        <w:t>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"_Toc15396606"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四、财</w:t>
      </w:r>
      <w:r>
        <w:rPr>
          <w:rStyle w:val="16"/>
          <w:rFonts w:hint="eastAsia" w:ascii="仿宋_GB2312" w:hAnsi="仿宋_GB2312" w:eastAsia="仿宋_GB2312" w:cs="仿宋_GB2312"/>
          <w:bCs/>
          <w:sz w:val="28"/>
          <w:szCs w:val="28"/>
        </w:rPr>
        <w:t>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"_Toc15396607"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五、一</w:t>
      </w:r>
      <w:r>
        <w:rPr>
          <w:rStyle w:val="16"/>
          <w:rFonts w:hint="eastAsia" w:ascii="仿宋_GB2312" w:hAnsi="仿宋_GB2312" w:eastAsia="仿宋_GB2312" w:cs="仿宋_GB2312"/>
          <w:bCs/>
          <w:sz w:val="28"/>
          <w:szCs w:val="28"/>
        </w:rPr>
        <w:t>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"_Toc15396608"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六、一</w:t>
      </w:r>
      <w:r>
        <w:rPr>
          <w:rStyle w:val="16"/>
          <w:rFonts w:hint="eastAsia" w:ascii="仿宋_GB2312" w:hAnsi="仿宋_GB2312" w:eastAsia="仿宋_GB2312" w:cs="仿宋_GB2312"/>
          <w:bCs/>
          <w:sz w:val="28"/>
          <w:szCs w:val="28"/>
        </w:rPr>
        <w:t>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"_Toc15396609"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七、“</w:t>
      </w:r>
      <w:r>
        <w:rPr>
          <w:rStyle w:val="16"/>
          <w:rFonts w:hint="eastAsia" w:ascii="仿宋_GB2312" w:hAnsi="仿宋_GB2312" w:eastAsia="仿宋_GB2312" w:cs="仿宋_GB2312"/>
          <w:bCs/>
          <w:sz w:val="28"/>
          <w:szCs w:val="28"/>
        </w:rPr>
        <w:t>三公”经费财政拨款支出决算情况说明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"_Toc15396610"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八、</w:t>
      </w:r>
      <w:r>
        <w:rPr>
          <w:rStyle w:val="16"/>
          <w:rFonts w:hint="eastAsia" w:ascii="仿宋_GB2312" w:hAnsi="仿宋_GB2312" w:eastAsia="仿宋_GB2312" w:cs="仿宋_GB2312"/>
          <w:bCs/>
          <w:sz w:val="28"/>
          <w:szCs w:val="28"/>
        </w:rPr>
        <w:t>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"_Toc15396611"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bCs/>
          <w:sz w:val="28"/>
          <w:szCs w:val="28"/>
        </w:rPr>
        <w:t>九、</w:t>
      </w:r>
      <w:r>
        <w:rPr>
          <w:rStyle w:val="16"/>
          <w:rFonts w:hint="eastAsia" w:ascii="仿宋_GB2312" w:hAnsi="仿宋_GB2312" w:eastAsia="仿宋_GB2312" w:cs="仿宋_GB2312"/>
          <w:sz w:val="28"/>
          <w:szCs w:val="28"/>
        </w:rPr>
        <w:t xml:space="preserve"> 国</w:t>
      </w:r>
      <w:r>
        <w:rPr>
          <w:rStyle w:val="16"/>
          <w:rFonts w:hint="eastAsia" w:ascii="仿宋_GB2312" w:hAnsi="仿宋_GB2312" w:eastAsia="仿宋_GB2312" w:cs="仿宋_GB2312"/>
          <w:bCs/>
          <w:sz w:val="28"/>
          <w:szCs w:val="28"/>
        </w:rPr>
        <w:t>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"_Toc15396612"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十</w:t>
      </w:r>
      <w:r>
        <w:rPr>
          <w:rStyle w:val="16"/>
          <w:rFonts w:hint="eastAsia" w:ascii="仿宋_GB2312" w:hAnsi="仿宋_GB2312" w:eastAsia="仿宋_GB2312" w:cs="仿宋_GB2312"/>
          <w:bCs/>
          <w:sz w:val="28"/>
          <w:szCs w:val="28"/>
        </w:rPr>
        <w:t>一、其他重要事项的情况说明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9"/>
        <w:pageBreakBefore w:val="0"/>
        <w:kinsoku/>
        <w:wordWrap/>
        <w:overflowPunct/>
        <w:topLinePunct w:val="0"/>
        <w:bidi w:val="0"/>
        <w:spacing w:before="0" w:line="520" w:lineRule="exact"/>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"_Toc15396613"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bCs/>
          <w:kern w:val="44"/>
        </w:rPr>
        <w:t>第三部分</w:t>
      </w:r>
      <w:r>
        <w:rPr>
          <w:rStyle w:val="16"/>
          <w:rFonts w:hint="eastAsia" w:ascii="仿宋_GB2312" w:hAnsi="仿宋_GB2312" w:eastAsia="仿宋_GB2312" w:cs="仿宋_GB2312"/>
        </w:rPr>
        <w:t xml:space="preserve"> 名</w:t>
      </w:r>
      <w:r>
        <w:rPr>
          <w:rStyle w:val="16"/>
          <w:rFonts w:hint="eastAsia" w:ascii="仿宋_GB2312" w:hAnsi="仿宋_GB2312" w:eastAsia="仿宋_GB2312" w:cs="仿宋_GB2312"/>
          <w:bCs/>
          <w:kern w:val="44"/>
        </w:rPr>
        <w:t>词解释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9"/>
        <w:pageBreakBefore w:val="0"/>
        <w:kinsoku/>
        <w:wordWrap/>
        <w:overflowPunct/>
        <w:topLinePunct w:val="0"/>
        <w:bidi w:val="0"/>
        <w:spacing w:before="0" w:line="520" w:lineRule="exact"/>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"_Toc15396614"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rPr>
        <w:t>第</w:t>
      </w:r>
      <w:r>
        <w:rPr>
          <w:rStyle w:val="16"/>
          <w:rFonts w:hint="eastAsia" w:ascii="仿宋_GB2312" w:hAnsi="仿宋_GB2312" w:eastAsia="仿宋_GB2312" w:cs="仿宋_GB2312"/>
          <w:bCs/>
          <w:kern w:val="44"/>
        </w:rPr>
        <w:t>四部分 附件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"_Toc15396615"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kern w:val="44"/>
          <w:sz w:val="28"/>
          <w:szCs w:val="28"/>
        </w:rPr>
        <w:t>附件1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"_Toc15396617"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kern w:val="44"/>
          <w:sz w:val="28"/>
          <w:szCs w:val="28"/>
        </w:rPr>
        <w:t>附件2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9"/>
        <w:pageBreakBefore w:val="0"/>
        <w:kinsoku/>
        <w:wordWrap/>
        <w:overflowPunct/>
        <w:topLinePunct w:val="0"/>
        <w:bidi w:val="0"/>
        <w:spacing w:before="0" w:line="520" w:lineRule="exact"/>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"_Toc15396618"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rPr>
        <w:t>第</w:t>
      </w:r>
      <w:r>
        <w:rPr>
          <w:rStyle w:val="16"/>
          <w:rFonts w:hint="eastAsia" w:ascii="仿宋_GB2312" w:hAnsi="仿宋_GB2312" w:eastAsia="仿宋_GB2312" w:cs="仿宋_GB2312"/>
          <w:bCs/>
          <w:kern w:val="44"/>
        </w:rPr>
        <w:t>五部分 附表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"_Toc15396619"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"_Toc15396620"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收入总表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"_Toc15396621"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支出总表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"_Toc15396622"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财政拨款收入支出决算总表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8"/>
          <w:szCs w:val="28"/>
        </w:rPr>
        <w:t>财政拨款支出决算明细表（政府经济分类科目）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"_Toc15396624"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一般公共预算财政拨款支出决算表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"_Toc15396625"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一般公共预算财政拨款支出决算明细表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"_Toc15396626"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一般公共预算财政拨款基本支出决算表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"_Toc15396627"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一般公共预算财政拨款项目支出决算表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"_Toc15396628"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一般公共预算财政拨款“三公”经费支出决算表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"_Toc15396629"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政府性基金预算财政拨款收入支出决算表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"_Toc15396630"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政府性基金预算财政拨款“三公”经费支出决算表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Style w:val="10"/>
        <w:pageBreakBefore w:val="0"/>
        <w:kinsoku/>
        <w:wordWrap/>
        <w:overflowPunct/>
        <w:topLinePunct w:val="0"/>
        <w:bidi w:val="0"/>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8"/>
          <w:szCs w:val="28"/>
        </w:rPr>
        <w:t>十三、</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"_Toc15396631" </w:instrText>
      </w:r>
      <w:r>
        <w:rPr>
          <w:rFonts w:hint="eastAsia" w:ascii="仿宋_GB2312" w:hAnsi="仿宋_GB2312" w:eastAsia="仿宋_GB2312" w:cs="仿宋_GB2312"/>
        </w:rPr>
        <w:fldChar w:fldCharType="separate"/>
      </w:r>
      <w:r>
        <w:rPr>
          <w:rStyle w:val="16"/>
          <w:rFonts w:hint="eastAsia" w:ascii="仿宋_GB2312" w:hAnsi="仿宋_GB2312" w:eastAsia="仿宋_GB2312" w:cs="仿宋_GB2312"/>
          <w:sz w:val="28"/>
          <w:szCs w:val="28"/>
        </w:rPr>
        <w:t>国有资本经营预算支出决算表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_Toc15396631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rPr>
        <w:fldChar w:fldCharType="end"/>
      </w:r>
    </w:p>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fldChar w:fldCharType="end"/>
      </w:r>
    </w:p>
    <w:p>
      <w:pPr>
        <w:pageBreakBefore w:val="0"/>
        <w:widowControl/>
        <w:kinsoku/>
        <w:wordWrap/>
        <w:overflowPunct/>
        <w:topLinePunct w:val="0"/>
        <w:bidi w:val="0"/>
        <w:spacing w:line="520" w:lineRule="exact"/>
        <w:jc w:val="left"/>
        <w:rPr>
          <w:rFonts w:hint="eastAsia" w:ascii="仿宋_GB2312" w:hAnsi="仿宋_GB2312" w:eastAsia="仿宋_GB2312" w:cs="仿宋_GB2312"/>
          <w:bCs/>
          <w:kern w:val="44"/>
          <w:sz w:val="44"/>
          <w:szCs w:val="44"/>
        </w:rPr>
      </w:pPr>
      <w:bookmarkStart w:id="12" w:name="_Toc15396599"/>
      <w:bookmarkStart w:id="13" w:name="_Toc15377196"/>
      <w:r>
        <w:rPr>
          <w:rFonts w:hint="eastAsia" w:ascii="仿宋_GB2312" w:hAnsi="仿宋_GB2312" w:eastAsia="仿宋_GB2312" w:cs="仿宋_GB2312"/>
          <w:b/>
        </w:rPr>
        <w:br w:type="page"/>
      </w:r>
    </w:p>
    <w:p>
      <w:pPr>
        <w:pStyle w:val="3"/>
        <w:pageBreakBefore w:val="0"/>
        <w:kinsoku/>
        <w:wordWrap/>
        <w:overflowPunct/>
        <w:topLinePunct w:val="0"/>
        <w:bidi w:val="0"/>
        <w:spacing w:before="0" w:after="0" w:line="520" w:lineRule="exact"/>
        <w:jc w:val="center"/>
        <w:rPr>
          <w:rStyle w:val="17"/>
          <w:rFonts w:hint="eastAsia" w:ascii="黑体" w:hAnsi="黑体" w:eastAsia="黑体" w:cs="黑体"/>
          <w:b/>
          <w:bCs w:val="0"/>
        </w:rPr>
      </w:pPr>
      <w:r>
        <w:rPr>
          <w:rFonts w:hint="eastAsia" w:ascii="黑体" w:hAnsi="黑体" w:eastAsia="黑体" w:cs="黑体"/>
          <w:b w:val="0"/>
        </w:rPr>
        <w:t xml:space="preserve">第一部分 </w:t>
      </w:r>
      <w:r>
        <w:rPr>
          <w:rStyle w:val="17"/>
          <w:rFonts w:hint="eastAsia" w:ascii="黑体" w:hAnsi="黑体" w:eastAsia="黑体" w:cs="黑体"/>
          <w:b w:val="0"/>
          <w:bCs w:val="0"/>
        </w:rPr>
        <w:t>部门概况</w:t>
      </w:r>
      <w:bookmarkEnd w:id="12"/>
      <w:bookmarkEnd w:id="13"/>
    </w:p>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32"/>
          <w:szCs w:val="32"/>
        </w:rPr>
      </w:pPr>
    </w:p>
    <w:p>
      <w:pPr>
        <w:pStyle w:val="4"/>
        <w:pageBreakBefore w:val="0"/>
        <w:kinsoku/>
        <w:wordWrap/>
        <w:overflowPunct/>
        <w:topLinePunct w:val="0"/>
        <w:bidi w:val="0"/>
        <w:spacing w:before="0" w:after="0" w:line="520" w:lineRule="exact"/>
        <w:ind w:firstLine="640" w:firstLineChars="200"/>
        <w:rPr>
          <w:rStyle w:val="18"/>
          <w:rFonts w:hint="eastAsia" w:ascii="黑体" w:hAnsi="黑体" w:eastAsia="黑体" w:cs="黑体"/>
          <w:b w:val="0"/>
          <w:bCs w:val="0"/>
        </w:rPr>
      </w:pPr>
      <w:bookmarkStart w:id="14" w:name="_Toc15396600"/>
      <w:bookmarkStart w:id="15" w:name="_Toc15377197"/>
      <w:r>
        <w:rPr>
          <w:rFonts w:hint="eastAsia" w:ascii="黑体" w:hAnsi="黑体" w:eastAsia="黑体" w:cs="黑体"/>
          <w:b w:val="0"/>
          <w:color w:val="000000"/>
        </w:rPr>
        <w:t>一、基</w:t>
      </w:r>
      <w:r>
        <w:rPr>
          <w:rStyle w:val="18"/>
          <w:rFonts w:hint="eastAsia" w:ascii="黑体" w:hAnsi="黑体" w:eastAsia="黑体" w:cs="黑体"/>
          <w:b w:val="0"/>
          <w:bCs w:val="0"/>
        </w:rPr>
        <w:t>本职能及主要工作</w:t>
      </w:r>
      <w:bookmarkEnd w:id="14"/>
      <w:bookmarkEnd w:id="15"/>
    </w:p>
    <w:p>
      <w:pPr>
        <w:pStyle w:val="6"/>
        <w:pageBreakBefore w:val="0"/>
        <w:kinsoku/>
        <w:wordWrap/>
        <w:overflowPunct/>
        <w:topLinePunct w:val="0"/>
        <w:bidi w:val="0"/>
        <w:adjustRightInd w:val="0"/>
        <w:snapToGrid w:val="0"/>
        <w:spacing w:beforeLines="0" w:line="520" w:lineRule="exact"/>
        <w:ind w:firstLine="672" w:firstLineChars="210"/>
        <w:outlineLvl w:val="2"/>
        <w:rPr>
          <w:rFonts w:hint="eastAsia" w:ascii="仿宋_GB2312" w:hAnsi="仿宋_GB2312" w:eastAsia="仿宋_GB2312" w:cs="仿宋_GB2312"/>
          <w:sz w:val="30"/>
          <w:szCs w:val="30"/>
        </w:rPr>
      </w:pPr>
      <w:bookmarkStart w:id="16" w:name="_Toc15378445"/>
      <w:bookmarkStart w:id="17" w:name="_Toc15377198"/>
      <w:r>
        <w:rPr>
          <w:rFonts w:hint="eastAsia" w:ascii="仿宋_GB2312" w:hAnsi="仿宋_GB2312" w:eastAsia="仿宋_GB2312" w:cs="仿宋_GB2312"/>
          <w:bCs/>
          <w:color w:val="000000"/>
          <w:sz w:val="32"/>
          <w:szCs w:val="32"/>
        </w:rPr>
        <w:t>（一）主要职能。</w:t>
      </w:r>
      <w:r>
        <w:rPr>
          <w:rFonts w:hint="eastAsia" w:ascii="仿宋_GB2312" w:hAnsi="仿宋_GB2312" w:eastAsia="仿宋_GB2312" w:cs="仿宋_GB2312"/>
          <w:sz w:val="30"/>
          <w:szCs w:val="30"/>
        </w:rPr>
        <w:t>我单位属于行政单位，承担政府日常社会事务的各项政治、经济、文化、社会保障等工作。</w:t>
      </w:r>
      <w:bookmarkEnd w:id="16"/>
      <w:bookmarkEnd w:id="17"/>
      <w:bookmarkStart w:id="18" w:name="_Toc15378446"/>
      <w:bookmarkStart w:id="19" w:name="_Toc15377199"/>
    </w:p>
    <w:p>
      <w:pPr>
        <w:pStyle w:val="6"/>
        <w:pageBreakBefore w:val="0"/>
        <w:kinsoku/>
        <w:wordWrap/>
        <w:overflowPunct/>
        <w:topLinePunct w:val="0"/>
        <w:bidi w:val="0"/>
        <w:adjustRightInd w:val="0"/>
        <w:snapToGrid w:val="0"/>
        <w:spacing w:beforeLines="0" w:line="520" w:lineRule="exact"/>
        <w:ind w:firstLine="672" w:firstLineChars="210"/>
        <w:outlineLvl w:val="2"/>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000000"/>
          <w:sz w:val="32"/>
          <w:szCs w:val="32"/>
        </w:rPr>
        <w:t>（二）2018年重点工作完成情况。</w:t>
      </w:r>
      <w:bookmarkEnd w:id="18"/>
      <w:bookmarkEnd w:id="19"/>
      <w:r>
        <w:rPr>
          <w:rFonts w:hint="eastAsia" w:ascii="仿宋_GB2312" w:hAnsi="仿宋_GB2312" w:eastAsia="仿宋_GB2312" w:cs="仿宋_GB2312"/>
          <w:color w:val="auto"/>
          <w:spacing w:val="8"/>
          <w:kern w:val="0"/>
          <w:sz w:val="30"/>
          <w:szCs w:val="30"/>
        </w:rPr>
        <w:t>贯彻执行国家财税方面政策，承担各项财政收支管理责任，负责编制年度预决算草案并组织执行，以及监督财政性经济发展支出等财政管理相关工作的组成部门。坚持依法科学理财，抓好增收节支，全面完成镇人代会通过的财政收支预算目标，促进经济发展，不断保障和改善民生</w:t>
      </w:r>
      <w:r>
        <w:rPr>
          <w:rFonts w:hint="eastAsia" w:ascii="仿宋_GB2312" w:hAnsi="仿宋_GB2312" w:eastAsia="仿宋_GB2312" w:cs="仿宋_GB2312"/>
          <w:color w:val="auto"/>
          <w:spacing w:val="8"/>
          <w:kern w:val="0"/>
          <w:sz w:val="30"/>
          <w:szCs w:val="30"/>
          <w:lang w:eastAsia="zh-CN"/>
        </w:rPr>
        <w:t>。</w:t>
      </w:r>
    </w:p>
    <w:p>
      <w:pPr>
        <w:pStyle w:val="4"/>
        <w:pageBreakBefore w:val="0"/>
        <w:kinsoku/>
        <w:wordWrap/>
        <w:overflowPunct/>
        <w:topLinePunct w:val="0"/>
        <w:bidi w:val="0"/>
        <w:spacing w:before="0" w:after="0" w:line="520" w:lineRule="exact"/>
        <w:ind w:firstLine="640" w:firstLineChars="200"/>
        <w:rPr>
          <w:rStyle w:val="18"/>
          <w:rFonts w:hint="eastAsia" w:ascii="黑体" w:hAnsi="黑体" w:eastAsia="黑体" w:cs="黑体"/>
          <w:b w:val="0"/>
          <w:bCs w:val="0"/>
        </w:rPr>
      </w:pPr>
      <w:bookmarkStart w:id="20" w:name="_Toc15377200"/>
      <w:bookmarkStart w:id="21" w:name="_Toc15396601"/>
      <w:r>
        <w:rPr>
          <w:rFonts w:hint="eastAsia" w:ascii="黑体" w:hAnsi="黑体" w:eastAsia="黑体" w:cs="黑体"/>
          <w:b w:val="0"/>
          <w:color w:val="000000"/>
        </w:rPr>
        <w:t>二、机</w:t>
      </w:r>
      <w:r>
        <w:rPr>
          <w:rStyle w:val="18"/>
          <w:rFonts w:hint="eastAsia" w:ascii="黑体" w:hAnsi="黑体" w:eastAsia="黑体" w:cs="黑体"/>
          <w:b w:val="0"/>
          <w:bCs w:val="0"/>
        </w:rPr>
        <w:t>构设置</w:t>
      </w:r>
      <w:bookmarkEnd w:id="20"/>
      <w:bookmarkEnd w:id="21"/>
    </w:p>
    <w:p>
      <w:pPr>
        <w:keepNext w:val="0"/>
        <w:keepLines w:val="0"/>
        <w:pageBreakBefore w:val="0"/>
        <w:kinsoku/>
        <w:wordWrap/>
        <w:overflowPunct/>
        <w:topLinePunct w:val="0"/>
        <w:autoSpaceDE/>
        <w:autoSpaceDN/>
        <w:bidi w:val="0"/>
        <w:adjustRightInd/>
        <w:snapToGrid/>
        <w:spacing w:line="520" w:lineRule="exact"/>
        <w:ind w:firstLine="549" w:firstLineChars="171"/>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（一）机构组成</w:t>
      </w:r>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我镇内设党政办公室、财政所、社会事业服务站、就业和社会保障服务中心、村建环卫服务中心等</w:t>
      </w:r>
      <w:r>
        <w:rPr>
          <w:rFonts w:hint="eastAsia" w:ascii="仿宋_GB2312" w:hAnsi="仿宋_GB2312" w:eastAsia="仿宋_GB2312" w:cs="仿宋_GB2312"/>
          <w:color w:val="auto"/>
          <w:sz w:val="32"/>
          <w:szCs w:val="32"/>
          <w:lang w:val="en-US" w:eastAsia="zh-CN"/>
        </w:rPr>
        <w:t>4个职能股室</w:t>
      </w:r>
      <w:r>
        <w:rPr>
          <w:rFonts w:hint="eastAsia" w:ascii="仿宋_GB2312" w:hAnsi="仿宋_GB2312" w:eastAsia="仿宋_GB2312" w:cs="仿宋_GB2312"/>
          <w:color w:val="auto"/>
          <w:sz w:val="32"/>
          <w:szCs w:val="32"/>
          <w:lang w:eastAsia="zh-CN"/>
        </w:rPr>
        <w:t>，县直属部门农技站、农机站、林业站、广播站等</w:t>
      </w:r>
      <w:r>
        <w:rPr>
          <w:rFonts w:hint="eastAsia" w:ascii="仿宋_GB2312" w:hAnsi="仿宋_GB2312" w:eastAsia="仿宋_GB2312" w:cs="仿宋_GB2312"/>
          <w:color w:val="auto"/>
          <w:sz w:val="32"/>
          <w:szCs w:val="32"/>
          <w:lang w:val="en-US" w:eastAsia="zh-CN"/>
        </w:rPr>
        <w:t>4个职能股室</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2" w:firstLineChars="200"/>
        <w:jc w:val="left"/>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（二）机构职能</w:t>
      </w:r>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spacing w:val="8"/>
          <w:kern w:val="0"/>
          <w:sz w:val="32"/>
          <w:szCs w:val="32"/>
          <w:lang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属于行政</w:t>
      </w:r>
      <w:r>
        <w:rPr>
          <w:rFonts w:hint="eastAsia" w:ascii="仿宋_GB2312" w:hAnsi="仿宋_GB2312" w:eastAsia="仿宋_GB2312" w:cs="仿宋_GB2312"/>
          <w:color w:val="auto"/>
          <w:sz w:val="32"/>
          <w:szCs w:val="32"/>
          <w:lang w:eastAsia="zh-CN"/>
        </w:rPr>
        <w:t>事业</w:t>
      </w:r>
      <w:r>
        <w:rPr>
          <w:rFonts w:hint="eastAsia" w:ascii="仿宋_GB2312" w:hAnsi="仿宋_GB2312" w:eastAsia="仿宋_GB2312" w:cs="仿宋_GB2312"/>
          <w:color w:val="auto"/>
          <w:sz w:val="32"/>
          <w:szCs w:val="32"/>
        </w:rPr>
        <w:t>单位，承担政府日常社会事务的各项政治、经济、文化、社会保障等工作。</w:t>
      </w:r>
      <w:r>
        <w:rPr>
          <w:rFonts w:hint="eastAsia" w:ascii="仿宋_GB2312" w:hAnsi="仿宋_GB2312" w:eastAsia="仿宋_GB2312" w:cs="仿宋_GB2312"/>
          <w:color w:val="auto"/>
          <w:spacing w:val="8"/>
          <w:kern w:val="0"/>
          <w:sz w:val="32"/>
          <w:szCs w:val="32"/>
        </w:rPr>
        <w:t>贯彻执行国家财税方面政策，承担各项财政收支管理责任，负责编制年度预决算草案并组织执行，以及监督财政性经济发展支出等财政管理相关工作的组成部门。坚持依法科学理财，抓好增收节支，全面完成镇人代会通过的财政收支预算目标，促进经济发展，不断保障和改善民生</w:t>
      </w:r>
      <w:r>
        <w:rPr>
          <w:rFonts w:hint="eastAsia" w:ascii="仿宋_GB2312" w:hAnsi="仿宋_GB2312" w:eastAsia="仿宋_GB2312" w:cs="仿宋_GB2312"/>
          <w:color w:val="auto"/>
          <w:spacing w:val="8"/>
          <w:kern w:val="0"/>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576" w:firstLineChars="171"/>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bCs/>
          <w:color w:val="auto"/>
          <w:spacing w:val="8"/>
          <w:kern w:val="0"/>
          <w:sz w:val="32"/>
          <w:szCs w:val="32"/>
          <w:lang w:eastAsia="zh-CN"/>
        </w:rPr>
        <w:t>（三）人员概况</w:t>
      </w:r>
    </w:p>
    <w:p>
      <w:pPr>
        <w:pageBreakBefore w:val="0"/>
        <w:kinsoku/>
        <w:wordWrap/>
        <w:overflowPunct/>
        <w:topLinePunct w:val="0"/>
        <w:bidi w:val="0"/>
        <w:spacing w:line="520" w:lineRule="exact"/>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行政编制27人，事业编制 30人，2018年底实有行政人员 26人，事业人员 29人，单位</w:t>
      </w:r>
      <w:r>
        <w:rPr>
          <w:rFonts w:hint="eastAsia" w:ascii="仿宋_GB2312" w:hAnsi="仿宋_GB2312" w:eastAsia="仿宋_GB2312" w:cs="仿宋_GB2312"/>
          <w:color w:val="auto"/>
          <w:sz w:val="32"/>
          <w:szCs w:val="32"/>
          <w:lang w:eastAsia="zh-CN"/>
        </w:rPr>
        <w:t>返</w:t>
      </w:r>
      <w:r>
        <w:rPr>
          <w:rFonts w:hint="eastAsia" w:ascii="仿宋_GB2312" w:hAnsi="仿宋_GB2312" w:eastAsia="仿宋_GB2312" w:cs="仿宋_GB2312"/>
          <w:color w:val="auto"/>
          <w:sz w:val="32"/>
          <w:szCs w:val="32"/>
        </w:rPr>
        <w:t>聘</w:t>
      </w:r>
      <w:r>
        <w:rPr>
          <w:rFonts w:hint="eastAsia" w:ascii="仿宋_GB2312" w:hAnsi="仿宋_GB2312" w:eastAsia="仿宋_GB2312" w:cs="仿宋_GB2312"/>
          <w:color w:val="auto"/>
          <w:sz w:val="32"/>
          <w:szCs w:val="32"/>
          <w:lang w:eastAsia="zh-CN"/>
        </w:rPr>
        <w:t>分流人员</w:t>
      </w:r>
      <w:r>
        <w:rPr>
          <w:rFonts w:hint="eastAsia" w:ascii="仿宋_GB2312" w:hAnsi="仿宋_GB2312" w:eastAsia="仿宋_GB2312" w:cs="仿宋_GB2312"/>
          <w:color w:val="auto"/>
          <w:sz w:val="32"/>
          <w:szCs w:val="32"/>
        </w:rPr>
        <w:t>9人。</w:t>
      </w:r>
    </w:p>
    <w:p>
      <w:pPr>
        <w:pageBreakBefore w:val="0"/>
        <w:kinsoku/>
        <w:wordWrap/>
        <w:overflowPunct/>
        <w:topLinePunct w:val="0"/>
        <w:bidi w:val="0"/>
        <w:spacing w:line="520" w:lineRule="exact"/>
        <w:ind w:firstLine="800" w:firstLineChars="250"/>
        <w:rPr>
          <w:rFonts w:hint="eastAsia" w:ascii="仿宋_GB2312" w:hAnsi="仿宋_GB2312" w:eastAsia="仿宋_GB2312" w:cs="仿宋_GB2312"/>
          <w:color w:val="auto"/>
          <w:sz w:val="32"/>
          <w:szCs w:val="32"/>
        </w:rPr>
      </w:pPr>
    </w:p>
    <w:p>
      <w:pPr>
        <w:pageBreakBefore w:val="0"/>
        <w:kinsoku/>
        <w:wordWrap/>
        <w:overflowPunct/>
        <w:topLinePunct w:val="0"/>
        <w:bidi w:val="0"/>
        <w:spacing w:line="520" w:lineRule="exact"/>
        <w:ind w:firstLine="800" w:firstLineChars="250"/>
        <w:rPr>
          <w:rFonts w:hint="eastAsia" w:ascii="仿宋_GB2312" w:hAnsi="仿宋_GB2312" w:eastAsia="仿宋_GB2312" w:cs="仿宋_GB2312"/>
          <w:color w:val="auto"/>
          <w:sz w:val="32"/>
          <w:szCs w:val="32"/>
        </w:rPr>
      </w:pPr>
    </w:p>
    <w:p>
      <w:pPr>
        <w:pageBreakBefore w:val="0"/>
        <w:kinsoku/>
        <w:wordWrap/>
        <w:overflowPunct/>
        <w:topLinePunct w:val="0"/>
        <w:bidi w:val="0"/>
        <w:spacing w:line="520" w:lineRule="exact"/>
        <w:ind w:firstLine="800" w:firstLineChars="250"/>
        <w:rPr>
          <w:rFonts w:hint="eastAsia" w:ascii="仿宋_GB2312" w:hAnsi="仿宋_GB2312" w:eastAsia="仿宋_GB2312" w:cs="仿宋_GB2312"/>
          <w:color w:val="auto"/>
          <w:sz w:val="32"/>
          <w:szCs w:val="32"/>
        </w:rPr>
      </w:pPr>
    </w:p>
    <w:p>
      <w:pPr>
        <w:pStyle w:val="3"/>
        <w:pageBreakBefore w:val="0"/>
        <w:numPr>
          <w:ilvl w:val="0"/>
          <w:numId w:val="1"/>
        </w:numPr>
        <w:kinsoku/>
        <w:wordWrap/>
        <w:overflowPunct/>
        <w:topLinePunct w:val="0"/>
        <w:bidi w:val="0"/>
        <w:spacing w:before="0" w:after="0" w:line="520" w:lineRule="exact"/>
        <w:ind w:right="440"/>
        <w:jc w:val="right"/>
        <w:rPr>
          <w:rStyle w:val="17"/>
          <w:rFonts w:hint="eastAsia" w:ascii="黑体" w:hAnsi="黑体" w:eastAsia="黑体" w:cs="黑体"/>
          <w:b w:val="0"/>
          <w:bCs w:val="0"/>
        </w:rPr>
      </w:pPr>
      <w:bookmarkStart w:id="22" w:name="_Toc15396602"/>
      <w:bookmarkStart w:id="23" w:name="_Toc15377204"/>
      <w:r>
        <w:rPr>
          <w:rStyle w:val="17"/>
          <w:rFonts w:hint="eastAsia" w:ascii="黑体" w:hAnsi="黑体" w:eastAsia="黑体" w:cs="黑体"/>
          <w:b w:val="0"/>
          <w:bCs w:val="0"/>
        </w:rPr>
        <w:t>2018年度部门决算情况说明</w:t>
      </w:r>
      <w:bookmarkEnd w:id="22"/>
      <w:bookmarkEnd w:id="23"/>
    </w:p>
    <w:p>
      <w:pPr>
        <w:numPr>
          <w:ilvl w:val="0"/>
          <w:numId w:val="0"/>
        </w:numPr>
        <w:rPr>
          <w:rFonts w:hint="eastAsia"/>
        </w:rPr>
      </w:pPr>
    </w:p>
    <w:p>
      <w:pPr>
        <w:pStyle w:val="26"/>
        <w:pageBreakBefore w:val="0"/>
        <w:numPr>
          <w:ilvl w:val="0"/>
          <w:numId w:val="0"/>
        </w:numPr>
        <w:kinsoku/>
        <w:wordWrap/>
        <w:overflowPunct/>
        <w:topLinePunct w:val="0"/>
        <w:bidi w:val="0"/>
        <w:spacing w:line="520" w:lineRule="exact"/>
        <w:ind w:firstLine="640" w:firstLineChars="200"/>
        <w:outlineLvl w:val="1"/>
        <w:rPr>
          <w:rStyle w:val="18"/>
          <w:rFonts w:hint="eastAsia" w:ascii="黑体" w:hAnsi="黑体" w:eastAsia="黑体" w:cs="黑体"/>
          <w:b w:val="0"/>
          <w:bCs w:val="0"/>
        </w:rPr>
      </w:pPr>
      <w:bookmarkStart w:id="24" w:name="_Toc15396603"/>
      <w:bookmarkStart w:id="25" w:name="_Toc15377205"/>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收</w:t>
      </w:r>
      <w:r>
        <w:rPr>
          <w:rStyle w:val="18"/>
          <w:rFonts w:hint="eastAsia" w:ascii="黑体" w:hAnsi="黑体" w:eastAsia="黑体" w:cs="黑体"/>
          <w:b w:val="0"/>
          <w:bCs w:val="0"/>
        </w:rPr>
        <w:t>入支出决算总体情况说明</w:t>
      </w:r>
      <w:bookmarkEnd w:id="24"/>
      <w:bookmarkEnd w:id="25"/>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2018年我镇收入决算总额为1411.46万元，收入决算总额较2017年增加290.03万元，增加26%，主要原因是用于革命老区</w:t>
      </w:r>
      <w:r>
        <w:rPr>
          <w:rFonts w:hint="eastAsia" w:ascii="仿宋_GB2312" w:hAnsi="仿宋_GB2312" w:eastAsia="仿宋_GB2312" w:cs="仿宋_GB2312"/>
          <w:color w:val="auto"/>
          <w:kern w:val="0"/>
          <w:sz w:val="32"/>
          <w:szCs w:val="32"/>
          <w:lang w:eastAsia="zh-CN"/>
        </w:rPr>
        <w:t>项目</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kern w:val="0"/>
          <w:sz w:val="32"/>
          <w:szCs w:val="32"/>
          <w:lang w:eastAsia="zh-CN"/>
        </w:rPr>
        <w:t>、人员增加调资等</w:t>
      </w:r>
      <w:r>
        <w:rPr>
          <w:rFonts w:hint="eastAsia" w:ascii="仿宋_GB2312" w:hAnsi="仿宋_GB2312" w:eastAsia="仿宋_GB2312" w:cs="仿宋_GB2312"/>
          <w:color w:val="auto"/>
          <w:kern w:val="0"/>
          <w:sz w:val="32"/>
          <w:szCs w:val="32"/>
        </w:rPr>
        <w:t>。</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kern w:val="0"/>
          <w:sz w:val="32"/>
          <w:szCs w:val="32"/>
        </w:rPr>
        <w:t>2018年我镇支出决算总额为1411.46万元，</w:t>
      </w:r>
      <w:r>
        <w:rPr>
          <w:rFonts w:hint="eastAsia" w:ascii="仿宋_GB2312" w:hAnsi="仿宋_GB2312" w:eastAsia="仿宋_GB2312" w:cs="仿宋_GB2312"/>
          <w:color w:val="auto"/>
          <w:kern w:val="0"/>
          <w:sz w:val="32"/>
          <w:szCs w:val="32"/>
          <w:lang w:eastAsia="zh-CN"/>
        </w:rPr>
        <w:t>支出决算总额较</w:t>
      </w:r>
      <w:r>
        <w:rPr>
          <w:rFonts w:hint="eastAsia" w:ascii="仿宋_GB2312" w:hAnsi="仿宋_GB2312" w:eastAsia="仿宋_GB2312" w:cs="仿宋_GB2312"/>
          <w:color w:val="auto"/>
          <w:kern w:val="0"/>
          <w:sz w:val="32"/>
          <w:szCs w:val="32"/>
          <w:lang w:val="en-US" w:eastAsia="zh-CN"/>
        </w:rPr>
        <w:t>2017年增加290.03万元，增加26%，主要原因是用于</w:t>
      </w:r>
      <w:r>
        <w:rPr>
          <w:rFonts w:hint="eastAsia" w:ascii="仿宋_GB2312" w:hAnsi="仿宋_GB2312" w:eastAsia="仿宋_GB2312" w:cs="仿宋_GB2312"/>
          <w:color w:val="auto"/>
          <w:sz w:val="32"/>
          <w:szCs w:val="32"/>
        </w:rPr>
        <w:t>人员增加及工资调资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革命老区项目建设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rPr>
        <w:t>（图1：收、支决算总计变动情况图）（柱状图）</w:t>
      </w:r>
    </w:p>
    <w:p>
      <w:pPr>
        <w:numPr>
          <w:ilvl w:val="0"/>
          <w:numId w:val="0"/>
        </w:numPr>
        <w:bidi w:val="0"/>
        <w:ind w:left="640" w:leftChars="0"/>
        <w:rPr>
          <w:rStyle w:val="18"/>
          <w:rFonts w:hint="eastAsia" w:ascii="黑体" w:hAnsi="黑体" w:eastAsia="黑体" w:cs="黑体"/>
          <w:b w:val="0"/>
          <w:bCs w:val="0"/>
        </w:rPr>
      </w:pPr>
      <w:bookmarkStart w:id="26" w:name="_Toc15377206"/>
      <w:bookmarkStart w:id="27" w:name="_Toc15396604"/>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收</w:t>
      </w:r>
      <w:r>
        <w:rPr>
          <w:rStyle w:val="18"/>
          <w:rFonts w:hint="eastAsia" w:ascii="黑体" w:hAnsi="黑体" w:eastAsia="黑体" w:cs="黑体"/>
          <w:b w:val="0"/>
          <w:bCs w:val="0"/>
        </w:rPr>
        <w:t>入决算情况说明</w:t>
      </w:r>
      <w:bookmarkEnd w:id="26"/>
      <w:bookmarkEnd w:id="27"/>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2018年</w:t>
      </w:r>
      <w:r>
        <w:rPr>
          <w:rFonts w:hint="eastAsia" w:ascii="仿宋_GB2312" w:hAnsi="仿宋_GB2312" w:eastAsia="仿宋_GB2312" w:cs="仿宋_GB2312"/>
          <w:color w:val="auto"/>
          <w:kern w:val="0"/>
          <w:sz w:val="32"/>
          <w:szCs w:val="32"/>
          <w:lang w:eastAsia="zh-CN"/>
        </w:rPr>
        <w:t>本年</w:t>
      </w:r>
      <w:r>
        <w:rPr>
          <w:rFonts w:hint="eastAsia" w:ascii="仿宋_GB2312" w:hAnsi="仿宋_GB2312" w:eastAsia="仿宋_GB2312" w:cs="仿宋_GB2312"/>
          <w:color w:val="auto"/>
          <w:kern w:val="0"/>
          <w:sz w:val="32"/>
          <w:szCs w:val="32"/>
        </w:rPr>
        <w:t>收入</w:t>
      </w:r>
      <w:r>
        <w:rPr>
          <w:rFonts w:hint="eastAsia" w:ascii="仿宋_GB2312" w:hAnsi="仿宋_GB2312" w:eastAsia="仿宋_GB2312" w:cs="仿宋_GB2312"/>
          <w:color w:val="auto"/>
          <w:kern w:val="0"/>
          <w:sz w:val="32"/>
          <w:szCs w:val="32"/>
          <w:lang w:eastAsia="zh-CN"/>
        </w:rPr>
        <w:t>合计</w:t>
      </w:r>
      <w:r>
        <w:rPr>
          <w:rFonts w:hint="eastAsia" w:ascii="仿宋_GB2312" w:hAnsi="仿宋_GB2312" w:eastAsia="仿宋_GB2312" w:cs="仿宋_GB2312"/>
          <w:color w:val="auto"/>
          <w:kern w:val="0"/>
          <w:sz w:val="32"/>
          <w:szCs w:val="32"/>
        </w:rPr>
        <w:t>1411.46万元，其中：</w:t>
      </w:r>
      <w:r>
        <w:rPr>
          <w:rFonts w:hint="eastAsia" w:ascii="仿宋_GB2312" w:hAnsi="仿宋_GB2312" w:eastAsia="仿宋_GB2312" w:cs="仿宋_GB2312"/>
          <w:color w:val="000000"/>
          <w:sz w:val="32"/>
          <w:szCs w:val="32"/>
        </w:rPr>
        <w:t>一般公共预算财政拨款收入</w:t>
      </w:r>
      <w:r>
        <w:rPr>
          <w:rFonts w:hint="eastAsia" w:ascii="仿宋_GB2312" w:hAnsi="仿宋_GB2312" w:eastAsia="仿宋_GB2312" w:cs="仿宋_GB2312"/>
          <w:color w:val="000000"/>
          <w:sz w:val="32"/>
          <w:szCs w:val="32"/>
          <w:lang w:val="en-US" w:eastAsia="zh-CN"/>
        </w:rPr>
        <w:t>1397.4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14.06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（图2：收入决算结构图）（饼状图）</w:t>
      </w:r>
    </w:p>
    <w:p>
      <w:pPr>
        <w:pStyle w:val="26"/>
        <w:pageBreakBefore w:val="0"/>
        <w:numPr>
          <w:ilvl w:val="0"/>
          <w:numId w:val="0"/>
        </w:numPr>
        <w:kinsoku/>
        <w:wordWrap/>
        <w:overflowPunct/>
        <w:topLinePunct w:val="0"/>
        <w:bidi w:val="0"/>
        <w:spacing w:line="520" w:lineRule="exact"/>
        <w:ind w:left="640" w:leftChars="0"/>
        <w:outlineLvl w:val="1"/>
        <w:rPr>
          <w:rStyle w:val="18"/>
          <w:rFonts w:hint="eastAsia" w:ascii="黑体" w:hAnsi="黑体" w:eastAsia="黑体" w:cs="黑体"/>
          <w:b w:val="0"/>
          <w:bCs w:val="0"/>
        </w:rPr>
      </w:pPr>
      <w:bookmarkStart w:id="28" w:name="_Toc15396605"/>
      <w:bookmarkStart w:id="29" w:name="_Toc15377207"/>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支</w:t>
      </w:r>
      <w:r>
        <w:rPr>
          <w:rStyle w:val="18"/>
          <w:rFonts w:hint="eastAsia" w:ascii="黑体" w:hAnsi="黑体" w:eastAsia="黑体" w:cs="黑体"/>
          <w:b w:val="0"/>
          <w:bCs w:val="0"/>
        </w:rPr>
        <w:t>出决算情况说明</w:t>
      </w:r>
      <w:bookmarkEnd w:id="28"/>
      <w:bookmarkEnd w:id="29"/>
    </w:p>
    <w:p>
      <w:pPr>
        <w:pageBreakBefore w:val="0"/>
        <w:kinsoku/>
        <w:wordWrap/>
        <w:overflowPunct/>
        <w:topLinePunct w:val="0"/>
        <w:bidi w:val="0"/>
        <w:spacing w:line="520" w:lineRule="exact"/>
        <w:ind w:firstLine="640"/>
        <w:rPr>
          <w:rFonts w:hint="eastAsia" w:ascii="仿宋_GB2312" w:hAnsi="仿宋_GB2312" w:eastAsia="仿宋_GB2312" w:cs="仿宋_GB2312"/>
          <w:color w:val="000000"/>
          <w:sz w:val="32"/>
          <w:szCs w:val="32"/>
          <w:shd w:val="pct10" w:color="auto" w:fill="FFFFFF"/>
          <w:lang w:eastAsia="zh-CN"/>
        </w:rPr>
      </w:pPr>
      <w:r>
        <w:rPr>
          <w:rFonts w:hint="eastAsia" w:ascii="仿宋_GB2312" w:hAnsi="仿宋_GB2312" w:eastAsia="仿宋_GB2312" w:cs="仿宋_GB2312"/>
          <w:color w:val="000000"/>
          <w:sz w:val="32"/>
          <w:szCs w:val="32"/>
        </w:rPr>
        <w:t>2018年本年支出合计</w:t>
      </w:r>
      <w:r>
        <w:rPr>
          <w:rFonts w:hint="eastAsia" w:ascii="仿宋_GB2312" w:hAnsi="仿宋_GB2312" w:eastAsia="仿宋_GB2312" w:cs="仿宋_GB2312"/>
          <w:color w:val="000000"/>
          <w:sz w:val="32"/>
          <w:szCs w:val="32"/>
          <w:lang w:val="en-US" w:eastAsia="zh-CN"/>
        </w:rPr>
        <w:t>1411.46</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912.24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65</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499.23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（图3：支出决算结构图）（饼状图）</w:t>
      </w:r>
    </w:p>
    <w:p>
      <w:pPr>
        <w:pageBreakBefore w:val="0"/>
        <w:kinsoku/>
        <w:wordWrap/>
        <w:overflowPunct/>
        <w:topLinePunct w:val="0"/>
        <w:bidi w:val="0"/>
        <w:spacing w:line="520" w:lineRule="exact"/>
        <w:ind w:firstLine="640" w:firstLineChars="200"/>
        <w:outlineLvl w:val="1"/>
        <w:rPr>
          <w:rStyle w:val="18"/>
          <w:rFonts w:hint="eastAsia" w:ascii="黑体" w:hAnsi="黑体" w:eastAsia="黑体" w:cs="黑体"/>
          <w:b w:val="0"/>
          <w:bCs w:val="0"/>
        </w:rPr>
      </w:pPr>
      <w:bookmarkStart w:id="30" w:name="_Toc15377208"/>
      <w:bookmarkStart w:id="31" w:name="_Toc15396606"/>
      <w:r>
        <w:rPr>
          <w:rFonts w:hint="eastAsia" w:ascii="黑体" w:hAnsi="黑体" w:eastAsia="黑体" w:cs="黑体"/>
          <w:b w:val="0"/>
          <w:bCs w:val="0"/>
          <w:color w:val="000000"/>
          <w:sz w:val="32"/>
          <w:szCs w:val="32"/>
        </w:rPr>
        <w:t>四、财</w:t>
      </w:r>
      <w:r>
        <w:rPr>
          <w:rStyle w:val="18"/>
          <w:rFonts w:hint="eastAsia" w:ascii="黑体" w:hAnsi="黑体" w:eastAsia="黑体" w:cs="黑体"/>
          <w:b w:val="0"/>
          <w:bCs w:val="0"/>
        </w:rPr>
        <w:t>政拨款收入支出决算总体情况说明</w:t>
      </w:r>
      <w:bookmarkEnd w:id="30"/>
      <w:bookmarkEnd w:id="31"/>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2018年我镇收入决算总额为1411.46万元，收入决算总额较2017年增加290.03万元，增加26%，主要原因是用于革命老区</w:t>
      </w:r>
      <w:r>
        <w:rPr>
          <w:rFonts w:hint="eastAsia" w:ascii="仿宋_GB2312" w:hAnsi="仿宋_GB2312" w:eastAsia="仿宋_GB2312" w:cs="仿宋_GB2312"/>
          <w:color w:val="auto"/>
          <w:kern w:val="0"/>
          <w:sz w:val="32"/>
          <w:szCs w:val="32"/>
          <w:lang w:eastAsia="zh-CN"/>
        </w:rPr>
        <w:t>项目</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kern w:val="0"/>
          <w:sz w:val="32"/>
          <w:szCs w:val="32"/>
          <w:lang w:eastAsia="zh-CN"/>
        </w:rPr>
        <w:t>、人员增资等</w:t>
      </w:r>
      <w:r>
        <w:rPr>
          <w:rFonts w:hint="eastAsia" w:ascii="仿宋_GB2312" w:hAnsi="仿宋_GB2312" w:eastAsia="仿宋_GB2312" w:cs="仿宋_GB2312"/>
          <w:color w:val="auto"/>
          <w:kern w:val="0"/>
          <w:sz w:val="32"/>
          <w:szCs w:val="32"/>
        </w:rPr>
        <w:t>。</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kern w:val="0"/>
          <w:sz w:val="32"/>
          <w:szCs w:val="32"/>
        </w:rPr>
        <w:t>2018年我镇支出决算总额为1411.46万元，</w:t>
      </w:r>
      <w:r>
        <w:rPr>
          <w:rFonts w:hint="eastAsia" w:ascii="仿宋_GB2312" w:hAnsi="仿宋_GB2312" w:eastAsia="仿宋_GB2312" w:cs="仿宋_GB2312"/>
          <w:color w:val="auto"/>
          <w:kern w:val="0"/>
          <w:sz w:val="32"/>
          <w:szCs w:val="32"/>
          <w:lang w:eastAsia="zh-CN"/>
        </w:rPr>
        <w:t>支出决算总额较</w:t>
      </w:r>
      <w:r>
        <w:rPr>
          <w:rFonts w:hint="eastAsia" w:ascii="仿宋_GB2312" w:hAnsi="仿宋_GB2312" w:eastAsia="仿宋_GB2312" w:cs="仿宋_GB2312"/>
          <w:color w:val="auto"/>
          <w:kern w:val="0"/>
          <w:sz w:val="32"/>
          <w:szCs w:val="32"/>
          <w:lang w:val="en-US" w:eastAsia="zh-CN"/>
        </w:rPr>
        <w:t>2017年增加290.03万元，增加26%，主要原因是用于</w:t>
      </w:r>
      <w:r>
        <w:rPr>
          <w:rFonts w:hint="eastAsia" w:ascii="仿宋_GB2312" w:hAnsi="仿宋_GB2312" w:eastAsia="仿宋_GB2312" w:cs="仿宋_GB2312"/>
          <w:color w:val="auto"/>
          <w:sz w:val="32"/>
          <w:szCs w:val="32"/>
        </w:rPr>
        <w:t>人员增加及工资调资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革命老区项目建设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rPr>
        <w:t>（图4：财政拨款收、支决算总计变动情况）（柱状图）</w:t>
      </w:r>
    </w:p>
    <w:p>
      <w:pPr>
        <w:pageBreakBefore w:val="0"/>
        <w:kinsoku/>
        <w:wordWrap/>
        <w:overflowPunct/>
        <w:topLinePunct w:val="0"/>
        <w:bidi w:val="0"/>
        <w:spacing w:line="520" w:lineRule="exact"/>
        <w:ind w:firstLine="640" w:firstLineChars="200"/>
        <w:outlineLvl w:val="1"/>
        <w:rPr>
          <w:rStyle w:val="18"/>
          <w:rFonts w:hint="eastAsia" w:ascii="黑体" w:hAnsi="黑体" w:eastAsia="黑体" w:cs="黑体"/>
          <w:b w:val="0"/>
          <w:bCs w:val="0"/>
        </w:rPr>
      </w:pPr>
      <w:bookmarkStart w:id="32" w:name="_Toc15396607"/>
      <w:bookmarkStart w:id="33" w:name="_Toc15377209"/>
      <w:r>
        <w:rPr>
          <w:rFonts w:hint="eastAsia" w:ascii="黑体" w:hAnsi="黑体" w:eastAsia="黑体" w:cs="黑体"/>
          <w:b w:val="0"/>
          <w:bCs w:val="0"/>
          <w:color w:val="000000"/>
          <w:sz w:val="32"/>
          <w:szCs w:val="32"/>
        </w:rPr>
        <w:t>五、一</w:t>
      </w:r>
      <w:r>
        <w:rPr>
          <w:rStyle w:val="18"/>
          <w:rFonts w:hint="eastAsia" w:ascii="黑体" w:hAnsi="黑体" w:eastAsia="黑体" w:cs="黑体"/>
          <w:b w:val="0"/>
          <w:bCs w:val="0"/>
        </w:rPr>
        <w:t>般公共预算财政拨款支出决算情况说明</w:t>
      </w:r>
      <w:bookmarkEnd w:id="32"/>
      <w:bookmarkEnd w:id="33"/>
    </w:p>
    <w:p>
      <w:pPr>
        <w:pageBreakBefore w:val="0"/>
        <w:kinsoku/>
        <w:wordWrap/>
        <w:overflowPunct/>
        <w:topLinePunct w:val="0"/>
        <w:bidi w:val="0"/>
        <w:spacing w:line="520" w:lineRule="exact"/>
        <w:ind w:firstLine="642" w:firstLineChars="200"/>
        <w:outlineLvl w:val="2"/>
        <w:rPr>
          <w:rFonts w:hint="eastAsia" w:ascii="仿宋_GB2312" w:hAnsi="仿宋_GB2312" w:eastAsia="仿宋_GB2312" w:cs="仿宋_GB2312"/>
          <w:b/>
          <w:color w:val="000000"/>
          <w:sz w:val="32"/>
          <w:szCs w:val="32"/>
        </w:rPr>
      </w:pPr>
      <w:bookmarkStart w:id="34" w:name="_Toc15377210"/>
      <w:r>
        <w:rPr>
          <w:rFonts w:hint="eastAsia" w:ascii="仿宋_GB2312" w:hAnsi="仿宋_GB2312" w:eastAsia="仿宋_GB2312" w:cs="仿宋_GB2312"/>
          <w:b/>
          <w:color w:val="000000"/>
          <w:sz w:val="32"/>
          <w:szCs w:val="32"/>
        </w:rPr>
        <w:t>（一）一般公共预算财政拨款支出决算总体情况</w:t>
      </w:r>
      <w:bookmarkEnd w:id="34"/>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2018年一般公共预算财政拨款支出</w:t>
      </w:r>
      <w:r>
        <w:rPr>
          <w:rFonts w:hint="eastAsia" w:ascii="仿宋_GB2312" w:hAnsi="仿宋_GB2312" w:eastAsia="仿宋_GB2312" w:cs="仿宋_GB2312"/>
          <w:color w:val="000000"/>
          <w:sz w:val="32"/>
          <w:szCs w:val="32"/>
          <w:lang w:val="en-US" w:eastAsia="zh-CN"/>
        </w:rPr>
        <w:t>1397.39</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%。与2017年相比，一般公共预算财政拨款增加</w:t>
      </w:r>
      <w:r>
        <w:rPr>
          <w:rFonts w:hint="eastAsia" w:ascii="仿宋_GB2312" w:hAnsi="仿宋_GB2312" w:eastAsia="仿宋_GB2312" w:cs="仿宋_GB2312"/>
          <w:color w:val="000000"/>
          <w:sz w:val="32"/>
          <w:szCs w:val="32"/>
          <w:lang w:val="en-US" w:eastAsia="zh-CN"/>
        </w:rPr>
        <w:t>287.14</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auto"/>
          <w:sz w:val="32"/>
          <w:szCs w:val="32"/>
        </w:rPr>
        <w:t>人员增加及工资调资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革命老区项目建设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rPr>
        <w:t>（图5：一般公共预算财政拨款支出决算变动情况）（柱状图）</w:t>
      </w:r>
    </w:p>
    <w:p>
      <w:pPr>
        <w:pageBreakBefore w:val="0"/>
        <w:kinsoku/>
        <w:wordWrap/>
        <w:overflowPunct/>
        <w:topLinePunct w:val="0"/>
        <w:bidi w:val="0"/>
        <w:spacing w:line="520" w:lineRule="exact"/>
        <w:ind w:firstLine="642" w:firstLineChars="200"/>
        <w:outlineLvl w:val="2"/>
        <w:rPr>
          <w:rFonts w:hint="eastAsia" w:ascii="仿宋_GB2312" w:hAnsi="仿宋_GB2312" w:eastAsia="仿宋_GB2312" w:cs="仿宋_GB2312"/>
          <w:b/>
          <w:color w:val="000000"/>
          <w:sz w:val="32"/>
          <w:szCs w:val="32"/>
        </w:rPr>
      </w:pPr>
      <w:bookmarkStart w:id="35" w:name="_Toc15377211"/>
      <w:r>
        <w:rPr>
          <w:rFonts w:hint="eastAsia" w:ascii="仿宋_GB2312" w:hAnsi="仿宋_GB2312" w:eastAsia="仿宋_GB2312" w:cs="仿宋_GB2312"/>
          <w:b/>
          <w:color w:val="000000"/>
          <w:sz w:val="32"/>
          <w:szCs w:val="32"/>
        </w:rPr>
        <w:t>（二）一般公共预算财政拨款支出决算结构情况</w:t>
      </w:r>
      <w:bookmarkEnd w:id="35"/>
    </w:p>
    <w:p>
      <w:pPr>
        <w:pageBreakBefore w:val="0"/>
        <w:kinsoku/>
        <w:wordWrap/>
        <w:overflowPunct/>
        <w:topLinePunct w:val="0"/>
        <w:bidi w:val="0"/>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2018年一般公共预算财政拨款支出</w:t>
      </w:r>
      <w:r>
        <w:rPr>
          <w:rFonts w:hint="eastAsia" w:ascii="仿宋_GB2312" w:hAnsi="仿宋_GB2312" w:eastAsia="仿宋_GB2312" w:cs="仿宋_GB2312"/>
          <w:color w:val="000000"/>
          <w:sz w:val="32"/>
          <w:szCs w:val="32"/>
          <w:lang w:val="en-US" w:eastAsia="zh-CN"/>
        </w:rPr>
        <w:t>1397.39</w:t>
      </w:r>
      <w:r>
        <w:rPr>
          <w:rFonts w:hint="eastAsia" w:ascii="仿宋_GB2312" w:hAnsi="仿宋_GB2312" w:eastAsia="仿宋_GB2312" w:cs="仿宋_GB2312"/>
          <w:color w:val="000000"/>
          <w:sz w:val="32"/>
          <w:szCs w:val="32"/>
        </w:rPr>
        <w:t>万元，主要用于以下方面:</w:t>
      </w:r>
      <w:r>
        <w:rPr>
          <w:rFonts w:hint="eastAsia" w:ascii="仿宋_GB2312" w:hAnsi="仿宋_GB2312" w:eastAsia="仿宋_GB2312" w:cs="仿宋_GB2312"/>
          <w:b/>
          <w:color w:val="000000"/>
          <w:sz w:val="32"/>
          <w:szCs w:val="32"/>
        </w:rPr>
        <w:t>一般公共服务（类）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380.21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27.1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lang w:eastAsia="zh-CN"/>
        </w:rPr>
        <w:t>国防支出</w:t>
      </w:r>
      <w:r>
        <w:rPr>
          <w:rFonts w:hint="eastAsia" w:ascii="仿宋_GB2312" w:hAnsi="仿宋_GB2312" w:eastAsia="仿宋_GB2312" w:cs="仿宋_GB2312"/>
          <w:b/>
          <w:color w:val="000000"/>
          <w:sz w:val="32"/>
          <w:szCs w:val="32"/>
        </w:rPr>
        <w:t>（类）</w:t>
      </w:r>
      <w:r>
        <w:rPr>
          <w:rFonts w:hint="eastAsia" w:ascii="仿宋_GB2312" w:hAnsi="仿宋_GB2312" w:eastAsia="仿宋_GB2312" w:cs="仿宋_GB2312"/>
          <w:b/>
          <w:color w:val="000000"/>
          <w:sz w:val="32"/>
          <w:szCs w:val="32"/>
          <w:lang w:val="en-US" w:eastAsia="zh-CN"/>
        </w:rPr>
        <w:t>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lang w:eastAsia="zh-CN"/>
        </w:rPr>
        <w:t>文化体育与传媒支出</w:t>
      </w:r>
      <w:r>
        <w:rPr>
          <w:rFonts w:hint="eastAsia" w:ascii="仿宋_GB2312" w:hAnsi="仿宋_GB2312" w:eastAsia="仿宋_GB2312" w:cs="仿宋_GB2312"/>
          <w:b/>
          <w:color w:val="000000"/>
          <w:sz w:val="32"/>
          <w:szCs w:val="32"/>
        </w:rPr>
        <w:t>（类）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60.29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社会保障和就业</w:t>
      </w:r>
      <w:r>
        <w:rPr>
          <w:rFonts w:hint="eastAsia" w:ascii="仿宋_GB2312" w:hAnsi="仿宋_GB2312" w:eastAsia="仿宋_GB2312" w:cs="仿宋_GB2312"/>
          <w:b/>
          <w:color w:val="000000"/>
          <w:sz w:val="32"/>
          <w:szCs w:val="32"/>
          <w:lang w:eastAsia="zh-CN"/>
        </w:rPr>
        <w:t>支出</w:t>
      </w:r>
      <w:r>
        <w:rPr>
          <w:rFonts w:hint="eastAsia" w:ascii="仿宋_GB2312" w:hAnsi="仿宋_GB2312" w:eastAsia="仿宋_GB2312" w:cs="仿宋_GB2312"/>
          <w:b/>
          <w:color w:val="000000"/>
          <w:sz w:val="32"/>
          <w:szCs w:val="32"/>
        </w:rPr>
        <w:t>（类）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228.48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16.4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医疗卫生</w:t>
      </w:r>
      <w:r>
        <w:rPr>
          <w:rFonts w:hint="eastAsia" w:ascii="仿宋_GB2312" w:hAnsi="仿宋_GB2312" w:eastAsia="仿宋_GB2312" w:cs="仿宋_GB2312"/>
          <w:b/>
          <w:bCs/>
          <w:color w:val="000000"/>
          <w:sz w:val="32"/>
          <w:szCs w:val="32"/>
          <w:lang w:eastAsia="zh-CN"/>
        </w:rPr>
        <w:t>与计划生育</w:t>
      </w:r>
      <w:r>
        <w:rPr>
          <w:rFonts w:hint="eastAsia" w:ascii="仿宋_GB2312" w:hAnsi="仿宋_GB2312" w:eastAsia="仿宋_GB2312" w:cs="仿宋_GB2312"/>
          <w:b/>
          <w:bCs/>
          <w:color w:val="000000"/>
          <w:sz w:val="32"/>
          <w:szCs w:val="32"/>
        </w:rPr>
        <w:t>支出</w:t>
      </w:r>
      <w:r>
        <w:rPr>
          <w:rFonts w:hint="eastAsia" w:ascii="仿宋_GB2312" w:hAnsi="仿宋_GB2312" w:eastAsia="仿宋_GB2312" w:cs="仿宋_GB2312"/>
          <w:b/>
          <w:bCs/>
          <w:color w:val="000000"/>
          <w:sz w:val="32"/>
          <w:szCs w:val="32"/>
          <w:lang w:eastAsia="zh-CN"/>
        </w:rPr>
        <w:t>（类）</w:t>
      </w:r>
      <w:r>
        <w:rPr>
          <w:rFonts w:hint="eastAsia" w:ascii="仿宋_GB2312" w:hAnsi="仿宋_GB2312" w:eastAsia="仿宋_GB2312" w:cs="仿宋_GB2312"/>
          <w:b w:val="0"/>
          <w:bCs w:val="0"/>
          <w:color w:val="000000"/>
          <w:sz w:val="32"/>
          <w:szCs w:val="32"/>
          <w:lang w:val="en-US" w:eastAsia="zh-CN"/>
        </w:rPr>
        <w:t>28.07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eastAsia="zh-CN"/>
        </w:rPr>
        <w:t>城乡社区支出（类）</w:t>
      </w:r>
      <w:r>
        <w:rPr>
          <w:rFonts w:hint="eastAsia" w:ascii="仿宋_GB2312" w:hAnsi="仿宋_GB2312" w:eastAsia="仿宋_GB2312" w:cs="仿宋_GB2312"/>
          <w:color w:val="000000"/>
          <w:sz w:val="32"/>
          <w:szCs w:val="32"/>
          <w:lang w:val="en-US" w:eastAsia="zh-CN"/>
        </w:rPr>
        <w:t>85.22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eastAsia="zh-CN"/>
        </w:rPr>
        <w:t>农林水支出（类）</w:t>
      </w:r>
      <w:r>
        <w:rPr>
          <w:rFonts w:hint="eastAsia" w:ascii="仿宋_GB2312" w:hAnsi="仿宋_GB2312" w:eastAsia="仿宋_GB2312" w:cs="仿宋_GB2312"/>
          <w:color w:val="000000"/>
          <w:sz w:val="32"/>
          <w:szCs w:val="32"/>
          <w:lang w:val="en-US" w:eastAsia="zh-CN"/>
        </w:rPr>
        <w:t>574.7万元，占41.1%；</w:t>
      </w:r>
      <w:r>
        <w:rPr>
          <w:rFonts w:hint="eastAsia" w:ascii="仿宋_GB2312" w:hAnsi="仿宋_GB2312" w:eastAsia="仿宋_GB2312" w:cs="仿宋_GB2312"/>
          <w:b/>
          <w:bCs/>
          <w:color w:val="000000"/>
          <w:sz w:val="32"/>
          <w:szCs w:val="32"/>
          <w:lang w:val="en-US" w:eastAsia="zh-CN"/>
        </w:rPr>
        <w:t>住房保障支出（类）</w:t>
      </w:r>
      <w:r>
        <w:rPr>
          <w:rFonts w:hint="eastAsia" w:ascii="仿宋_GB2312" w:hAnsi="仿宋_GB2312" w:eastAsia="仿宋_GB2312" w:cs="仿宋_GB2312"/>
          <w:color w:val="000000"/>
          <w:sz w:val="32"/>
          <w:szCs w:val="32"/>
          <w:lang w:val="en-US" w:eastAsia="zh-CN"/>
        </w:rPr>
        <w:t>39.42万元，占2.8%</w:t>
      </w:r>
      <w:r>
        <w:rPr>
          <w:rFonts w:hint="eastAsia" w:ascii="仿宋_GB2312" w:hAnsi="仿宋_GB2312" w:eastAsia="仿宋_GB2312" w:cs="仿宋_GB2312"/>
          <w:color w:val="000000"/>
          <w:sz w:val="32"/>
          <w:szCs w:val="32"/>
        </w:rPr>
        <w:t>。（图6：一般公共预算财政拨款支出决算结构）（饼状图）</w:t>
      </w:r>
    </w:p>
    <w:p>
      <w:pPr>
        <w:pageBreakBefore w:val="0"/>
        <w:kinsoku/>
        <w:wordWrap/>
        <w:overflowPunct/>
        <w:topLinePunct w:val="0"/>
        <w:bidi w:val="0"/>
        <w:spacing w:line="520" w:lineRule="exact"/>
        <w:ind w:firstLine="642" w:firstLineChars="200"/>
        <w:outlineLvl w:val="2"/>
        <w:rPr>
          <w:rFonts w:hint="eastAsia" w:ascii="仿宋_GB2312" w:hAnsi="仿宋_GB2312" w:eastAsia="仿宋_GB2312" w:cs="仿宋_GB2312"/>
          <w:b/>
          <w:color w:val="000000"/>
          <w:sz w:val="32"/>
          <w:szCs w:val="32"/>
        </w:rPr>
      </w:pPr>
      <w:bookmarkStart w:id="36" w:name="_Toc15377212"/>
      <w:r>
        <w:rPr>
          <w:rFonts w:hint="eastAsia" w:ascii="仿宋_GB2312" w:hAnsi="仿宋_GB2312" w:eastAsia="仿宋_GB2312" w:cs="仿宋_GB2312"/>
          <w:b/>
          <w:color w:val="000000"/>
          <w:sz w:val="32"/>
          <w:szCs w:val="32"/>
        </w:rPr>
        <w:t>（三）一般公共预算财政拨款支出决算具体情况</w:t>
      </w:r>
      <w:bookmarkEnd w:id="36"/>
    </w:p>
    <w:p>
      <w:pPr>
        <w:pageBreakBefore w:val="0"/>
        <w:kinsoku/>
        <w:wordWrap/>
        <w:overflowPunct/>
        <w:topLinePunct w:val="0"/>
        <w:bidi w:val="0"/>
        <w:spacing w:line="520" w:lineRule="exact"/>
        <w:ind w:firstLine="642" w:firstLineChars="200"/>
        <w:outlineLvl w:val="2"/>
        <w:rPr>
          <w:rFonts w:hint="eastAsia" w:ascii="仿宋_GB2312" w:hAnsi="仿宋_GB2312" w:eastAsia="仿宋_GB2312" w:cs="仿宋_GB2312"/>
          <w:color w:val="FF0000"/>
          <w:sz w:val="32"/>
          <w:szCs w:val="32"/>
        </w:rPr>
      </w:pPr>
      <w:bookmarkStart w:id="37" w:name="_Toc15378460"/>
      <w:bookmarkStart w:id="38" w:name="_Toc15377213"/>
      <w:bookmarkStart w:id="39" w:name="_Toc15377444"/>
      <w:r>
        <w:rPr>
          <w:rFonts w:hint="eastAsia" w:ascii="仿宋_GB2312" w:hAnsi="仿宋_GB2312" w:eastAsia="仿宋_GB2312" w:cs="仿宋_GB2312"/>
          <w:b/>
          <w:color w:val="000000"/>
          <w:sz w:val="32"/>
          <w:szCs w:val="32"/>
        </w:rPr>
        <w:t>2018年般公共预算支出决算数为</w:t>
      </w:r>
      <w:r>
        <w:rPr>
          <w:rFonts w:hint="eastAsia" w:ascii="仿宋_GB2312" w:hAnsi="仿宋_GB2312" w:eastAsia="仿宋_GB2312" w:cs="仿宋_GB2312"/>
          <w:b/>
          <w:color w:val="000000"/>
          <w:sz w:val="32"/>
          <w:szCs w:val="32"/>
          <w:lang w:val="en-US" w:eastAsia="zh-CN"/>
        </w:rPr>
        <w:t>1397.39</w:t>
      </w:r>
      <w:r>
        <w:rPr>
          <w:rFonts w:hint="eastAsia" w:ascii="仿宋_GB2312" w:hAnsi="仿宋_GB2312" w:eastAsia="仿宋_GB2312" w:cs="仿宋_GB2312"/>
          <w:color w:val="000000"/>
          <w:sz w:val="32"/>
          <w:szCs w:val="32"/>
        </w:rPr>
        <w:t>，</w:t>
      </w:r>
      <w:r>
        <w:rPr>
          <w:rStyle w:val="14"/>
          <w:rFonts w:hint="eastAsia" w:ascii="仿宋_GB2312" w:hAnsi="仿宋_GB2312" w:eastAsia="仿宋_GB2312" w:cs="仿宋_GB2312"/>
          <w:bCs/>
          <w:color w:val="000000"/>
          <w:sz w:val="32"/>
          <w:szCs w:val="32"/>
        </w:rPr>
        <w:t>完成预算</w:t>
      </w:r>
      <w:r>
        <w:rPr>
          <w:rStyle w:val="14"/>
          <w:rFonts w:hint="eastAsia" w:ascii="仿宋_GB2312" w:hAnsi="仿宋_GB2312" w:eastAsia="仿宋_GB2312" w:cs="仿宋_GB2312"/>
          <w:bCs/>
          <w:color w:val="000000"/>
          <w:sz w:val="32"/>
          <w:szCs w:val="32"/>
          <w:lang w:val="en-US" w:eastAsia="zh-CN"/>
        </w:rPr>
        <w:t>139</w:t>
      </w:r>
      <w:r>
        <w:rPr>
          <w:rStyle w:val="14"/>
          <w:rFonts w:hint="eastAsia" w:ascii="仿宋_GB2312" w:hAnsi="仿宋_GB2312" w:eastAsia="仿宋_GB2312" w:cs="仿宋_GB2312"/>
          <w:bCs/>
          <w:color w:val="000000"/>
          <w:sz w:val="32"/>
          <w:szCs w:val="32"/>
        </w:rPr>
        <w:t>%。其中：</w:t>
      </w:r>
      <w:bookmarkEnd w:id="37"/>
      <w:bookmarkEnd w:id="38"/>
      <w:bookmarkEnd w:id="39"/>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1.一般公共服务</w:t>
      </w:r>
      <w:r>
        <w:rPr>
          <w:rStyle w:val="14"/>
          <w:rFonts w:hint="eastAsia" w:ascii="仿宋_GB2312" w:hAnsi="仿宋_GB2312" w:eastAsia="仿宋_GB2312" w:cs="仿宋_GB2312"/>
          <w:bCs/>
          <w:color w:val="000000"/>
          <w:sz w:val="32"/>
          <w:szCs w:val="32"/>
          <w:lang w:eastAsia="zh-CN"/>
        </w:rPr>
        <w:t>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人大事务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行政运行</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7.92</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69</w:t>
      </w:r>
      <w:r>
        <w:rPr>
          <w:rStyle w:val="14"/>
          <w:rFonts w:hint="eastAsia" w:ascii="仿宋_GB2312" w:hAnsi="仿宋_GB2312" w:eastAsia="仿宋_GB2312" w:cs="仿宋_GB2312"/>
          <w:b w:val="0"/>
          <w:bCs/>
          <w:color w:val="000000"/>
          <w:sz w:val="32"/>
          <w:szCs w:val="32"/>
        </w:rPr>
        <w:t>%，决算数小于预算数的主要原因是</w:t>
      </w:r>
      <w:r>
        <w:rPr>
          <w:rStyle w:val="14"/>
          <w:rFonts w:hint="eastAsia" w:ascii="仿宋_GB2312" w:hAnsi="仿宋_GB2312" w:eastAsia="仿宋_GB2312" w:cs="仿宋_GB2312"/>
          <w:b w:val="0"/>
          <w:bCs/>
          <w:color w:val="000000"/>
          <w:sz w:val="32"/>
          <w:szCs w:val="32"/>
          <w:lang w:eastAsia="zh-CN"/>
        </w:rPr>
        <w:t>办公、接待等费用减少</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2.一般公共服务</w:t>
      </w:r>
      <w:r>
        <w:rPr>
          <w:rStyle w:val="14"/>
          <w:rFonts w:hint="eastAsia" w:ascii="仿宋_GB2312" w:hAnsi="仿宋_GB2312" w:eastAsia="仿宋_GB2312" w:cs="仿宋_GB2312"/>
          <w:bCs/>
          <w:color w:val="000000"/>
          <w:sz w:val="32"/>
          <w:szCs w:val="32"/>
          <w:lang w:eastAsia="zh-CN"/>
        </w:rPr>
        <w:t>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人大事务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代表工作</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3.64</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460</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预算数的主要原因是</w:t>
      </w:r>
      <w:r>
        <w:rPr>
          <w:rStyle w:val="14"/>
          <w:rFonts w:hint="eastAsia" w:ascii="仿宋_GB2312" w:hAnsi="仿宋_GB2312" w:eastAsia="仿宋_GB2312" w:cs="仿宋_GB2312"/>
          <w:b w:val="0"/>
          <w:bCs/>
          <w:color w:val="000000"/>
          <w:sz w:val="32"/>
          <w:szCs w:val="32"/>
          <w:lang w:eastAsia="zh-CN"/>
        </w:rPr>
        <w:t>人大代表工作、活动、会议增加</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3.一般公共服务</w:t>
      </w:r>
      <w:r>
        <w:rPr>
          <w:rStyle w:val="14"/>
          <w:rFonts w:hint="eastAsia" w:ascii="仿宋_GB2312" w:hAnsi="仿宋_GB2312" w:eastAsia="仿宋_GB2312" w:cs="仿宋_GB2312"/>
          <w:bCs/>
          <w:color w:val="000000"/>
          <w:sz w:val="32"/>
          <w:szCs w:val="32"/>
          <w:lang w:eastAsia="zh-CN"/>
        </w:rPr>
        <w:t>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政协事务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委员视察</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0.5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4.一般公共服务</w:t>
      </w:r>
      <w:r>
        <w:rPr>
          <w:rStyle w:val="14"/>
          <w:rFonts w:hint="eastAsia" w:ascii="仿宋_GB2312" w:hAnsi="仿宋_GB2312" w:eastAsia="仿宋_GB2312" w:cs="仿宋_GB2312"/>
          <w:bCs/>
          <w:color w:val="000000"/>
          <w:sz w:val="32"/>
          <w:szCs w:val="32"/>
          <w:lang w:eastAsia="zh-CN"/>
        </w:rPr>
        <w:t>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政府办公厅（室）及相关机构事务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行政运行</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259.42</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103</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w:t>
      </w:r>
      <w:r>
        <w:rPr>
          <w:rStyle w:val="14"/>
          <w:rFonts w:hint="eastAsia" w:ascii="仿宋_GB2312" w:hAnsi="仿宋_GB2312" w:eastAsia="仿宋_GB2312" w:cs="仿宋_GB2312"/>
          <w:b w:val="0"/>
          <w:bCs/>
          <w:color w:val="000000"/>
          <w:sz w:val="32"/>
          <w:szCs w:val="32"/>
          <w:lang w:eastAsia="zh-CN"/>
        </w:rPr>
        <w:t>是</w:t>
      </w:r>
      <w:r>
        <w:rPr>
          <w:rFonts w:hint="eastAsia" w:ascii="仿宋_GB2312" w:hAnsi="仿宋_GB2312" w:eastAsia="仿宋_GB2312" w:cs="仿宋_GB2312"/>
          <w:sz w:val="30"/>
          <w:szCs w:val="30"/>
        </w:rPr>
        <w:t>人员增加及工资调资</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5.一般公共服务</w:t>
      </w:r>
      <w:r>
        <w:rPr>
          <w:rStyle w:val="14"/>
          <w:rFonts w:hint="eastAsia" w:ascii="仿宋_GB2312" w:hAnsi="仿宋_GB2312" w:eastAsia="仿宋_GB2312" w:cs="仿宋_GB2312"/>
          <w:bCs/>
          <w:color w:val="000000"/>
          <w:sz w:val="32"/>
          <w:szCs w:val="32"/>
          <w:lang w:eastAsia="zh-CN"/>
        </w:rPr>
        <w:t>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政府办公厅（室）及相关机构事务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其他政府办公厅（室）及相关机构事务</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69.15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130</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预算数的主要原因是</w:t>
      </w:r>
      <w:r>
        <w:rPr>
          <w:rFonts w:hint="eastAsia" w:ascii="仿宋_GB2312" w:hAnsi="仿宋_GB2312" w:eastAsia="仿宋_GB2312" w:cs="仿宋_GB2312"/>
          <w:sz w:val="30"/>
          <w:szCs w:val="30"/>
        </w:rPr>
        <w:t>决算相关科目改变，预算科目调整</w:t>
      </w:r>
      <w:r>
        <w:rPr>
          <w:rFonts w:hint="eastAsia" w:ascii="仿宋_GB2312" w:hAnsi="仿宋_GB2312" w:eastAsia="仿宋_GB2312" w:cs="仿宋_GB2312"/>
          <w:sz w:val="30"/>
          <w:szCs w:val="30"/>
          <w:lang w:eastAsia="zh-CN"/>
        </w:rPr>
        <w:t>，</w:t>
      </w:r>
      <w:r>
        <w:rPr>
          <w:rStyle w:val="14"/>
          <w:rFonts w:hint="eastAsia" w:ascii="仿宋_GB2312" w:hAnsi="仿宋_GB2312" w:eastAsia="仿宋_GB2312" w:cs="仿宋_GB2312"/>
          <w:b w:val="0"/>
          <w:bCs/>
          <w:color w:val="000000"/>
          <w:sz w:val="32"/>
          <w:szCs w:val="32"/>
          <w:lang w:eastAsia="zh-CN"/>
        </w:rPr>
        <w:t>维护、劳务等费用增加</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6.一般公共服务</w:t>
      </w:r>
      <w:r>
        <w:rPr>
          <w:rStyle w:val="14"/>
          <w:rFonts w:hint="eastAsia" w:ascii="仿宋_GB2312" w:hAnsi="仿宋_GB2312" w:eastAsia="仿宋_GB2312" w:cs="仿宋_GB2312"/>
          <w:bCs/>
          <w:color w:val="000000"/>
          <w:sz w:val="32"/>
          <w:szCs w:val="32"/>
          <w:lang w:eastAsia="zh-CN"/>
        </w:rPr>
        <w:t>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纪检监察事务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其他纪检监察事务</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10.55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264</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预算数的主要原因是</w:t>
      </w:r>
      <w:r>
        <w:rPr>
          <w:rFonts w:hint="eastAsia" w:ascii="仿宋_GB2312" w:hAnsi="仿宋_GB2312" w:eastAsia="仿宋_GB2312" w:cs="仿宋_GB2312"/>
          <w:sz w:val="30"/>
          <w:szCs w:val="30"/>
        </w:rPr>
        <w:t>决算相关科目改变，预算科目调整</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7</w:t>
      </w:r>
      <w:r>
        <w:rPr>
          <w:rStyle w:val="14"/>
          <w:rFonts w:hint="eastAsia" w:ascii="仿宋_GB2312" w:hAnsi="仿宋_GB2312" w:eastAsia="仿宋_GB2312" w:cs="仿宋_GB2312"/>
          <w:bCs/>
          <w:color w:val="000000"/>
          <w:sz w:val="32"/>
          <w:szCs w:val="32"/>
        </w:rPr>
        <w:t>.一般公共服务</w:t>
      </w:r>
      <w:r>
        <w:rPr>
          <w:rStyle w:val="14"/>
          <w:rFonts w:hint="eastAsia" w:ascii="仿宋_GB2312" w:hAnsi="仿宋_GB2312" w:eastAsia="仿宋_GB2312" w:cs="仿宋_GB2312"/>
          <w:bCs/>
          <w:color w:val="000000"/>
          <w:sz w:val="32"/>
          <w:szCs w:val="32"/>
          <w:lang w:eastAsia="zh-CN"/>
        </w:rPr>
        <w:t>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党委办公厅（室）及相关机构事务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行政运行</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26.03</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80</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小于</w:t>
      </w:r>
      <w:r>
        <w:rPr>
          <w:rStyle w:val="14"/>
          <w:rFonts w:hint="eastAsia" w:ascii="仿宋_GB2312" w:hAnsi="仿宋_GB2312" w:eastAsia="仿宋_GB2312" w:cs="仿宋_GB2312"/>
          <w:b w:val="0"/>
          <w:bCs/>
          <w:color w:val="000000"/>
          <w:sz w:val="32"/>
          <w:szCs w:val="32"/>
        </w:rPr>
        <w:t>预算数的主要原因是</w:t>
      </w:r>
      <w:r>
        <w:rPr>
          <w:rFonts w:hint="eastAsia" w:ascii="仿宋_GB2312" w:hAnsi="仿宋_GB2312" w:eastAsia="仿宋_GB2312" w:cs="仿宋_GB2312"/>
          <w:sz w:val="30"/>
          <w:szCs w:val="30"/>
          <w:lang w:eastAsia="zh-CN"/>
        </w:rPr>
        <w:t>办公、接待等费用减少</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8</w:t>
      </w:r>
      <w:r>
        <w:rPr>
          <w:rStyle w:val="14"/>
          <w:rFonts w:hint="eastAsia" w:ascii="仿宋_GB2312" w:hAnsi="仿宋_GB2312" w:eastAsia="仿宋_GB2312" w:cs="仿宋_GB2312"/>
          <w:bCs/>
          <w:color w:val="000000"/>
          <w:sz w:val="32"/>
          <w:szCs w:val="32"/>
        </w:rPr>
        <w:t>.一般公共服务</w:t>
      </w:r>
      <w:r>
        <w:rPr>
          <w:rStyle w:val="14"/>
          <w:rFonts w:hint="eastAsia" w:ascii="仿宋_GB2312" w:hAnsi="仿宋_GB2312" w:eastAsia="仿宋_GB2312" w:cs="仿宋_GB2312"/>
          <w:bCs/>
          <w:color w:val="000000"/>
          <w:sz w:val="32"/>
          <w:szCs w:val="32"/>
          <w:lang w:eastAsia="zh-CN"/>
        </w:rPr>
        <w:t>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党委办公厅（室）及相关机构事务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其他党委办公厅（室）及相关机构事务</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9</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国防支出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国防动员</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兵役征集</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10</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文化体育与传媒支出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文化</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群众文化</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41.7</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102</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预算数的主要原因是</w:t>
      </w:r>
      <w:r>
        <w:rPr>
          <w:rFonts w:hint="eastAsia" w:ascii="仿宋_GB2312" w:hAnsi="仿宋_GB2312" w:eastAsia="仿宋_GB2312" w:cs="仿宋_GB2312"/>
          <w:sz w:val="30"/>
          <w:szCs w:val="30"/>
          <w:lang w:eastAsia="zh-CN"/>
        </w:rPr>
        <w:t>电费、邮电费、维护等费用增加</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11</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文化体育与传媒支出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新闻出版广播影视</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广播</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18.59</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91</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小于</w:t>
      </w:r>
      <w:r>
        <w:rPr>
          <w:rStyle w:val="14"/>
          <w:rFonts w:hint="eastAsia" w:ascii="仿宋_GB2312" w:hAnsi="仿宋_GB2312" w:eastAsia="仿宋_GB2312" w:cs="仿宋_GB2312"/>
          <w:b w:val="0"/>
          <w:bCs/>
          <w:color w:val="000000"/>
          <w:sz w:val="32"/>
          <w:szCs w:val="32"/>
        </w:rPr>
        <w:t>预算数的主要原因是</w:t>
      </w:r>
      <w:r>
        <w:rPr>
          <w:rFonts w:hint="eastAsia" w:ascii="仿宋_GB2312" w:hAnsi="仿宋_GB2312" w:eastAsia="仿宋_GB2312" w:cs="仿宋_GB2312"/>
          <w:sz w:val="30"/>
          <w:szCs w:val="30"/>
          <w:lang w:eastAsia="zh-CN"/>
        </w:rPr>
        <w:t>办公、接待等费用减少</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Cs/>
          <w:color w:val="000000"/>
          <w:sz w:val="32"/>
          <w:szCs w:val="32"/>
          <w:lang w:val="en-US" w:eastAsia="zh-CN"/>
        </w:rPr>
        <w:t>12</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人力资源和社会保障管理事务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综合业务管理</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17.74</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90</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小于</w:t>
      </w:r>
      <w:r>
        <w:rPr>
          <w:rStyle w:val="14"/>
          <w:rFonts w:hint="eastAsia" w:ascii="仿宋_GB2312" w:hAnsi="仿宋_GB2312" w:eastAsia="仿宋_GB2312" w:cs="仿宋_GB2312"/>
          <w:b w:val="0"/>
          <w:bCs/>
          <w:color w:val="000000"/>
          <w:sz w:val="32"/>
          <w:szCs w:val="32"/>
        </w:rPr>
        <w:t>预算数的主要原因是</w:t>
      </w:r>
      <w:r>
        <w:rPr>
          <w:rFonts w:hint="eastAsia" w:ascii="仿宋_GB2312" w:hAnsi="仿宋_GB2312" w:eastAsia="仿宋_GB2312" w:cs="仿宋_GB2312"/>
          <w:sz w:val="30"/>
          <w:szCs w:val="30"/>
          <w:lang w:eastAsia="zh-CN"/>
        </w:rPr>
        <w:t>办公、接待等费用减少</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Cs/>
          <w:color w:val="000000"/>
          <w:sz w:val="32"/>
          <w:szCs w:val="32"/>
          <w:lang w:val="en-US" w:eastAsia="zh-CN"/>
        </w:rPr>
        <w:t>13</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民政管理事务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老龄事务</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0.3</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Cs/>
          <w:color w:val="000000"/>
          <w:sz w:val="32"/>
          <w:szCs w:val="32"/>
          <w:lang w:val="en-US" w:eastAsia="zh-CN"/>
        </w:rPr>
        <w:t>14</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民政管理事务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基层政权和社区建设</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20</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15</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行政事业单位离退休</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机关事业单位基本养老保险缴费支出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65.7</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98</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小于</w:t>
      </w:r>
      <w:r>
        <w:rPr>
          <w:rStyle w:val="14"/>
          <w:rFonts w:hint="eastAsia" w:ascii="仿宋_GB2312" w:hAnsi="仿宋_GB2312" w:eastAsia="仿宋_GB2312" w:cs="仿宋_GB2312"/>
          <w:b w:val="0"/>
          <w:bCs/>
          <w:color w:val="000000"/>
          <w:sz w:val="32"/>
          <w:szCs w:val="32"/>
        </w:rPr>
        <w:t>预算数的主要原因是</w:t>
      </w:r>
      <w:r>
        <w:rPr>
          <w:rStyle w:val="14"/>
          <w:rFonts w:hint="eastAsia" w:ascii="仿宋_GB2312" w:hAnsi="仿宋_GB2312" w:eastAsia="仿宋_GB2312" w:cs="仿宋_GB2312"/>
          <w:b w:val="0"/>
          <w:bCs/>
          <w:color w:val="000000"/>
          <w:sz w:val="32"/>
          <w:szCs w:val="32"/>
          <w:lang w:eastAsia="zh-CN"/>
        </w:rPr>
        <w:t>少数</w:t>
      </w:r>
      <w:r>
        <w:rPr>
          <w:rFonts w:hint="eastAsia" w:ascii="仿宋_GB2312" w:hAnsi="仿宋_GB2312" w:eastAsia="仿宋_GB2312" w:cs="仿宋_GB2312"/>
          <w:sz w:val="30"/>
          <w:szCs w:val="30"/>
          <w:lang w:eastAsia="zh-CN"/>
        </w:rPr>
        <w:t>职工退休</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16</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行政事业单位离退休</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其他行政事业单位离退休支出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0.67</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330</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预算数的主要原因是</w:t>
      </w:r>
      <w:r>
        <w:rPr>
          <w:rFonts w:hint="eastAsia" w:ascii="仿宋_GB2312" w:hAnsi="仿宋_GB2312" w:eastAsia="仿宋_GB2312" w:cs="仿宋_GB2312"/>
          <w:sz w:val="30"/>
          <w:szCs w:val="30"/>
          <w:lang w:eastAsia="zh-CN"/>
        </w:rPr>
        <w:t>退休职工增加</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17</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抚恤</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其他优抚支出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10.71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117</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预算数的主要原因是</w:t>
      </w:r>
      <w:r>
        <w:rPr>
          <w:rFonts w:hint="eastAsia" w:ascii="仿宋_GB2312" w:hAnsi="仿宋_GB2312" w:eastAsia="仿宋_GB2312" w:cs="仿宋_GB2312"/>
          <w:sz w:val="30"/>
          <w:szCs w:val="30"/>
          <w:lang w:eastAsia="zh-CN"/>
        </w:rPr>
        <w:t>死亡抚恤标准上调</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18</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特困人员救助供养</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农村特困人员救助供养支出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66.86</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104</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预算数的主要原因是</w:t>
      </w:r>
      <w:r>
        <w:rPr>
          <w:rStyle w:val="14"/>
          <w:rFonts w:hint="eastAsia" w:ascii="仿宋_GB2312" w:hAnsi="仿宋_GB2312" w:eastAsia="仿宋_GB2312" w:cs="仿宋_GB2312"/>
          <w:b w:val="0"/>
          <w:bCs w:val="0"/>
          <w:color w:val="000000"/>
          <w:sz w:val="32"/>
          <w:szCs w:val="32"/>
          <w:lang w:eastAsia="zh-CN"/>
        </w:rPr>
        <w:t>农村特困人员增加</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19</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其他社会保障和就业支出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其他社会保障和就业支出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46.5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20</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医疗卫生与计划生育支出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行政事业单位医疗</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行政单位医疗</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19.71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99</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小于</w:t>
      </w:r>
      <w:r>
        <w:rPr>
          <w:rStyle w:val="14"/>
          <w:rFonts w:hint="eastAsia" w:ascii="仿宋_GB2312" w:hAnsi="仿宋_GB2312" w:eastAsia="仿宋_GB2312" w:cs="仿宋_GB2312"/>
          <w:b w:val="0"/>
          <w:bCs/>
          <w:color w:val="000000"/>
          <w:sz w:val="32"/>
          <w:szCs w:val="32"/>
        </w:rPr>
        <w:t>预算数的主要原因是</w:t>
      </w:r>
      <w:r>
        <w:rPr>
          <w:rStyle w:val="14"/>
          <w:rFonts w:hint="eastAsia" w:ascii="仿宋_GB2312" w:hAnsi="仿宋_GB2312" w:eastAsia="仿宋_GB2312" w:cs="仿宋_GB2312"/>
          <w:b w:val="0"/>
          <w:bCs/>
          <w:color w:val="000000"/>
          <w:sz w:val="32"/>
          <w:szCs w:val="32"/>
          <w:lang w:eastAsia="zh-CN"/>
        </w:rPr>
        <w:t>少数</w:t>
      </w:r>
      <w:r>
        <w:rPr>
          <w:rFonts w:hint="eastAsia" w:ascii="仿宋_GB2312" w:hAnsi="仿宋_GB2312" w:eastAsia="仿宋_GB2312" w:cs="仿宋_GB2312"/>
          <w:sz w:val="30"/>
          <w:szCs w:val="30"/>
          <w:lang w:eastAsia="zh-CN"/>
        </w:rPr>
        <w:t>职工退休</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21</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医疗卫生与计划生育支出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财政对基本医疗保险基金的补助</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财政对其他基本医疗保险基金的补助</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8.29</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104</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预算数的主要原因是</w:t>
      </w:r>
      <w:r>
        <w:rPr>
          <w:rStyle w:val="14"/>
          <w:rFonts w:hint="eastAsia" w:ascii="仿宋_GB2312" w:hAnsi="仿宋_GB2312" w:eastAsia="仿宋_GB2312" w:cs="仿宋_GB2312"/>
          <w:b w:val="0"/>
          <w:bCs/>
          <w:color w:val="000000"/>
          <w:sz w:val="32"/>
          <w:szCs w:val="32"/>
          <w:lang w:eastAsia="zh-CN"/>
        </w:rPr>
        <w:t>保险缴费标准调整</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22</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城乡社区支出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城乡社区环境卫生</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城乡社区环境卫生</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85.23</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157</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预算数的主要原因是</w:t>
      </w:r>
      <w:r>
        <w:rPr>
          <w:rStyle w:val="14"/>
          <w:rFonts w:hint="eastAsia" w:ascii="仿宋_GB2312" w:hAnsi="仿宋_GB2312" w:eastAsia="仿宋_GB2312" w:cs="仿宋_GB2312"/>
          <w:b w:val="0"/>
          <w:bCs/>
          <w:color w:val="000000"/>
          <w:sz w:val="32"/>
          <w:szCs w:val="32"/>
          <w:lang w:eastAsia="zh-CN"/>
        </w:rPr>
        <w:t>加大了环境卫生整治投入</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23</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农林水支出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农业</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事业运行</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73.2</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92</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小于</w:t>
      </w:r>
      <w:r>
        <w:rPr>
          <w:rStyle w:val="14"/>
          <w:rFonts w:hint="eastAsia" w:ascii="仿宋_GB2312" w:hAnsi="仿宋_GB2312" w:eastAsia="仿宋_GB2312" w:cs="仿宋_GB2312"/>
          <w:b w:val="0"/>
          <w:bCs/>
          <w:color w:val="000000"/>
          <w:sz w:val="32"/>
          <w:szCs w:val="32"/>
        </w:rPr>
        <w:t>预算数的主要原因是</w:t>
      </w:r>
      <w:r>
        <w:rPr>
          <w:rStyle w:val="14"/>
          <w:rFonts w:hint="eastAsia" w:ascii="仿宋_GB2312" w:hAnsi="仿宋_GB2312" w:eastAsia="仿宋_GB2312" w:cs="仿宋_GB2312"/>
          <w:b w:val="0"/>
          <w:bCs/>
          <w:color w:val="000000"/>
          <w:sz w:val="32"/>
          <w:szCs w:val="32"/>
          <w:lang w:eastAsia="zh-CN"/>
        </w:rPr>
        <w:t>办公、接待等费用减少</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24</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农林水支出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林业</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林业事业机构</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22.19</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157</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预算数的主要原因是</w:t>
      </w:r>
      <w:r>
        <w:rPr>
          <w:rStyle w:val="14"/>
          <w:rFonts w:hint="eastAsia" w:ascii="仿宋_GB2312" w:hAnsi="仿宋_GB2312" w:eastAsia="仿宋_GB2312" w:cs="仿宋_GB2312"/>
          <w:b w:val="0"/>
          <w:bCs/>
          <w:color w:val="000000"/>
          <w:sz w:val="32"/>
          <w:szCs w:val="32"/>
          <w:lang w:eastAsia="zh-CN"/>
        </w:rPr>
        <w:t>人员调整，办公、差旅、交通等费用增加</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25</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农林水支出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水利</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农田水利</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158.25</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脱贫攻坚项目建设，追加预算</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26</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农林水支出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扶贫</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农村基础设施建设</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10</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脱贫攻坚项目建设，追加预算</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27</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农林水支出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农村综合改革</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对村级一事一议的补助</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75.25</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脱贫攻坚项目建设，预算追加</w:t>
      </w:r>
      <w:r>
        <w:rPr>
          <w:rStyle w:val="14"/>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Cs/>
          <w:color w:val="000000"/>
          <w:sz w:val="32"/>
          <w:szCs w:val="32"/>
          <w:lang w:val="en-US" w:eastAsia="zh-CN"/>
        </w:rPr>
        <w:t>28</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农林水支出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农村综合改革</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对村民委员会和村党支部的补助</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235.82</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完成预算</w:t>
      </w:r>
      <w:r>
        <w:rPr>
          <w:rStyle w:val="14"/>
          <w:rFonts w:hint="eastAsia" w:ascii="仿宋_GB2312" w:hAnsi="仿宋_GB2312" w:eastAsia="仿宋_GB2312" w:cs="仿宋_GB2312"/>
          <w:b w:val="0"/>
          <w:bCs/>
          <w:color w:val="000000"/>
          <w:sz w:val="32"/>
          <w:szCs w:val="32"/>
          <w:lang w:val="en-US" w:eastAsia="zh-CN"/>
        </w:rPr>
        <w:t>110%，</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大于</w:t>
      </w:r>
      <w:r>
        <w:rPr>
          <w:rStyle w:val="14"/>
          <w:rFonts w:hint="eastAsia" w:ascii="仿宋_GB2312" w:hAnsi="仿宋_GB2312" w:eastAsia="仿宋_GB2312" w:cs="仿宋_GB2312"/>
          <w:b w:val="0"/>
          <w:bCs/>
          <w:color w:val="000000"/>
          <w:sz w:val="32"/>
          <w:szCs w:val="32"/>
        </w:rPr>
        <w:t>预算数的主要原因是</w:t>
      </w:r>
      <w:r>
        <w:rPr>
          <w:rStyle w:val="14"/>
          <w:rFonts w:hint="eastAsia" w:ascii="仿宋_GB2312" w:hAnsi="仿宋_GB2312" w:eastAsia="仿宋_GB2312" w:cs="仿宋_GB2312"/>
          <w:b w:val="0"/>
          <w:bCs/>
          <w:color w:val="000000"/>
          <w:sz w:val="32"/>
          <w:szCs w:val="32"/>
          <w:lang w:eastAsia="zh-CN"/>
        </w:rPr>
        <w:t>加大了村基础设施建设的投入。</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lang w:val="en-US" w:eastAsia="zh-CN"/>
        </w:rPr>
      </w:pPr>
      <w:r>
        <w:rPr>
          <w:rStyle w:val="14"/>
          <w:rFonts w:hint="eastAsia" w:ascii="仿宋_GB2312" w:hAnsi="仿宋_GB2312" w:eastAsia="仿宋_GB2312" w:cs="仿宋_GB2312"/>
          <w:bCs/>
          <w:color w:val="000000"/>
          <w:sz w:val="32"/>
          <w:szCs w:val="32"/>
          <w:lang w:val="en-US" w:eastAsia="zh-CN"/>
        </w:rPr>
        <w:t>29</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住房保障支出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住房改革支出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住房公积金</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39.42</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完成预算</w:t>
      </w:r>
      <w:r>
        <w:rPr>
          <w:rStyle w:val="14"/>
          <w:rFonts w:hint="eastAsia" w:ascii="仿宋_GB2312" w:hAnsi="仿宋_GB2312" w:eastAsia="仿宋_GB2312" w:cs="仿宋_GB2312"/>
          <w:b w:val="0"/>
          <w:bCs/>
          <w:color w:val="000000"/>
          <w:sz w:val="32"/>
          <w:szCs w:val="32"/>
          <w:lang w:val="en-US" w:eastAsia="zh-CN"/>
        </w:rPr>
        <w:t>98%，</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小于</w:t>
      </w:r>
      <w:r>
        <w:rPr>
          <w:rStyle w:val="14"/>
          <w:rFonts w:hint="eastAsia" w:ascii="仿宋_GB2312" w:hAnsi="仿宋_GB2312" w:eastAsia="仿宋_GB2312" w:cs="仿宋_GB2312"/>
          <w:b w:val="0"/>
          <w:bCs/>
          <w:color w:val="000000"/>
          <w:sz w:val="32"/>
          <w:szCs w:val="32"/>
        </w:rPr>
        <w:t>预算数的主要原因是</w:t>
      </w:r>
      <w:r>
        <w:rPr>
          <w:rStyle w:val="14"/>
          <w:rFonts w:hint="eastAsia" w:ascii="仿宋_GB2312" w:hAnsi="仿宋_GB2312" w:eastAsia="仿宋_GB2312" w:cs="仿宋_GB2312"/>
          <w:b w:val="0"/>
          <w:bCs/>
          <w:color w:val="000000"/>
          <w:sz w:val="32"/>
          <w:szCs w:val="32"/>
          <w:lang w:eastAsia="zh-CN"/>
        </w:rPr>
        <w:t>少数职工退休。</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sz w:val="30"/>
          <w:szCs w:val="30"/>
          <w:lang w:eastAsia="zh-CN"/>
        </w:rPr>
      </w:pPr>
      <w:r>
        <w:rPr>
          <w:rStyle w:val="14"/>
          <w:rFonts w:hint="eastAsia" w:ascii="仿宋_GB2312" w:hAnsi="仿宋_GB2312" w:eastAsia="仿宋_GB2312" w:cs="仿宋_GB2312"/>
          <w:bCs/>
          <w:color w:val="000000"/>
          <w:sz w:val="32"/>
          <w:szCs w:val="32"/>
          <w:lang w:val="en-US" w:eastAsia="zh-CN"/>
        </w:rPr>
        <w:t>30</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一般公共服务支出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财政事务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其他财政事务支出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，与预算有出入。主要原因是</w:t>
      </w:r>
      <w:r>
        <w:rPr>
          <w:rFonts w:hint="eastAsia" w:ascii="仿宋_GB2312" w:hAnsi="仿宋_GB2312" w:eastAsia="仿宋_GB2312" w:cs="仿宋_GB2312"/>
          <w:sz w:val="30"/>
          <w:szCs w:val="30"/>
        </w:rPr>
        <w:t>决算相关科目改变，预算科目调整</w:t>
      </w:r>
      <w:r>
        <w:rPr>
          <w:rFonts w:hint="eastAsia" w:ascii="仿宋_GB2312" w:hAnsi="仿宋_GB2312" w:eastAsia="仿宋_GB2312" w:cs="仿宋_GB2312"/>
          <w:sz w:val="30"/>
          <w:szCs w:val="30"/>
          <w:lang w:eastAsia="zh-CN"/>
        </w:rPr>
        <w:t>。</w:t>
      </w:r>
    </w:p>
    <w:p>
      <w:pPr>
        <w:pageBreakBefore w:val="0"/>
        <w:kinsoku/>
        <w:wordWrap/>
        <w:overflowPunct/>
        <w:topLinePunct w:val="0"/>
        <w:bidi w:val="0"/>
        <w:spacing w:line="520" w:lineRule="exact"/>
        <w:ind w:firstLine="642" w:firstLineChars="200"/>
        <w:rPr>
          <w:rStyle w:val="14"/>
          <w:rFonts w:hint="eastAsia" w:ascii="仿宋_GB2312" w:hAnsi="仿宋_GB2312" w:eastAsia="仿宋_GB2312" w:cs="仿宋_GB2312"/>
          <w:b w:val="0"/>
          <w:bCs/>
          <w:color w:val="000000"/>
          <w:sz w:val="32"/>
          <w:szCs w:val="32"/>
          <w:lang w:eastAsia="zh-CN"/>
        </w:rPr>
      </w:pPr>
      <w:r>
        <w:rPr>
          <w:rStyle w:val="14"/>
          <w:rFonts w:hint="eastAsia" w:ascii="仿宋_GB2312" w:hAnsi="仿宋_GB2312" w:eastAsia="仿宋_GB2312" w:cs="仿宋_GB2312"/>
          <w:bCs/>
          <w:color w:val="000000"/>
          <w:sz w:val="32"/>
          <w:szCs w:val="32"/>
          <w:lang w:val="en-US" w:eastAsia="zh-CN"/>
        </w:rPr>
        <w:t>31</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医疗卫生与计划生育支出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计划生育事务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其他计划生育事务支出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0.07</w:t>
      </w:r>
      <w:r>
        <w:rPr>
          <w:rStyle w:val="14"/>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lang w:eastAsia="zh-CN"/>
        </w:rPr>
        <w:t>，与预算有出入。主要原因是</w:t>
      </w:r>
      <w:r>
        <w:rPr>
          <w:rFonts w:hint="eastAsia" w:ascii="仿宋_GB2312" w:hAnsi="仿宋_GB2312" w:eastAsia="仿宋_GB2312" w:cs="仿宋_GB2312"/>
          <w:sz w:val="30"/>
          <w:szCs w:val="30"/>
        </w:rPr>
        <w:t>决算相关科目改变，预算科目调整</w:t>
      </w:r>
      <w:r>
        <w:rPr>
          <w:rFonts w:hint="eastAsia" w:ascii="仿宋_GB2312" w:hAnsi="仿宋_GB2312" w:eastAsia="仿宋_GB2312" w:cs="仿宋_GB2312"/>
          <w:sz w:val="30"/>
          <w:szCs w:val="30"/>
          <w:lang w:eastAsia="zh-CN"/>
        </w:rPr>
        <w:t>。</w:t>
      </w:r>
    </w:p>
    <w:p>
      <w:pPr>
        <w:pageBreakBefore w:val="0"/>
        <w:tabs>
          <w:tab w:val="right" w:pos="8306"/>
        </w:tabs>
        <w:kinsoku/>
        <w:wordWrap/>
        <w:overflowPunct/>
        <w:topLinePunct w:val="0"/>
        <w:bidi w:val="0"/>
        <w:spacing w:line="520" w:lineRule="exact"/>
        <w:ind w:firstLine="640"/>
        <w:outlineLvl w:val="1"/>
        <w:rPr>
          <w:rStyle w:val="18"/>
          <w:rFonts w:hint="eastAsia" w:ascii="仿宋_GB2312" w:hAnsi="仿宋_GB2312" w:eastAsia="仿宋_GB2312" w:cs="仿宋_GB2312"/>
        </w:rPr>
      </w:pPr>
      <w:bookmarkStart w:id="40" w:name="_Toc15377214"/>
      <w:bookmarkStart w:id="41" w:name="_Toc15396608"/>
      <w:r>
        <w:rPr>
          <w:rFonts w:hint="eastAsia" w:ascii="黑体" w:hAnsi="黑体" w:eastAsia="黑体" w:cs="黑体"/>
          <w:b w:val="0"/>
          <w:bCs w:val="0"/>
          <w:color w:val="000000"/>
          <w:sz w:val="32"/>
          <w:szCs w:val="32"/>
        </w:rPr>
        <w:t>六、一</w:t>
      </w:r>
      <w:r>
        <w:rPr>
          <w:rStyle w:val="18"/>
          <w:rFonts w:hint="eastAsia" w:ascii="黑体" w:hAnsi="黑体" w:eastAsia="黑体" w:cs="黑体"/>
          <w:b w:val="0"/>
          <w:bCs w:val="0"/>
        </w:rPr>
        <w:t>般公共预算财政拨款基本支出决算情况说明</w:t>
      </w:r>
      <w:bookmarkEnd w:id="40"/>
      <w:bookmarkEnd w:id="41"/>
      <w:r>
        <w:rPr>
          <w:rStyle w:val="18"/>
          <w:rFonts w:hint="eastAsia" w:ascii="仿宋_GB2312" w:hAnsi="仿宋_GB2312" w:eastAsia="仿宋_GB2312" w:cs="仿宋_GB2312"/>
          <w:b w:val="0"/>
        </w:rPr>
        <w:tab/>
      </w:r>
    </w:p>
    <w:p>
      <w:pPr>
        <w:pageBreakBefore w:val="0"/>
        <w:kinsoku/>
        <w:wordWrap/>
        <w:overflowPunct/>
        <w:topLinePunct w:val="0"/>
        <w:bidi w:val="0"/>
        <w:spacing w:line="52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2018年一般公共预算财政拨款基本支出</w:t>
      </w:r>
      <w:r>
        <w:rPr>
          <w:rFonts w:hint="eastAsia" w:ascii="仿宋_GB2312" w:hAnsi="仿宋_GB2312" w:eastAsia="仿宋_GB2312" w:cs="仿宋_GB2312"/>
          <w:color w:val="000000"/>
          <w:sz w:val="32"/>
          <w:szCs w:val="32"/>
          <w:lang w:val="en-US" w:eastAsia="zh-CN"/>
        </w:rPr>
        <w:t>912.24</w:t>
      </w:r>
      <w:r>
        <w:rPr>
          <w:rFonts w:hint="eastAsia" w:ascii="仿宋_GB2312" w:hAnsi="仿宋_GB2312" w:eastAsia="仿宋_GB2312" w:cs="仿宋_GB2312"/>
          <w:color w:val="000000"/>
          <w:sz w:val="32"/>
          <w:szCs w:val="32"/>
        </w:rPr>
        <w:t>万元，其中：</w:t>
      </w:r>
    </w:p>
    <w:p>
      <w:pPr>
        <w:pageBreakBefore w:val="0"/>
        <w:kinsoku/>
        <w:wordWrap/>
        <w:overflowPunct/>
        <w:topLinePunct w:val="0"/>
        <w:bidi w:val="0"/>
        <w:spacing w:line="52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851.78</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公用经费</w:t>
      </w:r>
      <w:r>
        <w:rPr>
          <w:rFonts w:hint="eastAsia" w:ascii="仿宋_GB2312" w:hAnsi="仿宋_GB2312" w:eastAsia="仿宋_GB2312" w:cs="仿宋_GB2312"/>
          <w:color w:val="000000"/>
          <w:sz w:val="32"/>
          <w:szCs w:val="32"/>
          <w:lang w:val="en-US" w:eastAsia="zh-CN"/>
        </w:rPr>
        <w:t>60.46</w:t>
      </w:r>
      <w:r>
        <w:rPr>
          <w:rFonts w:hint="eastAsia" w:ascii="仿宋_GB2312" w:hAnsi="仿宋_GB2312" w:eastAsia="仿宋_GB2312" w:cs="仿宋_GB2312"/>
          <w:color w:val="000000"/>
          <w:sz w:val="32"/>
          <w:szCs w:val="32"/>
        </w:rPr>
        <w:t>万元，主要包括：办公费、印刷费、手续费、水费、电费、邮电费、差旅费、维修（护）费、会议费、培训费、公务接待费、劳务费、工会经费、其他交通费、其他商品和服务支出、办公设备购置、信息网络及软件购置更新、其他资本性支出等。</w:t>
      </w:r>
    </w:p>
    <w:p>
      <w:pPr>
        <w:pageBreakBefore w:val="0"/>
        <w:kinsoku/>
        <w:wordWrap/>
        <w:overflowPunct/>
        <w:topLinePunct w:val="0"/>
        <w:bidi w:val="0"/>
        <w:spacing w:line="520" w:lineRule="exact"/>
        <w:ind w:firstLine="640"/>
        <w:outlineLvl w:val="1"/>
        <w:rPr>
          <w:rStyle w:val="18"/>
          <w:rFonts w:hint="eastAsia" w:ascii="黑体" w:hAnsi="黑体" w:eastAsia="黑体" w:cs="黑体"/>
          <w:b w:val="0"/>
          <w:bCs w:val="0"/>
        </w:rPr>
      </w:pPr>
      <w:bookmarkStart w:id="42" w:name="_Toc15396609"/>
      <w:bookmarkStart w:id="43" w:name="_Toc15377215"/>
      <w:r>
        <w:rPr>
          <w:rFonts w:hint="eastAsia" w:ascii="黑体" w:hAnsi="黑体" w:eastAsia="黑体" w:cs="黑体"/>
          <w:b w:val="0"/>
          <w:bCs w:val="0"/>
          <w:color w:val="000000"/>
          <w:sz w:val="32"/>
          <w:szCs w:val="32"/>
        </w:rPr>
        <w:t>七、</w:t>
      </w:r>
      <w:r>
        <w:rPr>
          <w:rStyle w:val="18"/>
          <w:rFonts w:hint="eastAsia" w:ascii="黑体" w:hAnsi="黑体" w:eastAsia="黑体" w:cs="黑体"/>
          <w:b w:val="0"/>
          <w:bCs w:val="0"/>
        </w:rPr>
        <w:t>“三公”经费财政拨款支出决算情况说明</w:t>
      </w:r>
      <w:bookmarkEnd w:id="42"/>
      <w:bookmarkEnd w:id="43"/>
    </w:p>
    <w:p>
      <w:pPr>
        <w:pageBreakBefore w:val="0"/>
        <w:kinsoku/>
        <w:wordWrap/>
        <w:overflowPunct/>
        <w:topLinePunct w:val="0"/>
        <w:bidi w:val="0"/>
        <w:spacing w:line="520" w:lineRule="exact"/>
        <w:ind w:firstLine="640"/>
        <w:outlineLvl w:val="2"/>
        <w:rPr>
          <w:rFonts w:hint="eastAsia" w:ascii="仿宋_GB2312" w:hAnsi="仿宋_GB2312" w:eastAsia="仿宋_GB2312" w:cs="仿宋_GB2312"/>
          <w:b/>
          <w:color w:val="000000"/>
          <w:sz w:val="32"/>
          <w:szCs w:val="32"/>
        </w:rPr>
      </w:pPr>
      <w:bookmarkStart w:id="44" w:name="_Toc15377216"/>
      <w:r>
        <w:rPr>
          <w:rFonts w:hint="eastAsia" w:ascii="仿宋_GB2312" w:hAnsi="仿宋_GB2312" w:eastAsia="仿宋_GB2312" w:cs="仿宋_GB2312"/>
          <w:b/>
          <w:color w:val="000000"/>
          <w:sz w:val="32"/>
          <w:szCs w:val="32"/>
        </w:rPr>
        <w:t>（一）“三公”经费财政拨款支出决算总体情况说明</w:t>
      </w:r>
      <w:bookmarkEnd w:id="44"/>
    </w:p>
    <w:p>
      <w:pPr>
        <w:pageBreakBefore w:val="0"/>
        <w:kinsoku/>
        <w:wordWrap/>
        <w:overflowPunct/>
        <w:topLinePunct w:val="0"/>
        <w:bidi w:val="0"/>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2018年“三公”经费财政拨款支出决算为</w:t>
      </w:r>
      <w:r>
        <w:rPr>
          <w:rFonts w:hint="eastAsia" w:ascii="仿宋_GB2312" w:hAnsi="仿宋_GB2312" w:eastAsia="仿宋_GB2312" w:cs="仿宋_GB2312"/>
          <w:color w:val="000000"/>
          <w:sz w:val="32"/>
          <w:szCs w:val="32"/>
          <w:lang w:val="en-US" w:eastAsia="zh-CN"/>
        </w:rPr>
        <w:t>11.87</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92</w:t>
      </w:r>
      <w:r>
        <w:rPr>
          <w:rFonts w:hint="eastAsia" w:ascii="仿宋_GB2312" w:hAnsi="仿宋_GB2312" w:eastAsia="仿宋_GB2312" w:cs="仿宋_GB2312"/>
          <w:color w:val="000000"/>
          <w:sz w:val="32"/>
          <w:szCs w:val="32"/>
        </w:rPr>
        <w:t>%，决算数小于预算数的主要原因是</w:t>
      </w:r>
      <w:r>
        <w:rPr>
          <w:rFonts w:hint="eastAsia" w:ascii="仿宋_GB2312" w:hAnsi="仿宋_GB2312" w:eastAsia="仿宋_GB2312" w:cs="仿宋_GB2312"/>
          <w:color w:val="000000"/>
          <w:sz w:val="32"/>
          <w:szCs w:val="32"/>
          <w:lang w:eastAsia="zh-CN"/>
        </w:rPr>
        <w:t>压宿公务接待费</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20" w:lineRule="exact"/>
        <w:ind w:firstLine="640"/>
        <w:outlineLvl w:val="2"/>
        <w:rPr>
          <w:rFonts w:hint="eastAsia" w:ascii="仿宋_GB2312" w:hAnsi="仿宋_GB2312" w:eastAsia="仿宋_GB2312" w:cs="仿宋_GB2312"/>
          <w:b/>
          <w:color w:val="000000"/>
          <w:sz w:val="32"/>
          <w:szCs w:val="32"/>
        </w:rPr>
      </w:pPr>
      <w:bookmarkStart w:id="45" w:name="_Toc15377217"/>
      <w:r>
        <w:rPr>
          <w:rFonts w:hint="eastAsia" w:ascii="仿宋_GB2312" w:hAnsi="仿宋_GB2312" w:eastAsia="仿宋_GB2312" w:cs="仿宋_GB2312"/>
          <w:b/>
          <w:color w:val="000000"/>
          <w:sz w:val="32"/>
          <w:szCs w:val="32"/>
        </w:rPr>
        <w:t>（二）“三公”经费财政拨款支出决算具体情况说明</w:t>
      </w:r>
      <w:bookmarkEnd w:id="45"/>
    </w:p>
    <w:p>
      <w:pPr>
        <w:pageBreakBefore w:val="0"/>
        <w:kinsoku/>
        <w:wordWrap/>
        <w:overflowPunct/>
        <w:topLinePunct w:val="0"/>
        <w:bidi w:val="0"/>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2018年“三公”经费财政拨款支出决算中，因公出国（境）费支出决算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11.87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%。具体情况如下：</w:t>
      </w:r>
    </w:p>
    <w:p>
      <w:pPr>
        <w:pageBreakBefore w:val="0"/>
        <w:kinsoku/>
        <w:wordWrap/>
        <w:overflowPunct/>
        <w:topLinePunct w:val="0"/>
        <w:bidi w:val="0"/>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（图8：“三公”经费财政拨款支出结构）（饼状图）</w:t>
      </w:r>
    </w:p>
    <w:p>
      <w:pPr>
        <w:pageBreakBefore w:val="0"/>
        <w:kinsoku/>
        <w:wordWrap/>
        <w:overflowPunct/>
        <w:topLinePunct w:val="0"/>
        <w:bidi w:val="0"/>
        <w:spacing w:line="52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b/>
          <w:color w:val="000000"/>
          <w:sz w:val="32"/>
          <w:szCs w:val="32"/>
          <w:lang w:val="en-US" w:eastAsia="zh-CN"/>
        </w:rPr>
        <w:t>0</w:t>
      </w:r>
      <w:r>
        <w:rPr>
          <w:rFonts w:hint="eastAsia" w:ascii="仿宋_GB2312" w:hAnsi="仿宋_GB2312" w:eastAsia="仿宋_GB2312" w:cs="仿宋_GB2312"/>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0</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全年安排因公出国（境）团组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次，出国（境）</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人。因公出国（境）支出决算比2017年增加/减少</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万元，增长/下降</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2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b/>
          <w:color w:val="000000"/>
          <w:sz w:val="32"/>
          <w:szCs w:val="32"/>
          <w:lang w:val="en-US" w:eastAsia="zh-CN"/>
        </w:rPr>
        <w:t>0</w:t>
      </w:r>
      <w:r>
        <w:rPr>
          <w:rFonts w:hint="eastAsia" w:ascii="仿宋_GB2312" w:hAnsi="仿宋_GB2312" w:eastAsia="仿宋_GB2312" w:cs="仿宋_GB2312"/>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0</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公务用车购置及运行维护费支出决算比2017年增加/减少</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万元，增长/下降</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b/>
          <w:color w:val="000000"/>
          <w:sz w:val="32"/>
          <w:szCs w:val="32"/>
          <w:lang w:val="en-US" w:eastAsia="zh-CN"/>
        </w:rPr>
        <w:t>11.87</w:t>
      </w:r>
      <w:r>
        <w:rPr>
          <w:rFonts w:hint="eastAsia" w:ascii="仿宋_GB2312" w:hAnsi="仿宋_GB2312" w:eastAsia="仿宋_GB2312" w:cs="仿宋_GB2312"/>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92</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公务接待费支出决算比2017年减少</w:t>
      </w:r>
      <w:r>
        <w:rPr>
          <w:rFonts w:hint="eastAsia" w:ascii="仿宋_GB2312" w:hAnsi="仿宋_GB2312" w:eastAsia="仿宋_GB2312" w:cs="仿宋_GB2312"/>
          <w:color w:val="000000"/>
          <w:sz w:val="32"/>
          <w:szCs w:val="32"/>
          <w:lang w:val="en-US" w:eastAsia="zh-CN"/>
        </w:rPr>
        <w:t>1.57</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11.7</w:t>
      </w:r>
      <w:r>
        <w:rPr>
          <w:rFonts w:hint="eastAsia" w:ascii="仿宋_GB2312" w:hAnsi="仿宋_GB2312" w:eastAsia="仿宋_GB2312" w:cs="仿宋_GB2312"/>
          <w:color w:val="000000"/>
          <w:sz w:val="32"/>
          <w:szCs w:val="32"/>
        </w:rPr>
        <w:t>%。主要</w:t>
      </w:r>
      <w:r>
        <w:rPr>
          <w:rFonts w:hint="eastAsia" w:ascii="仿宋_GB2312" w:hAnsi="仿宋_GB2312" w:eastAsia="仿宋_GB2312" w:cs="仿宋_GB2312"/>
          <w:color w:val="000000"/>
          <w:sz w:val="32"/>
          <w:szCs w:val="32"/>
          <w:lang w:eastAsia="zh-CN"/>
        </w:rPr>
        <w:t>是压宿公务接待费</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主要用于执行公务、开展业务活动开支用餐费。国内公务接待</w:t>
      </w:r>
      <w:r>
        <w:rPr>
          <w:rFonts w:hint="eastAsia" w:ascii="仿宋_GB2312" w:hAnsi="仿宋_GB2312" w:eastAsia="仿宋_GB2312" w:cs="仿宋_GB2312"/>
          <w:color w:val="000000"/>
          <w:sz w:val="32"/>
          <w:szCs w:val="32"/>
          <w:lang w:val="en-US" w:eastAsia="zh-CN"/>
        </w:rPr>
        <w:t>430</w:t>
      </w:r>
      <w:r>
        <w:rPr>
          <w:rFonts w:hint="eastAsia" w:ascii="仿宋_GB2312" w:hAnsi="仿宋_GB2312" w:eastAsia="仿宋_GB2312" w:cs="仿宋_GB2312"/>
          <w:color w:val="000000"/>
          <w:sz w:val="32"/>
          <w:szCs w:val="32"/>
        </w:rPr>
        <w:t>批次</w:t>
      </w:r>
      <w:r>
        <w:rPr>
          <w:rFonts w:hint="eastAsia" w:ascii="仿宋_GB2312" w:hAnsi="仿宋_GB2312" w:eastAsia="仿宋_GB2312" w:cs="仿宋_GB2312"/>
          <w:color w:val="000000"/>
          <w:sz w:val="32"/>
          <w:szCs w:val="32"/>
          <w:lang w:eastAsia="zh-CN"/>
        </w:rPr>
        <w:t>（其中</w:t>
      </w:r>
      <w:r>
        <w:rPr>
          <w:rFonts w:hint="eastAsia" w:ascii="仿宋_GB2312" w:hAnsi="仿宋_GB2312" w:eastAsia="仿宋_GB2312" w:cs="仿宋_GB2312"/>
          <w:sz w:val="32"/>
          <w:szCs w:val="32"/>
        </w:rPr>
        <w:t>接待市级相关日常检查工作，共10批，110人次，共计支出0.5</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万元，接待县级相关工作检查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工作，共350批，共计1800人次，共计支出9.5万元。接待重庆、成都等招商引资及乡村旅游共计70批，计320人次，共计1.8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ageBreakBefore w:val="0"/>
        <w:kinsoku/>
        <w:wordWrap/>
        <w:overflowPunct/>
        <w:topLinePunct w:val="0"/>
        <w:bidi w:val="0"/>
        <w:spacing w:line="520" w:lineRule="exact"/>
        <w:ind w:firstLine="640"/>
        <w:outlineLvl w:val="1"/>
        <w:rPr>
          <w:rStyle w:val="18"/>
          <w:rFonts w:hint="eastAsia" w:ascii="黑体" w:hAnsi="黑体" w:eastAsia="黑体" w:cs="黑体"/>
        </w:rPr>
      </w:pPr>
      <w:bookmarkStart w:id="46" w:name="_Toc15396610"/>
      <w:bookmarkStart w:id="47" w:name="_Toc15377218"/>
      <w:r>
        <w:rPr>
          <w:rFonts w:hint="eastAsia" w:ascii="黑体" w:hAnsi="黑体" w:eastAsia="黑体" w:cs="黑体"/>
          <w:color w:val="000000"/>
          <w:sz w:val="32"/>
          <w:szCs w:val="32"/>
        </w:rPr>
        <w:t>八、</w:t>
      </w:r>
      <w:r>
        <w:rPr>
          <w:rStyle w:val="18"/>
          <w:rFonts w:hint="eastAsia" w:ascii="黑体" w:hAnsi="黑体" w:eastAsia="黑体" w:cs="黑体"/>
          <w:b w:val="0"/>
        </w:rPr>
        <w:t>政府性基金预算支出决算情况说明</w:t>
      </w:r>
      <w:bookmarkEnd w:id="46"/>
      <w:bookmarkEnd w:id="47"/>
    </w:p>
    <w:p>
      <w:pPr>
        <w:pageBreakBefore w:val="0"/>
        <w:kinsoku/>
        <w:wordWrap/>
        <w:overflowPunct/>
        <w:topLinePunct w:val="0"/>
        <w:bidi w:val="0"/>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2018年政府性基金预算拨款支出</w:t>
      </w:r>
      <w:r>
        <w:rPr>
          <w:rFonts w:hint="eastAsia" w:ascii="仿宋_GB2312" w:hAnsi="仿宋_GB2312" w:eastAsia="仿宋_GB2312" w:cs="仿宋_GB2312"/>
          <w:color w:val="000000"/>
          <w:sz w:val="32"/>
          <w:szCs w:val="32"/>
          <w:lang w:val="en-US" w:eastAsia="zh-CN"/>
        </w:rPr>
        <w:t>14.06</w:t>
      </w:r>
      <w:r>
        <w:rPr>
          <w:rFonts w:hint="eastAsia" w:ascii="仿宋_GB2312" w:hAnsi="仿宋_GB2312" w:eastAsia="仿宋_GB2312" w:cs="仿宋_GB2312"/>
          <w:color w:val="000000"/>
          <w:sz w:val="32"/>
          <w:szCs w:val="32"/>
        </w:rPr>
        <w:t>万元。</w:t>
      </w:r>
    </w:p>
    <w:p>
      <w:pPr>
        <w:pageBreakBefore w:val="0"/>
        <w:numPr>
          <w:ilvl w:val="0"/>
          <w:numId w:val="2"/>
        </w:numPr>
        <w:kinsoku/>
        <w:wordWrap/>
        <w:overflowPunct/>
        <w:topLinePunct w:val="0"/>
        <w:bidi w:val="0"/>
        <w:spacing w:line="520" w:lineRule="exact"/>
        <w:ind w:firstLine="640"/>
        <w:outlineLvl w:val="1"/>
        <w:rPr>
          <w:rStyle w:val="18"/>
          <w:rFonts w:hint="eastAsia" w:ascii="黑体" w:hAnsi="黑体" w:eastAsia="黑体" w:cs="黑体"/>
          <w:b w:val="0"/>
        </w:rPr>
      </w:pPr>
      <w:bookmarkStart w:id="48" w:name="_Toc15396611"/>
      <w:bookmarkStart w:id="49" w:name="_Toc15377219"/>
      <w:r>
        <w:rPr>
          <w:rStyle w:val="18"/>
          <w:rFonts w:hint="eastAsia" w:ascii="黑体" w:hAnsi="黑体" w:eastAsia="黑体" w:cs="黑体"/>
          <w:b w:val="0"/>
        </w:rPr>
        <w:t>国有资本经营预算支出决算情况说明</w:t>
      </w:r>
      <w:bookmarkEnd w:id="48"/>
      <w:bookmarkEnd w:id="49"/>
    </w:p>
    <w:p>
      <w:pPr>
        <w:pageBreakBefore w:val="0"/>
        <w:kinsoku/>
        <w:wordWrap/>
        <w:overflowPunct/>
        <w:topLinePunct w:val="0"/>
        <w:bidi w:val="0"/>
        <w:spacing w:line="52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2018年国有资本经营预算拨款支出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pStyle w:val="26"/>
        <w:pageBreakBefore w:val="0"/>
        <w:numPr>
          <w:ilvl w:val="0"/>
          <w:numId w:val="3"/>
        </w:numPr>
        <w:kinsoku/>
        <w:wordWrap/>
        <w:overflowPunct/>
        <w:topLinePunct w:val="0"/>
        <w:bidi w:val="0"/>
        <w:spacing w:line="520" w:lineRule="exact"/>
        <w:ind w:firstLineChars="0"/>
        <w:rPr>
          <w:rStyle w:val="18"/>
          <w:rFonts w:hint="eastAsia" w:ascii="黑体" w:hAnsi="黑体" w:eastAsia="黑体" w:cs="黑体"/>
          <w:b w:val="0"/>
        </w:rPr>
      </w:pPr>
      <w:r>
        <w:rPr>
          <w:rStyle w:val="18"/>
          <w:rFonts w:hint="eastAsia" w:ascii="黑体" w:hAnsi="黑体" w:eastAsia="黑体" w:cs="黑体"/>
          <w:b w:val="0"/>
        </w:rPr>
        <w:t>预算绩效情况说明</w:t>
      </w:r>
    </w:p>
    <w:p>
      <w:pPr>
        <w:pageBreakBefore w:val="0"/>
        <w:numPr>
          <w:ilvl w:val="0"/>
          <w:numId w:val="4"/>
        </w:numPr>
        <w:kinsoku/>
        <w:wordWrap/>
        <w:overflowPunct/>
        <w:topLinePunct w:val="0"/>
        <w:bidi w:val="0"/>
        <w:spacing w:line="52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预算绩效管理工作开展情况。</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我镇</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eastAsia="zh-CN"/>
        </w:rPr>
        <w:t>人大代表活动经费、政协片区委员活动经费、环境整治经费、大调解经费、社会治安综合治理经费、纪检工作经费、党建工作经费、征兵经费、老年人活动经费、垃圾中转站运行费、服务群众专项经费、安全生产经费</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个项目开展了绩效目标完成情况梳理填报。</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我镇</w:t>
      </w:r>
      <w:r>
        <w:rPr>
          <w:rFonts w:hint="eastAsia" w:ascii="仿宋_GB2312" w:hAnsi="仿宋_GB2312" w:eastAsia="仿宋_GB2312" w:cs="仿宋_GB2312"/>
          <w:sz w:val="32"/>
          <w:szCs w:val="32"/>
        </w:rPr>
        <w:t>按要求对2018年部门整体支出开展绩效自评，从评价情况来看</w:t>
      </w:r>
      <w:r>
        <w:rPr>
          <w:rFonts w:hint="eastAsia" w:ascii="仿宋_GB2312" w:hAnsi="仿宋_GB2312" w:eastAsia="仿宋_GB2312" w:cs="仿宋_GB2312"/>
          <w:color w:val="auto"/>
          <w:sz w:val="32"/>
          <w:szCs w:val="32"/>
          <w:lang w:eastAsia="zh-CN"/>
        </w:rPr>
        <w:t>2018年，我镇积极履职，强化管理，较好的完成了年度工作目标。通过加强预算收支管理，不断建立健全内部管理制度，梳理内部管理流程，整体支出管理水平得到提升。</w:t>
      </w:r>
      <w:r>
        <w:rPr>
          <w:rFonts w:hint="eastAsia" w:ascii="仿宋_GB2312" w:hAnsi="仿宋_GB2312" w:eastAsia="仿宋_GB2312" w:cs="仿宋_GB2312"/>
          <w:color w:val="auto"/>
          <w:sz w:val="32"/>
          <w:szCs w:val="32"/>
        </w:rPr>
        <w:t>从整体情况来看，我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严格按照年初预算进行部门整体支出。在支出过程中，能严格遵守各项规章制度，</w:t>
      </w:r>
      <w:r>
        <w:rPr>
          <w:rFonts w:hint="eastAsia" w:ascii="仿宋_GB2312" w:hAnsi="仿宋_GB2312" w:eastAsia="仿宋_GB2312" w:cs="仿宋_GB2312"/>
          <w:color w:val="auto"/>
          <w:sz w:val="32"/>
          <w:szCs w:val="32"/>
          <w:lang w:eastAsia="zh-CN"/>
        </w:rPr>
        <w:t>“三公”经费</w:t>
      </w:r>
      <w:r>
        <w:rPr>
          <w:rFonts w:hint="eastAsia" w:ascii="仿宋_GB2312" w:hAnsi="仿宋_GB2312" w:eastAsia="仿宋_GB2312" w:cs="仿宋_GB2312"/>
          <w:color w:val="auto"/>
          <w:sz w:val="32"/>
          <w:szCs w:val="32"/>
        </w:rPr>
        <w:t>从严管理，认真执行联审会签审核制度。所有项目都详细制定了方案，严格按方案组织实施，并加强了监督。</w:t>
      </w:r>
      <w:r>
        <w:rPr>
          <w:rFonts w:hint="eastAsia" w:ascii="仿宋_GB2312" w:hAnsi="仿宋_GB2312" w:eastAsia="仿宋_GB2312" w:cs="仿宋_GB2312"/>
          <w:sz w:val="32"/>
          <w:szCs w:val="32"/>
        </w:rPr>
        <w:t>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个项目绩效评价，从评价情况来看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紧紧围绕年度目标任务，勇于创新、扎实工作，全面完成了各项工作任务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在专项经费支出上，我们能专款专用，按项目实施计划的进度情况进行资金拨付，无截留、无挪用等现象。</w:t>
      </w:r>
    </w:p>
    <w:p>
      <w:pPr>
        <w:pageBreakBefore w:val="0"/>
        <w:numPr>
          <w:ilvl w:val="0"/>
          <w:numId w:val="4"/>
        </w:numPr>
        <w:kinsoku/>
        <w:wordWrap/>
        <w:overflowPunct/>
        <w:topLinePunct w:val="0"/>
        <w:bidi w:val="0"/>
        <w:spacing w:line="52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项目绩效目标完成情况。</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我镇</w:t>
      </w:r>
      <w:r>
        <w:rPr>
          <w:rFonts w:hint="eastAsia" w:ascii="仿宋_GB2312" w:hAnsi="仿宋_GB2312" w:eastAsia="仿宋_GB2312" w:cs="仿宋_GB2312"/>
          <w:sz w:val="32"/>
          <w:szCs w:val="32"/>
        </w:rPr>
        <w:t>在2018年度部门决算中反映“</w:t>
      </w:r>
      <w:r>
        <w:rPr>
          <w:rFonts w:hint="eastAsia" w:ascii="仿宋_GB2312" w:hAnsi="仿宋_GB2312" w:eastAsia="仿宋_GB2312" w:cs="仿宋_GB2312"/>
          <w:sz w:val="32"/>
          <w:szCs w:val="32"/>
          <w:lang w:eastAsia="zh-CN"/>
        </w:rPr>
        <w:t>政协片区委员活动经费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“党建工作经费”“征兵经费”“老年人活动经费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服务群众专项经费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pageBreakBefore w:val="0"/>
        <w:numPr>
          <w:ilvl w:val="0"/>
          <w:numId w:val="5"/>
        </w:numPr>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政协片区委员活动经费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保证了</w:t>
      </w:r>
      <w:r>
        <w:rPr>
          <w:rFonts w:hint="eastAsia" w:ascii="仿宋_GB2312" w:hAnsi="仿宋_GB2312" w:eastAsia="仿宋_GB2312" w:cs="仿宋_GB2312"/>
          <w:sz w:val="32"/>
          <w:szCs w:val="32"/>
        </w:rPr>
        <w:t>片区政协委员会议顺利召开，促进</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工作效率提高，保障</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片区政协委员各项活动顺利进行。发现的主要问题：</w:t>
      </w:r>
      <w:r>
        <w:rPr>
          <w:rFonts w:hint="eastAsia" w:ascii="仿宋_GB2312" w:hAnsi="仿宋_GB2312" w:eastAsia="仿宋_GB2312" w:cs="仿宋_GB2312"/>
          <w:color w:val="000000"/>
          <w:sz w:val="32"/>
          <w:szCs w:val="32"/>
          <w:lang w:eastAsia="zh-CN"/>
        </w:rPr>
        <w:t>政协片区委员</w:t>
      </w:r>
      <w:r>
        <w:rPr>
          <w:rFonts w:hint="eastAsia" w:ascii="仿宋_GB2312" w:hAnsi="仿宋_GB2312" w:eastAsia="仿宋_GB2312" w:cs="仿宋_GB2312"/>
          <w:color w:val="000000"/>
          <w:sz w:val="32"/>
          <w:szCs w:val="32"/>
        </w:rPr>
        <w:t>工作经费的使用率有待提高，财政绩效管理工作有待提高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color w:val="000000"/>
          <w:sz w:val="32"/>
          <w:szCs w:val="32"/>
        </w:rPr>
        <w:t>合理制定资金使用计划，确保工作经费支出的效益和效率</w:t>
      </w:r>
      <w:r>
        <w:rPr>
          <w:rFonts w:hint="eastAsia" w:ascii="仿宋_GB2312" w:hAnsi="仿宋_GB2312" w:eastAsia="仿宋_GB2312" w:cs="仿宋_GB2312"/>
          <w:color w:val="000000"/>
          <w:sz w:val="32"/>
          <w:szCs w:val="32"/>
          <w:lang w:eastAsia="zh-CN"/>
        </w:rPr>
        <w:t>。</w:t>
      </w:r>
    </w:p>
    <w:p>
      <w:pPr>
        <w:pageBreakBefore w:val="0"/>
        <w:numPr>
          <w:ilvl w:val="0"/>
          <w:numId w:val="5"/>
        </w:numPr>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党建工作经费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党建工作顺利进行，</w:t>
      </w:r>
      <w:r>
        <w:rPr>
          <w:rFonts w:hint="eastAsia" w:ascii="仿宋_GB2312" w:hAnsi="仿宋_GB2312" w:eastAsia="仿宋_GB2312" w:cs="仿宋_GB2312"/>
          <w:sz w:val="32"/>
          <w:szCs w:val="32"/>
          <w:lang w:eastAsia="zh-CN"/>
        </w:rPr>
        <w:t>促进了</w:t>
      </w:r>
      <w:r>
        <w:rPr>
          <w:rFonts w:hint="eastAsia" w:ascii="仿宋_GB2312" w:hAnsi="仿宋_GB2312" w:eastAsia="仿宋_GB2312" w:cs="仿宋_GB2312"/>
          <w:sz w:val="32"/>
          <w:szCs w:val="32"/>
        </w:rPr>
        <w:t>建立健全党的组织机构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做好党员发展</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，提高了党内</w:t>
      </w:r>
      <w:r>
        <w:rPr>
          <w:rFonts w:hint="eastAsia" w:ascii="仿宋_GB2312" w:hAnsi="仿宋_GB2312" w:eastAsia="仿宋_GB2312" w:cs="仿宋_GB2312"/>
          <w:sz w:val="32"/>
          <w:szCs w:val="32"/>
        </w:rPr>
        <w:t>组织生活，落实</w:t>
      </w:r>
      <w:r>
        <w:rPr>
          <w:rFonts w:hint="eastAsia" w:ascii="仿宋_GB2312" w:hAnsi="仿宋_GB2312" w:eastAsia="仿宋_GB2312" w:cs="仿宋_GB2312"/>
          <w:sz w:val="32"/>
          <w:szCs w:val="32"/>
          <w:lang w:eastAsia="zh-CN"/>
        </w:rPr>
        <w:t>好了</w:t>
      </w:r>
      <w:r>
        <w:rPr>
          <w:rFonts w:hint="eastAsia" w:ascii="仿宋_GB2312" w:hAnsi="仿宋_GB2312" w:eastAsia="仿宋_GB2312" w:cs="仿宋_GB2312"/>
          <w:sz w:val="32"/>
          <w:szCs w:val="32"/>
        </w:rPr>
        <w:t>民主生活制度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为进一步做好党建工作，还须更多深入基层，全面掌握基层党建工作情况。下一步改进措施：创新工作方法，不断增强基层调研工作的针对性和实用性，更加深入基层了解情况，解决基层实际困难，切实增强服务基层的工</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和水平。</w:t>
      </w:r>
    </w:p>
    <w:p>
      <w:pPr>
        <w:pageBreakBefore w:val="0"/>
        <w:numPr>
          <w:ilvl w:val="0"/>
          <w:numId w:val="5"/>
        </w:numPr>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征兵经费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促进了我镇武装部门高质量</w:t>
      </w:r>
      <w:r>
        <w:rPr>
          <w:rFonts w:hint="eastAsia" w:ascii="仿宋_GB2312" w:hAnsi="仿宋_GB2312" w:eastAsia="仿宋_GB2312" w:cs="仿宋_GB2312"/>
          <w:sz w:val="32"/>
          <w:szCs w:val="32"/>
        </w:rPr>
        <w:t>量高标准严要求地完成夏季征兵</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任务，</w:t>
      </w:r>
      <w:r>
        <w:rPr>
          <w:rFonts w:hint="eastAsia" w:ascii="仿宋_GB2312" w:hAnsi="仿宋_GB2312" w:eastAsia="仿宋_GB2312" w:cs="仿宋_GB2312"/>
          <w:sz w:val="32"/>
          <w:szCs w:val="32"/>
          <w:lang w:eastAsia="zh-CN"/>
        </w:rPr>
        <w:t>保障了</w:t>
      </w:r>
      <w:r>
        <w:rPr>
          <w:rFonts w:hint="eastAsia" w:ascii="仿宋_GB2312" w:hAnsi="仿宋_GB2312" w:eastAsia="仿宋_GB2312" w:cs="仿宋_GB2312"/>
          <w:sz w:val="32"/>
          <w:szCs w:val="32"/>
        </w:rPr>
        <w:t>向部队输送身体健康、政治思想品佳优秀青年</w:t>
      </w:r>
      <w:r>
        <w:rPr>
          <w:rFonts w:hint="eastAsia" w:ascii="仿宋_GB2312" w:hAnsi="仿宋_GB2312" w:eastAsia="仿宋_GB2312" w:cs="仿宋_GB2312"/>
          <w:sz w:val="32"/>
          <w:szCs w:val="32"/>
          <w:lang w:eastAsia="zh-CN"/>
        </w:rPr>
        <w:t>入伍的工作</w:t>
      </w:r>
      <w:r>
        <w:rPr>
          <w:rFonts w:hint="eastAsia" w:ascii="仿宋_GB2312" w:hAnsi="仿宋_GB2312" w:eastAsia="仿宋_GB2312" w:cs="仿宋_GB2312"/>
          <w:sz w:val="32"/>
          <w:szCs w:val="32"/>
        </w:rPr>
        <w:t>。发现的主要问题：预算编制中，部分支出预算不够科学，造成后期执行比例较低。下一步改进措施：结合征兵工作特点，进一步科学合理编制预算，特别加强对具体支出科目支出规模的测算，优化支出结构</w:t>
      </w:r>
      <w:r>
        <w:rPr>
          <w:rFonts w:hint="eastAsia" w:ascii="仿宋_GB2312" w:hAnsi="仿宋_GB2312" w:eastAsia="仿宋_GB2312" w:cs="仿宋_GB2312"/>
          <w:sz w:val="32"/>
          <w:szCs w:val="32"/>
          <w:lang w:eastAsia="zh-CN"/>
        </w:rPr>
        <w:t>。</w:t>
      </w:r>
    </w:p>
    <w:p>
      <w:pPr>
        <w:pageBreakBefore w:val="0"/>
        <w:numPr>
          <w:ilvl w:val="0"/>
          <w:numId w:val="5"/>
        </w:numPr>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老年人活动经费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丰富了老人的业余文化生活，满足了老人精神文化需求，提升了老人服务</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资金使用效益不高</w:t>
      </w:r>
      <w:r>
        <w:rPr>
          <w:rFonts w:hint="eastAsia" w:ascii="仿宋_GB2312" w:hAnsi="仿宋_GB2312" w:eastAsia="仿宋_GB2312" w:cs="仿宋_GB2312"/>
          <w:sz w:val="32"/>
          <w:szCs w:val="32"/>
        </w:rPr>
        <w:t>，创造性开展工作不够。下一步改进措施：</w:t>
      </w:r>
      <w:r>
        <w:rPr>
          <w:rFonts w:hint="eastAsia" w:ascii="仿宋_GB2312" w:hAnsi="仿宋_GB2312" w:eastAsia="仿宋_GB2312" w:cs="仿宋_GB2312"/>
          <w:sz w:val="32"/>
          <w:szCs w:val="32"/>
          <w:lang w:eastAsia="zh-CN"/>
        </w:rPr>
        <w:t>提高工作标准，</w:t>
      </w:r>
      <w:r>
        <w:rPr>
          <w:rFonts w:hint="eastAsia" w:ascii="仿宋_GB2312" w:hAnsi="仿宋_GB2312" w:eastAsia="仿宋_GB2312" w:cs="仿宋_GB2312"/>
          <w:sz w:val="32"/>
          <w:szCs w:val="32"/>
        </w:rPr>
        <w:t>围绕老龄工作的特点，积极开展多种活动</w:t>
      </w:r>
      <w:r>
        <w:rPr>
          <w:rFonts w:hint="eastAsia" w:ascii="仿宋_GB2312" w:hAnsi="仿宋_GB2312" w:eastAsia="仿宋_GB2312" w:cs="仿宋_GB2312"/>
          <w:sz w:val="32"/>
          <w:szCs w:val="32"/>
          <w:lang w:eastAsia="zh-CN"/>
        </w:rPr>
        <w:t>。</w:t>
      </w:r>
    </w:p>
    <w:p>
      <w:pPr>
        <w:pageBreakBefore w:val="0"/>
        <w:numPr>
          <w:ilvl w:val="0"/>
          <w:numId w:val="5"/>
        </w:numPr>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服务群众专项经费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保证了基层党组织正常开展党建活动。为社区居民提供了各类优质服务，对服务群众项目相关设施更新，社区道路修缮，使社区群众受益得实惠。同时使社区综合服务能力得以提升。</w:t>
      </w:r>
      <w:r>
        <w:rPr>
          <w:rFonts w:hint="eastAsia" w:ascii="仿宋_GB2312" w:hAnsi="仿宋_GB2312" w:eastAsia="仿宋_GB2312" w:cs="仿宋_GB2312"/>
          <w:sz w:val="32"/>
          <w:szCs w:val="32"/>
        </w:rPr>
        <w:t>发现的主要问题：资金的投入、分配、使用、管理、监督等各个环节都存在着一些问题，使资金不能充分发挥应有的作用，影响了使用效益。下一步改进措施：加强乡镇资金分配的合理性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通过乡政府对各村急需的项目建设进行合理定位，明确各</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急需项目的重要性，达到资金能合理利用，妥善解决各</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的民生项目</w:t>
      </w:r>
      <w:r>
        <w:rPr>
          <w:rFonts w:hint="eastAsia" w:ascii="仿宋_GB2312" w:hAnsi="仿宋_GB2312" w:eastAsia="仿宋_GB2312" w:cs="仿宋_GB2312"/>
          <w:sz w:val="32"/>
          <w:szCs w:val="32"/>
          <w:lang w:eastAsia="zh-CN"/>
        </w:rPr>
        <w:t>。</w:t>
      </w:r>
    </w:p>
    <w:p>
      <w:pPr>
        <w:pageBreakBefore w:val="0"/>
        <w:numPr>
          <w:ilvl w:val="0"/>
          <w:numId w:val="0"/>
        </w:numPr>
        <w:kinsoku/>
        <w:wordWrap/>
        <w:overflowPunct/>
        <w:topLinePunct w:val="0"/>
        <w:bidi w:val="0"/>
        <w:spacing w:line="520" w:lineRule="exact"/>
        <w:rPr>
          <w:rFonts w:hint="eastAsia" w:ascii="仿宋_GB2312" w:hAnsi="仿宋_GB2312" w:eastAsia="仿宋_GB2312" w:cs="仿宋_GB2312"/>
          <w:sz w:val="32"/>
          <w:szCs w:val="32"/>
          <w:lang w:eastAsia="zh-CN"/>
        </w:rPr>
      </w:pPr>
    </w:p>
    <w:p>
      <w:pPr>
        <w:pageBreakBefore w:val="0"/>
        <w:numPr>
          <w:ilvl w:val="0"/>
          <w:numId w:val="0"/>
        </w:numPr>
        <w:kinsoku/>
        <w:wordWrap/>
        <w:overflowPunct/>
        <w:topLinePunct w:val="0"/>
        <w:bidi w:val="0"/>
        <w:spacing w:line="520" w:lineRule="exact"/>
        <w:rPr>
          <w:rFonts w:hint="eastAsia" w:ascii="仿宋_GB2312" w:hAnsi="仿宋_GB2312" w:eastAsia="仿宋_GB2312" w:cs="仿宋_GB2312"/>
          <w:sz w:val="32"/>
          <w:szCs w:val="32"/>
          <w:lang w:eastAsia="zh-CN"/>
        </w:rPr>
      </w:pPr>
    </w:p>
    <w:tbl>
      <w:tblPr>
        <w:tblStyle w:val="12"/>
        <w:tblpPr w:leftFromText="180" w:rightFromText="180" w:vertAnchor="text" w:horzAnchor="page" w:tblpX="995" w:tblpY="265"/>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pageBreakBefore w:val="0"/>
              <w:widowControl/>
              <w:kinsoku/>
              <w:wordWrap/>
              <w:overflowPunct/>
              <w:topLinePunct w:val="0"/>
              <w:bidi w:val="0"/>
              <w:spacing w:line="520" w:lineRule="exact"/>
              <w:ind w:left="3857" w:leftChars="1310" w:hanging="1106" w:hangingChars="395"/>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项目支出绩效目标完成情况表</w:t>
            </w:r>
            <w:r>
              <w:rPr>
                <w:rFonts w:hint="eastAsia" w:ascii="仿宋_GB2312" w:hAnsi="仿宋_GB2312" w:eastAsia="仿宋_GB2312" w:cs="仿宋_GB2312"/>
                <w:b/>
                <w:bCs/>
                <w:color w:val="000000"/>
                <w:kern w:val="0"/>
                <w:sz w:val="28"/>
                <w:szCs w:val="28"/>
              </w:rPr>
              <w:br w:type="textWrapping"/>
            </w:r>
            <w:r>
              <w:rPr>
                <w:rFonts w:hint="eastAsia" w:ascii="仿宋_GB2312" w:hAnsi="仿宋_GB2312" w:eastAsia="仿宋_GB2312" w:cs="仿宋_GB2312"/>
                <w:color w:val="000000"/>
                <w:kern w:val="0"/>
                <w:sz w:val="28"/>
                <w:szCs w:val="28"/>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政协片区委员活动经费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邻水县袁市镇人民政府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0.5万元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20" w:lineRule="exact"/>
              <w:jc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保证片区政协委员会议顺利召开，促进工作效率提高，保障片区政协委员各项活动顺利进行。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保证了</w:t>
            </w:r>
            <w:r>
              <w:rPr>
                <w:rFonts w:hint="eastAsia" w:ascii="仿宋_GB2312" w:hAnsi="仿宋_GB2312" w:eastAsia="仿宋_GB2312" w:cs="仿宋_GB2312"/>
                <w:color w:val="000000"/>
                <w:sz w:val="28"/>
                <w:szCs w:val="28"/>
              </w:rPr>
              <w:t>片区政协委员会议顺利召开，促进</w:t>
            </w:r>
            <w:r>
              <w:rPr>
                <w:rFonts w:hint="eastAsia" w:ascii="仿宋_GB2312" w:hAnsi="仿宋_GB2312" w:eastAsia="仿宋_GB2312" w:cs="仿宋_GB2312"/>
                <w:color w:val="000000"/>
                <w:sz w:val="28"/>
                <w:szCs w:val="28"/>
                <w:lang w:eastAsia="zh-CN"/>
              </w:rPr>
              <w:t>了</w:t>
            </w:r>
            <w:r>
              <w:rPr>
                <w:rFonts w:hint="eastAsia" w:ascii="仿宋_GB2312" w:hAnsi="仿宋_GB2312" w:eastAsia="仿宋_GB2312" w:cs="仿宋_GB2312"/>
                <w:color w:val="000000"/>
                <w:sz w:val="28"/>
                <w:szCs w:val="28"/>
              </w:rPr>
              <w:t>工作效率提高，保障</w:t>
            </w:r>
            <w:r>
              <w:rPr>
                <w:rFonts w:hint="eastAsia" w:ascii="仿宋_GB2312" w:hAnsi="仿宋_GB2312" w:eastAsia="仿宋_GB2312" w:cs="仿宋_GB2312"/>
                <w:color w:val="000000"/>
                <w:sz w:val="28"/>
                <w:szCs w:val="28"/>
                <w:lang w:eastAsia="zh-CN"/>
              </w:rPr>
              <w:t>了</w:t>
            </w:r>
            <w:r>
              <w:rPr>
                <w:rFonts w:hint="eastAsia" w:ascii="仿宋_GB2312" w:hAnsi="仿宋_GB2312" w:eastAsia="仿宋_GB2312" w:cs="仿宋_GB2312"/>
                <w:color w:val="000000"/>
                <w:sz w:val="28"/>
                <w:szCs w:val="28"/>
              </w:rPr>
              <w:t>片区政协委员各项活动顺利进行</w:t>
            </w:r>
            <w:r>
              <w:rPr>
                <w:rFonts w:hint="eastAsia" w:ascii="仿宋_GB2312" w:hAnsi="仿宋_GB2312" w:eastAsia="仿宋_GB2312" w:cs="仿宋_GB2312"/>
                <w:color w:val="000000"/>
                <w:sz w:val="28"/>
                <w:szCs w:val="2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片区政协委员会议顺利召开，各项活动顺利开展</w:t>
            </w:r>
            <w:r>
              <w:rPr>
                <w:rFonts w:hint="eastAsia" w:ascii="仿宋_GB2312" w:hAnsi="仿宋_GB2312" w:eastAsia="仿宋_GB2312" w:cs="仿宋_GB2312"/>
                <w:color w:val="000000"/>
                <w:sz w:val="28"/>
                <w:szCs w:val="28"/>
                <w:lang w:eastAsia="zh-CN"/>
              </w:rPr>
              <w:t>，组织开展政协委员活动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100%</w:t>
            </w:r>
            <w:r>
              <w:rPr>
                <w:rFonts w:hint="eastAsia" w:ascii="仿宋_GB2312" w:hAnsi="仿宋_GB2312" w:eastAsia="仿宋_GB2312" w:cs="仿宋_GB2312"/>
                <w:color w:val="000000"/>
                <w:sz w:val="28"/>
                <w:szCs w:val="28"/>
                <w:lang w:eastAsia="zh-CN"/>
              </w:rPr>
              <w:t>，开展4次以上活动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w:t>
            </w:r>
            <w:r>
              <w:rPr>
                <w:rFonts w:hint="eastAsia" w:ascii="仿宋_GB2312" w:hAnsi="仿宋_GB2312" w:eastAsia="仿宋_GB2312" w:cs="仿宋_GB2312"/>
                <w:color w:val="000000"/>
                <w:sz w:val="28"/>
                <w:szCs w:val="28"/>
                <w:lang w:eastAsia="zh-CN"/>
              </w:rPr>
              <w:t>，开展4次以上活动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政协委员活动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发挥政协委员监督职能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充分发挥了</w:t>
            </w:r>
            <w:r>
              <w:rPr>
                <w:rFonts w:hint="eastAsia" w:ascii="仿宋_GB2312" w:hAnsi="仿宋_GB2312" w:eastAsia="仿宋_GB2312" w:cs="仿宋_GB2312"/>
                <w:color w:val="000000"/>
                <w:sz w:val="28"/>
                <w:szCs w:val="28"/>
              </w:rPr>
              <w:t>政协委员监督职能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资金拨付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及时性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拨付及时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政协片区委员活动费用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代表行使职权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经费合理支出，提高工作人员的工作积极性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提高工作人员的工作积极性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kern w:val="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r>
    </w:tbl>
    <w:p>
      <w:pPr>
        <w:pageBreakBefore w:val="0"/>
        <w:kinsoku/>
        <w:wordWrap/>
        <w:overflowPunct/>
        <w:topLinePunct w:val="0"/>
        <w:bidi w:val="0"/>
        <w:spacing w:line="520" w:lineRule="exact"/>
        <w:rPr>
          <w:rFonts w:hint="eastAsia" w:ascii="仿宋_GB2312" w:hAnsi="仿宋_GB2312" w:eastAsia="仿宋_GB2312" w:cs="仿宋_GB2312"/>
        </w:rPr>
      </w:pPr>
    </w:p>
    <w:tbl>
      <w:tblPr>
        <w:tblStyle w:val="12"/>
        <w:tblpPr w:leftFromText="180" w:rightFromText="180" w:vertAnchor="text" w:horzAnchor="page" w:tblpX="995" w:tblpY="265"/>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pageBreakBefore w:val="0"/>
              <w:widowControl/>
              <w:kinsoku/>
              <w:wordWrap/>
              <w:overflowPunct/>
              <w:topLinePunct w:val="0"/>
              <w:bidi w:val="0"/>
              <w:spacing w:line="520" w:lineRule="exact"/>
              <w:ind w:left="3857" w:leftChars="1310" w:hanging="1106" w:hangingChars="395"/>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项目支出绩效目标完成情况表</w:t>
            </w:r>
            <w:r>
              <w:rPr>
                <w:rFonts w:hint="eastAsia" w:ascii="仿宋_GB2312" w:hAnsi="仿宋_GB2312" w:eastAsia="仿宋_GB2312" w:cs="仿宋_GB2312"/>
                <w:b/>
                <w:bCs/>
                <w:color w:val="000000"/>
                <w:kern w:val="0"/>
                <w:sz w:val="28"/>
                <w:szCs w:val="28"/>
              </w:rPr>
              <w:br w:type="textWrapping"/>
            </w:r>
            <w:r>
              <w:rPr>
                <w:rFonts w:hint="eastAsia" w:ascii="仿宋_GB2312" w:hAnsi="仿宋_GB2312" w:eastAsia="仿宋_GB2312" w:cs="仿宋_GB2312"/>
                <w:color w:val="000000"/>
                <w:kern w:val="0"/>
                <w:sz w:val="28"/>
                <w:szCs w:val="28"/>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邻水县袁市镇人民政府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20" w:lineRule="exact"/>
              <w:jc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保障党建工作顺利进行，建立健全党的组织机构，定期过好组织生活，落实民主生活制度，做好党员发展工作</w:t>
            </w:r>
            <w:r>
              <w:rPr>
                <w:rFonts w:hint="eastAsia" w:ascii="仿宋_GB2312" w:hAnsi="仿宋_GB2312" w:eastAsia="仿宋_GB2312" w:cs="仿宋_GB2312"/>
                <w:color w:val="000000"/>
                <w:sz w:val="28"/>
                <w:szCs w:val="28"/>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保障了党建工作顺利进行，促进了建立健全党的组织机构、做好党员发展等工作，提高了党内组织生活，落实好了民主生活制度。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在各基层党支部，高标准严要求开展“两学一做”学习教育，加强基层组织建设和党员队伍教育管理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镇14个村（居），各基层党支部，辖区内各党员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镇14个村（居），各基层党支部，辖区内各党员</w:t>
            </w:r>
            <w:r>
              <w:rPr>
                <w:rFonts w:hint="eastAsia" w:ascii="仿宋_GB2312" w:hAnsi="仿宋_GB2312" w:eastAsia="仿宋_GB2312" w:cs="仿宋_GB2312"/>
                <w:color w:val="000000"/>
                <w:sz w:val="28"/>
                <w:szCs w:val="28"/>
                <w:lang w:eastAsia="zh-CN"/>
              </w:rPr>
              <w:t>按要求完成了“两学一做”学习教育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严格按2019年度镇党委党建工作要点，目标计划开展工作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达到各级部门的要求，争创服务型政府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为进一步高质量高标准完成党建工作，还须更多深入基层，全面掌握基层党建工作情况。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按各级党委工作要求、镇年度工作计划，认真跟进时序进度，完成任务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2019年1-12月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按计划按进度完成工作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党建工作经费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积极开展老党员慰问，深入村组，积极开展文体活动等。让群众切实感受到党的政策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提升居民健康，提高生活水平，改善人口素质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居民的生活水平，人口素质有所提高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维护生态与经济的平衡发展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引导党员、团员、群众、公共单位共同投入城乡清洁工程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大部分居民提高了环保意识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发挥党组织作用，积极引导村民创业、理财等，增加群众收入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增加群众收入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居民对创业、理财方面的认识有所提高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发挥共产党员先进示范作用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减少环境污染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需进一步加强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加强为民服务体系建设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群众满意度达到95%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w:t>
            </w:r>
          </w:p>
        </w:tc>
      </w:tr>
    </w:tbl>
    <w:p>
      <w:pPr>
        <w:pageBreakBefore w:val="0"/>
        <w:kinsoku/>
        <w:wordWrap/>
        <w:overflowPunct/>
        <w:topLinePunct w:val="0"/>
        <w:bidi w:val="0"/>
        <w:spacing w:line="520" w:lineRule="exact"/>
        <w:rPr>
          <w:rFonts w:hint="eastAsia" w:ascii="仿宋_GB2312" w:hAnsi="仿宋_GB2312" w:eastAsia="仿宋_GB2312" w:cs="仿宋_GB2312"/>
          <w:sz w:val="32"/>
          <w:szCs w:val="32"/>
        </w:rPr>
      </w:pPr>
    </w:p>
    <w:p>
      <w:pPr>
        <w:pageBreakBefore w:val="0"/>
        <w:kinsoku/>
        <w:wordWrap/>
        <w:overflowPunct/>
        <w:topLinePunct w:val="0"/>
        <w:bidi w:val="0"/>
        <w:spacing w:line="520" w:lineRule="exact"/>
        <w:rPr>
          <w:rFonts w:hint="eastAsia" w:ascii="仿宋_GB2312" w:hAnsi="仿宋_GB2312" w:eastAsia="仿宋_GB2312" w:cs="仿宋_GB2312"/>
          <w:sz w:val="32"/>
          <w:szCs w:val="32"/>
        </w:rPr>
      </w:pPr>
    </w:p>
    <w:tbl>
      <w:tblPr>
        <w:tblStyle w:val="12"/>
        <w:tblpPr w:leftFromText="180" w:rightFromText="180" w:vertAnchor="text" w:horzAnchor="page" w:tblpX="995" w:tblpY="265"/>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pageBreakBefore w:val="0"/>
              <w:widowControl/>
              <w:kinsoku/>
              <w:wordWrap/>
              <w:overflowPunct/>
              <w:topLinePunct w:val="0"/>
              <w:bidi w:val="0"/>
              <w:spacing w:line="520" w:lineRule="exact"/>
              <w:ind w:left="4173" w:leftChars="1310" w:hanging="1422" w:hangingChars="395"/>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Cs/>
                <w:color w:val="000000"/>
                <w:kern w:val="0"/>
                <w:sz w:val="36"/>
                <w:szCs w:val="36"/>
              </w:rPr>
              <w:t>项目支出绩效目标完成情况表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征兵经费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邻水县袁市镇人民政府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20" w:lineRule="exact"/>
              <w:jc w:val="center"/>
              <w:rPr>
                <w:rFonts w:hint="eastAsia" w:ascii="仿宋_GB2312" w:hAns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保质保量高标准严要求地完成夏季征兵任务，向部队输送身体健康、政治思想品佳优秀的青年入伍。</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保质保量高标准严要求的完成了向部队输送身体健康、政治思想品佳优秀的青年入伍的征兵任务。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召开征兵工作会议</w:t>
            </w:r>
            <w:r>
              <w:rPr>
                <w:rFonts w:hint="eastAsia" w:ascii="仿宋_GB2312" w:hAnsi="仿宋_GB2312" w:eastAsia="仿宋_GB2312" w:cs="仿宋_GB2312"/>
                <w:color w:val="000000"/>
                <w:sz w:val="24"/>
                <w:lang w:eastAsia="zh-CN"/>
              </w:rPr>
              <w:t>；开展征兵宣传活动；对报名对象进行初查初审，保证新兵拟定对象的质量；拟定新兵对象送县城复查复审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2次</w:t>
            </w:r>
            <w:r>
              <w:rPr>
                <w:rFonts w:hint="eastAsia" w:ascii="仿宋_GB2312" w:hAnsi="仿宋_GB2312" w:eastAsia="仿宋_GB2312" w:cs="仿宋_GB2312"/>
                <w:color w:val="000000"/>
                <w:sz w:val="24"/>
                <w:lang w:eastAsia="zh-CN"/>
              </w:rPr>
              <w:t>会议，宣传资料，横幅数条；初查初审过程中产生的费用；车辆及交通运输费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召开相关会议两次以上，发放宣传资料，挂横幅数条；及时保障了我镇夏季征兵工作顺利进行。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保证征兵工作会议顺利召开，搞好宣传工作，组织初查初审，拟定新兵对象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保质保量高标准严要求的完成夏季征兵各项任务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严格把关，按要求完成了夏季征兵任务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严格按上级人武部门的时限要求，完成夏季征兵任务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及时，保质保量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及时拨付相关费用，确保我镇夏季征兵工作顺利完成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征兵工作经费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kern w:val="0"/>
                <w:sz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缓解社会就业压力，加强全民国防教育，增强军人家庭荣誉感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形成踊跃参军的良好社会氛围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我镇青少年对参军怀有饱满的热情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发挥共产党员先进示范作用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减少环境污染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需进一步加强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群众满意度达到95%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4"/>
              </w:rPr>
            </w:pPr>
          </w:p>
        </w:tc>
      </w:tr>
    </w:tbl>
    <w:p>
      <w:pPr>
        <w:pageBreakBefore w:val="0"/>
        <w:kinsoku/>
        <w:wordWrap/>
        <w:overflowPunct/>
        <w:topLinePunct w:val="0"/>
        <w:bidi w:val="0"/>
        <w:spacing w:line="520" w:lineRule="exact"/>
        <w:rPr>
          <w:rFonts w:hint="eastAsia" w:ascii="仿宋_GB2312" w:hAnsi="仿宋_GB2312" w:eastAsia="仿宋_GB2312" w:cs="仿宋_GB2312"/>
          <w:sz w:val="32"/>
          <w:szCs w:val="32"/>
        </w:rPr>
      </w:pPr>
    </w:p>
    <w:p>
      <w:pPr>
        <w:pageBreakBefore w:val="0"/>
        <w:kinsoku/>
        <w:wordWrap/>
        <w:overflowPunct/>
        <w:topLinePunct w:val="0"/>
        <w:bidi w:val="0"/>
        <w:spacing w:line="520" w:lineRule="exact"/>
        <w:rPr>
          <w:rFonts w:hint="eastAsia" w:ascii="仿宋_GB2312" w:hAnsi="仿宋_GB2312" w:eastAsia="仿宋_GB2312" w:cs="仿宋_GB2312"/>
          <w:sz w:val="32"/>
          <w:szCs w:val="32"/>
        </w:rPr>
      </w:pPr>
    </w:p>
    <w:p>
      <w:pPr>
        <w:pageBreakBefore w:val="0"/>
        <w:kinsoku/>
        <w:wordWrap/>
        <w:overflowPunct/>
        <w:topLinePunct w:val="0"/>
        <w:bidi w:val="0"/>
        <w:spacing w:line="520" w:lineRule="exact"/>
        <w:rPr>
          <w:rFonts w:hint="eastAsia" w:ascii="仿宋_GB2312" w:hAnsi="仿宋_GB2312" w:eastAsia="仿宋_GB2312" w:cs="仿宋_GB2312"/>
          <w:sz w:val="32"/>
          <w:szCs w:val="32"/>
        </w:rPr>
      </w:pPr>
    </w:p>
    <w:tbl>
      <w:tblPr>
        <w:tblStyle w:val="12"/>
        <w:tblpPr w:leftFromText="180" w:rightFromText="180" w:vertAnchor="text" w:horzAnchor="page" w:tblpX="995" w:tblpY="265"/>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pageBreakBefore w:val="0"/>
              <w:widowControl/>
              <w:kinsoku/>
              <w:wordWrap/>
              <w:overflowPunct/>
              <w:topLinePunct w:val="0"/>
              <w:bidi w:val="0"/>
              <w:spacing w:line="520" w:lineRule="exact"/>
              <w:ind w:left="3857" w:leftChars="1310" w:hanging="1106" w:hangingChars="395"/>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项目支出绩效目标完成情况表</w:t>
            </w:r>
            <w:r>
              <w:rPr>
                <w:rFonts w:hint="eastAsia" w:ascii="仿宋_GB2312" w:hAnsi="仿宋_GB2312" w:eastAsia="仿宋_GB2312" w:cs="仿宋_GB2312"/>
                <w:b/>
                <w:bCs/>
                <w:color w:val="000000"/>
                <w:kern w:val="0"/>
                <w:sz w:val="28"/>
                <w:szCs w:val="28"/>
              </w:rPr>
              <w:br w:type="textWrapping"/>
            </w:r>
            <w:r>
              <w:rPr>
                <w:rFonts w:hint="eastAsia" w:ascii="仿宋_GB2312" w:hAnsi="仿宋_GB2312" w:eastAsia="仿宋_GB2312" w:cs="仿宋_GB2312"/>
                <w:color w:val="000000"/>
                <w:kern w:val="0"/>
                <w:sz w:val="28"/>
                <w:szCs w:val="28"/>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老年人活动经费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邻水县袁市镇人民政府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0.3万元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0.3万元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20" w:lineRule="exact"/>
              <w:jc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丰富老人的业余文化生活，满足老人精神文化需求，提升老人服务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丰富了老人的业余文化生活，满足了老人精神文化需求，提升了老人服务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组织舞蹈团体比赛</w:t>
            </w:r>
            <w:r>
              <w:rPr>
                <w:rFonts w:hint="eastAsia" w:ascii="仿宋_GB2312" w:hAnsi="仿宋_GB2312" w:eastAsia="仿宋_GB2312" w:cs="仿宋_GB2312"/>
                <w:color w:val="000000"/>
                <w:sz w:val="28"/>
                <w:szCs w:val="28"/>
                <w:lang w:eastAsia="zh-CN"/>
              </w:rPr>
              <w:t>，开展老人业余文化活动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2次</w:t>
            </w:r>
            <w:r>
              <w:rPr>
                <w:rFonts w:hint="eastAsia" w:ascii="仿宋_GB2312" w:hAnsi="仿宋_GB2312" w:eastAsia="仿宋_GB2312" w:cs="仿宋_GB2312"/>
                <w:color w:val="000000"/>
                <w:sz w:val="28"/>
                <w:szCs w:val="28"/>
                <w:lang w:eastAsia="zh-CN"/>
              </w:rPr>
              <w:t>，数次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eastAsia="zh-CN"/>
              </w:rPr>
              <w:t>参加舞蹈团体比赛</w:t>
            </w:r>
            <w:r>
              <w:rPr>
                <w:rFonts w:hint="eastAsia" w:ascii="仿宋_GB2312" w:hAnsi="仿宋_GB2312" w:eastAsia="仿宋_GB2312" w:cs="仿宋_GB2312"/>
                <w:color w:val="000000"/>
                <w:sz w:val="28"/>
                <w:szCs w:val="28"/>
                <w:lang w:val="en-US" w:eastAsia="zh-CN"/>
              </w:rPr>
              <w:t>2次，开展了4次老年人业余文化活动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丰富老人文体活动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提高老人的社会满意度，使老人开颜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老年协会积极引导，激起我镇大部分老年人参加老人文体活动的热情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活动经费拨付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及时到位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资金拨付及时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老年人活动经费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0.3万元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0.3万元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增强老人身体素质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丰富业余文化活动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老年人身体素质有所提高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群众满意度达到95%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kern w:val="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r>
    </w:tbl>
    <w:p>
      <w:pPr>
        <w:pageBreakBefore w:val="0"/>
        <w:kinsoku/>
        <w:wordWrap/>
        <w:overflowPunct/>
        <w:topLinePunct w:val="0"/>
        <w:bidi w:val="0"/>
        <w:spacing w:line="520" w:lineRule="exact"/>
        <w:rPr>
          <w:rFonts w:hint="eastAsia" w:ascii="仿宋_GB2312" w:hAnsi="仿宋_GB2312" w:eastAsia="仿宋_GB2312" w:cs="仿宋_GB2312"/>
          <w:sz w:val="32"/>
          <w:szCs w:val="32"/>
        </w:rPr>
      </w:pPr>
    </w:p>
    <w:p>
      <w:pPr>
        <w:pageBreakBefore w:val="0"/>
        <w:kinsoku/>
        <w:wordWrap/>
        <w:overflowPunct/>
        <w:topLinePunct w:val="0"/>
        <w:bidi w:val="0"/>
        <w:spacing w:line="520" w:lineRule="exact"/>
        <w:rPr>
          <w:rFonts w:hint="eastAsia" w:ascii="仿宋_GB2312" w:hAnsi="仿宋_GB2312" w:eastAsia="仿宋_GB2312" w:cs="仿宋_GB2312"/>
          <w:sz w:val="32"/>
          <w:szCs w:val="32"/>
        </w:rPr>
      </w:pPr>
    </w:p>
    <w:tbl>
      <w:tblPr>
        <w:tblStyle w:val="12"/>
        <w:tblpPr w:leftFromText="180" w:rightFromText="180" w:vertAnchor="text" w:horzAnchor="page" w:tblpX="995" w:tblpY="265"/>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pageBreakBefore w:val="0"/>
              <w:widowControl/>
              <w:kinsoku/>
              <w:wordWrap/>
              <w:overflowPunct/>
              <w:topLinePunct w:val="0"/>
              <w:bidi w:val="0"/>
              <w:spacing w:line="520" w:lineRule="exact"/>
              <w:ind w:left="3857" w:leftChars="1310" w:hanging="1106" w:hangingChars="395"/>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rPr>
              <w:t>项目支出绩效目标完成情况表</w:t>
            </w:r>
            <w:r>
              <w:rPr>
                <w:rFonts w:hint="eastAsia" w:ascii="仿宋_GB2312" w:hAnsi="仿宋_GB2312" w:eastAsia="仿宋_GB2312" w:cs="仿宋_GB2312"/>
                <w:b/>
                <w:bCs/>
                <w:color w:val="000000"/>
                <w:kern w:val="0"/>
                <w:sz w:val="28"/>
                <w:szCs w:val="28"/>
              </w:rPr>
              <w:br w:type="textWrapping"/>
            </w:r>
            <w:r>
              <w:rPr>
                <w:rFonts w:hint="eastAsia" w:ascii="仿宋_GB2312" w:hAnsi="仿宋_GB2312" w:eastAsia="仿宋_GB2312" w:cs="仿宋_GB2312"/>
                <w:color w:val="000000"/>
                <w:kern w:val="0"/>
                <w:sz w:val="28"/>
                <w:szCs w:val="28"/>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服务群众专项经费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邻水县袁市镇人民政府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20" w:lineRule="exact"/>
              <w:jc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保证基层党组织正常开展党建活动。为社区居民提供各类优质服务，对服务群众项目相关设施更新，社区道路修缮，使社区群众受益得实惠。同时使社区综合服务能力得以提升。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保证了基层党组织正常开展党建活动。为社区居民提供了各类优质服务，对服务群众项目相关设施更新，社区道路修缮，使社区群众受益得实惠。同时使社区综合服务能力得以提升。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社区个数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解决社区居民最关心、最直接、最现实的各类民生问题。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合理分配资金，切实解决居民</w:t>
            </w:r>
            <w:r>
              <w:rPr>
                <w:rFonts w:hint="eastAsia" w:ascii="仿宋_GB2312" w:hAnsi="仿宋_GB2312" w:eastAsia="仿宋_GB2312" w:cs="仿宋_GB2312"/>
                <w:color w:val="000000"/>
                <w:sz w:val="28"/>
                <w:szCs w:val="28"/>
              </w:rPr>
              <w:t>最关心、最直接、最现实</w:t>
            </w:r>
            <w:r>
              <w:rPr>
                <w:rFonts w:hint="eastAsia" w:ascii="仿宋_GB2312" w:hAnsi="仿宋_GB2312" w:eastAsia="仿宋_GB2312" w:cs="仿宋_GB2312"/>
                <w:color w:val="000000"/>
                <w:sz w:val="28"/>
                <w:szCs w:val="28"/>
                <w:lang w:eastAsia="zh-CN"/>
              </w:rPr>
              <w:t>的问题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资金分配的合理性方面有待加强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资金拨付及时到位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及时性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资金拨付及时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服务群众专项经费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保障社区</w:t>
            </w:r>
            <w:r>
              <w:rPr>
                <w:rFonts w:hint="eastAsia" w:ascii="仿宋_GB2312" w:hAnsi="仿宋_GB2312" w:eastAsia="仿宋_GB2312" w:cs="仿宋_GB2312"/>
                <w:color w:val="000000"/>
                <w:sz w:val="28"/>
                <w:szCs w:val="28"/>
                <w:lang w:eastAsia="zh-CN"/>
              </w:rPr>
              <w:t>基础设施</w:t>
            </w:r>
            <w:r>
              <w:rPr>
                <w:rFonts w:hint="eastAsia" w:ascii="仿宋_GB2312" w:hAnsi="仿宋_GB2312" w:eastAsia="仿宋_GB2312" w:cs="仿宋_GB2312"/>
                <w:color w:val="000000"/>
                <w:sz w:val="28"/>
                <w:szCs w:val="28"/>
              </w:rPr>
              <w:t>建设</w:t>
            </w:r>
            <w:r>
              <w:rPr>
                <w:rFonts w:hint="eastAsia" w:ascii="仿宋_GB2312" w:hAnsi="仿宋_GB2312" w:eastAsia="仿宋_GB2312" w:cs="仿宋_GB2312"/>
                <w:color w:val="000000"/>
                <w:sz w:val="28"/>
                <w:szCs w:val="28"/>
                <w:lang w:eastAsia="zh-CN"/>
              </w:rPr>
              <w:t>，环境卫生得到改善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加强社区基础设施建设，改善居民生活环境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完成了部分基础设施建设，加大了对环境卫生整治工作的投入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充分发挥该项资金的作用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改善居民生活环境，</w:t>
            </w:r>
            <w:r>
              <w:rPr>
                <w:rFonts w:hint="eastAsia" w:ascii="仿宋_GB2312" w:hAnsi="仿宋_GB2312" w:eastAsia="仿宋_GB2312" w:cs="仿宋_GB2312"/>
                <w:color w:val="000000"/>
                <w:sz w:val="28"/>
                <w:szCs w:val="28"/>
              </w:rPr>
              <w:t>减少环境污染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需进一步加强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20" w:lineRule="exact"/>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群众满意度达到95%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2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w:t>
            </w:r>
          </w:p>
        </w:tc>
      </w:tr>
    </w:tbl>
    <w:p>
      <w:pPr>
        <w:pageBreakBefore w:val="0"/>
        <w:numPr>
          <w:ilvl w:val="0"/>
          <w:numId w:val="0"/>
        </w:numPr>
        <w:kinsoku/>
        <w:wordWrap/>
        <w:overflowPunct/>
        <w:topLinePunct w:val="0"/>
        <w:bidi w:val="0"/>
        <w:spacing w:line="520" w:lineRule="exact"/>
        <w:rPr>
          <w:rFonts w:hint="eastAsia" w:ascii="仿宋_GB2312" w:hAnsi="仿宋_GB2312" w:eastAsia="仿宋_GB2312" w:cs="仿宋_GB2312"/>
          <w:sz w:val="32"/>
          <w:szCs w:val="32"/>
        </w:rPr>
      </w:pPr>
    </w:p>
    <w:p>
      <w:pPr>
        <w:pageBreakBefore w:val="0"/>
        <w:numPr>
          <w:ilvl w:val="0"/>
          <w:numId w:val="0"/>
        </w:numPr>
        <w:kinsoku/>
        <w:wordWrap/>
        <w:overflowPunct/>
        <w:topLinePunct w:val="0"/>
        <w:bidi w:val="0"/>
        <w:spacing w:line="520" w:lineRule="exact"/>
        <w:rPr>
          <w:rFonts w:hint="eastAsia" w:ascii="仿宋_GB2312" w:hAnsi="仿宋_GB2312" w:eastAsia="仿宋_GB2312" w:cs="仿宋_GB2312"/>
          <w:sz w:val="32"/>
          <w:szCs w:val="32"/>
        </w:rPr>
      </w:pPr>
    </w:p>
    <w:p>
      <w:pPr>
        <w:pageBreakBefore w:val="0"/>
        <w:numPr>
          <w:ilvl w:val="0"/>
          <w:numId w:val="4"/>
        </w:numPr>
        <w:kinsoku/>
        <w:wordWrap/>
        <w:overflowPunct/>
        <w:topLinePunct w:val="0"/>
        <w:bidi w:val="0"/>
        <w:spacing w:line="52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部门开展绩效评价结果。</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w:t>
      </w:r>
      <w:r>
        <w:rPr>
          <w:rFonts w:hint="eastAsia" w:ascii="仿宋_GB2312" w:hAnsi="仿宋_GB2312" w:eastAsia="仿宋_GB2312" w:cs="仿宋_GB2312"/>
          <w:sz w:val="32"/>
          <w:szCs w:val="32"/>
          <w:lang w:eastAsia="zh-CN"/>
        </w:rPr>
        <w:t>邻水县袁市镇人民政府</w:t>
      </w:r>
      <w:r>
        <w:rPr>
          <w:rFonts w:hint="eastAsia" w:ascii="仿宋_GB2312" w:hAnsi="仿宋_GB2312" w:eastAsia="仿宋_GB2312" w:cs="仿宋_GB2312"/>
          <w:sz w:val="32"/>
          <w:szCs w:val="32"/>
        </w:rPr>
        <w:t>2018年部门整体支出绩效评价报告》见附件。</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服务群众专项经费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服务群众专项经费</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服务群众专项经费</w:t>
      </w:r>
      <w:r>
        <w:rPr>
          <w:rFonts w:hint="eastAsia" w:ascii="仿宋_GB2312" w:hAnsi="仿宋_GB2312" w:eastAsia="仿宋_GB2312" w:cs="仿宋_GB2312"/>
          <w:sz w:val="32"/>
          <w:szCs w:val="32"/>
        </w:rPr>
        <w:t>项目2018年绩效评价报告》见附件。</w:t>
      </w:r>
    </w:p>
    <w:p>
      <w:pPr>
        <w:pageBreakBefore w:val="0"/>
        <w:kinsoku/>
        <w:wordWrap/>
        <w:overflowPunct/>
        <w:topLinePunct w:val="0"/>
        <w:bidi w:val="0"/>
        <w:spacing w:line="520" w:lineRule="exact"/>
        <w:ind w:firstLine="800" w:firstLineChars="250"/>
        <w:outlineLvl w:val="1"/>
        <w:rPr>
          <w:rStyle w:val="18"/>
          <w:rFonts w:hint="eastAsia" w:ascii="黑体" w:hAnsi="黑体" w:eastAsia="黑体" w:cs="黑体"/>
        </w:rPr>
      </w:pPr>
      <w:bookmarkStart w:id="50" w:name="_Toc15377221"/>
      <w:bookmarkStart w:id="51" w:name="_Toc15396612"/>
      <w:r>
        <w:rPr>
          <w:rFonts w:hint="eastAsia" w:ascii="黑体" w:hAnsi="黑体" w:eastAsia="黑体" w:cs="黑体"/>
          <w:color w:val="000000"/>
          <w:sz w:val="32"/>
          <w:szCs w:val="32"/>
        </w:rPr>
        <w:t>十</w:t>
      </w:r>
      <w:r>
        <w:rPr>
          <w:rStyle w:val="18"/>
          <w:rFonts w:hint="eastAsia" w:ascii="黑体" w:hAnsi="黑体" w:eastAsia="黑体" w:cs="黑体"/>
        </w:rPr>
        <w:t>一、</w:t>
      </w:r>
      <w:r>
        <w:rPr>
          <w:rStyle w:val="18"/>
          <w:rFonts w:hint="eastAsia" w:ascii="黑体" w:hAnsi="黑体" w:eastAsia="黑体" w:cs="黑体"/>
          <w:b w:val="0"/>
        </w:rPr>
        <w:t>其他重要事项的情况说明</w:t>
      </w:r>
      <w:bookmarkEnd w:id="50"/>
      <w:bookmarkEnd w:id="51"/>
    </w:p>
    <w:p>
      <w:pPr>
        <w:pageBreakBefore w:val="0"/>
        <w:kinsoku/>
        <w:wordWrap/>
        <w:overflowPunct/>
        <w:topLinePunct w:val="0"/>
        <w:bidi w:val="0"/>
        <w:spacing w:line="520" w:lineRule="exact"/>
        <w:ind w:firstLine="642" w:firstLineChars="200"/>
        <w:outlineLvl w:val="2"/>
        <w:rPr>
          <w:rFonts w:hint="eastAsia" w:ascii="仿宋_GB2312" w:hAnsi="仿宋_GB2312" w:eastAsia="仿宋_GB2312" w:cs="仿宋_GB2312"/>
          <w:color w:val="000000"/>
          <w:sz w:val="32"/>
          <w:szCs w:val="32"/>
        </w:rPr>
      </w:pPr>
      <w:bookmarkStart w:id="52" w:name="_Toc15377222"/>
      <w:r>
        <w:rPr>
          <w:rFonts w:hint="eastAsia" w:ascii="仿宋_GB2312" w:hAnsi="仿宋_GB2312" w:eastAsia="仿宋_GB2312" w:cs="仿宋_GB2312"/>
          <w:b/>
          <w:color w:val="000000"/>
          <w:sz w:val="32"/>
          <w:szCs w:val="32"/>
        </w:rPr>
        <w:t>（一）机关运行经费支出情况</w:t>
      </w:r>
      <w:bookmarkEnd w:id="52"/>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2018年，</w:t>
      </w:r>
      <w:r>
        <w:rPr>
          <w:rFonts w:hint="eastAsia" w:ascii="仿宋_GB2312" w:hAnsi="仿宋_GB2312" w:eastAsia="仿宋_GB2312" w:cs="仿宋_GB2312"/>
          <w:color w:val="000000"/>
          <w:sz w:val="32"/>
          <w:szCs w:val="32"/>
          <w:lang w:eastAsia="zh-CN"/>
        </w:rPr>
        <w:t>袁市镇人民政府</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szCs w:val="32"/>
          <w:lang w:val="en-US" w:eastAsia="zh-CN"/>
        </w:rPr>
        <w:t>11.87</w:t>
      </w:r>
      <w:r>
        <w:rPr>
          <w:rFonts w:hint="eastAsia" w:ascii="仿宋_GB2312" w:hAnsi="仿宋_GB2312" w:eastAsia="仿宋_GB2312" w:cs="仿宋_GB2312"/>
          <w:color w:val="000000"/>
          <w:sz w:val="32"/>
          <w:szCs w:val="32"/>
        </w:rPr>
        <w:t>万元，比2017年减少</w:t>
      </w:r>
      <w:r>
        <w:rPr>
          <w:rFonts w:hint="eastAsia" w:ascii="仿宋_GB2312" w:hAnsi="仿宋_GB2312" w:eastAsia="仿宋_GB2312" w:cs="仿宋_GB2312"/>
          <w:color w:val="000000"/>
          <w:sz w:val="32"/>
          <w:szCs w:val="32"/>
          <w:lang w:val="en-US" w:eastAsia="zh-CN"/>
        </w:rPr>
        <w:t>1.56</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公务接待费用减少。</w:t>
      </w:r>
    </w:p>
    <w:p>
      <w:pPr>
        <w:pageBreakBefore w:val="0"/>
        <w:kinsoku/>
        <w:wordWrap/>
        <w:overflowPunct/>
        <w:topLinePunct w:val="0"/>
        <w:autoSpaceDE w:val="0"/>
        <w:autoSpaceDN w:val="0"/>
        <w:bidi w:val="0"/>
        <w:adjustRightInd w:val="0"/>
        <w:spacing w:line="520" w:lineRule="exact"/>
        <w:ind w:firstLine="642" w:firstLineChars="200"/>
        <w:jc w:val="left"/>
        <w:outlineLvl w:val="2"/>
        <w:rPr>
          <w:rFonts w:hint="eastAsia" w:ascii="仿宋_GB2312" w:hAnsi="仿宋_GB2312" w:eastAsia="仿宋_GB2312" w:cs="仿宋_GB2312"/>
          <w:b/>
          <w:color w:val="000000"/>
          <w:sz w:val="32"/>
          <w:szCs w:val="32"/>
        </w:rPr>
      </w:pPr>
      <w:bookmarkStart w:id="53" w:name="_Toc15377223"/>
      <w:r>
        <w:rPr>
          <w:rFonts w:hint="eastAsia" w:ascii="仿宋_GB2312" w:hAnsi="仿宋_GB2312" w:eastAsia="仿宋_GB2312" w:cs="仿宋_GB2312"/>
          <w:b/>
          <w:color w:val="000000"/>
          <w:sz w:val="32"/>
          <w:szCs w:val="32"/>
        </w:rPr>
        <w:t>（二）政府采购支出情况</w:t>
      </w:r>
      <w:bookmarkEnd w:id="53"/>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w:t>
      </w:r>
      <w:r>
        <w:rPr>
          <w:rFonts w:hint="eastAsia" w:ascii="仿宋_GB2312" w:hAnsi="仿宋_GB2312" w:eastAsia="仿宋_GB2312" w:cs="仿宋_GB2312"/>
          <w:color w:val="000000"/>
          <w:sz w:val="32"/>
          <w:szCs w:val="32"/>
          <w:lang w:eastAsia="zh-CN"/>
        </w:rPr>
        <w:t>邻水县袁市镇人民</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万元，其中：政府采购货物支出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万元、政府采购工程支出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万元、政府采购服务支出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万元。授予中小企业合同金额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万元，占政府采购支出总额的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万元，占政府采购支出总额的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pageBreakBefore w:val="0"/>
        <w:kinsoku/>
        <w:wordWrap/>
        <w:overflowPunct/>
        <w:topLinePunct w:val="0"/>
        <w:autoSpaceDE w:val="0"/>
        <w:autoSpaceDN w:val="0"/>
        <w:bidi w:val="0"/>
        <w:adjustRightInd w:val="0"/>
        <w:spacing w:line="520" w:lineRule="exact"/>
        <w:ind w:firstLine="642" w:firstLineChars="200"/>
        <w:jc w:val="left"/>
        <w:outlineLvl w:val="2"/>
        <w:rPr>
          <w:rFonts w:hint="eastAsia" w:ascii="仿宋_GB2312" w:hAnsi="仿宋_GB2312" w:eastAsia="仿宋_GB2312" w:cs="仿宋_GB2312"/>
          <w:b/>
          <w:color w:val="000000"/>
          <w:sz w:val="32"/>
          <w:szCs w:val="32"/>
        </w:rPr>
      </w:pPr>
      <w:bookmarkStart w:id="54" w:name="_Toc15377224"/>
      <w:r>
        <w:rPr>
          <w:rFonts w:hint="eastAsia" w:ascii="仿宋_GB2312" w:hAnsi="仿宋_GB2312" w:eastAsia="仿宋_GB2312" w:cs="仿宋_GB2312"/>
          <w:b/>
          <w:color w:val="000000"/>
          <w:sz w:val="32"/>
          <w:szCs w:val="32"/>
        </w:rPr>
        <w:t>（三）国有资产占有使用情况</w:t>
      </w:r>
      <w:bookmarkEnd w:id="54"/>
    </w:p>
    <w:p>
      <w:pPr>
        <w:pageBreakBefore w:val="0"/>
        <w:kinsoku/>
        <w:wordWrap/>
        <w:overflowPunct/>
        <w:topLinePunct w:val="0"/>
        <w:autoSpaceDE w:val="0"/>
        <w:autoSpaceDN w:val="0"/>
        <w:bidi w:val="0"/>
        <w:adjustRightInd w:val="0"/>
        <w:spacing w:line="52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截至2018年12月31日，</w:t>
      </w:r>
      <w:r>
        <w:rPr>
          <w:rFonts w:hint="eastAsia" w:ascii="仿宋_GB2312" w:hAnsi="仿宋_GB2312" w:eastAsia="仿宋_GB2312" w:cs="仿宋_GB2312"/>
          <w:color w:val="000000"/>
          <w:sz w:val="32"/>
          <w:szCs w:val="32"/>
          <w:lang w:eastAsia="zh-CN"/>
        </w:rPr>
        <w:t>邻水县袁市镇人民政府</w:t>
      </w:r>
      <w:r>
        <w:rPr>
          <w:rFonts w:hint="eastAsia" w:ascii="仿宋_GB2312" w:hAnsi="仿宋_GB2312" w:eastAsia="仿宋_GB2312" w:cs="仿宋_GB2312"/>
          <w:color w:val="000000"/>
          <w:sz w:val="32"/>
          <w:szCs w:val="32"/>
        </w:rPr>
        <w:t>共有车辆</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辆，其中：部级领导干部用车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辆、一般公务用车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辆、一般执法执勤用车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辆、特种专业技术用车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辆、其他用车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辆，其他用车主要是用于……单价50万元以上通用设备</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台（套），单价100万元以上专用设备</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台（套）。</w:t>
      </w:r>
    </w:p>
    <w:p>
      <w:pPr>
        <w:pageBreakBefore w:val="0"/>
        <w:kinsoku/>
        <w:wordWrap/>
        <w:overflowPunct/>
        <w:topLinePunct w:val="0"/>
        <w:bidi w:val="0"/>
        <w:spacing w:line="520" w:lineRule="exact"/>
        <w:ind w:firstLine="642" w:firstLineChars="200"/>
        <w:rPr>
          <w:rFonts w:hint="eastAsia" w:ascii="仿宋_GB2312" w:hAnsi="仿宋_GB2312" w:eastAsia="仿宋_GB2312" w:cs="仿宋_GB2312"/>
          <w:b/>
          <w:color w:val="000000"/>
          <w:sz w:val="32"/>
          <w:szCs w:val="32"/>
        </w:rPr>
      </w:pPr>
    </w:p>
    <w:p>
      <w:pPr>
        <w:pageBreakBefore w:val="0"/>
        <w:widowControl/>
        <w:kinsoku/>
        <w:wordWrap/>
        <w:overflowPunct/>
        <w:topLinePunct w:val="0"/>
        <w:bidi w:val="0"/>
        <w:spacing w:line="520" w:lineRule="exact"/>
        <w:jc w:val="lef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br w:type="page"/>
      </w:r>
    </w:p>
    <w:p>
      <w:pPr>
        <w:pageBreakBefore w:val="0"/>
        <w:numPr>
          <w:ilvl w:val="0"/>
          <w:numId w:val="6"/>
        </w:numPr>
        <w:kinsoku/>
        <w:wordWrap/>
        <w:overflowPunct/>
        <w:topLinePunct w:val="0"/>
        <w:bidi w:val="0"/>
        <w:spacing w:line="520" w:lineRule="exact"/>
        <w:ind w:firstLine="662" w:firstLineChars="150"/>
        <w:jc w:val="center"/>
        <w:outlineLvl w:val="0"/>
        <w:rPr>
          <w:rStyle w:val="17"/>
          <w:rFonts w:hint="eastAsia" w:ascii="黑体" w:hAnsi="黑体" w:eastAsia="黑体" w:cs="黑体"/>
          <w:b w:val="0"/>
        </w:rPr>
      </w:pPr>
      <w:bookmarkStart w:id="55" w:name="_Toc15396613"/>
      <w:bookmarkStart w:id="56" w:name="_Toc15377225"/>
      <w:r>
        <w:rPr>
          <w:rFonts w:hint="eastAsia" w:ascii="黑体" w:hAnsi="黑体" w:eastAsia="黑体" w:cs="黑体"/>
          <w:b/>
          <w:color w:val="000000"/>
          <w:sz w:val="44"/>
          <w:szCs w:val="44"/>
        </w:rPr>
        <w:t>名</w:t>
      </w:r>
      <w:r>
        <w:rPr>
          <w:rStyle w:val="17"/>
          <w:rFonts w:hint="eastAsia" w:ascii="黑体" w:hAnsi="黑体" w:eastAsia="黑体" w:cs="黑体"/>
          <w:b w:val="0"/>
        </w:rPr>
        <w:t>词解释</w:t>
      </w:r>
      <w:bookmarkEnd w:id="55"/>
      <w:bookmarkEnd w:id="56"/>
    </w:p>
    <w:p>
      <w:pPr>
        <w:pageBreakBefore w:val="0"/>
        <w:kinsoku/>
        <w:wordWrap/>
        <w:overflowPunct/>
        <w:topLinePunct w:val="0"/>
        <w:bidi w:val="0"/>
        <w:spacing w:line="520" w:lineRule="exact"/>
        <w:jc w:val="left"/>
        <w:rPr>
          <w:rFonts w:hint="eastAsia" w:ascii="仿宋_GB2312" w:hAnsi="仿宋_GB2312" w:eastAsia="仿宋_GB2312" w:cs="仿宋_GB2312"/>
          <w:b/>
          <w:color w:val="000000"/>
          <w:sz w:val="44"/>
          <w:szCs w:val="44"/>
        </w:rPr>
      </w:pPr>
    </w:p>
    <w:p>
      <w:pPr>
        <w:pStyle w:val="25"/>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5"/>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5"/>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5"/>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4.其他收入：指单位取得的除上述收入以外的各项收入。。</w:t>
      </w:r>
    </w:p>
    <w:p>
      <w:pPr>
        <w:pStyle w:val="25"/>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5"/>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年初结转和结余：指以前年度尚未完成、结转到本年按有关规定继续使用的资金。 </w:t>
      </w:r>
    </w:p>
    <w:p>
      <w:pPr>
        <w:pStyle w:val="25"/>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结余分配：指事业单位按照事业单位会计制度的规定从非财政补助结余中分配的事业基金和职工福利基金等。</w:t>
      </w:r>
    </w:p>
    <w:p>
      <w:pPr>
        <w:pStyle w:val="25"/>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年末结转和结余：指单位按有关规定结转到下年或以后年度继续使用的资金。</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9.</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人大事务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行政运行</w:t>
      </w:r>
      <w:r>
        <w:rPr>
          <w:rStyle w:val="14"/>
          <w:rFonts w:hint="eastAsia" w:ascii="仿宋_GB2312" w:hAnsi="仿宋_GB2312" w:eastAsia="仿宋_GB2312" w:cs="仿宋_GB2312"/>
          <w:b w:val="0"/>
          <w:bCs w:val="0"/>
          <w:color w:val="000000"/>
          <w:sz w:val="32"/>
          <w:szCs w:val="32"/>
        </w:rPr>
        <w:t xml:space="preserve">（项）: </w:t>
      </w:r>
      <w:r>
        <w:rPr>
          <w:rStyle w:val="14"/>
          <w:rFonts w:hint="eastAsia" w:ascii="仿宋_GB2312" w:hAnsi="仿宋_GB2312" w:eastAsia="仿宋_GB2312" w:cs="仿宋_GB2312"/>
          <w:b w:val="0"/>
          <w:bCs w:val="0"/>
          <w:color w:val="000000"/>
          <w:sz w:val="32"/>
          <w:szCs w:val="32"/>
          <w:lang w:eastAsia="zh-CN"/>
        </w:rPr>
        <w:t>指行政单位的基本支出。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10.</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人大事务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代表工作</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指人大代表开展各类视察等方面的支出。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11.</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政协事务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委员视察</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指政协委员开展各类视察的支出。</w:t>
      </w:r>
      <w:r>
        <w:rPr>
          <w:rStyle w:val="14"/>
          <w:rFonts w:hint="eastAsia" w:ascii="仿宋_GB2312" w:hAnsi="仿宋_GB2312" w:eastAsia="仿宋_GB2312" w:cs="仿宋_GB2312"/>
          <w:b w:val="0"/>
          <w:bCs w:val="0"/>
          <w:color w:val="000000"/>
          <w:sz w:val="32"/>
          <w:szCs w:val="32"/>
        </w:rPr>
        <w:t xml:space="preserve"> </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12.</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政府办公厅（室）及相关机构事务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行政运行</w:t>
      </w:r>
      <w:r>
        <w:rPr>
          <w:rStyle w:val="14"/>
          <w:rFonts w:hint="eastAsia" w:ascii="仿宋_GB2312" w:hAnsi="仿宋_GB2312" w:eastAsia="仿宋_GB2312" w:cs="仿宋_GB2312"/>
          <w:b w:val="0"/>
          <w:bCs w:val="0"/>
          <w:color w:val="000000"/>
          <w:sz w:val="32"/>
          <w:szCs w:val="32"/>
        </w:rPr>
        <w:t xml:space="preserve">（项）: </w:t>
      </w:r>
      <w:r>
        <w:rPr>
          <w:rStyle w:val="14"/>
          <w:rFonts w:hint="eastAsia" w:ascii="仿宋_GB2312" w:hAnsi="仿宋_GB2312" w:eastAsia="仿宋_GB2312" w:cs="仿宋_GB2312"/>
          <w:b w:val="0"/>
          <w:bCs w:val="0"/>
          <w:color w:val="000000"/>
          <w:sz w:val="32"/>
          <w:szCs w:val="32"/>
          <w:lang w:eastAsia="zh-CN"/>
        </w:rPr>
        <w:t>指行政单位的基本支出。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13.</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政府办公厅（室）及相关机构事务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其他政府办公厅（室）及相关机构事务</w:t>
      </w:r>
      <w:r>
        <w:rPr>
          <w:rStyle w:val="14"/>
          <w:rFonts w:hint="eastAsia" w:ascii="仿宋_GB2312" w:hAnsi="仿宋_GB2312" w:eastAsia="仿宋_GB2312" w:cs="仿宋_GB2312"/>
          <w:b w:val="0"/>
          <w:bCs w:val="0"/>
          <w:color w:val="000000"/>
          <w:sz w:val="32"/>
          <w:szCs w:val="32"/>
        </w:rPr>
        <w:t xml:space="preserve">（项）: </w:t>
      </w:r>
      <w:r>
        <w:rPr>
          <w:rStyle w:val="14"/>
          <w:rFonts w:hint="eastAsia" w:ascii="仿宋_GB2312" w:hAnsi="仿宋_GB2312" w:eastAsia="仿宋_GB2312" w:cs="仿宋_GB2312"/>
          <w:b w:val="0"/>
          <w:bCs w:val="0"/>
          <w:color w:val="000000"/>
          <w:sz w:val="32"/>
          <w:szCs w:val="32"/>
          <w:lang w:eastAsia="zh-CN"/>
        </w:rPr>
        <w:t>指其他政府办公厅（室）及相关机构事务支出。</w:t>
      </w:r>
    </w:p>
    <w:p>
      <w:pPr>
        <w:pageBreakBefore w:val="0"/>
        <w:numPr>
          <w:ilvl w:val="0"/>
          <w:numId w:val="0"/>
        </w:numPr>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14.</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纪检监察事务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其他纪检监察事务</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指其他纪检监察事务方面的支出。</w:t>
      </w:r>
    </w:p>
    <w:p>
      <w:pPr>
        <w:pageBreakBefore w:val="0"/>
        <w:numPr>
          <w:ilvl w:val="0"/>
          <w:numId w:val="0"/>
        </w:numPr>
        <w:kinsoku/>
        <w:wordWrap/>
        <w:overflowPunct/>
        <w:topLinePunct w:val="0"/>
        <w:bidi w:val="0"/>
        <w:spacing w:line="520" w:lineRule="exact"/>
        <w:ind w:firstLine="640" w:firstLineChars="200"/>
        <w:rPr>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15.</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党委办公厅（室）及相关机构事务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行政运行</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指行政单位的基本支出。</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16.</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党委办公厅（室）及相关机构事务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其他党委办公厅（室）及相关机构事务</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指其他用于党委办公厅（室）及相关机构事务支出。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17.</w:t>
      </w:r>
      <w:r>
        <w:rPr>
          <w:rStyle w:val="14"/>
          <w:rFonts w:hint="eastAsia" w:ascii="仿宋_GB2312" w:hAnsi="仿宋_GB2312" w:eastAsia="仿宋_GB2312" w:cs="仿宋_GB2312"/>
          <w:b w:val="0"/>
          <w:bCs w:val="0"/>
          <w:color w:val="000000"/>
          <w:sz w:val="32"/>
          <w:szCs w:val="32"/>
          <w:lang w:eastAsia="zh-CN"/>
        </w:rPr>
        <w:t>一般公共服务支出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财政事务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其他财政事务支出</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指其他财政事务方面的支出。</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18.</w:t>
      </w:r>
      <w:r>
        <w:rPr>
          <w:rStyle w:val="14"/>
          <w:rFonts w:hint="eastAsia" w:ascii="仿宋_GB2312" w:hAnsi="仿宋_GB2312" w:eastAsia="仿宋_GB2312" w:cs="仿宋_GB2312"/>
          <w:b w:val="0"/>
          <w:bCs w:val="0"/>
          <w:color w:val="000000"/>
          <w:sz w:val="32"/>
          <w:szCs w:val="32"/>
          <w:lang w:eastAsia="zh-CN"/>
        </w:rPr>
        <w:t>国防支出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国防动员</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兵役征集</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指用于兵役征集等方面的支出。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19.</w:t>
      </w:r>
      <w:r>
        <w:rPr>
          <w:rStyle w:val="14"/>
          <w:rFonts w:hint="eastAsia" w:ascii="仿宋_GB2312" w:hAnsi="仿宋_GB2312" w:eastAsia="仿宋_GB2312" w:cs="仿宋_GB2312"/>
          <w:b w:val="0"/>
          <w:bCs w:val="0"/>
          <w:color w:val="000000"/>
          <w:sz w:val="32"/>
          <w:szCs w:val="32"/>
          <w:lang w:eastAsia="zh-CN"/>
        </w:rPr>
        <w:t>文化体育与传媒支出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文化</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群众文化</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指群众文化方面的支出，包括基础文化馆（站）、群众艺术馆支出等。</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20.</w:t>
      </w:r>
      <w:r>
        <w:rPr>
          <w:rStyle w:val="14"/>
          <w:rFonts w:hint="eastAsia" w:ascii="仿宋_GB2312" w:hAnsi="仿宋_GB2312" w:eastAsia="仿宋_GB2312" w:cs="仿宋_GB2312"/>
          <w:b w:val="0"/>
          <w:bCs w:val="0"/>
          <w:color w:val="000000"/>
          <w:sz w:val="32"/>
          <w:szCs w:val="32"/>
          <w:lang w:eastAsia="zh-CN"/>
        </w:rPr>
        <w:t>文化体育与传媒支出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新闻出版广播影视</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广播</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指广播电台、广播发射台、广播转播台及有线广播站的支出。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21.</w:t>
      </w:r>
      <w:r>
        <w:rPr>
          <w:rStyle w:val="14"/>
          <w:rFonts w:hint="eastAsia" w:ascii="仿宋_GB2312" w:hAnsi="仿宋_GB2312" w:eastAsia="仿宋_GB2312" w:cs="仿宋_GB2312"/>
          <w:b w:val="0"/>
          <w:bCs w:val="0"/>
          <w:color w:val="000000"/>
          <w:sz w:val="32"/>
          <w:szCs w:val="32"/>
          <w:lang w:eastAsia="zh-CN"/>
        </w:rPr>
        <w:t>社会保障和就业支出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人力资源和社会保障管理事务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综合业务管理</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指人力资源和社会保障管理方面综合性管理事务支出。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22.</w:t>
      </w:r>
      <w:r>
        <w:rPr>
          <w:rStyle w:val="14"/>
          <w:rFonts w:hint="eastAsia" w:ascii="仿宋_GB2312" w:hAnsi="仿宋_GB2312" w:eastAsia="仿宋_GB2312" w:cs="仿宋_GB2312"/>
          <w:b w:val="0"/>
          <w:bCs w:val="0"/>
          <w:color w:val="000000"/>
          <w:sz w:val="32"/>
          <w:szCs w:val="32"/>
          <w:lang w:eastAsia="zh-CN"/>
        </w:rPr>
        <w:t>社会保障和就业支出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民政管理事务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老龄事务</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指老龄事务方面的支出。</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23.</w:t>
      </w:r>
      <w:r>
        <w:rPr>
          <w:rStyle w:val="14"/>
          <w:rFonts w:hint="eastAsia" w:ascii="仿宋_GB2312" w:hAnsi="仿宋_GB2312" w:eastAsia="仿宋_GB2312" w:cs="仿宋_GB2312"/>
          <w:b w:val="0"/>
          <w:bCs w:val="0"/>
          <w:color w:val="000000"/>
          <w:sz w:val="32"/>
          <w:szCs w:val="32"/>
          <w:lang w:eastAsia="zh-CN"/>
        </w:rPr>
        <w:t>社会保障和就业支出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民政管理事务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基层政权和社区建设</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指开展村民自治、村务公开等基层政权和社区建设工作的支出。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24.</w:t>
      </w:r>
      <w:r>
        <w:rPr>
          <w:rStyle w:val="14"/>
          <w:rFonts w:hint="eastAsia" w:ascii="仿宋_GB2312" w:hAnsi="仿宋_GB2312" w:eastAsia="仿宋_GB2312" w:cs="仿宋_GB2312"/>
          <w:b w:val="0"/>
          <w:bCs w:val="0"/>
          <w:color w:val="000000"/>
          <w:sz w:val="32"/>
          <w:szCs w:val="32"/>
          <w:lang w:eastAsia="zh-CN"/>
        </w:rPr>
        <w:t>社会保障和就业支出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行政事业单位离退休</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机关事业单位基本养老保险缴费支出</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指机关事业单位实施养老保险制度由单位缴纳的基本养老保险费支出。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25.</w:t>
      </w:r>
      <w:r>
        <w:rPr>
          <w:rStyle w:val="14"/>
          <w:rFonts w:hint="eastAsia" w:ascii="仿宋_GB2312" w:hAnsi="仿宋_GB2312" w:eastAsia="仿宋_GB2312" w:cs="仿宋_GB2312"/>
          <w:b w:val="0"/>
          <w:bCs w:val="0"/>
          <w:color w:val="000000"/>
          <w:sz w:val="32"/>
          <w:szCs w:val="32"/>
          <w:lang w:eastAsia="zh-CN"/>
        </w:rPr>
        <w:t>社会保障和就业支出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行政事业单位离退休</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其他行政事业单位离退休支出</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指其他用于行政事业单位离退休方面的支出。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26.</w:t>
      </w:r>
      <w:r>
        <w:rPr>
          <w:rStyle w:val="14"/>
          <w:rFonts w:hint="eastAsia" w:ascii="仿宋_GB2312" w:hAnsi="仿宋_GB2312" w:eastAsia="仿宋_GB2312" w:cs="仿宋_GB2312"/>
          <w:b w:val="0"/>
          <w:bCs w:val="0"/>
          <w:color w:val="000000"/>
          <w:sz w:val="32"/>
          <w:szCs w:val="32"/>
          <w:lang w:eastAsia="zh-CN"/>
        </w:rPr>
        <w:t>社会保障和就业支出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抚恤</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其他优抚支出</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指其他用于优抚方面的支出。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27.</w:t>
      </w:r>
      <w:r>
        <w:rPr>
          <w:rStyle w:val="14"/>
          <w:rFonts w:hint="eastAsia" w:ascii="仿宋_GB2312" w:hAnsi="仿宋_GB2312" w:eastAsia="仿宋_GB2312" w:cs="仿宋_GB2312"/>
          <w:b w:val="0"/>
          <w:bCs w:val="0"/>
          <w:color w:val="000000"/>
          <w:sz w:val="32"/>
          <w:szCs w:val="32"/>
          <w:lang w:eastAsia="zh-CN"/>
        </w:rPr>
        <w:t>社会保障和就业支出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特困人员救助供养</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农村特困人员救助供养支出</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指农村特困人员救助供养支出。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28.</w:t>
      </w:r>
      <w:r>
        <w:rPr>
          <w:rStyle w:val="14"/>
          <w:rFonts w:hint="eastAsia" w:ascii="仿宋_GB2312" w:hAnsi="仿宋_GB2312" w:eastAsia="仿宋_GB2312" w:cs="仿宋_GB2312"/>
          <w:b w:val="0"/>
          <w:bCs w:val="0"/>
          <w:color w:val="000000"/>
          <w:sz w:val="32"/>
          <w:szCs w:val="32"/>
          <w:lang w:eastAsia="zh-CN"/>
        </w:rPr>
        <w:t>社会保障和就业支出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其他社会保障和就业支出</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其他社会保障和就业支出</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指其他用于社会保障和就业方面的支出。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29.</w:t>
      </w:r>
      <w:r>
        <w:rPr>
          <w:rStyle w:val="14"/>
          <w:rFonts w:hint="eastAsia" w:ascii="仿宋_GB2312" w:hAnsi="仿宋_GB2312" w:eastAsia="仿宋_GB2312" w:cs="仿宋_GB2312"/>
          <w:b w:val="0"/>
          <w:bCs w:val="0"/>
          <w:color w:val="000000"/>
          <w:sz w:val="32"/>
          <w:szCs w:val="32"/>
          <w:lang w:eastAsia="zh-CN"/>
        </w:rPr>
        <w:t>医疗卫生与计划生育支出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行政事业单位医疗</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行政单位医疗</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指财政部门集中安排的行政单位基本医疗保险缴费经费，未参加医疗保险的行政单位的公费医疗经费，按国家规定享受离休人员、红军老战士待遇人员的医疗经费。</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30.</w:t>
      </w:r>
      <w:r>
        <w:rPr>
          <w:rStyle w:val="14"/>
          <w:rFonts w:hint="eastAsia" w:ascii="仿宋_GB2312" w:hAnsi="仿宋_GB2312" w:eastAsia="仿宋_GB2312" w:cs="仿宋_GB2312"/>
          <w:b w:val="0"/>
          <w:bCs w:val="0"/>
          <w:color w:val="000000"/>
          <w:sz w:val="32"/>
          <w:szCs w:val="32"/>
          <w:lang w:eastAsia="zh-CN"/>
        </w:rPr>
        <w:t>医疗卫生与计划生育支出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财政对基本医疗保险基金的补助</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财政对其他基本医疗保险基金的补助</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指财政对其他基本医疗保险基金的补助支出。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val="en-US" w:eastAsia="zh-CN"/>
        </w:rPr>
      </w:pPr>
      <w:r>
        <w:rPr>
          <w:rStyle w:val="14"/>
          <w:rFonts w:hint="eastAsia" w:ascii="仿宋_GB2312" w:hAnsi="仿宋_GB2312" w:eastAsia="仿宋_GB2312" w:cs="仿宋_GB2312"/>
          <w:b w:val="0"/>
          <w:bCs w:val="0"/>
          <w:color w:val="000000"/>
          <w:sz w:val="32"/>
          <w:szCs w:val="32"/>
          <w:lang w:val="en-US" w:eastAsia="zh-CN"/>
        </w:rPr>
        <w:t>31.</w:t>
      </w:r>
      <w:r>
        <w:rPr>
          <w:rStyle w:val="14"/>
          <w:rFonts w:hint="eastAsia" w:ascii="仿宋_GB2312" w:hAnsi="仿宋_GB2312" w:eastAsia="仿宋_GB2312" w:cs="仿宋_GB2312"/>
          <w:b w:val="0"/>
          <w:bCs w:val="0"/>
          <w:color w:val="000000"/>
          <w:sz w:val="32"/>
          <w:szCs w:val="32"/>
          <w:lang w:eastAsia="zh-CN"/>
        </w:rPr>
        <w:t>医疗卫生与计划生育支出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计划生育事务</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其他计划生育事务支出</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指其他用于计划生育管理事务方面的支出。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32.</w:t>
      </w:r>
      <w:r>
        <w:rPr>
          <w:rStyle w:val="14"/>
          <w:rFonts w:hint="eastAsia" w:ascii="仿宋_GB2312" w:hAnsi="仿宋_GB2312" w:eastAsia="仿宋_GB2312" w:cs="仿宋_GB2312"/>
          <w:b w:val="0"/>
          <w:bCs w:val="0"/>
          <w:color w:val="000000"/>
          <w:sz w:val="32"/>
          <w:szCs w:val="32"/>
          <w:lang w:eastAsia="zh-CN"/>
        </w:rPr>
        <w:t>城乡社区支出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城乡社区环境卫生</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城乡社区环境卫生</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指城乡社区道路清扫、垃圾清运与处理、公厕建设与维护、园林绿化等方面的支出。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33.</w:t>
      </w:r>
      <w:r>
        <w:rPr>
          <w:rStyle w:val="14"/>
          <w:rFonts w:hint="eastAsia" w:ascii="仿宋_GB2312" w:hAnsi="仿宋_GB2312" w:eastAsia="仿宋_GB2312" w:cs="仿宋_GB2312"/>
          <w:b w:val="0"/>
          <w:bCs w:val="0"/>
          <w:color w:val="000000"/>
          <w:sz w:val="32"/>
          <w:szCs w:val="32"/>
          <w:lang w:eastAsia="zh-CN"/>
        </w:rPr>
        <w:t>农林水支出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农业</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事业运行</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指用于农业事业单位基本支出，事业单位设施、系统运行与资产维护等方面的支出。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34.</w:t>
      </w:r>
      <w:r>
        <w:rPr>
          <w:rStyle w:val="14"/>
          <w:rFonts w:hint="eastAsia" w:ascii="仿宋_GB2312" w:hAnsi="仿宋_GB2312" w:eastAsia="仿宋_GB2312" w:cs="仿宋_GB2312"/>
          <w:b w:val="0"/>
          <w:bCs w:val="0"/>
          <w:color w:val="000000"/>
          <w:sz w:val="32"/>
          <w:szCs w:val="32"/>
          <w:lang w:eastAsia="zh-CN"/>
        </w:rPr>
        <w:t>农林水支出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林业</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林业事业机构</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指用于林业事业单位的基本支出。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35.</w:t>
      </w:r>
      <w:r>
        <w:rPr>
          <w:rStyle w:val="14"/>
          <w:rFonts w:hint="eastAsia" w:ascii="仿宋_GB2312" w:hAnsi="仿宋_GB2312" w:eastAsia="仿宋_GB2312" w:cs="仿宋_GB2312"/>
          <w:b w:val="0"/>
          <w:bCs w:val="0"/>
          <w:color w:val="000000"/>
          <w:sz w:val="32"/>
          <w:szCs w:val="32"/>
          <w:lang w:eastAsia="zh-CN"/>
        </w:rPr>
        <w:t>农林水支出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水利</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农田水利</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指国家对农田水利和打井、集雨设施、节水灌溉等水利设施的补助，小型水库除险补助以及排灌站、小水电站补助等。</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36.</w:t>
      </w:r>
      <w:r>
        <w:rPr>
          <w:rStyle w:val="14"/>
          <w:rFonts w:hint="eastAsia" w:ascii="仿宋_GB2312" w:hAnsi="仿宋_GB2312" w:eastAsia="仿宋_GB2312" w:cs="仿宋_GB2312"/>
          <w:b w:val="0"/>
          <w:bCs w:val="0"/>
          <w:color w:val="000000"/>
          <w:sz w:val="32"/>
          <w:szCs w:val="32"/>
          <w:lang w:eastAsia="zh-CN"/>
        </w:rPr>
        <w:t>农林水支出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扶贫</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农村基础设施建设</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指用于农村贫困地区乡村道路、住房、基本农田、水利设施、人畜饮水、生态环境保护等生产生活条件改善方面的支出。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37.</w:t>
      </w:r>
      <w:r>
        <w:rPr>
          <w:rStyle w:val="14"/>
          <w:rFonts w:hint="eastAsia" w:ascii="仿宋_GB2312" w:hAnsi="仿宋_GB2312" w:eastAsia="仿宋_GB2312" w:cs="仿宋_GB2312"/>
          <w:b w:val="0"/>
          <w:bCs w:val="0"/>
          <w:color w:val="000000"/>
          <w:sz w:val="32"/>
          <w:szCs w:val="32"/>
          <w:lang w:eastAsia="zh-CN"/>
        </w:rPr>
        <w:t>农林水支出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农村综合改革</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对村级一事一议的补助</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指农村税费改革后对村级公益事业建设一事一议的补助支出。</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val="en-US" w:eastAsia="zh-CN"/>
        </w:rPr>
      </w:pPr>
      <w:r>
        <w:rPr>
          <w:rStyle w:val="14"/>
          <w:rFonts w:hint="eastAsia" w:ascii="仿宋_GB2312" w:hAnsi="仿宋_GB2312" w:eastAsia="仿宋_GB2312" w:cs="仿宋_GB2312"/>
          <w:b w:val="0"/>
          <w:bCs w:val="0"/>
          <w:color w:val="000000"/>
          <w:sz w:val="32"/>
          <w:szCs w:val="32"/>
          <w:lang w:val="en-US" w:eastAsia="zh-CN"/>
        </w:rPr>
        <w:t>38.</w:t>
      </w:r>
      <w:r>
        <w:rPr>
          <w:rStyle w:val="14"/>
          <w:rFonts w:hint="eastAsia" w:ascii="仿宋_GB2312" w:hAnsi="仿宋_GB2312" w:eastAsia="仿宋_GB2312" w:cs="仿宋_GB2312"/>
          <w:b w:val="0"/>
          <w:bCs w:val="0"/>
          <w:color w:val="000000"/>
          <w:sz w:val="32"/>
          <w:szCs w:val="32"/>
          <w:lang w:eastAsia="zh-CN"/>
        </w:rPr>
        <w:t>农林水支出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农村综合改革</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对村民委员会和村党支部的补助</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指各级财政对村民委员会和村党支部的补助支出，以及支持建立县级基本财力保障机制安排的村级组织运转奖补资金。</w:t>
      </w:r>
    </w:p>
    <w:p>
      <w:pPr>
        <w:pageBreakBefore w:val="0"/>
        <w:kinsoku/>
        <w:wordWrap/>
        <w:overflowPunct/>
        <w:topLinePunct w:val="0"/>
        <w:bidi w:val="0"/>
        <w:spacing w:line="520" w:lineRule="exact"/>
        <w:ind w:firstLine="640" w:firstLineChars="200"/>
        <w:rPr>
          <w:rStyle w:val="14"/>
          <w:rFonts w:hint="eastAsia" w:ascii="仿宋_GB2312" w:hAnsi="仿宋_GB2312" w:eastAsia="仿宋_GB2312" w:cs="仿宋_GB2312"/>
          <w:b w:val="0"/>
          <w:bCs w:val="0"/>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39.</w:t>
      </w:r>
      <w:r>
        <w:rPr>
          <w:rStyle w:val="14"/>
          <w:rFonts w:hint="eastAsia" w:ascii="仿宋_GB2312" w:hAnsi="仿宋_GB2312" w:eastAsia="仿宋_GB2312" w:cs="仿宋_GB2312"/>
          <w:b w:val="0"/>
          <w:bCs w:val="0"/>
          <w:color w:val="000000"/>
          <w:sz w:val="32"/>
          <w:szCs w:val="32"/>
          <w:lang w:eastAsia="zh-CN"/>
        </w:rPr>
        <w:t>住房保障支出</w:t>
      </w:r>
      <w:r>
        <w:rPr>
          <w:rStyle w:val="14"/>
          <w:rFonts w:hint="eastAsia" w:ascii="仿宋_GB2312" w:hAnsi="仿宋_GB2312" w:eastAsia="仿宋_GB2312" w:cs="仿宋_GB2312"/>
          <w:b w:val="0"/>
          <w:bCs w:val="0"/>
          <w:color w:val="000000"/>
          <w:sz w:val="32"/>
          <w:szCs w:val="32"/>
        </w:rPr>
        <w:t>（类）</w:t>
      </w:r>
      <w:r>
        <w:rPr>
          <w:rStyle w:val="14"/>
          <w:rFonts w:hint="eastAsia" w:ascii="仿宋_GB2312" w:hAnsi="仿宋_GB2312" w:eastAsia="仿宋_GB2312" w:cs="仿宋_GB2312"/>
          <w:b w:val="0"/>
          <w:bCs w:val="0"/>
          <w:color w:val="000000"/>
          <w:sz w:val="32"/>
          <w:szCs w:val="32"/>
          <w:lang w:eastAsia="zh-CN"/>
        </w:rPr>
        <w:t>住房改革支出</w:t>
      </w:r>
      <w:r>
        <w:rPr>
          <w:rStyle w:val="14"/>
          <w:rFonts w:hint="eastAsia" w:ascii="仿宋_GB2312" w:hAnsi="仿宋_GB2312" w:eastAsia="仿宋_GB2312" w:cs="仿宋_GB2312"/>
          <w:b w:val="0"/>
          <w:bCs w:val="0"/>
          <w:color w:val="000000"/>
          <w:sz w:val="32"/>
          <w:szCs w:val="32"/>
        </w:rPr>
        <w:t>（款）</w:t>
      </w:r>
      <w:r>
        <w:rPr>
          <w:rStyle w:val="14"/>
          <w:rFonts w:hint="eastAsia" w:ascii="仿宋_GB2312" w:hAnsi="仿宋_GB2312" w:eastAsia="仿宋_GB2312" w:cs="仿宋_GB2312"/>
          <w:b w:val="0"/>
          <w:bCs w:val="0"/>
          <w:color w:val="000000"/>
          <w:sz w:val="32"/>
          <w:szCs w:val="32"/>
          <w:lang w:eastAsia="zh-CN"/>
        </w:rPr>
        <w:t>住房公积金</w:t>
      </w:r>
      <w:r>
        <w:rPr>
          <w:rStyle w:val="14"/>
          <w:rFonts w:hint="eastAsia" w:ascii="仿宋_GB2312" w:hAnsi="仿宋_GB2312" w:eastAsia="仿宋_GB2312" w:cs="仿宋_GB2312"/>
          <w:b w:val="0"/>
          <w:bCs w:val="0"/>
          <w:color w:val="000000"/>
          <w:sz w:val="32"/>
          <w:szCs w:val="32"/>
        </w:rPr>
        <w:t>（项）:</w:t>
      </w:r>
      <w:r>
        <w:rPr>
          <w:rStyle w:val="14"/>
          <w:rFonts w:hint="eastAsia" w:ascii="仿宋_GB2312" w:hAnsi="仿宋_GB2312" w:eastAsia="仿宋_GB2312" w:cs="仿宋_GB2312"/>
          <w:b w:val="0"/>
          <w:bCs w:val="0"/>
          <w:color w:val="000000"/>
          <w:sz w:val="32"/>
          <w:szCs w:val="32"/>
          <w:lang w:eastAsia="zh-CN"/>
        </w:rPr>
        <w:t>指行政事业单位按人力资源和社会保障部、财政部规定的基本工资和津贴补贴以及规定比例为职工缴纳的住房公积金。</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40</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41</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42</w:t>
      </w:r>
      <w:r>
        <w:rPr>
          <w:rFonts w:hint="eastAsia" w:ascii="仿宋_GB2312" w:hAnsi="仿宋_GB2312" w:eastAsia="仿宋_GB2312" w:cs="仿宋_GB2312"/>
          <w:color w:val="000000"/>
          <w:sz w:val="32"/>
          <w:szCs w:val="32"/>
        </w:rPr>
        <w:t>.经营支出：指事业单位在专业业务活动及其辅助活动之外开展非独立核算经营活动发生的支出。</w:t>
      </w:r>
    </w:p>
    <w:p>
      <w:pPr>
        <w:pStyle w:val="25"/>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p>
    <w:p>
      <w:pPr>
        <w:pageBreakBefore w:val="0"/>
        <w:kinsoku/>
        <w:wordWrap/>
        <w:overflowPunct/>
        <w:topLinePunct w:val="0"/>
        <w:bidi w:val="0"/>
        <w:spacing w:line="520" w:lineRule="exact"/>
        <w:jc w:val="center"/>
        <w:outlineLvl w:val="0"/>
        <w:rPr>
          <w:rStyle w:val="17"/>
          <w:rFonts w:hint="eastAsia" w:ascii="仿宋_GB2312" w:hAnsi="仿宋_GB2312" w:eastAsia="仿宋_GB2312" w:cs="仿宋_GB2312"/>
          <w:b w:val="0"/>
        </w:rPr>
      </w:pPr>
      <w:bookmarkStart w:id="57" w:name="_Toc15377226"/>
      <w:r>
        <w:rPr>
          <w:rFonts w:hint="eastAsia" w:ascii="仿宋_GB2312" w:hAnsi="仿宋_GB2312" w:eastAsia="仿宋_GB2312" w:cs="仿宋_GB2312"/>
          <w:b/>
          <w:color w:val="000000"/>
          <w:sz w:val="44"/>
          <w:szCs w:val="44"/>
        </w:rPr>
        <w:br w:type="page"/>
      </w:r>
      <w:bookmarkStart w:id="58" w:name="_Toc15396614"/>
      <w:r>
        <w:rPr>
          <w:rFonts w:hint="eastAsia" w:ascii="黑体" w:hAnsi="黑体" w:eastAsia="黑体" w:cs="黑体"/>
          <w:color w:val="000000"/>
          <w:sz w:val="44"/>
          <w:szCs w:val="44"/>
        </w:rPr>
        <w:t>第</w:t>
      </w:r>
      <w:r>
        <w:rPr>
          <w:rStyle w:val="17"/>
          <w:rFonts w:hint="eastAsia" w:ascii="黑体" w:hAnsi="黑体" w:eastAsia="黑体" w:cs="黑体"/>
          <w:b w:val="0"/>
        </w:rPr>
        <w:t>四部分 附件</w:t>
      </w:r>
      <w:bookmarkEnd w:id="58"/>
    </w:p>
    <w:p>
      <w:pPr>
        <w:pageBreakBefore w:val="0"/>
        <w:kinsoku/>
        <w:wordWrap/>
        <w:overflowPunct/>
        <w:topLinePunct w:val="0"/>
        <w:bidi w:val="0"/>
        <w:spacing w:line="520" w:lineRule="exact"/>
        <w:jc w:val="center"/>
        <w:outlineLvl w:val="0"/>
        <w:rPr>
          <w:rStyle w:val="17"/>
          <w:rFonts w:hint="eastAsia" w:ascii="仿宋_GB2312" w:hAnsi="仿宋_GB2312" w:eastAsia="仿宋_GB2312" w:cs="仿宋_GB2312"/>
        </w:rPr>
      </w:pPr>
    </w:p>
    <w:p>
      <w:pPr>
        <w:pStyle w:val="4"/>
        <w:pageBreakBefore w:val="0"/>
        <w:kinsoku/>
        <w:wordWrap/>
        <w:overflowPunct/>
        <w:topLinePunct w:val="0"/>
        <w:bidi w:val="0"/>
        <w:spacing w:before="0" w:after="0" w:line="520" w:lineRule="exact"/>
        <w:rPr>
          <w:rStyle w:val="17"/>
          <w:rFonts w:hint="eastAsia" w:ascii="仿宋_GB2312" w:hAnsi="仿宋_GB2312" w:eastAsia="仿宋_GB2312" w:cs="仿宋_GB2312"/>
          <w:b w:val="0"/>
          <w:bCs w:val="0"/>
          <w:sz w:val="32"/>
          <w:szCs w:val="32"/>
        </w:rPr>
      </w:pPr>
      <w:bookmarkStart w:id="59" w:name="_Toc15396615"/>
      <w:r>
        <w:rPr>
          <w:rStyle w:val="17"/>
          <w:rFonts w:hint="eastAsia" w:ascii="仿宋_GB2312" w:hAnsi="仿宋_GB2312" w:eastAsia="仿宋_GB2312" w:cs="仿宋_GB2312"/>
          <w:b w:val="0"/>
          <w:bCs w:val="0"/>
          <w:sz w:val="32"/>
          <w:szCs w:val="32"/>
        </w:rPr>
        <w:t>附件1</w:t>
      </w:r>
      <w:bookmarkEnd w:id="59"/>
    </w:p>
    <w:p>
      <w:pPr>
        <w:pageBreakBefore w:val="0"/>
        <w:kinsoku/>
        <w:wordWrap/>
        <w:overflowPunct/>
        <w:topLinePunct w:val="0"/>
        <w:bidi w:val="0"/>
        <w:spacing w:line="520" w:lineRule="exact"/>
        <w:jc w:val="center"/>
        <w:outlineLvl w:val="0"/>
        <w:rPr>
          <w:rFonts w:hint="eastAsia" w:ascii="仿宋" w:hAnsi="仿宋" w:eastAsia="仿宋" w:cs="仿宋"/>
          <w:b/>
          <w:bCs/>
          <w:sz w:val="36"/>
          <w:szCs w:val="36"/>
        </w:rPr>
      </w:pPr>
      <w:bookmarkStart w:id="60" w:name="_Toc15396616"/>
      <w:r>
        <w:rPr>
          <w:rFonts w:hint="eastAsia" w:ascii="仿宋" w:hAnsi="仿宋" w:eastAsia="仿宋" w:cs="仿宋"/>
          <w:b/>
          <w:bCs/>
          <w:sz w:val="36"/>
          <w:szCs w:val="36"/>
          <w:lang w:eastAsia="zh-CN"/>
        </w:rPr>
        <w:t>袁市镇人民政府</w:t>
      </w:r>
      <w:r>
        <w:rPr>
          <w:rFonts w:hint="eastAsia" w:ascii="仿宋" w:hAnsi="仿宋" w:eastAsia="仿宋" w:cs="仿宋"/>
          <w:b/>
          <w:bCs/>
          <w:sz w:val="36"/>
          <w:szCs w:val="36"/>
        </w:rPr>
        <w:t>2018年部门整体支出绩效评价报告</w:t>
      </w:r>
      <w:bookmarkEnd w:id="60"/>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color w:val="auto"/>
          <w:sz w:val="32"/>
          <w:szCs w:val="32"/>
        </w:rPr>
      </w:pP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为进一步规范财政资金管理，牢固树立预算绩效理念，强化支出责任，提高财政资金使用效益，我们根据《</w:t>
      </w:r>
      <w:r>
        <w:rPr>
          <w:rFonts w:hint="eastAsia" w:ascii="仿宋_GB2312" w:hAnsi="仿宋_GB2312" w:eastAsia="仿宋_GB2312" w:cs="仿宋_GB2312"/>
          <w:color w:val="auto"/>
          <w:sz w:val="32"/>
          <w:szCs w:val="32"/>
          <w:lang w:eastAsia="zh-CN"/>
        </w:rPr>
        <w:t>邻水</w:t>
      </w:r>
      <w:r>
        <w:rPr>
          <w:rFonts w:hint="eastAsia" w:ascii="仿宋_GB2312" w:hAnsi="仿宋_GB2312" w:eastAsia="仿宋_GB2312" w:cs="仿宋_GB2312"/>
          <w:color w:val="auto"/>
          <w:sz w:val="32"/>
          <w:szCs w:val="32"/>
        </w:rPr>
        <w:t>县关于全面推进预算绩效管理的实施意见》结合我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的具体情况，认真组织开展了</w:t>
      </w:r>
      <w:r>
        <w:rPr>
          <w:rFonts w:hint="eastAsia" w:ascii="仿宋_GB2312" w:hAnsi="仿宋_GB2312" w:eastAsia="仿宋_GB2312" w:cs="仿宋_GB2312"/>
          <w:color w:val="auto"/>
          <w:sz w:val="32"/>
          <w:szCs w:val="32"/>
          <w:lang w:eastAsia="zh-CN"/>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年度部门预算绩效自评工作，现将我</w:t>
      </w:r>
      <w:r>
        <w:rPr>
          <w:rFonts w:hint="eastAsia" w:ascii="仿宋_GB2312" w:hAnsi="仿宋_GB2312" w:eastAsia="仿宋_GB2312" w:cs="仿宋_GB2312"/>
          <w:color w:val="auto"/>
          <w:sz w:val="32"/>
          <w:szCs w:val="32"/>
          <w:lang w:eastAsia="zh-CN"/>
        </w:rPr>
        <w:t>镇201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年度部门整体支出绩效评价情况报告如下：</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部门概况</w:t>
      </w:r>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（一）机构组成</w:t>
      </w:r>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我镇内设党政办公室、财政所、社会事业服务站、就业和社会保障服务中心、村建环卫服务中心等</w:t>
      </w:r>
      <w:r>
        <w:rPr>
          <w:rFonts w:hint="eastAsia" w:ascii="仿宋_GB2312" w:hAnsi="仿宋_GB2312" w:eastAsia="仿宋_GB2312" w:cs="仿宋_GB2312"/>
          <w:color w:val="auto"/>
          <w:sz w:val="32"/>
          <w:szCs w:val="32"/>
          <w:lang w:val="en-US" w:eastAsia="zh-CN"/>
        </w:rPr>
        <w:t>4个职能股室</w:t>
      </w:r>
      <w:r>
        <w:rPr>
          <w:rFonts w:hint="eastAsia" w:ascii="仿宋_GB2312" w:hAnsi="仿宋_GB2312" w:eastAsia="仿宋_GB2312" w:cs="仿宋_GB2312"/>
          <w:color w:val="auto"/>
          <w:sz w:val="32"/>
          <w:szCs w:val="32"/>
          <w:lang w:eastAsia="zh-CN"/>
        </w:rPr>
        <w:t>，县直属部门农技站、农机站、林业站、广播站等</w:t>
      </w:r>
      <w:r>
        <w:rPr>
          <w:rFonts w:hint="eastAsia" w:ascii="仿宋_GB2312" w:hAnsi="仿宋_GB2312" w:eastAsia="仿宋_GB2312" w:cs="仿宋_GB2312"/>
          <w:color w:val="auto"/>
          <w:sz w:val="32"/>
          <w:szCs w:val="32"/>
          <w:lang w:val="en-US" w:eastAsia="zh-CN"/>
        </w:rPr>
        <w:t>4个职能股室</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（二）机构职能</w:t>
      </w:r>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spacing w:val="8"/>
          <w:kern w:val="0"/>
          <w:sz w:val="32"/>
          <w:szCs w:val="32"/>
          <w:lang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属于行政</w:t>
      </w:r>
      <w:r>
        <w:rPr>
          <w:rFonts w:hint="eastAsia" w:ascii="仿宋_GB2312" w:hAnsi="仿宋_GB2312" w:eastAsia="仿宋_GB2312" w:cs="仿宋_GB2312"/>
          <w:color w:val="auto"/>
          <w:sz w:val="32"/>
          <w:szCs w:val="32"/>
          <w:lang w:eastAsia="zh-CN"/>
        </w:rPr>
        <w:t>事业</w:t>
      </w:r>
      <w:r>
        <w:rPr>
          <w:rFonts w:hint="eastAsia" w:ascii="仿宋_GB2312" w:hAnsi="仿宋_GB2312" w:eastAsia="仿宋_GB2312" w:cs="仿宋_GB2312"/>
          <w:color w:val="auto"/>
          <w:sz w:val="32"/>
          <w:szCs w:val="32"/>
        </w:rPr>
        <w:t>单位，承担政府日常社会事务的各项政治、经济、文化、社会保障等工作。</w:t>
      </w:r>
      <w:r>
        <w:rPr>
          <w:rFonts w:hint="eastAsia" w:ascii="仿宋_GB2312" w:hAnsi="仿宋_GB2312" w:eastAsia="仿宋_GB2312" w:cs="仿宋_GB2312"/>
          <w:color w:val="auto"/>
          <w:spacing w:val="8"/>
          <w:kern w:val="0"/>
          <w:sz w:val="32"/>
          <w:szCs w:val="32"/>
        </w:rPr>
        <w:t>贯彻执行国家财税方面政策，承担各项财政收支管理责任，负责编制年度预决算草案并组织执行，以及监督财政性经济发展支出等财政管理相关工作的组成部门。坚持依法科学理财，抓好增收节支，全面完成镇人代会通过的财政收支预算目标，促进经济发展，不断保障和改善民生</w:t>
      </w:r>
      <w:r>
        <w:rPr>
          <w:rFonts w:hint="eastAsia" w:ascii="仿宋_GB2312" w:hAnsi="仿宋_GB2312" w:eastAsia="仿宋_GB2312" w:cs="仿宋_GB2312"/>
          <w:color w:val="auto"/>
          <w:spacing w:val="8"/>
          <w:kern w:val="0"/>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574" w:firstLineChars="171"/>
        <w:jc w:val="left"/>
        <w:textAlignment w:val="auto"/>
        <w:rPr>
          <w:rFonts w:hint="eastAsia" w:ascii="仿宋_GB2312" w:hAnsi="仿宋_GB2312" w:eastAsia="仿宋_GB2312" w:cs="仿宋_GB2312"/>
          <w:color w:val="auto"/>
          <w:spacing w:val="8"/>
          <w:kern w:val="0"/>
          <w:sz w:val="32"/>
          <w:szCs w:val="32"/>
          <w:lang w:eastAsia="zh-CN"/>
        </w:rPr>
      </w:pPr>
      <w:r>
        <w:rPr>
          <w:rFonts w:hint="eastAsia" w:ascii="仿宋_GB2312" w:hAnsi="仿宋_GB2312" w:eastAsia="仿宋_GB2312" w:cs="仿宋_GB2312"/>
          <w:color w:val="auto"/>
          <w:spacing w:val="8"/>
          <w:kern w:val="0"/>
          <w:sz w:val="32"/>
          <w:szCs w:val="32"/>
          <w:lang w:eastAsia="zh-CN"/>
        </w:rPr>
        <w:t>（三）人员概况</w:t>
      </w:r>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行政编制27人，事业编制 30人，2018年底实有行政人员 26人，事业人员 29人，单位</w:t>
      </w:r>
      <w:r>
        <w:rPr>
          <w:rFonts w:hint="eastAsia" w:ascii="仿宋_GB2312" w:hAnsi="仿宋_GB2312" w:eastAsia="仿宋_GB2312" w:cs="仿宋_GB2312"/>
          <w:color w:val="auto"/>
          <w:sz w:val="32"/>
          <w:szCs w:val="32"/>
          <w:lang w:eastAsia="zh-CN"/>
        </w:rPr>
        <w:t>返</w:t>
      </w:r>
      <w:r>
        <w:rPr>
          <w:rFonts w:hint="eastAsia" w:ascii="仿宋_GB2312" w:hAnsi="仿宋_GB2312" w:eastAsia="仿宋_GB2312" w:cs="仿宋_GB2312"/>
          <w:color w:val="auto"/>
          <w:sz w:val="32"/>
          <w:szCs w:val="32"/>
        </w:rPr>
        <w:t>聘</w:t>
      </w:r>
      <w:r>
        <w:rPr>
          <w:rFonts w:hint="eastAsia" w:ascii="仿宋_GB2312" w:hAnsi="仿宋_GB2312" w:eastAsia="仿宋_GB2312" w:cs="仿宋_GB2312"/>
          <w:color w:val="auto"/>
          <w:sz w:val="32"/>
          <w:szCs w:val="32"/>
          <w:lang w:eastAsia="zh-CN"/>
        </w:rPr>
        <w:t>分流人员</w:t>
      </w:r>
      <w:r>
        <w:rPr>
          <w:rFonts w:hint="eastAsia" w:ascii="仿宋_GB2312" w:hAnsi="仿宋_GB2312" w:eastAsia="仿宋_GB2312" w:cs="仿宋_GB2312"/>
          <w:color w:val="auto"/>
          <w:sz w:val="32"/>
          <w:szCs w:val="32"/>
        </w:rPr>
        <w:t>9人。</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二、部门财政资金收支情况</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（一）部门</w:t>
      </w:r>
      <w:r>
        <w:rPr>
          <w:rFonts w:hint="eastAsia" w:ascii="仿宋_GB2312" w:hAnsi="仿宋_GB2312" w:eastAsia="仿宋_GB2312" w:cs="仿宋_GB2312"/>
          <w:color w:val="auto"/>
          <w:sz w:val="32"/>
          <w:szCs w:val="32"/>
          <w:lang w:eastAsia="zh-CN"/>
        </w:rPr>
        <w:t>财政资金收入情况</w:t>
      </w:r>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2018年我镇收入决算总额为1411.46万元，其中：当年财政拨款收入1411.46万元，事业收入0万元，上年结转收入0万元。收入决算总额较2017年增加290.03万元，增加26%，主要原因是用于革命老区建设。</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财政资金支出情况</w:t>
      </w:r>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2018年我镇支出决算总额为1411.46万元，其中：</w:t>
      </w:r>
      <w:r>
        <w:rPr>
          <w:rFonts w:hint="eastAsia" w:ascii="仿宋_GB2312" w:hAnsi="仿宋_GB2312" w:eastAsia="仿宋_GB2312" w:cs="仿宋_GB2312"/>
          <w:b/>
          <w:color w:val="auto"/>
          <w:sz w:val="32"/>
          <w:szCs w:val="32"/>
        </w:rPr>
        <w:t>按功能分类</w:t>
      </w:r>
      <w:r>
        <w:rPr>
          <w:rFonts w:hint="eastAsia" w:ascii="仿宋_GB2312" w:hAnsi="仿宋_GB2312" w:eastAsia="仿宋_GB2312" w:cs="仿宋_GB2312"/>
          <w:color w:val="auto"/>
          <w:sz w:val="32"/>
          <w:szCs w:val="32"/>
        </w:rPr>
        <w:t>，分别为</w:t>
      </w:r>
      <w:r>
        <w:rPr>
          <w:rFonts w:hint="eastAsia" w:ascii="仿宋_GB2312" w:hAnsi="仿宋_GB2312" w:eastAsia="仿宋_GB2312" w:cs="仿宋_GB2312"/>
          <w:color w:val="auto"/>
          <w:kern w:val="0"/>
          <w:sz w:val="32"/>
          <w:szCs w:val="32"/>
        </w:rPr>
        <w:t>一般公共服务支出380.21万元，国防支出1万元，文化体育与传媒支出60.29万元，社会保障和就业228.48万元，医疗卫生28.07万元，城镇社区支出99.29万元，农林水支出574.7万元，住房保障等支出39.42万元，年末结转和结余0万元。</w:t>
      </w:r>
      <w:r>
        <w:rPr>
          <w:rFonts w:hint="eastAsia" w:ascii="仿宋_GB2312" w:hAnsi="仿宋_GB2312" w:eastAsia="仿宋_GB2312" w:cs="仿宋_GB2312"/>
          <w:b/>
          <w:color w:val="auto"/>
          <w:sz w:val="32"/>
          <w:szCs w:val="32"/>
        </w:rPr>
        <w:t>支出按经济分</w:t>
      </w:r>
      <w:r>
        <w:rPr>
          <w:rFonts w:hint="eastAsia" w:ascii="仿宋_GB2312" w:hAnsi="仿宋_GB2312" w:eastAsia="仿宋_GB2312" w:cs="仿宋_GB2312"/>
          <w:color w:val="auto"/>
          <w:sz w:val="32"/>
          <w:szCs w:val="32"/>
        </w:rPr>
        <w:t>类为：工资福利支出551.15万元，与上年相比，工资福利支出增加79.53万元，主要原因是人员增加及工资调资；商品和服务支出235.57万元，比上年增加72.74万元，主要原因在于决算相关科目改变，预算科目调整；对个人和家庭补助支出307.72万元，比上年减少63.58万元，主要在于相关科目的调整变化，金额发生变化；其他资本性支出317.56万元，比去年增加221.38万元，革命老区项目建设增加，相关费用增加。</w:t>
      </w:r>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2018年，我单位基本支出912.23万元，主要用于基本工资、津贴补贴等人员经费以及办公费、印刷费、水电费、办公设备购置等日常公用经费。</w:t>
      </w:r>
    </w:p>
    <w:p>
      <w:pPr>
        <w:keepNext w:val="0"/>
        <w:keepLines w:val="0"/>
        <w:pageBreakBefore w:val="0"/>
        <w:kinsoku/>
        <w:wordWrap/>
        <w:overflowPunct/>
        <w:topLinePunct w:val="0"/>
        <w:autoSpaceDE/>
        <w:autoSpaceDN/>
        <w:bidi w:val="0"/>
        <w:adjustRightInd/>
        <w:snapToGrid/>
        <w:spacing w:line="520" w:lineRule="exact"/>
        <w:ind w:firstLine="547" w:firstLineChars="171"/>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2018年项目支出499.23万元，主要是用于一般公共服务86.84万元，国防征兵1万元，社会保障和就业20.3万元，城乡社区管理事务82.6万元，农林水等如农村道路建设、运维资金等303.5万元。</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三、部门整体预算绩效管理情况</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2018年，在县委、县政府和上级</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部门的正确领导下，我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紧紧围绕年度目标任务，勇于创新、扎实工作，全面完成了各项工作任务，取得了良好的工作业绩。</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部门预算管理</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预决算公开：</w:t>
      </w:r>
      <w:r>
        <w:rPr>
          <w:rFonts w:hint="eastAsia" w:ascii="仿宋_GB2312" w:hAnsi="仿宋_GB2312" w:eastAsia="仿宋_GB2312" w:cs="仿宋_GB2312"/>
          <w:color w:val="auto"/>
          <w:sz w:val="32"/>
          <w:szCs w:val="32"/>
          <w:lang w:eastAsia="zh-CN"/>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年，按照上级的要求，我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在本</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的网站上进行了预决算公开。</w:t>
      </w:r>
    </w:p>
    <w:p>
      <w:pPr>
        <w:keepNext w:val="0"/>
        <w:keepLines w:val="0"/>
        <w:pageBreakBefore w:val="0"/>
        <w:kinsoku/>
        <w:wordWrap/>
        <w:overflowPunct/>
        <w:topLinePunct w:val="0"/>
        <w:autoSpaceDE/>
        <w:autoSpaceDN/>
        <w:bidi w:val="0"/>
        <w:adjustRightInd/>
        <w:snapToGrid/>
        <w:spacing w:line="520" w:lineRule="exact"/>
        <w:ind w:firstLine="537" w:firstLineChars="168"/>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lang w:eastAsia="zh-CN"/>
        </w:rPr>
        <w:t>“三公”经费</w:t>
      </w:r>
      <w:r>
        <w:rPr>
          <w:rFonts w:hint="eastAsia" w:ascii="仿宋_GB2312" w:hAnsi="仿宋_GB2312" w:eastAsia="仿宋_GB2312" w:cs="仿宋_GB2312"/>
          <w:color w:val="auto"/>
          <w:sz w:val="32"/>
          <w:szCs w:val="32"/>
        </w:rPr>
        <w:t>控制情况：贯彻落实上级有关精神，严格控制</w:t>
      </w:r>
      <w:r>
        <w:rPr>
          <w:rFonts w:hint="eastAsia" w:ascii="仿宋_GB2312" w:hAnsi="仿宋_GB2312" w:eastAsia="仿宋_GB2312" w:cs="仿宋_GB2312"/>
          <w:color w:val="auto"/>
          <w:sz w:val="32"/>
          <w:szCs w:val="32"/>
          <w:lang w:eastAsia="zh-CN"/>
        </w:rPr>
        <w:t>“三公”经费</w:t>
      </w:r>
      <w:r>
        <w:rPr>
          <w:rFonts w:hint="eastAsia" w:ascii="仿宋_GB2312" w:hAnsi="仿宋_GB2312" w:eastAsia="仿宋_GB2312" w:cs="仿宋_GB2312"/>
          <w:color w:val="auto"/>
          <w:sz w:val="32"/>
          <w:szCs w:val="32"/>
        </w:rPr>
        <w:t>支出，取得了良好效果。2018年，我单位三公经费支出11.86万元，比上年减少1.6万元。比上年减少11.64%。其中：无公务用车运行及维护费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公务接待费11.86万元，主要是用于日常工作中接待事宜，比上年减少1.6万元，比上年减少11.64%；无因公出国（境）费。同时，按照上级的要求，在本</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的网站上对“三公”经费情况进行了公示。</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333333"/>
          <w:sz w:val="32"/>
          <w:szCs w:val="32"/>
        </w:rPr>
        <w:t>②基本支出</w:t>
      </w:r>
      <w:r>
        <w:rPr>
          <w:rFonts w:hint="eastAsia" w:ascii="仿宋_GB2312" w:hAnsi="仿宋_GB2312" w:eastAsia="仿宋_GB2312" w:cs="仿宋_GB2312"/>
          <w:color w:val="333333"/>
          <w:sz w:val="32"/>
          <w:szCs w:val="32"/>
          <w:lang w:eastAsia="zh-CN"/>
        </w:rPr>
        <w:t>：确保政府</w:t>
      </w:r>
      <w:r>
        <w:rPr>
          <w:rFonts w:hint="eastAsia" w:ascii="仿宋_GB2312" w:hAnsi="仿宋_GB2312" w:eastAsia="仿宋_GB2312" w:cs="仿宋_GB2312"/>
          <w:color w:val="333333"/>
          <w:sz w:val="32"/>
          <w:szCs w:val="32"/>
        </w:rPr>
        <w:t>正常工作运转</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auto"/>
          <w:sz w:val="32"/>
          <w:szCs w:val="32"/>
          <w:lang w:eastAsia="zh-CN"/>
        </w:rPr>
        <w:t>在资金使用上一直按照国家财经法规和本单位财务管理制度规定以及有关专项资金管理办法的规定收支，资金拨付有完整的审批程序和手续，按照财经制度的有关要求，有计划地安排、使用资金，严格财务审批制度。重大开支党组会集体研究，保证资金使用合法合规，同时资金使用无截留、挤占、挪用、虚列支出等情况。</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结果应用情况</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2018年，我镇积极履职，强化管理，较好的完成了年度工作目标。通过加强预算收支管理，不断建立健全内部管理制度，梳理内部管理流程，整体支出管理水平得到提升。</w:t>
      </w:r>
      <w:r>
        <w:rPr>
          <w:rFonts w:hint="eastAsia" w:ascii="仿宋_GB2312" w:hAnsi="仿宋_GB2312" w:eastAsia="仿宋_GB2312" w:cs="仿宋_GB2312"/>
          <w:color w:val="auto"/>
          <w:sz w:val="32"/>
          <w:szCs w:val="32"/>
        </w:rPr>
        <w:t>从整体情况来看，我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严格按照年初预算进行部门整体支出。在支出过程中，能严格遵守各项规章制度，</w:t>
      </w:r>
      <w:r>
        <w:rPr>
          <w:rFonts w:hint="eastAsia" w:ascii="仿宋_GB2312" w:hAnsi="仿宋_GB2312" w:eastAsia="仿宋_GB2312" w:cs="仿宋_GB2312"/>
          <w:color w:val="auto"/>
          <w:sz w:val="32"/>
          <w:szCs w:val="32"/>
          <w:lang w:eastAsia="zh-CN"/>
        </w:rPr>
        <w:t>“三公”经费</w:t>
      </w:r>
      <w:r>
        <w:rPr>
          <w:rFonts w:hint="eastAsia" w:ascii="仿宋_GB2312" w:hAnsi="仿宋_GB2312" w:eastAsia="仿宋_GB2312" w:cs="仿宋_GB2312"/>
          <w:color w:val="auto"/>
          <w:sz w:val="32"/>
          <w:szCs w:val="32"/>
        </w:rPr>
        <w:t>从严管理，认真执行联审会签审核制度。所有项目都详细制定了方案，严格按方案组织实施，并加强了监督。尤其是在专项经费支出上，我们能专款专用，按项目实施计划的进度情况进行资金拨付，无截留、无挪用等现象。实行了先有预算、后有执行、“用钱必问效、无效必问责”的新常态。</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四、评价结论及建议</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（一）评价结论</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根据对我镇2018年部门整体支出绩效评价指标体系和绩效情况的检查，通过自评，2018年我镇部门整体绩效自评分9</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分。</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（二）存在问题。</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1.强化机关经费预算管理的刚性约束，项目支出按预算和工作进度执行，进一步规范各项支出预算控制率有待降低。</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 专项资金少，民生、资金压力大。针对我镇农村经济基础薄弱、资金压力大的现状，重点产业项目尚需进一步的加强。</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（三）改进建议</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1、细化预算编制工作，认真做好预算的编制。进一步加强内设机构的预算管理意识，严格按照预算编制的相关制度和要求进行预算编制。</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4、加强对财务人员培训，特别是针对《预算法》、《行政事业单位会计制度》等学习培训，规范部门预算收支核算，切实提高部门预算收支管理水平。</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color w:val="auto"/>
          <w:sz w:val="32"/>
          <w:szCs w:val="32"/>
          <w:lang w:eastAsia="zh-CN"/>
        </w:rPr>
      </w:pP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仿宋_GB2312" w:eastAsia="仿宋_GB2312" w:cs="仿宋_GB2312"/>
          <w:color w:val="auto"/>
          <w:sz w:val="32"/>
          <w:szCs w:val="32"/>
          <w:lang w:eastAsia="zh-CN"/>
        </w:rPr>
      </w:pP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48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p>
    <w:p>
      <w:pPr>
        <w:pageBreakBefore w:val="0"/>
        <w:widowControl/>
        <w:kinsoku/>
        <w:wordWrap/>
        <w:overflowPunct/>
        <w:topLinePunct w:val="0"/>
        <w:bidi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pageBreakBefore w:val="0"/>
        <w:kinsoku/>
        <w:wordWrap/>
        <w:overflowPunct/>
        <w:topLinePunct w:val="0"/>
        <w:bidi w:val="0"/>
        <w:spacing w:before="0" w:after="0" w:line="520" w:lineRule="exact"/>
        <w:rPr>
          <w:rStyle w:val="17"/>
          <w:rFonts w:hint="eastAsia" w:ascii="仿宋_GB2312" w:hAnsi="仿宋_GB2312" w:eastAsia="仿宋_GB2312" w:cs="仿宋_GB2312"/>
          <w:b w:val="0"/>
          <w:bCs w:val="0"/>
          <w:sz w:val="32"/>
          <w:szCs w:val="32"/>
        </w:rPr>
      </w:pPr>
      <w:bookmarkStart w:id="61" w:name="_Toc15396617"/>
      <w:r>
        <w:rPr>
          <w:rStyle w:val="17"/>
          <w:rFonts w:hint="eastAsia" w:ascii="仿宋_GB2312" w:hAnsi="仿宋_GB2312" w:eastAsia="仿宋_GB2312" w:cs="仿宋_GB2312"/>
          <w:b w:val="0"/>
          <w:bCs w:val="0"/>
          <w:sz w:val="32"/>
          <w:szCs w:val="32"/>
        </w:rPr>
        <w:t>附件2</w:t>
      </w:r>
      <w:bookmarkEnd w:id="61"/>
    </w:p>
    <w:p>
      <w:pPr>
        <w:rPr>
          <w:rFonts w:hint="eastAsia"/>
        </w:rPr>
      </w:pPr>
    </w:p>
    <w:p>
      <w:pPr>
        <w:pageBreakBefore w:val="0"/>
        <w:kinsoku/>
        <w:wordWrap/>
        <w:overflowPunct/>
        <w:topLinePunct w:val="0"/>
        <w:bidi w:val="0"/>
        <w:spacing w:line="52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2018年服务群众专项经费项目支出绩效评价报告</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p>
    <w:p>
      <w:pPr>
        <w:pageBreakBefore w:val="0"/>
        <w:kinsoku/>
        <w:wordWrap/>
        <w:overflowPunct/>
        <w:topLinePunct w:val="0"/>
        <w:bidi w:val="0"/>
        <w:spacing w:line="520" w:lineRule="exact"/>
        <w:ind w:firstLine="640" w:firstLineChars="200"/>
        <w:jc w:val="left"/>
        <w:rPr>
          <w:rFonts w:hint="eastAsia" w:ascii="仿宋_GB2312" w:hAnsi="仿宋_GB2312" w:eastAsia="仿宋_GB2312" w:cs="仿宋_GB2312"/>
          <w:sz w:val="32"/>
          <w:szCs w:val="32"/>
        </w:rPr>
      </w:pPr>
      <w:bookmarkStart w:id="62" w:name="_Toc15396618"/>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上级财政局</w:t>
      </w:r>
      <w:r>
        <w:rPr>
          <w:rFonts w:hint="eastAsia" w:ascii="仿宋_GB2312" w:hAnsi="仿宋_GB2312" w:eastAsia="仿宋_GB2312" w:cs="仿宋_GB2312"/>
          <w:sz w:val="32"/>
          <w:szCs w:val="32"/>
        </w:rPr>
        <w:t>要求，我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组织人员对</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万的预算项目开展绩效自评工作，经</w:t>
      </w:r>
      <w:r>
        <w:rPr>
          <w:rFonts w:hint="eastAsia" w:ascii="仿宋_GB2312" w:hAnsi="仿宋_GB2312" w:eastAsia="仿宋_GB2312" w:cs="仿宋_GB2312"/>
          <w:b w:val="0"/>
          <w:bCs w:val="0"/>
          <w:sz w:val="32"/>
          <w:szCs w:val="32"/>
        </w:rPr>
        <w:t>自查，我</w:t>
      </w:r>
      <w:r>
        <w:rPr>
          <w:rFonts w:hint="eastAsia" w:ascii="仿宋_GB2312" w:hAnsi="仿宋_GB2312" w:eastAsia="仿宋_GB2312" w:cs="仿宋_GB2312"/>
          <w:b w:val="0"/>
          <w:bCs w:val="0"/>
          <w:sz w:val="32"/>
          <w:szCs w:val="32"/>
          <w:lang w:eastAsia="zh-CN"/>
        </w:rPr>
        <w:t>镇</w:t>
      </w:r>
      <w:r>
        <w:rPr>
          <w:rFonts w:hint="eastAsia" w:ascii="仿宋_GB2312" w:hAnsi="仿宋_GB2312" w:eastAsia="仿宋_GB2312" w:cs="仿宋_GB2312"/>
          <w:b w:val="0"/>
          <w:bCs w:val="0"/>
          <w:sz w:val="32"/>
          <w:szCs w:val="32"/>
        </w:rPr>
        <w:t>项目需绩效自评的为</w:t>
      </w:r>
      <w:r>
        <w:rPr>
          <w:rFonts w:hint="eastAsia" w:ascii="仿宋_GB2312" w:hAnsi="仿宋_GB2312" w:eastAsia="仿宋_GB2312" w:cs="仿宋_GB2312"/>
          <w:b w:val="0"/>
          <w:bCs w:val="0"/>
          <w:sz w:val="32"/>
          <w:szCs w:val="32"/>
          <w:lang w:eastAsia="zh-CN"/>
        </w:rPr>
        <w:t>社区</w:t>
      </w:r>
      <w:r>
        <w:rPr>
          <w:rFonts w:hint="eastAsia" w:ascii="仿宋_GB2312" w:hAnsi="仿宋_GB2312" w:eastAsia="仿宋_GB2312" w:cs="仿宋_GB2312"/>
          <w:b w:val="0"/>
          <w:bCs w:val="0"/>
          <w:sz w:val="32"/>
          <w:szCs w:val="32"/>
        </w:rPr>
        <w:t>服务群众专项经费，现将自评情况报告如下：</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pageBreakBefore w:val="0"/>
        <w:kinsoku/>
        <w:wordWrap/>
        <w:overflowPunct/>
        <w:topLinePunct w:val="0"/>
        <w:bidi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服务群众专项经费主要用于各村道路、路灯、水利等公益性项目建设。每年年初该项经费下达后，我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及时将该项经费拨付给</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社区委员会</w:t>
      </w:r>
      <w:r>
        <w:rPr>
          <w:rFonts w:hint="eastAsia" w:ascii="仿宋_GB2312" w:hAnsi="仿宋_GB2312" w:eastAsia="仿宋_GB2312" w:cs="仿宋_GB2312"/>
          <w:sz w:val="32"/>
          <w:szCs w:val="32"/>
        </w:rPr>
        <w:t>，用于基建设施建设，其中</w:t>
      </w:r>
      <w:r>
        <w:rPr>
          <w:rFonts w:hint="eastAsia" w:ascii="仿宋_GB2312" w:hAnsi="仿宋_GB2312" w:eastAsia="仿宋_GB2312" w:cs="仿宋_GB2312"/>
          <w:sz w:val="32"/>
          <w:szCs w:val="32"/>
          <w:lang w:val="en-US" w:eastAsia="zh-CN"/>
        </w:rPr>
        <w:t>团结社区、光明社区分别为10</w:t>
      </w:r>
      <w:r>
        <w:rPr>
          <w:rFonts w:hint="eastAsia" w:ascii="仿宋_GB2312" w:hAnsi="仿宋_GB2312" w:eastAsia="仿宋_GB2312" w:cs="仿宋_GB2312"/>
          <w:sz w:val="32"/>
          <w:szCs w:val="32"/>
        </w:rPr>
        <w:t>万元。我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在拨付该项经费到</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员会</w:t>
      </w:r>
      <w:r>
        <w:rPr>
          <w:rFonts w:hint="eastAsia" w:ascii="仿宋_GB2312" w:hAnsi="仿宋_GB2312" w:eastAsia="仿宋_GB2312" w:cs="仿宋_GB2312"/>
          <w:sz w:val="32"/>
          <w:szCs w:val="32"/>
        </w:rPr>
        <w:t>后，经</w:t>
      </w:r>
      <w:r>
        <w:rPr>
          <w:rFonts w:hint="eastAsia" w:ascii="仿宋_GB2312" w:hAnsi="仿宋_GB2312" w:eastAsia="仿宋_GB2312" w:cs="仿宋_GB2312"/>
          <w:sz w:val="32"/>
          <w:szCs w:val="32"/>
          <w:lang w:eastAsia="zh-CN"/>
        </w:rPr>
        <w:t>社区委员会</w:t>
      </w:r>
      <w:r>
        <w:rPr>
          <w:rFonts w:hint="eastAsia" w:ascii="仿宋_GB2312" w:hAnsi="仿宋_GB2312" w:eastAsia="仿宋_GB2312" w:cs="仿宋_GB2312"/>
          <w:sz w:val="32"/>
          <w:szCs w:val="32"/>
        </w:rPr>
        <w:t>讨论决定用于建设急需解决的基建设施，经报</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党委审批符合使用范围后，由</w:t>
      </w:r>
      <w:r>
        <w:rPr>
          <w:rFonts w:hint="eastAsia" w:ascii="仿宋_GB2312" w:hAnsi="仿宋_GB2312" w:eastAsia="仿宋_GB2312" w:cs="仿宋_GB2312"/>
          <w:sz w:val="32"/>
          <w:szCs w:val="32"/>
          <w:lang w:eastAsia="zh-CN"/>
        </w:rPr>
        <w:t>社区委员会</w:t>
      </w:r>
      <w:r>
        <w:rPr>
          <w:rFonts w:hint="eastAsia" w:ascii="仿宋_GB2312" w:hAnsi="仿宋_GB2312" w:eastAsia="仿宋_GB2312" w:cs="仿宋_GB2312"/>
          <w:sz w:val="32"/>
          <w:szCs w:val="32"/>
        </w:rPr>
        <w:t>担任业主实施项目建设，我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负责监督，不参与和插手</w:t>
      </w:r>
      <w:r>
        <w:rPr>
          <w:rFonts w:hint="eastAsia" w:ascii="仿宋_GB2312" w:hAnsi="仿宋_GB2312" w:eastAsia="仿宋_GB2312" w:cs="仿宋_GB2312"/>
          <w:sz w:val="32"/>
          <w:szCs w:val="32"/>
          <w:lang w:eastAsia="zh-CN"/>
        </w:rPr>
        <w:t>社区委员会</w:t>
      </w:r>
      <w:r>
        <w:rPr>
          <w:rFonts w:hint="eastAsia" w:ascii="仿宋_GB2312" w:hAnsi="仿宋_GB2312" w:eastAsia="仿宋_GB2312" w:cs="仿宋_GB2312"/>
          <w:sz w:val="32"/>
          <w:szCs w:val="32"/>
        </w:rPr>
        <w:t>该项经费的拨付，由</w:t>
      </w:r>
      <w:r>
        <w:rPr>
          <w:rFonts w:hint="eastAsia" w:ascii="仿宋_GB2312" w:hAnsi="仿宋_GB2312" w:eastAsia="仿宋_GB2312" w:cs="仿宋_GB2312"/>
          <w:sz w:val="32"/>
          <w:szCs w:val="32"/>
          <w:lang w:eastAsia="zh-CN"/>
        </w:rPr>
        <w:t>社区委员会</w:t>
      </w:r>
      <w:r>
        <w:rPr>
          <w:rFonts w:hint="eastAsia" w:ascii="仿宋_GB2312" w:hAnsi="仿宋_GB2312" w:eastAsia="仿宋_GB2312" w:cs="仿宋_GB2312"/>
          <w:sz w:val="32"/>
          <w:szCs w:val="32"/>
        </w:rPr>
        <w:t>按照进度拨付。</w:t>
      </w:r>
    </w:p>
    <w:p>
      <w:pPr>
        <w:pageBreakBefore w:val="0"/>
        <w:kinsoku/>
        <w:wordWrap/>
        <w:overflowPunct/>
        <w:topLinePunct w:val="0"/>
        <w:bidi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二、绩效目标实现程度</w:t>
      </w:r>
    </w:p>
    <w:p>
      <w:pPr>
        <w:pageBreakBefore w:val="0"/>
        <w:kinsoku/>
        <w:wordWrap/>
        <w:overflowPunct/>
        <w:topLinePunct w:val="0"/>
        <w:bidi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服务群众专项经费绩效总体目标为解决</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基建设施建设不足问题，绩效目标受益人口为</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左右</w:t>
      </w:r>
      <w:r>
        <w:rPr>
          <w:rFonts w:hint="eastAsia" w:ascii="仿宋_GB2312" w:hAnsi="仿宋_GB2312" w:eastAsia="仿宋_GB2312" w:cs="仿宋_GB2312"/>
          <w:sz w:val="32"/>
          <w:szCs w:val="32"/>
        </w:rPr>
        <w:t>，该经费绩效总体目标均已实现。该项经费的拨付解决了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基建设施建设不足的问题，推进了社会主义新农村的建设，为我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建设美丽乡村奠定了基础。</w:t>
      </w:r>
    </w:p>
    <w:p>
      <w:pPr>
        <w:pageBreakBefore w:val="0"/>
        <w:numPr>
          <w:ilvl w:val="0"/>
          <w:numId w:val="7"/>
        </w:numPr>
        <w:kinsoku/>
        <w:wordWrap/>
        <w:overflowPunct/>
        <w:topLinePunct w:val="0"/>
        <w:bidi w:val="0"/>
        <w:spacing w:line="52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rPr>
        <w:t>资金管理使用的基本情况及主要做法</w:t>
      </w:r>
      <w:r>
        <w:rPr>
          <w:rFonts w:hint="eastAsia" w:ascii="仿宋_GB2312" w:hAnsi="仿宋_GB2312" w:eastAsia="仿宋_GB2312" w:cs="仿宋_GB2312"/>
          <w:color w:val="000000"/>
          <w:kern w:val="0"/>
          <w:sz w:val="32"/>
          <w:szCs w:val="32"/>
        </w:rPr>
        <w:t> </w:t>
      </w:r>
    </w:p>
    <w:p>
      <w:pPr>
        <w:pageBreakBefore w:val="0"/>
        <w:kinsoku/>
        <w:wordWrap/>
        <w:overflowPunct/>
        <w:topLinePunct w:val="0"/>
        <w:bidi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 资金到位情况。我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在预算安排资金绩效申报服务群众专项经费总金额为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万，经市财政局审核后该经费为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万，该资金已全部下拨到我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w:t>
      </w:r>
    </w:p>
    <w:p>
      <w:pPr>
        <w:pageBreakBefore w:val="0"/>
        <w:kinsoku/>
        <w:wordWrap/>
        <w:overflowPunct/>
        <w:topLinePunct w:val="0"/>
        <w:bidi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（二） 资金使用情况。经我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财政所统计后，该项经费共拨付</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万元到</w:t>
      </w:r>
      <w:r>
        <w:rPr>
          <w:rFonts w:hint="eastAsia" w:ascii="仿宋_GB2312" w:hAnsi="仿宋_GB2312" w:eastAsia="仿宋_GB2312" w:cs="仿宋_GB2312"/>
          <w:sz w:val="32"/>
          <w:szCs w:val="32"/>
          <w:lang w:val="en-US" w:eastAsia="zh-CN"/>
        </w:rPr>
        <w:t>2个社区</w:t>
      </w:r>
      <w:r>
        <w:rPr>
          <w:rFonts w:hint="eastAsia" w:ascii="仿宋_GB2312" w:hAnsi="仿宋_GB2312" w:eastAsia="仿宋_GB2312" w:cs="仿宋_GB2312"/>
          <w:sz w:val="32"/>
          <w:szCs w:val="32"/>
        </w:rPr>
        <w:t>，已全部拨付到位，</w:t>
      </w:r>
      <w:r>
        <w:rPr>
          <w:rFonts w:hint="eastAsia" w:ascii="仿宋_GB2312" w:hAnsi="仿宋_GB2312" w:eastAsia="仿宋_GB2312" w:cs="仿宋_GB2312"/>
          <w:sz w:val="32"/>
          <w:szCs w:val="32"/>
          <w:lang w:val="en-US" w:eastAsia="zh-CN"/>
        </w:rPr>
        <w:t>2个社区</w:t>
      </w:r>
      <w:r>
        <w:rPr>
          <w:rFonts w:hint="eastAsia" w:ascii="仿宋_GB2312" w:hAnsi="仿宋_GB2312" w:eastAsia="仿宋_GB2312" w:cs="仿宋_GB2312"/>
          <w:sz w:val="32"/>
          <w:szCs w:val="32"/>
        </w:rPr>
        <w:t xml:space="preserve">的基建设施建设已全部建成完工。 </w:t>
      </w:r>
    </w:p>
    <w:p>
      <w:pPr>
        <w:pageBreakBefore w:val="0"/>
        <w:kinsoku/>
        <w:wordWrap/>
        <w:overflowPunct/>
        <w:topLinePunct w:val="0"/>
        <w:bidi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z w:val="32"/>
          <w:szCs w:val="32"/>
        </w:rPr>
        <w:t>（三）明确工作职责，加强组织领导。我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把严肃财经纪律、加强发展项目资金监管列入党委政府重要工作议程，主要领导高度重视，采取联席会议形式听取情况汇报，研究解决相关问题。同时加大对发展项目资金的管理力度，规范支付程序，保证发展项目资金专款专用。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（四）规范支付程序，完善管理制度。一是采用报账制日常管理方式，建立专户，专账管理，封闭运行。二是加强对发展项目资金管理使用的监督检查。凡涉及专项资金的部门和单位，均属监督检查对象。</w:t>
      </w:r>
    </w:p>
    <w:p>
      <w:pPr>
        <w:pageBreakBefore w:val="0"/>
        <w:kinsoku/>
        <w:wordWrap/>
        <w:overflowPunct/>
        <w:topLinePunct w:val="0"/>
        <w:bidi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（五）严肃政策纪律，查处违纪行为。</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纪委、财政所等部门加强对发展项目资金使用情况的经常性检查督办，坚决查处挤占挪用财政边境资金的违法违纪行为。 </w:t>
      </w:r>
    </w:p>
    <w:p>
      <w:pPr>
        <w:pageBreakBefore w:val="0"/>
        <w:numPr>
          <w:ilvl w:val="0"/>
          <w:numId w:val="7"/>
        </w:numPr>
        <w:kinsoku/>
        <w:wordWrap/>
        <w:overflowPunct/>
        <w:topLinePunct w:val="0"/>
        <w:bidi w:val="0"/>
        <w:spacing w:line="520" w:lineRule="exact"/>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项目绩效情况</w:t>
      </w:r>
    </w:p>
    <w:p>
      <w:pPr>
        <w:pageBreakBefore w:val="0"/>
        <w:kinsoku/>
        <w:wordWrap/>
        <w:overflowPunct/>
        <w:topLinePunct w:val="0"/>
        <w:bidi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（一）项目绩效目标完成情况分析</w:t>
      </w:r>
    </w:p>
    <w:p>
      <w:pPr>
        <w:pageBreakBefore w:val="0"/>
        <w:kinsoku/>
        <w:wordWrap/>
        <w:overflowPunct/>
        <w:topLinePunct w:val="0"/>
        <w:bidi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项目的经济性分析</w:t>
      </w:r>
    </w:p>
    <w:p>
      <w:pPr>
        <w:pageBreakBefore w:val="0"/>
        <w:kinsoku/>
        <w:wordWrap/>
        <w:overflowPunct/>
        <w:topLinePunct w:val="0"/>
        <w:bidi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（1）项目成本（预算）控制情况</w:t>
      </w:r>
    </w:p>
    <w:p>
      <w:pPr>
        <w:pageBreakBefore w:val="0"/>
        <w:kinsoku/>
        <w:wordWrap/>
        <w:overflowPunct/>
        <w:topLinePunct w:val="0"/>
        <w:bidi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服务群众专项经费为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万，在实现绩效目标过程中未超出上级拨付的专项建设资金。</w:t>
      </w:r>
    </w:p>
    <w:p>
      <w:pPr>
        <w:pageBreakBefore w:val="0"/>
        <w:kinsoku/>
        <w:wordWrap/>
        <w:overflowPunct/>
        <w:topLinePunct w:val="0"/>
        <w:bidi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 项目的效率性分析</w:t>
      </w:r>
    </w:p>
    <w:p>
      <w:pPr>
        <w:pageBreakBefore w:val="0"/>
        <w:kinsoku/>
        <w:wordWrap/>
        <w:overflowPunct/>
        <w:topLinePunct w:val="0"/>
        <w:bidi w:val="0"/>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（1）项目完成质量</w:t>
      </w:r>
    </w:p>
    <w:p>
      <w:pPr>
        <w:pageBreakBefore w:val="0"/>
        <w:kinsoku/>
        <w:wordWrap/>
        <w:overflowPunct/>
        <w:topLinePunct w:val="0"/>
        <w:bidi w:val="0"/>
        <w:spacing w:line="52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在施工队进</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施工后，我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以驻村领导和</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“两委”干部为工程验收小组成员，不定期对该项工程进行检查跟踪，并征求</w:t>
      </w:r>
      <w:r>
        <w:rPr>
          <w:rFonts w:hint="eastAsia" w:ascii="仿宋_GB2312" w:hAnsi="仿宋_GB2312" w:eastAsia="仿宋_GB2312" w:cs="仿宋_GB2312"/>
          <w:sz w:val="32"/>
          <w:szCs w:val="32"/>
          <w:lang w:eastAsia="zh-CN"/>
        </w:rPr>
        <w:t>居</w:t>
      </w:r>
      <w:r>
        <w:rPr>
          <w:rFonts w:hint="eastAsia" w:ascii="仿宋_GB2312" w:hAnsi="仿宋_GB2312" w:eastAsia="仿宋_GB2312" w:cs="仿宋_GB2312"/>
          <w:sz w:val="32"/>
          <w:szCs w:val="32"/>
        </w:rPr>
        <w:t>民意见及时反馈给施工队要求对其整改，经我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验收小组验收后该项目质量合格。</w:t>
      </w:r>
    </w:p>
    <w:p>
      <w:pPr>
        <w:pageBreakBefore w:val="0"/>
        <w:numPr>
          <w:ilvl w:val="0"/>
          <w:numId w:val="8"/>
        </w:numPr>
        <w:kinsoku/>
        <w:wordWrap/>
        <w:overflowPunct/>
        <w:topLinePunct w:val="0"/>
        <w:bidi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项目的效益性分析</w:t>
      </w:r>
    </w:p>
    <w:p>
      <w:pPr>
        <w:pageBreakBefore w:val="0"/>
        <w:numPr>
          <w:ilvl w:val="0"/>
          <w:numId w:val="9"/>
        </w:numPr>
        <w:kinsoku/>
        <w:wordWrap/>
        <w:overflowPunct/>
        <w:topLinePunct w:val="0"/>
        <w:bidi w:val="0"/>
        <w:spacing w:line="520" w:lineRule="exact"/>
        <w:ind w:left="420" w:left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项目实施对经济和社会的影响</w:t>
      </w:r>
    </w:p>
    <w:p>
      <w:pPr>
        <w:pageBreakBefore w:val="0"/>
        <w:kinsoku/>
        <w:wordWrap/>
        <w:overflowPunct/>
        <w:topLinePunct w:val="0"/>
        <w:bidi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该项资金的拨付改善了</w:t>
      </w:r>
      <w:r>
        <w:rPr>
          <w:rFonts w:hint="eastAsia" w:ascii="仿宋_GB2312" w:hAnsi="仿宋_GB2312" w:eastAsia="仿宋_GB2312" w:cs="仿宋_GB2312"/>
          <w:sz w:val="32"/>
          <w:szCs w:val="32"/>
          <w:lang w:val="en-US" w:eastAsia="zh-CN"/>
        </w:rPr>
        <w:t>2个社区</w:t>
      </w:r>
      <w:r>
        <w:rPr>
          <w:rFonts w:hint="eastAsia" w:ascii="仿宋_GB2312" w:hAnsi="仿宋_GB2312" w:eastAsia="仿宋_GB2312" w:cs="仿宋_GB2312"/>
          <w:sz w:val="32"/>
          <w:szCs w:val="32"/>
        </w:rPr>
        <w:t>的基础性设施，解决了</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出行难、饮水难、路灯少等多方面的问题，推进了社会主义新农村的建设，为我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建设美丽乡村奠定了基础，也大大提高了群众对政府的满意度。</w:t>
      </w:r>
    </w:p>
    <w:p>
      <w:pPr>
        <w:pageBreakBefore w:val="0"/>
        <w:kinsoku/>
        <w:wordWrap/>
        <w:overflowPunct/>
        <w:topLinePunct w:val="0"/>
        <w:bidi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五、存在问题和建议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通过服务群众专项经费自查情况看，我们也发现存在一些问题。发展项目专项资金的使用和管理涉及面广且繁杂。拨付渠道多，参与管理部门多，在管理上又未能形成一整套比较科学、完善的规范。资金的投入、分配、使用、管理、监督等各个环节都存在着一些问题，使资金不能充分发挥应有的作用，影响了使用效益。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shd w:val="clear" w:color="auto" w:fill="FFFFFF"/>
        </w:rPr>
        <w:t xml:space="preserve">  六、下一步加强管理</w:t>
      </w:r>
    </w:p>
    <w:p>
      <w:pPr>
        <w:pageBreakBefore w:val="0"/>
        <w:kinsoku/>
        <w:wordWrap/>
        <w:overflowPunct/>
        <w:topLinePunct w:val="0"/>
        <w:bidi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结合存在的问题，我们认为，要从以下二个方面入手，进一步强化发展项目专项资金的管理使用。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1、加强</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财政体制建设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根据当前</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财政的特点，转变职能，科学定位</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财政职能，由原来的抓收入转变为加强对支出的监管和跟踪，完善</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镇财政体制。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2、加强乡镇资金分配的合理性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通过</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政府对各</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急需的项目建设进行合理定位，明确各</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急需项目的重要性，达到资金能合理利用，妥善解决各</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的民生项目。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pageBreakBefore w:val="0"/>
        <w:kinsoku/>
        <w:wordWrap/>
        <w:overflowPunct/>
        <w:topLinePunct w:val="0"/>
        <w:bidi w:val="0"/>
        <w:spacing w:line="520" w:lineRule="exact"/>
        <w:jc w:val="center"/>
        <w:outlineLvl w:val="0"/>
        <w:rPr>
          <w:rStyle w:val="17"/>
          <w:rFonts w:hint="eastAsia" w:ascii="仿宋_GB2312" w:hAnsi="仿宋_GB2312" w:eastAsia="仿宋_GB2312" w:cs="仿宋_GB2312"/>
          <w:b w:val="0"/>
        </w:rPr>
      </w:pPr>
      <w:r>
        <w:rPr>
          <w:rFonts w:hint="eastAsia" w:ascii="仿宋_GB2312" w:hAnsi="仿宋_GB2312" w:eastAsia="仿宋_GB2312" w:cs="仿宋_GB2312"/>
          <w:color w:val="000000"/>
          <w:sz w:val="44"/>
          <w:szCs w:val="44"/>
        </w:rPr>
        <w:t>第</w:t>
      </w:r>
      <w:r>
        <w:rPr>
          <w:rStyle w:val="17"/>
          <w:rFonts w:hint="eastAsia" w:ascii="仿宋_GB2312" w:hAnsi="仿宋_GB2312" w:eastAsia="仿宋_GB2312" w:cs="仿宋_GB2312"/>
          <w:b w:val="0"/>
        </w:rPr>
        <w:t>五部分 附表</w:t>
      </w:r>
      <w:bookmarkEnd w:id="57"/>
      <w:bookmarkEnd w:id="62"/>
    </w:p>
    <w:p>
      <w:pPr>
        <w:pageBreakBefore w:val="0"/>
        <w:kinsoku/>
        <w:wordWrap/>
        <w:overflowPunct/>
        <w:topLinePunct w:val="0"/>
        <w:bidi w:val="0"/>
        <w:spacing w:line="520" w:lineRule="exact"/>
        <w:jc w:val="center"/>
        <w:outlineLvl w:val="0"/>
        <w:rPr>
          <w:rFonts w:hint="eastAsia" w:ascii="仿宋_GB2312" w:hAnsi="仿宋_GB2312" w:eastAsia="仿宋_GB2312" w:cs="仿宋_GB2312"/>
          <w:b/>
          <w:color w:val="000000"/>
          <w:sz w:val="44"/>
          <w:szCs w:val="44"/>
        </w:rPr>
      </w:pPr>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63" w:name="_Toc15396619"/>
      <w:r>
        <w:rPr>
          <w:rFonts w:hint="eastAsia" w:ascii="仿宋_GB2312" w:hAnsi="仿宋_GB2312" w:eastAsia="仿宋_GB2312" w:cs="仿宋_GB2312"/>
          <w:b w:val="0"/>
          <w:color w:val="000000"/>
        </w:rPr>
        <w:t>一、收</w:t>
      </w:r>
      <w:r>
        <w:rPr>
          <w:rStyle w:val="18"/>
          <w:rFonts w:hint="eastAsia" w:ascii="仿宋_GB2312" w:hAnsi="仿宋_GB2312" w:eastAsia="仿宋_GB2312" w:cs="仿宋_GB2312"/>
          <w:b w:val="0"/>
          <w:bCs w:val="0"/>
        </w:rPr>
        <w:t>入支出决算总表</w:t>
      </w:r>
      <w:bookmarkEnd w:id="63"/>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64" w:name="_Toc15396620"/>
      <w:r>
        <w:rPr>
          <w:rFonts w:hint="eastAsia" w:ascii="仿宋_GB2312" w:hAnsi="仿宋_GB2312" w:eastAsia="仿宋_GB2312" w:cs="仿宋_GB2312"/>
          <w:b w:val="0"/>
          <w:color w:val="000000"/>
        </w:rPr>
        <w:t>二、收</w:t>
      </w:r>
      <w:r>
        <w:rPr>
          <w:rStyle w:val="18"/>
          <w:rFonts w:hint="eastAsia" w:ascii="仿宋_GB2312" w:hAnsi="仿宋_GB2312" w:eastAsia="仿宋_GB2312" w:cs="仿宋_GB2312"/>
          <w:b w:val="0"/>
          <w:bCs w:val="0"/>
        </w:rPr>
        <w:t>入总表</w:t>
      </w:r>
      <w:bookmarkEnd w:id="64"/>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65" w:name="_Toc15396621"/>
      <w:r>
        <w:rPr>
          <w:rStyle w:val="18"/>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18"/>
          <w:rFonts w:hint="eastAsia" w:ascii="仿宋_GB2312" w:hAnsi="仿宋_GB2312" w:eastAsia="仿宋_GB2312" w:cs="仿宋_GB2312"/>
          <w:b w:val="0"/>
          <w:bCs w:val="0"/>
        </w:rPr>
        <w:t>出总表</w:t>
      </w:r>
      <w:bookmarkEnd w:id="65"/>
    </w:p>
    <w:p>
      <w:pPr>
        <w:pStyle w:val="4"/>
        <w:pageBreakBefore w:val="0"/>
        <w:kinsoku/>
        <w:wordWrap/>
        <w:overflowPunct/>
        <w:topLinePunct w:val="0"/>
        <w:bidi w:val="0"/>
        <w:spacing w:before="0" w:after="0" w:line="520" w:lineRule="exact"/>
        <w:rPr>
          <w:rFonts w:hint="eastAsia" w:ascii="仿宋_GB2312" w:hAnsi="仿宋_GB2312" w:eastAsia="仿宋_GB2312" w:cs="仿宋_GB2312"/>
          <w:b w:val="0"/>
          <w:color w:val="000000"/>
        </w:rPr>
      </w:pPr>
      <w:bookmarkStart w:id="66" w:name="_Toc15396622"/>
      <w:r>
        <w:rPr>
          <w:rStyle w:val="18"/>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18"/>
          <w:rFonts w:hint="eastAsia" w:ascii="仿宋_GB2312" w:hAnsi="仿宋_GB2312" w:eastAsia="仿宋_GB2312" w:cs="仿宋_GB2312"/>
          <w:b w:val="0"/>
          <w:bCs w:val="0"/>
        </w:rPr>
        <w:t>政拨款收入支出决算总表</w:t>
      </w:r>
      <w:bookmarkEnd w:id="66"/>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67" w:name="_Toc15396623"/>
      <w:r>
        <w:rPr>
          <w:rStyle w:val="18"/>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18"/>
          <w:rFonts w:hint="eastAsia" w:ascii="仿宋_GB2312" w:hAnsi="仿宋_GB2312" w:eastAsia="仿宋_GB2312" w:cs="仿宋_GB2312"/>
          <w:b w:val="0"/>
          <w:bCs w:val="0"/>
        </w:rPr>
        <w:t>政拨款支出决算明细表（政府经济分类科目）</w:t>
      </w:r>
      <w:bookmarkEnd w:id="67"/>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68" w:name="_Toc15396624"/>
      <w:r>
        <w:rPr>
          <w:rStyle w:val="18"/>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18"/>
          <w:rFonts w:hint="eastAsia" w:ascii="仿宋_GB2312" w:hAnsi="仿宋_GB2312" w:eastAsia="仿宋_GB2312" w:cs="仿宋_GB2312"/>
          <w:b w:val="0"/>
          <w:bCs w:val="0"/>
        </w:rPr>
        <w:t>般公共预算财政拨款支出决算表</w:t>
      </w:r>
      <w:bookmarkEnd w:id="68"/>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69" w:name="_Toc15396625"/>
      <w:r>
        <w:rPr>
          <w:rStyle w:val="18"/>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18"/>
          <w:rFonts w:hint="eastAsia" w:ascii="仿宋_GB2312" w:hAnsi="仿宋_GB2312" w:eastAsia="仿宋_GB2312" w:cs="仿宋_GB2312"/>
          <w:b w:val="0"/>
          <w:bCs w:val="0"/>
        </w:rPr>
        <w:t>般公共预算财政拨款支出决算明细表</w:t>
      </w:r>
      <w:bookmarkEnd w:id="69"/>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70" w:name="_Toc15396626"/>
      <w:r>
        <w:rPr>
          <w:rStyle w:val="18"/>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18"/>
          <w:rFonts w:hint="eastAsia" w:ascii="仿宋_GB2312" w:hAnsi="仿宋_GB2312" w:eastAsia="仿宋_GB2312" w:cs="仿宋_GB2312"/>
          <w:b w:val="0"/>
          <w:bCs w:val="0"/>
        </w:rPr>
        <w:t>般公共预算财政拨款基本支出决算表</w:t>
      </w:r>
      <w:bookmarkEnd w:id="70"/>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71" w:name="_Toc15396627"/>
      <w:r>
        <w:rPr>
          <w:rStyle w:val="18"/>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18"/>
          <w:rFonts w:hint="eastAsia" w:ascii="仿宋_GB2312" w:hAnsi="仿宋_GB2312" w:eastAsia="仿宋_GB2312" w:cs="仿宋_GB2312"/>
          <w:b w:val="0"/>
          <w:bCs w:val="0"/>
        </w:rPr>
        <w:t>般公共预算财政拨款项目支出决算表</w:t>
      </w:r>
      <w:bookmarkEnd w:id="71"/>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72" w:name="_Toc15396628"/>
      <w:r>
        <w:rPr>
          <w:rStyle w:val="18"/>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18"/>
          <w:rFonts w:hint="eastAsia" w:ascii="仿宋_GB2312" w:hAnsi="仿宋_GB2312" w:eastAsia="仿宋_GB2312" w:cs="仿宋_GB2312"/>
          <w:b w:val="0"/>
          <w:bCs w:val="0"/>
        </w:rPr>
        <w:t>般公共预算财政拨款“三公”经费支出决算表</w:t>
      </w:r>
      <w:bookmarkEnd w:id="72"/>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73" w:name="_Toc15396629"/>
      <w:r>
        <w:rPr>
          <w:rStyle w:val="18"/>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18"/>
          <w:rFonts w:hint="eastAsia" w:ascii="仿宋_GB2312" w:hAnsi="仿宋_GB2312" w:eastAsia="仿宋_GB2312" w:cs="仿宋_GB2312"/>
          <w:b w:val="0"/>
          <w:bCs w:val="0"/>
        </w:rPr>
        <w:t>府性基金预算财政拨款收入支出决算表</w:t>
      </w:r>
      <w:bookmarkEnd w:id="73"/>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74" w:name="_Toc15396630"/>
      <w:r>
        <w:rPr>
          <w:rStyle w:val="18"/>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18"/>
          <w:rFonts w:hint="eastAsia" w:ascii="仿宋_GB2312" w:hAnsi="仿宋_GB2312" w:eastAsia="仿宋_GB2312" w:cs="仿宋_GB2312"/>
          <w:b w:val="0"/>
          <w:bCs w:val="0"/>
        </w:rPr>
        <w:t>府性基金预算财政拨款“三公”经费支出决算表</w:t>
      </w:r>
      <w:bookmarkEnd w:id="74"/>
    </w:p>
    <w:p>
      <w:pPr>
        <w:pStyle w:val="4"/>
        <w:pageBreakBefore w:val="0"/>
        <w:kinsoku/>
        <w:wordWrap/>
        <w:overflowPunct/>
        <w:topLinePunct w:val="0"/>
        <w:bidi w:val="0"/>
        <w:spacing w:before="0" w:after="0" w:line="520" w:lineRule="exact"/>
        <w:rPr>
          <w:rFonts w:hint="eastAsia" w:ascii="仿宋_GB2312" w:hAnsi="仿宋_GB2312" w:eastAsia="仿宋_GB2312" w:cs="仿宋_GB2312"/>
          <w:color w:val="000000"/>
        </w:rPr>
      </w:pPr>
      <w:bookmarkStart w:id="75" w:name="_Toc15396631"/>
      <w:r>
        <w:rPr>
          <w:rStyle w:val="18"/>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18"/>
          <w:rFonts w:hint="eastAsia" w:ascii="仿宋_GB2312" w:hAnsi="仿宋_GB2312" w:eastAsia="仿宋_GB2312" w:cs="仿宋_GB2312"/>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10</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F966C01"/>
    <w:multiLevelType w:val="singleLevel"/>
    <w:tmpl w:val="DF966C01"/>
    <w:lvl w:ilvl="0" w:tentative="0">
      <w:start w:val="2"/>
      <w:numFmt w:val="chineseCounting"/>
      <w:suff w:val="space"/>
      <w:lvlText w:val="第%1部分"/>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586DF335"/>
    <w:multiLevelType w:val="singleLevel"/>
    <w:tmpl w:val="586DF335"/>
    <w:lvl w:ilvl="0" w:tentative="0">
      <w:start w:val="3"/>
      <w:numFmt w:val="chineseCounting"/>
      <w:suff w:val="nothing"/>
      <w:lvlText w:val="%1、"/>
      <w:lvlJc w:val="left"/>
    </w:lvl>
  </w:abstractNum>
  <w:abstractNum w:abstractNumId="7">
    <w:nsid w:val="5A1FBB5A"/>
    <w:multiLevelType w:val="singleLevel"/>
    <w:tmpl w:val="5A1FBB5A"/>
    <w:lvl w:ilvl="0" w:tentative="0">
      <w:start w:val="3"/>
      <w:numFmt w:val="decimal"/>
      <w:suff w:val="space"/>
      <w:lvlText w:val="%1."/>
      <w:lvlJc w:val="left"/>
    </w:lvl>
  </w:abstractNum>
  <w:abstractNum w:abstractNumId="8">
    <w:nsid w:val="5A1FBB85"/>
    <w:multiLevelType w:val="singleLevel"/>
    <w:tmpl w:val="5A1FBB85"/>
    <w:lvl w:ilvl="0" w:tentative="0">
      <w:start w:val="1"/>
      <w:numFmt w:val="decimal"/>
      <w:suff w:val="nothing"/>
      <w:lvlText w:val="（%1）"/>
      <w:lvlJc w:val="left"/>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NDQ3YzM5MWU0NjNjNDk2ZjE2ZDczZDlkNzkzNDYifQ=="/>
  </w:docVars>
  <w:rsids>
    <w:rsidRoot w:val="00000000"/>
    <w:rsid w:val="00E0753F"/>
    <w:rsid w:val="01133F7B"/>
    <w:rsid w:val="01292352"/>
    <w:rsid w:val="012968E3"/>
    <w:rsid w:val="02815718"/>
    <w:rsid w:val="030E6520"/>
    <w:rsid w:val="03121220"/>
    <w:rsid w:val="031A6A51"/>
    <w:rsid w:val="03361BE0"/>
    <w:rsid w:val="037D53A5"/>
    <w:rsid w:val="038471B3"/>
    <w:rsid w:val="03D827E5"/>
    <w:rsid w:val="04060911"/>
    <w:rsid w:val="047702BA"/>
    <w:rsid w:val="047B2551"/>
    <w:rsid w:val="0485032F"/>
    <w:rsid w:val="05757792"/>
    <w:rsid w:val="06060CB3"/>
    <w:rsid w:val="0639031A"/>
    <w:rsid w:val="07D70970"/>
    <w:rsid w:val="081B380F"/>
    <w:rsid w:val="0B0A38A1"/>
    <w:rsid w:val="0C2058F6"/>
    <w:rsid w:val="0C9923B7"/>
    <w:rsid w:val="0D4F5DF5"/>
    <w:rsid w:val="0F901C57"/>
    <w:rsid w:val="0FBB4A45"/>
    <w:rsid w:val="10784C3A"/>
    <w:rsid w:val="11226B6A"/>
    <w:rsid w:val="11867101"/>
    <w:rsid w:val="11973713"/>
    <w:rsid w:val="130E514B"/>
    <w:rsid w:val="142F1A07"/>
    <w:rsid w:val="148E0997"/>
    <w:rsid w:val="1556489A"/>
    <w:rsid w:val="15881A82"/>
    <w:rsid w:val="15EA54D7"/>
    <w:rsid w:val="16237D2C"/>
    <w:rsid w:val="16BE4D36"/>
    <w:rsid w:val="17445C51"/>
    <w:rsid w:val="1846118E"/>
    <w:rsid w:val="18EA3692"/>
    <w:rsid w:val="19674219"/>
    <w:rsid w:val="1A8F6183"/>
    <w:rsid w:val="1B2658F2"/>
    <w:rsid w:val="1B771CF0"/>
    <w:rsid w:val="1BF63C6C"/>
    <w:rsid w:val="1C510F6C"/>
    <w:rsid w:val="1C902753"/>
    <w:rsid w:val="1D267A93"/>
    <w:rsid w:val="1D2C109A"/>
    <w:rsid w:val="1D75590E"/>
    <w:rsid w:val="1E666791"/>
    <w:rsid w:val="1E702587"/>
    <w:rsid w:val="20127C44"/>
    <w:rsid w:val="213351F1"/>
    <w:rsid w:val="21447F35"/>
    <w:rsid w:val="216242B5"/>
    <w:rsid w:val="21A42F68"/>
    <w:rsid w:val="2273576D"/>
    <w:rsid w:val="22BB1DB3"/>
    <w:rsid w:val="24D549A9"/>
    <w:rsid w:val="25B139EA"/>
    <w:rsid w:val="279E590A"/>
    <w:rsid w:val="27BD08E4"/>
    <w:rsid w:val="28735073"/>
    <w:rsid w:val="29745A39"/>
    <w:rsid w:val="2A64490B"/>
    <w:rsid w:val="2AB35A3B"/>
    <w:rsid w:val="2AB60B25"/>
    <w:rsid w:val="2AC46705"/>
    <w:rsid w:val="2B2F7853"/>
    <w:rsid w:val="2B334DC1"/>
    <w:rsid w:val="2CB77A00"/>
    <w:rsid w:val="2CFA40DD"/>
    <w:rsid w:val="2D160A54"/>
    <w:rsid w:val="2DC83E92"/>
    <w:rsid w:val="2DE70FF8"/>
    <w:rsid w:val="2E9C46E1"/>
    <w:rsid w:val="2ED560C8"/>
    <w:rsid w:val="2F1F7BDD"/>
    <w:rsid w:val="2FB46167"/>
    <w:rsid w:val="2FF8025A"/>
    <w:rsid w:val="30453AA5"/>
    <w:rsid w:val="30E9019A"/>
    <w:rsid w:val="3130119F"/>
    <w:rsid w:val="31727E87"/>
    <w:rsid w:val="32B82195"/>
    <w:rsid w:val="32C07E49"/>
    <w:rsid w:val="33C60949"/>
    <w:rsid w:val="34551725"/>
    <w:rsid w:val="34B946AB"/>
    <w:rsid w:val="34E93222"/>
    <w:rsid w:val="35A73FF4"/>
    <w:rsid w:val="35A76654"/>
    <w:rsid w:val="35F87AC6"/>
    <w:rsid w:val="36032814"/>
    <w:rsid w:val="371374D2"/>
    <w:rsid w:val="372C2059"/>
    <w:rsid w:val="374B1E67"/>
    <w:rsid w:val="38395CEE"/>
    <w:rsid w:val="3A173F9F"/>
    <w:rsid w:val="3A1C0114"/>
    <w:rsid w:val="3AA35AC6"/>
    <w:rsid w:val="3B6B545A"/>
    <w:rsid w:val="3B7B0C72"/>
    <w:rsid w:val="3BB77F6E"/>
    <w:rsid w:val="3C6044A4"/>
    <w:rsid w:val="3C9E6E13"/>
    <w:rsid w:val="3CF6242F"/>
    <w:rsid w:val="3D25534D"/>
    <w:rsid w:val="409365FE"/>
    <w:rsid w:val="41914048"/>
    <w:rsid w:val="41B5440E"/>
    <w:rsid w:val="42E135C8"/>
    <w:rsid w:val="43384E8A"/>
    <w:rsid w:val="438565B1"/>
    <w:rsid w:val="449C28DA"/>
    <w:rsid w:val="48F55D5B"/>
    <w:rsid w:val="494032E4"/>
    <w:rsid w:val="4959144E"/>
    <w:rsid w:val="496376C5"/>
    <w:rsid w:val="4B1204D8"/>
    <w:rsid w:val="4B291BD6"/>
    <w:rsid w:val="4BFF4ACB"/>
    <w:rsid w:val="4C1C4E73"/>
    <w:rsid w:val="4CE315B6"/>
    <w:rsid w:val="4D5F5DE9"/>
    <w:rsid w:val="4DDB16A1"/>
    <w:rsid w:val="4DE97A79"/>
    <w:rsid w:val="4EC0185B"/>
    <w:rsid w:val="4F6010AB"/>
    <w:rsid w:val="4F7D79B8"/>
    <w:rsid w:val="508A090A"/>
    <w:rsid w:val="517D1E81"/>
    <w:rsid w:val="5220505A"/>
    <w:rsid w:val="5287069B"/>
    <w:rsid w:val="529170E6"/>
    <w:rsid w:val="53EA1ED6"/>
    <w:rsid w:val="53FC5450"/>
    <w:rsid w:val="541D0C20"/>
    <w:rsid w:val="54842833"/>
    <w:rsid w:val="54AA6A33"/>
    <w:rsid w:val="54AB569C"/>
    <w:rsid w:val="5501105D"/>
    <w:rsid w:val="552E6423"/>
    <w:rsid w:val="55F240A5"/>
    <w:rsid w:val="56473F37"/>
    <w:rsid w:val="56ED3B1F"/>
    <w:rsid w:val="574A038B"/>
    <w:rsid w:val="57F80DDE"/>
    <w:rsid w:val="5819631F"/>
    <w:rsid w:val="58496B1D"/>
    <w:rsid w:val="58C071FF"/>
    <w:rsid w:val="592261D3"/>
    <w:rsid w:val="59314CCB"/>
    <w:rsid w:val="594F7268"/>
    <w:rsid w:val="59A04D90"/>
    <w:rsid w:val="59D742F9"/>
    <w:rsid w:val="5B253BA6"/>
    <w:rsid w:val="5B253BCE"/>
    <w:rsid w:val="5B2A5FE5"/>
    <w:rsid w:val="5BED7846"/>
    <w:rsid w:val="5CBB58F0"/>
    <w:rsid w:val="5CCE22E4"/>
    <w:rsid w:val="5D3D6676"/>
    <w:rsid w:val="5DB23743"/>
    <w:rsid w:val="5DE836BC"/>
    <w:rsid w:val="5F2C335A"/>
    <w:rsid w:val="5F491E4C"/>
    <w:rsid w:val="5F4E3E5A"/>
    <w:rsid w:val="5F5D3C5C"/>
    <w:rsid w:val="5F9C7428"/>
    <w:rsid w:val="602A5227"/>
    <w:rsid w:val="605F73A6"/>
    <w:rsid w:val="609A01F8"/>
    <w:rsid w:val="60CD293B"/>
    <w:rsid w:val="60EF35E4"/>
    <w:rsid w:val="61062976"/>
    <w:rsid w:val="62237DF7"/>
    <w:rsid w:val="622A61C4"/>
    <w:rsid w:val="62ED60DF"/>
    <w:rsid w:val="636F0EB5"/>
    <w:rsid w:val="63DA6429"/>
    <w:rsid w:val="63DE6580"/>
    <w:rsid w:val="640200A2"/>
    <w:rsid w:val="64094B90"/>
    <w:rsid w:val="641B4A32"/>
    <w:rsid w:val="648A0D06"/>
    <w:rsid w:val="648C43F2"/>
    <w:rsid w:val="65341C3F"/>
    <w:rsid w:val="6560469F"/>
    <w:rsid w:val="66630385"/>
    <w:rsid w:val="674022C4"/>
    <w:rsid w:val="683E2F56"/>
    <w:rsid w:val="691F24BD"/>
    <w:rsid w:val="69600DED"/>
    <w:rsid w:val="6980703E"/>
    <w:rsid w:val="69C33B21"/>
    <w:rsid w:val="69D53904"/>
    <w:rsid w:val="6A156D97"/>
    <w:rsid w:val="6A6B54B7"/>
    <w:rsid w:val="6A864E69"/>
    <w:rsid w:val="6AB6600A"/>
    <w:rsid w:val="6AD02248"/>
    <w:rsid w:val="6B595515"/>
    <w:rsid w:val="6C1742CD"/>
    <w:rsid w:val="6D7B66E6"/>
    <w:rsid w:val="6DA4639F"/>
    <w:rsid w:val="6EF75C10"/>
    <w:rsid w:val="6F5E3D06"/>
    <w:rsid w:val="70666432"/>
    <w:rsid w:val="708E5CE4"/>
    <w:rsid w:val="71352A33"/>
    <w:rsid w:val="713F18B2"/>
    <w:rsid w:val="715009A1"/>
    <w:rsid w:val="71913985"/>
    <w:rsid w:val="723C23F1"/>
    <w:rsid w:val="7247000C"/>
    <w:rsid w:val="72587538"/>
    <w:rsid w:val="725E2750"/>
    <w:rsid w:val="72EA0A3A"/>
    <w:rsid w:val="744127AB"/>
    <w:rsid w:val="74E87BB0"/>
    <w:rsid w:val="76130EA5"/>
    <w:rsid w:val="761B5122"/>
    <w:rsid w:val="76C86A18"/>
    <w:rsid w:val="78C13B5C"/>
    <w:rsid w:val="79322110"/>
    <w:rsid w:val="7945138B"/>
    <w:rsid w:val="7A0F5976"/>
    <w:rsid w:val="7A3C4C5E"/>
    <w:rsid w:val="7A4543A6"/>
    <w:rsid w:val="7AED5FEC"/>
    <w:rsid w:val="7AF3131B"/>
    <w:rsid w:val="7B762EC7"/>
    <w:rsid w:val="7BE355D2"/>
    <w:rsid w:val="7C2A72E3"/>
    <w:rsid w:val="7C91219F"/>
    <w:rsid w:val="7CC6788F"/>
    <w:rsid w:val="7CF053CA"/>
    <w:rsid w:val="7D6943E6"/>
    <w:rsid w:val="7D8346A2"/>
    <w:rsid w:val="7DA70A56"/>
    <w:rsid w:val="7DBB6F4F"/>
    <w:rsid w:val="7ED323A6"/>
    <w:rsid w:val="7EECF40F"/>
    <w:rsid w:val="7EEF43CA"/>
    <w:rsid w:val="7F121A7D"/>
    <w:rsid w:val="7F913963"/>
    <w:rsid w:val="7FAC7046"/>
    <w:rsid w:val="7FD91B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18"/>
    <w:qFormat/>
    <w:uiPriority w:val="0"/>
    <w:pPr>
      <w:keepNext/>
      <w:keepLines/>
      <w:spacing w:before="260" w:after="260" w:line="416" w:lineRule="auto"/>
      <w:outlineLvl w:val="1"/>
    </w:pPr>
    <w:rPr>
      <w:rFonts w:ascii="Cambria" w:hAnsi="Cambria" w:eastAsia="宋体" w:cs="黑体"/>
      <w:b/>
      <w:bCs/>
      <w:kern w:val="2"/>
      <w:sz w:val="32"/>
      <w:szCs w:val="32"/>
    </w:rPr>
  </w:style>
  <w:style w:type="paragraph" w:styleId="5">
    <w:name w:val="heading 3"/>
    <w:basedOn w:val="1"/>
    <w:next w:val="1"/>
    <w:link w:val="19"/>
    <w:qFormat/>
    <w:uiPriority w:val="0"/>
    <w:pPr>
      <w:keepNext/>
      <w:keepLines/>
      <w:spacing w:before="260" w:after="260" w:line="416" w:lineRule="auto"/>
      <w:outlineLvl w:val="2"/>
    </w:pPr>
    <w:rPr>
      <w:rFonts w:ascii="Times New Roman" w:hAnsi="Times New Roman"/>
      <w:b/>
      <w:bCs/>
      <w:kern w:val="2"/>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link w:val="23"/>
    <w:qFormat/>
    <w:uiPriority w:val="0"/>
    <w:pPr>
      <w:tabs>
        <w:tab w:val="center" w:pos="4153"/>
        <w:tab w:val="right" w:pos="8306"/>
      </w:tabs>
      <w:snapToGrid w:val="0"/>
      <w:jc w:val="left"/>
    </w:pPr>
    <w:rPr>
      <w:sz w:val="18"/>
    </w:rPr>
  </w:style>
  <w:style w:type="paragraph" w:styleId="6">
    <w:name w:val="Body Text"/>
    <w:basedOn w:val="1"/>
    <w:link w:val="20"/>
    <w:qFormat/>
    <w:uiPriority w:val="0"/>
    <w:pPr>
      <w:spacing w:beforeLines="30"/>
    </w:pPr>
    <w:rPr>
      <w:rFonts w:ascii="仿宋_GB2312" w:hAnsi="Times New Roman" w:eastAsia="仿宋_GB2312"/>
      <w:sz w:val="24"/>
    </w:rPr>
  </w:style>
  <w:style w:type="paragraph" w:styleId="7">
    <w:name w:val="toc 3"/>
    <w:basedOn w:val="1"/>
    <w:next w:val="1"/>
    <w:qFormat/>
    <w:uiPriority w:val="0"/>
    <w:pPr>
      <w:tabs>
        <w:tab w:val="right" w:leader="dot" w:pos="8296"/>
      </w:tabs>
      <w:ind w:left="840" w:leftChars="400"/>
    </w:p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0">
    <w:name w:val="toc 2"/>
    <w:basedOn w:val="1"/>
    <w:next w:val="1"/>
    <w:qFormat/>
    <w:uiPriority w:val="0"/>
    <w:pPr>
      <w:tabs>
        <w:tab w:val="right" w:leader="dot" w:pos="8296"/>
      </w:tabs>
      <w:ind w:left="420" w:leftChars="200"/>
    </w:pPr>
  </w:style>
  <w:style w:type="paragraph" w:styleId="11">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14">
    <w:name w:val="Strong"/>
    <w:basedOn w:val="13"/>
    <w:qFormat/>
    <w:uiPriority w:val="0"/>
    <w:rPr>
      <w:b/>
    </w:rPr>
  </w:style>
  <w:style w:type="character" w:styleId="15">
    <w:name w:val="FollowedHyperlink"/>
    <w:basedOn w:val="13"/>
    <w:qFormat/>
    <w:uiPriority w:val="0"/>
    <w:rPr>
      <w:color w:val="000000"/>
      <w:u w:val="none"/>
    </w:rPr>
  </w:style>
  <w:style w:type="character" w:styleId="16">
    <w:name w:val="Hyperlink"/>
    <w:basedOn w:val="13"/>
    <w:qFormat/>
    <w:uiPriority w:val="0"/>
    <w:rPr>
      <w:color w:val="000000"/>
      <w:u w:val="none"/>
    </w:rPr>
  </w:style>
  <w:style w:type="character" w:customStyle="1" w:styleId="17">
    <w:name w:val="标题 1 Char"/>
    <w:basedOn w:val="13"/>
    <w:link w:val="3"/>
    <w:semiHidden/>
    <w:qFormat/>
    <w:uiPriority w:val="0"/>
    <w:rPr>
      <w:rFonts w:ascii="Times New Roman" w:hAnsi="Times New Roman"/>
      <w:b/>
      <w:bCs/>
      <w:kern w:val="44"/>
      <w:sz w:val="44"/>
      <w:szCs w:val="44"/>
    </w:rPr>
  </w:style>
  <w:style w:type="character" w:customStyle="1" w:styleId="18">
    <w:name w:val="标题 2 Char"/>
    <w:basedOn w:val="13"/>
    <w:link w:val="4"/>
    <w:semiHidden/>
    <w:qFormat/>
    <w:uiPriority w:val="0"/>
    <w:rPr>
      <w:rFonts w:ascii="Cambria" w:hAnsi="Cambria" w:eastAsia="宋体" w:cs="黑体"/>
      <w:b/>
      <w:bCs/>
      <w:kern w:val="2"/>
      <w:sz w:val="32"/>
      <w:szCs w:val="32"/>
    </w:rPr>
  </w:style>
  <w:style w:type="character" w:customStyle="1" w:styleId="19">
    <w:name w:val="标题 3 Char"/>
    <w:basedOn w:val="13"/>
    <w:link w:val="5"/>
    <w:semiHidden/>
    <w:qFormat/>
    <w:uiPriority w:val="0"/>
    <w:rPr>
      <w:rFonts w:ascii="Times New Roman" w:hAnsi="Times New Roman"/>
      <w:b/>
      <w:bCs/>
      <w:kern w:val="2"/>
      <w:sz w:val="32"/>
      <w:szCs w:val="32"/>
    </w:rPr>
  </w:style>
  <w:style w:type="character" w:customStyle="1" w:styleId="20">
    <w:name w:val="正文文本 Char"/>
    <w:link w:val="6"/>
    <w:semiHidden/>
    <w:qFormat/>
    <w:uiPriority w:val="0"/>
    <w:rPr>
      <w:rFonts w:ascii="仿宋_GB2312" w:hAnsi="Times New Roman" w:eastAsia="仿宋_GB2312"/>
      <w:sz w:val="24"/>
    </w:rPr>
  </w:style>
  <w:style w:type="paragraph" w:customStyle="1" w:styleId="21">
    <w:name w:val="批注框文本1"/>
    <w:basedOn w:val="1"/>
    <w:link w:val="22"/>
    <w:qFormat/>
    <w:uiPriority w:val="0"/>
    <w:rPr>
      <w:rFonts w:ascii="Times New Roman" w:hAnsi="Times New Roman"/>
      <w:kern w:val="2"/>
      <w:sz w:val="18"/>
      <w:szCs w:val="18"/>
    </w:rPr>
  </w:style>
  <w:style w:type="character" w:customStyle="1" w:styleId="22">
    <w:name w:val="批注框文本 Char"/>
    <w:basedOn w:val="13"/>
    <w:link w:val="21"/>
    <w:semiHidden/>
    <w:qFormat/>
    <w:uiPriority w:val="0"/>
    <w:rPr>
      <w:rFonts w:ascii="Times New Roman" w:hAnsi="Times New Roman"/>
      <w:kern w:val="2"/>
      <w:sz w:val="18"/>
      <w:szCs w:val="18"/>
    </w:rPr>
  </w:style>
  <w:style w:type="character" w:customStyle="1" w:styleId="23">
    <w:name w:val="页脚 Char"/>
    <w:link w:val="2"/>
    <w:semiHidden/>
    <w:qFormat/>
    <w:uiPriority w:val="0"/>
    <w:rPr>
      <w:sz w:val="18"/>
    </w:rPr>
  </w:style>
  <w:style w:type="character" w:customStyle="1" w:styleId="24">
    <w:name w:val="页眉 Char"/>
    <w:link w:val="8"/>
    <w:semiHidden/>
    <w:qFormat/>
    <w:uiPriority w:val="0"/>
    <w:rPr>
      <w:sz w:val="18"/>
    </w:rPr>
  </w:style>
  <w:style w:type="paragraph" w:customStyle="1" w:styleId="25">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List Paragraph"/>
    <w:basedOn w:val="1"/>
    <w:qFormat/>
    <w:uiPriority w:val="0"/>
    <w:pPr>
      <w:ind w:firstLine="420" w:firstLineChars="200"/>
    </w:pPr>
  </w:style>
  <w:style w:type="paragraph" w:customStyle="1" w:styleId="27">
    <w:name w:val="TOC Heading"/>
    <w:basedOn w:val="3"/>
    <w:next w:val="1"/>
    <w:qFormat/>
    <w:uiPriority w:val="0"/>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8">
    <w:name w:val="Header Char"/>
    <w:basedOn w:val="13"/>
    <w:qFormat/>
    <w:uiPriority w:val="0"/>
    <w:rPr>
      <w:rFonts w:ascii="Times New Roman" w:hAnsi="Times New Roman"/>
      <w:sz w:val="18"/>
      <w:szCs w:val="18"/>
    </w:rPr>
  </w:style>
  <w:style w:type="character" w:customStyle="1" w:styleId="29">
    <w:name w:val="Footer Char"/>
    <w:basedOn w:val="13"/>
    <w:qFormat/>
    <w:uiPriority w:val="0"/>
    <w:rPr>
      <w:rFonts w:ascii="Times New Roman" w:hAnsi="Times New Roman"/>
      <w:sz w:val="18"/>
      <w:szCs w:val="18"/>
    </w:rPr>
  </w:style>
  <w:style w:type="character" w:customStyle="1" w:styleId="30">
    <w:name w:val="Body Text Char"/>
    <w:basedOn w:val="13"/>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16850</Words>
  <Characters>17873</Characters>
  <Lines>68</Lines>
  <Paragraphs>19</Paragraphs>
  <TotalTime>20</TotalTime>
  <ScaleCrop>false</ScaleCrop>
  <LinksUpToDate>false</LinksUpToDate>
  <CharactersWithSpaces>18025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kylin</cp:lastModifiedBy>
  <cp:lastPrinted>2019-08-01T08:48:00Z</cp:lastPrinted>
  <dcterms:modified xsi:type="dcterms:W3CDTF">2024-12-23T17:49:01Z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1DA29789E3824B8E9AF5F2C2D2476E44</vt:lpwstr>
  </property>
</Properties>
</file>