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outlineLvl w:val="0"/>
        <w:rPr>
          <w:rFonts w:ascii="仿宋_GB2312" w:hAnsi="仿宋_GB2312" w:eastAsia="仿宋_GB2312" w:cs="仿宋_GB2312"/>
          <w:color w:val="000000"/>
          <w:sz w:val="72"/>
          <w:szCs w:val="72"/>
        </w:rPr>
      </w:pPr>
      <w:bookmarkStart w:id="0" w:name="_Toc15306267"/>
      <w:bookmarkStart w:id="77" w:name="_GoBack"/>
      <w:bookmarkEnd w:id="77"/>
    </w:p>
    <w:p>
      <w:pPr>
        <w:spacing w:line="520" w:lineRule="exact"/>
        <w:jc w:val="center"/>
        <w:outlineLvl w:val="0"/>
        <w:rPr>
          <w:rFonts w:ascii="仿宋_GB2312" w:hAnsi="仿宋_GB2312" w:eastAsia="仿宋_GB2312" w:cs="仿宋_GB2312"/>
          <w:color w:val="000000"/>
          <w:sz w:val="72"/>
          <w:szCs w:val="72"/>
        </w:rPr>
      </w:pPr>
    </w:p>
    <w:p>
      <w:pPr>
        <w:spacing w:line="520" w:lineRule="exact"/>
        <w:jc w:val="center"/>
        <w:outlineLvl w:val="0"/>
        <w:rPr>
          <w:rFonts w:ascii="仿宋_GB2312" w:hAnsi="仿宋_GB2312" w:eastAsia="仿宋_GB2312" w:cs="仿宋_GB2312"/>
          <w:color w:val="000000"/>
          <w:sz w:val="72"/>
          <w:szCs w:val="72"/>
        </w:rPr>
      </w:pPr>
    </w:p>
    <w:p>
      <w:pPr>
        <w:spacing w:line="940" w:lineRule="exact"/>
        <w:jc w:val="center"/>
        <w:outlineLvl w:val="0"/>
        <w:rPr>
          <w:rFonts w:ascii="仿宋_GB2312" w:hAnsi="仿宋_GB2312" w:eastAsia="仿宋_GB2312" w:cs="仿宋_GB2312"/>
          <w:b/>
          <w:bCs/>
          <w:color w:val="000000"/>
          <w:sz w:val="72"/>
          <w:szCs w:val="72"/>
        </w:rPr>
      </w:pPr>
    </w:p>
    <w:p>
      <w:pPr>
        <w:adjustRightInd w:val="0"/>
        <w:snapToGrid w:val="0"/>
        <w:spacing w:line="940" w:lineRule="exact"/>
        <w:jc w:val="center"/>
        <w:outlineLvl w:val="0"/>
        <w:rPr>
          <w:rFonts w:ascii="黑体" w:hAnsi="黑体" w:eastAsia="黑体" w:cs="黑体"/>
          <w:color w:val="000000"/>
          <w:sz w:val="72"/>
          <w:szCs w:val="72"/>
        </w:rPr>
      </w:pPr>
      <w:bookmarkStart w:id="1" w:name="_Toc15396597"/>
      <w:bookmarkStart w:id="2" w:name="_Toc15378441"/>
      <w:bookmarkStart w:id="3" w:name="_Toc15396475"/>
      <w:bookmarkStart w:id="4" w:name="_Toc15377425"/>
      <w:bookmarkStart w:id="5" w:name="_Toc15377193"/>
      <w:r>
        <w:rPr>
          <w:rFonts w:hint="eastAsia" w:ascii="黑体" w:hAnsi="黑体" w:eastAsia="黑体" w:cs="黑体"/>
          <w:color w:val="000000"/>
          <w:sz w:val="72"/>
          <w:szCs w:val="72"/>
        </w:rPr>
        <w:t>201</w:t>
      </w:r>
      <w:r>
        <w:rPr>
          <w:rFonts w:ascii="黑体" w:hAnsi="黑体" w:eastAsia="黑体" w:cs="黑体"/>
          <w:color w:val="000000"/>
          <w:sz w:val="72"/>
          <w:szCs w:val="72"/>
        </w:rPr>
        <w:t>9</w:t>
      </w:r>
      <w:r>
        <w:rPr>
          <w:rFonts w:hint="eastAsia" w:ascii="黑体" w:hAnsi="黑体" w:eastAsia="黑体" w:cs="黑体"/>
          <w:color w:val="000000"/>
          <w:sz w:val="72"/>
          <w:szCs w:val="72"/>
        </w:rPr>
        <w:t>年度</w:t>
      </w:r>
      <w:bookmarkEnd w:id="1"/>
      <w:bookmarkEnd w:id="2"/>
      <w:bookmarkEnd w:id="3"/>
      <w:bookmarkEnd w:id="4"/>
      <w:bookmarkEnd w:id="5"/>
    </w:p>
    <w:p>
      <w:pPr>
        <w:adjustRightInd w:val="0"/>
        <w:snapToGrid w:val="0"/>
        <w:spacing w:line="940" w:lineRule="exact"/>
        <w:jc w:val="center"/>
        <w:outlineLvl w:val="0"/>
        <w:rPr>
          <w:rFonts w:ascii="黑体" w:hAnsi="黑体" w:eastAsia="黑体" w:cs="黑体"/>
          <w:color w:val="000000"/>
          <w:sz w:val="72"/>
          <w:szCs w:val="72"/>
        </w:rPr>
      </w:pPr>
      <w:bookmarkStart w:id="6" w:name="_Toc15377194"/>
      <w:bookmarkStart w:id="7" w:name="_Toc15396476"/>
      <w:bookmarkStart w:id="8" w:name="_Toc15378442"/>
      <w:bookmarkStart w:id="9" w:name="_Toc15396598"/>
      <w:bookmarkStart w:id="10" w:name="_Toc15377426"/>
      <w:r>
        <w:rPr>
          <w:rFonts w:hint="eastAsia" w:ascii="黑体" w:hAnsi="黑体" w:eastAsia="黑体" w:cs="黑体"/>
          <w:color w:val="000000"/>
          <w:sz w:val="72"/>
          <w:szCs w:val="72"/>
        </w:rPr>
        <w:t>四川省</w:t>
      </w:r>
      <w:bookmarkEnd w:id="0"/>
      <w:bookmarkStart w:id="11" w:name="_Toc15306268"/>
      <w:r>
        <w:rPr>
          <w:rFonts w:hint="eastAsia" w:ascii="黑体" w:hAnsi="黑体" w:eastAsia="黑体" w:cs="黑体"/>
          <w:color w:val="000000"/>
          <w:sz w:val="72"/>
          <w:szCs w:val="72"/>
        </w:rPr>
        <w:t>邻水县袁市镇</w:t>
      </w:r>
    </w:p>
    <w:p>
      <w:pPr>
        <w:adjustRightInd w:val="0"/>
        <w:snapToGrid w:val="0"/>
        <w:spacing w:line="940" w:lineRule="exact"/>
        <w:jc w:val="center"/>
        <w:outlineLvl w:val="0"/>
        <w:rPr>
          <w:rFonts w:ascii="黑体" w:hAnsi="黑体" w:eastAsia="黑体" w:cs="黑体"/>
          <w:color w:val="000000"/>
          <w:sz w:val="72"/>
          <w:szCs w:val="72"/>
        </w:rPr>
      </w:pPr>
      <w:r>
        <w:rPr>
          <w:rFonts w:hint="eastAsia" w:ascii="黑体" w:hAnsi="黑体" w:eastAsia="黑体" w:cs="黑体"/>
          <w:color w:val="000000"/>
          <w:sz w:val="72"/>
          <w:szCs w:val="72"/>
        </w:rPr>
        <w:t>人民政府决算</w:t>
      </w:r>
      <w:bookmarkEnd w:id="6"/>
      <w:bookmarkEnd w:id="7"/>
      <w:bookmarkEnd w:id="8"/>
      <w:bookmarkEnd w:id="9"/>
      <w:bookmarkEnd w:id="10"/>
      <w:bookmarkEnd w:id="11"/>
    </w:p>
    <w:p>
      <w:pPr>
        <w:adjustRightInd w:val="0"/>
        <w:snapToGrid w:val="0"/>
        <w:spacing w:line="940" w:lineRule="exact"/>
        <w:jc w:val="center"/>
        <w:outlineLvl w:val="0"/>
        <w:rPr>
          <w:rFonts w:ascii="仿宋_GB2312" w:hAnsi="仿宋_GB2312" w:eastAsia="仿宋_GB2312" w:cs="仿宋_GB2312"/>
          <w:b/>
          <w:bCs/>
          <w:color w:val="000000"/>
          <w:sz w:val="52"/>
          <w:szCs w:val="52"/>
        </w:rPr>
      </w:pPr>
    </w:p>
    <w:p>
      <w:pPr>
        <w:widowControl/>
        <w:spacing w:line="520" w:lineRule="exact"/>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36"/>
          <w:szCs w:val="36"/>
        </w:rPr>
        <w:br w:type="page"/>
      </w:r>
      <w:r>
        <w:rPr>
          <w:rFonts w:hint="eastAsia" w:ascii="仿宋_GB2312" w:hAnsi="仿宋_GB2312" w:eastAsia="仿宋_GB2312" w:cs="仿宋_GB2312"/>
          <w:color w:val="000000"/>
          <w:sz w:val="48"/>
          <w:szCs w:val="48"/>
        </w:rPr>
        <w:t>目录</w:t>
      </w:r>
    </w:p>
    <w:p>
      <w:pPr>
        <w:widowControl/>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48"/>
          <w:szCs w:val="48"/>
        </w:rPr>
        <w:fldChar w:fldCharType="begin"/>
      </w:r>
      <w:r>
        <w:rPr>
          <w:rFonts w:hint="eastAsia" w:ascii="仿宋_GB2312" w:hAnsi="仿宋_GB2312" w:eastAsia="仿宋_GB2312" w:cs="仿宋_GB2312"/>
          <w:color w:val="000000"/>
          <w:sz w:val="48"/>
          <w:szCs w:val="48"/>
        </w:rPr>
        <w:instrText xml:space="preserve"> TOC \o "1-2" \h \z \u </w:instrText>
      </w:r>
      <w:r>
        <w:rPr>
          <w:rFonts w:hint="eastAsia" w:ascii="仿宋_GB2312" w:hAnsi="仿宋_GB2312" w:eastAsia="仿宋_GB2312" w:cs="仿宋_GB2312"/>
          <w:color w:val="000000"/>
          <w:sz w:val="48"/>
          <w:szCs w:val="48"/>
        </w:rPr>
        <w:fldChar w:fldCharType="separate"/>
      </w:r>
    </w:p>
    <w:p>
      <w:pPr>
        <w:pStyle w:val="9"/>
        <w:spacing w:before="0" w:line="520" w:lineRule="exact"/>
        <w:rPr>
          <w:rFonts w:ascii="仿宋_GB2312" w:hAnsi="仿宋_GB2312" w:eastAsia="仿宋_GB2312" w:cs="仿宋_GB2312"/>
        </w:rPr>
      </w:pPr>
      <w:r>
        <w:rPr>
          <w:rFonts w:hint="eastAsia" w:ascii="仿宋_GB2312" w:hAnsi="仿宋_GB2312" w:eastAsia="仿宋_GB2312" w:cs="仿宋_GB2312"/>
        </w:rPr>
        <w:t>公开时间：20</w:t>
      </w:r>
      <w:r>
        <w:rPr>
          <w:rFonts w:hint="eastAsia" w:ascii="仿宋_GB2312" w:hAnsi="仿宋_GB2312" w:eastAsia="仿宋_GB2312" w:cs="仿宋_GB2312"/>
          <w:lang w:val="en-US" w:eastAsia="zh-CN"/>
        </w:rPr>
        <w:t>20</w:t>
      </w:r>
      <w:r>
        <w:rPr>
          <w:rFonts w:hint="eastAsia" w:ascii="仿宋_GB2312" w:hAnsi="仿宋_GB2312" w:eastAsia="仿宋_GB2312" w:cs="仿宋_GB2312"/>
        </w:rPr>
        <w:t>年8月29日</w:t>
      </w:r>
    </w:p>
    <w:p>
      <w:pPr>
        <w:spacing w:line="520" w:lineRule="exact"/>
        <w:rPr>
          <w:rFonts w:ascii="仿宋_GB2312" w:hAnsi="仿宋_GB2312" w:eastAsia="仿宋_GB2312" w:cs="仿宋_GB2312"/>
        </w:rPr>
      </w:pPr>
    </w:p>
    <w:p>
      <w:pPr>
        <w:pStyle w:val="9"/>
        <w:spacing w:before="0" w:line="520" w:lineRule="exact"/>
        <w:rPr>
          <w:rFonts w:ascii="仿宋_GB2312" w:hAnsi="仿宋_GB2312" w:eastAsia="仿宋_GB2312" w:cs="仿宋_GB2312"/>
        </w:rPr>
      </w:pPr>
      <w:r>
        <w:fldChar w:fldCharType="begin"/>
      </w:r>
      <w:r>
        <w:instrText xml:space="preserve"> HYPERLINK \l "_Toc15396599" </w:instrText>
      </w:r>
      <w:r>
        <w:fldChar w:fldCharType="separate"/>
      </w:r>
      <w:r>
        <w:rPr>
          <w:rStyle w:val="16"/>
          <w:rFonts w:hint="eastAsia" w:ascii="仿宋_GB2312" w:hAnsi="仿宋_GB2312" w:eastAsia="仿宋_GB2312" w:cs="仿宋_GB2312"/>
        </w:rPr>
        <w:t>第一部分 部门概况</w:t>
      </w:r>
      <w:r>
        <w:rPr>
          <w:rFonts w:hint="eastAsia" w:ascii="仿宋_GB2312" w:hAnsi="仿宋_GB2312" w:eastAsia="仿宋_GB2312" w:cs="仿宋_GB2312"/>
        </w:rPr>
        <w:tab/>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"_Toc15396600" </w:instrText>
      </w:r>
      <w:r>
        <w:fldChar w:fldCharType="separate"/>
      </w:r>
      <w:r>
        <w:rPr>
          <w:rStyle w:val="16"/>
          <w:rFonts w:hint="eastAsia" w:ascii="仿宋_GB2312" w:hAnsi="仿宋_GB2312" w:eastAsia="仿宋_GB2312" w:cs="仿宋_GB2312"/>
          <w:sz w:val="28"/>
          <w:szCs w:val="28"/>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"_Toc15396601" </w:instrText>
      </w:r>
      <w:r>
        <w:fldChar w:fldCharType="separate"/>
      </w:r>
      <w:r>
        <w:rPr>
          <w:rStyle w:val="16"/>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9"/>
        <w:spacing w:before="0" w:line="520" w:lineRule="exact"/>
        <w:rPr>
          <w:rFonts w:ascii="仿宋_GB2312" w:hAnsi="仿宋_GB2312" w:eastAsia="仿宋_GB2312" w:cs="仿宋_GB2312"/>
        </w:rPr>
      </w:pPr>
      <w:r>
        <w:fldChar w:fldCharType="begin"/>
      </w:r>
      <w:r>
        <w:instrText xml:space="preserve"> HYPERLINK \l "_Toc15396602" </w:instrText>
      </w:r>
      <w:r>
        <w:fldChar w:fldCharType="separate"/>
      </w:r>
      <w:r>
        <w:rPr>
          <w:rStyle w:val="16"/>
          <w:rFonts w:hint="eastAsia" w:ascii="仿宋_GB2312" w:hAnsi="仿宋_GB2312" w:eastAsia="仿宋_GB2312" w:cs="仿宋_GB2312"/>
        </w:rPr>
        <w:t>第二部分 201</w:t>
      </w:r>
      <w:r>
        <w:rPr>
          <w:rStyle w:val="16"/>
          <w:rFonts w:ascii="仿宋_GB2312" w:hAnsi="仿宋_GB2312" w:eastAsia="仿宋_GB2312" w:cs="仿宋_GB2312"/>
        </w:rPr>
        <w:t>9</w:t>
      </w:r>
      <w:r>
        <w:rPr>
          <w:rStyle w:val="16"/>
          <w:rFonts w:hint="eastAsia" w:ascii="仿宋_GB2312" w:hAnsi="仿宋_GB2312" w:eastAsia="仿宋_GB2312" w:cs="仿宋_GB2312"/>
        </w:rPr>
        <w:t>年度部门决算情况说明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"_Toc15396603" </w:instrText>
      </w:r>
      <w:r>
        <w:fldChar w:fldCharType="separate"/>
      </w:r>
      <w:r>
        <w:rPr>
          <w:rStyle w:val="16"/>
          <w:rFonts w:hint="eastAsia" w:ascii="仿宋_GB2312" w:hAnsi="仿宋_GB2312" w:eastAsia="仿宋_GB2312" w:cs="仿宋_GB2312"/>
          <w:bCs/>
          <w:sz w:val="28"/>
          <w:szCs w:val="28"/>
        </w:rPr>
        <w:t>一、</w:t>
      </w:r>
      <w:r>
        <w:rPr>
          <w:rStyle w:val="16"/>
          <w:rFonts w:hint="eastAsia" w:ascii="仿宋_GB2312" w:hAnsi="仿宋_GB2312" w:eastAsia="仿宋_GB2312" w:cs="仿宋_GB2312"/>
          <w:sz w:val="28"/>
          <w:szCs w:val="28"/>
        </w:rPr>
        <w:t>收</w:t>
      </w:r>
      <w:r>
        <w:rPr>
          <w:rStyle w:val="16"/>
          <w:rFonts w:hint="eastAsia" w:ascii="仿宋_GB2312" w:hAnsi="仿宋_GB2312" w:eastAsia="仿宋_GB2312" w:cs="仿宋_GB2312"/>
          <w:bCs/>
          <w:sz w:val="28"/>
          <w:szCs w:val="28"/>
        </w:rPr>
        <w:t>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"_Toc15396604" </w:instrText>
      </w:r>
      <w:r>
        <w:fldChar w:fldCharType="separate"/>
      </w:r>
      <w:r>
        <w:rPr>
          <w:rStyle w:val="16"/>
          <w:rFonts w:hint="eastAsia" w:ascii="仿宋_GB2312" w:hAnsi="仿宋_GB2312" w:eastAsia="仿宋_GB2312" w:cs="仿宋_GB2312"/>
          <w:bCs/>
          <w:sz w:val="28"/>
          <w:szCs w:val="28"/>
        </w:rPr>
        <w:t>二、</w:t>
      </w:r>
      <w:r>
        <w:rPr>
          <w:rStyle w:val="16"/>
          <w:rFonts w:hint="eastAsia" w:ascii="仿宋_GB2312" w:hAnsi="仿宋_GB2312" w:eastAsia="仿宋_GB2312" w:cs="仿宋_GB2312"/>
          <w:sz w:val="28"/>
          <w:szCs w:val="28"/>
        </w:rPr>
        <w:t>收</w:t>
      </w:r>
      <w:r>
        <w:rPr>
          <w:rStyle w:val="16"/>
          <w:rFonts w:hint="eastAsia" w:ascii="仿宋_GB2312" w:hAnsi="仿宋_GB2312" w:eastAsia="仿宋_GB2312" w:cs="仿宋_GB2312"/>
          <w:bCs/>
          <w:sz w:val="28"/>
          <w:szCs w:val="28"/>
        </w:rPr>
        <w:t>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"_Toc15396605" </w:instrText>
      </w:r>
      <w:r>
        <w:fldChar w:fldCharType="separate"/>
      </w:r>
      <w:r>
        <w:rPr>
          <w:rStyle w:val="16"/>
          <w:rFonts w:hint="eastAsia" w:ascii="仿宋_GB2312" w:hAnsi="仿宋_GB2312" w:eastAsia="仿宋_GB2312" w:cs="仿宋_GB2312"/>
          <w:bCs/>
          <w:sz w:val="28"/>
          <w:szCs w:val="28"/>
        </w:rPr>
        <w:t>三、</w:t>
      </w:r>
      <w:r>
        <w:rPr>
          <w:rStyle w:val="16"/>
          <w:rFonts w:hint="eastAsia" w:ascii="仿宋_GB2312" w:hAnsi="仿宋_GB2312" w:eastAsia="仿宋_GB2312" w:cs="仿宋_GB2312"/>
          <w:sz w:val="28"/>
          <w:szCs w:val="28"/>
        </w:rPr>
        <w:t>支</w:t>
      </w:r>
      <w:r>
        <w:rPr>
          <w:rStyle w:val="16"/>
          <w:rFonts w:hint="eastAsia" w:ascii="仿宋_GB2312" w:hAnsi="仿宋_GB2312" w:eastAsia="仿宋_GB2312" w:cs="仿宋_GB2312"/>
          <w:bCs/>
          <w:sz w:val="28"/>
          <w:szCs w:val="28"/>
        </w:rPr>
        <w:t>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"_Toc15396606" </w:instrText>
      </w:r>
      <w:r>
        <w:fldChar w:fldCharType="separate"/>
      </w:r>
      <w:r>
        <w:rPr>
          <w:rStyle w:val="16"/>
          <w:rFonts w:hint="eastAsia" w:ascii="仿宋_GB2312" w:hAnsi="仿宋_GB2312" w:eastAsia="仿宋_GB2312" w:cs="仿宋_GB2312"/>
          <w:sz w:val="28"/>
          <w:szCs w:val="28"/>
        </w:rPr>
        <w:t>四、财</w:t>
      </w:r>
      <w:r>
        <w:rPr>
          <w:rStyle w:val="16"/>
          <w:rFonts w:hint="eastAsia" w:ascii="仿宋_GB2312" w:hAnsi="仿宋_GB2312" w:eastAsia="仿宋_GB2312" w:cs="仿宋_GB2312"/>
          <w:bCs/>
          <w:sz w:val="28"/>
          <w:szCs w:val="28"/>
        </w:rPr>
        <w:t>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"_Toc15396607" </w:instrText>
      </w:r>
      <w:r>
        <w:fldChar w:fldCharType="separate"/>
      </w:r>
      <w:r>
        <w:rPr>
          <w:rStyle w:val="16"/>
          <w:rFonts w:hint="eastAsia" w:ascii="仿宋_GB2312" w:hAnsi="仿宋_GB2312" w:eastAsia="仿宋_GB2312" w:cs="仿宋_GB2312"/>
          <w:sz w:val="28"/>
          <w:szCs w:val="28"/>
        </w:rPr>
        <w:t>五、一</w:t>
      </w:r>
      <w:r>
        <w:rPr>
          <w:rStyle w:val="16"/>
          <w:rFonts w:hint="eastAsia" w:ascii="仿宋_GB2312" w:hAnsi="仿宋_GB2312" w:eastAsia="仿宋_GB2312" w:cs="仿宋_GB2312"/>
          <w:bCs/>
          <w:sz w:val="28"/>
          <w:szCs w:val="28"/>
        </w:rPr>
        <w:t>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"_Toc15396608" </w:instrText>
      </w:r>
      <w:r>
        <w:fldChar w:fldCharType="separate"/>
      </w:r>
      <w:r>
        <w:rPr>
          <w:rStyle w:val="16"/>
          <w:rFonts w:hint="eastAsia" w:ascii="仿宋_GB2312" w:hAnsi="仿宋_GB2312" w:eastAsia="仿宋_GB2312" w:cs="仿宋_GB2312"/>
          <w:sz w:val="28"/>
          <w:szCs w:val="28"/>
        </w:rPr>
        <w:t>六、一</w:t>
      </w:r>
      <w:r>
        <w:rPr>
          <w:rStyle w:val="16"/>
          <w:rFonts w:hint="eastAsia" w:ascii="仿宋_GB2312" w:hAnsi="仿宋_GB2312" w:eastAsia="仿宋_GB2312" w:cs="仿宋_GB2312"/>
          <w:bCs/>
          <w:sz w:val="28"/>
          <w:szCs w:val="28"/>
        </w:rPr>
        <w:t>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"_Toc15396609" </w:instrText>
      </w:r>
      <w:r>
        <w:fldChar w:fldCharType="separate"/>
      </w:r>
      <w:r>
        <w:rPr>
          <w:rStyle w:val="16"/>
          <w:rFonts w:hint="eastAsia" w:ascii="仿宋_GB2312" w:hAnsi="仿宋_GB2312" w:eastAsia="仿宋_GB2312" w:cs="仿宋_GB2312"/>
          <w:sz w:val="28"/>
          <w:szCs w:val="28"/>
        </w:rPr>
        <w:t>七、“</w:t>
      </w:r>
      <w:r>
        <w:rPr>
          <w:rStyle w:val="16"/>
          <w:rFonts w:hint="eastAsia" w:ascii="仿宋_GB2312" w:hAnsi="仿宋_GB2312" w:eastAsia="仿宋_GB2312" w:cs="仿宋_GB2312"/>
          <w:bCs/>
          <w:sz w:val="28"/>
          <w:szCs w:val="28"/>
        </w:rPr>
        <w:t>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"_Toc15396610" </w:instrText>
      </w:r>
      <w:r>
        <w:fldChar w:fldCharType="separate"/>
      </w:r>
      <w:r>
        <w:rPr>
          <w:rStyle w:val="16"/>
          <w:rFonts w:hint="eastAsia" w:ascii="仿宋_GB2312" w:hAnsi="仿宋_GB2312" w:eastAsia="仿宋_GB2312" w:cs="仿宋_GB2312"/>
          <w:sz w:val="28"/>
          <w:szCs w:val="28"/>
        </w:rPr>
        <w:t>八、</w:t>
      </w:r>
      <w:r>
        <w:rPr>
          <w:rStyle w:val="16"/>
          <w:rFonts w:hint="eastAsia" w:ascii="仿宋_GB2312" w:hAnsi="仿宋_GB2312" w:eastAsia="仿宋_GB2312" w:cs="仿宋_GB2312"/>
          <w:bCs/>
          <w:sz w:val="28"/>
          <w:szCs w:val="28"/>
        </w:rPr>
        <w:t>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"_Toc15396611" </w:instrText>
      </w:r>
      <w:r>
        <w:fldChar w:fldCharType="separate"/>
      </w:r>
      <w:r>
        <w:rPr>
          <w:rStyle w:val="16"/>
          <w:rFonts w:hint="eastAsia" w:ascii="仿宋_GB2312" w:hAnsi="仿宋_GB2312" w:eastAsia="仿宋_GB2312" w:cs="仿宋_GB2312"/>
          <w:bCs/>
          <w:sz w:val="28"/>
          <w:szCs w:val="28"/>
        </w:rPr>
        <w:t>九、</w:t>
      </w:r>
      <w:r>
        <w:rPr>
          <w:rStyle w:val="16"/>
          <w:rFonts w:hint="eastAsia" w:ascii="仿宋_GB2312" w:hAnsi="仿宋_GB2312" w:eastAsia="仿宋_GB2312" w:cs="仿宋_GB2312"/>
          <w:sz w:val="28"/>
          <w:szCs w:val="28"/>
        </w:rPr>
        <w:t xml:space="preserve"> 国</w:t>
      </w:r>
      <w:r>
        <w:rPr>
          <w:rStyle w:val="16"/>
          <w:rFonts w:hint="eastAsia" w:ascii="仿宋_GB2312" w:hAnsi="仿宋_GB2312" w:eastAsia="仿宋_GB2312" w:cs="仿宋_GB2312"/>
          <w:bCs/>
          <w:sz w:val="28"/>
          <w:szCs w:val="28"/>
        </w:rPr>
        <w:t>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"_Toc15396612" </w:instrText>
      </w:r>
      <w:r>
        <w:fldChar w:fldCharType="separate"/>
      </w:r>
      <w:r>
        <w:rPr>
          <w:rStyle w:val="16"/>
          <w:rFonts w:hint="eastAsia" w:ascii="仿宋_GB2312" w:hAnsi="仿宋_GB2312" w:eastAsia="仿宋_GB2312" w:cs="仿宋_GB2312"/>
          <w:sz w:val="28"/>
          <w:szCs w:val="28"/>
        </w:rPr>
        <w:t>十</w:t>
      </w:r>
      <w:r>
        <w:rPr>
          <w:rStyle w:val="16"/>
          <w:rFonts w:hint="eastAsia" w:ascii="仿宋_GB2312" w:hAnsi="仿宋_GB2312" w:eastAsia="仿宋_GB2312" w:cs="仿宋_GB2312"/>
          <w:bCs/>
          <w:sz w:val="28"/>
          <w:szCs w:val="28"/>
        </w:rPr>
        <w:t>一、其他重要事项的情况说明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9"/>
        <w:spacing w:before="0" w:line="520" w:lineRule="exact"/>
        <w:rPr>
          <w:rFonts w:ascii="仿宋_GB2312" w:hAnsi="仿宋_GB2312" w:eastAsia="仿宋_GB2312" w:cs="仿宋_GB2312"/>
        </w:rPr>
      </w:pPr>
      <w:r>
        <w:fldChar w:fldCharType="begin"/>
      </w:r>
      <w:r>
        <w:instrText xml:space="preserve"> HYPERLINK \l "_Toc15396613" </w:instrText>
      </w:r>
      <w:r>
        <w:fldChar w:fldCharType="separate"/>
      </w:r>
      <w:r>
        <w:rPr>
          <w:rStyle w:val="16"/>
          <w:rFonts w:hint="eastAsia" w:ascii="仿宋_GB2312" w:hAnsi="仿宋_GB2312" w:eastAsia="仿宋_GB2312" w:cs="仿宋_GB2312"/>
          <w:bCs/>
          <w:kern w:val="44"/>
        </w:rPr>
        <w:t>第三部分</w:t>
      </w:r>
      <w:r>
        <w:rPr>
          <w:rStyle w:val="16"/>
          <w:rFonts w:hint="eastAsia" w:ascii="仿宋_GB2312" w:hAnsi="仿宋_GB2312" w:eastAsia="仿宋_GB2312" w:cs="仿宋_GB2312"/>
        </w:rPr>
        <w:t xml:space="preserve"> 名</w:t>
      </w:r>
      <w:r>
        <w:rPr>
          <w:rStyle w:val="16"/>
          <w:rFonts w:hint="eastAsia" w:ascii="仿宋_GB2312" w:hAnsi="仿宋_GB2312" w:eastAsia="仿宋_GB2312" w:cs="仿宋_GB2312"/>
          <w:bCs/>
          <w:kern w:val="44"/>
        </w:rPr>
        <w:t>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9"/>
        <w:spacing w:before="0" w:line="520" w:lineRule="exact"/>
        <w:rPr>
          <w:rFonts w:ascii="仿宋_GB2312" w:hAnsi="仿宋_GB2312" w:eastAsia="仿宋_GB2312" w:cs="仿宋_GB2312"/>
        </w:rPr>
      </w:pPr>
      <w:r>
        <w:fldChar w:fldCharType="begin"/>
      </w:r>
      <w:r>
        <w:instrText xml:space="preserve"> HYPERLINK \l "_Toc15396614" </w:instrText>
      </w:r>
      <w:r>
        <w:fldChar w:fldCharType="separate"/>
      </w:r>
      <w:r>
        <w:rPr>
          <w:rStyle w:val="16"/>
          <w:rFonts w:hint="eastAsia" w:ascii="仿宋_GB2312" w:hAnsi="仿宋_GB2312" w:eastAsia="仿宋_GB2312" w:cs="仿宋_GB2312"/>
        </w:rPr>
        <w:t>第</w:t>
      </w:r>
      <w:r>
        <w:rPr>
          <w:rStyle w:val="16"/>
          <w:rFonts w:hint="eastAsia" w:ascii="仿宋_GB2312" w:hAnsi="仿宋_GB2312" w:eastAsia="仿宋_GB2312" w:cs="仿宋_GB2312"/>
          <w:bCs/>
          <w:kern w:val="44"/>
        </w:rPr>
        <w:t>四部分 附件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"_Toc15396615" </w:instrText>
      </w:r>
      <w:r>
        <w:fldChar w:fldCharType="separate"/>
      </w:r>
      <w:r>
        <w:rPr>
          <w:rStyle w:val="16"/>
          <w:rFonts w:hint="eastAsia" w:ascii="仿宋_GB2312" w:hAnsi="仿宋_GB2312" w:eastAsia="仿宋_GB2312" w:cs="仿宋_GB2312"/>
          <w:kern w:val="44"/>
          <w:sz w:val="28"/>
          <w:szCs w:val="28"/>
        </w:rPr>
        <w:t>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fldChar w:fldCharType="begin"/>
      </w:r>
      <w:r>
        <w:instrText xml:space="preserve"> HYPERLINK \l "_Toc15396617" </w:instrText>
      </w:r>
      <w:r>
        <w:fldChar w:fldCharType="separate"/>
      </w:r>
      <w:r>
        <w:rPr>
          <w:rStyle w:val="16"/>
          <w:rFonts w:hint="eastAsia" w:ascii="仿宋_GB2312" w:hAnsi="仿宋_GB2312" w:eastAsia="仿宋_GB2312" w:cs="仿宋_GB2312"/>
          <w:kern w:val="44"/>
          <w:sz w:val="28"/>
          <w:szCs w:val="28"/>
        </w:rPr>
        <w:t>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9"/>
        <w:spacing w:before="0" w:line="520" w:lineRule="exact"/>
        <w:rPr>
          <w:rFonts w:ascii="仿宋_GB2312" w:hAnsi="仿宋_GB2312" w:eastAsia="仿宋_GB2312" w:cs="仿宋_GB2312"/>
        </w:rPr>
      </w:pPr>
      <w:r>
        <w:fldChar w:fldCharType="begin"/>
      </w:r>
      <w:r>
        <w:instrText xml:space="preserve"> HYPERLINK \l "_Toc15396618" </w:instrText>
      </w:r>
      <w:r>
        <w:fldChar w:fldCharType="separate"/>
      </w:r>
      <w:r>
        <w:rPr>
          <w:rStyle w:val="16"/>
          <w:rFonts w:hint="eastAsia" w:ascii="仿宋_GB2312" w:hAnsi="仿宋_GB2312" w:eastAsia="仿宋_GB2312" w:cs="仿宋_GB2312"/>
        </w:rPr>
        <w:t>第</w:t>
      </w:r>
      <w:r>
        <w:rPr>
          <w:rStyle w:val="16"/>
          <w:rFonts w:hint="eastAsia" w:ascii="仿宋_GB2312" w:hAnsi="仿宋_GB2312" w:eastAsia="仿宋_GB2312" w:cs="仿宋_GB2312"/>
          <w:bCs/>
          <w:kern w:val="44"/>
        </w:rPr>
        <w:t>五部分 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fldChar w:fldCharType="begin"/>
      </w:r>
      <w:r>
        <w:instrText xml:space="preserve"> HYPERLINK \l "_Toc15396619" </w:instrText>
      </w:r>
      <w:r>
        <w:fldChar w:fldCharType="separate"/>
      </w:r>
      <w:r>
        <w:rPr>
          <w:rStyle w:val="16"/>
          <w:rFonts w:hint="eastAsia" w:ascii="仿宋_GB2312" w:hAnsi="仿宋_GB2312" w:eastAsia="仿宋_GB2312" w:cs="仿宋_GB2312"/>
          <w:sz w:val="28"/>
          <w:szCs w:val="28"/>
        </w:rPr>
        <w:t>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fldChar w:fldCharType="begin"/>
      </w:r>
      <w:r>
        <w:instrText xml:space="preserve"> HYPERLINK \l "_Toc15396620" </w:instrText>
      </w:r>
      <w:r>
        <w:fldChar w:fldCharType="separate"/>
      </w:r>
      <w:r>
        <w:rPr>
          <w:rStyle w:val="16"/>
          <w:rFonts w:hint="eastAsia" w:ascii="仿宋_GB2312" w:hAnsi="仿宋_GB2312" w:eastAsia="仿宋_GB2312" w:cs="仿宋_GB2312"/>
          <w:sz w:val="28"/>
          <w:szCs w:val="28"/>
        </w:rPr>
        <w:t>收入总表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fldChar w:fldCharType="begin"/>
      </w:r>
      <w:r>
        <w:instrText xml:space="preserve"> HYPERLINK \l "_Toc15396621" </w:instrText>
      </w:r>
      <w:r>
        <w:fldChar w:fldCharType="separate"/>
      </w:r>
      <w:r>
        <w:rPr>
          <w:rStyle w:val="16"/>
          <w:rFonts w:hint="eastAsia" w:ascii="仿宋_GB2312" w:hAnsi="仿宋_GB2312" w:eastAsia="仿宋_GB2312" w:cs="仿宋_GB2312"/>
          <w:sz w:val="28"/>
          <w:szCs w:val="28"/>
        </w:rPr>
        <w:t>支出总表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fldChar w:fldCharType="begin"/>
      </w:r>
      <w:r>
        <w:instrText xml:space="preserve"> HYPERLINK \l "_Toc15396622" </w:instrText>
      </w:r>
      <w:r>
        <w:fldChar w:fldCharType="separate"/>
      </w:r>
      <w:r>
        <w:rPr>
          <w:rStyle w:val="16"/>
          <w:rFonts w:hint="eastAsia" w:ascii="仿宋_GB2312" w:hAnsi="仿宋_GB2312" w:eastAsia="仿宋_GB2312" w:cs="仿宋_GB2312"/>
          <w:sz w:val="28"/>
          <w:szCs w:val="28"/>
        </w:rPr>
        <w:t>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fldChar w:fldCharType="begin"/>
      </w:r>
      <w:r>
        <w:instrText xml:space="preserve"> HYPERLINK \l "_Toc15396623" </w:instrText>
      </w:r>
      <w:r>
        <w:fldChar w:fldCharType="separate"/>
      </w:r>
      <w:r>
        <w:rPr>
          <w:rFonts w:hint="eastAsia" w:ascii="仿宋_GB2312" w:hAnsi="仿宋_GB2312" w:eastAsia="仿宋_GB2312" w:cs="仿宋_GB2312"/>
          <w:sz w:val="28"/>
          <w:szCs w:val="28"/>
        </w:rPr>
        <w:t>财政拨款支出决算明细表（政府经济分类科目）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六、</w:t>
      </w:r>
      <w:r>
        <w:fldChar w:fldCharType="begin"/>
      </w:r>
      <w:r>
        <w:instrText xml:space="preserve"> HYPERLINK \l "_Toc15396624" </w:instrText>
      </w:r>
      <w:r>
        <w:fldChar w:fldCharType="separate"/>
      </w:r>
      <w:r>
        <w:rPr>
          <w:rStyle w:val="16"/>
          <w:rFonts w:hint="eastAsia" w:ascii="仿宋_GB2312" w:hAnsi="仿宋_GB2312" w:eastAsia="仿宋_GB2312" w:cs="仿宋_GB2312"/>
          <w:sz w:val="28"/>
          <w:szCs w:val="28"/>
        </w:rPr>
        <w:t>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七、</w:t>
      </w:r>
      <w:r>
        <w:fldChar w:fldCharType="begin"/>
      </w:r>
      <w:r>
        <w:instrText xml:space="preserve"> HYPERLINK \l "_Toc15396625" </w:instrText>
      </w:r>
      <w:r>
        <w:fldChar w:fldCharType="separate"/>
      </w:r>
      <w:r>
        <w:rPr>
          <w:rStyle w:val="16"/>
          <w:rFonts w:hint="eastAsia" w:ascii="仿宋_GB2312" w:hAnsi="仿宋_GB2312" w:eastAsia="仿宋_GB2312" w:cs="仿宋_GB2312"/>
          <w:sz w:val="28"/>
          <w:szCs w:val="28"/>
        </w:rPr>
        <w:t>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八、</w:t>
      </w:r>
      <w:r>
        <w:fldChar w:fldCharType="begin"/>
      </w:r>
      <w:r>
        <w:instrText xml:space="preserve"> HYPERLINK \l "_Toc15396626" </w:instrText>
      </w:r>
      <w:r>
        <w:fldChar w:fldCharType="separate"/>
      </w:r>
      <w:r>
        <w:rPr>
          <w:rStyle w:val="16"/>
          <w:rFonts w:hint="eastAsia" w:ascii="仿宋_GB2312" w:hAnsi="仿宋_GB2312" w:eastAsia="仿宋_GB2312" w:cs="仿宋_GB2312"/>
          <w:sz w:val="28"/>
          <w:szCs w:val="28"/>
        </w:rPr>
        <w:t>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九、</w:t>
      </w:r>
      <w:r>
        <w:fldChar w:fldCharType="begin"/>
      </w:r>
      <w:r>
        <w:instrText xml:space="preserve"> HYPERLINK \l "_Toc15396627" </w:instrText>
      </w:r>
      <w:r>
        <w:fldChar w:fldCharType="separate"/>
      </w:r>
      <w:r>
        <w:rPr>
          <w:rStyle w:val="16"/>
          <w:rFonts w:hint="eastAsia" w:ascii="仿宋_GB2312" w:hAnsi="仿宋_GB2312" w:eastAsia="仿宋_GB2312" w:cs="仿宋_GB2312"/>
          <w:sz w:val="28"/>
          <w:szCs w:val="28"/>
        </w:rPr>
        <w:t>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fldChar w:fldCharType="begin"/>
      </w:r>
      <w:r>
        <w:instrText xml:space="preserve"> HYPERLINK \l "_Toc15396628" </w:instrText>
      </w:r>
      <w:r>
        <w:fldChar w:fldCharType="separate"/>
      </w:r>
      <w:r>
        <w:rPr>
          <w:rStyle w:val="16"/>
          <w:rFonts w:hint="eastAsia" w:ascii="仿宋_GB2312" w:hAnsi="仿宋_GB2312" w:eastAsia="仿宋_GB2312" w:cs="仿宋_GB2312"/>
          <w:sz w:val="28"/>
          <w:szCs w:val="28"/>
        </w:rPr>
        <w:t>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十一、</w:t>
      </w:r>
      <w:r>
        <w:fldChar w:fldCharType="begin"/>
      </w:r>
      <w:r>
        <w:instrText xml:space="preserve"> HYPERLINK \l "_Toc15396629" </w:instrText>
      </w:r>
      <w:r>
        <w:fldChar w:fldCharType="separate"/>
      </w:r>
      <w:r>
        <w:rPr>
          <w:rStyle w:val="16"/>
          <w:rFonts w:hint="eastAsia" w:ascii="仿宋_GB2312" w:hAnsi="仿宋_GB2312" w:eastAsia="仿宋_GB2312" w:cs="仿宋_GB2312"/>
          <w:sz w:val="28"/>
          <w:szCs w:val="28"/>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十二、</w:t>
      </w:r>
      <w:r>
        <w:fldChar w:fldCharType="begin"/>
      </w:r>
      <w:r>
        <w:instrText xml:space="preserve"> HYPERLINK \l "_Toc15396630" </w:instrText>
      </w:r>
      <w:r>
        <w:fldChar w:fldCharType="separate"/>
      </w:r>
      <w:r>
        <w:rPr>
          <w:rStyle w:val="16"/>
          <w:rFonts w:hint="eastAsia" w:ascii="仿宋_GB2312" w:hAnsi="仿宋_GB2312" w:eastAsia="仿宋_GB2312" w:cs="仿宋_GB2312"/>
          <w:sz w:val="28"/>
          <w:szCs w:val="28"/>
        </w:rPr>
        <w:t>政府性基金预算财政拨款“三公”经费支出决算表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spacing w:line="520" w:lineRule="exact"/>
        <w:rPr>
          <w:rFonts w:ascii="仿宋_GB2312" w:hAnsi="仿宋_GB2312" w:eastAsia="仿宋_GB2312" w:cs="仿宋_GB2312"/>
          <w:sz w:val="24"/>
        </w:rPr>
      </w:pPr>
      <w:r>
        <w:rPr>
          <w:rFonts w:hint="eastAsia" w:ascii="仿宋_GB2312" w:hAnsi="仿宋_GB2312" w:eastAsia="仿宋_GB2312" w:cs="仿宋_GB2312"/>
          <w:sz w:val="28"/>
          <w:szCs w:val="28"/>
        </w:rPr>
        <w:t>十三、</w:t>
      </w:r>
      <w:r>
        <w:fldChar w:fldCharType="begin"/>
      </w:r>
      <w:r>
        <w:instrText xml:space="preserve"> HYPERLINK \l "_Toc15396631" </w:instrText>
      </w:r>
      <w:r>
        <w:fldChar w:fldCharType="separate"/>
      </w:r>
      <w:r>
        <w:rPr>
          <w:rStyle w:val="16"/>
          <w:rFonts w:hint="eastAsia" w:ascii="仿宋_GB2312" w:hAnsi="仿宋_GB2312" w:eastAsia="仿宋_GB2312" w:cs="仿宋_GB2312"/>
          <w:sz w:val="28"/>
          <w:szCs w:val="28"/>
        </w:rPr>
        <w:t>国有资本经营预算支出决算表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widowControl/>
        <w:spacing w:line="52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fldChar w:fldCharType="end"/>
      </w:r>
    </w:p>
    <w:p>
      <w:pPr>
        <w:widowControl/>
        <w:spacing w:line="520" w:lineRule="exact"/>
        <w:jc w:val="left"/>
        <w:rPr>
          <w:rFonts w:ascii="仿宋_GB2312" w:hAnsi="仿宋_GB2312" w:eastAsia="仿宋_GB2312" w:cs="仿宋_GB2312"/>
          <w:bCs/>
          <w:kern w:val="44"/>
          <w:sz w:val="44"/>
          <w:szCs w:val="44"/>
        </w:rPr>
      </w:pPr>
      <w:bookmarkStart w:id="12" w:name="_Toc15396599"/>
      <w:bookmarkStart w:id="13" w:name="_Toc15377196"/>
      <w:r>
        <w:rPr>
          <w:rFonts w:hint="eastAsia" w:ascii="仿宋_GB2312" w:hAnsi="仿宋_GB2312" w:eastAsia="仿宋_GB2312" w:cs="仿宋_GB2312"/>
          <w:b/>
        </w:rPr>
        <w:br w:type="page"/>
      </w:r>
    </w:p>
    <w:p>
      <w:pPr>
        <w:pStyle w:val="2"/>
        <w:spacing w:before="0" w:after="0" w:line="520" w:lineRule="exact"/>
        <w:jc w:val="center"/>
        <w:rPr>
          <w:rStyle w:val="17"/>
          <w:rFonts w:ascii="黑体" w:hAnsi="黑体" w:eastAsia="黑体" w:cs="黑体"/>
          <w:b/>
          <w:bCs w:val="0"/>
        </w:rPr>
      </w:pPr>
      <w:r>
        <w:rPr>
          <w:rFonts w:hint="eastAsia" w:ascii="黑体" w:hAnsi="黑体" w:eastAsia="黑体" w:cs="黑体"/>
          <w:b w:val="0"/>
        </w:rPr>
        <w:t xml:space="preserve">第一部分 </w:t>
      </w:r>
      <w:r>
        <w:rPr>
          <w:rStyle w:val="17"/>
          <w:rFonts w:hint="eastAsia" w:ascii="黑体" w:hAnsi="黑体" w:eastAsia="黑体" w:cs="黑体"/>
          <w:b w:val="0"/>
          <w:bCs w:val="0"/>
        </w:rPr>
        <w:t>部门概况</w:t>
      </w:r>
      <w:bookmarkEnd w:id="12"/>
      <w:bookmarkEnd w:id="13"/>
    </w:p>
    <w:p>
      <w:pPr>
        <w:widowControl/>
        <w:spacing w:line="520" w:lineRule="exact"/>
        <w:jc w:val="left"/>
        <w:rPr>
          <w:rFonts w:ascii="仿宋_GB2312" w:hAnsi="仿宋_GB2312" w:eastAsia="仿宋_GB2312" w:cs="仿宋_GB2312"/>
          <w:color w:val="000000"/>
          <w:sz w:val="32"/>
          <w:szCs w:val="32"/>
        </w:rPr>
      </w:pPr>
    </w:p>
    <w:p>
      <w:pPr>
        <w:pStyle w:val="3"/>
        <w:spacing w:before="0" w:after="0" w:line="520" w:lineRule="exact"/>
        <w:ind w:firstLine="640" w:firstLineChars="200"/>
        <w:rPr>
          <w:rStyle w:val="18"/>
          <w:rFonts w:ascii="黑体" w:hAnsi="黑体" w:eastAsia="黑体"/>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pStyle w:val="5"/>
        <w:adjustRightInd w:val="0"/>
        <w:snapToGrid w:val="0"/>
        <w:spacing w:beforeLines="0" w:line="520" w:lineRule="exact"/>
        <w:ind w:firstLine="672" w:firstLineChars="210"/>
        <w:outlineLvl w:val="2"/>
        <w:rPr>
          <w:rFonts w:hAnsi="仿宋_GB2312" w:cs="仿宋_GB2312"/>
          <w:sz w:val="30"/>
          <w:szCs w:val="30"/>
        </w:rPr>
      </w:pPr>
      <w:bookmarkStart w:id="16" w:name="_Toc15378445"/>
      <w:bookmarkStart w:id="17" w:name="_Toc15377198"/>
      <w:r>
        <w:rPr>
          <w:rFonts w:hint="eastAsia" w:hAnsi="仿宋_GB2312" w:cs="仿宋_GB2312"/>
          <w:bCs/>
          <w:color w:val="000000"/>
          <w:sz w:val="32"/>
          <w:szCs w:val="32"/>
        </w:rPr>
        <w:t>（一）主要职能。</w:t>
      </w:r>
      <w:r>
        <w:rPr>
          <w:rFonts w:hint="eastAsia" w:hAnsi="仿宋_GB2312" w:cs="仿宋_GB2312"/>
          <w:sz w:val="30"/>
          <w:szCs w:val="30"/>
        </w:rPr>
        <w:t>我单位属于行政单位，承担政府日常社会事务的各项政治、经济、文化、社会保障等工作。</w:t>
      </w:r>
      <w:bookmarkEnd w:id="16"/>
      <w:bookmarkEnd w:id="17"/>
      <w:bookmarkStart w:id="18" w:name="_Toc15377199"/>
      <w:bookmarkStart w:id="19" w:name="_Toc15378446"/>
    </w:p>
    <w:p>
      <w:pPr>
        <w:pStyle w:val="5"/>
        <w:adjustRightInd w:val="0"/>
        <w:snapToGrid w:val="0"/>
        <w:spacing w:beforeLines="0" w:line="520" w:lineRule="exact"/>
        <w:ind w:firstLine="672" w:firstLineChars="210"/>
        <w:outlineLvl w:val="2"/>
        <w:rPr>
          <w:rFonts w:hAnsi="仿宋_GB2312" w:cs="仿宋_GB2312"/>
          <w:bCs/>
          <w:sz w:val="32"/>
          <w:szCs w:val="32"/>
        </w:rPr>
      </w:pPr>
      <w:r>
        <w:rPr>
          <w:rFonts w:hint="eastAsia" w:hAnsi="仿宋_GB2312" w:cs="仿宋_GB2312"/>
          <w:bCs/>
          <w:color w:val="000000"/>
          <w:sz w:val="32"/>
          <w:szCs w:val="32"/>
        </w:rPr>
        <w:t>（二）2019年重点工作完成情况。</w:t>
      </w:r>
      <w:bookmarkEnd w:id="18"/>
      <w:bookmarkEnd w:id="19"/>
      <w:r>
        <w:rPr>
          <w:rFonts w:hint="eastAsia" w:hAnsi="仿宋_GB2312" w:cs="仿宋_GB2312"/>
          <w:spacing w:val="8"/>
          <w:kern w:val="0"/>
          <w:sz w:val="30"/>
          <w:szCs w:val="30"/>
        </w:rPr>
        <w:t>贯彻执行国家财税方面政策，承担各项财政收支管理责任，负责编制年度预决算草案并组织执行，以及监督财政性经济发展支出等财政管理相关工作的组成部门。坚持依法科学理财，抓好增收节支，全面完成镇人代会通过的财政收支预算目标，促进经济发展，不断保障和改善民生。</w:t>
      </w:r>
    </w:p>
    <w:p>
      <w:pPr>
        <w:pStyle w:val="3"/>
        <w:spacing w:before="0" w:after="0" w:line="520" w:lineRule="exact"/>
        <w:ind w:firstLine="640" w:firstLineChars="200"/>
        <w:rPr>
          <w:rStyle w:val="18"/>
          <w:rFonts w:ascii="黑体" w:hAnsi="黑体" w:eastAsia="黑体"/>
          <w:b w:val="0"/>
          <w:bCs w:val="0"/>
        </w:rPr>
      </w:pPr>
      <w:bookmarkStart w:id="20" w:name="_Toc15396601"/>
      <w:bookmarkStart w:id="21" w:name="_Toc15377200"/>
      <w:r>
        <w:rPr>
          <w:rFonts w:hint="eastAsia" w:ascii="黑体" w:hAnsi="黑体" w:eastAsia="黑体"/>
          <w:b w:val="0"/>
          <w:color w:val="000000"/>
        </w:rPr>
        <w:t>二、机</w:t>
      </w:r>
      <w:r>
        <w:rPr>
          <w:rStyle w:val="18"/>
          <w:rFonts w:hint="eastAsia" w:ascii="黑体" w:hAnsi="黑体" w:eastAsia="黑体"/>
          <w:b w:val="0"/>
          <w:bCs w:val="0"/>
        </w:rPr>
        <w:t>构设置</w:t>
      </w:r>
      <w:bookmarkEnd w:id="20"/>
      <w:bookmarkEnd w:id="21"/>
    </w:p>
    <w:p>
      <w:pPr>
        <w:spacing w:line="520" w:lineRule="exact"/>
        <w:ind w:firstLine="549" w:firstLineChars="171"/>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（一）机构组成</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我镇内设党政办公室、财政所、社会事业服务站、就业和社会保障服务中心、村建环卫服务中心等4个职能股室，县直属部门农技站、农机站、林业站、广播站等4个职能股室。</w:t>
      </w:r>
    </w:p>
    <w:p>
      <w:pPr>
        <w:spacing w:line="52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（二）机构职能</w:t>
      </w:r>
    </w:p>
    <w:p>
      <w:pPr>
        <w:spacing w:line="520" w:lineRule="exact"/>
        <w:ind w:firstLine="547" w:firstLineChars="171"/>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z w:val="32"/>
          <w:szCs w:val="32"/>
        </w:rPr>
        <w:t>我镇属于行政事业单位，承担政府日常社会事务的各项政治、经济、文化、社会保障等工作。</w:t>
      </w:r>
      <w:r>
        <w:rPr>
          <w:rFonts w:hint="eastAsia" w:ascii="仿宋_GB2312" w:hAnsi="仿宋_GB2312" w:eastAsia="仿宋_GB2312" w:cs="仿宋_GB2312"/>
          <w:spacing w:val="8"/>
          <w:kern w:val="0"/>
          <w:sz w:val="32"/>
          <w:szCs w:val="32"/>
        </w:rPr>
        <w:t>贯彻执行国家财税方面政策，承担各项财政收支管理责任，负责编制年度预决算草案并组织执行，以及监督财政性经济发展支出等财政管理相关工作的组成部门。坚持依法科学理财，抓好增收节支，全面完成镇人代会通过的财政收支预算目标，促进经济发展，不断保障和改善民生。</w:t>
      </w:r>
    </w:p>
    <w:p>
      <w:pPr>
        <w:spacing w:line="520" w:lineRule="exact"/>
        <w:ind w:firstLine="577" w:firstLineChars="171"/>
        <w:jc w:val="left"/>
        <w:rPr>
          <w:rFonts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（三）人员概况</w:t>
      </w:r>
    </w:p>
    <w:p>
      <w:pPr>
        <w:spacing w:line="52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我镇行政编制27人，事业编制 30人，2019年底实有行政人员 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人，事业人员 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人，单位返聘分流人员9人</w:t>
      </w:r>
      <w:r>
        <w:rPr>
          <w:rFonts w:hint="eastAsia" w:ascii="仿宋_GB2312" w:hAnsi="仿宋_GB2312" w:eastAsia="仿宋_GB2312" w:cs="仿宋_GB2312"/>
          <w:sz w:val="32"/>
          <w:szCs w:val="32"/>
          <w:lang w:val="en-US" w:eastAsia="zh-CN"/>
        </w:rPr>
        <w:t>,西部志愿者</w:t>
      </w:r>
      <w:r>
        <w:rPr>
          <w:rFonts w:hint="eastAsia" w:ascii="仿宋_GB2312" w:hAnsi="仿宋_GB2312" w:eastAsia="仿宋_GB2312" w:cs="仿宋_GB2312"/>
          <w:sz w:val="32"/>
          <w:szCs w:val="32"/>
        </w:rPr>
        <w:t>。</w:t>
      </w:r>
    </w:p>
    <w:p>
      <w:pPr>
        <w:spacing w:line="520" w:lineRule="exact"/>
        <w:ind w:firstLine="800" w:firstLineChars="250"/>
        <w:rPr>
          <w:rFonts w:ascii="仿宋_GB2312" w:hAnsi="仿宋_GB2312" w:eastAsia="仿宋_GB2312" w:cs="仿宋_GB2312"/>
          <w:sz w:val="32"/>
          <w:szCs w:val="32"/>
        </w:rPr>
      </w:pPr>
    </w:p>
    <w:p>
      <w:pPr>
        <w:spacing w:line="520" w:lineRule="exact"/>
        <w:ind w:firstLine="800" w:firstLineChars="250"/>
        <w:rPr>
          <w:rFonts w:ascii="仿宋_GB2312" w:hAnsi="仿宋_GB2312" w:eastAsia="仿宋_GB2312" w:cs="仿宋_GB2312"/>
          <w:sz w:val="32"/>
          <w:szCs w:val="32"/>
        </w:rPr>
      </w:pPr>
    </w:p>
    <w:p>
      <w:pPr>
        <w:spacing w:line="520" w:lineRule="exact"/>
        <w:ind w:firstLine="800" w:firstLineChars="250"/>
        <w:rPr>
          <w:rFonts w:ascii="仿宋_GB2312" w:hAnsi="仿宋_GB2312" w:eastAsia="仿宋_GB2312" w:cs="仿宋_GB2312"/>
          <w:sz w:val="32"/>
          <w:szCs w:val="32"/>
        </w:rPr>
      </w:pPr>
    </w:p>
    <w:p>
      <w:pPr>
        <w:pStyle w:val="2"/>
        <w:numPr>
          <w:ilvl w:val="0"/>
          <w:numId w:val="1"/>
        </w:numPr>
        <w:spacing w:before="0" w:after="0" w:line="520" w:lineRule="exact"/>
        <w:ind w:right="440"/>
        <w:jc w:val="right"/>
        <w:rPr>
          <w:rStyle w:val="17"/>
          <w:rFonts w:ascii="黑体" w:hAnsi="黑体" w:eastAsia="黑体" w:cs="黑体"/>
          <w:b w:val="0"/>
          <w:bCs w:val="0"/>
        </w:rPr>
      </w:pPr>
      <w:bookmarkStart w:id="22" w:name="_Toc15377204"/>
      <w:bookmarkStart w:id="23" w:name="_Toc15396602"/>
      <w:r>
        <w:rPr>
          <w:rStyle w:val="17"/>
          <w:rFonts w:hint="eastAsia" w:ascii="黑体" w:hAnsi="黑体" w:eastAsia="黑体" w:cs="黑体"/>
          <w:b w:val="0"/>
          <w:bCs w:val="0"/>
        </w:rPr>
        <w:t>2019年度部门决算情况说明</w:t>
      </w:r>
      <w:bookmarkEnd w:id="22"/>
      <w:bookmarkEnd w:id="23"/>
    </w:p>
    <w:p/>
    <w:p>
      <w:pPr>
        <w:pStyle w:val="26"/>
        <w:spacing w:line="520" w:lineRule="exact"/>
        <w:ind w:firstLine="640"/>
        <w:outlineLvl w:val="1"/>
        <w:rPr>
          <w:rStyle w:val="18"/>
          <w:rFonts w:ascii="黑体" w:hAnsi="黑体" w:eastAsia="黑体"/>
          <w:b w:val="0"/>
          <w:bCs w:val="0"/>
        </w:rPr>
      </w:pPr>
      <w:bookmarkStart w:id="24" w:name="_Toc15396603"/>
      <w:bookmarkStart w:id="25" w:name="_Toc15377205"/>
      <w:r>
        <w:rPr>
          <w:rFonts w:hint="eastAsia" w:ascii="黑体" w:hAnsi="黑体" w:eastAsia="黑体" w:cs="黑体"/>
          <w:color w:val="000000"/>
          <w:sz w:val="32"/>
          <w:szCs w:val="32"/>
        </w:rPr>
        <w:t>一、收</w:t>
      </w:r>
      <w:r>
        <w:rPr>
          <w:rStyle w:val="18"/>
          <w:rFonts w:hint="eastAsia" w:ascii="黑体" w:hAnsi="黑体" w:eastAsia="黑体"/>
          <w:b w:val="0"/>
          <w:bCs w:val="0"/>
        </w:rPr>
        <w:t>入支出决算总体情况说明</w:t>
      </w:r>
      <w:bookmarkEnd w:id="24"/>
      <w:bookmarkEnd w:id="25"/>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2019年我镇收入决算总额为</w:t>
      </w:r>
      <w:bookmarkStart w:id="26" w:name="_Hlk49449135"/>
      <w:r>
        <w:rPr>
          <w:rFonts w:ascii="仿宋_GB2312" w:hAnsi="仿宋_GB2312" w:eastAsia="仿宋_GB2312" w:cs="仿宋_GB2312"/>
          <w:kern w:val="0"/>
          <w:sz w:val="32"/>
          <w:szCs w:val="32"/>
        </w:rPr>
        <w:t>1872.28</w:t>
      </w:r>
      <w:bookmarkEnd w:id="26"/>
      <w:r>
        <w:rPr>
          <w:rFonts w:hint="eastAsia" w:ascii="仿宋_GB2312" w:hAnsi="仿宋_GB2312" w:eastAsia="仿宋_GB2312" w:cs="仿宋_GB2312"/>
          <w:kern w:val="0"/>
          <w:sz w:val="32"/>
          <w:szCs w:val="32"/>
        </w:rPr>
        <w:t>万元，收入决算总额较2018年增加</w:t>
      </w:r>
      <w:r>
        <w:rPr>
          <w:rFonts w:ascii="仿宋_GB2312" w:hAnsi="仿宋_GB2312" w:eastAsia="仿宋_GB2312" w:cs="仿宋_GB2312"/>
          <w:kern w:val="0"/>
          <w:sz w:val="32"/>
          <w:szCs w:val="32"/>
        </w:rPr>
        <w:t>460.82</w:t>
      </w:r>
      <w:r>
        <w:rPr>
          <w:rFonts w:hint="eastAsia" w:ascii="仿宋_GB2312" w:hAnsi="仿宋_GB2312" w:eastAsia="仿宋_GB2312" w:cs="仿宋_GB2312"/>
          <w:kern w:val="0"/>
          <w:sz w:val="32"/>
          <w:szCs w:val="32"/>
        </w:rPr>
        <w:t>万元，增加</w:t>
      </w:r>
      <w:r>
        <w:rPr>
          <w:rFonts w:ascii="仿宋_GB2312" w:hAnsi="仿宋_GB2312" w:eastAsia="仿宋_GB2312" w:cs="仿宋_GB2312"/>
          <w:kern w:val="0"/>
          <w:sz w:val="32"/>
          <w:szCs w:val="32"/>
        </w:rPr>
        <w:t>33</w:t>
      </w:r>
      <w:r>
        <w:rPr>
          <w:rFonts w:hint="eastAsia" w:ascii="仿宋_GB2312" w:hAnsi="仿宋_GB2312" w:eastAsia="仿宋_GB2312" w:cs="仿宋_GB2312"/>
          <w:kern w:val="0"/>
          <w:sz w:val="32"/>
          <w:szCs w:val="32"/>
        </w:rPr>
        <w:t>%，主要原因是用于革命老区项目建设、</w:t>
      </w:r>
      <w:r>
        <w:rPr>
          <w:rFonts w:hint="eastAsia" w:ascii="仿宋_GB2312" w:hAnsi="仿宋_GB2312" w:eastAsia="仿宋_GB2312" w:cs="仿宋_GB2312"/>
          <w:kern w:val="0"/>
          <w:sz w:val="32"/>
          <w:szCs w:val="32"/>
          <w:lang w:eastAsia="zh-CN"/>
        </w:rPr>
        <w:t>村集体经济发展、</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工资增调</w:t>
      </w:r>
      <w:r>
        <w:rPr>
          <w:rFonts w:hint="eastAsia" w:ascii="仿宋_GB2312" w:hAnsi="仿宋_GB2312" w:eastAsia="仿宋_GB2312" w:cs="仿宋_GB2312"/>
          <w:kern w:val="0"/>
          <w:sz w:val="32"/>
          <w:szCs w:val="32"/>
        </w:rPr>
        <w:t>等。</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2019年我镇支出决算总额为</w:t>
      </w:r>
      <w:r>
        <w:rPr>
          <w:rFonts w:ascii="仿宋_GB2312" w:hAnsi="仿宋_GB2312" w:eastAsia="仿宋_GB2312" w:cs="仿宋_GB2312"/>
          <w:kern w:val="0"/>
          <w:sz w:val="32"/>
          <w:szCs w:val="32"/>
        </w:rPr>
        <w:t>1872.28</w:t>
      </w:r>
      <w:r>
        <w:rPr>
          <w:rFonts w:hint="eastAsia" w:ascii="仿宋_GB2312" w:hAnsi="仿宋_GB2312" w:eastAsia="仿宋_GB2312" w:cs="仿宋_GB2312"/>
          <w:kern w:val="0"/>
          <w:sz w:val="32"/>
          <w:szCs w:val="32"/>
        </w:rPr>
        <w:t>万元，支出决算总额较2018年增加</w:t>
      </w:r>
      <w:r>
        <w:rPr>
          <w:rFonts w:ascii="仿宋_GB2312" w:hAnsi="仿宋_GB2312" w:eastAsia="仿宋_GB2312" w:cs="仿宋_GB2312"/>
          <w:kern w:val="0"/>
          <w:sz w:val="32"/>
          <w:szCs w:val="32"/>
        </w:rPr>
        <w:t>460.82</w:t>
      </w:r>
      <w:r>
        <w:rPr>
          <w:rFonts w:hint="eastAsia" w:ascii="仿宋_GB2312" w:hAnsi="仿宋_GB2312" w:eastAsia="仿宋_GB2312" w:cs="仿宋_GB2312"/>
          <w:kern w:val="0"/>
          <w:sz w:val="32"/>
          <w:szCs w:val="32"/>
        </w:rPr>
        <w:t>万元，增加</w:t>
      </w:r>
      <w:r>
        <w:rPr>
          <w:rFonts w:ascii="仿宋_GB2312" w:hAnsi="仿宋_GB2312" w:eastAsia="仿宋_GB2312" w:cs="仿宋_GB2312"/>
          <w:kern w:val="0"/>
          <w:sz w:val="32"/>
          <w:szCs w:val="32"/>
        </w:rPr>
        <w:t>33</w:t>
      </w:r>
      <w:r>
        <w:rPr>
          <w:rFonts w:hint="eastAsia" w:ascii="仿宋_GB2312" w:hAnsi="仿宋_GB2312" w:eastAsia="仿宋_GB2312" w:cs="仿宋_GB2312"/>
          <w:kern w:val="0"/>
          <w:sz w:val="32"/>
          <w:szCs w:val="32"/>
        </w:rPr>
        <w:t>%，主要原因是用于革命老区项目建设、</w:t>
      </w:r>
      <w:r>
        <w:rPr>
          <w:rFonts w:hint="eastAsia" w:ascii="仿宋_GB2312" w:hAnsi="仿宋_GB2312" w:eastAsia="仿宋_GB2312" w:cs="仿宋_GB2312"/>
          <w:kern w:val="0"/>
          <w:sz w:val="32"/>
          <w:szCs w:val="32"/>
          <w:lang w:eastAsia="zh-CN"/>
        </w:rPr>
        <w:t>村集体经济发展、</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工资增调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（图1：收、支决算总计变动情况图）（柱状图）</w:t>
      </w:r>
    </w:p>
    <w:p>
      <w:pPr>
        <w:ind w:left="640"/>
        <w:rPr>
          <w:rStyle w:val="18"/>
          <w:rFonts w:ascii="黑体" w:hAnsi="黑体" w:eastAsia="黑体"/>
          <w:b w:val="0"/>
          <w:bCs w:val="0"/>
        </w:rPr>
      </w:pPr>
      <w:bookmarkStart w:id="27" w:name="_Toc15377206"/>
      <w:bookmarkStart w:id="28" w:name="_Toc15396604"/>
      <w:r>
        <w:rPr>
          <w:rFonts w:hint="eastAsia" w:ascii="黑体" w:hAnsi="黑体" w:eastAsia="黑体" w:cs="黑体"/>
          <w:color w:val="000000"/>
          <w:sz w:val="32"/>
          <w:szCs w:val="32"/>
        </w:rPr>
        <w:t>二、收</w:t>
      </w:r>
      <w:r>
        <w:rPr>
          <w:rStyle w:val="18"/>
          <w:rFonts w:hint="eastAsia" w:ascii="黑体" w:hAnsi="黑体" w:eastAsia="黑体"/>
          <w:b w:val="0"/>
          <w:bCs w:val="0"/>
        </w:rPr>
        <w:t>入决算情况说明</w:t>
      </w:r>
      <w:bookmarkEnd w:id="27"/>
      <w:bookmarkEnd w:id="28"/>
    </w:p>
    <w:p>
      <w:pPr>
        <w:spacing w:line="520" w:lineRule="exact"/>
        <w:ind w:firstLine="547" w:firstLineChars="171"/>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2019年本年收入合计</w:t>
      </w:r>
      <w:r>
        <w:rPr>
          <w:rFonts w:ascii="仿宋_GB2312" w:hAnsi="仿宋_GB2312" w:eastAsia="仿宋_GB2312" w:cs="仿宋_GB2312"/>
          <w:kern w:val="0"/>
          <w:sz w:val="32"/>
          <w:szCs w:val="32"/>
        </w:rPr>
        <w:t>1872.28</w:t>
      </w:r>
      <w:r>
        <w:rPr>
          <w:rFonts w:hint="eastAsia" w:ascii="仿宋_GB2312" w:hAnsi="仿宋_GB2312" w:eastAsia="仿宋_GB2312" w:cs="仿宋_GB2312"/>
          <w:kern w:val="0"/>
          <w:sz w:val="32"/>
          <w:szCs w:val="32"/>
        </w:rPr>
        <w:t>万元，其中：</w:t>
      </w:r>
      <w:r>
        <w:rPr>
          <w:rFonts w:hint="eastAsia" w:ascii="仿宋_GB2312" w:hAnsi="仿宋_GB2312" w:eastAsia="仿宋_GB2312" w:cs="仿宋_GB2312"/>
          <w:color w:val="000000"/>
          <w:sz w:val="32"/>
          <w:szCs w:val="32"/>
        </w:rPr>
        <w:t>一般公共预算财政拨款收入</w:t>
      </w:r>
      <w:r>
        <w:rPr>
          <w:rFonts w:ascii="仿宋_GB2312" w:hAnsi="仿宋_GB2312" w:eastAsia="仿宋_GB2312" w:cs="仿宋_GB2312"/>
          <w:color w:val="000000"/>
          <w:sz w:val="32"/>
          <w:szCs w:val="32"/>
        </w:rPr>
        <w:t>1854.96</w:t>
      </w:r>
      <w:r>
        <w:rPr>
          <w:rFonts w:hint="eastAsia" w:ascii="仿宋_GB2312" w:hAnsi="仿宋_GB2312" w:eastAsia="仿宋_GB2312" w:cs="仿宋_GB2312"/>
          <w:color w:val="000000"/>
          <w:sz w:val="32"/>
          <w:szCs w:val="32"/>
        </w:rPr>
        <w:t>万元，占99%；政府性基金预算财政拨款收入</w:t>
      </w:r>
      <w:r>
        <w:rPr>
          <w:rFonts w:ascii="仿宋_GB2312" w:hAnsi="仿宋_GB2312" w:eastAsia="仿宋_GB2312" w:cs="仿宋_GB2312"/>
          <w:color w:val="000000"/>
          <w:sz w:val="32"/>
          <w:szCs w:val="32"/>
        </w:rPr>
        <w:t>17</w:t>
      </w:r>
      <w:r>
        <w:rPr>
          <w:rFonts w:hint="eastAsia" w:ascii="宋体" w:hAnsi="宋体" w:cs="仿宋_GB2312"/>
          <w:color w:val="000000"/>
          <w:sz w:val="32"/>
          <w:szCs w:val="32"/>
        </w:rPr>
        <w:t>.</w:t>
      </w:r>
      <w:r>
        <w:rPr>
          <w:rFonts w:hint="eastAsia" w:ascii="仿宋_GB2312" w:hAnsi="仿宋_GB2312" w:cs="仿宋_GB2312"/>
          <w:color w:val="000000"/>
          <w:sz w:val="32"/>
          <w:szCs w:val="32"/>
        </w:rPr>
        <w:t>3</w:t>
      </w:r>
      <w:r>
        <w:rPr>
          <w:rFonts w:ascii="仿宋_GB2312" w:hAnsi="仿宋_GB2312" w:cs="仿宋_GB2312"/>
          <w:color w:val="000000"/>
          <w:sz w:val="32"/>
          <w:szCs w:val="32"/>
        </w:rPr>
        <w:t>2</w:t>
      </w:r>
      <w:r>
        <w:rPr>
          <w:rFonts w:hint="eastAsia" w:ascii="仿宋_GB2312" w:hAnsi="仿宋_GB2312" w:eastAsia="仿宋_GB2312" w:cs="仿宋_GB2312"/>
          <w:color w:val="000000"/>
          <w:sz w:val="32"/>
          <w:szCs w:val="32"/>
        </w:rPr>
        <w:t>万元，占1%。</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（图2：收入决算结构图）（饼状图）</w:t>
      </w:r>
    </w:p>
    <w:p>
      <w:pPr>
        <w:pStyle w:val="26"/>
        <w:spacing w:line="520" w:lineRule="exact"/>
        <w:ind w:left="640" w:firstLine="0" w:firstLineChars="0"/>
        <w:outlineLvl w:val="1"/>
        <w:rPr>
          <w:rStyle w:val="18"/>
          <w:rFonts w:ascii="黑体" w:hAnsi="黑体" w:eastAsia="黑体"/>
          <w:b w:val="0"/>
          <w:bCs w:val="0"/>
        </w:rPr>
      </w:pPr>
      <w:bookmarkStart w:id="29" w:name="_Toc15377207"/>
      <w:bookmarkStart w:id="30" w:name="_Toc15396605"/>
      <w:r>
        <w:rPr>
          <w:rFonts w:hint="eastAsia" w:ascii="黑体" w:hAnsi="黑体" w:eastAsia="黑体" w:cs="黑体"/>
          <w:color w:val="000000"/>
          <w:sz w:val="32"/>
          <w:szCs w:val="32"/>
        </w:rPr>
        <w:t>三、支</w:t>
      </w:r>
      <w:r>
        <w:rPr>
          <w:rStyle w:val="18"/>
          <w:rFonts w:hint="eastAsia" w:ascii="黑体" w:hAnsi="黑体" w:eastAsia="黑体"/>
          <w:b w:val="0"/>
          <w:bCs w:val="0"/>
        </w:rPr>
        <w:t>出决算情况说明</w:t>
      </w:r>
      <w:bookmarkEnd w:id="29"/>
      <w:bookmarkEnd w:id="30"/>
    </w:p>
    <w:p>
      <w:pPr>
        <w:spacing w:line="520" w:lineRule="exact"/>
        <w:ind w:firstLine="640"/>
        <w:rPr>
          <w:rFonts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rPr>
        <w:t>2019年本年支出合计</w:t>
      </w:r>
      <w:r>
        <w:rPr>
          <w:rFonts w:ascii="仿宋_GB2312" w:hAnsi="仿宋_GB2312" w:eastAsia="仿宋_GB2312" w:cs="仿宋_GB2312"/>
          <w:color w:val="000000"/>
          <w:sz w:val="32"/>
          <w:szCs w:val="32"/>
        </w:rPr>
        <w:t>1872.28</w:t>
      </w:r>
      <w:r>
        <w:rPr>
          <w:rFonts w:hint="eastAsia" w:ascii="仿宋_GB2312" w:hAnsi="仿宋_GB2312" w:eastAsia="仿宋_GB2312" w:cs="仿宋_GB2312"/>
          <w:color w:val="000000"/>
          <w:sz w:val="32"/>
          <w:szCs w:val="32"/>
        </w:rPr>
        <w:t>万元，其中：基本支出</w:t>
      </w:r>
      <w:r>
        <w:rPr>
          <w:rFonts w:ascii="仿宋_GB2312" w:hAnsi="仿宋_GB2312" w:eastAsia="仿宋_GB2312" w:cs="仿宋_GB2312"/>
          <w:color w:val="000000"/>
          <w:sz w:val="32"/>
          <w:szCs w:val="32"/>
        </w:rPr>
        <w:t>1241.24</w:t>
      </w:r>
      <w:r>
        <w:rPr>
          <w:rFonts w:hint="eastAsia" w:ascii="仿宋_GB2312" w:hAnsi="仿宋_GB2312" w:eastAsia="仿宋_GB2312" w:cs="仿宋_GB2312"/>
          <w:color w:val="000000"/>
          <w:sz w:val="32"/>
          <w:szCs w:val="32"/>
        </w:rPr>
        <w:t>万元，占6</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%；项目支出</w:t>
      </w:r>
      <w:r>
        <w:rPr>
          <w:rFonts w:ascii="仿宋_GB2312" w:hAnsi="仿宋_GB2312" w:eastAsia="仿宋_GB2312" w:cs="仿宋_GB2312"/>
          <w:color w:val="000000"/>
          <w:sz w:val="32"/>
          <w:szCs w:val="32"/>
        </w:rPr>
        <w:t>631.04</w:t>
      </w:r>
      <w:r>
        <w:rPr>
          <w:rFonts w:hint="eastAsia" w:ascii="仿宋_GB2312" w:hAnsi="仿宋_GB2312" w:eastAsia="仿宋_GB2312" w:cs="仿宋_GB2312"/>
          <w:color w:val="000000"/>
          <w:sz w:val="32"/>
          <w:szCs w:val="32"/>
        </w:rPr>
        <w:t>万元，占3</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（图3：支出决算结构图）（饼状图）</w:t>
      </w:r>
    </w:p>
    <w:p>
      <w:pPr>
        <w:spacing w:line="520" w:lineRule="exact"/>
        <w:ind w:firstLine="640" w:firstLineChars="200"/>
        <w:rPr>
          <w:rFonts w:hint="eastAsia" w:ascii="仿宋_GB2312" w:hAnsi="仿宋_GB2312" w:eastAsia="仿宋_GB2312" w:cs="仿宋_GB2312"/>
          <w:color w:val="000000"/>
          <w:sz w:val="32"/>
          <w:szCs w:val="32"/>
        </w:rPr>
      </w:pPr>
    </w:p>
    <w:p>
      <w:pPr>
        <w:spacing w:line="520" w:lineRule="exact"/>
        <w:ind w:firstLine="640" w:firstLineChars="200"/>
        <w:outlineLvl w:val="1"/>
        <w:rPr>
          <w:rStyle w:val="18"/>
          <w:rFonts w:ascii="黑体" w:hAnsi="黑体" w:eastAsia="黑体"/>
          <w:b w:val="0"/>
          <w:bCs w:val="0"/>
        </w:rPr>
      </w:pPr>
      <w:bookmarkStart w:id="31" w:name="_Toc15377208"/>
      <w:bookmarkStart w:id="32" w:name="_Toc15396606"/>
      <w:r>
        <w:rPr>
          <w:rFonts w:hint="eastAsia" w:ascii="黑体" w:hAnsi="黑体" w:eastAsia="黑体" w:cs="黑体"/>
          <w:color w:val="000000"/>
          <w:sz w:val="32"/>
          <w:szCs w:val="32"/>
        </w:rPr>
        <w:t>四、财</w:t>
      </w:r>
      <w:r>
        <w:rPr>
          <w:rStyle w:val="18"/>
          <w:rFonts w:hint="eastAsia" w:ascii="黑体" w:hAnsi="黑体" w:eastAsia="黑体"/>
          <w:b w:val="0"/>
          <w:bCs w:val="0"/>
        </w:rPr>
        <w:t>政拨款收入支出决算总体情况说明</w:t>
      </w:r>
      <w:bookmarkEnd w:id="31"/>
      <w:bookmarkEnd w:id="32"/>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2019年我镇收入决算总额为</w:t>
      </w:r>
      <w:r>
        <w:rPr>
          <w:rFonts w:ascii="仿宋_GB2312" w:hAnsi="仿宋_GB2312" w:eastAsia="仿宋_GB2312" w:cs="仿宋_GB2312"/>
          <w:kern w:val="0"/>
          <w:sz w:val="32"/>
          <w:szCs w:val="32"/>
        </w:rPr>
        <w:t>1872.28</w:t>
      </w:r>
      <w:r>
        <w:rPr>
          <w:rFonts w:hint="eastAsia" w:ascii="仿宋_GB2312" w:hAnsi="仿宋_GB2312" w:eastAsia="仿宋_GB2312" w:cs="仿宋_GB2312"/>
          <w:kern w:val="0"/>
          <w:sz w:val="32"/>
          <w:szCs w:val="32"/>
        </w:rPr>
        <w:t>万元，收入决算总额较2018年增加</w:t>
      </w:r>
      <w:r>
        <w:rPr>
          <w:rFonts w:ascii="仿宋_GB2312" w:hAnsi="仿宋_GB2312" w:eastAsia="仿宋_GB2312" w:cs="仿宋_GB2312"/>
          <w:kern w:val="0"/>
          <w:sz w:val="32"/>
          <w:szCs w:val="32"/>
        </w:rPr>
        <w:t>460.82</w:t>
      </w:r>
      <w:r>
        <w:rPr>
          <w:rFonts w:hint="eastAsia" w:ascii="仿宋_GB2312" w:hAnsi="仿宋_GB2312" w:eastAsia="仿宋_GB2312" w:cs="仿宋_GB2312"/>
          <w:kern w:val="0"/>
          <w:sz w:val="32"/>
          <w:szCs w:val="32"/>
        </w:rPr>
        <w:t>万元，增加</w:t>
      </w:r>
      <w:r>
        <w:rPr>
          <w:rFonts w:ascii="仿宋_GB2312" w:hAnsi="仿宋_GB2312" w:eastAsia="仿宋_GB2312" w:cs="仿宋_GB2312"/>
          <w:kern w:val="0"/>
          <w:sz w:val="32"/>
          <w:szCs w:val="32"/>
        </w:rPr>
        <w:t>33</w:t>
      </w:r>
      <w:r>
        <w:rPr>
          <w:rFonts w:hint="eastAsia" w:ascii="仿宋_GB2312" w:hAnsi="仿宋_GB2312" w:eastAsia="仿宋_GB2312" w:cs="仿宋_GB2312"/>
          <w:kern w:val="0"/>
          <w:sz w:val="32"/>
          <w:szCs w:val="32"/>
        </w:rPr>
        <w:t>%，主要原因是用于革命老区项目建设、</w:t>
      </w:r>
      <w:r>
        <w:rPr>
          <w:rFonts w:hint="eastAsia" w:ascii="仿宋_GB2312" w:hAnsi="仿宋_GB2312" w:eastAsia="仿宋_GB2312" w:cs="仿宋_GB2312"/>
          <w:kern w:val="0"/>
          <w:sz w:val="32"/>
          <w:szCs w:val="32"/>
          <w:lang w:eastAsia="zh-CN"/>
        </w:rPr>
        <w:t>村集体经济发展、</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工资增调</w:t>
      </w:r>
      <w:r>
        <w:rPr>
          <w:rFonts w:hint="eastAsia" w:ascii="仿宋_GB2312" w:hAnsi="仿宋_GB2312" w:eastAsia="仿宋_GB2312" w:cs="仿宋_GB2312"/>
          <w:kern w:val="0"/>
          <w:sz w:val="32"/>
          <w:szCs w:val="32"/>
        </w:rPr>
        <w:t>等。</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2019年我镇支出决算总额为</w:t>
      </w:r>
      <w:r>
        <w:rPr>
          <w:rFonts w:ascii="仿宋_GB2312" w:hAnsi="仿宋_GB2312" w:eastAsia="仿宋_GB2312" w:cs="仿宋_GB2312"/>
          <w:kern w:val="0"/>
          <w:sz w:val="32"/>
          <w:szCs w:val="32"/>
        </w:rPr>
        <w:t>1872.28</w:t>
      </w:r>
      <w:r>
        <w:rPr>
          <w:rFonts w:hint="eastAsia" w:ascii="仿宋_GB2312" w:hAnsi="仿宋_GB2312" w:eastAsia="仿宋_GB2312" w:cs="仿宋_GB2312"/>
          <w:kern w:val="0"/>
          <w:sz w:val="32"/>
          <w:szCs w:val="32"/>
        </w:rPr>
        <w:t>万元，支出决算总额较2018年增加</w:t>
      </w:r>
      <w:r>
        <w:rPr>
          <w:rFonts w:ascii="仿宋_GB2312" w:hAnsi="仿宋_GB2312" w:eastAsia="仿宋_GB2312" w:cs="仿宋_GB2312"/>
          <w:kern w:val="0"/>
          <w:sz w:val="32"/>
          <w:szCs w:val="32"/>
        </w:rPr>
        <w:t>460.82</w:t>
      </w:r>
      <w:r>
        <w:rPr>
          <w:rFonts w:hint="eastAsia" w:ascii="仿宋_GB2312" w:hAnsi="仿宋_GB2312" w:eastAsia="仿宋_GB2312" w:cs="仿宋_GB2312"/>
          <w:kern w:val="0"/>
          <w:sz w:val="32"/>
          <w:szCs w:val="32"/>
        </w:rPr>
        <w:t>万元，增加</w:t>
      </w:r>
      <w:r>
        <w:rPr>
          <w:rFonts w:ascii="仿宋_GB2312" w:hAnsi="仿宋_GB2312" w:eastAsia="仿宋_GB2312" w:cs="仿宋_GB2312"/>
          <w:kern w:val="0"/>
          <w:sz w:val="32"/>
          <w:szCs w:val="32"/>
        </w:rPr>
        <w:t>33</w:t>
      </w:r>
      <w:r>
        <w:rPr>
          <w:rFonts w:hint="eastAsia" w:ascii="仿宋_GB2312" w:hAnsi="仿宋_GB2312" w:eastAsia="仿宋_GB2312" w:cs="仿宋_GB2312"/>
          <w:kern w:val="0"/>
          <w:sz w:val="32"/>
          <w:szCs w:val="32"/>
        </w:rPr>
        <w:t>%，主要原因是用于革命老区项目建设、</w:t>
      </w:r>
      <w:r>
        <w:rPr>
          <w:rFonts w:hint="eastAsia" w:ascii="仿宋_GB2312" w:hAnsi="仿宋_GB2312" w:eastAsia="仿宋_GB2312" w:cs="仿宋_GB2312"/>
          <w:kern w:val="0"/>
          <w:sz w:val="32"/>
          <w:szCs w:val="32"/>
          <w:lang w:eastAsia="zh-CN"/>
        </w:rPr>
        <w:t>村集体经济发展、</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工资增调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（图4：财政拨款收、支决算总计变动情况）（柱状图）</w:t>
      </w:r>
    </w:p>
    <w:p>
      <w:pPr>
        <w:spacing w:line="520" w:lineRule="exact"/>
        <w:ind w:firstLine="640" w:firstLineChars="200"/>
        <w:outlineLvl w:val="1"/>
        <w:rPr>
          <w:rStyle w:val="18"/>
          <w:rFonts w:ascii="黑体" w:hAnsi="黑体" w:eastAsia="黑体"/>
          <w:b w:val="0"/>
          <w:bCs w:val="0"/>
        </w:rPr>
      </w:pPr>
      <w:bookmarkStart w:id="33" w:name="_Toc15377209"/>
      <w:bookmarkStart w:id="34" w:name="_Toc15396607"/>
      <w:r>
        <w:rPr>
          <w:rFonts w:hint="eastAsia" w:ascii="黑体" w:hAnsi="黑体" w:eastAsia="黑体" w:cs="黑体"/>
          <w:color w:val="000000"/>
          <w:sz w:val="32"/>
          <w:szCs w:val="32"/>
        </w:rPr>
        <w:t>五、一</w:t>
      </w:r>
      <w:r>
        <w:rPr>
          <w:rStyle w:val="18"/>
          <w:rFonts w:hint="eastAsia" w:ascii="黑体" w:hAnsi="黑体" w:eastAsia="黑体"/>
          <w:b w:val="0"/>
          <w:bCs w:val="0"/>
        </w:rPr>
        <w:t>般公共预算财政拨款支出决算情况说明</w:t>
      </w:r>
      <w:bookmarkEnd w:id="33"/>
      <w:bookmarkEnd w:id="34"/>
    </w:p>
    <w:p>
      <w:pPr>
        <w:spacing w:line="520" w:lineRule="exact"/>
        <w:ind w:firstLine="643" w:firstLineChars="200"/>
        <w:outlineLvl w:val="2"/>
        <w:rPr>
          <w:rFonts w:ascii="仿宋_GB2312" w:hAnsi="仿宋_GB2312" w:eastAsia="仿宋_GB2312" w:cs="仿宋_GB2312"/>
          <w:b/>
          <w:color w:val="000000"/>
          <w:sz w:val="32"/>
          <w:szCs w:val="32"/>
        </w:rPr>
      </w:pPr>
      <w:bookmarkStart w:id="35" w:name="_Toc15377210"/>
      <w:r>
        <w:rPr>
          <w:rFonts w:hint="eastAsia" w:ascii="仿宋_GB2312" w:hAnsi="仿宋_GB2312" w:eastAsia="仿宋_GB2312" w:cs="仿宋_GB2312"/>
          <w:b/>
          <w:color w:val="000000"/>
          <w:sz w:val="32"/>
          <w:szCs w:val="32"/>
        </w:rPr>
        <w:t>（一）一般公共预算财政拨款支出决算总体情况</w:t>
      </w:r>
      <w:bookmarkEnd w:id="35"/>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w:t>
      </w:r>
      <w:r>
        <w:rPr>
          <w:rFonts w:ascii="仿宋_GB2312" w:hAnsi="仿宋_GB2312" w:eastAsia="仿宋_GB2312" w:cs="仿宋_GB2312"/>
          <w:color w:val="000000"/>
          <w:sz w:val="32"/>
          <w:szCs w:val="32"/>
        </w:rPr>
        <w:t>1854.96</w:t>
      </w:r>
      <w:r>
        <w:rPr>
          <w:rFonts w:hint="eastAsia" w:ascii="仿宋_GB2312" w:hAnsi="仿宋_GB2312" w:eastAsia="仿宋_GB2312" w:cs="仿宋_GB2312"/>
          <w:color w:val="000000"/>
          <w:sz w:val="32"/>
          <w:szCs w:val="32"/>
        </w:rPr>
        <w:t>万元，占本年支出合计的99%。与2018年相比，一般公共预算财政拨款增加</w:t>
      </w:r>
      <w:r>
        <w:rPr>
          <w:rFonts w:ascii="仿宋_GB2312" w:hAnsi="仿宋_GB2312" w:eastAsia="仿宋_GB2312" w:cs="仿宋_GB2312"/>
          <w:color w:val="000000"/>
          <w:sz w:val="32"/>
          <w:szCs w:val="32"/>
        </w:rPr>
        <w:t>457.57</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33</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kern w:val="0"/>
          <w:sz w:val="32"/>
          <w:szCs w:val="32"/>
        </w:rPr>
        <w:t>革命老区项目建设、</w:t>
      </w:r>
      <w:r>
        <w:rPr>
          <w:rFonts w:hint="eastAsia" w:ascii="仿宋_GB2312" w:hAnsi="仿宋_GB2312" w:eastAsia="仿宋_GB2312" w:cs="仿宋_GB2312"/>
          <w:kern w:val="0"/>
          <w:sz w:val="32"/>
          <w:szCs w:val="32"/>
          <w:lang w:eastAsia="zh-CN"/>
        </w:rPr>
        <w:t>村集体经济发展、</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工资增调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（图5：一般公共预算财政拨款支出决算变动情况）（柱状图）</w:t>
      </w:r>
    </w:p>
    <w:p>
      <w:pPr>
        <w:spacing w:line="520" w:lineRule="exact"/>
        <w:ind w:firstLine="643" w:firstLineChars="200"/>
        <w:outlineLvl w:val="2"/>
        <w:rPr>
          <w:rFonts w:ascii="仿宋_GB2312" w:hAnsi="仿宋_GB2312" w:eastAsia="仿宋_GB2312" w:cs="仿宋_GB2312"/>
          <w:b/>
          <w:color w:val="000000"/>
          <w:sz w:val="32"/>
          <w:szCs w:val="32"/>
        </w:rPr>
      </w:pPr>
      <w:bookmarkStart w:id="36" w:name="_Toc15377211"/>
      <w:r>
        <w:rPr>
          <w:rFonts w:hint="eastAsia" w:ascii="仿宋_GB2312" w:hAnsi="仿宋_GB2312" w:eastAsia="仿宋_GB2312" w:cs="仿宋_GB2312"/>
          <w:b/>
          <w:color w:val="000000"/>
          <w:sz w:val="32"/>
          <w:szCs w:val="32"/>
        </w:rPr>
        <w:t>（二）一般公共预算财政拨款支出决算结构情况</w:t>
      </w:r>
      <w:bookmarkEnd w:id="36"/>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w:t>
      </w:r>
      <w:r>
        <w:rPr>
          <w:rFonts w:ascii="仿宋_GB2312" w:hAnsi="仿宋_GB2312" w:eastAsia="仿宋_GB2312" w:cs="仿宋_GB2312"/>
          <w:color w:val="000000"/>
          <w:sz w:val="32"/>
          <w:szCs w:val="32"/>
        </w:rPr>
        <w:t>1854.96</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b/>
          <w:color w:val="000000"/>
          <w:sz w:val="32"/>
          <w:szCs w:val="32"/>
        </w:rPr>
        <w:t>一般公共服务（类）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380.92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20.5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文化</w:t>
      </w:r>
      <w:r>
        <w:rPr>
          <w:rFonts w:hint="eastAsia" w:ascii="宋体" w:hAnsi="宋体" w:cs="仿宋_GB2312"/>
          <w:b/>
          <w:color w:val="000000"/>
          <w:sz w:val="32"/>
          <w:szCs w:val="32"/>
        </w:rPr>
        <w:t>旅游</w:t>
      </w:r>
      <w:r>
        <w:rPr>
          <w:rFonts w:hint="eastAsia" w:ascii="仿宋_GB2312" w:hAnsi="仿宋_GB2312" w:eastAsia="仿宋_GB2312" w:cs="仿宋_GB2312"/>
          <w:b/>
          <w:color w:val="000000"/>
          <w:sz w:val="32"/>
          <w:szCs w:val="32"/>
        </w:rPr>
        <w:t>体育与传媒支出（类）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21.72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社会保障和就业支出（类）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508.05</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27.4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卫生健康支出（类）</w:t>
      </w:r>
      <w:r>
        <w:rPr>
          <w:rFonts w:ascii="仿宋_GB2312" w:hAnsi="仿宋_GB2312" w:eastAsia="仿宋_GB2312" w:cs="仿宋_GB2312"/>
          <w:color w:val="000000"/>
          <w:sz w:val="32"/>
          <w:szCs w:val="32"/>
        </w:rPr>
        <w:t>28.74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城乡社区支出（类）</w:t>
      </w:r>
      <w:r>
        <w:rPr>
          <w:rFonts w:ascii="仿宋_GB2312" w:hAnsi="仿宋_GB2312" w:eastAsia="仿宋_GB2312" w:cs="仿宋_GB2312"/>
          <w:color w:val="000000"/>
          <w:sz w:val="32"/>
          <w:szCs w:val="32"/>
        </w:rPr>
        <w:t>20.08</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农林水支出（类）</w:t>
      </w:r>
      <w:r>
        <w:rPr>
          <w:rFonts w:ascii="仿宋_GB2312" w:hAnsi="仿宋_GB2312" w:eastAsia="仿宋_GB2312" w:cs="仿宋_GB2312"/>
          <w:color w:val="000000"/>
          <w:sz w:val="32"/>
          <w:szCs w:val="32"/>
        </w:rPr>
        <w:t>829.96</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44.7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住房保障支出（类）</w:t>
      </w:r>
      <w:r>
        <w:rPr>
          <w:rFonts w:ascii="仿宋_GB2312" w:hAnsi="仿宋_GB2312" w:eastAsia="仿宋_GB2312" w:cs="仿宋_GB2312"/>
          <w:color w:val="000000"/>
          <w:sz w:val="32"/>
          <w:szCs w:val="32"/>
        </w:rPr>
        <w:t>65.5</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3.5</w:t>
      </w:r>
      <w:r>
        <w:rPr>
          <w:rFonts w:hint="eastAsia" w:ascii="仿宋_GB2312" w:hAnsi="仿宋_GB2312" w:eastAsia="仿宋_GB2312" w:cs="仿宋_GB2312"/>
          <w:color w:val="000000"/>
          <w:sz w:val="32"/>
          <w:szCs w:val="32"/>
        </w:rPr>
        <w:t>%。（图6：一般公共预算财政拨款支出决算结构）（饼状图）</w:t>
      </w:r>
    </w:p>
    <w:p>
      <w:pPr>
        <w:spacing w:line="520" w:lineRule="exact"/>
        <w:ind w:firstLine="643" w:firstLineChars="200"/>
        <w:outlineLvl w:val="2"/>
        <w:rPr>
          <w:rFonts w:ascii="仿宋_GB2312" w:hAnsi="仿宋_GB2312" w:eastAsia="仿宋_GB2312" w:cs="仿宋_GB2312"/>
          <w:b/>
          <w:color w:val="000000"/>
          <w:sz w:val="32"/>
          <w:szCs w:val="32"/>
        </w:rPr>
      </w:pPr>
      <w:bookmarkStart w:id="37" w:name="_Toc15377212"/>
      <w:r>
        <w:rPr>
          <w:rFonts w:hint="eastAsia" w:ascii="仿宋_GB2312" w:hAnsi="仿宋_GB2312" w:eastAsia="仿宋_GB2312" w:cs="仿宋_GB2312"/>
          <w:b/>
          <w:color w:val="000000"/>
          <w:sz w:val="32"/>
          <w:szCs w:val="32"/>
        </w:rPr>
        <w:t>（三）一般公共预算财政拨款支出决算具体情况</w:t>
      </w:r>
      <w:bookmarkEnd w:id="37"/>
    </w:p>
    <w:p>
      <w:pPr>
        <w:spacing w:line="520" w:lineRule="exact"/>
        <w:ind w:firstLine="643" w:firstLineChars="200"/>
        <w:outlineLvl w:val="2"/>
        <w:rPr>
          <w:rFonts w:ascii="仿宋_GB2312" w:hAnsi="仿宋_GB2312" w:eastAsia="仿宋_GB2312" w:cs="仿宋_GB2312"/>
          <w:color w:val="FF0000"/>
          <w:sz w:val="32"/>
          <w:szCs w:val="32"/>
        </w:rPr>
      </w:pPr>
      <w:bookmarkStart w:id="38" w:name="_Toc15377444"/>
      <w:bookmarkStart w:id="39" w:name="_Toc15377213"/>
      <w:bookmarkStart w:id="40" w:name="_Toc15378460"/>
      <w:r>
        <w:rPr>
          <w:rFonts w:hint="eastAsia" w:ascii="仿宋_GB2312" w:hAnsi="仿宋_GB2312" w:eastAsia="仿宋_GB2312" w:cs="仿宋_GB2312"/>
          <w:b/>
          <w:color w:val="000000"/>
          <w:sz w:val="32"/>
          <w:szCs w:val="32"/>
        </w:rPr>
        <w:t>2019年般公共预算支出决算数为</w:t>
      </w:r>
      <w:r>
        <w:rPr>
          <w:rFonts w:ascii="仿宋_GB2312" w:hAnsi="仿宋_GB2312" w:eastAsia="仿宋_GB2312" w:cs="仿宋_GB2312"/>
          <w:b/>
          <w:color w:val="000000"/>
          <w:sz w:val="32"/>
          <w:szCs w:val="32"/>
        </w:rPr>
        <w:t>1854.96</w:t>
      </w:r>
      <w:r>
        <w:rPr>
          <w:rFonts w:hint="eastAsia" w:ascii="仿宋_GB2312" w:hAnsi="仿宋_GB2312" w:eastAsia="仿宋_GB2312" w:cs="仿宋_GB2312"/>
          <w:color w:val="000000"/>
          <w:sz w:val="32"/>
          <w:szCs w:val="32"/>
        </w:rPr>
        <w:t>，</w:t>
      </w:r>
      <w:r>
        <w:rPr>
          <w:rStyle w:val="14"/>
          <w:rFonts w:hint="eastAsia" w:ascii="仿宋_GB2312" w:hAnsi="仿宋_GB2312" w:eastAsia="仿宋_GB2312" w:cs="仿宋_GB2312"/>
          <w:bCs/>
          <w:color w:val="000000"/>
          <w:sz w:val="32"/>
          <w:szCs w:val="32"/>
        </w:rPr>
        <w:t>完成预算</w:t>
      </w:r>
      <w:r>
        <w:rPr>
          <w:rStyle w:val="14"/>
          <w:rFonts w:hint="eastAsia" w:ascii="仿宋_GB2312" w:hAnsi="仿宋_GB2312" w:eastAsia="仿宋_GB2312" w:cs="仿宋_GB2312"/>
          <w:bCs/>
          <w:color w:val="000000"/>
          <w:sz w:val="32"/>
          <w:szCs w:val="32"/>
          <w:lang w:val="en-US" w:eastAsia="zh-CN"/>
        </w:rPr>
        <w:t>177</w:t>
      </w:r>
      <w:r>
        <w:rPr>
          <w:rStyle w:val="14"/>
          <w:rFonts w:hint="eastAsia" w:ascii="仿宋_GB2312" w:hAnsi="仿宋_GB2312" w:eastAsia="仿宋_GB2312" w:cs="仿宋_GB2312"/>
          <w:bCs/>
          <w:color w:val="000000"/>
          <w:sz w:val="32"/>
          <w:szCs w:val="32"/>
        </w:rPr>
        <w:t>%。其中：</w:t>
      </w:r>
      <w:bookmarkEnd w:id="38"/>
      <w:bookmarkEnd w:id="39"/>
      <w:bookmarkEnd w:id="40"/>
    </w:p>
    <w:p>
      <w:pPr>
        <w:spacing w:line="520" w:lineRule="exact"/>
        <w:ind w:firstLine="643"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1.一般公共服务支出（类）人大事务（款）行政运行（项）: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8.48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2.一般公共服务支出（类）人大事务（款）代表工作（项）:</w:t>
      </w:r>
      <w:r>
        <w:rPr>
          <w:rStyle w:val="14"/>
          <w:rFonts w:hint="eastAsia" w:ascii="仿宋_GB2312" w:hAnsi="仿宋_GB2312" w:eastAsia="仿宋_GB2312" w:cs="仿宋_GB2312"/>
          <w:b w:val="0"/>
          <w:bCs/>
          <w:color w:val="000000"/>
          <w:sz w:val="32"/>
          <w:szCs w:val="32"/>
        </w:rPr>
        <w:t>支出决算为3.64万元，完成预算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.一般公共服务支出（类）政府办公厅（室）及相关机构事务（款）行政运行（项）: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164.35</w:t>
      </w:r>
      <w:r>
        <w:rPr>
          <w:rStyle w:val="14"/>
          <w:rFonts w:hint="eastAsia" w:ascii="仿宋_GB2312" w:hAnsi="仿宋_GB2312" w:eastAsia="仿宋_GB2312" w:cs="仿宋_GB2312"/>
          <w:b w:val="0"/>
          <w:bCs/>
          <w:color w:val="000000"/>
          <w:sz w:val="32"/>
          <w:szCs w:val="32"/>
        </w:rPr>
        <w:t>万元，完成预算10</w:t>
      </w:r>
      <w:r>
        <w:rPr>
          <w:rStyle w:val="14"/>
          <w:rFonts w:hint="eastAsia" w:ascii="仿宋_GB2312" w:hAnsi="仿宋_GB2312" w:eastAsia="仿宋_GB2312" w:cs="仿宋_GB2312"/>
          <w:b w:val="0"/>
          <w:bCs/>
          <w:color w:val="000000"/>
          <w:sz w:val="32"/>
          <w:szCs w:val="32"/>
          <w:lang w:val="en-US" w:eastAsia="zh-CN"/>
        </w:rPr>
        <w:t>5</w:t>
      </w:r>
      <w:r>
        <w:rPr>
          <w:rStyle w:val="14"/>
          <w:rFonts w:hint="eastAsia" w:ascii="仿宋_GB2312" w:hAnsi="仿宋_GB2312" w:eastAsia="仿宋_GB2312" w:cs="仿宋_GB2312"/>
          <w:b w:val="0"/>
          <w:bCs/>
          <w:color w:val="000000"/>
          <w:sz w:val="32"/>
          <w:szCs w:val="32"/>
        </w:rPr>
        <w:t>%，决算数大于预算数的主要原因是</w:t>
      </w:r>
      <w:r>
        <w:rPr>
          <w:rFonts w:hint="eastAsia" w:ascii="仿宋_GB2312" w:hAnsi="仿宋_GB2312" w:eastAsia="仿宋_GB2312" w:cs="仿宋_GB2312"/>
          <w:sz w:val="30"/>
          <w:szCs w:val="30"/>
          <w:lang w:eastAsia="zh-CN"/>
        </w:rPr>
        <w:t>人员工资调增</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.一般公共服务支出（类）政府办公厅（室）及相关机构事务（款）</w:t>
      </w:r>
      <w:r>
        <w:rPr>
          <w:rStyle w:val="14"/>
          <w:rFonts w:hint="eastAsia" w:ascii="仿宋_GB2312" w:hAnsi="仿宋_GB2312" w:eastAsia="仿宋_GB2312" w:cs="仿宋_GB2312"/>
          <w:bCs/>
          <w:color w:val="000000"/>
          <w:sz w:val="32"/>
          <w:szCs w:val="32"/>
          <w:lang w:eastAsia="zh-CN"/>
        </w:rPr>
        <w:t>信访</w:t>
      </w:r>
      <w:r>
        <w:rPr>
          <w:rStyle w:val="14"/>
          <w:rFonts w:hint="eastAsia" w:ascii="仿宋_GB2312" w:hAnsi="仿宋_GB2312" w:eastAsia="仿宋_GB2312" w:cs="仿宋_GB2312"/>
          <w:bCs/>
          <w:color w:val="000000"/>
          <w:sz w:val="32"/>
          <w:szCs w:val="32"/>
        </w:rPr>
        <w:t>事务（项）: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5</w:t>
      </w:r>
      <w:r>
        <w:rPr>
          <w:rStyle w:val="14"/>
          <w:rFonts w:hint="eastAsia" w:ascii="仿宋_GB2312" w:hAnsi="仿宋_GB2312" w:eastAsia="仿宋_GB2312" w:cs="仿宋_GB2312"/>
          <w:bCs/>
          <w:color w:val="000000"/>
          <w:sz w:val="32"/>
          <w:szCs w:val="32"/>
        </w:rPr>
        <w:t>.一般公共服务支出（类）政府办公厅（室）及相关机构事务（款）</w:t>
      </w:r>
      <w:r>
        <w:rPr>
          <w:rStyle w:val="14"/>
          <w:rFonts w:hint="eastAsia" w:ascii="仿宋_GB2312" w:hAnsi="仿宋_GB2312" w:eastAsia="仿宋_GB2312" w:cs="仿宋_GB2312"/>
          <w:bCs/>
          <w:color w:val="000000"/>
          <w:sz w:val="32"/>
          <w:szCs w:val="32"/>
          <w:lang w:eastAsia="zh-CN"/>
        </w:rPr>
        <w:t>事业运行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111.31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6</w:t>
      </w:r>
      <w:r>
        <w:rPr>
          <w:rStyle w:val="14"/>
          <w:rFonts w:hint="eastAsia" w:ascii="仿宋_GB2312" w:hAnsi="仿宋_GB2312" w:eastAsia="仿宋_GB2312" w:cs="仿宋_GB2312"/>
          <w:bCs/>
          <w:color w:val="000000"/>
          <w:sz w:val="32"/>
          <w:szCs w:val="32"/>
        </w:rPr>
        <w:t>.一般公共服务支出（类）政府办公厅（室）及相关机构事务（款）</w:t>
      </w:r>
      <w:r>
        <w:rPr>
          <w:rStyle w:val="14"/>
          <w:rFonts w:hint="eastAsia" w:ascii="仿宋_GB2312" w:hAnsi="仿宋_GB2312" w:eastAsia="仿宋_GB2312" w:cs="仿宋_GB2312"/>
          <w:bCs/>
          <w:color w:val="000000"/>
          <w:sz w:val="32"/>
          <w:szCs w:val="32"/>
          <w:lang w:eastAsia="zh-CN"/>
        </w:rPr>
        <w:t>其他政府办公厅（室）及相关机构事务支出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27.79</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场镇污水处理成本支出、财政所维修经费，预算追加。</w:t>
      </w:r>
    </w:p>
    <w:p>
      <w:pPr>
        <w:spacing w:line="520" w:lineRule="exact"/>
        <w:ind w:firstLine="643"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.一般公共服务支出（类）</w:t>
      </w:r>
      <w:r>
        <w:rPr>
          <w:rStyle w:val="14"/>
          <w:rFonts w:hint="eastAsia" w:ascii="仿宋_GB2312" w:hAnsi="仿宋_GB2312" w:eastAsia="仿宋_GB2312" w:cs="仿宋_GB2312"/>
          <w:bCs/>
          <w:color w:val="000000"/>
          <w:sz w:val="32"/>
          <w:szCs w:val="32"/>
          <w:lang w:eastAsia="zh-CN"/>
        </w:rPr>
        <w:t>群众团体事务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其他群众团体事务支出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5.8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8</w:t>
      </w:r>
      <w:r>
        <w:rPr>
          <w:rStyle w:val="14"/>
          <w:rFonts w:hint="eastAsia" w:ascii="仿宋_GB2312" w:hAnsi="仿宋_GB2312" w:eastAsia="仿宋_GB2312" w:cs="仿宋_GB2312"/>
          <w:bCs/>
          <w:color w:val="000000"/>
          <w:sz w:val="32"/>
          <w:szCs w:val="32"/>
        </w:rPr>
        <w:t>.一般公共服务支出（类）党委办公厅（室）及相关机构事务（款）行政运行（项）: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53.55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9</w:t>
      </w:r>
      <w:r>
        <w:rPr>
          <w:rStyle w:val="14"/>
          <w:rFonts w:hint="eastAsia" w:ascii="仿宋_GB2312" w:hAnsi="仿宋_GB2312" w:eastAsia="仿宋_GB2312" w:cs="仿宋_GB2312"/>
          <w:bCs/>
          <w:color w:val="000000"/>
          <w:sz w:val="32"/>
          <w:szCs w:val="32"/>
        </w:rPr>
        <w:t>.文化体育与传媒支出（类）</w:t>
      </w:r>
      <w:r>
        <w:rPr>
          <w:rStyle w:val="14"/>
          <w:rFonts w:hint="eastAsia" w:ascii="仿宋_GB2312" w:hAnsi="仿宋_GB2312" w:eastAsia="仿宋_GB2312" w:cs="仿宋_GB2312"/>
          <w:bCs/>
          <w:color w:val="000000"/>
          <w:sz w:val="32"/>
          <w:szCs w:val="32"/>
          <w:lang w:eastAsia="zh-CN"/>
        </w:rPr>
        <w:t>广播电视</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广播</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21.72</w:t>
      </w:r>
      <w:r>
        <w:rPr>
          <w:rStyle w:val="14"/>
          <w:rFonts w:hint="eastAsia" w:ascii="仿宋_GB2312" w:hAnsi="仿宋_GB2312" w:eastAsia="仿宋_GB2312" w:cs="仿宋_GB2312"/>
          <w:b w:val="0"/>
          <w:bCs/>
          <w:color w:val="000000"/>
          <w:sz w:val="32"/>
          <w:szCs w:val="32"/>
        </w:rPr>
        <w:t>万元，完成预算10</w:t>
      </w:r>
      <w:r>
        <w:rPr>
          <w:rStyle w:val="14"/>
          <w:rFonts w:hint="eastAsia" w:ascii="仿宋_GB2312" w:hAnsi="仿宋_GB2312" w:eastAsia="仿宋_GB2312" w:cs="仿宋_GB2312"/>
          <w:b w:val="0"/>
          <w:bCs/>
          <w:color w:val="000000"/>
          <w:sz w:val="32"/>
          <w:szCs w:val="32"/>
          <w:lang w:val="en-US" w:eastAsia="zh-CN"/>
        </w:rPr>
        <w:t>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0</w:t>
      </w:r>
      <w:r>
        <w:rPr>
          <w:rStyle w:val="14"/>
          <w:rFonts w:hint="eastAsia" w:ascii="仿宋_GB2312" w:hAnsi="仿宋_GB2312" w:eastAsia="仿宋_GB2312" w:cs="仿宋_GB2312"/>
          <w:bCs/>
          <w:color w:val="000000"/>
          <w:sz w:val="32"/>
          <w:szCs w:val="32"/>
        </w:rPr>
        <w:t>.社会保障和就业支出（类）人力资源和社会保障管理事务（款）综合业务管理（项）: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39.20</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1</w:t>
      </w:r>
      <w:r>
        <w:rPr>
          <w:rStyle w:val="14"/>
          <w:rFonts w:hint="eastAsia" w:ascii="仿宋_GB2312" w:hAnsi="仿宋_GB2312" w:eastAsia="仿宋_GB2312" w:cs="仿宋_GB2312"/>
          <w:bCs/>
          <w:color w:val="000000"/>
          <w:sz w:val="32"/>
          <w:szCs w:val="32"/>
        </w:rPr>
        <w:t>.社会保障和就业支出（类）人力资源和社会保障管理事务（款）</w:t>
      </w:r>
      <w:r>
        <w:rPr>
          <w:rStyle w:val="14"/>
          <w:rFonts w:hint="eastAsia" w:ascii="仿宋_GB2312" w:hAnsi="仿宋_GB2312" w:eastAsia="仿宋_GB2312" w:cs="仿宋_GB2312"/>
          <w:bCs/>
          <w:color w:val="000000"/>
          <w:sz w:val="32"/>
          <w:szCs w:val="32"/>
          <w:lang w:eastAsia="zh-CN"/>
        </w:rPr>
        <w:t>社会保险经办机构</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20.9</w:t>
      </w:r>
      <w:r>
        <w:rPr>
          <w:rStyle w:val="14"/>
          <w:rFonts w:hint="eastAsia" w:ascii="仿宋_GB2312" w:hAnsi="仿宋_GB2312" w:eastAsia="仿宋_GB2312" w:cs="仿宋_GB2312"/>
          <w:b w:val="0"/>
          <w:bCs/>
          <w:color w:val="000000"/>
          <w:sz w:val="32"/>
          <w:szCs w:val="32"/>
        </w:rPr>
        <w:t>万元，完成预算100%。</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2</w:t>
      </w:r>
      <w:r>
        <w:rPr>
          <w:rStyle w:val="14"/>
          <w:rFonts w:hint="eastAsia" w:ascii="仿宋_GB2312" w:hAnsi="仿宋_GB2312" w:eastAsia="仿宋_GB2312" w:cs="仿宋_GB2312"/>
          <w:bCs/>
          <w:color w:val="000000"/>
          <w:sz w:val="32"/>
          <w:szCs w:val="32"/>
        </w:rPr>
        <w:t>.社会保障和就业支出（类）人力资源和社会保障管理事务（款）</w:t>
      </w:r>
      <w:r>
        <w:rPr>
          <w:rStyle w:val="14"/>
          <w:rFonts w:hint="eastAsia" w:ascii="仿宋_GB2312" w:hAnsi="仿宋_GB2312" w:eastAsia="仿宋_GB2312" w:cs="仿宋_GB2312"/>
          <w:bCs/>
          <w:color w:val="000000"/>
          <w:sz w:val="32"/>
          <w:szCs w:val="32"/>
          <w:lang w:eastAsia="zh-CN"/>
        </w:rPr>
        <w:t>其他人力资源和社会保障管理事务支出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252.4</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val="en-US" w:eastAsia="zh-CN"/>
        </w:rPr>
        <w:t>2018年在职人员绩效考核奖、2018年离退休生活补助，预算追加</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.社会保障和就业支出（类）民政管理事务（款）基层政权和社区建设（项）: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56.13</w:t>
      </w:r>
      <w:r>
        <w:rPr>
          <w:rStyle w:val="14"/>
          <w:rFonts w:hint="eastAsia" w:ascii="仿宋_GB2312" w:hAnsi="仿宋_GB2312" w:eastAsia="仿宋_GB2312" w:cs="仿宋_GB2312"/>
          <w:b w:val="0"/>
          <w:bCs/>
          <w:color w:val="000000"/>
          <w:sz w:val="32"/>
          <w:szCs w:val="32"/>
        </w:rPr>
        <w:t>万元，完成预算100%。</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.社会保障和就业支出（类）行政事业单位离退休（款）机关事业单位基本养老保险缴费支出（项）: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58.58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86</w:t>
      </w:r>
      <w:r>
        <w:rPr>
          <w:rStyle w:val="14"/>
          <w:rFonts w:hint="eastAsia" w:ascii="仿宋_GB2312" w:hAnsi="仿宋_GB2312" w:eastAsia="仿宋_GB2312" w:cs="仿宋_GB2312"/>
          <w:b w:val="0"/>
          <w:bCs/>
          <w:color w:val="000000"/>
          <w:sz w:val="32"/>
          <w:szCs w:val="32"/>
        </w:rPr>
        <w:t>%，决算数小于预算数的主要原因是少数</w:t>
      </w:r>
      <w:r>
        <w:rPr>
          <w:rFonts w:hint="eastAsia" w:ascii="仿宋_GB2312" w:hAnsi="仿宋_GB2312" w:eastAsia="仿宋_GB2312" w:cs="仿宋_GB2312"/>
          <w:sz w:val="30"/>
          <w:szCs w:val="30"/>
        </w:rPr>
        <w:t>职工</w:t>
      </w:r>
      <w:r>
        <w:rPr>
          <w:rFonts w:hint="eastAsia" w:ascii="仿宋_GB2312" w:hAnsi="仿宋_GB2312" w:eastAsia="仿宋_GB2312" w:cs="仿宋_GB2312"/>
          <w:sz w:val="30"/>
          <w:szCs w:val="30"/>
          <w:lang w:eastAsia="zh-CN"/>
        </w:rPr>
        <w:t>调离</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5</w:t>
      </w:r>
      <w:r>
        <w:rPr>
          <w:rStyle w:val="14"/>
          <w:rFonts w:hint="eastAsia" w:ascii="仿宋_GB2312" w:hAnsi="仿宋_GB2312" w:eastAsia="仿宋_GB2312" w:cs="仿宋_GB2312"/>
          <w:bCs/>
          <w:color w:val="000000"/>
          <w:sz w:val="32"/>
          <w:szCs w:val="32"/>
        </w:rPr>
        <w:t>.社会保障和就业支出（类）行政事业单位离退休（款）其他行政事业单位离退休支出（项）: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0.16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6</w:t>
      </w:r>
      <w:r>
        <w:rPr>
          <w:rStyle w:val="14"/>
          <w:rFonts w:hint="eastAsia" w:ascii="仿宋_GB2312" w:hAnsi="仿宋_GB2312" w:eastAsia="仿宋_GB2312" w:cs="仿宋_GB2312"/>
          <w:bCs/>
          <w:color w:val="000000"/>
          <w:sz w:val="32"/>
          <w:szCs w:val="32"/>
        </w:rPr>
        <w:t>.社会保障和就业支出（类）抚恤（款）</w:t>
      </w:r>
      <w:r>
        <w:rPr>
          <w:rStyle w:val="14"/>
          <w:rFonts w:hint="eastAsia" w:ascii="仿宋_GB2312" w:hAnsi="仿宋_GB2312" w:eastAsia="仿宋_GB2312" w:cs="仿宋_GB2312"/>
          <w:bCs/>
          <w:color w:val="000000"/>
          <w:sz w:val="32"/>
          <w:szCs w:val="32"/>
          <w:lang w:eastAsia="zh-CN"/>
        </w:rPr>
        <w:t>死亡抚恤</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8.41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108</w:t>
      </w:r>
      <w:r>
        <w:rPr>
          <w:rStyle w:val="14"/>
          <w:rFonts w:hint="eastAsia" w:ascii="仿宋_GB2312" w:hAnsi="仿宋_GB2312" w:eastAsia="仿宋_GB2312" w:cs="仿宋_GB2312"/>
          <w:b w:val="0"/>
          <w:bCs/>
          <w:color w:val="000000"/>
          <w:sz w:val="32"/>
          <w:szCs w:val="32"/>
        </w:rPr>
        <w:t>%，决算数大于预算数的主要原因是</w:t>
      </w:r>
      <w:r>
        <w:rPr>
          <w:rFonts w:hint="eastAsia" w:ascii="仿宋_GB2312" w:hAnsi="仿宋_GB2312" w:eastAsia="仿宋_GB2312" w:cs="仿宋_GB2312"/>
          <w:sz w:val="30"/>
          <w:szCs w:val="30"/>
        </w:rPr>
        <w:t>死亡抚恤标准上调</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.社会保障和就业支出（类）</w:t>
      </w:r>
      <w:r>
        <w:rPr>
          <w:rStyle w:val="14"/>
          <w:rFonts w:hint="eastAsia" w:ascii="仿宋_GB2312" w:hAnsi="仿宋_GB2312" w:eastAsia="仿宋_GB2312" w:cs="仿宋_GB2312"/>
          <w:bCs/>
          <w:color w:val="000000"/>
          <w:sz w:val="32"/>
          <w:szCs w:val="32"/>
          <w:lang w:eastAsia="zh-CN"/>
        </w:rPr>
        <w:t>社会福利</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老年福利</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0.3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18.社会保障和就业支出（类）特困人员供养（款）农村特困人员供养支出（项）: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70.57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89</w:t>
      </w:r>
      <w:r>
        <w:rPr>
          <w:rStyle w:val="14"/>
          <w:rFonts w:hint="eastAsia" w:ascii="仿宋_GB2312" w:hAnsi="仿宋_GB2312" w:eastAsia="仿宋_GB2312" w:cs="仿宋_GB2312"/>
          <w:b w:val="0"/>
          <w:bCs/>
          <w:color w:val="000000"/>
          <w:sz w:val="32"/>
          <w:szCs w:val="32"/>
        </w:rPr>
        <w:t>%，决算数大于预算数的主要原因是</w:t>
      </w:r>
      <w:r>
        <w:rPr>
          <w:rStyle w:val="14"/>
          <w:rFonts w:hint="eastAsia" w:ascii="仿宋_GB2312" w:hAnsi="仿宋_GB2312" w:eastAsia="仿宋_GB2312" w:cs="仿宋_GB2312"/>
          <w:b w:val="0"/>
          <w:color w:val="000000"/>
          <w:sz w:val="32"/>
          <w:szCs w:val="32"/>
        </w:rPr>
        <w:t>农村特困</w:t>
      </w:r>
      <w:r>
        <w:rPr>
          <w:rStyle w:val="14"/>
          <w:rFonts w:hint="eastAsia" w:ascii="仿宋_GB2312" w:hAnsi="仿宋_GB2312" w:eastAsia="仿宋_GB2312" w:cs="仿宋_GB2312"/>
          <w:b w:val="0"/>
          <w:color w:val="000000"/>
          <w:sz w:val="32"/>
          <w:szCs w:val="32"/>
          <w:lang w:eastAsia="zh-CN"/>
        </w:rPr>
        <w:t>供养</w:t>
      </w:r>
      <w:r>
        <w:rPr>
          <w:rStyle w:val="14"/>
          <w:rFonts w:hint="eastAsia" w:ascii="仿宋_GB2312" w:hAnsi="仿宋_GB2312" w:eastAsia="仿宋_GB2312" w:cs="仿宋_GB2312"/>
          <w:b w:val="0"/>
          <w:color w:val="000000"/>
          <w:sz w:val="32"/>
          <w:szCs w:val="32"/>
        </w:rPr>
        <w:t>人员</w:t>
      </w:r>
      <w:r>
        <w:rPr>
          <w:rStyle w:val="14"/>
          <w:rFonts w:hint="eastAsia" w:ascii="仿宋_GB2312" w:hAnsi="仿宋_GB2312" w:eastAsia="仿宋_GB2312" w:cs="仿宋_GB2312"/>
          <w:b w:val="0"/>
          <w:color w:val="000000"/>
          <w:sz w:val="32"/>
          <w:szCs w:val="32"/>
          <w:lang w:eastAsia="zh-CN"/>
        </w:rPr>
        <w:t>减少</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19.社会保障和就业支出（类）其他社会保障和就业支出（款）其他社会保障和就业支出（项）: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1.41</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西部志愿者补助，预算追加</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20.</w:t>
      </w:r>
      <w:r>
        <w:rPr>
          <w:rStyle w:val="14"/>
          <w:rFonts w:hint="eastAsia" w:ascii="仿宋_GB2312" w:hAnsi="仿宋_GB2312" w:eastAsia="仿宋_GB2312" w:cs="仿宋_GB2312"/>
          <w:bCs/>
          <w:color w:val="000000"/>
          <w:sz w:val="32"/>
          <w:szCs w:val="32"/>
          <w:lang w:eastAsia="zh-CN"/>
        </w:rPr>
        <w:t>卫生健康支出</w:t>
      </w:r>
      <w:r>
        <w:rPr>
          <w:rStyle w:val="14"/>
          <w:rFonts w:hint="eastAsia" w:ascii="仿宋_GB2312" w:hAnsi="仿宋_GB2312" w:eastAsia="仿宋_GB2312" w:cs="仿宋_GB2312"/>
          <w:bCs/>
          <w:color w:val="000000"/>
          <w:sz w:val="32"/>
          <w:szCs w:val="32"/>
        </w:rPr>
        <w:t>（类）行政事业单位医疗（款）行政单位医疗（项）: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9.78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卫生健康支出</w:t>
      </w:r>
      <w:r>
        <w:rPr>
          <w:rStyle w:val="14"/>
          <w:rFonts w:hint="eastAsia" w:ascii="仿宋_GB2312" w:hAnsi="仿宋_GB2312" w:eastAsia="仿宋_GB2312" w:cs="仿宋_GB2312"/>
          <w:bCs/>
          <w:color w:val="000000"/>
          <w:sz w:val="32"/>
          <w:szCs w:val="32"/>
        </w:rPr>
        <w:t>（类）行政事业单位医疗（款）</w:t>
      </w:r>
      <w:r>
        <w:rPr>
          <w:rStyle w:val="14"/>
          <w:rFonts w:hint="eastAsia" w:ascii="仿宋_GB2312" w:hAnsi="仿宋_GB2312" w:eastAsia="仿宋_GB2312" w:cs="仿宋_GB2312"/>
          <w:bCs/>
          <w:color w:val="000000"/>
          <w:sz w:val="32"/>
          <w:szCs w:val="32"/>
          <w:lang w:eastAsia="zh-CN"/>
        </w:rPr>
        <w:t>事业</w:t>
      </w:r>
      <w:r>
        <w:rPr>
          <w:rStyle w:val="14"/>
          <w:rFonts w:hint="eastAsia" w:ascii="仿宋_GB2312" w:hAnsi="仿宋_GB2312" w:eastAsia="仿宋_GB2312" w:cs="仿宋_GB2312"/>
          <w:bCs/>
          <w:color w:val="000000"/>
          <w:sz w:val="32"/>
          <w:szCs w:val="32"/>
        </w:rPr>
        <w:t>单位医疗（项）: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10.49</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卫生健康支出</w:t>
      </w:r>
      <w:r>
        <w:rPr>
          <w:rStyle w:val="14"/>
          <w:rFonts w:hint="eastAsia" w:ascii="仿宋_GB2312" w:hAnsi="仿宋_GB2312" w:eastAsia="仿宋_GB2312" w:cs="仿宋_GB2312"/>
          <w:bCs/>
          <w:color w:val="000000"/>
          <w:sz w:val="32"/>
          <w:szCs w:val="32"/>
        </w:rPr>
        <w:t>（类）行政事业单位医疗（款）</w:t>
      </w:r>
      <w:r>
        <w:rPr>
          <w:rStyle w:val="14"/>
          <w:rFonts w:hint="eastAsia" w:ascii="仿宋_GB2312" w:hAnsi="仿宋_GB2312" w:eastAsia="仿宋_GB2312" w:cs="仿宋_GB2312"/>
          <w:bCs/>
          <w:color w:val="000000"/>
          <w:sz w:val="32"/>
          <w:szCs w:val="32"/>
          <w:lang w:eastAsia="zh-CN"/>
        </w:rPr>
        <w:t>其他行政事业</w:t>
      </w:r>
      <w:r>
        <w:rPr>
          <w:rStyle w:val="14"/>
          <w:rFonts w:hint="eastAsia" w:ascii="仿宋_GB2312" w:hAnsi="仿宋_GB2312" w:eastAsia="仿宋_GB2312" w:cs="仿宋_GB2312"/>
          <w:bCs/>
          <w:color w:val="000000"/>
          <w:sz w:val="32"/>
          <w:szCs w:val="32"/>
        </w:rPr>
        <w:t>单位医疗</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8.46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.城乡社区支出（类）城乡社区环境卫生（款）城乡社区环境卫生（项）: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20.08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r>
        <w:rPr>
          <w:rStyle w:val="14"/>
          <w:rFonts w:hint="eastAsia" w:ascii="仿宋_GB2312" w:hAnsi="仿宋_GB2312" w:eastAsia="仿宋_GB2312" w:cs="仿宋_GB2312"/>
          <w:b w:val="0"/>
          <w:bCs/>
          <w:color w:val="000000"/>
          <w:sz w:val="32"/>
          <w:szCs w:val="32"/>
          <w:lang w:eastAsia="zh-CN"/>
        </w:rPr>
        <w:t>。</w:t>
      </w:r>
    </w:p>
    <w:p>
      <w:pPr>
        <w:spacing w:line="520" w:lineRule="exact"/>
        <w:ind w:firstLine="643"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.城乡社区支出（类）国有土地使用权出让收入及对应专项债务收入安排的支出（款）城市建设支出（项）: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7.42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r>
        <w:rPr>
          <w:rStyle w:val="14"/>
          <w:rFonts w:hint="eastAsia" w:ascii="仿宋_GB2312" w:hAnsi="仿宋_GB2312" w:eastAsia="仿宋_GB2312" w:cs="仿宋_GB2312"/>
          <w:b w:val="0"/>
          <w:bCs/>
          <w:color w:val="000000"/>
          <w:sz w:val="32"/>
          <w:szCs w:val="32"/>
          <w:lang w:eastAsia="zh-CN"/>
        </w:rPr>
        <w:t>。</w:t>
      </w:r>
    </w:p>
    <w:p>
      <w:pPr>
        <w:spacing w:line="520" w:lineRule="exact"/>
        <w:ind w:firstLine="643"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5</w:t>
      </w:r>
      <w:r>
        <w:rPr>
          <w:rStyle w:val="14"/>
          <w:rFonts w:hint="eastAsia" w:ascii="仿宋_GB2312" w:hAnsi="仿宋_GB2312" w:eastAsia="仿宋_GB2312" w:cs="仿宋_GB2312"/>
          <w:bCs/>
          <w:color w:val="000000"/>
          <w:sz w:val="32"/>
          <w:szCs w:val="32"/>
        </w:rPr>
        <w:t>.城乡社区支出（类）国有土地使用权出让收入及对应专项债务收入安排的支出（款）其他国有土地使用权出让收入安排的支出（项）: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9.9</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r>
        <w:rPr>
          <w:rStyle w:val="14"/>
          <w:rFonts w:hint="eastAsia" w:ascii="仿宋_GB2312" w:hAnsi="仿宋_GB2312" w:eastAsia="仿宋_GB2312" w:cs="仿宋_GB2312"/>
          <w:b w:val="0"/>
          <w:bCs/>
          <w:color w:val="000000"/>
          <w:sz w:val="32"/>
          <w:szCs w:val="32"/>
          <w:lang w:eastAsia="zh-CN"/>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6</w:t>
      </w:r>
      <w:r>
        <w:rPr>
          <w:rStyle w:val="14"/>
          <w:rFonts w:hint="eastAsia" w:ascii="仿宋_GB2312" w:hAnsi="仿宋_GB2312" w:eastAsia="仿宋_GB2312" w:cs="仿宋_GB2312"/>
          <w:bCs/>
          <w:color w:val="000000"/>
          <w:sz w:val="32"/>
          <w:szCs w:val="32"/>
        </w:rPr>
        <w:t>.农林水支出（类）农业（款）事业</w:t>
      </w:r>
      <w:r>
        <w:rPr>
          <w:rStyle w:val="14"/>
          <w:rFonts w:hint="eastAsia" w:ascii="仿宋_GB2312" w:hAnsi="仿宋_GB2312" w:eastAsia="仿宋_GB2312" w:cs="仿宋_GB2312"/>
          <w:bCs/>
          <w:color w:val="000000"/>
          <w:sz w:val="32"/>
          <w:szCs w:val="32"/>
          <w:lang w:eastAsia="zh-CN"/>
        </w:rPr>
        <w:t>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93.02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.农林水支出（类）林业</w:t>
      </w:r>
      <w:r>
        <w:rPr>
          <w:rStyle w:val="14"/>
          <w:rFonts w:hint="eastAsia" w:ascii="仿宋_GB2312" w:hAnsi="仿宋_GB2312" w:eastAsia="仿宋_GB2312" w:cs="仿宋_GB2312"/>
          <w:bCs/>
          <w:color w:val="000000"/>
          <w:sz w:val="32"/>
          <w:szCs w:val="32"/>
          <w:lang w:eastAsia="zh-CN"/>
        </w:rPr>
        <w:t>和草原</w:t>
      </w:r>
      <w:r>
        <w:rPr>
          <w:rStyle w:val="14"/>
          <w:rFonts w:hint="eastAsia" w:ascii="仿宋_GB2312" w:hAnsi="仿宋_GB2312" w:eastAsia="仿宋_GB2312" w:cs="仿宋_GB2312"/>
          <w:bCs/>
          <w:color w:val="000000"/>
          <w:sz w:val="32"/>
          <w:szCs w:val="32"/>
        </w:rPr>
        <w:t>（款）事业机构（项）: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14.83</w:t>
      </w:r>
      <w:r>
        <w:rPr>
          <w:rStyle w:val="14"/>
          <w:rFonts w:hint="eastAsia" w:ascii="仿宋_GB2312" w:hAnsi="仿宋_GB2312" w:eastAsia="仿宋_GB2312" w:cs="仿宋_GB2312"/>
          <w:b w:val="0"/>
          <w:bCs/>
          <w:color w:val="000000"/>
          <w:sz w:val="32"/>
          <w:szCs w:val="32"/>
        </w:rPr>
        <w:t>万元，完成预算1</w:t>
      </w:r>
      <w:r>
        <w:rPr>
          <w:rStyle w:val="14"/>
          <w:rFonts w:hint="eastAsia" w:ascii="仿宋_GB2312" w:hAnsi="仿宋_GB2312" w:eastAsia="仿宋_GB2312" w:cs="仿宋_GB2312"/>
          <w:b w:val="0"/>
          <w:bCs/>
          <w:color w:val="000000"/>
          <w:sz w:val="32"/>
          <w:szCs w:val="32"/>
          <w:lang w:val="en-US" w:eastAsia="zh-CN"/>
        </w:rPr>
        <w:t>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8</w:t>
      </w:r>
      <w:r>
        <w:rPr>
          <w:rStyle w:val="14"/>
          <w:rFonts w:hint="eastAsia" w:ascii="仿宋_GB2312" w:hAnsi="仿宋_GB2312" w:eastAsia="仿宋_GB2312" w:cs="仿宋_GB2312"/>
          <w:bCs/>
          <w:color w:val="000000"/>
          <w:sz w:val="32"/>
          <w:szCs w:val="32"/>
        </w:rPr>
        <w:t>.农林水支出（类）扶贫（款）农村基础设施建设（项）: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247.45</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村级公路、便民路、水利等基础设施建设（革命老区转移支付）</w:t>
      </w:r>
      <w:r>
        <w:rPr>
          <w:rStyle w:val="14"/>
          <w:rFonts w:hint="eastAsia" w:ascii="仿宋_GB2312" w:hAnsi="仿宋_GB2312" w:eastAsia="仿宋_GB2312" w:cs="仿宋_GB2312"/>
          <w:b w:val="0"/>
          <w:bCs/>
          <w:color w:val="000000"/>
          <w:sz w:val="32"/>
          <w:szCs w:val="32"/>
        </w:rPr>
        <w:t>，追加预算。</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w:t>
      </w:r>
      <w:r>
        <w:rPr>
          <w:rStyle w:val="14"/>
          <w:rFonts w:hint="eastAsia" w:ascii="仿宋_GB2312" w:hAnsi="仿宋_GB2312" w:eastAsia="仿宋_GB2312" w:cs="仿宋_GB2312"/>
          <w:bCs/>
          <w:color w:val="000000"/>
          <w:sz w:val="32"/>
          <w:szCs w:val="32"/>
          <w:lang w:val="en-US" w:eastAsia="zh-CN"/>
        </w:rPr>
        <w:t>9</w:t>
      </w:r>
      <w:r>
        <w:rPr>
          <w:rStyle w:val="14"/>
          <w:rFonts w:hint="eastAsia" w:ascii="仿宋_GB2312" w:hAnsi="仿宋_GB2312" w:eastAsia="仿宋_GB2312" w:cs="仿宋_GB2312"/>
          <w:bCs/>
          <w:color w:val="000000"/>
          <w:sz w:val="32"/>
          <w:szCs w:val="32"/>
        </w:rPr>
        <w:t>.农林水支出（类）</w:t>
      </w:r>
      <w:r>
        <w:rPr>
          <w:rStyle w:val="14"/>
          <w:rFonts w:hint="eastAsia" w:ascii="仿宋_GB2312" w:hAnsi="仿宋_GB2312" w:eastAsia="仿宋_GB2312" w:cs="仿宋_GB2312"/>
          <w:bCs/>
          <w:color w:val="000000"/>
          <w:sz w:val="32"/>
          <w:szCs w:val="32"/>
          <w:lang w:eastAsia="zh-CN"/>
        </w:rPr>
        <w:t>扶贫</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其他扶贫支出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2.19</w:t>
      </w:r>
      <w:r>
        <w:rPr>
          <w:rStyle w:val="14"/>
          <w:rFonts w:hint="eastAsia" w:ascii="仿宋_GB2312" w:hAnsi="仿宋_GB2312" w:eastAsia="仿宋_GB2312" w:cs="仿宋_GB2312"/>
          <w:b w:val="0"/>
          <w:bCs/>
          <w:color w:val="000000"/>
          <w:sz w:val="32"/>
          <w:szCs w:val="32"/>
        </w:rPr>
        <w:t>万元，完成预算1</w:t>
      </w:r>
      <w:r>
        <w:rPr>
          <w:rStyle w:val="14"/>
          <w:rFonts w:hint="eastAsia" w:ascii="仿宋_GB2312" w:hAnsi="仿宋_GB2312" w:eastAsia="仿宋_GB2312" w:cs="仿宋_GB2312"/>
          <w:b w:val="0"/>
          <w:bCs/>
          <w:color w:val="000000"/>
          <w:sz w:val="32"/>
          <w:szCs w:val="32"/>
          <w:lang w:val="en-US" w:eastAsia="zh-CN"/>
        </w:rPr>
        <w:t>00</w:t>
      </w:r>
      <w:r>
        <w:rPr>
          <w:rStyle w:val="14"/>
          <w:rFonts w:hint="eastAsia" w:ascii="仿宋_GB2312" w:hAnsi="仿宋_GB2312" w:eastAsia="仿宋_GB2312" w:cs="仿宋_GB2312"/>
          <w:b w:val="0"/>
          <w:bCs/>
          <w:color w:val="000000"/>
          <w:sz w:val="32"/>
          <w:szCs w:val="32"/>
        </w:rPr>
        <w:t>%。</w:t>
      </w:r>
    </w:p>
    <w:p>
      <w:pPr>
        <w:spacing w:line="52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30</w:t>
      </w:r>
      <w:r>
        <w:rPr>
          <w:rStyle w:val="14"/>
          <w:rFonts w:hint="eastAsia" w:ascii="仿宋_GB2312" w:hAnsi="仿宋_GB2312" w:eastAsia="仿宋_GB2312" w:cs="仿宋_GB2312"/>
          <w:bCs/>
          <w:color w:val="000000"/>
          <w:sz w:val="32"/>
          <w:szCs w:val="32"/>
        </w:rPr>
        <w:t>.农林水支出（类）农村综合改革（款）对村民委员会和村党支部的补助（项）: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272.47</w:t>
      </w:r>
      <w:r>
        <w:rPr>
          <w:rStyle w:val="14"/>
          <w:rFonts w:hint="eastAsia" w:ascii="仿宋_GB2312" w:hAnsi="仿宋_GB2312" w:eastAsia="仿宋_GB2312" w:cs="仿宋_GB2312"/>
          <w:b w:val="0"/>
          <w:bCs/>
          <w:color w:val="000000"/>
          <w:sz w:val="32"/>
          <w:szCs w:val="32"/>
        </w:rPr>
        <w:t>万元，完成预算11</w:t>
      </w:r>
      <w:r>
        <w:rPr>
          <w:rStyle w:val="14"/>
          <w:rFonts w:hint="eastAsia" w:ascii="仿宋_GB2312" w:hAnsi="仿宋_GB2312" w:eastAsia="仿宋_GB2312" w:cs="仿宋_GB2312"/>
          <w:b w:val="0"/>
          <w:bCs/>
          <w:color w:val="000000"/>
          <w:sz w:val="32"/>
          <w:szCs w:val="32"/>
          <w:lang w:val="en-US" w:eastAsia="zh-CN"/>
        </w:rPr>
        <w:t>7</w:t>
      </w:r>
      <w:r>
        <w:rPr>
          <w:rStyle w:val="14"/>
          <w:rFonts w:hint="eastAsia" w:ascii="仿宋_GB2312" w:hAnsi="仿宋_GB2312" w:eastAsia="仿宋_GB2312" w:cs="仿宋_GB2312"/>
          <w:b w:val="0"/>
          <w:bCs/>
          <w:color w:val="000000"/>
          <w:sz w:val="32"/>
          <w:szCs w:val="32"/>
        </w:rPr>
        <w:t>%，决算数大于预算数的主要原因是加大了村基础设施建设的投入。</w:t>
      </w:r>
    </w:p>
    <w:p>
      <w:pPr>
        <w:spacing w:line="520" w:lineRule="exact"/>
        <w:ind w:firstLine="643"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Cs/>
          <w:color w:val="000000"/>
          <w:sz w:val="32"/>
          <w:szCs w:val="32"/>
          <w:lang w:val="en-US" w:eastAsia="zh-CN"/>
        </w:rPr>
        <w:t>31</w:t>
      </w:r>
      <w:r>
        <w:rPr>
          <w:rStyle w:val="14"/>
          <w:rFonts w:hint="eastAsia" w:ascii="仿宋_GB2312" w:hAnsi="仿宋_GB2312" w:eastAsia="仿宋_GB2312" w:cs="仿宋_GB2312"/>
          <w:bCs/>
          <w:color w:val="000000"/>
          <w:sz w:val="32"/>
          <w:szCs w:val="32"/>
        </w:rPr>
        <w:t>.农林水支出（类）农村综合改革（款）对村</w:t>
      </w:r>
      <w:r>
        <w:rPr>
          <w:rStyle w:val="14"/>
          <w:rFonts w:hint="eastAsia" w:ascii="仿宋_GB2312" w:hAnsi="仿宋_GB2312" w:eastAsia="仿宋_GB2312" w:cs="仿宋_GB2312"/>
          <w:bCs/>
          <w:color w:val="000000"/>
          <w:sz w:val="32"/>
          <w:szCs w:val="32"/>
          <w:lang w:eastAsia="zh-CN"/>
        </w:rPr>
        <w:t>集体经济组织的补助</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下达扶持村集体经济发展项目资金。</w:t>
      </w:r>
    </w:p>
    <w:p>
      <w:pPr>
        <w:spacing w:line="520" w:lineRule="exact"/>
        <w:ind w:firstLine="643"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Cs/>
          <w:color w:val="000000"/>
          <w:sz w:val="32"/>
          <w:szCs w:val="32"/>
          <w:lang w:val="en-US" w:eastAsia="zh-CN"/>
        </w:rPr>
        <w:t>32</w:t>
      </w:r>
      <w:r>
        <w:rPr>
          <w:rStyle w:val="14"/>
          <w:rFonts w:hint="eastAsia" w:ascii="仿宋_GB2312" w:hAnsi="仿宋_GB2312" w:eastAsia="仿宋_GB2312" w:cs="仿宋_GB2312"/>
          <w:bCs/>
          <w:color w:val="000000"/>
          <w:sz w:val="32"/>
          <w:szCs w:val="32"/>
        </w:rPr>
        <w:t>.农林水支出（类）农村综合改革（款）</w:t>
      </w:r>
      <w:r>
        <w:rPr>
          <w:rStyle w:val="14"/>
          <w:rFonts w:hint="eastAsia" w:ascii="仿宋_GB2312" w:hAnsi="仿宋_GB2312" w:eastAsia="仿宋_GB2312" w:cs="仿宋_GB2312"/>
          <w:bCs/>
          <w:color w:val="000000"/>
          <w:sz w:val="32"/>
          <w:szCs w:val="32"/>
          <w:lang w:eastAsia="zh-CN"/>
        </w:rPr>
        <w:t>其他农村综合改革支出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下达民生实事及特殊公共服务财政专项资金、</w:t>
      </w:r>
      <w:r>
        <w:rPr>
          <w:rStyle w:val="14"/>
          <w:rFonts w:hint="eastAsia" w:ascii="仿宋_GB2312" w:hAnsi="仿宋_GB2312" w:eastAsia="仿宋_GB2312" w:cs="仿宋_GB2312"/>
          <w:b w:val="0"/>
          <w:bCs/>
          <w:color w:val="000000"/>
          <w:sz w:val="32"/>
          <w:szCs w:val="32"/>
          <w:lang w:val="en-US" w:eastAsia="zh-CN"/>
        </w:rPr>
        <w:t>2019年市级支农资金</w:t>
      </w:r>
      <w:r>
        <w:rPr>
          <w:rStyle w:val="14"/>
          <w:rFonts w:hint="eastAsia" w:ascii="仿宋_GB2312" w:hAnsi="仿宋_GB2312" w:eastAsia="仿宋_GB2312" w:cs="仿宋_GB2312"/>
          <w:b w:val="0"/>
          <w:bCs/>
          <w:color w:val="000000"/>
          <w:sz w:val="32"/>
          <w:szCs w:val="32"/>
          <w:lang w:eastAsia="zh-CN"/>
        </w:rPr>
        <w:t>。</w:t>
      </w:r>
    </w:p>
    <w:p>
      <w:pPr>
        <w:spacing w:line="52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33</w:t>
      </w:r>
      <w:r>
        <w:rPr>
          <w:rStyle w:val="14"/>
          <w:rFonts w:hint="eastAsia" w:ascii="仿宋_GB2312" w:hAnsi="仿宋_GB2312" w:eastAsia="仿宋_GB2312" w:cs="仿宋_GB2312"/>
          <w:bCs/>
          <w:color w:val="000000"/>
          <w:sz w:val="32"/>
          <w:szCs w:val="32"/>
        </w:rPr>
        <w:t>.住房保障支出（类）住房改革支出（款）住房公积金（项）: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65.50</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161</w:t>
      </w:r>
      <w:r>
        <w:rPr>
          <w:rStyle w:val="14"/>
          <w:rFonts w:hint="eastAsia" w:ascii="仿宋_GB2312" w:hAnsi="仿宋_GB2312" w:eastAsia="仿宋_GB2312" w:cs="仿宋_GB2312"/>
          <w:b w:val="0"/>
          <w:bCs/>
          <w:color w:val="000000"/>
          <w:sz w:val="32"/>
          <w:szCs w:val="32"/>
        </w:rPr>
        <w:t>%，</w:t>
      </w:r>
      <w:r>
        <w:rPr>
          <w:rStyle w:val="14"/>
          <w:rFonts w:hint="eastAsia" w:ascii="仿宋_GB2312" w:hAnsi="仿宋_GB2312" w:eastAsia="仿宋_GB2312" w:cs="仿宋_GB2312"/>
          <w:b w:val="0"/>
          <w:bCs/>
          <w:color w:val="000000"/>
          <w:sz w:val="32"/>
          <w:szCs w:val="32"/>
          <w:lang w:eastAsia="zh-CN"/>
        </w:rPr>
        <w:t>住房公积金，预算追加</w:t>
      </w:r>
      <w:r>
        <w:rPr>
          <w:rStyle w:val="14"/>
          <w:rFonts w:hint="eastAsia" w:ascii="仿宋_GB2312" w:hAnsi="仿宋_GB2312" w:eastAsia="仿宋_GB2312" w:cs="仿宋_GB2312"/>
          <w:b w:val="0"/>
          <w:bCs/>
          <w:color w:val="000000"/>
          <w:sz w:val="32"/>
          <w:szCs w:val="32"/>
        </w:rPr>
        <w:t>。</w:t>
      </w:r>
    </w:p>
    <w:p>
      <w:pPr>
        <w:tabs>
          <w:tab w:val="right" w:pos="8306"/>
        </w:tabs>
        <w:spacing w:line="520" w:lineRule="exact"/>
        <w:ind w:firstLine="640"/>
        <w:outlineLvl w:val="1"/>
        <w:rPr>
          <w:rStyle w:val="18"/>
          <w:rFonts w:ascii="仿宋_GB2312" w:hAnsi="仿宋_GB2312" w:eastAsia="仿宋_GB2312" w:cs="仿宋_GB2312"/>
        </w:rPr>
      </w:pPr>
      <w:bookmarkStart w:id="41" w:name="_Toc15377214"/>
      <w:bookmarkStart w:id="42" w:name="_Toc15396608"/>
      <w:r>
        <w:rPr>
          <w:rFonts w:hint="eastAsia" w:ascii="黑体" w:hAnsi="黑体" w:eastAsia="黑体" w:cs="黑体"/>
          <w:color w:val="000000"/>
          <w:sz w:val="32"/>
          <w:szCs w:val="32"/>
        </w:rPr>
        <w:t>六、一</w:t>
      </w:r>
      <w:r>
        <w:rPr>
          <w:rStyle w:val="18"/>
          <w:rFonts w:hint="eastAsia" w:ascii="黑体" w:hAnsi="黑体" w:eastAsia="黑体"/>
          <w:b w:val="0"/>
          <w:bCs w:val="0"/>
        </w:rPr>
        <w:t>般公共预算财政拨款基本支出决算情况说明</w:t>
      </w:r>
      <w:bookmarkEnd w:id="41"/>
      <w:bookmarkEnd w:id="42"/>
      <w:r>
        <w:rPr>
          <w:rStyle w:val="18"/>
          <w:rFonts w:hint="eastAsia" w:ascii="仿宋_GB2312" w:hAnsi="仿宋_GB2312" w:eastAsia="仿宋_GB2312" w:cs="仿宋_GB2312"/>
          <w:b w:val="0"/>
        </w:rPr>
        <w:tab/>
      </w:r>
    </w:p>
    <w:p>
      <w:pPr>
        <w:spacing w:line="52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2019年一般公共预算财政拨款基本支出1241.24万元，其中：</w:t>
      </w:r>
    </w:p>
    <w:p>
      <w:pPr>
        <w:spacing w:line="52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1184.87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用经费56.38万元，主要包括：办公费、印刷费、手续费、水费、电费、邮电费、差旅费、维修（护）费、会议费、培训费、公务接待费、劳务费、工会经费、其他交通费、其他商品和服务支出、办公设备购置、信息网络及软件购置更新、其他资本性支出等。</w:t>
      </w:r>
    </w:p>
    <w:p>
      <w:pPr>
        <w:spacing w:line="520" w:lineRule="exact"/>
        <w:ind w:firstLine="640"/>
        <w:outlineLvl w:val="1"/>
        <w:rPr>
          <w:rStyle w:val="18"/>
          <w:rFonts w:ascii="黑体" w:hAnsi="黑体" w:eastAsia="黑体"/>
          <w:b w:val="0"/>
          <w:bCs w:val="0"/>
        </w:rPr>
      </w:pPr>
      <w:bookmarkStart w:id="43" w:name="_Toc15377215"/>
      <w:bookmarkStart w:id="44" w:name="_Toc15396609"/>
      <w:r>
        <w:rPr>
          <w:rFonts w:hint="eastAsia" w:ascii="黑体" w:hAnsi="黑体" w:eastAsia="黑体" w:cs="黑体"/>
          <w:color w:val="000000"/>
          <w:sz w:val="32"/>
          <w:szCs w:val="32"/>
        </w:rPr>
        <w:t>七、</w:t>
      </w:r>
      <w:r>
        <w:rPr>
          <w:rStyle w:val="18"/>
          <w:rFonts w:hint="eastAsia" w:ascii="黑体" w:hAnsi="黑体" w:eastAsia="黑体"/>
          <w:b w:val="0"/>
          <w:bCs w:val="0"/>
        </w:rPr>
        <w:t>“三公”经费财政拨款支出决算情况说明</w:t>
      </w:r>
      <w:bookmarkEnd w:id="43"/>
      <w:bookmarkEnd w:id="44"/>
    </w:p>
    <w:p>
      <w:pPr>
        <w:spacing w:line="520" w:lineRule="exact"/>
        <w:ind w:firstLine="640"/>
        <w:outlineLvl w:val="2"/>
        <w:rPr>
          <w:rFonts w:ascii="仿宋_GB2312" w:hAnsi="仿宋_GB2312" w:eastAsia="仿宋_GB2312" w:cs="仿宋_GB2312"/>
          <w:b/>
          <w:color w:val="000000"/>
          <w:sz w:val="32"/>
          <w:szCs w:val="32"/>
        </w:rPr>
      </w:pPr>
      <w:bookmarkStart w:id="45" w:name="_Toc15377216"/>
      <w:r>
        <w:rPr>
          <w:rFonts w:hint="eastAsia" w:ascii="仿宋_GB2312" w:hAnsi="仿宋_GB2312" w:eastAsia="仿宋_GB2312" w:cs="仿宋_GB2312"/>
          <w:b/>
          <w:color w:val="000000"/>
          <w:sz w:val="32"/>
          <w:szCs w:val="32"/>
        </w:rPr>
        <w:t>（一）“三公”经费财政拨款支出决算总体情况说明</w:t>
      </w:r>
      <w:bookmarkEnd w:id="45"/>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2019年“三公”经费财政拨款支出决算为8.6万元，完成预算</w:t>
      </w:r>
      <w:r>
        <w:rPr>
          <w:rFonts w:hint="eastAsia" w:ascii="仿宋_GB2312" w:hAnsi="仿宋_GB2312" w:eastAsia="仿宋_GB2312" w:cs="仿宋_GB2312"/>
          <w:color w:val="000000"/>
          <w:sz w:val="32"/>
          <w:szCs w:val="32"/>
          <w:lang w:val="en-US" w:eastAsia="zh-CN"/>
        </w:rPr>
        <w:t>86</w:t>
      </w:r>
      <w:r>
        <w:rPr>
          <w:rFonts w:hint="eastAsia" w:ascii="仿宋_GB2312" w:hAnsi="仿宋_GB2312" w:eastAsia="仿宋_GB2312" w:cs="仿宋_GB2312"/>
          <w:color w:val="000000"/>
          <w:sz w:val="32"/>
          <w:szCs w:val="32"/>
        </w:rPr>
        <w:t>%，决算数小于预算数的主要原因是压</w:t>
      </w:r>
      <w:r>
        <w:rPr>
          <w:rFonts w:hint="eastAsia" w:ascii="仿宋_GB2312" w:hAnsi="仿宋_GB2312" w:eastAsia="仿宋_GB2312" w:cs="仿宋_GB2312"/>
          <w:color w:val="000000"/>
          <w:sz w:val="32"/>
          <w:szCs w:val="32"/>
          <w:lang w:eastAsia="zh-CN"/>
        </w:rPr>
        <w:t>缩</w:t>
      </w:r>
      <w:r>
        <w:rPr>
          <w:rFonts w:hint="eastAsia" w:ascii="仿宋_GB2312" w:hAnsi="仿宋_GB2312" w:eastAsia="仿宋_GB2312" w:cs="仿宋_GB2312"/>
          <w:color w:val="000000"/>
          <w:sz w:val="32"/>
          <w:szCs w:val="32"/>
        </w:rPr>
        <w:t>公务接待费。</w:t>
      </w:r>
    </w:p>
    <w:p>
      <w:pPr>
        <w:spacing w:line="520" w:lineRule="exact"/>
        <w:ind w:firstLine="640"/>
        <w:outlineLvl w:val="2"/>
        <w:rPr>
          <w:rFonts w:ascii="仿宋_GB2312" w:hAnsi="仿宋_GB2312" w:eastAsia="仿宋_GB2312" w:cs="仿宋_GB2312"/>
          <w:b/>
          <w:color w:val="000000"/>
          <w:sz w:val="32"/>
          <w:szCs w:val="32"/>
        </w:rPr>
      </w:pPr>
      <w:bookmarkStart w:id="46" w:name="_Toc15377217"/>
      <w:r>
        <w:rPr>
          <w:rFonts w:hint="eastAsia" w:ascii="仿宋_GB2312" w:hAnsi="仿宋_GB2312" w:eastAsia="仿宋_GB2312" w:cs="仿宋_GB2312"/>
          <w:b/>
          <w:color w:val="000000"/>
          <w:sz w:val="32"/>
          <w:szCs w:val="32"/>
        </w:rPr>
        <w:t>（二）“三公”经费财政拨款支出决算具体情况说明</w:t>
      </w:r>
      <w:bookmarkEnd w:id="46"/>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2019年“三公”经费财政拨款支出决算中，因公出国（境）费支出决算0万元，占0%；公务用车购置及运行维护费支出决算0万元，占0%；公务接待费支出决算</w:t>
      </w:r>
      <w:r>
        <w:rPr>
          <w:rFonts w:hint="eastAsia" w:ascii="仿宋_GB2312" w:hAnsi="仿宋_GB2312" w:eastAsia="仿宋_GB2312" w:cs="仿宋_GB2312"/>
          <w:color w:val="000000"/>
          <w:sz w:val="32"/>
          <w:szCs w:val="32"/>
          <w:lang w:val="en-US" w:eastAsia="zh-CN"/>
        </w:rPr>
        <w:t>8.6</w:t>
      </w:r>
      <w:r>
        <w:rPr>
          <w:rFonts w:hint="eastAsia" w:ascii="仿宋_GB2312" w:hAnsi="仿宋_GB2312" w:eastAsia="仿宋_GB2312" w:cs="仿宋_GB2312"/>
          <w:color w:val="000000"/>
          <w:sz w:val="32"/>
          <w:szCs w:val="32"/>
        </w:rPr>
        <w:t>万元，占100%。具体情况如下：</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（图8：“三公”经费财政拨款支出结构）（饼状图）</w:t>
      </w:r>
    </w:p>
    <w:p>
      <w:pPr>
        <w:spacing w:line="520" w:lineRule="exact"/>
        <w:ind w:firstLine="64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1.因公出国（境）经费支出0</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全年安排因公出国（境）团组0次，出国（境）0人。因公出国（境）支出决算比2018年增加/减少0万元，增长/下降0%。</w:t>
      </w:r>
    </w:p>
    <w:p>
      <w:pPr>
        <w:spacing w:line="520" w:lineRule="exact"/>
        <w:ind w:firstLine="64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2.公务用车购置及运行维护费支出0</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公务用车购置及运行维护费支出决算比2018年增加/减少0万元，增长/下降0%。</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b/>
          <w:color w:val="000000"/>
          <w:sz w:val="32"/>
          <w:szCs w:val="32"/>
          <w:lang w:val="en-US" w:eastAsia="zh-CN"/>
        </w:rPr>
        <w:t>8.6</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86</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公务接待费支出决算比2018年减少</w:t>
      </w:r>
      <w:r>
        <w:rPr>
          <w:rFonts w:hint="eastAsia" w:ascii="仿宋_GB2312" w:hAnsi="仿宋_GB2312" w:eastAsia="仿宋_GB2312" w:cs="仿宋_GB2312"/>
          <w:color w:val="000000"/>
          <w:sz w:val="32"/>
          <w:szCs w:val="32"/>
          <w:lang w:val="en-US" w:eastAsia="zh-CN"/>
        </w:rPr>
        <w:t>3.26</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%。主要是压宿公务接待费。</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主要用于执行公务、开展业务活动开支用餐费。国内公务接待</w:t>
      </w:r>
      <w:r>
        <w:rPr>
          <w:rFonts w:hint="eastAsia" w:ascii="仿宋_GB2312" w:hAnsi="仿宋_GB2312" w:eastAsia="仿宋_GB2312" w:cs="仿宋_GB2312"/>
          <w:color w:val="000000"/>
          <w:sz w:val="32"/>
          <w:szCs w:val="32"/>
          <w:lang w:val="en-US" w:eastAsia="zh-CN"/>
        </w:rPr>
        <w:t>310</w:t>
      </w:r>
      <w:r>
        <w:rPr>
          <w:rFonts w:hint="eastAsia" w:ascii="仿宋_GB2312" w:hAnsi="仿宋_GB2312" w:eastAsia="仿宋_GB2312" w:cs="仿宋_GB2312"/>
          <w:color w:val="000000"/>
          <w:sz w:val="32"/>
          <w:szCs w:val="32"/>
        </w:rPr>
        <w:t>批次（其中</w:t>
      </w:r>
      <w:r>
        <w:rPr>
          <w:rFonts w:hint="eastAsia" w:ascii="仿宋_GB2312" w:eastAsia="仿宋_GB2312"/>
          <w:sz w:val="32"/>
          <w:szCs w:val="32"/>
        </w:rPr>
        <w:t>接待市级相关日常检查工作，共</w:t>
      </w:r>
      <w:r>
        <w:rPr>
          <w:rFonts w:hint="eastAsia" w:ascii="仿宋_GB2312" w:eastAsia="仿宋_GB2312"/>
          <w:sz w:val="32"/>
          <w:szCs w:val="32"/>
          <w:lang w:val="en-US" w:eastAsia="zh-CN"/>
        </w:rPr>
        <w:t>6</w:t>
      </w:r>
      <w:r>
        <w:rPr>
          <w:rFonts w:hint="eastAsia" w:ascii="仿宋_GB2312" w:eastAsia="仿宋_GB2312"/>
          <w:sz w:val="32"/>
          <w:szCs w:val="32"/>
        </w:rPr>
        <w:t>批，</w:t>
      </w:r>
      <w:r>
        <w:rPr>
          <w:rFonts w:hint="eastAsia" w:ascii="仿宋_GB2312" w:eastAsia="仿宋_GB2312"/>
          <w:sz w:val="32"/>
          <w:szCs w:val="32"/>
          <w:lang w:val="en-US" w:eastAsia="zh-CN"/>
        </w:rPr>
        <w:t>64</w:t>
      </w:r>
      <w:r>
        <w:rPr>
          <w:rFonts w:hint="eastAsia" w:ascii="仿宋_GB2312" w:eastAsia="仿宋_GB2312"/>
          <w:sz w:val="32"/>
          <w:szCs w:val="32"/>
        </w:rPr>
        <w:t>人次，共计支出</w:t>
      </w:r>
      <w:r>
        <w:rPr>
          <w:rFonts w:hint="eastAsia" w:ascii="仿宋_GB2312" w:eastAsia="仿宋_GB2312"/>
          <w:sz w:val="32"/>
          <w:szCs w:val="32"/>
          <w:lang w:val="en-US" w:eastAsia="zh-CN"/>
        </w:rPr>
        <w:t>0.3</w:t>
      </w:r>
      <w:r>
        <w:rPr>
          <w:rFonts w:hint="eastAsia" w:ascii="仿宋_GB2312" w:eastAsia="仿宋_GB2312"/>
          <w:sz w:val="32"/>
          <w:szCs w:val="32"/>
        </w:rPr>
        <w:t>万元，接待县级相关工作检查监督工作，共</w:t>
      </w:r>
      <w:r>
        <w:rPr>
          <w:rFonts w:hint="eastAsia" w:ascii="仿宋_GB2312" w:eastAsia="仿宋_GB2312"/>
          <w:sz w:val="32"/>
          <w:szCs w:val="32"/>
          <w:lang w:val="en-US" w:eastAsia="zh-CN"/>
        </w:rPr>
        <w:t>270</w:t>
      </w:r>
      <w:r>
        <w:rPr>
          <w:rFonts w:hint="eastAsia" w:ascii="仿宋_GB2312" w:eastAsia="仿宋_GB2312"/>
          <w:sz w:val="32"/>
          <w:szCs w:val="32"/>
        </w:rPr>
        <w:t>批，共计</w:t>
      </w:r>
      <w:r>
        <w:rPr>
          <w:rFonts w:hint="eastAsia" w:ascii="仿宋_GB2312" w:eastAsia="仿宋_GB2312"/>
          <w:sz w:val="32"/>
          <w:szCs w:val="32"/>
          <w:lang w:val="en-US" w:eastAsia="zh-CN"/>
        </w:rPr>
        <w:t>1400</w:t>
      </w:r>
      <w:r>
        <w:rPr>
          <w:rFonts w:hint="eastAsia" w:ascii="仿宋_GB2312" w:eastAsia="仿宋_GB2312"/>
          <w:sz w:val="32"/>
          <w:szCs w:val="32"/>
        </w:rPr>
        <w:t>人次，共计支出</w:t>
      </w:r>
      <w:r>
        <w:rPr>
          <w:rFonts w:hint="eastAsia" w:ascii="仿宋_GB2312" w:eastAsia="仿宋_GB2312"/>
          <w:sz w:val="32"/>
          <w:szCs w:val="32"/>
          <w:lang w:val="en-US" w:eastAsia="zh-CN"/>
        </w:rPr>
        <w:t>7.5</w:t>
      </w:r>
      <w:r>
        <w:rPr>
          <w:rFonts w:hint="eastAsia" w:ascii="仿宋_GB2312" w:eastAsia="仿宋_GB2312"/>
          <w:sz w:val="32"/>
          <w:szCs w:val="32"/>
        </w:rPr>
        <w:t>万元。接待重庆、成都、广州、等招商引资及乡村旅游共计</w:t>
      </w:r>
      <w:r>
        <w:rPr>
          <w:rFonts w:hint="eastAsia" w:ascii="仿宋_GB2312" w:eastAsia="仿宋_GB2312"/>
          <w:sz w:val="32"/>
          <w:szCs w:val="32"/>
          <w:lang w:val="en-US" w:eastAsia="zh-CN"/>
        </w:rPr>
        <w:t>34</w:t>
      </w:r>
      <w:r>
        <w:rPr>
          <w:rFonts w:hint="eastAsia" w:ascii="仿宋_GB2312" w:eastAsia="仿宋_GB2312"/>
          <w:sz w:val="32"/>
          <w:szCs w:val="32"/>
        </w:rPr>
        <w:t>批，计</w:t>
      </w:r>
      <w:r>
        <w:rPr>
          <w:rFonts w:hint="eastAsia" w:ascii="仿宋_GB2312" w:eastAsia="仿宋_GB2312"/>
          <w:sz w:val="32"/>
          <w:szCs w:val="32"/>
          <w:lang w:val="en-US" w:eastAsia="zh-CN"/>
        </w:rPr>
        <w:t>150</w:t>
      </w:r>
      <w:r>
        <w:rPr>
          <w:rFonts w:hint="eastAsia" w:ascii="仿宋_GB2312" w:eastAsia="仿宋_GB2312"/>
          <w:sz w:val="32"/>
          <w:szCs w:val="32"/>
        </w:rPr>
        <w:t>人次，共计</w:t>
      </w:r>
      <w:r>
        <w:rPr>
          <w:rFonts w:hint="eastAsia" w:ascii="仿宋_GB2312" w:eastAsia="仿宋_GB2312"/>
          <w:sz w:val="32"/>
          <w:szCs w:val="32"/>
          <w:lang w:val="en-US" w:eastAsia="zh-CN"/>
        </w:rPr>
        <w:t>0.8</w:t>
      </w:r>
      <w:r>
        <w:rPr>
          <w:rFonts w:hint="eastAsia" w:ascii="仿宋_GB2312" w:eastAsia="仿宋_GB2312"/>
          <w:sz w:val="32"/>
          <w:szCs w:val="32"/>
        </w:rPr>
        <w:t>万元</w:t>
      </w:r>
      <w:r>
        <w:rPr>
          <w:rFonts w:hint="eastAsia" w:ascii="仿宋_GB2312" w:hAnsi="仿宋_GB2312" w:eastAsia="仿宋_GB2312" w:cs="仿宋_GB2312"/>
          <w:sz w:val="32"/>
          <w:szCs w:val="32"/>
        </w:rPr>
        <w:t>）。</w:t>
      </w:r>
    </w:p>
    <w:p>
      <w:pPr>
        <w:spacing w:line="520" w:lineRule="exact"/>
        <w:ind w:firstLine="640"/>
        <w:outlineLvl w:val="1"/>
        <w:rPr>
          <w:rStyle w:val="18"/>
          <w:rFonts w:ascii="黑体" w:hAnsi="黑体" w:eastAsia="黑体"/>
        </w:rPr>
      </w:pPr>
      <w:bookmarkStart w:id="47" w:name="_Toc15377218"/>
      <w:bookmarkStart w:id="48" w:name="_Toc15396610"/>
      <w:r>
        <w:rPr>
          <w:rFonts w:hint="eastAsia" w:ascii="黑体" w:hAnsi="黑体" w:eastAsia="黑体" w:cs="黑体"/>
          <w:color w:val="000000"/>
          <w:sz w:val="32"/>
          <w:szCs w:val="32"/>
        </w:rPr>
        <w:t>八、</w:t>
      </w:r>
      <w:r>
        <w:rPr>
          <w:rStyle w:val="18"/>
          <w:rFonts w:hint="eastAsia" w:ascii="黑体" w:hAnsi="黑体" w:eastAsia="黑体"/>
          <w:b w:val="0"/>
        </w:rPr>
        <w:t>政府性基金预算支出决算情况说明</w:t>
      </w:r>
      <w:bookmarkEnd w:id="47"/>
      <w:bookmarkEnd w:id="48"/>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2019年政府性基金预算拨款支出</w:t>
      </w:r>
      <w:r>
        <w:rPr>
          <w:rFonts w:hint="eastAsia" w:ascii="仿宋_GB2312" w:hAnsi="仿宋_GB2312" w:eastAsia="仿宋_GB2312" w:cs="仿宋_GB2312"/>
          <w:color w:val="000000"/>
          <w:sz w:val="32"/>
          <w:szCs w:val="32"/>
          <w:lang w:val="en-US" w:eastAsia="zh-CN"/>
        </w:rPr>
        <w:t>17.32</w:t>
      </w:r>
      <w:r>
        <w:rPr>
          <w:rFonts w:hint="eastAsia" w:ascii="仿宋_GB2312" w:hAnsi="仿宋_GB2312" w:eastAsia="仿宋_GB2312" w:cs="仿宋_GB2312"/>
          <w:color w:val="000000"/>
          <w:sz w:val="32"/>
          <w:szCs w:val="32"/>
        </w:rPr>
        <w:t>万元。</w:t>
      </w:r>
    </w:p>
    <w:p>
      <w:pPr>
        <w:numPr>
          <w:ilvl w:val="0"/>
          <w:numId w:val="2"/>
        </w:numPr>
        <w:spacing w:line="520" w:lineRule="exact"/>
        <w:ind w:firstLine="640"/>
        <w:outlineLvl w:val="1"/>
        <w:rPr>
          <w:rStyle w:val="18"/>
          <w:rFonts w:ascii="黑体" w:hAnsi="黑体" w:eastAsia="黑体"/>
          <w:b w:val="0"/>
        </w:rPr>
      </w:pPr>
      <w:bookmarkStart w:id="49" w:name="_Toc15377219"/>
      <w:bookmarkStart w:id="50" w:name="_Toc15396611"/>
      <w:r>
        <w:rPr>
          <w:rStyle w:val="18"/>
          <w:rFonts w:hint="eastAsia" w:ascii="黑体" w:hAnsi="黑体" w:eastAsia="黑体"/>
          <w:b w:val="0"/>
        </w:rPr>
        <w:t>国有资本经营预算支出决算情况说明</w:t>
      </w:r>
      <w:bookmarkEnd w:id="49"/>
      <w:bookmarkEnd w:id="50"/>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2019年国有资本经营预算拨款支出0万元。</w:t>
      </w:r>
    </w:p>
    <w:p>
      <w:pPr>
        <w:pStyle w:val="26"/>
        <w:numPr>
          <w:ilvl w:val="0"/>
          <w:numId w:val="3"/>
        </w:numPr>
        <w:spacing w:line="520" w:lineRule="exact"/>
        <w:ind w:firstLineChars="0"/>
        <w:rPr>
          <w:rStyle w:val="18"/>
          <w:rFonts w:ascii="黑体" w:hAnsi="黑体" w:eastAsia="黑体"/>
          <w:b w:val="0"/>
        </w:rPr>
      </w:pPr>
      <w:r>
        <w:rPr>
          <w:rStyle w:val="18"/>
          <w:rFonts w:hint="eastAsia" w:ascii="黑体" w:hAnsi="黑体" w:eastAsia="黑体"/>
          <w:b w:val="0"/>
        </w:rPr>
        <w:t>预算绩效情况说明</w:t>
      </w:r>
    </w:p>
    <w:p>
      <w:pPr>
        <w:numPr>
          <w:ilvl w:val="0"/>
          <w:numId w:val="4"/>
        </w:num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预算绩效管理工作开展情况。</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我镇在年初预算编制阶段，组织对人大代表活动经费、政协片区委员活动经费、环境整治经费、大调解经费、社会治安综合治理经费、纪检工作经费、党建工作经费、征兵经费、老年人活动经费、垃圾中转站运行费、服务群众专项经费、安全生产经费项目开展了预算事前绩效评估，对12个项目编制了绩效目标，预算执行过程中，选取5个项目开展绩效监控，年终执行完毕后，对5个项目开展了绩效目标完成情况梳理填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镇按要求对2019年部门整体支出开展绩效自评，从评价情况来看2019年，我镇积极履职，强化管理，较好的完成了年度工作目标。通过加强预算收支管理，不断建立健全内部管理制度，梳理内部管理流程，整体支出管理水平得到提升。从整体情况来看，我镇严格按照年初预算进行部门整体支出。在支出过程中，能严格遵守各项规章制度，</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从严管理，认真执行联审会签审核制度。所有项目都详细制定了方案，严格按方案组织实施，并加强了监督。还自行组织了5个项目绩效评价，从评价情况来看，我镇紧紧围绕年度目标任务，勇于创新、扎实工作，全面完成了各项工作任务。在专项经费支出上，我们能专款专用，按项目实施计划的进度情况进行资金拨付，无截留、无挪用等现象。</w:t>
      </w:r>
    </w:p>
    <w:p>
      <w:pPr>
        <w:numPr>
          <w:ilvl w:val="0"/>
          <w:numId w:val="4"/>
        </w:num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项目绩效目标完成情况。</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xml:space="preserve">    我镇在2019年度部门决算中反映“政协片区委员活动经费”“党建工作经费”“征兵经费”“老年人活动经费”“服务群众专项经费”等5个项目绩效目标实际完成情况。</w:t>
      </w:r>
    </w:p>
    <w:p>
      <w:pPr>
        <w:numPr>
          <w:ilvl w:val="0"/>
          <w:numId w:val="5"/>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协片区委员活动经费项目绩效目标完成情况综述。项目全年预算数0.5万元，执行数为0.5万元，完成预算的100%。通过项目实施，保证了片区政协委员会议顺利召开，促进了工作效率提高，保障了片区政协委员各项活动顺利进行。发现的主要问题：</w:t>
      </w:r>
      <w:r>
        <w:rPr>
          <w:rFonts w:hint="eastAsia" w:ascii="仿宋_GB2312" w:hAnsi="仿宋_GB2312" w:eastAsia="仿宋_GB2312" w:cs="仿宋_GB2312"/>
          <w:color w:val="000000"/>
          <w:sz w:val="32"/>
          <w:szCs w:val="32"/>
        </w:rPr>
        <w:t>政协片区委员工作经费的使用率有待提高，财政绩效管理工作有待提高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color w:val="000000"/>
          <w:sz w:val="32"/>
          <w:szCs w:val="32"/>
        </w:rPr>
        <w:t>合理制定资金使用计划，确保工作经费支出的效益和效率。</w:t>
      </w:r>
    </w:p>
    <w:p>
      <w:pPr>
        <w:numPr>
          <w:ilvl w:val="0"/>
          <w:numId w:val="5"/>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建工作经费项目绩效目标完成情况综述。项目全年预算数1万元，执行数为1万元，完成预算的100%。通过项目实施，保障了党建工作顺利进行，促进了建立健全党的组织机构、做好党员发展等工作，提高了党内组织生活，落实好了民主生活制度。发现的主要问题：为进一步做好党建工作，还须更多深入基层，全面掌握基层党建工作情况。下一步改进措施：创新工作方法，不断增强基层调研工作的针对性和实用性，更加深入基层了解情况，解决基层实际困难，切实增强服务基层的工作和水平。</w:t>
      </w:r>
    </w:p>
    <w:p>
      <w:pPr>
        <w:numPr>
          <w:ilvl w:val="0"/>
          <w:numId w:val="5"/>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兵经费项目绩效目标完成情况综述。项目全年预算数1万元，执行数为1万元，完成预算的100%。通过项目实施，促进了我镇武装部门高质量量高标准严要求地完成夏季征兵的任务，保障了向部队输送身体健康、政治思想品佳优秀青年入伍的工作。发现的主要问题：预算编制中，部分支出预算不够科学，造成后期执行比例较低。下一步改进措施：结合征兵工作特点，进一步科学合理编制预算，特别加强对具体支出科目支出规模的测算，优化支出结构。</w:t>
      </w:r>
    </w:p>
    <w:p>
      <w:pPr>
        <w:numPr>
          <w:ilvl w:val="0"/>
          <w:numId w:val="5"/>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老年人活动经费项目绩效目标完成情况综述。项目全年预算数0.3万元，执行数为0.3万元，完成预算的100%。通过项目实施，丰富了老人的业余文化生活，满足了老人精神文化需求，提升了老人服务。发现的主要问题：资金使用效益不高，创造性开展工作不够。下一步改进措施：提高工作标准，围绕老龄工作的特点，积极开展多种活动。</w:t>
      </w:r>
    </w:p>
    <w:p>
      <w:pPr>
        <w:numPr>
          <w:ilvl w:val="0"/>
          <w:numId w:val="5"/>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群众专项经费项目绩效目标完成情况综述。项目全年预算数20万元，执行数为20万元，完成预算的100%。通过项目实施，保证了基层党组织正常开展党建活动。为社区居民提供了各类优质服务，对服务群众项目相关设施更新，社区道路修缮，使社区群众受益得实惠。同时使社区综合服务能力得以提升。发现的主要问题：资金的投入、分配、使用、管理、监督等各个环节都存在着一些问题，使资金不能充分发挥应有的作用，影响了使用效益。下一步改进措施：加强乡镇资金分配的合理性。通过乡政府对各村急需的项目建设进行合理定位，明确各社区急需项目的重要性，达到资金能合理利用，妥善解决各社区的民生项目。</w:t>
      </w: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tbl>
      <w:tblPr>
        <w:tblStyle w:val="12"/>
        <w:tblpPr w:leftFromText="180" w:rightFromText="180" w:vertAnchor="text" w:horzAnchor="page" w:tblpX="995" w:tblpY="265"/>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spacing w:line="520" w:lineRule="exact"/>
              <w:ind w:left="3857" w:leftChars="1310" w:hanging="1106" w:hangingChars="395"/>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政协片区委员活动经费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邻水县袁市镇人民政府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20" w:lineRule="exact"/>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保证片区政协委员会议顺利召开，促进工作效率提高，保障片区政协委员各项活动顺利进行。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保证了片区政协委员会议顺利召开，促进了工作效率提高，保障了片区政协委员各项活动顺利进行。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片区政协委员会议顺利召开，各项活动顺利开展，组织开展政协委员活动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100%，开展4次以上活动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100%，开展4次以上活动</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政协委员活动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发挥政协委员监督职能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充分发挥了政协委员监督职能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资金拨付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拨付及时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政协片区委员活动费用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代表行使职权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经费合理支出，提高工作人员的工作积极性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提高工作人员的工作积极性</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96%</w:t>
            </w:r>
          </w:p>
        </w:tc>
      </w:tr>
      <w:tr>
        <w:tblPrEx>
          <w:tblCellMar>
            <w:top w:w="0" w:type="dxa"/>
            <w:left w:w="0" w:type="dxa"/>
            <w:bottom w:w="0" w:type="dxa"/>
            <w:right w:w="0" w:type="dxa"/>
          </w:tblCellMar>
        </w:tblPrEx>
        <w:trPr>
          <w:trHeight w:val="22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bl>
    <w:p>
      <w:pPr>
        <w:spacing w:line="520" w:lineRule="exact"/>
        <w:rPr>
          <w:rFonts w:ascii="仿宋_GB2312" w:hAnsi="仿宋_GB2312" w:eastAsia="仿宋_GB2312" w:cs="仿宋_GB2312"/>
        </w:rPr>
      </w:pPr>
    </w:p>
    <w:tbl>
      <w:tblPr>
        <w:tblStyle w:val="12"/>
        <w:tblpPr w:leftFromText="180" w:rightFromText="180" w:vertAnchor="text" w:horzAnchor="page" w:tblpX="995" w:tblpY="265"/>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spacing w:line="520" w:lineRule="exact"/>
              <w:ind w:left="3857" w:leftChars="1310" w:hanging="1106" w:hangingChars="395"/>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党建工作经费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邻水县袁市镇人民政府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20" w:lineRule="exact"/>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CellMar>
            <w:top w:w="0" w:type="dxa"/>
            <w:left w:w="0" w:type="dxa"/>
            <w:bottom w:w="0" w:type="dxa"/>
            <w:right w:w="0" w:type="dxa"/>
          </w:tblCellMar>
        </w:tblPrEx>
        <w:trPr>
          <w:trHeight w:val="270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保障党建工作顺利进行，建立健全党的组织机构，定期过好组织生活，落实民主生活制度，做好党员发展工作。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保障了党建工作顺利进行，促进了建立健全党的组织机构、做好党员发展等工作，提高了党内组织生活，落实好了民主生活制度。</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在各基层党支部，高标准严要求开展“两学一做”学习教育，加强基层组织建设和党员队伍教育管理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镇14个村（居），各基层党支部，辖区内各党员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镇14个村（居），各基层党支部，辖区内各党员按要求完成了“两学一做”学习教育</w:t>
            </w:r>
          </w:p>
        </w:tc>
      </w:tr>
      <w:tr>
        <w:tblPrEx>
          <w:tblCellMar>
            <w:top w:w="0" w:type="dxa"/>
            <w:left w:w="0" w:type="dxa"/>
            <w:bottom w:w="0" w:type="dxa"/>
            <w:right w:w="0" w:type="dxa"/>
          </w:tblCellMar>
        </w:tblPrEx>
        <w:trPr>
          <w:trHeight w:val="17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严格按2019年度镇党委党建工作要点，目标计划开展工作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达到各级部门的要求，争创服务型政府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为进一步高质量高标准完成党建工作，还须更多深入基层，全面掌握基层党建工作情况。</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按各级党委工作要求、镇年度工作计划，认真跟进时序进度，完成任务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2019年1-12月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按计划按进度完成工作</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党建工作经费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积极开展老党员慰问，深入村组，积极开展文体活动等。让群众切实感受到党的政策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提升居民健康，提高生活水平，改善人口素质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居民的生活水平，人口素质有所提高</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维护生态与经济的平衡发展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引导党员、团员、群众、公共单位共同投入城乡清洁工程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大部分居民提高了环保意识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发挥党组织作用，积极引导村民创业、理财等，增加群众收入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增加群众收入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居民对创业、理财方面的认识有所提高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发挥共产党员先进示范作用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减少环境污染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需进一步加强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加强为民服务体系建设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95%</w:t>
            </w:r>
          </w:p>
        </w:tc>
      </w:tr>
    </w:tbl>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tbl>
      <w:tblPr>
        <w:tblStyle w:val="12"/>
        <w:tblpPr w:leftFromText="180" w:rightFromText="180" w:vertAnchor="text" w:horzAnchor="page" w:tblpX="995" w:tblpY="265"/>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spacing w:line="520" w:lineRule="exact"/>
              <w:ind w:left="4173" w:leftChars="1310" w:hanging="1422" w:hangingChars="395"/>
              <w:textAlignment w:val="center"/>
              <w:rPr>
                <w:rFonts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rPr>
              <w:t>项目支出绩效目标完成情况表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征兵经费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邻水县袁市镇人民政府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20" w:lineRule="exac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保质保量高标准严要求地完成夏季征兵任务，向部队输送身体健康、政治思想品佳优秀的青年入伍。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保质保量高标准严要求的完成了向部队输送身体健康、政治思想品佳优秀的青年入伍的征兵任务。</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召开征兵工作会议；开展征兵宣传活动；对报名对象进行初查初审，保证新兵拟定对象的质量；拟定新兵对象送县城复查复审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2次会议，宣传资料，横幅数条；初查初审过程中产生的费用；车辆及交通运输费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召开相关会议两次以上，发放宣传资料，挂横幅数条；及时保障了我镇夏季征兵工作顺利进行。</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保证征兵工作会议顺利召开，搞好宣传工作，组织初查初审，拟定新兵对象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保质保量高标准严要求的完成夏季征兵各项任务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严格把关，按要求完成了夏季征兵任务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严格按上级人武部门的时限要求，完成夏季征兵任务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及时拨付相关费用，确保我镇夏季征兵工作顺利完成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征兵工作经费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缓解社会就业压力，加强全民国防教育，增强军人家庭荣誉感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形成踊跃参军的良好社会氛围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我镇青少年对参军怀有饱满的热情</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发挥共产党员先进示范作用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减少环境污染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需进一步加强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CellMar>
            <w:top w:w="0" w:type="dxa"/>
            <w:left w:w="0" w:type="dxa"/>
            <w:bottom w:w="0" w:type="dxa"/>
            <w:right w:w="0" w:type="dxa"/>
          </w:tblCellMar>
        </w:tblPrEx>
        <w:trPr>
          <w:trHeight w:val="18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3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4"/>
              </w:rPr>
            </w:pPr>
          </w:p>
        </w:tc>
      </w:tr>
    </w:tbl>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tbl>
      <w:tblPr>
        <w:tblStyle w:val="12"/>
        <w:tblpPr w:leftFromText="180" w:rightFromText="180" w:vertAnchor="text" w:horzAnchor="page" w:tblpX="995" w:tblpY="265"/>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spacing w:line="520" w:lineRule="exact"/>
              <w:ind w:left="3857" w:leftChars="1310" w:hanging="1106" w:hangingChars="395"/>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老年人活动经费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邻水县袁市镇人民政府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20" w:lineRule="exact"/>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丰富老人的业余文化生活，满足老人精神文化需求，提升老人服务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丰富了老人的业余文化生活，满足了老人精神文化需求，提升了老人服务</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组织舞蹈团体比赛，开展老人业余文化活动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2次，数次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参加舞蹈团体比赛2次，开展了4次老年人业余文化活动</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丰富老人文体活动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提高老人的社会满意度，使老人开颜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老年协会积极引导，激起我镇大部分老年人参加老人文体活动的热情</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活动经费拨付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资金拨付及时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老年人活动经费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增强老人身体素质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丰富业余文化活动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老年人身体素质有所提高</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95%</w:t>
            </w:r>
          </w:p>
        </w:tc>
      </w:tr>
      <w:tr>
        <w:tblPrEx>
          <w:tblCellMar>
            <w:top w:w="0" w:type="dxa"/>
            <w:left w:w="0" w:type="dxa"/>
            <w:bottom w:w="0" w:type="dxa"/>
            <w:right w:w="0" w:type="dxa"/>
          </w:tblCellMar>
        </w:tblPrEx>
        <w:trPr>
          <w:trHeight w:val="7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0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9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bl>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tbl>
      <w:tblPr>
        <w:tblStyle w:val="12"/>
        <w:tblpPr w:leftFromText="180" w:rightFromText="180" w:vertAnchor="text" w:horzAnchor="page" w:tblpX="995" w:tblpY="265"/>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spacing w:line="520" w:lineRule="exact"/>
              <w:ind w:left="3857" w:leftChars="1310" w:hanging="1106" w:hangingChars="395"/>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服务群众专项经费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邻水县袁市镇人民政府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20" w:lineRule="exact"/>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保证基层党组织正常开展党建活动。为社区居民提供各类优质服务，对服务群众项目相关设施更新，社区道路修缮，使社区群众受益得实惠。同时使社区综合服务能力得以提升。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保证了基层党组织正常开展党建活动。为社区居民提供了各类优质服务，对服务群众项目相关设施更新，社区道路修缮，使社区群众受益得实惠。同时使社区综合服务能力得以提升。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社区个数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2个</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解决社区居民最关心、最直接、最现实的各类民生问题。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合理分配资金，切实解决居民最关心、最直接、最现实的问题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资金分配的合理性方面有待加强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资金拨付及时到位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资金拨付及时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服务群众专项经费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保障社区基础设施建设，环境卫生得到改善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加强社区基础设施建设，改善居民生活环境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完成了部分基础设施建设，加大了对环境卫生整治工作的投入</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充分发挥该项资金的作用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改善居民生活环境，减少环境污染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需进一步加强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95%</w:t>
            </w:r>
          </w:p>
        </w:tc>
      </w:tr>
    </w:tbl>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numPr>
          <w:ilvl w:val="0"/>
          <w:numId w:val="4"/>
        </w:num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部门开展绩效评价结果。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本部门按要求对2019年部门整体支出绩效评价情况开展自评，《邻水县袁市镇人民政府2019年部门整体支出绩效评价报告》见附件。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本部门自行组织对服务群众专项经费项目、服务群众专项经费项目开展了绩效评价，《服务群众专项经费项目2019年绩效评价报告》见附件。</w:t>
      </w:r>
    </w:p>
    <w:p>
      <w:pPr>
        <w:spacing w:line="520" w:lineRule="exact"/>
        <w:ind w:firstLine="800" w:firstLineChars="250"/>
        <w:outlineLvl w:val="1"/>
        <w:rPr>
          <w:rStyle w:val="18"/>
          <w:rFonts w:ascii="黑体" w:hAnsi="黑体" w:eastAsia="黑体"/>
        </w:rPr>
      </w:pPr>
      <w:bookmarkStart w:id="51" w:name="_Toc15377221"/>
      <w:bookmarkStart w:id="52" w:name="_Toc15396612"/>
      <w:r>
        <w:rPr>
          <w:rFonts w:hint="eastAsia" w:ascii="黑体" w:hAnsi="黑体" w:eastAsia="黑体" w:cs="黑体"/>
          <w:color w:val="000000"/>
          <w:sz w:val="32"/>
          <w:szCs w:val="32"/>
        </w:rPr>
        <w:t>十</w:t>
      </w:r>
      <w:r>
        <w:rPr>
          <w:rStyle w:val="18"/>
          <w:rFonts w:hint="eastAsia" w:ascii="黑体" w:hAnsi="黑体" w:eastAsia="黑体"/>
        </w:rPr>
        <w:t>一、</w:t>
      </w:r>
      <w:r>
        <w:rPr>
          <w:rStyle w:val="18"/>
          <w:rFonts w:hint="eastAsia" w:ascii="黑体" w:hAnsi="黑体" w:eastAsia="黑体"/>
          <w:b w:val="0"/>
        </w:rPr>
        <w:t>其他重要事项的情况说明</w:t>
      </w:r>
      <w:bookmarkEnd w:id="51"/>
      <w:bookmarkEnd w:id="52"/>
    </w:p>
    <w:p>
      <w:pPr>
        <w:spacing w:line="520" w:lineRule="exact"/>
        <w:ind w:firstLine="643" w:firstLineChars="200"/>
        <w:outlineLvl w:val="2"/>
        <w:rPr>
          <w:rFonts w:ascii="仿宋_GB2312" w:hAnsi="仿宋_GB2312" w:eastAsia="仿宋_GB2312" w:cs="仿宋_GB2312"/>
          <w:color w:val="000000"/>
          <w:sz w:val="32"/>
          <w:szCs w:val="32"/>
        </w:rPr>
      </w:pPr>
      <w:bookmarkStart w:id="53" w:name="_Toc15377222"/>
      <w:r>
        <w:rPr>
          <w:rFonts w:hint="eastAsia" w:ascii="仿宋_GB2312" w:hAnsi="仿宋_GB2312" w:eastAsia="仿宋_GB2312" w:cs="仿宋_GB2312"/>
          <w:b/>
          <w:color w:val="000000"/>
          <w:sz w:val="32"/>
          <w:szCs w:val="32"/>
        </w:rPr>
        <w:t>（一）机关运行经费支出情况</w:t>
      </w:r>
      <w:bookmarkEnd w:id="53"/>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2019年，袁市镇人民政府机关运行经费支出11.87万元，比2018年减少1.56万元，下降12%。主要原因是公务接待费用减少。</w:t>
      </w:r>
    </w:p>
    <w:p>
      <w:pPr>
        <w:autoSpaceDE w:val="0"/>
        <w:autoSpaceDN w:val="0"/>
        <w:adjustRightInd w:val="0"/>
        <w:spacing w:line="520" w:lineRule="exact"/>
        <w:ind w:firstLine="643" w:firstLineChars="200"/>
        <w:jc w:val="left"/>
        <w:outlineLvl w:val="2"/>
        <w:rPr>
          <w:rFonts w:ascii="仿宋_GB2312" w:hAnsi="仿宋_GB2312" w:eastAsia="仿宋_GB2312" w:cs="仿宋_GB2312"/>
          <w:b/>
          <w:color w:val="000000"/>
          <w:sz w:val="32"/>
          <w:szCs w:val="32"/>
        </w:rPr>
      </w:pPr>
      <w:bookmarkStart w:id="54" w:name="_Toc15377223"/>
      <w:r>
        <w:rPr>
          <w:rFonts w:hint="eastAsia" w:ascii="仿宋_GB2312" w:hAnsi="仿宋_GB2312" w:eastAsia="仿宋_GB2312" w:cs="仿宋_GB2312"/>
          <w:b/>
          <w:color w:val="000000"/>
          <w:sz w:val="32"/>
          <w:szCs w:val="32"/>
        </w:rPr>
        <w:t>（二）政府采购支出情况</w:t>
      </w:r>
      <w:bookmarkEnd w:id="54"/>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邻水县袁市镇人民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520" w:lineRule="exact"/>
        <w:ind w:firstLine="643" w:firstLineChars="200"/>
        <w:jc w:val="left"/>
        <w:outlineLvl w:val="2"/>
        <w:rPr>
          <w:rFonts w:ascii="仿宋_GB2312" w:hAnsi="仿宋_GB2312" w:eastAsia="仿宋_GB2312" w:cs="仿宋_GB2312"/>
          <w:b/>
          <w:color w:val="000000"/>
          <w:sz w:val="32"/>
          <w:szCs w:val="32"/>
        </w:rPr>
      </w:pPr>
      <w:bookmarkStart w:id="55" w:name="_Toc15377224"/>
      <w:r>
        <w:rPr>
          <w:rFonts w:hint="eastAsia" w:ascii="仿宋_GB2312" w:hAnsi="仿宋_GB2312" w:eastAsia="仿宋_GB2312" w:cs="仿宋_GB2312"/>
          <w:b/>
          <w:color w:val="000000"/>
          <w:sz w:val="32"/>
          <w:szCs w:val="32"/>
        </w:rPr>
        <w:t>（三）国有资产占有使用情况</w:t>
      </w:r>
      <w:bookmarkEnd w:id="55"/>
    </w:p>
    <w:p>
      <w:pPr>
        <w:autoSpaceDE w:val="0"/>
        <w:autoSpaceDN w:val="0"/>
        <w:adjustRightInd w:val="0"/>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2019年12月31日，邻水县袁市镇人民政府共有车辆0辆，其中：部级领导干部用车0辆、一般公务用车0辆、一般执法执勤用车0辆、特种专业技术用车0辆、其他用车0辆，其他用车主要是用于……单价50万元以上通用设备0台（套），单价100万元以上专用设备0台（套）。</w:t>
      </w:r>
    </w:p>
    <w:p>
      <w:pPr>
        <w:spacing w:line="520" w:lineRule="exact"/>
        <w:ind w:firstLine="643" w:firstLineChars="200"/>
        <w:rPr>
          <w:rFonts w:ascii="仿宋_GB2312" w:hAnsi="仿宋_GB2312" w:eastAsia="仿宋_GB2312" w:cs="仿宋_GB2312"/>
          <w:b/>
          <w:color w:val="000000"/>
          <w:sz w:val="32"/>
          <w:szCs w:val="32"/>
        </w:rPr>
      </w:pPr>
    </w:p>
    <w:p>
      <w:pPr>
        <w:widowControl/>
        <w:spacing w:line="520" w:lineRule="exact"/>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br w:type="page"/>
      </w:r>
    </w:p>
    <w:p>
      <w:pPr>
        <w:numPr>
          <w:ilvl w:val="0"/>
          <w:numId w:val="6"/>
        </w:numPr>
        <w:spacing w:line="520" w:lineRule="exact"/>
        <w:ind w:firstLine="663" w:firstLineChars="150"/>
        <w:jc w:val="center"/>
        <w:outlineLvl w:val="0"/>
        <w:rPr>
          <w:rStyle w:val="17"/>
          <w:rFonts w:ascii="黑体" w:hAnsi="黑体" w:eastAsia="黑体" w:cs="黑体"/>
          <w:b w:val="0"/>
        </w:rPr>
      </w:pPr>
      <w:bookmarkStart w:id="56" w:name="_Toc15396613"/>
      <w:bookmarkStart w:id="57" w:name="_Toc15377225"/>
      <w:r>
        <w:rPr>
          <w:rFonts w:hint="eastAsia" w:ascii="黑体" w:hAnsi="黑体" w:eastAsia="黑体" w:cs="黑体"/>
          <w:b/>
          <w:color w:val="000000"/>
          <w:sz w:val="44"/>
          <w:szCs w:val="44"/>
        </w:rPr>
        <w:t>名</w:t>
      </w:r>
      <w:r>
        <w:rPr>
          <w:rStyle w:val="17"/>
          <w:rFonts w:hint="eastAsia" w:ascii="黑体" w:hAnsi="黑体" w:eastAsia="黑体" w:cs="黑体"/>
          <w:b w:val="0"/>
        </w:rPr>
        <w:t>词解释</w:t>
      </w:r>
      <w:bookmarkEnd w:id="56"/>
      <w:bookmarkEnd w:id="57"/>
    </w:p>
    <w:p>
      <w:pPr>
        <w:spacing w:line="520" w:lineRule="exact"/>
        <w:jc w:val="left"/>
        <w:rPr>
          <w:rFonts w:ascii="仿宋_GB2312" w:hAnsi="仿宋_GB2312" w:eastAsia="仿宋_GB2312" w:cs="仿宋_GB2312"/>
          <w:b/>
          <w:color w:val="000000"/>
          <w:sz w:val="44"/>
          <w:szCs w:val="44"/>
        </w:rPr>
      </w:pP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9.一般公共服务支出（类）人大事务（款）行政运行（项）: 指行政单位的基本支出。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10.一般公共服务支出（类）人大事务（款）代表工作（项）:指人大代表开展各类视察等方面的支出。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 xml:space="preserve">11.一般公共服务支出（类）政协事务（款）委员视察（项）:指政协委员开展各类视察的支出。 </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12.一般公共服务支出（类）政府办公厅（室）及相关机构事务（款）行政运行（项）: 指行政单位的基本支出。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13.一般公共服务支出（类）政府办公厅（室）及相关机构事务（款）其他政府办公厅（室）及相关机构事务（项）: 指其他政府办公厅（室）及相关机构事务支出。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14.一般公共服务支出（类）纪检监察事务（款）其他纪检监察事务（项）:指其他纪检监察事务方面的支出。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15.一般公共服务支出（类）党委办公厅（室）及相关机构事务（款）行政运行（项）:指行政单位的基本支出。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16.一般公共服务支出（类）党委办公厅（室）及相关机构事务（款）其他党委办公厅（室）及相关机构事务（项）:指其他用于党委办公厅（室）及相关机构事务支出。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17.一般公共服务支出（类）财政事务（款）其他财政事务支出（项）:指其他财政事务方面的支出。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18.国防支出（类）国防动员（款）兵役征集（项）:指用于兵役征集等方面的支出。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19.文化体育与传媒支出（类）文化（款）群众文化（项）:指群众文化方面的支出，包括基础文化馆（站）、群众艺术馆支出等。</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20.文化体育与传媒支出（类）新闻出版广播影视（款）广播（项）:指广播电台、广播发射台、广播转播台及有线广播站的支出。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21.社会保障和就业支出（类）人力资源和社会保障管理事务（款）综合业务管理（项）:指人力资源和社会保障管理方面综合性管理事务支出。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22.社会保障和就业支出（类）民政管理事务（款）老龄事务（项）:指老龄事务方面的支出。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23.社会保障和就业支出（类）民政管理事务（款）基层政权和社区建设（项）:指开展村民自治、村务公开等基层政权和社区建设工作的支出。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24.社会保障和就业支出（类）行政事业单位离退休（款）机关事业单位基本养老保险缴费支出（项）:指机关事业单位实施养老保险制度由单位缴纳的基本养老保险费支出。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25.社会保障和就业支出（类）行政事业单位离退休（款）其他行政事业单位离退休支出（项）:指其他用于行政事业单位离退休方面的支出。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26.社会保障和就业支出（类）抚恤（款）其他优抚支出（项）:指其他用于优抚方面的支出。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27.社会保障和就业支出（类）特困人员救助供养（款）农村特困人员救助供养支出（项）:指农村特困人员救助供养支出。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28.社会保障和就业支出（类）其他社会保障和就业支出（款）其他社会保障和就业支出（项）:指其他用于社会保障和就业方面的支出。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29.医疗卫生与计划生育支出（类）行政事业单位医疗（款）行政单位医疗（项）:指财政部门集中安排的行政单位基本医疗保险缴费经费，未参加医疗保险的行政单位的公费医疗经费，按国家规定享受离休人员、红军老战士待遇人员的医疗经费。</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30.医疗卫生与计划生育支出（类）财政对基本医疗保险基金的补助（款）财政对其他基本医疗保险基金的补助（项）:指财政对其他基本医疗保险基金的补助支出。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31.医疗卫生与计划生育支出（类）计划生育事务（款）其他计划生育事务支出（项）:指其他用于计划生育管理事务方面的支出。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32.城乡社区支出（类）城乡社区环境卫生（款）城乡社区环境卫生（项）:指城乡社区道路清扫、垃圾清运与处理、公厕建设与维护、园林绿化等方面的支出。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33.农林水支出（类）农业（款）事业运行（项）:指用于农业事业单位基本支出，事业单位设施、系统运行与资产维护等方面的支出。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34.农林水支出（类）林业（款）林业事业机构（项）:指用于林业事业单位的基本支出。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35.农林水支出（类）水利（款）农田水利（项）:指国家对农田水利和打井、集雨设施、节水灌溉等水利设施的补助，小型水库除险补助以及排灌站、小水电站补助等。</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36.农林水支出（类）扶贫（款）农村基础设施建设（项）:指用于农村贫困地区乡村道路、住房、基本农田、水利设施、人畜饮水、生态环境保护等生产生活条件改善方面的支出。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37.农林水支出（类）农村综合改革（款）对村级一事一议的补助（项）:指农村税费改革后对村级公益事业建设一事一议的补助支出。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38.农林水支出（类）农村综合改革（款）对村民委员会和村党支部的补助（项）:指各级财政对村民委员会和村党支部的补助支出，以及支持建立县级基本财力保障机制</w:t>
      </w:r>
      <w:r>
        <w:rPr>
          <w:rStyle w:val="14"/>
          <w:rFonts w:hint="eastAsia" w:ascii="仿宋_GB2312" w:hAnsi="仿宋_GB2312" w:eastAsia="仿宋_GB2312" w:cs="仿宋_GB2312"/>
          <w:b w:val="0"/>
          <w:color w:val="000000"/>
          <w:sz w:val="32"/>
          <w:szCs w:val="32"/>
          <w:lang w:val="en-US" w:eastAsia="zh-CN"/>
        </w:rPr>
        <w:t>安</w:t>
      </w:r>
      <w:r>
        <w:rPr>
          <w:rStyle w:val="14"/>
          <w:rFonts w:hint="eastAsia" w:ascii="仿宋_GB2312" w:hAnsi="仿宋_GB2312" w:eastAsia="仿宋_GB2312" w:cs="仿宋_GB2312"/>
          <w:b w:val="0"/>
          <w:color w:val="000000"/>
          <w:sz w:val="32"/>
          <w:szCs w:val="32"/>
        </w:rPr>
        <w:t>排的村级组织运转奖补资金。</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39.住房保障支出（类）住房改革支出（款）住房公积金（项）:指行政事业单位按人力资源和社会保障部、财政部规定的基本工资和津贴补贴以及规定比例为职工缴纳的住房公积金。</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40.基本支出：指为保障机构正常运转、完成日常工作任务而发生的人员支出和公用支出。</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41.项目支出：指在基本支出之外为完成特定行政任务和事业发展目标所发生的支出。 </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42.经营支出：指事业单位在专业业务活动及其辅助活动之外开展非独立核算经营活动发生的支出。</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20" w:lineRule="exact"/>
        <w:ind w:firstLine="640" w:firstLineChars="200"/>
        <w:rPr>
          <w:rFonts w:ascii="仿宋_GB2312" w:hAnsi="仿宋_GB2312" w:eastAsia="仿宋_GB2312" w:cs="仿宋_GB2312"/>
          <w:sz w:val="32"/>
          <w:szCs w:val="32"/>
        </w:rPr>
      </w:pPr>
    </w:p>
    <w:p>
      <w:pPr>
        <w:spacing w:line="520" w:lineRule="exact"/>
        <w:jc w:val="center"/>
        <w:outlineLvl w:val="0"/>
        <w:rPr>
          <w:rStyle w:val="17"/>
          <w:rFonts w:ascii="仿宋_GB2312" w:hAnsi="仿宋_GB2312" w:eastAsia="仿宋_GB2312" w:cs="仿宋_GB2312"/>
          <w:b w:val="0"/>
        </w:rPr>
      </w:pPr>
      <w:bookmarkStart w:id="58" w:name="_Toc15377226"/>
      <w:r>
        <w:rPr>
          <w:rFonts w:hint="eastAsia" w:ascii="仿宋_GB2312" w:hAnsi="仿宋_GB2312" w:eastAsia="仿宋_GB2312" w:cs="仿宋_GB2312"/>
          <w:b/>
          <w:color w:val="000000"/>
          <w:sz w:val="44"/>
          <w:szCs w:val="44"/>
        </w:rPr>
        <w:br w:type="page"/>
      </w:r>
      <w:bookmarkStart w:id="59" w:name="_Toc15396614"/>
      <w:r>
        <w:rPr>
          <w:rFonts w:hint="eastAsia" w:ascii="黑体" w:hAnsi="黑体" w:eastAsia="黑体" w:cs="黑体"/>
          <w:color w:val="000000"/>
          <w:sz w:val="44"/>
          <w:szCs w:val="44"/>
        </w:rPr>
        <w:t>第</w:t>
      </w:r>
      <w:r>
        <w:rPr>
          <w:rStyle w:val="17"/>
          <w:rFonts w:hint="eastAsia" w:ascii="黑体" w:hAnsi="黑体" w:eastAsia="黑体" w:cs="黑体"/>
          <w:b w:val="0"/>
        </w:rPr>
        <w:t>四部分 附件</w:t>
      </w:r>
      <w:bookmarkEnd w:id="59"/>
    </w:p>
    <w:p>
      <w:pPr>
        <w:spacing w:line="520" w:lineRule="exact"/>
        <w:jc w:val="center"/>
        <w:outlineLvl w:val="0"/>
        <w:rPr>
          <w:rStyle w:val="17"/>
          <w:rFonts w:ascii="仿宋_GB2312" w:hAnsi="仿宋_GB2312" w:eastAsia="仿宋_GB2312" w:cs="仿宋_GB2312"/>
        </w:rPr>
      </w:pPr>
    </w:p>
    <w:p>
      <w:pPr>
        <w:pStyle w:val="3"/>
        <w:spacing w:before="0" w:after="0" w:line="520" w:lineRule="exact"/>
        <w:rPr>
          <w:rStyle w:val="17"/>
          <w:rFonts w:ascii="仿宋_GB2312" w:hAnsi="仿宋_GB2312" w:eastAsia="仿宋_GB2312" w:cs="仿宋_GB2312"/>
          <w:b w:val="0"/>
          <w:bCs w:val="0"/>
          <w:sz w:val="32"/>
          <w:szCs w:val="32"/>
        </w:rPr>
      </w:pPr>
      <w:bookmarkStart w:id="60" w:name="_Toc15396615"/>
      <w:r>
        <w:rPr>
          <w:rStyle w:val="17"/>
          <w:rFonts w:hint="eastAsia" w:ascii="仿宋_GB2312" w:hAnsi="仿宋_GB2312" w:eastAsia="仿宋_GB2312" w:cs="仿宋_GB2312"/>
          <w:b w:val="0"/>
          <w:bCs w:val="0"/>
          <w:sz w:val="32"/>
          <w:szCs w:val="32"/>
        </w:rPr>
        <w:t>附件1</w:t>
      </w:r>
      <w:bookmarkEnd w:id="60"/>
    </w:p>
    <w:p>
      <w:pPr>
        <w:spacing w:line="520" w:lineRule="exact"/>
        <w:jc w:val="center"/>
        <w:outlineLvl w:val="0"/>
        <w:rPr>
          <w:rFonts w:ascii="仿宋" w:hAnsi="仿宋" w:eastAsia="仿宋" w:cs="仿宋"/>
          <w:b/>
          <w:bCs/>
          <w:sz w:val="36"/>
          <w:szCs w:val="36"/>
        </w:rPr>
      </w:pPr>
      <w:bookmarkStart w:id="61" w:name="_Toc15396616"/>
      <w:r>
        <w:rPr>
          <w:rFonts w:hint="eastAsia" w:ascii="仿宋" w:hAnsi="仿宋" w:eastAsia="仿宋" w:cs="仿宋"/>
          <w:b/>
          <w:bCs/>
          <w:sz w:val="36"/>
          <w:szCs w:val="36"/>
        </w:rPr>
        <w:t>袁市镇人民政府2019年部门整体支出绩效评价报告</w:t>
      </w:r>
      <w:bookmarkEnd w:id="61"/>
    </w:p>
    <w:p>
      <w:pPr>
        <w:pStyle w:val="11"/>
        <w:shd w:val="clear" w:color="auto" w:fill="FFFFFF"/>
        <w:spacing w:before="0" w:beforeAutospacing="0" w:after="0" w:afterAutospacing="0" w:line="520" w:lineRule="exact"/>
        <w:jc w:val="both"/>
        <w:rPr>
          <w:rFonts w:ascii="仿宋_GB2312" w:hAnsi="仿宋_GB2312" w:eastAsia="仿宋_GB2312" w:cs="仿宋_GB2312"/>
          <w:sz w:val="32"/>
          <w:szCs w:val="32"/>
        </w:rPr>
      </w:pP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邻水县关于全面推进预算绩效管理的实施意见》结合我镇的具体情况，认真组织开展了2019年度部门预算绩效自评工作，现将我镇2019年度部门整体支出绩效评价情况报告如下：</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一、部门概况</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（一）机构组成</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我镇内设党政办公室、财政所、社会事业服务站、就业和社会保障服务中心、村建环卫服务中心等4个职能股室，县直属部门农技站、农机站、林业站、广播站等4个职能股室。</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（二）机构职能</w:t>
      </w:r>
    </w:p>
    <w:p>
      <w:pPr>
        <w:spacing w:line="520" w:lineRule="exact"/>
        <w:ind w:firstLine="547" w:firstLineChars="171"/>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z w:val="32"/>
          <w:szCs w:val="32"/>
        </w:rPr>
        <w:t>我镇属于行政事业单位，承担政府日常社会事务的各项政治、经济、文化、社会保障等工作。</w:t>
      </w:r>
      <w:r>
        <w:rPr>
          <w:rFonts w:hint="eastAsia" w:ascii="仿宋_GB2312" w:hAnsi="仿宋_GB2312" w:eastAsia="仿宋_GB2312" w:cs="仿宋_GB2312"/>
          <w:spacing w:val="8"/>
          <w:kern w:val="0"/>
          <w:sz w:val="32"/>
          <w:szCs w:val="32"/>
        </w:rPr>
        <w:t>贯彻执行国家财税方面政策，承担各项财政收支管理责任，负责编制年度预决算草案并组织执行，以及监督财政性经济发展支出等财政管理相关工作的组成部门。坚持依法科学理财，抓好增收节支，全面完成镇人代会通过的财政收支预算目标，促进经济发展，不断保障和改善民生。</w:t>
      </w:r>
    </w:p>
    <w:p>
      <w:pPr>
        <w:spacing w:line="520" w:lineRule="exact"/>
        <w:ind w:firstLine="574" w:firstLineChars="171"/>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（三）人员概况</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我镇行政编制27人，事业编制 30人，2019年底实有行政人员 26人，事业人员 29人，单位返聘分流人员9人。</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（一）部门财政资金收入情况</w:t>
      </w:r>
    </w:p>
    <w:p>
      <w:pPr>
        <w:spacing w:line="520" w:lineRule="exact"/>
        <w:ind w:firstLine="547" w:firstLineChars="171"/>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2019年我镇收入决算总额为1411.46万元，其中：当年财政拨款收入1411.46万元，事业收入0万元，上年结转收入0万元。收入决算总额较2018年增加290.03万元，增加26%，主要原因是用于革命老区建设。</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（二）部门财政资金支出情况</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2019年我镇支出决算总额为1411.46万元，其中：</w:t>
      </w:r>
      <w:r>
        <w:rPr>
          <w:rFonts w:hint="eastAsia" w:ascii="仿宋_GB2312" w:hAnsi="仿宋_GB2312" w:eastAsia="仿宋_GB2312" w:cs="仿宋_GB2312"/>
          <w:b/>
          <w:sz w:val="32"/>
          <w:szCs w:val="32"/>
        </w:rPr>
        <w:t>按功能分类</w:t>
      </w:r>
      <w:r>
        <w:rPr>
          <w:rFonts w:hint="eastAsia" w:ascii="仿宋_GB2312" w:hAnsi="仿宋_GB2312" w:eastAsia="仿宋_GB2312" w:cs="仿宋_GB2312"/>
          <w:sz w:val="32"/>
          <w:szCs w:val="32"/>
        </w:rPr>
        <w:t>，分别为</w:t>
      </w:r>
      <w:r>
        <w:rPr>
          <w:rFonts w:hint="eastAsia" w:ascii="仿宋_GB2312" w:hAnsi="仿宋_GB2312" w:eastAsia="仿宋_GB2312" w:cs="仿宋_GB2312"/>
          <w:kern w:val="0"/>
          <w:sz w:val="32"/>
          <w:szCs w:val="32"/>
        </w:rPr>
        <w:t>一般公共服务支出380.21万元，国防支出1万元，文化体育与传媒支出60.29万元，社会保障和就业228.48万元，医疗卫生28.07万元，城镇社区支出99.29万元，农林水支出574.7万元，住房保障等支出39.42万元，年末结转和结余0万元。</w:t>
      </w:r>
      <w:r>
        <w:rPr>
          <w:rFonts w:hint="eastAsia" w:ascii="仿宋_GB2312" w:hAnsi="仿宋_GB2312" w:eastAsia="仿宋_GB2312" w:cs="仿宋_GB2312"/>
          <w:b/>
          <w:sz w:val="32"/>
          <w:szCs w:val="32"/>
        </w:rPr>
        <w:t>支出按经济分</w:t>
      </w:r>
      <w:r>
        <w:rPr>
          <w:rFonts w:hint="eastAsia" w:ascii="仿宋_GB2312" w:hAnsi="仿宋_GB2312" w:eastAsia="仿宋_GB2312" w:cs="仿宋_GB2312"/>
          <w:sz w:val="32"/>
          <w:szCs w:val="32"/>
        </w:rPr>
        <w:t>类为：工资福利支出551.15万元，与上年相比，工资福利支出增加79.53万元，主要原因是人员增加及工资调资；商品和服务支出235.57万元，比上年增加72.74万元，主要原因在于决算相关科目改变，预算科目调整；对个人和家庭补助支出307.72万元，比上年减少63.58万元，主要在于相关科目的调整变化，金额发生变化；其他资本性支出317.56万元，比去年增加221.38万元，革命老区项目建设增加，相关费用增加。</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2019年，我单位基本支出912.23万元，主要用于基本工资、津贴补贴等人员经费以及办公费、印刷费、水电费、办公设备购置等日常公用经费。</w:t>
      </w:r>
    </w:p>
    <w:p>
      <w:pPr>
        <w:spacing w:line="520" w:lineRule="exact"/>
        <w:ind w:firstLine="547" w:firstLineChars="17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2019年项目支出499.23万元，主要是用于一般公共服务86.84万元，国防征兵1万元，社会保障和就业20.3万元，城乡社区管理事务82.6万元，农林水等如农村道路建设、运维资金等303.5万元。</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三、部门整体预算绩效管理情况</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2019年，在县委、县政府和上级有关部门的正确领导下，我镇紧紧围绕年度目标任务，勇于创新、扎实工作，全面完成了各项工作任务，取得了良好的工作业绩。</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（一）部门预算管理</w:t>
      </w:r>
    </w:p>
    <w:p>
      <w:pPr>
        <w:pStyle w:val="11"/>
        <w:shd w:val="clear" w:color="auto" w:fill="FFFFFF"/>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预决算公开：2019年，按照上级的要求，我镇在本镇的网站上进行了预决算公开。</w:t>
      </w:r>
    </w:p>
    <w:p>
      <w:pPr>
        <w:spacing w:line="520" w:lineRule="exact"/>
        <w:ind w:firstLine="537" w:firstLineChars="168"/>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控制情况：贯彻落实上级有关精神，严格控制</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支出，取得了良好效果。2019年，我单位三公经费支出11.86万元，比上年减少1.6万元。比上年减少11.64%。其中：无公务用车运行及维护费；公务接待费11.86万元，主要是用于日常工作中接待事宜，比上年减少1.6万元，比上年减少11.64%；无因公出国（境）费。同时，按照上级的要求，在本镇的网站上对“三公”经费情况进行了公示。</w:t>
      </w:r>
    </w:p>
    <w:p>
      <w:pPr>
        <w:pStyle w:val="11"/>
        <w:shd w:val="clear" w:color="auto" w:fill="FFFFFF"/>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②基本支出：确保政府正常工作运转。</w:t>
      </w:r>
      <w:r>
        <w:rPr>
          <w:rFonts w:hint="eastAsia" w:ascii="仿宋_GB2312" w:hAnsi="仿宋_GB2312" w:eastAsia="仿宋_GB2312" w:cs="仿宋_GB2312"/>
          <w:sz w:val="32"/>
          <w:szCs w:val="32"/>
        </w:rPr>
        <w:t>在资金使用上一直按照国家财经法规和本单位财务管理制度规定以及有关专项资金管理办法的规定收支，资金拨付有完整的审批程序和手续，按照财经制度的有关要求，有计划地安排、使用资金，严格财务审批制度。重大开支党组会集体研究，保证资金使用合法合规，同时资金使用无截留、挤占、挪用、虚列支出等情况。</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（二）结果应用情况</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我镇积极履职，强化管理，较好的完成了年度工作目标。通过加强预算收支管理，不断建立健全内部管理制度，梳理内部管理流程，整体支出管理水平得到提升。从整体情况来看，我镇严格按照年初预算进行部门整体支出。在支出过程中，能严格遵守各项规章制度，</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从严管理，认真执行联审会签审核制度。所有项目都详细制定了方案，严格按方案组织实施，并加强了监督。尤其是在专项经费支出上，我们能专款专用，按项目实施计划的进度情况进行资金拨付，无截留、无挪用等现象。实行了先有预算、后有执行、“用钱必问效、无效必问责”的新常态。</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四、评价结论及建议</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根据对我镇2019年部门整体支出绩效评价指标体系和绩效情况的检查，通过自评，2019年我镇部门整体绩效自评分92分。</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（二）存在问题。</w:t>
      </w:r>
    </w:p>
    <w:p>
      <w:pPr>
        <w:pStyle w:val="11"/>
        <w:shd w:val="clear" w:color="auto" w:fill="FFFFFF"/>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1.强化机关经费预算管理的刚性约束，项目支出按预算和工作进度执行，进一步规范各项支出预算控制率有待降低。</w:t>
      </w:r>
    </w:p>
    <w:p>
      <w:pPr>
        <w:pStyle w:val="11"/>
        <w:shd w:val="clear" w:color="auto" w:fill="FFFFFF"/>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专项资金少，民生、资金压力大。针对我镇农村经济基础薄弱、资金压力大的现状，重点产业项目尚需进一步的加强。</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（三）改进建议</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1、细化预算编制工作，认真做好预算的编制。进一步加强内设机构的预算管理意识，严格按照预算编制的相关制度和要求进行预算编制。</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4、加强对财务人员培训，特别是针对《预算法》、《行政事业单位会计制度》等学习培训，规范部门预算收支核算，切实提高部门预算收支管理水平。</w:t>
      </w:r>
    </w:p>
    <w:p>
      <w:pPr>
        <w:pStyle w:val="11"/>
        <w:shd w:val="clear" w:color="auto" w:fill="FFFFFF"/>
        <w:spacing w:before="0" w:beforeAutospacing="0" w:after="0" w:afterAutospacing="0" w:line="520" w:lineRule="exact"/>
        <w:jc w:val="both"/>
        <w:rPr>
          <w:rFonts w:ascii="仿宋_GB2312" w:hAnsi="仿宋_GB2312" w:eastAsia="仿宋_GB2312" w:cs="仿宋_GB2312"/>
          <w:sz w:val="32"/>
          <w:szCs w:val="32"/>
        </w:rPr>
      </w:pPr>
    </w:p>
    <w:p>
      <w:pPr>
        <w:pStyle w:val="11"/>
        <w:shd w:val="clear" w:color="auto" w:fill="FFFFFF"/>
        <w:spacing w:before="0" w:beforeAutospacing="0" w:after="0" w:afterAutospacing="0" w:line="520" w:lineRule="exact"/>
        <w:jc w:val="both"/>
        <w:rPr>
          <w:rFonts w:ascii="仿宋_GB2312" w:hAnsi="仿宋_GB2312" w:eastAsia="仿宋_GB2312" w:cs="仿宋_GB2312"/>
          <w:sz w:val="32"/>
          <w:szCs w:val="32"/>
        </w:rPr>
      </w:pP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p>
    <w:p>
      <w:pPr>
        <w:pStyle w:val="11"/>
        <w:shd w:val="clear" w:color="auto" w:fill="FFFFFF"/>
        <w:spacing w:before="0" w:beforeAutospacing="0" w:after="0" w:afterAutospacing="0" w:line="520" w:lineRule="exact"/>
        <w:ind w:firstLine="480"/>
        <w:jc w:val="both"/>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widowControl/>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spacing w:before="0" w:after="0" w:line="520" w:lineRule="exact"/>
        <w:rPr>
          <w:rStyle w:val="17"/>
          <w:rFonts w:ascii="仿宋_GB2312" w:hAnsi="仿宋_GB2312" w:eastAsia="仿宋_GB2312" w:cs="仿宋_GB2312"/>
          <w:b w:val="0"/>
          <w:bCs w:val="0"/>
          <w:sz w:val="32"/>
          <w:szCs w:val="32"/>
        </w:rPr>
      </w:pPr>
      <w:bookmarkStart w:id="62" w:name="_Toc15396617"/>
      <w:r>
        <w:rPr>
          <w:rStyle w:val="17"/>
          <w:rFonts w:hint="eastAsia" w:ascii="仿宋_GB2312" w:hAnsi="仿宋_GB2312" w:eastAsia="仿宋_GB2312" w:cs="仿宋_GB2312"/>
          <w:b w:val="0"/>
          <w:bCs w:val="0"/>
          <w:sz w:val="32"/>
          <w:szCs w:val="32"/>
        </w:rPr>
        <w:t>附件2</w:t>
      </w:r>
      <w:bookmarkEnd w:id="62"/>
    </w:p>
    <w:p/>
    <w:p>
      <w:pPr>
        <w:spacing w:line="52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2019年服务群众专项经费项目支出绩效评价报告</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jc w:val="left"/>
        <w:rPr>
          <w:rFonts w:ascii="仿宋_GB2312" w:hAnsi="仿宋_GB2312" w:eastAsia="仿宋_GB2312" w:cs="仿宋_GB2312"/>
          <w:sz w:val="32"/>
          <w:szCs w:val="32"/>
        </w:rPr>
      </w:pPr>
      <w:bookmarkStart w:id="63" w:name="_Toc15396618"/>
      <w:r>
        <w:rPr>
          <w:rFonts w:hint="eastAsia" w:ascii="仿宋_GB2312" w:hAnsi="仿宋_GB2312" w:eastAsia="仿宋_GB2312" w:cs="仿宋_GB2312"/>
          <w:sz w:val="32"/>
          <w:szCs w:val="32"/>
        </w:rPr>
        <w:t>根据上级财政局要求，我镇组织人员对2019年20万的预算项目开展绩效自评工作，经自查，我镇项目需绩效自评的为社区服务群众专项经费，现将自评情况报告如下：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社区服务群众专项经费主要用于各村道路、路灯、水利等公益性项目建设。每年年初该项经费下达后，我镇及时将该项经费拨付给2个社区委员会，用于基建设施建设，其中团结社区、光明社区分别为10万元。我镇在拨付该项经费到社区委员会后，经社区委员会讨论决定用于建设急需解决的基建设施，经报镇党委审批符合使用范围后，由社区委员会担任业主实施项目建设，我镇负责监督，不参与和插手社区委员会该项经费的拨付，由社区委员会按照进度拨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二、绩效目标实现程度</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社区服务群众专项经费绩效总体目标为解决2个社区基建设施建设不足问题，绩效目标受益人口为5000人左右，该经费绩效总体目标均已实现。该项经费的拨付解决了2个社区基建设施建设不足的问题，推进了社会主义新农村的建设，为我镇建设美丽乡村奠定了基础。</w:t>
      </w:r>
    </w:p>
    <w:p>
      <w:pPr>
        <w:numPr>
          <w:ilvl w:val="0"/>
          <w:numId w:val="7"/>
        </w:numPr>
        <w:spacing w:line="52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资金管理使用的基本情况及主要做法</w:t>
      </w:r>
      <w:r>
        <w:rPr>
          <w:rFonts w:hint="eastAsia" w:ascii="仿宋_GB2312" w:hAnsi="仿宋_GB2312" w:eastAsia="仿宋_GB2312" w:cs="仿宋_GB2312"/>
          <w:color w:val="000000"/>
          <w:kern w:val="0"/>
          <w:sz w:val="32"/>
          <w:szCs w:val="32"/>
        </w:rPr>
        <w:t> </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 资金到位情况。我镇在预算安排资金绩效申报服务群众专项经费总金额为20万，经市财政局审核后该经费为20万，该资金已全部下拨到我镇。</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 xml:space="preserve">（二） 资金使用情况。经我镇财政所统计后，该项经费共拨付20万元到2个社区，已全部拨付到位，2个社区的基建设施建设已全部建成完工。 </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三）明确工作职责，加强组织领导。我镇把严肃财经纪律、加强发展项目资金监管列入党委政府重要工作议程，主要领导高度重视，采取联席会议形式听取情况汇报，研究解决相关问题。同时加大对发展项目资金的管理力度，规范支付程序，保证发展项目资金专款专用。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（四）规范支付程序，完善管理制度。一是采用报账制日常管理方式，建立专户，专账管理，封闭运行。二是加强对发展项目资金管理使用的监督检查。凡涉及专项资金的部门和单位，均属监督检查对象。</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（五）严肃政策纪律，查处违纪行为。镇纪委、财政所等部门加强对发展项目资金使用情况的经常性检查督办，坚决查处挤占挪用财政边境资金的违法违纪行为。 </w:t>
      </w:r>
    </w:p>
    <w:p>
      <w:pPr>
        <w:numPr>
          <w:ilvl w:val="0"/>
          <w:numId w:val="7"/>
        </w:numPr>
        <w:spacing w:line="52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项目绩效情况</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（一）项目绩效目标完成情况分析</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 项目的经济性分析</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（1）项目成本（预算）控制情况</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我镇服务群众专项经费为20万，在实现绩效目标过程中未超出上级拨付的专项建设资金。</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项目的效率性分析</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（1）项目完成质量</w:t>
      </w:r>
    </w:p>
    <w:p>
      <w:pPr>
        <w:spacing w:line="52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在施工队进社区施工后，我镇以驻村领导和社区“两委”干部为工程验收小组成员，不定期对该项工程进行检查跟踪，并征求居民意见及时反馈给施工队要求对其整改，经我镇验收小组验收后该项目质量合格。</w:t>
      </w:r>
    </w:p>
    <w:p>
      <w:pPr>
        <w:numPr>
          <w:ilvl w:val="0"/>
          <w:numId w:val="8"/>
        </w:num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项目的效益性分析</w:t>
      </w:r>
    </w:p>
    <w:p>
      <w:pPr>
        <w:numPr>
          <w:ilvl w:val="0"/>
          <w:numId w:val="9"/>
        </w:numPr>
        <w:spacing w:line="520" w:lineRule="exact"/>
        <w:ind w:left="420" w:left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项目实施对经济和社会的影响</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该项资金的拨付改善了2个社区的基础性设施，解决了社区出行难、饮水难、路灯少等多方面的问题，推进了社会主义新农村的建设，为我镇建设美丽乡村奠定了基础，也大大提高了群众对政府的满意度。</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五、存在问题和建议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通过服务群众专项经费自查情况看，我们也发现存在一些问题。发展项目专项资金的使用和管理涉及面广且繁杂。拨付渠道多，参与管理部门多，在管理上又未能形成一整套比较科学、完善的规范。资金的投入、分配、使用、管理、监督等各个环节都存在着一些问题，使资金不能充分发挥应有的作用，影响了使用效益。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 xml:space="preserve">  六、下一步加强管理</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结合存在的问题，我们认为，要从以下二个方面入手，进一步强化发展项目专项资金的管理使用。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1、加强镇财政体制建设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根据当前镇财政的特点，转变职能，科学定位镇财政职能，由原来的抓收入转变为加强对支出的监管和跟踪，完善乡镇财政体制。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2、加强乡镇资金分配的合理性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通过镇政府对各社区急需的项目建设进行合理定位，明确各社区急需项目的重要性，达到资金能合理利用，妥善解决各社区的民生项目。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spacing w:line="520" w:lineRule="exact"/>
        <w:jc w:val="center"/>
        <w:outlineLvl w:val="0"/>
        <w:rPr>
          <w:rStyle w:val="17"/>
          <w:rFonts w:ascii="仿宋_GB2312" w:hAnsi="仿宋_GB2312" w:eastAsia="仿宋_GB2312" w:cs="仿宋_GB2312"/>
          <w:b w:val="0"/>
        </w:rPr>
      </w:pPr>
      <w:r>
        <w:rPr>
          <w:rFonts w:hint="eastAsia" w:ascii="仿宋_GB2312" w:hAnsi="仿宋_GB2312" w:eastAsia="仿宋_GB2312" w:cs="仿宋_GB2312"/>
          <w:color w:val="000000"/>
          <w:sz w:val="44"/>
          <w:szCs w:val="44"/>
        </w:rPr>
        <w:t>第</w:t>
      </w:r>
      <w:r>
        <w:rPr>
          <w:rStyle w:val="17"/>
          <w:rFonts w:hint="eastAsia" w:ascii="仿宋_GB2312" w:hAnsi="仿宋_GB2312" w:eastAsia="仿宋_GB2312" w:cs="仿宋_GB2312"/>
          <w:b w:val="0"/>
        </w:rPr>
        <w:t>五部分 附表</w:t>
      </w:r>
      <w:bookmarkEnd w:id="58"/>
      <w:bookmarkEnd w:id="63"/>
    </w:p>
    <w:p>
      <w:pPr>
        <w:spacing w:line="520" w:lineRule="exact"/>
        <w:jc w:val="center"/>
        <w:outlineLvl w:val="0"/>
        <w:rPr>
          <w:rFonts w:ascii="仿宋_GB2312" w:hAnsi="仿宋_GB2312" w:eastAsia="仿宋_GB2312" w:cs="仿宋_GB2312"/>
          <w:b/>
          <w:color w:val="000000"/>
          <w:sz w:val="44"/>
          <w:szCs w:val="44"/>
        </w:rPr>
      </w:pPr>
    </w:p>
    <w:p>
      <w:pPr>
        <w:pStyle w:val="3"/>
        <w:spacing w:before="0" w:after="0" w:line="520" w:lineRule="exact"/>
        <w:rPr>
          <w:rFonts w:ascii="仿宋_GB2312" w:hAnsi="仿宋_GB2312" w:eastAsia="仿宋_GB2312" w:cs="仿宋_GB2312"/>
          <w:color w:val="000000"/>
        </w:rPr>
      </w:pPr>
      <w:bookmarkStart w:id="64" w:name="_Toc15396619"/>
      <w:r>
        <w:rPr>
          <w:rFonts w:hint="eastAsia" w:ascii="仿宋_GB2312" w:hAnsi="仿宋_GB2312" w:eastAsia="仿宋_GB2312" w:cs="仿宋_GB2312"/>
          <w:b w:val="0"/>
          <w:color w:val="000000"/>
        </w:rPr>
        <w:t>一、收</w:t>
      </w:r>
      <w:r>
        <w:rPr>
          <w:rStyle w:val="18"/>
          <w:rFonts w:hint="eastAsia" w:ascii="仿宋_GB2312" w:hAnsi="仿宋_GB2312" w:eastAsia="仿宋_GB2312" w:cs="仿宋_GB2312"/>
          <w:b w:val="0"/>
          <w:bCs w:val="0"/>
        </w:rPr>
        <w:t>入支出决算总表</w:t>
      </w:r>
      <w:bookmarkEnd w:id="64"/>
    </w:p>
    <w:p>
      <w:pPr>
        <w:pStyle w:val="3"/>
        <w:spacing w:before="0" w:after="0" w:line="520" w:lineRule="exact"/>
        <w:rPr>
          <w:rFonts w:ascii="仿宋_GB2312" w:hAnsi="仿宋_GB2312" w:eastAsia="仿宋_GB2312" w:cs="仿宋_GB2312"/>
          <w:color w:val="000000"/>
        </w:rPr>
      </w:pPr>
      <w:bookmarkStart w:id="65" w:name="_Toc15396620"/>
      <w:r>
        <w:rPr>
          <w:rFonts w:hint="eastAsia" w:ascii="仿宋_GB2312" w:hAnsi="仿宋_GB2312" w:eastAsia="仿宋_GB2312" w:cs="仿宋_GB2312"/>
          <w:b w:val="0"/>
          <w:color w:val="000000"/>
        </w:rPr>
        <w:t>二、收</w:t>
      </w:r>
      <w:r>
        <w:rPr>
          <w:rStyle w:val="18"/>
          <w:rFonts w:hint="eastAsia" w:ascii="仿宋_GB2312" w:hAnsi="仿宋_GB2312" w:eastAsia="仿宋_GB2312" w:cs="仿宋_GB2312"/>
          <w:b w:val="0"/>
          <w:bCs w:val="0"/>
        </w:rPr>
        <w:t>入总表</w:t>
      </w:r>
      <w:bookmarkEnd w:id="65"/>
    </w:p>
    <w:p>
      <w:pPr>
        <w:pStyle w:val="3"/>
        <w:spacing w:before="0" w:after="0" w:line="520" w:lineRule="exact"/>
        <w:rPr>
          <w:rFonts w:ascii="仿宋_GB2312" w:hAnsi="仿宋_GB2312" w:eastAsia="仿宋_GB2312" w:cs="仿宋_GB2312"/>
          <w:color w:val="000000"/>
        </w:rPr>
      </w:pPr>
      <w:bookmarkStart w:id="66" w:name="_Toc15396621"/>
      <w:r>
        <w:rPr>
          <w:rStyle w:val="18"/>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18"/>
          <w:rFonts w:hint="eastAsia" w:ascii="仿宋_GB2312" w:hAnsi="仿宋_GB2312" w:eastAsia="仿宋_GB2312" w:cs="仿宋_GB2312"/>
          <w:b w:val="0"/>
          <w:bCs w:val="0"/>
        </w:rPr>
        <w:t>出总表</w:t>
      </w:r>
      <w:bookmarkEnd w:id="66"/>
    </w:p>
    <w:p>
      <w:pPr>
        <w:pStyle w:val="3"/>
        <w:spacing w:before="0" w:after="0" w:line="520" w:lineRule="exact"/>
        <w:rPr>
          <w:rFonts w:ascii="仿宋_GB2312" w:hAnsi="仿宋_GB2312" w:eastAsia="仿宋_GB2312" w:cs="仿宋_GB2312"/>
          <w:b w:val="0"/>
          <w:color w:val="000000"/>
        </w:rPr>
      </w:pPr>
      <w:bookmarkStart w:id="67" w:name="_Toc15396622"/>
      <w:r>
        <w:rPr>
          <w:rStyle w:val="18"/>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18"/>
          <w:rFonts w:hint="eastAsia" w:ascii="仿宋_GB2312" w:hAnsi="仿宋_GB2312" w:eastAsia="仿宋_GB2312" w:cs="仿宋_GB2312"/>
          <w:b w:val="0"/>
          <w:bCs w:val="0"/>
        </w:rPr>
        <w:t>政拨款收入支出决算总表</w:t>
      </w:r>
      <w:bookmarkEnd w:id="67"/>
    </w:p>
    <w:p>
      <w:pPr>
        <w:pStyle w:val="3"/>
        <w:spacing w:before="0" w:after="0" w:line="520" w:lineRule="exact"/>
        <w:rPr>
          <w:rFonts w:ascii="仿宋_GB2312" w:hAnsi="仿宋_GB2312" w:eastAsia="仿宋_GB2312" w:cs="仿宋_GB2312"/>
          <w:color w:val="000000"/>
        </w:rPr>
      </w:pPr>
      <w:bookmarkStart w:id="68" w:name="_Toc15396623"/>
      <w:r>
        <w:rPr>
          <w:rStyle w:val="18"/>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18"/>
          <w:rFonts w:hint="eastAsia" w:ascii="仿宋_GB2312" w:hAnsi="仿宋_GB2312" w:eastAsia="仿宋_GB2312" w:cs="仿宋_GB2312"/>
          <w:b w:val="0"/>
          <w:bCs w:val="0"/>
        </w:rPr>
        <w:t>政拨款支出决算明细表（政府经济分类科目）</w:t>
      </w:r>
      <w:bookmarkEnd w:id="68"/>
    </w:p>
    <w:p>
      <w:pPr>
        <w:pStyle w:val="3"/>
        <w:spacing w:before="0" w:after="0" w:line="520" w:lineRule="exact"/>
        <w:rPr>
          <w:rFonts w:ascii="仿宋_GB2312" w:hAnsi="仿宋_GB2312" w:eastAsia="仿宋_GB2312" w:cs="仿宋_GB2312"/>
          <w:color w:val="000000"/>
        </w:rPr>
      </w:pPr>
      <w:bookmarkStart w:id="69" w:name="_Toc15396624"/>
      <w:r>
        <w:rPr>
          <w:rStyle w:val="18"/>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般公共预算财政拨款支出决算表</w:t>
      </w:r>
      <w:bookmarkEnd w:id="69"/>
    </w:p>
    <w:p>
      <w:pPr>
        <w:pStyle w:val="3"/>
        <w:spacing w:before="0" w:after="0" w:line="520" w:lineRule="exact"/>
        <w:rPr>
          <w:rFonts w:ascii="仿宋_GB2312" w:hAnsi="仿宋_GB2312" w:eastAsia="仿宋_GB2312" w:cs="仿宋_GB2312"/>
          <w:color w:val="000000"/>
        </w:rPr>
      </w:pPr>
      <w:bookmarkStart w:id="70" w:name="_Toc15396625"/>
      <w:r>
        <w:rPr>
          <w:rStyle w:val="18"/>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般公共预算财政拨款支出决算明细表</w:t>
      </w:r>
      <w:bookmarkEnd w:id="70"/>
    </w:p>
    <w:p>
      <w:pPr>
        <w:pStyle w:val="3"/>
        <w:spacing w:before="0" w:after="0" w:line="520" w:lineRule="exact"/>
        <w:rPr>
          <w:rFonts w:ascii="仿宋_GB2312" w:hAnsi="仿宋_GB2312" w:eastAsia="仿宋_GB2312" w:cs="仿宋_GB2312"/>
          <w:color w:val="000000"/>
        </w:rPr>
      </w:pPr>
      <w:bookmarkStart w:id="71" w:name="_Toc15396626"/>
      <w:r>
        <w:rPr>
          <w:rStyle w:val="18"/>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般公共预算财政拨款基本支出决算表</w:t>
      </w:r>
      <w:bookmarkEnd w:id="71"/>
    </w:p>
    <w:p>
      <w:pPr>
        <w:pStyle w:val="3"/>
        <w:spacing w:before="0" w:after="0" w:line="520" w:lineRule="exact"/>
        <w:rPr>
          <w:rFonts w:ascii="仿宋_GB2312" w:hAnsi="仿宋_GB2312" w:eastAsia="仿宋_GB2312" w:cs="仿宋_GB2312"/>
          <w:color w:val="000000"/>
        </w:rPr>
      </w:pPr>
      <w:bookmarkStart w:id="72" w:name="_Toc15396627"/>
      <w:r>
        <w:rPr>
          <w:rStyle w:val="18"/>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般公共预算财政拨款项目支出决算表</w:t>
      </w:r>
      <w:bookmarkEnd w:id="72"/>
    </w:p>
    <w:p>
      <w:pPr>
        <w:pStyle w:val="3"/>
        <w:spacing w:before="0" w:after="0" w:line="520" w:lineRule="exact"/>
        <w:rPr>
          <w:rFonts w:ascii="仿宋_GB2312" w:hAnsi="仿宋_GB2312" w:eastAsia="仿宋_GB2312" w:cs="仿宋_GB2312"/>
          <w:color w:val="000000"/>
        </w:rPr>
      </w:pPr>
      <w:bookmarkStart w:id="73" w:name="_Toc15396628"/>
      <w:r>
        <w:rPr>
          <w:rStyle w:val="18"/>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般公共预算财政拨款“三公”经费支出决算表</w:t>
      </w:r>
      <w:bookmarkEnd w:id="73"/>
    </w:p>
    <w:p>
      <w:pPr>
        <w:pStyle w:val="3"/>
        <w:spacing w:before="0" w:after="0" w:line="520" w:lineRule="exact"/>
        <w:rPr>
          <w:rFonts w:ascii="仿宋_GB2312" w:hAnsi="仿宋_GB2312" w:eastAsia="仿宋_GB2312" w:cs="仿宋_GB2312"/>
          <w:color w:val="000000"/>
        </w:rPr>
      </w:pPr>
      <w:bookmarkStart w:id="74" w:name="_Toc15396629"/>
      <w:r>
        <w:rPr>
          <w:rStyle w:val="18"/>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18"/>
          <w:rFonts w:hint="eastAsia" w:ascii="仿宋_GB2312" w:hAnsi="仿宋_GB2312" w:eastAsia="仿宋_GB2312" w:cs="仿宋_GB2312"/>
          <w:b w:val="0"/>
          <w:bCs w:val="0"/>
        </w:rPr>
        <w:t>府性基金预算财政拨款收入支出决算表</w:t>
      </w:r>
      <w:bookmarkEnd w:id="74"/>
    </w:p>
    <w:p>
      <w:pPr>
        <w:pStyle w:val="3"/>
        <w:spacing w:before="0" w:after="0" w:line="520" w:lineRule="exact"/>
        <w:rPr>
          <w:rFonts w:ascii="仿宋_GB2312" w:hAnsi="仿宋_GB2312" w:eastAsia="仿宋_GB2312" w:cs="仿宋_GB2312"/>
          <w:color w:val="000000"/>
        </w:rPr>
      </w:pPr>
      <w:bookmarkStart w:id="75" w:name="_Toc15396630"/>
      <w:r>
        <w:rPr>
          <w:rStyle w:val="18"/>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18"/>
          <w:rFonts w:hint="eastAsia" w:ascii="仿宋_GB2312" w:hAnsi="仿宋_GB2312" w:eastAsia="仿宋_GB2312" w:cs="仿宋_GB2312"/>
          <w:b w:val="0"/>
          <w:bCs w:val="0"/>
        </w:rPr>
        <w:t>府性基金预算财政拨款“三公”经费支出决算表</w:t>
      </w:r>
      <w:bookmarkEnd w:id="75"/>
    </w:p>
    <w:p>
      <w:pPr>
        <w:pStyle w:val="3"/>
        <w:spacing w:before="0" w:after="0" w:line="520" w:lineRule="exact"/>
        <w:rPr>
          <w:rFonts w:ascii="仿宋_GB2312" w:hAnsi="仿宋_GB2312" w:eastAsia="仿宋_GB2312" w:cs="仿宋_GB2312"/>
          <w:color w:val="000000"/>
        </w:rPr>
      </w:pPr>
      <w:bookmarkStart w:id="76" w:name="_Toc15396631"/>
      <w:r>
        <w:rPr>
          <w:rStyle w:val="18"/>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18"/>
          <w:rFonts w:hint="eastAsia" w:ascii="仿宋_GB2312" w:hAnsi="仿宋_GB2312" w:eastAsia="仿宋_GB2312" w:cs="仿宋_GB2312"/>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C147AC-7359-457D-A0F0-DE69A3726F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C3B9DC2-D557-4CAC-9048-6A3ABF866CB5}"/>
  </w:font>
  <w:font w:name="仿宋">
    <w:panose1 w:val="02010609060101010101"/>
    <w:charset w:val="86"/>
    <w:family w:val="modern"/>
    <w:pitch w:val="default"/>
    <w:sig w:usb0="800002BF" w:usb1="38CF7CFA" w:usb2="00000016" w:usb3="00000000" w:csb0="00040001" w:csb1="00000000"/>
    <w:embedRegular r:id="rId3" w:fontKey="{EC7F2949-3062-4A66-BF30-BC43A0EAAEF6}"/>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F966C01"/>
    <w:multiLevelType w:val="singleLevel"/>
    <w:tmpl w:val="DF966C01"/>
    <w:lvl w:ilvl="0" w:tentative="0">
      <w:start w:val="2"/>
      <w:numFmt w:val="chineseCounting"/>
      <w:suff w:val="space"/>
      <w:lvlText w:val="第%1部分"/>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586DF335"/>
    <w:multiLevelType w:val="singleLevel"/>
    <w:tmpl w:val="586DF335"/>
    <w:lvl w:ilvl="0" w:tentative="0">
      <w:start w:val="3"/>
      <w:numFmt w:val="chineseCounting"/>
      <w:suff w:val="nothing"/>
      <w:lvlText w:val="%1、"/>
      <w:lvlJc w:val="left"/>
    </w:lvl>
  </w:abstractNum>
  <w:abstractNum w:abstractNumId="7">
    <w:nsid w:val="5A1FBB5A"/>
    <w:multiLevelType w:val="singleLevel"/>
    <w:tmpl w:val="5A1FBB5A"/>
    <w:lvl w:ilvl="0" w:tentative="0">
      <w:start w:val="3"/>
      <w:numFmt w:val="decimal"/>
      <w:suff w:val="space"/>
      <w:lvlText w:val="%1."/>
      <w:lvlJc w:val="left"/>
    </w:lvl>
  </w:abstractNum>
  <w:abstractNum w:abstractNumId="8">
    <w:nsid w:val="5A1FBB85"/>
    <w:multiLevelType w:val="singleLevel"/>
    <w:tmpl w:val="5A1FBB85"/>
    <w:lvl w:ilvl="0" w:tentative="0">
      <w:start w:val="1"/>
      <w:numFmt w:val="decimal"/>
      <w:suff w:val="nothing"/>
      <w:lvlText w:val="（%1）"/>
      <w:lvlJc w:val="left"/>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Q0ZjJhYzMyN2U5NjMzMmY5Y2RjODQ4OGU5ZWMxZGQifQ=="/>
    <w:docVar w:name="KSO_WPS_MARK_KEY" w:val="ae89a30d-2d55-4f1d-98b8-1c5d882261e7"/>
  </w:docVars>
  <w:rsids>
    <w:rsidRoot w:val="00837CAD"/>
    <w:rsid w:val="000A155E"/>
    <w:rsid w:val="001C0661"/>
    <w:rsid w:val="0023492A"/>
    <w:rsid w:val="002948D7"/>
    <w:rsid w:val="00386FDE"/>
    <w:rsid w:val="00435606"/>
    <w:rsid w:val="004535A8"/>
    <w:rsid w:val="004E73AB"/>
    <w:rsid w:val="005076C7"/>
    <w:rsid w:val="00574F75"/>
    <w:rsid w:val="005A74E7"/>
    <w:rsid w:val="00725270"/>
    <w:rsid w:val="00837CAD"/>
    <w:rsid w:val="00853618"/>
    <w:rsid w:val="008634E2"/>
    <w:rsid w:val="009F44BB"/>
    <w:rsid w:val="00A95A81"/>
    <w:rsid w:val="00AD44D1"/>
    <w:rsid w:val="00AF53B4"/>
    <w:rsid w:val="00C0756F"/>
    <w:rsid w:val="00D77407"/>
    <w:rsid w:val="00DC3A87"/>
    <w:rsid w:val="00E0753F"/>
    <w:rsid w:val="00F515D4"/>
    <w:rsid w:val="01133F7B"/>
    <w:rsid w:val="01292352"/>
    <w:rsid w:val="012968E3"/>
    <w:rsid w:val="02815718"/>
    <w:rsid w:val="030E6520"/>
    <w:rsid w:val="03121220"/>
    <w:rsid w:val="031A6A51"/>
    <w:rsid w:val="03361BE0"/>
    <w:rsid w:val="037D53A5"/>
    <w:rsid w:val="038471B3"/>
    <w:rsid w:val="038F73CC"/>
    <w:rsid w:val="03D827E5"/>
    <w:rsid w:val="04060911"/>
    <w:rsid w:val="047702BA"/>
    <w:rsid w:val="047B2551"/>
    <w:rsid w:val="0485032F"/>
    <w:rsid w:val="05757792"/>
    <w:rsid w:val="06060CB3"/>
    <w:rsid w:val="0639031A"/>
    <w:rsid w:val="07D70970"/>
    <w:rsid w:val="081B380F"/>
    <w:rsid w:val="08C1332E"/>
    <w:rsid w:val="09113F41"/>
    <w:rsid w:val="0998116D"/>
    <w:rsid w:val="0B0A38A1"/>
    <w:rsid w:val="0BC9634B"/>
    <w:rsid w:val="0C2058F6"/>
    <w:rsid w:val="0C275C77"/>
    <w:rsid w:val="0C9923B7"/>
    <w:rsid w:val="0D4F5DF5"/>
    <w:rsid w:val="0F901C57"/>
    <w:rsid w:val="0FBB4A45"/>
    <w:rsid w:val="10784C3A"/>
    <w:rsid w:val="11226B6A"/>
    <w:rsid w:val="11867101"/>
    <w:rsid w:val="11973713"/>
    <w:rsid w:val="130E514B"/>
    <w:rsid w:val="133B2E01"/>
    <w:rsid w:val="142F1A07"/>
    <w:rsid w:val="147C0D43"/>
    <w:rsid w:val="148E0997"/>
    <w:rsid w:val="1556489A"/>
    <w:rsid w:val="15881A82"/>
    <w:rsid w:val="15EA54D7"/>
    <w:rsid w:val="15FF7886"/>
    <w:rsid w:val="16237D2C"/>
    <w:rsid w:val="165F2032"/>
    <w:rsid w:val="16BE4D36"/>
    <w:rsid w:val="17445C51"/>
    <w:rsid w:val="177A30D1"/>
    <w:rsid w:val="1846118E"/>
    <w:rsid w:val="18EA3692"/>
    <w:rsid w:val="19674219"/>
    <w:rsid w:val="19972AD1"/>
    <w:rsid w:val="1A8F6183"/>
    <w:rsid w:val="1B2658F2"/>
    <w:rsid w:val="1B771CF0"/>
    <w:rsid w:val="1BF63C6C"/>
    <w:rsid w:val="1C510F6C"/>
    <w:rsid w:val="1C902753"/>
    <w:rsid w:val="1D267A93"/>
    <w:rsid w:val="1D2C109A"/>
    <w:rsid w:val="1D75590E"/>
    <w:rsid w:val="1E666791"/>
    <w:rsid w:val="1E702587"/>
    <w:rsid w:val="20127C44"/>
    <w:rsid w:val="204A20B9"/>
    <w:rsid w:val="213351F1"/>
    <w:rsid w:val="21447F35"/>
    <w:rsid w:val="216242B5"/>
    <w:rsid w:val="21A42F68"/>
    <w:rsid w:val="2273576D"/>
    <w:rsid w:val="22BB1DB3"/>
    <w:rsid w:val="241658BD"/>
    <w:rsid w:val="244E0447"/>
    <w:rsid w:val="24D549A9"/>
    <w:rsid w:val="25B139EA"/>
    <w:rsid w:val="279E590A"/>
    <w:rsid w:val="27A625B7"/>
    <w:rsid w:val="27BD08E4"/>
    <w:rsid w:val="27E9329F"/>
    <w:rsid w:val="28735073"/>
    <w:rsid w:val="291A48A5"/>
    <w:rsid w:val="29745A39"/>
    <w:rsid w:val="2A6719D5"/>
    <w:rsid w:val="2AB35A3B"/>
    <w:rsid w:val="2AB60B25"/>
    <w:rsid w:val="2AC46705"/>
    <w:rsid w:val="2B1D048B"/>
    <w:rsid w:val="2B2F7853"/>
    <w:rsid w:val="2B334DC1"/>
    <w:rsid w:val="2CA6018B"/>
    <w:rsid w:val="2CB77A00"/>
    <w:rsid w:val="2CFA40DD"/>
    <w:rsid w:val="2D160A54"/>
    <w:rsid w:val="2D1F431E"/>
    <w:rsid w:val="2DC83E92"/>
    <w:rsid w:val="2DE31174"/>
    <w:rsid w:val="2DE70FF8"/>
    <w:rsid w:val="2DEE66E6"/>
    <w:rsid w:val="2E9C46E1"/>
    <w:rsid w:val="2EA339F7"/>
    <w:rsid w:val="2EB85513"/>
    <w:rsid w:val="2ED560C8"/>
    <w:rsid w:val="2F0C7A0E"/>
    <w:rsid w:val="2F1F7BDD"/>
    <w:rsid w:val="2F9A6179"/>
    <w:rsid w:val="2FB46167"/>
    <w:rsid w:val="2FF8025A"/>
    <w:rsid w:val="30453AA5"/>
    <w:rsid w:val="30E9019A"/>
    <w:rsid w:val="31093E38"/>
    <w:rsid w:val="3130119F"/>
    <w:rsid w:val="31727E87"/>
    <w:rsid w:val="32144810"/>
    <w:rsid w:val="32B82195"/>
    <w:rsid w:val="32C07E49"/>
    <w:rsid w:val="33C60949"/>
    <w:rsid w:val="34551725"/>
    <w:rsid w:val="349A6FFA"/>
    <w:rsid w:val="34B946AB"/>
    <w:rsid w:val="35A73FF4"/>
    <w:rsid w:val="35A76654"/>
    <w:rsid w:val="35AF21DA"/>
    <w:rsid w:val="35F87AC6"/>
    <w:rsid w:val="36032814"/>
    <w:rsid w:val="371374D2"/>
    <w:rsid w:val="372C2059"/>
    <w:rsid w:val="374B1E67"/>
    <w:rsid w:val="38395CEE"/>
    <w:rsid w:val="39CA7767"/>
    <w:rsid w:val="3A173F9F"/>
    <w:rsid w:val="3A1C0114"/>
    <w:rsid w:val="3A72256B"/>
    <w:rsid w:val="3AA35AC6"/>
    <w:rsid w:val="3AA56DE4"/>
    <w:rsid w:val="3B137045"/>
    <w:rsid w:val="3B6B545A"/>
    <w:rsid w:val="3B7B0C72"/>
    <w:rsid w:val="3BB77F6E"/>
    <w:rsid w:val="3BE53DCF"/>
    <w:rsid w:val="3C6044A4"/>
    <w:rsid w:val="3C9E6E13"/>
    <w:rsid w:val="3CF6242F"/>
    <w:rsid w:val="3D25534D"/>
    <w:rsid w:val="3F934390"/>
    <w:rsid w:val="409365FE"/>
    <w:rsid w:val="41914048"/>
    <w:rsid w:val="41B5440E"/>
    <w:rsid w:val="42E135C8"/>
    <w:rsid w:val="43384E8A"/>
    <w:rsid w:val="438565B1"/>
    <w:rsid w:val="449C28DA"/>
    <w:rsid w:val="46B70F7D"/>
    <w:rsid w:val="48F55D5B"/>
    <w:rsid w:val="494032E4"/>
    <w:rsid w:val="4959144E"/>
    <w:rsid w:val="496376C5"/>
    <w:rsid w:val="4B1204D8"/>
    <w:rsid w:val="4B291BD6"/>
    <w:rsid w:val="4BFF4ACB"/>
    <w:rsid w:val="4C1C4E73"/>
    <w:rsid w:val="4CE315B6"/>
    <w:rsid w:val="4D5F5DE9"/>
    <w:rsid w:val="4DDB16A1"/>
    <w:rsid w:val="4DE97A79"/>
    <w:rsid w:val="4DF331EC"/>
    <w:rsid w:val="4E69360B"/>
    <w:rsid w:val="4EB847D0"/>
    <w:rsid w:val="4EC0185B"/>
    <w:rsid w:val="4F6010AB"/>
    <w:rsid w:val="4F7D79B8"/>
    <w:rsid w:val="508A090A"/>
    <w:rsid w:val="50B66AB3"/>
    <w:rsid w:val="517D1E81"/>
    <w:rsid w:val="51A34939"/>
    <w:rsid w:val="5220505A"/>
    <w:rsid w:val="5287069B"/>
    <w:rsid w:val="529170E6"/>
    <w:rsid w:val="53EA1ED6"/>
    <w:rsid w:val="53FC5450"/>
    <w:rsid w:val="540D1DDB"/>
    <w:rsid w:val="541D0C20"/>
    <w:rsid w:val="54842833"/>
    <w:rsid w:val="54AA6A33"/>
    <w:rsid w:val="54AB569C"/>
    <w:rsid w:val="5501105D"/>
    <w:rsid w:val="552E6423"/>
    <w:rsid w:val="55F240A5"/>
    <w:rsid w:val="56473F37"/>
    <w:rsid w:val="56ED3B1F"/>
    <w:rsid w:val="574A038B"/>
    <w:rsid w:val="57F80DDE"/>
    <w:rsid w:val="5819631F"/>
    <w:rsid w:val="58496B1D"/>
    <w:rsid w:val="58C071FF"/>
    <w:rsid w:val="592261D3"/>
    <w:rsid w:val="59314CCB"/>
    <w:rsid w:val="594F7268"/>
    <w:rsid w:val="59A04D90"/>
    <w:rsid w:val="59D742F9"/>
    <w:rsid w:val="5AC871B0"/>
    <w:rsid w:val="5B253BA6"/>
    <w:rsid w:val="5B253BCE"/>
    <w:rsid w:val="5B2A5FE5"/>
    <w:rsid w:val="5BED7846"/>
    <w:rsid w:val="5C974DC3"/>
    <w:rsid w:val="5CBB58F0"/>
    <w:rsid w:val="5CCE22E4"/>
    <w:rsid w:val="5D0E74E3"/>
    <w:rsid w:val="5D3D6676"/>
    <w:rsid w:val="5DB23743"/>
    <w:rsid w:val="5DE836BC"/>
    <w:rsid w:val="5F2C335A"/>
    <w:rsid w:val="5F491E4C"/>
    <w:rsid w:val="5F4E3E5A"/>
    <w:rsid w:val="5F5D3C5C"/>
    <w:rsid w:val="5F9C7428"/>
    <w:rsid w:val="602A5227"/>
    <w:rsid w:val="605F73A6"/>
    <w:rsid w:val="609A01F8"/>
    <w:rsid w:val="60CD293B"/>
    <w:rsid w:val="60EF35E4"/>
    <w:rsid w:val="61062976"/>
    <w:rsid w:val="614A2FDE"/>
    <w:rsid w:val="61EB4D77"/>
    <w:rsid w:val="61FF4585"/>
    <w:rsid w:val="62237DF7"/>
    <w:rsid w:val="622A61C4"/>
    <w:rsid w:val="62ED60DF"/>
    <w:rsid w:val="636F0EB5"/>
    <w:rsid w:val="63DA6429"/>
    <w:rsid w:val="63DE6580"/>
    <w:rsid w:val="640200A2"/>
    <w:rsid w:val="64094B90"/>
    <w:rsid w:val="641B4A32"/>
    <w:rsid w:val="648A0D06"/>
    <w:rsid w:val="648C43F2"/>
    <w:rsid w:val="65341C3F"/>
    <w:rsid w:val="6560469F"/>
    <w:rsid w:val="65932418"/>
    <w:rsid w:val="6615790C"/>
    <w:rsid w:val="66630385"/>
    <w:rsid w:val="674022C4"/>
    <w:rsid w:val="683E2F56"/>
    <w:rsid w:val="691F24BD"/>
    <w:rsid w:val="69600DED"/>
    <w:rsid w:val="6980703E"/>
    <w:rsid w:val="69C33B21"/>
    <w:rsid w:val="69D53904"/>
    <w:rsid w:val="6A1319B1"/>
    <w:rsid w:val="6A156D97"/>
    <w:rsid w:val="6A2138A9"/>
    <w:rsid w:val="6A6B54B7"/>
    <w:rsid w:val="6A864E69"/>
    <w:rsid w:val="6A894202"/>
    <w:rsid w:val="6AB6600A"/>
    <w:rsid w:val="6AD02248"/>
    <w:rsid w:val="6B595515"/>
    <w:rsid w:val="6B8206E8"/>
    <w:rsid w:val="6C0342F1"/>
    <w:rsid w:val="6C1742CD"/>
    <w:rsid w:val="6D7B66E6"/>
    <w:rsid w:val="6DA4639F"/>
    <w:rsid w:val="6EF75C10"/>
    <w:rsid w:val="6F5E3D06"/>
    <w:rsid w:val="6FDE5373"/>
    <w:rsid w:val="705E69B2"/>
    <w:rsid w:val="70666432"/>
    <w:rsid w:val="708E5CE4"/>
    <w:rsid w:val="70A47D30"/>
    <w:rsid w:val="71352A33"/>
    <w:rsid w:val="713F18B2"/>
    <w:rsid w:val="715009A1"/>
    <w:rsid w:val="71913985"/>
    <w:rsid w:val="71FE60A1"/>
    <w:rsid w:val="723C23F1"/>
    <w:rsid w:val="7247000C"/>
    <w:rsid w:val="72587538"/>
    <w:rsid w:val="725E2750"/>
    <w:rsid w:val="72945B5A"/>
    <w:rsid w:val="731E57E5"/>
    <w:rsid w:val="744127AB"/>
    <w:rsid w:val="74E87BB0"/>
    <w:rsid w:val="76130EA5"/>
    <w:rsid w:val="761B5122"/>
    <w:rsid w:val="76C86A18"/>
    <w:rsid w:val="78364B5C"/>
    <w:rsid w:val="78C13B5C"/>
    <w:rsid w:val="78F975D8"/>
    <w:rsid w:val="79322110"/>
    <w:rsid w:val="7945138B"/>
    <w:rsid w:val="7A0F5976"/>
    <w:rsid w:val="7A3C4C5E"/>
    <w:rsid w:val="7A4543A6"/>
    <w:rsid w:val="7AC43F41"/>
    <w:rsid w:val="7AED5FEC"/>
    <w:rsid w:val="7AF3131B"/>
    <w:rsid w:val="7B574D23"/>
    <w:rsid w:val="7B762EC7"/>
    <w:rsid w:val="7BE355D2"/>
    <w:rsid w:val="7C2A72E3"/>
    <w:rsid w:val="7C91219F"/>
    <w:rsid w:val="7CC6788F"/>
    <w:rsid w:val="7CF053CA"/>
    <w:rsid w:val="7D415DE4"/>
    <w:rsid w:val="7D6943E6"/>
    <w:rsid w:val="7D8346A2"/>
    <w:rsid w:val="7DA70A56"/>
    <w:rsid w:val="7DBB6F4F"/>
    <w:rsid w:val="7ED323A6"/>
    <w:rsid w:val="7EEF43CA"/>
    <w:rsid w:val="7F121A7D"/>
    <w:rsid w:val="7F913963"/>
    <w:rsid w:val="7FAC7046"/>
    <w:rsid w:val="7FD91B7A"/>
    <w:rsid w:val="7FE1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19"/>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0"/>
    <w:pPr>
      <w:spacing w:beforeLines="30"/>
    </w:pPr>
    <w:rPr>
      <w:rFonts w:ascii="仿宋_GB2312" w:eastAsia="仿宋_GB2312"/>
      <w:sz w:val="24"/>
    </w:rPr>
  </w:style>
  <w:style w:type="paragraph" w:styleId="6">
    <w:name w:val="toc 3"/>
    <w:basedOn w:val="1"/>
    <w:next w:val="1"/>
    <w:qFormat/>
    <w:uiPriority w:val="0"/>
    <w:pPr>
      <w:tabs>
        <w:tab w:val="right" w:leader="dot" w:pos="8296"/>
      </w:tabs>
      <w:ind w:left="840" w:leftChars="400"/>
    </w:pPr>
  </w:style>
  <w:style w:type="paragraph" w:styleId="7">
    <w:name w:val="footer"/>
    <w:basedOn w:val="1"/>
    <w:link w:val="23"/>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paragraph" w:styleId="11">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character" w:styleId="14">
    <w:name w:val="Strong"/>
    <w:qFormat/>
    <w:uiPriority w:val="0"/>
    <w:rPr>
      <w:b/>
    </w:rPr>
  </w:style>
  <w:style w:type="character" w:styleId="15">
    <w:name w:val="FollowedHyperlink"/>
    <w:qFormat/>
    <w:uiPriority w:val="0"/>
    <w:rPr>
      <w:color w:val="000000"/>
      <w:u w:val="none"/>
    </w:rPr>
  </w:style>
  <w:style w:type="character" w:styleId="16">
    <w:name w:val="Hyperlink"/>
    <w:qFormat/>
    <w:uiPriority w:val="0"/>
    <w:rPr>
      <w:color w:val="000000"/>
      <w:u w:val="none"/>
    </w:rPr>
  </w:style>
  <w:style w:type="character" w:customStyle="1" w:styleId="17">
    <w:name w:val="标题 1 字符"/>
    <w:link w:val="2"/>
    <w:semiHidden/>
    <w:qFormat/>
    <w:uiPriority w:val="0"/>
    <w:rPr>
      <w:rFonts w:ascii="Times New Roman" w:hAnsi="Times New Roman"/>
      <w:b/>
      <w:bCs/>
      <w:kern w:val="44"/>
      <w:sz w:val="44"/>
      <w:szCs w:val="44"/>
    </w:rPr>
  </w:style>
  <w:style w:type="character" w:customStyle="1" w:styleId="18">
    <w:name w:val="标题 2 字符"/>
    <w:link w:val="3"/>
    <w:semiHidden/>
    <w:qFormat/>
    <w:uiPriority w:val="0"/>
    <w:rPr>
      <w:rFonts w:ascii="Cambria" w:hAnsi="Cambria" w:eastAsia="宋体" w:cs="黑体"/>
      <w:b/>
      <w:bCs/>
      <w:kern w:val="2"/>
      <w:sz w:val="32"/>
      <w:szCs w:val="32"/>
    </w:rPr>
  </w:style>
  <w:style w:type="character" w:customStyle="1" w:styleId="19">
    <w:name w:val="标题 3 字符"/>
    <w:link w:val="4"/>
    <w:semiHidden/>
    <w:qFormat/>
    <w:uiPriority w:val="0"/>
    <w:rPr>
      <w:rFonts w:ascii="Times New Roman" w:hAnsi="Times New Roman"/>
      <w:b/>
      <w:bCs/>
      <w:kern w:val="2"/>
      <w:sz w:val="32"/>
      <w:szCs w:val="32"/>
    </w:rPr>
  </w:style>
  <w:style w:type="character" w:customStyle="1" w:styleId="20">
    <w:name w:val="正文文本 字符"/>
    <w:link w:val="5"/>
    <w:semiHidden/>
    <w:qFormat/>
    <w:uiPriority w:val="0"/>
    <w:rPr>
      <w:rFonts w:ascii="仿宋_GB2312" w:hAnsi="Times New Roman" w:eastAsia="仿宋_GB2312"/>
      <w:sz w:val="24"/>
    </w:rPr>
  </w:style>
  <w:style w:type="paragraph" w:customStyle="1" w:styleId="21">
    <w:name w:val="批注框文本1"/>
    <w:basedOn w:val="1"/>
    <w:link w:val="22"/>
    <w:qFormat/>
    <w:uiPriority w:val="0"/>
    <w:rPr>
      <w:sz w:val="18"/>
      <w:szCs w:val="18"/>
    </w:rPr>
  </w:style>
  <w:style w:type="character" w:customStyle="1" w:styleId="22">
    <w:name w:val="批注框文本 Char"/>
    <w:link w:val="21"/>
    <w:semiHidden/>
    <w:qFormat/>
    <w:uiPriority w:val="0"/>
    <w:rPr>
      <w:rFonts w:ascii="Times New Roman" w:hAnsi="Times New Roman"/>
      <w:kern w:val="2"/>
      <w:sz w:val="18"/>
      <w:szCs w:val="18"/>
    </w:rPr>
  </w:style>
  <w:style w:type="character" w:customStyle="1" w:styleId="23">
    <w:name w:val="页脚 字符"/>
    <w:link w:val="7"/>
    <w:semiHidden/>
    <w:qFormat/>
    <w:uiPriority w:val="0"/>
    <w:rPr>
      <w:sz w:val="18"/>
    </w:rPr>
  </w:style>
  <w:style w:type="character" w:customStyle="1" w:styleId="24">
    <w:name w:val="页眉 字符"/>
    <w:link w:val="8"/>
    <w:semiHidden/>
    <w:qFormat/>
    <w:uiPriority w:val="0"/>
    <w:rPr>
      <w:sz w:val="18"/>
    </w:rPr>
  </w:style>
  <w:style w:type="paragraph" w:customStyle="1" w:styleId="2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表段落1"/>
    <w:basedOn w:val="1"/>
    <w:qFormat/>
    <w:uiPriority w:val="0"/>
    <w:pPr>
      <w:ind w:firstLine="420" w:firstLineChars="200"/>
    </w:pPr>
  </w:style>
  <w:style w:type="paragraph" w:customStyle="1" w:styleId="27">
    <w:name w:val="TOC 标题1"/>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character" w:customStyle="1" w:styleId="28">
    <w:name w:val="Header Char"/>
    <w:qFormat/>
    <w:uiPriority w:val="0"/>
    <w:rPr>
      <w:rFonts w:ascii="Times New Roman" w:hAnsi="Times New Roman"/>
      <w:sz w:val="18"/>
      <w:szCs w:val="18"/>
    </w:rPr>
  </w:style>
  <w:style w:type="character" w:customStyle="1" w:styleId="29">
    <w:name w:val="Footer Char"/>
    <w:qFormat/>
    <w:uiPriority w:val="0"/>
    <w:rPr>
      <w:rFonts w:ascii="Times New Roman" w:hAnsi="Times New Roman"/>
      <w:sz w:val="18"/>
      <w:szCs w:val="18"/>
    </w:rPr>
  </w:style>
  <w:style w:type="character" w:customStyle="1" w:styleId="30">
    <w:name w:val="Body Text Char"/>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16672</Words>
  <Characters>17724</Characters>
  <Lines>147</Lines>
  <Paragraphs>41</Paragraphs>
  <TotalTime>0</TotalTime>
  <ScaleCrop>false</ScaleCrop>
  <LinksUpToDate>false</LinksUpToDate>
  <CharactersWithSpaces>17877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半城繁華半城傷づ</cp:lastModifiedBy>
  <cp:lastPrinted>2019-08-01T00:48:00Z</cp:lastPrinted>
  <dcterms:modified xsi:type="dcterms:W3CDTF">2025-02-20T02:58:41Z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684ACF3D3BE6428B9415FFF44CFE5DAD</vt:lpwstr>
  </property>
</Properties>
</file>