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78441"/>
      <w:bookmarkStart w:id="2" w:name="_Toc15396475"/>
      <w:bookmarkStart w:id="3" w:name="_Toc15377425"/>
      <w:bookmarkStart w:id="4" w:name="_Toc15377193"/>
      <w:bookmarkStart w:id="5" w:name="_Toc15396597"/>
      <w:bookmarkStart w:id="71" w:name="_GoBack"/>
      <w:r>
        <w:rPr>
          <w:rFonts w:hint="eastAsia" w:ascii="黑体" w:hAnsi="黑体" w:eastAsia="黑体"/>
          <w:color w:val="000000"/>
          <w:sz w:val="52"/>
          <w:szCs w:val="52"/>
          <w:lang w:val="en-US" w:eastAsia="zh-CN"/>
        </w:rPr>
        <w:t>2020</w:t>
      </w:r>
      <w:r>
        <w:rPr>
          <w:rFonts w:hint="eastAsia" w:ascii="方正小标宋简体" w:hAnsi="宋体" w:eastAsia="方正小标宋简体"/>
          <w:color w:val="000000"/>
          <w:sz w:val="52"/>
          <w:szCs w:val="5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52"/>
          <w:szCs w:val="52"/>
        </w:rPr>
      </w:pPr>
      <w:bookmarkStart w:id="6" w:name="_Toc15306268"/>
      <w:bookmarkStart w:id="7" w:name="_Toc15377194"/>
      <w:bookmarkStart w:id="8" w:name="_Toc15378442"/>
      <w:bookmarkStart w:id="9" w:name="_Toc15396476"/>
      <w:bookmarkStart w:id="10" w:name="_Toc15377426"/>
      <w:bookmarkStart w:id="11" w:name="_Toc15396598"/>
      <w:r>
        <w:rPr>
          <w:rFonts w:hint="eastAsia" w:ascii="方正小标宋简体" w:hAnsi="宋体" w:eastAsia="方正小标宋简体"/>
          <w:color w:val="000000"/>
          <w:sz w:val="52"/>
          <w:szCs w:val="52"/>
          <w:lang w:eastAsia="zh-CN"/>
        </w:rPr>
        <w:t>邻水县太和镇</w:t>
      </w:r>
      <w:r>
        <w:rPr>
          <w:rFonts w:hint="eastAsia" w:ascii="方正小标宋简体" w:hAnsi="宋体" w:eastAsia="方正小标宋简体"/>
          <w:color w:val="000000"/>
          <w:sz w:val="52"/>
          <w:szCs w:val="52"/>
        </w:rPr>
        <w:t>决算</w:t>
      </w:r>
      <w:bookmarkEnd w:id="6"/>
      <w:bookmarkEnd w:id="7"/>
      <w:bookmarkEnd w:id="8"/>
      <w:bookmarkEnd w:id="9"/>
      <w:bookmarkEnd w:id="10"/>
      <w:bookmarkEnd w:id="11"/>
      <w:r>
        <w:rPr>
          <w:rFonts w:hint="eastAsia" w:ascii="方正小标宋简体" w:hAnsi="宋体" w:eastAsia="方正小标宋简体"/>
          <w:color w:val="000000"/>
          <w:sz w:val="52"/>
          <w:szCs w:val="52"/>
        </w:rPr>
        <w:t>编制说明</w:t>
      </w:r>
      <w:bookmarkEnd w:id="7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公开时间：2020年8月</w:t>
      </w:r>
      <w:r>
        <w:rPr>
          <w:rFonts w:hint="eastAsia"/>
          <w:lang w:val="en-US" w:eastAsia="zh-CN"/>
        </w:rPr>
        <w:t>20</w:t>
      </w:r>
      <w:r>
        <w:rPr>
          <w:rFonts w:hint="eastAsia"/>
        </w:rPr>
        <w:t>日</w:t>
      </w:r>
    </w:p>
    <w:p>
      <w:pPr>
        <w:rPr>
          <w:color w:val="C00000"/>
          <w:sz w:val="28"/>
          <w:szCs w:val="28"/>
        </w:rPr>
      </w:pPr>
    </w:p>
    <w:p>
      <w:pPr>
        <w:pStyle w:val="10"/>
        <w:rPr>
          <w:rFonts w:cstheme="minorBidi"/>
        </w:rPr>
      </w:pPr>
      <w:r>
        <w:fldChar w:fldCharType="begin"/>
      </w:r>
      <w:r>
        <w:instrText xml:space="preserve"> HYPERLINK \l "_Toc15396599" </w:instrText>
      </w:r>
      <w:r>
        <w:fldChar w:fldCharType="separate"/>
      </w:r>
      <w:r>
        <w:rPr>
          <w:rStyle w:val="16"/>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w:t>
      </w:r>
      <w:r>
        <w:rPr>
          <w:rStyle w:val="16"/>
          <w:rFonts w:hint="eastAsia"/>
        </w:rPr>
        <w:t>9年度部门决算情况说明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rPr>
          <w:rStyle w:val="16"/>
          <w:rFonts w:ascii="仿宋" w:hAnsi="仿宋" w:eastAsia="仿宋" w:cstheme="majorBidi"/>
          <w:bCs/>
          <w:sz w:val="28"/>
          <w:szCs w:val="28"/>
        </w:rPr>
      </w:pPr>
      <w:r>
        <w:rPr>
          <w:rFonts w:hint="eastAsia" w:ascii="仿宋" w:hAnsi="仿宋" w:eastAsia="仿宋"/>
          <w:sz w:val="28"/>
          <w:szCs w:val="28"/>
        </w:rPr>
        <w:t xml:space="preserve">   十、</w:t>
      </w:r>
      <w:r>
        <w:rPr>
          <w:rStyle w:val="16"/>
          <w:rFonts w:hint="eastAsia" w:ascii="仿宋" w:hAnsi="仿宋" w:eastAsia="仿宋" w:cstheme="majorBidi"/>
          <w:bCs/>
          <w:sz w:val="28"/>
          <w:szCs w:val="28"/>
        </w:rPr>
        <w:t>预算绩效情况说明</w:t>
      </w:r>
      <w:r>
        <w:rPr>
          <w:rStyle w:val="16"/>
          <w:rFonts w:ascii="Arial" w:hAnsi="Arial" w:eastAsia="仿宋" w:cs="Arial"/>
          <w:bCs/>
          <w:sz w:val="28"/>
          <w:szCs w:val="28"/>
        </w:rPr>
        <w:t>……………………………………………</w:t>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5</w:t>
      </w:r>
    </w:p>
    <w:p>
      <w:pPr>
        <w:pStyle w:val="10"/>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pPr>
        <w:pStyle w:val="10"/>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fldChar w:fldCharType="begin"/>
      </w:r>
      <w:r>
        <w:instrText xml:space="preserve"> PAGEREF _Toc15396618 \h </w:instrText>
      </w:r>
      <w:r>
        <w:fldChar w:fldCharType="separate"/>
      </w:r>
      <w:r>
        <w:t>21</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3"/>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ind w:firstLine="640" w:firstLineChars="200"/>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ind w:firstLine="640" w:firstLineChars="200"/>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pPr>
        <w:ind w:firstLine="640" w:firstLineChars="200"/>
        <w:rPr>
          <w:rFonts w:hint="eastAsia" w:ascii="仿宋" w:hAnsi="仿宋" w:eastAsia="仿宋"/>
          <w:bCs/>
          <w:color w:val="000000"/>
          <w:sz w:val="32"/>
          <w:szCs w:val="32"/>
        </w:rPr>
      </w:pPr>
      <w:r>
        <w:rPr>
          <w:rFonts w:hint="eastAsia" w:ascii="仿宋" w:hAnsi="仿宋" w:eastAsia="仿宋" w:cs="仿宋"/>
          <w:sz w:val="32"/>
          <w:szCs w:val="32"/>
        </w:rPr>
        <w:t>我单位属于行政单位，承担</w:t>
      </w:r>
      <w:r>
        <w:rPr>
          <w:rFonts w:hint="eastAsia" w:ascii="仿宋" w:hAnsi="仿宋" w:eastAsia="仿宋" w:cs="仿宋"/>
          <w:color w:val="333333"/>
          <w:sz w:val="32"/>
          <w:szCs w:val="32"/>
        </w:rPr>
        <w:t>落实国家政策，严格依法行政，发挥经济管理职能，加强政策引导，制定发展规划，服务市场主体和营造发展环境，搞好市场监管，大力促进社会事业发展，发展</w:t>
      </w:r>
      <w:r>
        <w:rPr>
          <w:rFonts w:hint="eastAsia" w:ascii="仿宋" w:hAnsi="仿宋" w:eastAsia="仿宋" w:cs="仿宋"/>
          <w:color w:val="333333"/>
          <w:sz w:val="32"/>
          <w:szCs w:val="32"/>
          <w:lang w:eastAsia="zh-CN"/>
        </w:rPr>
        <w:t>乡</w:t>
      </w:r>
      <w:r>
        <w:rPr>
          <w:rFonts w:hint="eastAsia" w:ascii="仿宋" w:hAnsi="仿宋" w:eastAsia="仿宋" w:cs="仿宋"/>
          <w:color w:val="333333"/>
          <w:sz w:val="32"/>
          <w:szCs w:val="32"/>
        </w:rPr>
        <w:t>村经济、文化和社会事业，提供公共服务，维护社会稳定，构建社会主义和谐社会</w:t>
      </w:r>
      <w:r>
        <w:rPr>
          <w:rFonts w:hint="eastAsia" w:ascii="仿宋" w:hAnsi="仿宋" w:eastAsia="仿宋" w:cs="仿宋"/>
          <w:sz w:val="32"/>
          <w:szCs w:val="32"/>
        </w:rPr>
        <w:t>工作。</w:t>
      </w:r>
    </w:p>
    <w:p>
      <w:pPr>
        <w:pStyle w:val="6"/>
        <w:adjustRightInd w:val="0"/>
        <w:snapToGrid w:val="0"/>
        <w:spacing w:line="600" w:lineRule="exact"/>
        <w:ind w:firstLine="672" w:firstLineChars="210"/>
        <w:rPr>
          <w:rFonts w:hint="eastAsia" w:ascii="仿宋" w:hAnsi="仿宋" w:eastAsia="仿宋"/>
          <w:bCs/>
          <w:color w:val="000000"/>
          <w:sz w:val="32"/>
          <w:szCs w:val="32"/>
        </w:rPr>
      </w:pPr>
      <w:r>
        <w:rPr>
          <w:rFonts w:hint="eastAsia" w:ascii="仿宋" w:hAnsi="仿宋" w:eastAsia="仿宋"/>
          <w:bCs/>
          <w:color w:val="000000"/>
          <w:sz w:val="32"/>
          <w:szCs w:val="32"/>
        </w:rPr>
        <w:t>（二）</w:t>
      </w:r>
      <w:r>
        <w:rPr>
          <w:rFonts w:hint="eastAsia" w:ascii="仿宋" w:hAnsi="仿宋" w:eastAsia="仿宋"/>
          <w:bCs/>
          <w:color w:val="000000"/>
          <w:sz w:val="32"/>
          <w:szCs w:val="32"/>
          <w:lang w:val="en-US" w:eastAsia="zh-CN"/>
        </w:rPr>
        <w:t>2020</w:t>
      </w:r>
      <w:r>
        <w:rPr>
          <w:rFonts w:hint="eastAsia" w:ascii="仿宋" w:hAnsi="仿宋" w:eastAsia="仿宋"/>
          <w:bCs/>
          <w:color w:val="000000"/>
          <w:sz w:val="32"/>
          <w:szCs w:val="32"/>
        </w:rPr>
        <w:t>年重点工作完成情况。</w:t>
      </w:r>
      <w:bookmarkEnd w:id="18"/>
      <w:bookmarkEnd w:id="19"/>
    </w:p>
    <w:p>
      <w:pPr>
        <w:pStyle w:val="6"/>
        <w:adjustRightInd w:val="0"/>
        <w:snapToGrid w:val="0"/>
        <w:spacing w:line="600" w:lineRule="exact"/>
        <w:ind w:firstLine="672" w:firstLineChars="210"/>
        <w:rPr>
          <w:rFonts w:hint="eastAsia"/>
          <w:bCs/>
          <w:color w:val="000000"/>
          <w:sz w:val="32"/>
          <w:szCs w:val="32"/>
          <w:lang w:val="en-US" w:eastAsia="zh-CN"/>
        </w:rPr>
      </w:pPr>
      <w:r>
        <w:rPr>
          <w:rFonts w:hint="eastAsia"/>
          <w:bCs/>
          <w:color w:val="000000"/>
          <w:sz w:val="32"/>
          <w:szCs w:val="32"/>
          <w:lang w:val="en-US" w:eastAsia="zh-CN"/>
        </w:rPr>
        <w:t>2020年以来，我镇财政工作在镇党委、政府的高度重视下，服从服务于地方经济发展大局，不断创新工作思路，各项财政工作呈现出良好发展态势，有力地促进了全镇经济社会的和谐发展。</w:t>
      </w:r>
    </w:p>
    <w:p>
      <w:pPr>
        <w:pStyle w:val="4"/>
        <w:spacing w:before="0" w:after="0" w:line="520" w:lineRule="exact"/>
        <w:ind w:firstLine="640" w:firstLineChars="200"/>
        <w:rPr>
          <w:rFonts w:hint="eastAsia"/>
          <w:bCs/>
          <w:color w:val="000000"/>
          <w:sz w:val="32"/>
          <w:szCs w:val="32"/>
          <w:lang w:val="en-US" w:eastAsia="zh-CN"/>
        </w:rPr>
      </w:pPr>
      <w:r>
        <w:rPr>
          <w:rFonts w:hint="eastAsia" w:ascii="黑体" w:hAnsi="黑体" w:eastAsia="黑体"/>
          <w:b w:val="0"/>
          <w:color w:val="000000"/>
        </w:rPr>
        <w:t>二、机</w:t>
      </w:r>
      <w:r>
        <w:rPr>
          <w:rStyle w:val="35"/>
          <w:rFonts w:hint="eastAsia" w:ascii="黑体" w:hAnsi="黑体" w:eastAsia="黑体"/>
          <w:b w:val="0"/>
          <w:bCs w:val="0"/>
        </w:rPr>
        <w:t>构设置</w:t>
      </w:r>
    </w:p>
    <w:p>
      <w:pPr>
        <w:pStyle w:val="6"/>
        <w:adjustRightInd w:val="0"/>
        <w:snapToGrid w:val="0"/>
        <w:spacing w:line="600" w:lineRule="exact"/>
        <w:ind w:firstLine="672" w:firstLineChars="210"/>
        <w:rPr>
          <w:rFonts w:hint="eastAsia"/>
          <w:bCs/>
          <w:color w:val="000000"/>
          <w:sz w:val="32"/>
          <w:szCs w:val="32"/>
          <w:lang w:val="zh-CN" w:eastAsia="zh-CN"/>
        </w:rPr>
      </w:pPr>
      <w:r>
        <w:rPr>
          <w:rFonts w:hint="eastAsia" w:ascii="仿宋" w:hAnsi="仿宋" w:eastAsia="仿宋" w:cs="仿宋"/>
          <w:color w:val="000000"/>
          <w:kern w:val="0"/>
          <w:sz w:val="32"/>
          <w:szCs w:val="32"/>
          <w:shd w:val="clear" w:color="auto" w:fill="FFFFFF"/>
          <w:lang w:val="zh-CN"/>
        </w:rPr>
        <w:t>（一）机构组成：</w:t>
      </w:r>
      <w:r>
        <w:rPr>
          <w:rFonts w:hint="eastAsia"/>
          <w:bCs/>
          <w:color w:val="000000"/>
          <w:sz w:val="32"/>
          <w:szCs w:val="32"/>
          <w:lang w:val="en-US" w:eastAsia="zh-CN"/>
        </w:rPr>
        <w:t>本单位为一级预算单位，政府机关是行政部门，其余下属单位是：社会事业服务中心、便民服务中心、农民工服务中心、党群服务中心。县级派驻乡镇事业单位：畜牧站、农业服务中心、自然资源规划所、水利技术推广站。</w:t>
      </w:r>
    </w:p>
    <w:p>
      <w:pPr>
        <w:pStyle w:val="6"/>
        <w:adjustRightInd w:val="0"/>
        <w:snapToGrid w:val="0"/>
        <w:spacing w:line="600" w:lineRule="exact"/>
        <w:ind w:firstLine="672" w:firstLineChars="210"/>
        <w:rPr>
          <w:rFonts w:hint="eastAsia"/>
          <w:bCs/>
          <w:color w:val="000000"/>
          <w:sz w:val="32"/>
          <w:szCs w:val="32"/>
          <w:lang w:val="zh-CN" w:eastAsia="zh-CN"/>
        </w:rPr>
      </w:pPr>
      <w:r>
        <w:rPr>
          <w:rFonts w:hint="eastAsia" w:ascii="仿宋" w:hAnsi="仿宋" w:eastAsia="仿宋" w:cs="仿宋"/>
          <w:color w:val="000000"/>
          <w:kern w:val="0"/>
          <w:sz w:val="32"/>
          <w:szCs w:val="32"/>
          <w:shd w:val="clear" w:color="auto" w:fill="FFFFFF"/>
          <w:lang w:val="zh-CN"/>
        </w:rPr>
        <w:t>（二）机构职能：</w:t>
      </w:r>
      <w:r>
        <w:rPr>
          <w:rFonts w:hint="eastAsia"/>
          <w:bCs/>
          <w:color w:val="000000"/>
          <w:sz w:val="32"/>
          <w:szCs w:val="32"/>
          <w:lang w:val="en-US" w:eastAsia="zh-CN"/>
        </w:rPr>
        <w:t>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w:t>
      </w:r>
    </w:p>
    <w:p>
      <w:pPr>
        <w:pStyle w:val="6"/>
        <w:adjustRightInd w:val="0"/>
        <w:snapToGrid w:val="0"/>
        <w:spacing w:line="600" w:lineRule="exact"/>
        <w:ind w:firstLine="672" w:firstLineChars="210"/>
        <w:rPr>
          <w:rFonts w:ascii="仿宋" w:hAnsi="仿宋" w:eastAsia="仿宋"/>
          <w:color w:val="000000"/>
          <w:kern w:val="0"/>
          <w:sz w:val="32"/>
          <w:szCs w:val="32"/>
        </w:rPr>
      </w:pPr>
      <w:r>
        <w:rPr>
          <w:rFonts w:hint="eastAsia"/>
          <w:bCs/>
          <w:color w:val="000000"/>
          <w:sz w:val="32"/>
          <w:szCs w:val="32"/>
          <w:lang w:val="zh-CN" w:eastAsia="zh-CN"/>
        </w:rPr>
        <w:t>（三）人员概况：</w:t>
      </w:r>
      <w:r>
        <w:rPr>
          <w:rFonts w:hint="eastAsia"/>
          <w:bCs/>
          <w:color w:val="000000"/>
          <w:sz w:val="32"/>
          <w:szCs w:val="32"/>
          <w:lang w:val="en-US" w:eastAsia="zh-CN"/>
        </w:rPr>
        <w:t>人员总编制73人，其中：行政编制41人，机关工勤编制2人，事业编制30人。在职人员总数73人，其中：行政人员41人，机关工勤人员2人，事业人员30人，离退休人员0人。</w:t>
      </w:r>
    </w:p>
    <w:p>
      <w:pPr>
        <w:pStyle w:val="3"/>
        <w:ind w:right="440"/>
        <w:jc w:val="right"/>
        <w:rPr>
          <w:rStyle w:val="25"/>
          <w:rFonts w:ascii="黑体" w:hAnsi="黑体" w:eastAsia="黑体"/>
          <w:b w:val="0"/>
          <w:bCs w:val="0"/>
        </w:rPr>
      </w:pPr>
      <w:bookmarkStart w:id="20" w:name="_Toc15377204"/>
      <w:bookmarkStart w:id="21" w:name="_Toc15396602"/>
      <w:r>
        <w:rPr>
          <w:rFonts w:hint="eastAsia" w:ascii="黑体" w:hAnsi="黑体" w:eastAsia="黑体"/>
          <w:b w:val="0"/>
          <w:color w:val="000000"/>
        </w:rPr>
        <w:t>第二部分</w:t>
      </w:r>
      <w:r>
        <w:rPr>
          <w:rStyle w:val="25"/>
          <w:rFonts w:hint="eastAsia" w:ascii="黑体" w:hAnsi="黑体" w:eastAsia="黑体"/>
          <w:b w:val="0"/>
          <w:bCs w:val="0"/>
          <w:lang w:val="en-US" w:eastAsia="zh-CN"/>
        </w:rPr>
        <w:t>2020</w:t>
      </w:r>
      <w:r>
        <w:rPr>
          <w:rStyle w:val="25"/>
          <w:rFonts w:hint="eastAsia" w:ascii="黑体" w:hAnsi="黑体" w:eastAsia="黑体"/>
          <w:b w:val="0"/>
          <w:bCs w:val="0"/>
        </w:rPr>
        <w:t>年度部门决算情况说明</w:t>
      </w:r>
      <w:bookmarkEnd w:id="20"/>
      <w:bookmarkEnd w:id="21"/>
    </w:p>
    <w:p/>
    <w:p>
      <w:pPr>
        <w:pStyle w:val="24"/>
        <w:numPr>
          <w:ilvl w:val="0"/>
          <w:numId w:val="1"/>
        </w:numPr>
        <w:spacing w:line="600" w:lineRule="exact"/>
        <w:ind w:firstLineChars="0"/>
        <w:outlineLvl w:val="1"/>
        <w:rPr>
          <w:rStyle w:val="26"/>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2"/>
      <w:bookmarkEnd w:id="23"/>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2131.4656</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年相比，收、支总计增加</w:t>
      </w:r>
      <w:r>
        <w:rPr>
          <w:rFonts w:hint="eastAsia" w:ascii="仿宋" w:hAnsi="仿宋" w:eastAsia="仿宋"/>
          <w:color w:val="000000"/>
          <w:sz w:val="32"/>
          <w:szCs w:val="32"/>
          <w:lang w:val="en-US" w:eastAsia="zh-CN"/>
        </w:rPr>
        <w:t>1057.5656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49.62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w:t>
      </w:r>
    </w:p>
    <w:p>
      <w:pPr>
        <w:pStyle w:val="24"/>
        <w:numPr>
          <w:ilvl w:val="0"/>
          <w:numId w:val="1"/>
        </w:numPr>
        <w:spacing w:line="600" w:lineRule="exact"/>
        <w:ind w:firstLineChars="0"/>
        <w:outlineLvl w:val="1"/>
        <w:rPr>
          <w:rStyle w:val="26"/>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b/>
          <w:bCs/>
          <w:color w:val="C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2131.4656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2118.4656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99.39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0.61</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4"/>
        <w:numPr>
          <w:ilvl w:val="0"/>
          <w:numId w:val="1"/>
        </w:numPr>
        <w:spacing w:line="600" w:lineRule="exact"/>
        <w:ind w:firstLineChars="0"/>
        <w:outlineLvl w:val="1"/>
        <w:rPr>
          <w:rStyle w:val="26"/>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6"/>
      <w:bookmarkEnd w:id="27"/>
    </w:p>
    <w:p>
      <w:pPr>
        <w:spacing w:line="600" w:lineRule="exact"/>
        <w:ind w:firstLine="640"/>
        <w:rPr>
          <w:rFonts w:ascii="仿宋_GB2312" w:eastAsia="仿宋_GB2312"/>
          <w:color w:val="FF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2131.4656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1513.9941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71.03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617.4715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28.97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6"/>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8"/>
      <w:bookmarkEnd w:id="29"/>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2131.4656</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年相比，财政拨款收、支总计增加</w:t>
      </w:r>
      <w:r>
        <w:rPr>
          <w:rFonts w:hint="eastAsia" w:ascii="仿宋" w:hAnsi="仿宋" w:eastAsia="仿宋"/>
          <w:color w:val="000000"/>
          <w:sz w:val="32"/>
          <w:szCs w:val="32"/>
          <w:lang w:val="en-US" w:eastAsia="zh-CN"/>
        </w:rPr>
        <w:t>1057.5656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49.62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w:t>
      </w:r>
    </w:p>
    <w:p>
      <w:pPr>
        <w:spacing w:line="600" w:lineRule="exact"/>
        <w:ind w:firstLine="640" w:firstLineChars="200"/>
        <w:outlineLvl w:val="1"/>
        <w:rPr>
          <w:rStyle w:val="26"/>
          <w:rFonts w:ascii="黑体" w:hAnsi="黑体" w:eastAsia="黑体"/>
          <w:b w:val="0"/>
        </w:rPr>
      </w:pPr>
      <w:bookmarkStart w:id="30" w:name="_Toc15377209"/>
      <w:bookmarkStart w:id="3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2118.4656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99.38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1044.5656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49.31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w:t>
      </w:r>
    </w:p>
    <w:p>
      <w:pPr>
        <w:spacing w:line="600" w:lineRule="exact"/>
        <w:ind w:firstLine="642"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2118.4656</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476.4660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22.49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文化体育与传媒</w:t>
      </w:r>
      <w:r>
        <w:rPr>
          <w:rFonts w:hint="eastAsia" w:ascii="仿宋" w:hAnsi="仿宋" w:eastAsia="仿宋"/>
          <w:b/>
          <w:color w:val="000000" w:themeColor="text1"/>
          <w:sz w:val="32"/>
          <w:szCs w:val="32"/>
          <w14:textFill>
            <w14:solidFill>
              <w14:schemeClr w14:val="tx1"/>
            </w14:solidFill>
          </w14:textFill>
        </w:rPr>
        <w:t>支出（类）</w:t>
      </w:r>
      <w:r>
        <w:rPr>
          <w:rFonts w:hint="eastAsia" w:ascii="仿宋" w:hAnsi="仿宋" w:eastAsia="仿宋"/>
          <w:color w:val="000000" w:themeColor="text1"/>
          <w:sz w:val="32"/>
          <w:szCs w:val="32"/>
          <w:lang w:val="en-US" w:eastAsia="zh-CN"/>
          <w14:textFill>
            <w14:solidFill>
              <w14:schemeClr w14:val="tx1"/>
            </w14:solidFill>
          </w14:textFill>
        </w:rPr>
        <w:t>24.4122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1.15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175.5401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8.29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医疗卫生与计划生育</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56.7642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2.68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城乡社区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48.8058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农林水</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1259.3244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59.45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住房</w:t>
      </w:r>
      <w:r>
        <w:rPr>
          <w:rFonts w:hint="eastAsia" w:ascii="仿宋" w:hAnsi="仿宋" w:eastAsia="仿宋"/>
          <w:b/>
          <w:color w:val="000000" w:themeColor="text1"/>
          <w:sz w:val="32"/>
          <w:szCs w:val="32"/>
          <w14:textFill>
            <w14:solidFill>
              <w14:schemeClr w14:val="tx1"/>
            </w14:solidFill>
          </w14:textFill>
        </w:rPr>
        <w:t>保障（类）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75.6529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3.57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pStyle w:val="2"/>
        <w:rPr>
          <w:rFonts w:hint="default" w:eastAsia="仿宋"/>
          <w:lang w:val="en-US" w:eastAsia="zh-CN"/>
        </w:rPr>
      </w:pPr>
      <w:r>
        <w:rPr>
          <w:rFonts w:hint="eastAsia" w:ascii="仿宋" w:hAnsi="仿宋" w:eastAsia="仿宋"/>
          <w:color w:val="000000" w:themeColor="text1"/>
          <w:sz w:val="32"/>
          <w:szCs w:val="32"/>
          <w:lang w:val="en-US" w:eastAsia="zh-CN"/>
          <w14:textFill>
            <w14:solidFill>
              <w14:schemeClr w14:val="tx1"/>
            </w14:solidFill>
          </w14:textFill>
        </w:rPr>
        <w:t xml:space="preserve">   </w:t>
      </w:r>
    </w:p>
    <w:p>
      <w:pPr>
        <w:pStyle w:val="2"/>
        <w:tabs>
          <w:tab w:val="left" w:pos="816"/>
          <w:tab w:val="clear" w:pos="4153"/>
        </w:tabs>
        <w:ind w:firstLine="642" w:firstLineChars="200"/>
        <w:rPr>
          <w:rFonts w:hint="default"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color w:val="000000" w:themeColor="text1"/>
          <w:kern w:val="2"/>
          <w:sz w:val="32"/>
          <w:szCs w:val="32"/>
          <w:lang w:val="en-US" w:eastAsia="zh-CN" w:bidi="ar-SA"/>
          <w14:textFill>
            <w14:solidFill>
              <w14:schemeClr w14:val="tx1"/>
            </w14:solidFill>
          </w14:textFill>
        </w:rPr>
        <w:t>灾害防治及应急管理（类）</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支出3.5万，占0.0017%</w:t>
      </w:r>
    </w:p>
    <w:p>
      <w:pPr>
        <w:spacing w:line="600" w:lineRule="exact"/>
        <w:ind w:firstLine="642"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2" w:firstLineChars="200"/>
        <w:outlineLvl w:val="2"/>
        <w:rPr>
          <w:rFonts w:ascii="仿宋" w:hAnsi="仿宋" w:eastAsia="仿宋"/>
          <w:color w:val="FF0000"/>
          <w:sz w:val="32"/>
          <w:szCs w:val="32"/>
        </w:rPr>
      </w:pPr>
      <w:bookmarkStart w:id="35" w:name="_Toc15378460"/>
      <w:bookmarkStart w:id="36" w:name="_Toc15377444"/>
      <w:bookmarkStart w:id="37" w:name="_Toc15377213"/>
      <w:r>
        <w:rPr>
          <w:rFonts w:hint="eastAsia" w:ascii="仿宋" w:hAnsi="仿宋" w:eastAsia="仿宋"/>
          <w:b/>
          <w:color w:val="000000" w:themeColor="text1"/>
          <w:sz w:val="32"/>
          <w:szCs w:val="32"/>
          <w:lang w:val="en-US" w:eastAsia="zh-CN"/>
          <w14:textFill>
            <w14:solidFill>
              <w14:schemeClr w14:val="tx1"/>
            </w14:solidFill>
          </w14:textFill>
        </w:rPr>
        <w:t>2020</w:t>
      </w:r>
      <w:r>
        <w:rPr>
          <w:rFonts w:hint="eastAsia" w:ascii="仿宋" w:hAnsi="仿宋" w:eastAsia="仿宋"/>
          <w:b/>
          <w:color w:val="000000" w:themeColor="text1"/>
          <w:sz w:val="32"/>
          <w:szCs w:val="32"/>
          <w14:textFill>
            <w14:solidFill>
              <w14:schemeClr w14:val="tx1"/>
            </w14:solidFill>
          </w14:textFill>
        </w:rPr>
        <w:t>年一般公共预算支出决算数为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2118.4656</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5"/>
      <w:bookmarkEnd w:id="36"/>
      <w:bookmarkEnd w:id="37"/>
    </w:p>
    <w:p>
      <w:pPr>
        <w:numPr>
          <w:ilvl w:val="0"/>
          <w:numId w:val="0"/>
        </w:num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476.4660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人大事务行政运行支出决算为</w:t>
      </w:r>
      <w:r>
        <w:rPr>
          <w:rStyle w:val="14"/>
          <w:rFonts w:hint="eastAsia" w:ascii="仿宋" w:hAnsi="仿宋" w:eastAsia="仿宋"/>
          <w:b w:val="0"/>
          <w:bCs/>
          <w:color w:val="000000"/>
          <w:sz w:val="32"/>
          <w:szCs w:val="32"/>
          <w:lang w:val="en-US" w:eastAsia="zh-CN"/>
        </w:rPr>
        <w:t xml:space="preserve">8.2828万元，完成预算100%；人大监督支出决算为4.2150万元，完成预算100%；人大事务代表工作支出预算为3.7700万元，完成预算100%.行政运行支出决算为304.3276万元，完成预算100%；信访事务支出决算为30万，完成预算100%；事业运行支出决算为52.7152万元，完成预算100%；其他政府办公厅（室）及相关机构事务支出决算为13.7745万元，完成预算100%；统计信息事务支出决算为4.6万，完成预算100%；纪检监察事务12.64万，完成预算100%；群众团体事务支出决算为3万元，完成预算100%；其他党委办公厅（室）及相关机构事务支出决算为39.1409万元，完成预算100%。 </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文化体育与传媒</w:t>
      </w:r>
      <w:r>
        <w:rPr>
          <w:rStyle w:val="14"/>
          <w:rFonts w:hint="eastAsia" w:ascii="仿宋" w:hAnsi="仿宋" w:eastAsia="仿宋"/>
          <w:bCs/>
          <w:color w:val="000000"/>
          <w:sz w:val="32"/>
          <w:szCs w:val="32"/>
          <w:lang w:eastAsia="zh-CN"/>
        </w:rPr>
        <w:t>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24.4122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群众文化支出决算为</w:t>
      </w:r>
      <w:r>
        <w:rPr>
          <w:rStyle w:val="14"/>
          <w:rFonts w:hint="eastAsia" w:ascii="仿宋" w:hAnsi="仿宋" w:eastAsia="仿宋"/>
          <w:b w:val="0"/>
          <w:bCs/>
          <w:color w:val="000000"/>
          <w:sz w:val="32"/>
          <w:szCs w:val="32"/>
          <w:lang w:val="en-US" w:eastAsia="zh-CN"/>
        </w:rPr>
        <w:t>1万，完成预算100%；广播支出决算为23.4122万元，完成预算100%。</w:t>
      </w:r>
    </w:p>
    <w:p>
      <w:pPr>
        <w:spacing w:line="600" w:lineRule="exact"/>
        <w:ind w:firstLine="642" w:firstLineChars="200"/>
        <w:rPr>
          <w:rFonts w:hint="default" w:ascii="仿宋" w:hAnsi="仿宋" w:eastAsia="仿宋"/>
          <w:b/>
          <w:color w:val="000000"/>
          <w:sz w:val="32"/>
          <w:szCs w:val="32"/>
          <w:lang w:val="en-US" w:eastAsia="zh-CN"/>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175.5401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。人力资源和社会保障事务管理支出决算为</w:t>
      </w:r>
      <w:r>
        <w:rPr>
          <w:rStyle w:val="14"/>
          <w:rFonts w:hint="eastAsia" w:ascii="仿宋" w:hAnsi="仿宋" w:eastAsia="仿宋"/>
          <w:b w:val="0"/>
          <w:bCs/>
          <w:color w:val="000000"/>
          <w:sz w:val="32"/>
          <w:szCs w:val="32"/>
          <w:lang w:val="en-US" w:eastAsia="zh-CN"/>
        </w:rPr>
        <w:t>36万元，完成预算100%；民政管理事务支出决算为70万元，完成预算100%；行政事业单位养老</w:t>
      </w:r>
      <w:r>
        <w:rPr>
          <w:rStyle w:val="14"/>
          <w:rFonts w:hint="eastAsia" w:ascii="仿宋" w:hAnsi="仿宋" w:eastAsia="仿宋"/>
          <w:b w:val="0"/>
          <w:bCs/>
          <w:color w:val="000000"/>
          <w:sz w:val="32"/>
          <w:szCs w:val="32"/>
          <w:lang w:eastAsia="zh-CN"/>
        </w:rPr>
        <w:t>支出决算为</w:t>
      </w:r>
      <w:r>
        <w:rPr>
          <w:rStyle w:val="14"/>
          <w:rFonts w:hint="eastAsia" w:ascii="仿宋" w:hAnsi="仿宋" w:eastAsia="仿宋"/>
          <w:b w:val="0"/>
          <w:bCs/>
          <w:color w:val="000000"/>
          <w:sz w:val="32"/>
          <w:szCs w:val="32"/>
          <w:lang w:val="en-US" w:eastAsia="zh-CN"/>
        </w:rPr>
        <w:t>66.0278万元，完成预算100%；抚恤</w:t>
      </w:r>
      <w:r>
        <w:rPr>
          <w:rStyle w:val="14"/>
          <w:rFonts w:hint="eastAsia" w:ascii="仿宋" w:hAnsi="仿宋" w:eastAsia="仿宋"/>
          <w:b w:val="0"/>
          <w:bCs/>
          <w:color w:val="000000"/>
          <w:sz w:val="32"/>
          <w:szCs w:val="32"/>
          <w:lang w:eastAsia="zh-CN"/>
        </w:rPr>
        <w:t>支出决算为</w:t>
      </w:r>
      <w:r>
        <w:rPr>
          <w:rStyle w:val="14"/>
          <w:rFonts w:hint="eastAsia" w:ascii="仿宋" w:hAnsi="仿宋" w:eastAsia="仿宋"/>
          <w:b w:val="0"/>
          <w:bCs/>
          <w:color w:val="000000"/>
          <w:sz w:val="32"/>
          <w:szCs w:val="32"/>
          <w:lang w:val="en-US" w:eastAsia="zh-CN"/>
        </w:rPr>
        <w:t>1.8684万元，完成预算100%；社会福利支出决算为0.3万元，完成预算100%；其他社会保障和就业支出1.3439万元，完成预算100%。</w:t>
      </w:r>
    </w:p>
    <w:p>
      <w:pPr>
        <w:spacing w:line="600" w:lineRule="exact"/>
        <w:ind w:firstLine="642" w:firstLineChars="200"/>
        <w:rPr>
          <w:rFonts w:hint="default" w:ascii="仿宋" w:hAnsi="仿宋" w:eastAsia="仿宋"/>
          <w:b/>
          <w:color w:val="000000"/>
          <w:sz w:val="32"/>
          <w:szCs w:val="32"/>
          <w:lang w:val="en-US" w:eastAsia="zh-CN"/>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医疗卫生与计划生育支出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56.7642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val="en-US" w:eastAsia="zh-CN"/>
        </w:rPr>
        <w:t>行政事业单位医疗支出决算为31.7042万元，完成预算100%；公共卫生支出决算25万，完成预算100%；计划生育事务支出决算0.06万，完成预算100%；。</w:t>
      </w:r>
    </w:p>
    <w:p>
      <w:pPr>
        <w:spacing w:line="600" w:lineRule="exact"/>
        <w:ind w:firstLine="642" w:firstLineChars="200"/>
        <w:rPr>
          <w:rFonts w:hint="default" w:ascii="仿宋" w:hAnsi="仿宋" w:eastAsia="仿宋"/>
          <w:b/>
          <w:color w:val="000000"/>
          <w:sz w:val="32"/>
          <w:szCs w:val="32"/>
          <w:lang w:val="en-US" w:eastAsia="zh-CN"/>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城乡社区支出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48.8058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城乡社区环境卫生支出决算为</w:t>
      </w:r>
      <w:r>
        <w:rPr>
          <w:rStyle w:val="14"/>
          <w:rFonts w:hint="eastAsia" w:ascii="仿宋" w:hAnsi="仿宋" w:eastAsia="仿宋"/>
          <w:b w:val="0"/>
          <w:bCs/>
          <w:color w:val="000000"/>
          <w:sz w:val="32"/>
          <w:szCs w:val="32"/>
          <w:lang w:val="en-US" w:eastAsia="zh-CN"/>
        </w:rPr>
        <w:t>48.8058万元，完成预算100%。</w:t>
      </w:r>
    </w:p>
    <w:p>
      <w:pPr>
        <w:spacing w:line="600" w:lineRule="exact"/>
        <w:ind w:firstLine="642" w:firstLineChars="200"/>
        <w:rPr>
          <w:rStyle w:val="14"/>
          <w:rFonts w:hint="eastAsia" w:ascii="仿宋" w:hAnsi="仿宋" w:eastAsia="仿宋"/>
          <w:b w:val="0"/>
          <w:bCs/>
          <w:color w:val="000000"/>
          <w:sz w:val="32"/>
          <w:szCs w:val="32"/>
          <w:lang w:val="en-US" w:eastAsia="zh-CN"/>
        </w:rPr>
      </w:pPr>
      <w:r>
        <w:rPr>
          <w:rFonts w:hint="eastAsia" w:ascii="仿宋" w:hAnsi="仿宋" w:eastAsia="仿宋"/>
          <w:b/>
          <w:bCs/>
          <w:color w:val="000000"/>
          <w:sz w:val="32"/>
          <w:szCs w:val="32"/>
          <w:lang w:val="en-US" w:eastAsia="zh-CN"/>
        </w:rPr>
        <w:t>6.农林水支出：</w:t>
      </w:r>
      <w:r>
        <w:rPr>
          <w:rFonts w:hint="eastAsia" w:ascii="仿宋" w:hAnsi="仿宋" w:eastAsia="仿宋"/>
          <w:b w:val="0"/>
          <w:bCs w:val="0"/>
          <w:color w:val="000000"/>
          <w:sz w:val="32"/>
          <w:szCs w:val="32"/>
          <w:lang w:val="en-US" w:eastAsia="zh-CN"/>
        </w:rPr>
        <w:t>支出决算为1259.3244万元，完成预算100%。农业农村支出决算为634.3354万元，</w:t>
      </w:r>
      <w:r>
        <w:rPr>
          <w:rStyle w:val="14"/>
          <w:rFonts w:hint="eastAsia" w:ascii="仿宋" w:hAnsi="仿宋" w:eastAsia="仿宋"/>
          <w:b w:val="0"/>
          <w:bCs/>
          <w:color w:val="000000"/>
          <w:sz w:val="32"/>
          <w:szCs w:val="32"/>
          <w:lang w:val="en-US" w:eastAsia="zh-CN"/>
        </w:rPr>
        <w:t>完成预算100%；林业和草原事业机构支出决算为19.7716万元，完成预算100%；其他扶贫支出决算为37.44万元，完成预算100%；农村综合改革支出决算为567.7774万元，完成预算100%。</w:t>
      </w:r>
    </w:p>
    <w:p>
      <w:pPr>
        <w:spacing w:line="600" w:lineRule="exact"/>
        <w:ind w:firstLine="642" w:firstLineChars="200"/>
        <w:rPr>
          <w:rFonts w:hint="eastAsia" w:ascii="仿宋" w:hAnsi="仿宋" w:eastAsia="仿宋"/>
          <w:b w:val="0"/>
          <w:bCs w:val="0"/>
          <w:color w:val="000000"/>
          <w:sz w:val="32"/>
          <w:szCs w:val="32"/>
          <w:lang w:val="en-US" w:eastAsia="zh-CN"/>
        </w:rPr>
      </w:pPr>
      <w:r>
        <w:rPr>
          <w:rStyle w:val="14"/>
          <w:rFonts w:hint="eastAsia" w:ascii="仿宋" w:hAnsi="仿宋" w:eastAsia="仿宋"/>
          <w:b/>
          <w:bCs w:val="0"/>
          <w:color w:val="000000"/>
          <w:sz w:val="32"/>
          <w:szCs w:val="32"/>
          <w:lang w:val="en-US" w:eastAsia="zh-CN"/>
        </w:rPr>
        <w:t>7.住房保障支出：</w:t>
      </w:r>
      <w:r>
        <w:rPr>
          <w:rFonts w:hint="eastAsia" w:ascii="仿宋" w:hAnsi="仿宋" w:eastAsia="仿宋"/>
          <w:b w:val="0"/>
          <w:bCs w:val="0"/>
          <w:color w:val="000000"/>
          <w:sz w:val="32"/>
          <w:szCs w:val="32"/>
          <w:lang w:val="en-US" w:eastAsia="zh-CN"/>
        </w:rPr>
        <w:t>支出决算为75.6529万元，完成预算100%。住房公积金支出决算为75.6529万元，完成预算100%。</w:t>
      </w:r>
    </w:p>
    <w:p>
      <w:pPr>
        <w:pStyle w:val="2"/>
        <w:tabs>
          <w:tab w:val="left" w:pos="816"/>
          <w:tab w:val="clear" w:pos="4153"/>
        </w:tabs>
        <w:ind w:firstLine="640" w:firstLineChars="200"/>
        <w:rPr>
          <w:rFonts w:hint="default"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b w:val="0"/>
          <w:bCs w:val="0"/>
          <w:color w:val="000000"/>
          <w:sz w:val="32"/>
          <w:szCs w:val="32"/>
          <w:lang w:val="en-US" w:eastAsia="zh-CN"/>
        </w:rPr>
        <w:t>8、</w:t>
      </w:r>
      <w:r>
        <w:rPr>
          <w:rFonts w:hint="eastAsia" w:ascii="仿宋" w:hAnsi="仿宋" w:eastAsia="仿宋" w:cs="Times New Roman"/>
          <w:b/>
          <w:color w:val="000000" w:themeColor="text1"/>
          <w:kern w:val="2"/>
          <w:sz w:val="32"/>
          <w:szCs w:val="32"/>
          <w:lang w:val="en-US" w:eastAsia="zh-CN" w:bidi="ar-SA"/>
          <w14:textFill>
            <w14:solidFill>
              <w14:schemeClr w14:val="tx1"/>
            </w14:solidFill>
          </w14:textFill>
        </w:rPr>
        <w:t>灾害防治及应急管理</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支出：支出决算为3.5万，</w:t>
      </w:r>
      <w:bookmarkStart w:id="38" w:name="_Toc15396608"/>
      <w:bookmarkStart w:id="39" w:name="_Toc15377214"/>
      <w:r>
        <w:rPr>
          <w:rStyle w:val="14"/>
          <w:rFonts w:hint="eastAsia" w:ascii="仿宋" w:hAnsi="仿宋" w:eastAsia="仿宋"/>
          <w:b w:val="0"/>
          <w:bCs/>
          <w:color w:val="000000"/>
          <w:sz w:val="32"/>
          <w:szCs w:val="32"/>
          <w:lang w:val="en-US" w:eastAsia="zh-CN"/>
        </w:rPr>
        <w:t>完成预算100%，安全监管支出决算为3.5万，完成预算100%。</w:t>
      </w:r>
    </w:p>
    <w:p>
      <w:pPr>
        <w:tabs>
          <w:tab w:val="right" w:pos="8306"/>
        </w:tabs>
        <w:spacing w:line="600" w:lineRule="exact"/>
        <w:ind w:firstLine="640"/>
        <w:outlineLvl w:val="1"/>
        <w:rPr>
          <w:rStyle w:val="26"/>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8"/>
      <w:bookmarkEnd w:id="39"/>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1500.9941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1230.9077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b/>
          <w:bCs/>
          <w:color w:val="C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270.0864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4.9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Style w:val="14"/>
          <w:rFonts w:hint="eastAsia" w:ascii="仿宋" w:hAnsi="仿宋" w:eastAsia="仿宋"/>
          <w:b w:val="0"/>
          <w:bCs/>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4.9</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0.25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5.16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人员增加</w:t>
      </w:r>
      <w:r>
        <w:rPr>
          <w:rFonts w:hint="eastAsia" w:ascii="仿宋_GB2312" w:eastAsia="仿宋_GB2312"/>
          <w:color w:val="000000"/>
          <w:sz w:val="32"/>
          <w:szCs w:val="32"/>
        </w:rPr>
        <w:t>。</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61</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300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4.9</w:t>
      </w:r>
      <w:r>
        <w:rPr>
          <w:rFonts w:hint="eastAsia" w:ascii="仿宋_GB2312" w:eastAsia="仿宋_GB2312"/>
          <w:color w:val="000000"/>
          <w:sz w:val="32"/>
          <w:szCs w:val="32"/>
        </w:rPr>
        <w:t>万元，具体内容包括：</w:t>
      </w:r>
      <w:r>
        <w:rPr>
          <w:rFonts w:hint="eastAsia" w:ascii="仿宋" w:hAnsi="仿宋" w:eastAsia="仿宋" w:cs="仿宋"/>
          <w:sz w:val="32"/>
          <w:szCs w:val="32"/>
        </w:rPr>
        <w:t>接待市县级来人开展工作</w:t>
      </w:r>
      <w:r>
        <w:rPr>
          <w:rFonts w:hint="eastAsia" w:ascii="仿宋" w:hAnsi="仿宋" w:eastAsia="仿宋" w:cs="仿宋"/>
          <w:sz w:val="32"/>
          <w:szCs w:val="32"/>
          <w:lang w:eastAsia="zh-CN"/>
        </w:rPr>
        <w:t>检查。</w:t>
      </w:r>
    </w:p>
    <w:p>
      <w:pPr>
        <w:spacing w:line="600" w:lineRule="exact"/>
        <w:ind w:firstLine="642" w:firstLineChars="200"/>
        <w:rPr>
          <w:rFonts w:hint="eastAsia" w:ascii="仿宋" w:hAnsi="仿宋" w:eastAsia="仿宋_GB2312"/>
          <w:b/>
          <w:color w:val="C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bookmarkStart w:id="44" w:name="_Toc15377218"/>
      <w:bookmarkStart w:id="45" w:name="_Toc15396610"/>
      <w:r>
        <w:rPr>
          <w:rFonts w:hint="eastAsia" w:ascii="仿宋_GB2312" w:eastAsia="仿宋_GB2312"/>
          <w:color w:val="000000"/>
          <w:sz w:val="32"/>
          <w:szCs w:val="32"/>
          <w:lang w:eastAsia="zh-CN"/>
        </w:rPr>
        <w:t>。</w:t>
      </w: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4"/>
      <w:bookmarkEnd w:id="45"/>
    </w:p>
    <w:p>
      <w:pPr>
        <w:spacing w:line="600" w:lineRule="exact"/>
        <w:ind w:firstLine="64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100%。抗议相关支出10万，</w:t>
      </w:r>
      <w:r>
        <w:rPr>
          <w:rStyle w:val="14"/>
          <w:rFonts w:hint="eastAsia" w:ascii="仿宋" w:hAnsi="仿宋" w:eastAsia="仿宋"/>
          <w:b w:val="0"/>
          <w:bCs/>
          <w:color w:val="000000"/>
          <w:sz w:val="32"/>
          <w:szCs w:val="32"/>
          <w:lang w:val="en-US" w:eastAsia="zh-CN"/>
        </w:rPr>
        <w:t>完成预算100%；农村基础设施建设支出3万，完成预算100%。</w:t>
      </w:r>
    </w:p>
    <w:p>
      <w:pPr>
        <w:numPr>
          <w:ilvl w:val="0"/>
          <w:numId w:val="2"/>
        </w:numPr>
        <w:spacing w:line="600" w:lineRule="exact"/>
        <w:ind w:firstLine="640"/>
        <w:outlineLvl w:val="1"/>
        <w:rPr>
          <w:rStyle w:val="26"/>
          <w:rFonts w:ascii="黑体" w:hAnsi="黑体" w:eastAsia="黑体"/>
          <w:b w:val="0"/>
        </w:rPr>
      </w:pPr>
      <w:bookmarkStart w:id="46" w:name="_Toc15396611"/>
      <w:bookmarkStart w:id="47" w:name="_Toc15377219"/>
      <w:r>
        <w:rPr>
          <w:rStyle w:val="26"/>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30"/>
        <w:numPr>
          <w:ilvl w:val="0"/>
          <w:numId w:val="3"/>
        </w:numPr>
        <w:spacing w:line="580" w:lineRule="exact"/>
        <w:ind w:firstLineChars="0"/>
        <w:rPr>
          <w:rFonts w:ascii="仿宋" w:hAnsi="仿宋" w:eastAsia="仿宋" w:cs="楷体_GB2312"/>
          <w:b/>
          <w:bCs/>
          <w:sz w:val="32"/>
          <w:szCs w:val="32"/>
        </w:rPr>
      </w:pPr>
      <w:bookmarkStart w:id="48" w:name="_Toc15377221"/>
      <w:bookmarkStart w:id="49" w:name="_Toc15396612"/>
      <w:r>
        <w:rPr>
          <w:rStyle w:val="26"/>
          <w:rFonts w:hint="eastAsia" w:ascii="黑体" w:hAnsi="黑体" w:eastAsia="黑体" w:cs="黑体"/>
          <w:b w:val="0"/>
        </w:rPr>
        <w:t>预算绩效情况说明</w:t>
      </w:r>
    </w:p>
    <w:p>
      <w:pPr>
        <w:spacing w:line="580" w:lineRule="exact"/>
        <w:rPr>
          <w:rFonts w:ascii="仿宋" w:hAnsi="仿宋" w:eastAsia="仿宋" w:cs="楷体_GB2312"/>
          <w:b/>
          <w:bCs/>
          <w:sz w:val="32"/>
          <w:szCs w:val="32"/>
        </w:rPr>
      </w:pPr>
      <w:r>
        <w:rPr>
          <w:rFonts w:hint="eastAsia" w:ascii="仿宋" w:hAnsi="仿宋" w:eastAsia="仿宋" w:cs="楷体_GB2312"/>
          <w:b/>
          <w:bCs/>
          <w:sz w:val="32"/>
          <w:szCs w:val="32"/>
        </w:rPr>
        <w:t xml:space="preserve">    （一）预算绩效管理工作开展情况。</w:t>
      </w:r>
    </w:p>
    <w:p>
      <w:pPr>
        <w:spacing w:line="520" w:lineRule="exact"/>
        <w:ind w:firstLine="600" w:firstLineChars="200"/>
        <w:rPr>
          <w:rFonts w:ascii="方正仿宋_GBK" w:hAnsi="仿宋" w:eastAsia="方正仿宋_GBK" w:cs="仿宋_GB2312"/>
          <w:sz w:val="30"/>
          <w:szCs w:val="30"/>
        </w:rPr>
      </w:pPr>
      <w:r>
        <w:rPr>
          <w:rFonts w:hint="eastAsia" w:ascii="方正仿宋_GBK" w:hAnsi="仿宋" w:eastAsia="方正仿宋_GBK" w:cs="仿宋_GB2312"/>
          <w:sz w:val="30"/>
          <w:szCs w:val="30"/>
        </w:rPr>
        <w:t>根据预算绩效管理要求，本部门（单位）在年初预算编制阶段，组织对</w:t>
      </w:r>
      <w:r>
        <w:rPr>
          <w:rFonts w:hint="eastAsia" w:ascii="仿宋" w:hAnsi="仿宋" w:eastAsia="仿宋" w:cs="仿宋"/>
          <w:sz w:val="32"/>
          <w:szCs w:val="32"/>
        </w:rPr>
        <w:t>安全生产经费、</w:t>
      </w:r>
      <w:r>
        <w:rPr>
          <w:rFonts w:hint="eastAsia" w:ascii="仿宋" w:hAnsi="仿宋" w:eastAsia="仿宋" w:cs="仿宋"/>
          <w:sz w:val="32"/>
          <w:szCs w:val="32"/>
          <w:lang w:eastAsia="zh-CN"/>
        </w:rPr>
        <w:t>党建工作经费、环境卫生经费、纪检工作经费、</w:t>
      </w:r>
      <w:r>
        <w:rPr>
          <w:rFonts w:hint="eastAsia" w:ascii="仿宋" w:hAnsi="仿宋" w:eastAsia="仿宋" w:cs="仿宋"/>
          <w:sz w:val="32"/>
          <w:szCs w:val="32"/>
        </w:rPr>
        <w:t>老人活动经费、人大代表经费、</w:t>
      </w:r>
      <w:r>
        <w:rPr>
          <w:rFonts w:hint="eastAsia" w:ascii="仿宋" w:hAnsi="仿宋" w:eastAsia="仿宋" w:cs="仿宋"/>
          <w:sz w:val="32"/>
          <w:szCs w:val="32"/>
          <w:lang w:val="en-US" w:eastAsia="zh-CN"/>
        </w:rPr>
        <w:t>农村公共服务运行维护</w:t>
      </w:r>
      <w:r>
        <w:rPr>
          <w:rFonts w:hint="eastAsia" w:ascii="仿宋" w:hAnsi="仿宋" w:eastAsia="仿宋" w:cs="仿宋"/>
          <w:sz w:val="32"/>
          <w:szCs w:val="32"/>
          <w:lang w:eastAsia="zh-CN"/>
        </w:rPr>
        <w:t>费、征兵经费</w:t>
      </w:r>
      <w:r>
        <w:rPr>
          <w:rFonts w:hint="eastAsia" w:ascii="方正仿宋_GBK" w:hAnsi="仿宋" w:eastAsia="方正仿宋_GBK" w:cs="仿宋_GB2312"/>
          <w:sz w:val="30"/>
          <w:szCs w:val="30"/>
        </w:rPr>
        <w:t>项目开展了预算事前绩效评估，对</w:t>
      </w:r>
      <w:r>
        <w:rPr>
          <w:rFonts w:hint="eastAsia" w:ascii="方正仿宋_GBK" w:hAnsi="仿宋" w:eastAsia="方正仿宋_GBK" w:cs="仿宋_GB2312"/>
          <w:sz w:val="30"/>
          <w:szCs w:val="30"/>
          <w:lang w:val="en-US" w:eastAsia="zh-CN"/>
        </w:rPr>
        <w:t>8</w:t>
      </w:r>
      <w:r>
        <w:rPr>
          <w:rFonts w:hint="eastAsia" w:ascii="方正仿宋_GBK" w:hAnsi="仿宋" w:eastAsia="方正仿宋_GBK" w:cs="仿宋_GB2312"/>
          <w:sz w:val="30"/>
          <w:szCs w:val="30"/>
        </w:rPr>
        <w:t>个项目编制了绩效目标，预算执行过程中，选取</w:t>
      </w:r>
      <w:r>
        <w:rPr>
          <w:rFonts w:hint="eastAsia" w:ascii="方正仿宋_GBK" w:hAnsi="仿宋" w:eastAsia="方正仿宋_GBK" w:cs="仿宋_GB2312"/>
          <w:sz w:val="30"/>
          <w:szCs w:val="30"/>
          <w:lang w:val="en-US" w:eastAsia="zh-CN"/>
        </w:rPr>
        <w:t>8</w:t>
      </w:r>
      <w:r>
        <w:rPr>
          <w:rFonts w:hint="eastAsia" w:ascii="方正仿宋_GBK" w:hAnsi="仿宋" w:eastAsia="方正仿宋_GBK" w:cs="仿宋_GB2312"/>
          <w:sz w:val="30"/>
          <w:szCs w:val="30"/>
        </w:rPr>
        <w:t>个项目开展绩效监控，年终执行完毕后，对</w:t>
      </w:r>
      <w:r>
        <w:rPr>
          <w:rFonts w:hint="eastAsia" w:ascii="方正仿宋_GBK" w:hAnsi="仿宋" w:eastAsia="方正仿宋_GBK" w:cs="仿宋_GB2312"/>
          <w:sz w:val="30"/>
          <w:szCs w:val="30"/>
          <w:lang w:val="en-US" w:eastAsia="zh-CN"/>
        </w:rPr>
        <w:t>8个</w:t>
      </w:r>
      <w:r>
        <w:rPr>
          <w:rFonts w:hint="eastAsia" w:ascii="方正仿宋_GBK" w:hAnsi="仿宋" w:eastAsia="方正仿宋_GBK" w:cs="仿宋_GB2312"/>
          <w:sz w:val="30"/>
          <w:szCs w:val="30"/>
        </w:rPr>
        <w:t>项目开展了绩效目标完成情况梳理填报。</w:t>
      </w:r>
    </w:p>
    <w:p>
      <w:pPr>
        <w:spacing w:line="520" w:lineRule="exact"/>
        <w:ind w:firstLine="600" w:firstLineChars="200"/>
      </w:pPr>
      <w:r>
        <w:rPr>
          <w:rFonts w:hint="eastAsia" w:ascii="方正仿宋_GBK" w:hAnsi="仿宋" w:eastAsia="方正仿宋_GBK" w:cs="仿宋_GB2312"/>
          <w:sz w:val="30"/>
          <w:szCs w:val="30"/>
        </w:rPr>
        <w:t>本部门按要求对20</w:t>
      </w:r>
      <w:r>
        <w:rPr>
          <w:rFonts w:hint="eastAsia" w:ascii="方正仿宋_GBK" w:hAnsi="仿宋" w:eastAsia="方正仿宋_GBK" w:cs="仿宋_GB2312"/>
          <w:sz w:val="30"/>
          <w:szCs w:val="30"/>
          <w:lang w:val="en-US" w:eastAsia="zh-CN"/>
        </w:rPr>
        <w:t>20</w:t>
      </w:r>
      <w:r>
        <w:rPr>
          <w:rFonts w:hint="eastAsia" w:ascii="方正仿宋_GBK" w:hAnsi="仿宋" w:eastAsia="方正仿宋_GBK" w:cs="仿宋_GB2312"/>
          <w:sz w:val="30"/>
          <w:szCs w:val="30"/>
        </w:rPr>
        <w:t>年部门整体支出开展绩效自评，从评价情况来看我镇对整体支出控制良好，各项绩效掌握良好。本部门还自行组织了</w:t>
      </w:r>
      <w:r>
        <w:rPr>
          <w:rFonts w:hint="eastAsia" w:ascii="方正仿宋_GBK" w:hAnsi="仿宋" w:eastAsia="方正仿宋_GBK" w:cs="仿宋_GB2312"/>
          <w:sz w:val="30"/>
          <w:szCs w:val="30"/>
          <w:lang w:val="en-US" w:eastAsia="zh-CN"/>
        </w:rPr>
        <w:t>8</w:t>
      </w:r>
      <w:r>
        <w:rPr>
          <w:rFonts w:hint="eastAsia" w:ascii="方正仿宋_GBK" w:hAnsi="仿宋" w:eastAsia="方正仿宋_GBK" w:cs="仿宋_GB2312"/>
          <w:sz w:val="30"/>
          <w:szCs w:val="30"/>
        </w:rPr>
        <w:t>个项目绩效评价，从评价情况来看整体效益好，得到的社会满意度高，同时促进了本单位的正常运转。</w:t>
      </w:r>
    </w:p>
    <w:p>
      <w:pPr>
        <w:spacing w:line="520" w:lineRule="exact"/>
        <w:ind w:firstLine="602" w:firstLineChars="200"/>
      </w:pPr>
      <w:r>
        <w:rPr>
          <w:rFonts w:hint="eastAsia" w:ascii="方正仿宋_GBK" w:hAnsi="仿宋" w:eastAsia="方正仿宋_GBK" w:cs="楷体_GB2312"/>
          <w:b/>
          <w:bCs/>
          <w:sz w:val="30"/>
          <w:szCs w:val="30"/>
          <w:lang w:eastAsia="zh-CN"/>
        </w:rPr>
        <w:t>（二）</w:t>
      </w:r>
      <w:r>
        <w:rPr>
          <w:rFonts w:hint="eastAsia" w:ascii="方正仿宋_GBK" w:hAnsi="仿宋" w:eastAsia="方正仿宋_GBK" w:cs="楷体_GB2312"/>
          <w:b/>
          <w:bCs/>
          <w:sz w:val="30"/>
          <w:szCs w:val="30"/>
        </w:rPr>
        <w:t>项目绩效目标完成情况。</w:t>
      </w:r>
      <w:r>
        <w:rPr>
          <w:rFonts w:hint="eastAsia" w:ascii="方正仿宋_GBK" w:hAnsi="仿宋" w:eastAsia="方正仿宋_GBK" w:cs="楷体_GB2312"/>
          <w:b/>
          <w:bCs/>
          <w:sz w:val="30"/>
          <w:szCs w:val="30"/>
        </w:rPr>
        <w:br w:type="textWrapping"/>
      </w:r>
      <w:r>
        <w:rPr>
          <w:rFonts w:hint="eastAsia" w:ascii="方正仿宋_GBK" w:hAnsi="仿宋" w:eastAsia="方正仿宋_GBK" w:cs="仿宋_GB2312"/>
          <w:sz w:val="30"/>
          <w:szCs w:val="30"/>
        </w:rPr>
        <w:t xml:space="preserve">    本部门在20</w:t>
      </w:r>
      <w:r>
        <w:rPr>
          <w:rFonts w:hint="eastAsia" w:ascii="方正仿宋_GBK" w:hAnsi="仿宋" w:eastAsia="方正仿宋_GBK" w:cs="仿宋_GB2312"/>
          <w:sz w:val="30"/>
          <w:szCs w:val="30"/>
          <w:lang w:val="en-US" w:eastAsia="zh-CN"/>
        </w:rPr>
        <w:t>20</w:t>
      </w:r>
      <w:r>
        <w:rPr>
          <w:rFonts w:hint="eastAsia" w:ascii="方正仿宋_GBK" w:hAnsi="仿宋" w:eastAsia="方正仿宋_GBK" w:cs="仿宋_GB2312"/>
          <w:sz w:val="30"/>
          <w:szCs w:val="30"/>
        </w:rPr>
        <w:t>年度部门决算中反映</w:t>
      </w:r>
      <w:r>
        <w:rPr>
          <w:rFonts w:hint="eastAsia" w:ascii="仿宋" w:hAnsi="仿宋" w:eastAsia="仿宋" w:cs="仿宋"/>
          <w:sz w:val="32"/>
          <w:szCs w:val="32"/>
        </w:rPr>
        <w:t>安全生产经费、</w:t>
      </w:r>
      <w:r>
        <w:rPr>
          <w:rFonts w:hint="eastAsia" w:ascii="仿宋" w:hAnsi="仿宋" w:eastAsia="仿宋" w:cs="仿宋"/>
          <w:sz w:val="32"/>
          <w:szCs w:val="32"/>
          <w:lang w:eastAsia="zh-CN"/>
        </w:rPr>
        <w:t>党建工作经费、环境卫生经费、纪检工作经费、</w:t>
      </w:r>
      <w:r>
        <w:rPr>
          <w:rFonts w:hint="eastAsia" w:ascii="仿宋" w:hAnsi="仿宋" w:eastAsia="仿宋" w:cs="仿宋"/>
          <w:sz w:val="32"/>
          <w:szCs w:val="32"/>
        </w:rPr>
        <w:t>老人活动经费、人大代表经费、</w:t>
      </w:r>
      <w:r>
        <w:rPr>
          <w:rFonts w:hint="eastAsia" w:ascii="仿宋" w:hAnsi="仿宋" w:eastAsia="仿宋" w:cs="仿宋"/>
          <w:sz w:val="32"/>
          <w:szCs w:val="32"/>
          <w:lang w:val="en-US" w:eastAsia="zh-CN"/>
        </w:rPr>
        <w:t>农村公共服务运行维护</w:t>
      </w:r>
      <w:r>
        <w:rPr>
          <w:rFonts w:hint="eastAsia" w:ascii="仿宋" w:hAnsi="仿宋" w:eastAsia="仿宋" w:cs="仿宋"/>
          <w:sz w:val="32"/>
          <w:szCs w:val="32"/>
          <w:lang w:eastAsia="zh-CN"/>
        </w:rPr>
        <w:t>费、征兵经费</w:t>
      </w:r>
      <w:r>
        <w:rPr>
          <w:rFonts w:hint="eastAsia" w:ascii="方正仿宋_GBK" w:hAnsi="仿宋" w:eastAsia="方正仿宋_GBK" w:cs="仿宋_GB2312"/>
          <w:sz w:val="30"/>
          <w:szCs w:val="30"/>
          <w:lang w:val="en-US" w:eastAsia="zh-CN"/>
        </w:rPr>
        <w:t>8</w:t>
      </w:r>
      <w:r>
        <w:rPr>
          <w:rFonts w:hint="eastAsia" w:ascii="方正仿宋_GBK" w:hAnsi="仿宋" w:eastAsia="方正仿宋_GBK" w:cs="仿宋_GB2312"/>
          <w:sz w:val="30"/>
          <w:szCs w:val="30"/>
        </w:rPr>
        <w:t>个项目绩效目标实际完成情况。</w:t>
      </w:r>
      <w:r>
        <w:rPr>
          <w:rFonts w:hint="eastAsia" w:ascii="仿宋" w:hAnsi="仿宋" w:eastAsia="仿宋" w:cs="仿宋"/>
          <w:color w:val="000000" w:themeColor="text1"/>
          <w:sz w:val="32"/>
          <w:szCs w:val="32"/>
          <w14:textFill>
            <w14:solidFill>
              <w14:schemeClr w14:val="tx1"/>
            </w14:solidFill>
          </w14:textFill>
        </w:rPr>
        <w:t>受监专项预算安排资金</w:t>
      </w:r>
      <w:r>
        <w:rPr>
          <w:rFonts w:hint="eastAsia" w:ascii="仿宋" w:hAnsi="仿宋" w:eastAsia="仿宋" w:cs="仿宋"/>
          <w:color w:val="000000" w:themeColor="text1"/>
          <w:sz w:val="32"/>
          <w:szCs w:val="32"/>
          <w:lang w:val="en-US" w:eastAsia="zh-CN"/>
          <w14:textFill>
            <w14:solidFill>
              <w14:schemeClr w14:val="tx1"/>
            </w14:solidFill>
          </w14:textFill>
        </w:rPr>
        <w:t>133.57</w:t>
      </w:r>
      <w:r>
        <w:rPr>
          <w:rFonts w:hint="eastAsia" w:ascii="仿宋" w:hAnsi="仿宋" w:eastAsia="仿宋" w:cs="仿宋"/>
          <w:color w:val="000000" w:themeColor="text1"/>
          <w:sz w:val="32"/>
          <w:szCs w:val="32"/>
          <w14:textFill>
            <w14:solidFill>
              <w14:schemeClr w14:val="tx1"/>
            </w14:solidFill>
          </w14:textFill>
        </w:rPr>
        <w:t>万元，预算到位资金</w:t>
      </w:r>
      <w:r>
        <w:rPr>
          <w:rFonts w:hint="eastAsia" w:ascii="仿宋" w:hAnsi="仿宋" w:eastAsia="仿宋" w:cs="仿宋"/>
          <w:color w:val="000000" w:themeColor="text1"/>
          <w:sz w:val="32"/>
          <w:szCs w:val="32"/>
          <w:lang w:val="en-US" w:eastAsia="zh-CN"/>
          <w14:textFill>
            <w14:solidFill>
              <w14:schemeClr w14:val="tx1"/>
            </w14:solidFill>
          </w14:textFill>
        </w:rPr>
        <w:t>133.57</w:t>
      </w:r>
      <w:r>
        <w:rPr>
          <w:rFonts w:hint="eastAsia" w:ascii="仿宋" w:hAnsi="仿宋" w:eastAsia="仿宋" w:cs="仿宋"/>
          <w:color w:val="000000" w:themeColor="text1"/>
          <w:sz w:val="32"/>
          <w:szCs w:val="32"/>
          <w14:textFill>
            <w14:solidFill>
              <w14:schemeClr w14:val="tx1"/>
            </w14:solidFill>
          </w14:textFill>
        </w:rPr>
        <w:t>亿元，实际支出</w:t>
      </w:r>
      <w:r>
        <w:rPr>
          <w:rFonts w:hint="eastAsia" w:ascii="仿宋" w:hAnsi="仿宋" w:eastAsia="仿宋" w:cs="仿宋"/>
          <w:color w:val="000000" w:themeColor="text1"/>
          <w:sz w:val="32"/>
          <w:szCs w:val="32"/>
          <w:lang w:val="en-US" w:eastAsia="zh-CN"/>
          <w14:textFill>
            <w14:solidFill>
              <w14:schemeClr w14:val="tx1"/>
            </w14:solidFill>
          </w14:textFill>
        </w:rPr>
        <w:t>133.57</w:t>
      </w:r>
      <w:r>
        <w:rPr>
          <w:rFonts w:hint="eastAsia" w:ascii="仿宋" w:hAnsi="仿宋" w:eastAsia="仿宋" w:cs="仿宋"/>
          <w:color w:val="000000" w:themeColor="text1"/>
          <w:sz w:val="32"/>
          <w:szCs w:val="32"/>
          <w14:textFill>
            <w14:solidFill>
              <w14:schemeClr w14:val="tx1"/>
            </w14:solidFill>
          </w14:textFill>
        </w:rPr>
        <w:t>元,支出实现率100%。预算执行与绩效</w:t>
      </w:r>
      <w:r>
        <w:rPr>
          <w:rFonts w:hint="eastAsia" w:ascii="仿宋" w:hAnsi="仿宋" w:eastAsia="仿宋" w:cs="仿宋"/>
          <w:sz w:val="32"/>
          <w:szCs w:val="32"/>
        </w:rPr>
        <w:t>运行“双监控”已成为预算管理常态。财政部门主导监控促推支出进度,资金拨付及时；我</w:t>
      </w:r>
      <w:r>
        <w:rPr>
          <w:rFonts w:hint="eastAsia" w:ascii="仿宋" w:hAnsi="仿宋" w:eastAsia="仿宋" w:cs="仿宋"/>
          <w:sz w:val="32"/>
          <w:szCs w:val="32"/>
          <w:lang w:val="en-US" w:eastAsia="zh-CN"/>
        </w:rPr>
        <w:t>镇</w:t>
      </w:r>
      <w:r>
        <w:rPr>
          <w:rFonts w:hint="eastAsia" w:ascii="仿宋" w:hAnsi="仿宋" w:eastAsia="仿宋" w:cs="仿宋"/>
          <w:sz w:val="32"/>
          <w:szCs w:val="32"/>
        </w:rPr>
        <w:t>对专项资金绩效自行监控较好，绩效目标运行清晰，对发现的问题能提出相应的纠偏措施或建议。但仍存在专项资金使用与管理偏差滞后因素。一是控制力度不够，绩效监控缺乏责任约束。二是绩效监控报告质量有些欠缺，填报内容偏简单，对绩效目标偏差问题缺乏有效分析，无法监控绩效目标的实现程度，还有待进一步提升我</w:t>
      </w:r>
      <w:r>
        <w:rPr>
          <w:rFonts w:hint="eastAsia" w:ascii="仿宋" w:hAnsi="仿宋" w:eastAsia="仿宋" w:cs="仿宋"/>
          <w:sz w:val="32"/>
          <w:szCs w:val="32"/>
          <w:lang w:val="en-US" w:eastAsia="zh-CN"/>
        </w:rPr>
        <w:t>镇</w:t>
      </w:r>
      <w:r>
        <w:rPr>
          <w:rFonts w:hint="eastAsia" w:ascii="仿宋" w:hAnsi="仿宋" w:eastAsia="仿宋" w:cs="仿宋"/>
          <w:sz w:val="32"/>
          <w:szCs w:val="32"/>
        </w:rPr>
        <w:t>整体绩效管理理念。绩效监控已纳入本</w:t>
      </w:r>
      <w:r>
        <w:rPr>
          <w:rFonts w:hint="eastAsia" w:ascii="仿宋" w:hAnsi="仿宋" w:eastAsia="仿宋" w:cs="仿宋"/>
          <w:sz w:val="32"/>
          <w:szCs w:val="32"/>
          <w:lang w:val="en-US" w:eastAsia="zh-CN"/>
        </w:rPr>
        <w:t>镇</w:t>
      </w:r>
      <w:r>
        <w:rPr>
          <w:rFonts w:hint="eastAsia" w:ascii="仿宋" w:hAnsi="仿宋" w:eastAsia="仿宋" w:cs="仿宋"/>
          <w:sz w:val="32"/>
          <w:szCs w:val="32"/>
        </w:rPr>
        <w:t>综合绩效考评指标，对相应绩效部门运行情况较差的部门进行打分扣分等监控机制。</w:t>
      </w:r>
    </w:p>
    <w:p>
      <w:pPr>
        <w:spacing w:line="580" w:lineRule="exact"/>
        <w:ind w:firstLine="642" w:firstLineChars="200"/>
        <w:rPr>
          <w:rFonts w:ascii="仿宋" w:hAnsi="仿宋" w:eastAsia="仿宋" w:cs="仿宋_GB2312"/>
          <w:sz w:val="32"/>
          <w:szCs w:val="32"/>
        </w:rPr>
      </w:pPr>
      <w:r>
        <w:rPr>
          <w:rFonts w:hint="eastAsia" w:ascii="仿宋" w:hAnsi="仿宋" w:eastAsia="仿宋" w:cs="楷体_GB2312"/>
          <w:b/>
          <w:bCs/>
          <w:sz w:val="32"/>
          <w:szCs w:val="32"/>
        </w:rPr>
        <w:t>（三）部门开展绩效评价结果。</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太和镇</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年部门整体支出绩效评价报告》见附件。</w:t>
      </w:r>
    </w:p>
    <w:p>
      <w:pPr>
        <w:spacing w:line="600" w:lineRule="exact"/>
        <w:ind w:firstLine="800" w:firstLineChars="250"/>
        <w:outlineLvl w:val="1"/>
        <w:rPr>
          <w:rStyle w:val="26"/>
          <w:rFonts w:ascii="黑体" w:hAnsi="黑体" w:eastAsia="黑体"/>
        </w:rPr>
      </w:pPr>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48"/>
      <w:bookmarkEnd w:id="49"/>
    </w:p>
    <w:p>
      <w:pPr>
        <w:spacing w:line="600" w:lineRule="exact"/>
        <w:ind w:firstLine="642"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太和镇</w:t>
      </w:r>
      <w:r>
        <w:rPr>
          <w:rFonts w:hint="eastAsia" w:ascii="仿宋_GB2312" w:eastAsia="仿宋_GB2312"/>
          <w:color w:val="000000"/>
          <w:sz w:val="32"/>
          <w:szCs w:val="32"/>
        </w:rPr>
        <w:t>机关运行经费</w:t>
      </w:r>
      <w:r>
        <w:rPr>
          <w:rFonts w:hint="eastAsia" w:ascii="仿宋_GB2312" w:eastAsia="仿宋_GB2312"/>
          <w:color w:val="000000"/>
          <w:sz w:val="32"/>
          <w:szCs w:val="32"/>
          <w:lang w:eastAsia="zh-CN"/>
        </w:rPr>
        <w:t>增加的</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人员增加。</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太和镇</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b/>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太和镇</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14:textFill>
            <w14:solidFill>
              <w14:schemeClr w14:val="tx1"/>
            </w14:solidFill>
          </w14:textFill>
        </w:rPr>
        <w:t>其他用车主要是用于单价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2" w:firstLineChars="150"/>
        <w:jc w:val="center"/>
        <w:outlineLvl w:val="0"/>
        <w:rPr>
          <w:rStyle w:val="25"/>
          <w:rFonts w:ascii="黑体" w:hAnsi="黑体" w:eastAsia="黑体"/>
          <w:b w:val="0"/>
        </w:rPr>
      </w:pPr>
      <w:bookmarkStart w:id="53" w:name="_Toc15377225"/>
      <w:bookmarkStart w:id="54" w:name="_Toc15396613"/>
      <w:r>
        <w:rPr>
          <w:rFonts w:hint="eastAsia" w:ascii="黑体" w:hAnsi="黑体" w:eastAsia="黑体"/>
          <w:b/>
          <w:color w:val="000000"/>
          <w:sz w:val="44"/>
          <w:szCs w:val="44"/>
        </w:rPr>
        <w:t>名</w:t>
      </w:r>
      <w:r>
        <w:rPr>
          <w:rStyle w:val="25"/>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20" w:lineRule="exact"/>
        <w:ind w:firstLine="640" w:firstLineChars="200"/>
        <w:rPr>
          <w:rStyle w:val="14"/>
          <w:rFonts w:ascii="仿宋_GB2312" w:hAnsi="仿宋_GB2312" w:eastAsia="仿宋_GB2312" w:cs="仿宋_GB2312"/>
          <w:b w:val="0"/>
          <w:color w:val="000000"/>
          <w:sz w:val="32"/>
          <w:szCs w:val="32"/>
        </w:rPr>
      </w:pPr>
      <w:bookmarkStart w:id="55" w:name="_Toc15377226"/>
      <w:r>
        <w:rPr>
          <w:rStyle w:val="14"/>
          <w:rFonts w:hint="eastAsia" w:ascii="仿宋_GB2312" w:hAnsi="仿宋_GB2312" w:eastAsia="仿宋_GB2312" w:cs="仿宋_GB2312"/>
          <w:b w:val="0"/>
          <w:color w:val="000000"/>
          <w:sz w:val="32"/>
          <w:szCs w:val="32"/>
        </w:rPr>
        <w:t>9.一般公共服务支出（类）人大事务（款）行政运行（项）: 指行政单位的基本支出。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10.一般公共服务支出（类）人大事务（款）代表工作（项）:指人大代表开展各类视察等方面的支出。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 xml:space="preserve">11.一般公共服务支出（类）政协事务（款）委员视察（项）:指政协委员开展各类视察的支出。 </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12.一般公共服务支出（类）政府办公厅（室）及相关机构事务（款）行政运行（项）: 指行政单位的基本支出。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13.一般公共服务支出（类）政府办公厅（室）及相关机构事务（款）其他政府办公厅（室）及相关机构事务（项）: 指其他政府办公厅（室）及相关机构事务支出。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14.一般公共服务支出（类）纪检监察事务（款）其他纪检监察事务（项）:指其他纪检监察事务方面的支出。</w:t>
      </w:r>
    </w:p>
    <w:p>
      <w:pPr>
        <w:spacing w:line="520"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15.一般公共服务支出（类）党委办公厅（室）及相关机构事务（款）行政运行（项）:指行政单位的基本支出。</w:t>
      </w:r>
    </w:p>
    <w:p>
      <w:pPr>
        <w:spacing w:line="520"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16.一般公共服务支出（类）党委办公厅（室）及相关机构事务（款）其他党委办公厅（室）及相关机构事务（项）:指其他用于党委办公厅（室）及相关机构事务支出。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17.一般公共服务支出（类）财政事务（款）其他财政事务支出（项）:指其他财政事务方面的支出。</w:t>
      </w:r>
    </w:p>
    <w:p>
      <w:pPr>
        <w:spacing w:line="520"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18.国防支出（类）国防动员（款）兵役征集（项）:指用于兵役征集等方面的支出。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19.文化体育与传媒支出（类）文化（款）群众文化（项）:指群众文化方面的支出，包括基础文化馆（站）、群众艺术馆支出等。</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20.文化体育与传媒支出（类）新闻出版广播影视（款）广播（项）:指广播电台、广播发射台、广播转播台及有线广播站的支出。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21.社会保障和就业支出（类）人力资源和社会保障管理事务（款）综合业务管理（项）:指人力资源和社会保障管理方面综合性管理事务支出。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22.社会保障和就业支出（类）民政管理事务（款）老龄事务（项）:指老龄事务方面的支出。</w:t>
      </w:r>
    </w:p>
    <w:p>
      <w:pPr>
        <w:spacing w:line="520"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23.社会保障和就业支出（类）民政管理事务（款）基层政权和社区建设（项）:指开展村民自治、村务公开等基层政权和社区建设工作的支出。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24.社会保障和就业支出（类）行政事业单位离退休（款）机关事业单位基本养老保险缴费支出（项）:指机关事业单位实施养老保险制度由单位缴纳的基本养老保险费支出。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25.社会保障和就业支出（类）行政事业单位离退休（款）其他行政事业单位离退休支出（项）:指其他用于行政事业单位离退休方面的支出。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26.社会保障和就业支出（类）抚恤（款）其他优抚支出（项）:指其他用于优抚方面的支出。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27.社会保障和就业支出（类）特困人员救助供养（款）农村特困人员救助供养支出（项）:指农村特困人员救助供养支出。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28.社会保障和就业支出（类）其他社会保障和就业支出（款）其他社会保障和就业支出（项）:指其他用于社会保障和就业方面的支出。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29.医疗卫生与计划生育支出（类）行政事业单位医疗（款）行政单位医疗（项）:指财政部门集中安排的行政单位基本医疗保险缴费经费，未参加医疗保险的行政单位的公费医疗经费，按国家规定享受离休人员、红军老战士待遇人员的医疗经费。</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30.医疗卫生与计划生育支出（类）财政对基本医疗保险基金的补助（款）财政对其他基本医疗保险基金的补助（项）:指财政对其他基本医疗保险基金的补助支出。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31.医疗卫生与计划生育支出（类）计划生育事务（款）其他计划生育事务支出（项）:指其他用于计划生育管理事务方面的支出。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32.城乡社区支出（类）城乡社区环境卫生（款）城乡社区环境卫生（项）:指城乡社区道路清扫、垃圾清运与处理、公厕建设与维护、园林绿化等方面的支出。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33.农林水支出（类）农业（款）事业运行（项）:指用于农业事业单位基本支出，事业单位设施、系统运行与资产维护等方面的支出。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34.农林水支出（类）林业（款）林业事业机构（项）:指用于林业事业单位的基本支出。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35.农林水支出（类）水利（款）农田水利（项）:指国家对农田水利和打井、集雨设施、节水灌溉等水利设施的补助，小型水库除险补助以及排灌站、小水电站补助等。</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36.农林水支出（类）扶贫（款）农村基础设施建设（项）:指用于农村贫困地区乡村道路、住房、基本农田、水利设施、人畜饮水、生态环境保护等生产生活条件改善方面的支出。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37.农林水支出（类）农村综合改革（款）对村级一事一议的补助（项）:指农村税费改革后对村级公益事业建设一事一议的补助支出。</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38.农林水支出（类）农村综合改革（款）对村民委员会和村党支部的补助（项）:指各级财政对村民委员会和村党支部的补助支出，以及支持建立县级基本财力保障机制</w:t>
      </w:r>
      <w:r>
        <w:rPr>
          <w:rStyle w:val="14"/>
          <w:rFonts w:hint="eastAsia" w:ascii="仿宋_GB2312" w:hAnsi="仿宋_GB2312" w:eastAsia="仿宋_GB2312" w:cs="仿宋_GB2312"/>
          <w:b w:val="0"/>
          <w:color w:val="000000"/>
          <w:sz w:val="32"/>
          <w:szCs w:val="32"/>
          <w:lang w:eastAsia="zh-CN"/>
        </w:rPr>
        <w:t>安排</w:t>
      </w:r>
      <w:r>
        <w:rPr>
          <w:rStyle w:val="14"/>
          <w:rFonts w:hint="eastAsia" w:ascii="仿宋_GB2312" w:hAnsi="仿宋_GB2312" w:eastAsia="仿宋_GB2312" w:cs="仿宋_GB2312"/>
          <w:b w:val="0"/>
          <w:color w:val="000000"/>
          <w:sz w:val="32"/>
          <w:szCs w:val="32"/>
        </w:rPr>
        <w:t>的村级组织运转奖补资金。</w:t>
      </w:r>
    </w:p>
    <w:p>
      <w:pPr>
        <w:spacing w:line="520" w:lineRule="exact"/>
        <w:ind w:firstLine="640"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 w:val="0"/>
          <w:color w:val="000000"/>
          <w:sz w:val="32"/>
          <w:szCs w:val="32"/>
        </w:rPr>
        <w:t>39.住房保障支出（类）住房改革支出（款）住房公积金（项）:指行政事业单位按人力资源和社会保障部、财政部规定的基本工资和津贴补贴以及规定比例为职工缴纳的住房公积金。</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40.基本支出：指为保障机构正常运转、完成日常工作任务而发生的人员支出和公用支出。</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41.项目支出：指在基本支出之外为完成特定行政任务和事业发展目标所发生的支出。 </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42.经营支出：指事业单位在专业业务活动及其辅助活动之外开展非独立核算经营活动发生的支出。</w:t>
      </w:r>
    </w:p>
    <w:p>
      <w:pPr>
        <w:pStyle w:val="23"/>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r>
        <w:rPr>
          <w:rFonts w:ascii="宋体"/>
          <w:b/>
          <w:color w:val="000000"/>
          <w:sz w:val="44"/>
          <w:szCs w:val="44"/>
        </w:rPr>
        <w:br w:type="page"/>
      </w:r>
      <w:bookmarkStart w:id="56"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6"/>
    </w:p>
    <w:p>
      <w:pPr>
        <w:spacing w:line="600" w:lineRule="exact"/>
        <w:jc w:val="center"/>
        <w:outlineLvl w:val="0"/>
        <w:rPr>
          <w:rStyle w:val="25"/>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val="en-US" w:eastAsia="zh-CN"/>
        </w:rPr>
        <w:t>2020</w:t>
      </w:r>
      <w:r>
        <w:rPr>
          <w:rFonts w:hint="eastAsia" w:ascii="方正小标宋_GBK" w:hAnsi="方正小标宋_GBK" w:eastAsia="方正小标宋_GBK" w:cs="方正小标宋_GBK"/>
          <w:b/>
          <w:bCs/>
          <w:sz w:val="44"/>
          <w:szCs w:val="44"/>
          <w:lang w:eastAsia="zh-CN"/>
        </w:rPr>
        <w:t>年度太和镇整体支出绩效评价报告</w:t>
      </w:r>
    </w:p>
    <w:p>
      <w:pPr>
        <w:widowControl/>
        <w:adjustRightInd w:val="0"/>
        <w:snapToGrid w:val="0"/>
        <w:spacing w:line="580" w:lineRule="exact"/>
        <w:contextualSpacing/>
        <w:jc w:val="left"/>
        <w:rPr>
          <w:rFonts w:ascii="黑体" w:hAnsi="宋体" w:eastAsia="黑体" w:cs="宋体"/>
          <w:color w:val="000000"/>
          <w:kern w:val="0"/>
          <w:sz w:val="24"/>
          <w:szCs w:val="32"/>
          <w:shd w:val="clear" w:color="auto" w:fill="FFFFFF"/>
        </w:rPr>
      </w:pPr>
    </w:p>
    <w:p>
      <w:pPr>
        <w:widowControl/>
        <w:numPr>
          <w:ilvl w:val="0"/>
          <w:numId w:val="5"/>
        </w:numPr>
        <w:adjustRightInd w:val="0"/>
        <w:snapToGrid w:val="0"/>
        <w:spacing w:line="580" w:lineRule="exact"/>
        <w:ind w:firstLine="660" w:firstLineChars="200"/>
        <w:contextualSpacing/>
        <w:jc w:val="left"/>
        <w:rPr>
          <w:rFonts w:hint="eastAsia" w:ascii="黑体" w:hAnsi="宋体" w:eastAsia="黑体" w:cs="宋体"/>
          <w:color w:val="000000"/>
          <w:kern w:val="0"/>
          <w:sz w:val="33"/>
          <w:szCs w:val="33"/>
          <w:shd w:val="clear" w:color="auto" w:fill="FFFFFF"/>
          <w:lang w:val="zh-CN"/>
        </w:rPr>
      </w:pPr>
      <w:r>
        <w:rPr>
          <w:rFonts w:hint="eastAsia" w:ascii="黑体" w:hAnsi="宋体" w:eastAsia="黑体" w:cs="宋体"/>
          <w:color w:val="000000"/>
          <w:kern w:val="0"/>
          <w:sz w:val="33"/>
          <w:szCs w:val="33"/>
          <w:shd w:val="clear" w:color="auto" w:fill="FFFFFF"/>
          <w:lang w:val="zh-CN"/>
        </w:rPr>
        <w:t>单位概况</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contextualSpacing/>
        <w:jc w:val="left"/>
        <w:textAlignment w:val="auto"/>
        <w:rPr>
          <w:rFonts w:hint="eastAsia" w:ascii="Times New Roman" w:hAnsi="Times New Roman" w:eastAsia="方正仿宋_GBK" w:cs="Times New Roman"/>
          <w:sz w:val="33"/>
          <w:szCs w:val="33"/>
          <w:lang w:val="zh-CN" w:eastAsia="zh-CN"/>
        </w:rPr>
      </w:pPr>
      <w:r>
        <w:rPr>
          <w:rFonts w:hint="eastAsia" w:ascii="仿宋" w:hAnsi="仿宋" w:eastAsia="仿宋" w:cs="仿宋"/>
          <w:color w:val="000000"/>
          <w:kern w:val="0"/>
          <w:sz w:val="32"/>
          <w:szCs w:val="32"/>
          <w:shd w:val="clear" w:color="auto" w:fill="FFFFFF"/>
          <w:lang w:val="zh-CN"/>
        </w:rPr>
        <w:t>（一）机构组成：</w:t>
      </w:r>
      <w:r>
        <w:rPr>
          <w:rFonts w:hint="eastAsia" w:ascii="Times New Roman" w:hAnsi="Times New Roman" w:eastAsia="方正仿宋_GBK" w:cs="Times New Roman"/>
          <w:sz w:val="33"/>
          <w:szCs w:val="33"/>
          <w:lang w:val="en-US" w:eastAsia="zh-CN"/>
        </w:rPr>
        <w:t>本单位为一级预算单位，政府机关是行政部门，其余下属单位是：社会事业服务站、村建环卫服务中心。县级派驻乡镇事业单位：农技站、农机站、广播站、林业站。</w:t>
      </w:r>
    </w:p>
    <w:p>
      <w:pPr>
        <w:pStyle w:val="6"/>
        <w:keepNext w:val="0"/>
        <w:keepLines w:val="0"/>
        <w:pageBreakBefore w:val="0"/>
        <w:widowControl w:val="0"/>
        <w:kinsoku/>
        <w:wordWrap/>
        <w:overflowPunct/>
        <w:topLinePunct w:val="0"/>
        <w:autoSpaceDE/>
        <w:autoSpaceDN/>
        <w:bidi w:val="0"/>
        <w:adjustRightInd w:val="0"/>
        <w:snapToGrid w:val="0"/>
        <w:spacing w:before="0" w:beforeLines="0" w:line="240" w:lineRule="auto"/>
        <w:ind w:firstLine="672" w:firstLineChars="210"/>
        <w:textAlignment w:val="auto"/>
        <w:rPr>
          <w:rFonts w:hint="eastAsia" w:ascii="Times New Roman" w:hAnsi="Times New Roman" w:eastAsia="方正仿宋_GBK" w:cs="Times New Roman"/>
          <w:kern w:val="2"/>
          <w:sz w:val="33"/>
          <w:szCs w:val="33"/>
          <w:lang w:val="zh-CN" w:eastAsia="zh-CN" w:bidi="ar-SA"/>
        </w:rPr>
      </w:pPr>
      <w:r>
        <w:rPr>
          <w:rFonts w:hint="eastAsia" w:ascii="仿宋" w:hAnsi="仿宋" w:eastAsia="仿宋" w:cs="仿宋"/>
          <w:color w:val="000000"/>
          <w:kern w:val="0"/>
          <w:sz w:val="32"/>
          <w:szCs w:val="32"/>
          <w:shd w:val="clear" w:color="auto" w:fill="FFFFFF"/>
          <w:lang w:val="zh-CN"/>
        </w:rPr>
        <w:t>（二）机构职能：</w:t>
      </w:r>
      <w:r>
        <w:rPr>
          <w:rFonts w:hint="eastAsia" w:ascii="Times New Roman" w:hAnsi="Times New Roman" w:eastAsia="方正仿宋_GBK" w:cs="Times New Roman"/>
          <w:kern w:val="2"/>
          <w:sz w:val="33"/>
          <w:szCs w:val="33"/>
          <w:lang w:val="en-US" w:eastAsia="zh-CN" w:bidi="ar-SA"/>
        </w:rPr>
        <w:t>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w:t>
      </w:r>
    </w:p>
    <w:p>
      <w:pPr>
        <w:pStyle w:val="6"/>
        <w:adjustRightInd w:val="0"/>
        <w:snapToGrid w:val="0"/>
        <w:spacing w:line="460" w:lineRule="exact"/>
        <w:ind w:firstLine="672" w:firstLineChars="210"/>
        <w:rPr>
          <w:rFonts w:hint="eastAsia" w:ascii="Times New Roman" w:hAnsi="Times New Roman" w:eastAsia="方正仿宋_GBK" w:cs="Times New Roman"/>
          <w:kern w:val="2"/>
          <w:sz w:val="33"/>
          <w:szCs w:val="33"/>
          <w:lang w:val="zh-CN" w:eastAsia="zh-CN" w:bidi="ar-SA"/>
        </w:rPr>
      </w:pPr>
      <w:r>
        <w:rPr>
          <w:rFonts w:hint="eastAsia" w:ascii="仿宋" w:hAnsi="仿宋" w:eastAsia="仿宋" w:cs="仿宋"/>
          <w:color w:val="000000"/>
          <w:kern w:val="0"/>
          <w:sz w:val="32"/>
          <w:szCs w:val="32"/>
          <w:shd w:val="clear" w:color="auto" w:fill="FFFFFF"/>
          <w:lang w:val="zh-CN"/>
        </w:rPr>
        <w:t>（三）人员概况：</w:t>
      </w:r>
      <w:r>
        <w:rPr>
          <w:rFonts w:hint="eastAsia" w:ascii="Times New Roman" w:hAnsi="Times New Roman" w:eastAsia="方正仿宋_GBK" w:cs="Times New Roman"/>
          <w:kern w:val="2"/>
          <w:sz w:val="33"/>
          <w:szCs w:val="33"/>
          <w:lang w:val="en-US" w:eastAsia="zh-CN" w:bidi="ar-SA"/>
        </w:rPr>
        <w:t>人员总编制41人，其中：行政编制18人，机关工勤编制2人，事业编制21人。在职人员总数41人，其中：行政人员18人，机关工勤人员2人，事业人员21人，离退休人员0人。</w:t>
      </w:r>
    </w:p>
    <w:p>
      <w:pPr>
        <w:widowControl/>
        <w:numPr>
          <w:ilvl w:val="0"/>
          <w:numId w:val="0"/>
        </w:numPr>
        <w:adjustRightInd w:val="0"/>
        <w:snapToGrid w:val="0"/>
        <w:spacing w:line="580" w:lineRule="exact"/>
        <w:ind w:firstLine="660" w:firstLineChars="200"/>
        <w:contextualSpacing/>
        <w:jc w:val="left"/>
        <w:rPr>
          <w:rFonts w:hint="eastAsia" w:ascii="黑体" w:hAnsi="宋体" w:eastAsia="黑体" w:cs="宋体"/>
          <w:color w:val="000000"/>
          <w:kern w:val="0"/>
          <w:sz w:val="33"/>
          <w:szCs w:val="33"/>
          <w:shd w:val="clear" w:color="auto" w:fill="FFFFFF"/>
          <w:lang w:val="zh-CN"/>
        </w:rPr>
      </w:pPr>
      <w:r>
        <w:rPr>
          <w:rFonts w:hint="eastAsia" w:ascii="黑体" w:hAnsi="宋体" w:eastAsia="黑体" w:cs="宋体"/>
          <w:color w:val="000000"/>
          <w:kern w:val="0"/>
          <w:sz w:val="33"/>
          <w:szCs w:val="33"/>
          <w:shd w:val="clear" w:color="auto" w:fill="FFFFFF"/>
          <w:lang w:val="zh-CN"/>
        </w:rPr>
        <w:t>二、</w:t>
      </w:r>
      <w:r>
        <w:rPr>
          <w:rFonts w:hint="eastAsia" w:ascii="黑体" w:hAnsi="宋体" w:eastAsia="黑体" w:cs="宋体"/>
          <w:color w:val="000000"/>
          <w:kern w:val="0"/>
          <w:sz w:val="33"/>
          <w:szCs w:val="33"/>
          <w:shd w:val="clear" w:color="auto" w:fill="FFFFFF"/>
          <w:lang w:val="zh-CN" w:eastAsia="zh-CN"/>
        </w:rPr>
        <w:t>单位</w:t>
      </w:r>
      <w:r>
        <w:rPr>
          <w:rFonts w:hint="eastAsia" w:ascii="黑体" w:hAnsi="宋体" w:eastAsia="黑体" w:cs="宋体"/>
          <w:color w:val="000000"/>
          <w:kern w:val="0"/>
          <w:sz w:val="33"/>
          <w:szCs w:val="33"/>
          <w:shd w:val="clear" w:color="auto" w:fill="FFFFFF"/>
          <w:lang w:val="zh-CN"/>
        </w:rPr>
        <w:t>财政资金收支情况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（一）单位财政资金收入情况。</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2019年太和</w:t>
      </w:r>
      <w:r>
        <w:rPr>
          <w:rFonts w:hint="eastAsia" w:eastAsia="方正仿宋_GBK" w:cs="Times New Roman"/>
          <w:sz w:val="33"/>
          <w:szCs w:val="33"/>
          <w:lang w:val="en-US" w:eastAsia="zh-CN"/>
        </w:rPr>
        <w:t>镇</w:t>
      </w:r>
      <w:r>
        <w:rPr>
          <w:rFonts w:hint="eastAsia" w:ascii="Times New Roman" w:hAnsi="Times New Roman" w:eastAsia="方正仿宋_GBK" w:cs="Times New Roman"/>
          <w:sz w:val="33"/>
          <w:szCs w:val="33"/>
          <w:lang w:val="en-US" w:eastAsia="zh-CN"/>
        </w:rPr>
        <w:t>人民政府收入总额为</w:t>
      </w:r>
      <w:r>
        <w:rPr>
          <w:rFonts w:hint="eastAsia" w:eastAsia="方正仿宋_GBK" w:cs="Times New Roman"/>
          <w:sz w:val="33"/>
          <w:szCs w:val="33"/>
          <w:lang w:val="en-US" w:eastAsia="zh-CN"/>
        </w:rPr>
        <w:t>1073.9</w:t>
      </w:r>
      <w:r>
        <w:rPr>
          <w:rFonts w:hint="eastAsia" w:ascii="Times New Roman" w:hAnsi="Times New Roman" w:eastAsia="方正仿宋_GBK" w:cs="Times New Roman"/>
          <w:sz w:val="33"/>
          <w:szCs w:val="33"/>
          <w:lang w:val="en-US" w:eastAsia="zh-CN"/>
        </w:rPr>
        <w:t>万元，其中：当年财政基本支出拨款收入</w:t>
      </w:r>
      <w:r>
        <w:rPr>
          <w:rFonts w:hint="eastAsia" w:eastAsia="方正仿宋_GBK" w:cs="Times New Roman"/>
          <w:sz w:val="33"/>
          <w:szCs w:val="33"/>
          <w:lang w:val="en-US" w:eastAsia="zh-CN"/>
        </w:rPr>
        <w:t>1073.9</w:t>
      </w:r>
      <w:r>
        <w:rPr>
          <w:rFonts w:hint="eastAsia" w:ascii="Times New Roman" w:hAnsi="Times New Roman" w:eastAsia="方正仿宋_GBK" w:cs="Times New Roman"/>
          <w:sz w:val="33"/>
          <w:szCs w:val="33"/>
          <w:lang w:val="en-US" w:eastAsia="zh-CN"/>
        </w:rPr>
        <w:t>万元。其中基本支出拨款收入</w:t>
      </w:r>
      <w:r>
        <w:rPr>
          <w:rFonts w:hint="eastAsia" w:eastAsia="方正仿宋_GBK" w:cs="Times New Roman"/>
          <w:sz w:val="33"/>
          <w:szCs w:val="33"/>
          <w:lang w:val="en-US" w:eastAsia="zh-CN"/>
        </w:rPr>
        <w:t>920.78</w:t>
      </w:r>
      <w:r>
        <w:rPr>
          <w:rFonts w:hint="eastAsia" w:ascii="Times New Roman" w:hAnsi="Times New Roman" w:eastAsia="方正仿宋_GBK" w:cs="Times New Roman"/>
          <w:sz w:val="33"/>
          <w:szCs w:val="33"/>
          <w:lang w:val="en-US" w:eastAsia="zh-CN"/>
        </w:rPr>
        <w:t>万元，项目支出拨款收入</w:t>
      </w:r>
      <w:r>
        <w:rPr>
          <w:rFonts w:hint="eastAsia" w:eastAsia="方正仿宋_GBK" w:cs="Times New Roman"/>
          <w:sz w:val="33"/>
          <w:szCs w:val="33"/>
          <w:lang w:val="en-US" w:eastAsia="zh-CN"/>
        </w:rPr>
        <w:t>153.12</w:t>
      </w:r>
      <w:r>
        <w:rPr>
          <w:rFonts w:hint="eastAsia" w:ascii="Times New Roman" w:hAnsi="Times New Roman" w:eastAsia="方正仿宋_GBK" w:cs="Times New Roman"/>
          <w:sz w:val="33"/>
          <w:szCs w:val="33"/>
          <w:lang w:val="en-US" w:eastAsia="zh-CN"/>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（二）单位财政资金支出情况。</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2019年太和</w:t>
      </w:r>
      <w:r>
        <w:rPr>
          <w:rFonts w:hint="eastAsia" w:eastAsia="方正仿宋_GBK" w:cs="Times New Roman"/>
          <w:sz w:val="33"/>
          <w:szCs w:val="33"/>
          <w:lang w:val="en-US" w:eastAsia="zh-CN"/>
        </w:rPr>
        <w:t>镇</w:t>
      </w:r>
      <w:r>
        <w:rPr>
          <w:rFonts w:hint="eastAsia" w:ascii="Times New Roman" w:hAnsi="Times New Roman" w:eastAsia="方正仿宋_GBK" w:cs="Times New Roman"/>
          <w:sz w:val="33"/>
          <w:szCs w:val="33"/>
          <w:lang w:val="en-US" w:eastAsia="zh-CN"/>
        </w:rPr>
        <w:t>人民政府支出总额为</w:t>
      </w:r>
      <w:r>
        <w:rPr>
          <w:rFonts w:hint="eastAsia" w:eastAsia="方正仿宋_GBK" w:cs="Times New Roman"/>
          <w:sz w:val="33"/>
          <w:szCs w:val="33"/>
          <w:lang w:val="en-US" w:eastAsia="zh-CN"/>
        </w:rPr>
        <w:t>1073.9</w:t>
      </w:r>
      <w:r>
        <w:rPr>
          <w:rFonts w:hint="eastAsia" w:ascii="Times New Roman" w:hAnsi="Times New Roman" w:eastAsia="方正仿宋_GBK" w:cs="Times New Roman"/>
          <w:sz w:val="33"/>
          <w:szCs w:val="33"/>
          <w:lang w:val="en-US" w:eastAsia="zh-CN"/>
        </w:rPr>
        <w:t>万元，其中：当年基本支出</w:t>
      </w:r>
      <w:r>
        <w:rPr>
          <w:rFonts w:hint="eastAsia" w:eastAsia="方正仿宋_GBK" w:cs="Times New Roman"/>
          <w:sz w:val="33"/>
          <w:szCs w:val="33"/>
          <w:lang w:val="en-US" w:eastAsia="zh-CN"/>
        </w:rPr>
        <w:t>920.77</w:t>
      </w:r>
      <w:r>
        <w:rPr>
          <w:rFonts w:hint="eastAsia" w:ascii="Times New Roman" w:hAnsi="Times New Roman" w:eastAsia="方正仿宋_GBK" w:cs="Times New Roman"/>
          <w:sz w:val="33"/>
          <w:szCs w:val="33"/>
          <w:lang w:val="en-US" w:eastAsia="zh-CN"/>
        </w:rPr>
        <w:t>万元，项目支出</w:t>
      </w:r>
      <w:r>
        <w:rPr>
          <w:rFonts w:hint="eastAsia" w:eastAsia="方正仿宋_GBK" w:cs="Times New Roman"/>
          <w:sz w:val="33"/>
          <w:szCs w:val="33"/>
          <w:lang w:val="en-US" w:eastAsia="zh-CN"/>
        </w:rPr>
        <w:t>153.13</w:t>
      </w:r>
      <w:r>
        <w:rPr>
          <w:rFonts w:hint="eastAsia" w:ascii="Times New Roman" w:hAnsi="Times New Roman" w:eastAsia="方正仿宋_GBK" w:cs="Times New Roman"/>
          <w:sz w:val="33"/>
          <w:szCs w:val="33"/>
          <w:lang w:val="en-US" w:eastAsia="zh-CN"/>
        </w:rPr>
        <w:t>万元。按功能分：一般公共服务支出</w:t>
      </w:r>
      <w:r>
        <w:rPr>
          <w:rFonts w:hint="eastAsia" w:eastAsia="方正仿宋_GBK" w:cs="Times New Roman"/>
          <w:sz w:val="33"/>
          <w:szCs w:val="33"/>
          <w:lang w:val="en-US" w:eastAsia="zh-CN"/>
        </w:rPr>
        <w:t>385.42</w:t>
      </w:r>
      <w:r>
        <w:rPr>
          <w:rFonts w:hint="eastAsia" w:ascii="Times New Roman" w:hAnsi="Times New Roman" w:eastAsia="方正仿宋_GBK" w:cs="Times New Roman"/>
          <w:sz w:val="33"/>
          <w:szCs w:val="33"/>
          <w:lang w:val="en-US" w:eastAsia="zh-CN"/>
        </w:rPr>
        <w:t>万元，文化体育与传媒支出</w:t>
      </w:r>
      <w:r>
        <w:rPr>
          <w:rFonts w:hint="eastAsia" w:eastAsia="方正仿宋_GBK" w:cs="Times New Roman"/>
          <w:sz w:val="33"/>
          <w:szCs w:val="33"/>
          <w:lang w:val="en-US" w:eastAsia="zh-CN"/>
        </w:rPr>
        <w:t>22.57</w:t>
      </w:r>
      <w:r>
        <w:rPr>
          <w:rFonts w:hint="eastAsia" w:ascii="Times New Roman" w:hAnsi="Times New Roman" w:eastAsia="方正仿宋_GBK" w:cs="Times New Roman"/>
          <w:sz w:val="33"/>
          <w:szCs w:val="33"/>
          <w:lang w:val="en-US" w:eastAsia="zh-CN"/>
        </w:rPr>
        <w:t>万元，社会保障和就业</w:t>
      </w:r>
      <w:r>
        <w:rPr>
          <w:rFonts w:hint="eastAsia" w:eastAsia="方正仿宋_GBK" w:cs="Times New Roman"/>
          <w:sz w:val="33"/>
          <w:szCs w:val="33"/>
          <w:lang w:val="en-US" w:eastAsia="zh-CN"/>
        </w:rPr>
        <w:t>160.16</w:t>
      </w:r>
      <w:r>
        <w:rPr>
          <w:rFonts w:hint="eastAsia" w:ascii="Times New Roman" w:hAnsi="Times New Roman" w:eastAsia="方正仿宋_GBK" w:cs="Times New Roman"/>
          <w:sz w:val="33"/>
          <w:szCs w:val="33"/>
          <w:lang w:val="en-US" w:eastAsia="zh-CN"/>
        </w:rPr>
        <w:t>万元，卫生</w:t>
      </w:r>
      <w:r>
        <w:rPr>
          <w:rFonts w:hint="eastAsia" w:eastAsia="方正仿宋_GBK" w:cs="Times New Roman"/>
          <w:sz w:val="33"/>
          <w:szCs w:val="33"/>
          <w:lang w:val="en-US" w:eastAsia="zh-CN"/>
        </w:rPr>
        <w:t>建康</w:t>
      </w:r>
      <w:r>
        <w:rPr>
          <w:rFonts w:hint="eastAsia" w:ascii="Times New Roman" w:hAnsi="Times New Roman" w:eastAsia="方正仿宋_GBK" w:cs="Times New Roman"/>
          <w:sz w:val="33"/>
          <w:szCs w:val="33"/>
          <w:lang w:val="en-US" w:eastAsia="zh-CN"/>
        </w:rPr>
        <w:t>支出</w:t>
      </w:r>
      <w:r>
        <w:rPr>
          <w:rFonts w:hint="eastAsia" w:eastAsia="方正仿宋_GBK" w:cs="Times New Roman"/>
          <w:sz w:val="33"/>
          <w:szCs w:val="33"/>
          <w:lang w:val="en-US" w:eastAsia="zh-CN"/>
        </w:rPr>
        <w:t>18.82</w:t>
      </w:r>
      <w:r>
        <w:rPr>
          <w:rFonts w:hint="eastAsia" w:ascii="Times New Roman" w:hAnsi="Times New Roman" w:eastAsia="方正仿宋_GBK" w:cs="Times New Roman"/>
          <w:sz w:val="33"/>
          <w:szCs w:val="33"/>
          <w:lang w:val="en-US" w:eastAsia="zh-CN"/>
        </w:rPr>
        <w:t>万元，城乡社区支出</w:t>
      </w:r>
      <w:r>
        <w:rPr>
          <w:rFonts w:hint="eastAsia" w:eastAsia="方正仿宋_GBK" w:cs="Times New Roman"/>
          <w:sz w:val="33"/>
          <w:szCs w:val="33"/>
          <w:lang w:val="en-US" w:eastAsia="zh-CN"/>
        </w:rPr>
        <w:t>13.78</w:t>
      </w:r>
      <w:r>
        <w:rPr>
          <w:rFonts w:hint="eastAsia" w:ascii="Times New Roman" w:hAnsi="Times New Roman" w:eastAsia="方正仿宋_GBK" w:cs="Times New Roman"/>
          <w:sz w:val="33"/>
          <w:szCs w:val="33"/>
          <w:lang w:val="en-US" w:eastAsia="zh-CN"/>
        </w:rPr>
        <w:t>万元，农林水支出</w:t>
      </w:r>
      <w:r>
        <w:rPr>
          <w:rFonts w:hint="eastAsia" w:eastAsia="方正仿宋_GBK" w:cs="Times New Roman"/>
          <w:sz w:val="33"/>
          <w:szCs w:val="33"/>
          <w:lang w:val="en-US" w:eastAsia="zh-CN"/>
        </w:rPr>
        <w:t>428.09</w:t>
      </w:r>
      <w:r>
        <w:rPr>
          <w:rFonts w:hint="eastAsia" w:ascii="Times New Roman" w:hAnsi="Times New Roman" w:eastAsia="方正仿宋_GBK" w:cs="Times New Roman"/>
          <w:sz w:val="33"/>
          <w:szCs w:val="33"/>
          <w:lang w:val="en-US" w:eastAsia="zh-CN"/>
        </w:rPr>
        <w:t>万元，住房保障支出</w:t>
      </w:r>
      <w:r>
        <w:rPr>
          <w:rFonts w:hint="eastAsia" w:eastAsia="方正仿宋_GBK" w:cs="Times New Roman"/>
          <w:sz w:val="33"/>
          <w:szCs w:val="33"/>
          <w:lang w:val="en-US" w:eastAsia="zh-CN"/>
        </w:rPr>
        <w:t>45.06</w:t>
      </w:r>
      <w:r>
        <w:rPr>
          <w:rFonts w:hint="eastAsia" w:ascii="Times New Roman" w:hAnsi="Times New Roman" w:eastAsia="方正仿宋_GBK" w:cs="Times New Roman"/>
          <w:sz w:val="33"/>
          <w:szCs w:val="33"/>
          <w:lang w:val="en-US" w:eastAsia="zh-CN"/>
        </w:rPr>
        <w:t>万元。</w:t>
      </w:r>
    </w:p>
    <w:p>
      <w:pPr>
        <w:widowControl/>
        <w:adjustRightInd w:val="0"/>
        <w:snapToGrid w:val="0"/>
        <w:spacing w:line="580" w:lineRule="exact"/>
        <w:ind w:firstLine="660" w:firstLineChars="200"/>
        <w:contextualSpacing/>
        <w:jc w:val="left"/>
        <w:rPr>
          <w:rFonts w:ascii="黑体" w:hAnsi="宋体" w:eastAsia="黑体" w:cs="宋体"/>
          <w:color w:val="000000"/>
          <w:kern w:val="0"/>
          <w:sz w:val="33"/>
          <w:szCs w:val="33"/>
          <w:shd w:val="clear" w:color="auto" w:fill="FFFFFF"/>
        </w:rPr>
      </w:pPr>
      <w:r>
        <w:rPr>
          <w:rFonts w:hint="eastAsia" w:ascii="黑体" w:hAnsi="宋体" w:eastAsia="黑体" w:cs="宋体"/>
          <w:color w:val="000000"/>
          <w:kern w:val="0"/>
          <w:sz w:val="33"/>
          <w:szCs w:val="33"/>
          <w:shd w:val="clear" w:color="auto" w:fill="FFFFFF"/>
        </w:rPr>
        <w:t>三、部门整体预算绩效管理情况（根据适用指标体系进行调整）</w:t>
      </w:r>
    </w:p>
    <w:p>
      <w:pPr>
        <w:widowControl/>
        <w:adjustRightInd w:val="0"/>
        <w:snapToGrid w:val="0"/>
        <w:spacing w:line="580" w:lineRule="exact"/>
        <w:ind w:firstLine="660" w:firstLineChars="200"/>
        <w:contextualSpacing/>
        <w:jc w:val="left"/>
        <w:rPr>
          <w:rFonts w:hint="eastAsia" w:ascii="仿宋_GB2312" w:hAnsi="宋体" w:cs="宋体"/>
          <w:color w:val="000000"/>
          <w:kern w:val="0"/>
          <w:sz w:val="33"/>
          <w:szCs w:val="33"/>
          <w:shd w:val="clear" w:color="auto" w:fill="FFFFFF"/>
          <w:lang w:val="zh-CN"/>
        </w:rPr>
      </w:pPr>
      <w:r>
        <w:rPr>
          <w:rFonts w:hint="eastAsia" w:ascii="仿宋_GB2312" w:hAnsi="宋体" w:cs="宋体"/>
          <w:color w:val="000000"/>
          <w:kern w:val="0"/>
          <w:sz w:val="33"/>
          <w:szCs w:val="33"/>
          <w:shd w:val="clear" w:color="auto" w:fill="FFFFFF"/>
          <w:lang w:val="zh-CN"/>
        </w:rPr>
        <w:t>（一）部门预算管理。</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预算编制目标制定指标分值12分，此项指标评分细则是：绩效目标编制要素完整的，得6分，否则酌情扣分；绩效指标细化量化的，得6分，否则酌情扣分。经考评，我单位2018年预算编制目标制定健全，根据评分细则，自评得分12分。</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预算编制目标完成指标分值6分，此项指标评分细则是：以项目完成数量指标为核心，评价项目实际完成情况是否以达到预期绩效目标，指标得分=达到预期绩效目标的部门项目个数/纳入绩效目标管理的部门预算项目个数*6。经考评，我单位2018年预算编制目标全面完成，根据评分细则，自评得分6分。</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预算编制准确指标分值12分，此项指标评分细则是：指标得分=（年度预算总额-绩效监控调整取消额-预算结余注销额）/年度预算总额*12。经考评，我单位2018年预算编制编制完全准确，根据评分细则，自评得分12分。</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 xml:space="preserve">预算执行支出控制指标分值10分，此项指标评分细则是：计算部门日常公用经费、项目支出中一般性支出（24个科目合计）年初预算数同上年年初预算数比和决算数与上年决算数相比的压缩情况，一般性支出压缩0-2%扣5分（含2%），压缩2% -4%扣2分（含4%），压缩4%-5%（不含5%）扣1分，压缩超过5%（含5%）不扣分。经考评，我单位2018年预算执行支出控制压缩全部超过5%，根据评分细则，自评得分10分。  </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预算执行进度指标分值10分，此项指标评分细则是：部门预算执行进度在6、9、11月应达到序时进度的80%、90%、95%，即实际支出进度分别达到40%、67.5%、82.5%。6、9、11月部门预算执行进度达到量化指标的分别得3、4、3分，未达到目标进度</w:t>
      </w:r>
      <w:r>
        <w:rPr>
          <w:rFonts w:hint="eastAsia" w:eastAsia="方正仿宋_GBK" w:cs="Times New Roman"/>
          <w:sz w:val="33"/>
          <w:szCs w:val="33"/>
          <w:lang w:val="en-US" w:eastAsia="zh-CN"/>
        </w:rPr>
        <w:t>的</w:t>
      </w:r>
      <w:r>
        <w:rPr>
          <w:rFonts w:hint="eastAsia" w:ascii="Times New Roman" w:hAnsi="Times New Roman" w:eastAsia="方正仿宋_GBK" w:cs="Times New Roman"/>
          <w:sz w:val="33"/>
          <w:szCs w:val="33"/>
          <w:lang w:val="en-US" w:eastAsia="zh-CN"/>
        </w:rPr>
        <w:t>按其实际进度占目标进度的比重计算得分。经考评，我单位2018年预算执行进度达到量化指标，根据评分细则，自评得分10分。</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预算执行账实相符指标分值10分，此项指标评分细则是：账上数据与决算数据不相符的，发现一处扣2分，扣完为止。经考评，我单位2018年账上数据与决算数据完全相符，根据评分细则，自评得分10分。</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预算完成指标分值10分，此项指标评分细则是：部门预算项目12月预算执行进度达到100%的，得10分，未达100%的，按照实际进度量化计算得分。经考评，我单位预算项目12月预算执行进度达到100%，根据评分细则，自评得分10分。</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left"/>
        <w:textAlignment w:val="auto"/>
        <w:rPr>
          <w:rFonts w:hint="eastAsia" w:ascii="仿宋_GB2312" w:hAnsi="宋体" w:cs="宋体"/>
          <w:color w:val="000000"/>
          <w:kern w:val="0"/>
          <w:szCs w:val="32"/>
          <w:shd w:val="clear" w:color="auto" w:fill="FFFFFF"/>
          <w:lang w:val="en-US" w:eastAsia="zh-CN"/>
        </w:rPr>
      </w:pPr>
      <w:r>
        <w:rPr>
          <w:rFonts w:hint="eastAsia" w:ascii="Times New Roman" w:hAnsi="Times New Roman" w:eastAsia="方正仿宋_GBK" w:cs="Times New Roman"/>
          <w:sz w:val="33"/>
          <w:szCs w:val="33"/>
          <w:lang w:val="en-US" w:eastAsia="zh-CN"/>
        </w:rPr>
        <w:t>8</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 xml:space="preserve">违规记录指标分值10分，此项指标评分细则是：依据上一年度审计监督、财政检查结果，出现部门预算管理方面违纪违规问题的，每个问题扣0.5分，直至扣完。经考评，我单位上一年度未出现部门预算管理方面违纪违规问题，根据评分细则，自评得分10分。                                            </w:t>
      </w:r>
      <w:r>
        <w:rPr>
          <w:rFonts w:hint="eastAsia" w:ascii="仿宋_GB2312" w:hAnsi="宋体" w:cs="宋体"/>
          <w:color w:val="000000"/>
          <w:kern w:val="0"/>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left"/>
        <w:textAlignment w:val="auto"/>
        <w:rPr>
          <w:rFonts w:hint="eastAsia" w:ascii="仿宋_GB2312" w:hAnsi="宋体" w:cs="宋体"/>
          <w:color w:val="000000"/>
          <w:kern w:val="0"/>
          <w:sz w:val="33"/>
          <w:szCs w:val="33"/>
          <w:shd w:val="clear" w:color="auto" w:fill="FFFFFF"/>
          <w:lang w:val="zh-CN"/>
        </w:rPr>
      </w:pPr>
      <w:r>
        <w:rPr>
          <w:rFonts w:hint="eastAsia" w:ascii="仿宋_GB2312" w:hAnsi="宋体" w:cs="宋体"/>
          <w:color w:val="000000"/>
          <w:kern w:val="0"/>
          <w:sz w:val="33"/>
          <w:szCs w:val="33"/>
          <w:shd w:val="clear" w:color="auto" w:fill="FFFFFF"/>
          <w:lang w:val="en-US" w:eastAsia="zh-CN"/>
        </w:rPr>
        <w:t>（二）</w:t>
      </w:r>
      <w:r>
        <w:rPr>
          <w:rFonts w:hint="eastAsia" w:ascii="仿宋_GB2312" w:hAnsi="宋体" w:cs="宋体"/>
          <w:color w:val="000000"/>
          <w:kern w:val="0"/>
          <w:sz w:val="33"/>
          <w:szCs w:val="33"/>
          <w:shd w:val="clear" w:color="auto" w:fill="FFFFFF"/>
          <w:lang w:val="zh-CN"/>
        </w:rPr>
        <w:t>结果应用情况。</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方正仿宋_GBK" w:cs="Times New Roman"/>
          <w:sz w:val="33"/>
          <w:szCs w:val="33"/>
          <w:lang w:val="en-US" w:eastAsia="zh-CN"/>
        </w:rPr>
      </w:pPr>
      <w:r>
        <w:rPr>
          <w:rFonts w:hint="eastAsia" w:ascii="仿宋_GB2312" w:hAnsi="宋体" w:cs="宋体"/>
          <w:color w:val="000000"/>
          <w:kern w:val="0"/>
          <w:szCs w:val="32"/>
          <w:shd w:val="clear" w:color="auto" w:fill="FFFFFF"/>
          <w:lang w:val="en-US" w:eastAsia="zh-CN"/>
        </w:rPr>
        <w:t xml:space="preserve"> </w:t>
      </w:r>
      <w:r>
        <w:rPr>
          <w:rFonts w:hint="eastAsia" w:ascii="Times New Roman" w:hAnsi="Times New Roman" w:eastAsia="方正仿宋_GBK" w:cs="Times New Roman"/>
          <w:sz w:val="33"/>
          <w:szCs w:val="33"/>
          <w:lang w:val="en-US" w:eastAsia="zh-CN"/>
        </w:rPr>
        <w:t>1</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自评准确指标分值4分，此项指标评分细则是：部门整体支出自评得分与评价组抽查得分差异在5%以内的，不扣分；在5%-10%之间的，扣1分，在10%-20%的，扣2分，在20%以上的，扣4分。经考评，我单位部门整体支出自评得分与评价组抽查得分差异在5%以内，根据评分细则，自评得分4分。</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目标公开指标分值4分，此项指标评分细则是：按要求随同预算公开的，得4分。经考评，我单位目标公开按要求随同预算公开的，根据评分细则，自评得分4分。</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自评公开指标分值4分，此项指标评分细则是：按要求随同决算公开的，得4分。经考评，我单位自评公开按要求随同决算公开的，根据评分细则，自评得分4分。</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结果整改指标分值4分，此项指标评分细则是：针对绩效管理过程中（包括绩效目标核查、绩效监控核查和重点绩效评价）提出的问题，发现一处未整改的，扣1分，直至扣完。经考评，我单位针对绩效管理过程中提出的问题全部整改完毕，根据评分细则，自评得分4分。</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应用反馈指标分值4分，此项指标评分细则是：部门在规定时间内向财政部门反馈应用绩效结果报告的，得满分，否则不得分。经考评，我单位在规定时间内向财政部门反馈了应用绩效结果报告的，根据评分细则，自评得分4分。</w:t>
      </w:r>
    </w:p>
    <w:p>
      <w:pPr>
        <w:widowControl/>
        <w:adjustRightInd w:val="0"/>
        <w:snapToGrid w:val="0"/>
        <w:spacing w:line="580" w:lineRule="exact"/>
        <w:ind w:firstLine="660" w:firstLineChars="200"/>
        <w:contextualSpacing/>
        <w:jc w:val="left"/>
        <w:rPr>
          <w:rFonts w:ascii="黑体" w:hAnsi="宋体" w:eastAsia="黑体" w:cs="宋体"/>
          <w:color w:val="000000"/>
          <w:kern w:val="0"/>
          <w:sz w:val="33"/>
          <w:szCs w:val="33"/>
          <w:shd w:val="clear" w:color="auto" w:fill="FFFFFF"/>
        </w:rPr>
      </w:pPr>
      <w:r>
        <w:rPr>
          <w:rFonts w:hint="eastAsia" w:ascii="黑体" w:hAnsi="宋体" w:eastAsia="黑体" w:cs="宋体"/>
          <w:color w:val="000000"/>
          <w:kern w:val="0"/>
          <w:sz w:val="33"/>
          <w:szCs w:val="33"/>
          <w:shd w:val="clear" w:color="auto" w:fill="FFFFFF"/>
        </w:rPr>
        <w:t>四、评价结论及建议</w:t>
      </w:r>
    </w:p>
    <w:p>
      <w:pPr>
        <w:widowControl/>
        <w:adjustRightInd w:val="0"/>
        <w:snapToGrid w:val="0"/>
        <w:spacing w:line="580" w:lineRule="exact"/>
        <w:ind w:firstLine="660" w:firstLineChars="200"/>
        <w:contextualSpacing/>
        <w:jc w:val="left"/>
        <w:rPr>
          <w:rFonts w:hint="eastAsia" w:ascii="仿宋_GB2312" w:hAnsi="宋体" w:cs="宋体"/>
          <w:color w:val="000000"/>
          <w:kern w:val="0"/>
          <w:sz w:val="33"/>
          <w:szCs w:val="33"/>
          <w:shd w:val="clear" w:color="auto" w:fill="FFFFFF"/>
          <w:lang w:val="zh-CN"/>
        </w:rPr>
      </w:pPr>
      <w:r>
        <w:rPr>
          <w:rFonts w:hint="eastAsia" w:ascii="仿宋_GB2312" w:hAnsi="宋体" w:cs="宋体"/>
          <w:color w:val="000000"/>
          <w:kern w:val="0"/>
          <w:sz w:val="33"/>
          <w:szCs w:val="33"/>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根据绩效评价工作要求，我单位成立了自评工作领导小组，对自评实施工作方案进行了研究和部署，使自评工作得以顺利开展，并取得了较好的效果。经考评，我单位2019年部门整体支出绩效评价得分为100分。</w:t>
      </w:r>
    </w:p>
    <w:p>
      <w:pPr>
        <w:widowControl/>
        <w:numPr>
          <w:ilvl w:val="0"/>
          <w:numId w:val="0"/>
        </w:numPr>
        <w:adjustRightInd w:val="0"/>
        <w:snapToGrid w:val="0"/>
        <w:spacing w:line="580" w:lineRule="exact"/>
        <w:ind w:firstLine="660" w:firstLineChars="200"/>
        <w:contextualSpacing/>
        <w:jc w:val="left"/>
        <w:rPr>
          <w:rFonts w:hint="eastAsia" w:ascii="仿宋_GB2312" w:hAnsi="宋体" w:cs="宋体"/>
          <w:color w:val="000000"/>
          <w:kern w:val="0"/>
          <w:sz w:val="33"/>
          <w:szCs w:val="33"/>
          <w:shd w:val="clear" w:color="auto" w:fill="FFFFFF"/>
          <w:lang w:val="zh-CN"/>
        </w:rPr>
      </w:pPr>
      <w:r>
        <w:rPr>
          <w:rFonts w:hint="eastAsia" w:ascii="仿宋_GB2312" w:hAnsi="宋体" w:cs="宋体"/>
          <w:color w:val="000000"/>
          <w:kern w:val="0"/>
          <w:sz w:val="33"/>
          <w:szCs w:val="33"/>
          <w:shd w:val="clear" w:color="auto" w:fill="FFFFFF"/>
          <w:lang w:val="zh-CN"/>
        </w:rPr>
        <w:t>（二）存在问题。</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根据绩效评价工作要求，我单位自评工作虽然取得了较好的效果。但仍存在问题，主要是对定性指标的评议上，由于采取自评的问卷形式，且评价内容较宏观，所以，部分参与评价的人员不能客观地对部门的绩效进行评价。</w:t>
      </w:r>
    </w:p>
    <w:p>
      <w:pPr>
        <w:widowControl/>
        <w:numPr>
          <w:ilvl w:val="0"/>
          <w:numId w:val="0"/>
        </w:numPr>
        <w:adjustRightInd w:val="0"/>
        <w:snapToGrid w:val="0"/>
        <w:spacing w:line="580" w:lineRule="exact"/>
        <w:ind w:leftChars="200"/>
        <w:contextualSpacing/>
        <w:jc w:val="left"/>
        <w:rPr>
          <w:rFonts w:hint="eastAsia" w:ascii="仿宋_GB2312" w:hAnsi="宋体" w:cs="宋体"/>
          <w:color w:val="000000"/>
          <w:kern w:val="0"/>
          <w:sz w:val="33"/>
          <w:szCs w:val="33"/>
          <w:shd w:val="clear" w:color="auto" w:fill="FFFFFF"/>
          <w:lang w:val="zh-CN"/>
        </w:rPr>
      </w:pPr>
      <w:r>
        <w:rPr>
          <w:rFonts w:hint="eastAsia" w:ascii="仿宋_GB2312" w:hAnsi="宋体" w:cs="宋体"/>
          <w:color w:val="000000"/>
          <w:kern w:val="0"/>
          <w:sz w:val="33"/>
          <w:szCs w:val="33"/>
          <w:shd w:val="clear" w:color="auto" w:fill="FFFFFF"/>
          <w:lang w:val="zh-CN"/>
        </w:rPr>
        <w:t>（三）改进建议。</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明年的绩效评价工作我单位将根据定性指标的内容设置一些具体的明细的项目进行部门之间互评，以使定性的评议更客观和具体参考价值。</w:t>
      </w:r>
    </w:p>
    <w:p>
      <w:pPr>
        <w:pStyle w:val="2"/>
      </w:pPr>
    </w:p>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jc w:val="center"/>
        <w:outlineLvl w:val="0"/>
        <w:rPr>
          <w:rStyle w:val="25"/>
          <w:rFonts w:ascii="黑体" w:hAnsi="黑体" w:eastAsia="黑体"/>
          <w:b w:val="0"/>
        </w:rPr>
      </w:pPr>
      <w:bookmarkStart w:id="57"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5"/>
      <w:bookmarkEnd w:id="57"/>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8"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8"/>
    </w:p>
    <w:p>
      <w:pPr>
        <w:pStyle w:val="4"/>
        <w:rPr>
          <w:rFonts w:ascii="仿宋" w:hAnsi="仿宋" w:eastAsia="仿宋"/>
          <w:color w:val="000000"/>
        </w:rPr>
      </w:pPr>
      <w:bookmarkStart w:id="59"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59"/>
    </w:p>
    <w:p>
      <w:pPr>
        <w:pStyle w:val="4"/>
        <w:rPr>
          <w:rFonts w:ascii="仿宋" w:hAnsi="仿宋" w:eastAsia="仿宋"/>
          <w:color w:val="000000"/>
        </w:rPr>
      </w:pPr>
      <w:bookmarkStart w:id="60"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0"/>
    </w:p>
    <w:p>
      <w:pPr>
        <w:pStyle w:val="4"/>
        <w:rPr>
          <w:rFonts w:ascii="仿宋" w:hAnsi="仿宋" w:eastAsia="仿宋"/>
          <w:b w:val="0"/>
          <w:color w:val="000000"/>
        </w:rPr>
      </w:pPr>
      <w:bookmarkStart w:id="61"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1"/>
    </w:p>
    <w:p>
      <w:pPr>
        <w:pStyle w:val="4"/>
        <w:rPr>
          <w:rFonts w:ascii="仿宋" w:hAnsi="仿宋" w:eastAsia="仿宋"/>
          <w:color w:val="000000"/>
        </w:rPr>
      </w:pPr>
      <w:bookmarkStart w:id="62"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2"/>
    </w:p>
    <w:p>
      <w:pPr>
        <w:pStyle w:val="4"/>
        <w:rPr>
          <w:rFonts w:ascii="仿宋" w:hAnsi="仿宋" w:eastAsia="仿宋"/>
          <w:color w:val="000000"/>
        </w:rPr>
      </w:pPr>
      <w:bookmarkStart w:id="63"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3"/>
    </w:p>
    <w:p>
      <w:pPr>
        <w:pStyle w:val="4"/>
        <w:rPr>
          <w:rFonts w:ascii="仿宋" w:hAnsi="仿宋" w:eastAsia="仿宋"/>
          <w:color w:val="000000"/>
        </w:rPr>
      </w:pPr>
      <w:bookmarkStart w:id="64"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4"/>
    </w:p>
    <w:p>
      <w:pPr>
        <w:pStyle w:val="4"/>
        <w:rPr>
          <w:rFonts w:ascii="仿宋" w:hAnsi="仿宋" w:eastAsia="仿宋"/>
          <w:color w:val="000000"/>
        </w:rPr>
      </w:pPr>
      <w:bookmarkStart w:id="65"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5"/>
    </w:p>
    <w:p>
      <w:pPr>
        <w:pStyle w:val="4"/>
        <w:rPr>
          <w:rFonts w:ascii="仿宋" w:hAnsi="仿宋" w:eastAsia="仿宋"/>
          <w:color w:val="000000"/>
        </w:rPr>
      </w:pPr>
      <w:bookmarkStart w:id="66"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6"/>
    </w:p>
    <w:p>
      <w:pPr>
        <w:pStyle w:val="4"/>
        <w:rPr>
          <w:rFonts w:ascii="仿宋" w:hAnsi="仿宋" w:eastAsia="仿宋"/>
          <w:color w:val="000000"/>
        </w:rPr>
      </w:pPr>
      <w:bookmarkStart w:id="67"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7"/>
    </w:p>
    <w:p>
      <w:pPr>
        <w:pStyle w:val="4"/>
        <w:rPr>
          <w:rFonts w:ascii="仿宋" w:hAnsi="仿宋" w:eastAsia="仿宋"/>
          <w:color w:val="000000"/>
        </w:rPr>
      </w:pPr>
      <w:bookmarkStart w:id="68"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8"/>
    </w:p>
    <w:p>
      <w:pPr>
        <w:pStyle w:val="4"/>
        <w:rPr>
          <w:rFonts w:ascii="仿宋" w:hAnsi="仿宋" w:eastAsia="仿宋"/>
          <w:color w:val="000000"/>
        </w:rPr>
      </w:pPr>
      <w:bookmarkStart w:id="69"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69"/>
    </w:p>
    <w:p>
      <w:pPr>
        <w:pStyle w:val="4"/>
        <w:rPr>
          <w:rFonts w:ascii="仿宋" w:hAnsi="仿宋" w:eastAsia="仿宋"/>
          <w:color w:val="000000" w:themeColor="text1"/>
          <w14:textFill>
            <w14:solidFill>
              <w14:schemeClr w14:val="tx1"/>
            </w14:solidFill>
          </w14:textFill>
        </w:rPr>
      </w:pPr>
      <w:bookmarkStart w:id="70"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21</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4">
    <w:nsid w:val="3F90A1A9"/>
    <w:multiLevelType w:val="singleLevel"/>
    <w:tmpl w:val="3F90A1A9"/>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58B0"/>
    <w:rsid w:val="0014729F"/>
    <w:rsid w:val="00157BAB"/>
    <w:rsid w:val="001654D1"/>
    <w:rsid w:val="0018106D"/>
    <w:rsid w:val="001873E3"/>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2F7F38"/>
    <w:rsid w:val="003216A9"/>
    <w:rsid w:val="00324D93"/>
    <w:rsid w:val="003514BF"/>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178B"/>
    <w:rsid w:val="005664BB"/>
    <w:rsid w:val="0057481D"/>
    <w:rsid w:val="0058486E"/>
    <w:rsid w:val="005B3ECD"/>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76C1"/>
    <w:rsid w:val="00683E73"/>
    <w:rsid w:val="006A3141"/>
    <w:rsid w:val="006A5E34"/>
    <w:rsid w:val="006B2422"/>
    <w:rsid w:val="006B2B9A"/>
    <w:rsid w:val="006C0E53"/>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2A59"/>
    <w:rsid w:val="008B768C"/>
    <w:rsid w:val="008C4DB1"/>
    <w:rsid w:val="008C4EAF"/>
    <w:rsid w:val="008C5176"/>
    <w:rsid w:val="008C7FD0"/>
    <w:rsid w:val="008E1DE7"/>
    <w:rsid w:val="008E707C"/>
    <w:rsid w:val="008F3ACD"/>
    <w:rsid w:val="00900B08"/>
    <w:rsid w:val="00902155"/>
    <w:rsid w:val="00902FA3"/>
    <w:rsid w:val="0091569A"/>
    <w:rsid w:val="00923564"/>
    <w:rsid w:val="0092392E"/>
    <w:rsid w:val="009315F9"/>
    <w:rsid w:val="00933AFE"/>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27"/>
    <w:rsid w:val="00A13CC1"/>
    <w:rsid w:val="00A16847"/>
    <w:rsid w:val="00A237D8"/>
    <w:rsid w:val="00A268C4"/>
    <w:rsid w:val="00A307CD"/>
    <w:rsid w:val="00A40A00"/>
    <w:rsid w:val="00A4142F"/>
    <w:rsid w:val="00A51BAF"/>
    <w:rsid w:val="00A56DF2"/>
    <w:rsid w:val="00A62CB9"/>
    <w:rsid w:val="00A67AB5"/>
    <w:rsid w:val="00A774A5"/>
    <w:rsid w:val="00A91760"/>
    <w:rsid w:val="00A93B00"/>
    <w:rsid w:val="00A93C21"/>
    <w:rsid w:val="00AC3C6A"/>
    <w:rsid w:val="00AD5620"/>
    <w:rsid w:val="00AD7C1B"/>
    <w:rsid w:val="00AE16BA"/>
    <w:rsid w:val="00AE1EBE"/>
    <w:rsid w:val="00AF15C8"/>
    <w:rsid w:val="00B03C9D"/>
    <w:rsid w:val="00B060AE"/>
    <w:rsid w:val="00B10517"/>
    <w:rsid w:val="00B14E76"/>
    <w:rsid w:val="00B161B8"/>
    <w:rsid w:val="00B2048C"/>
    <w:rsid w:val="00B260D9"/>
    <w:rsid w:val="00B26FBB"/>
    <w:rsid w:val="00B310B9"/>
    <w:rsid w:val="00B34320"/>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CF2382"/>
    <w:rsid w:val="00D00095"/>
    <w:rsid w:val="00D20620"/>
    <w:rsid w:val="00D26091"/>
    <w:rsid w:val="00D34E7C"/>
    <w:rsid w:val="00D35489"/>
    <w:rsid w:val="00D51276"/>
    <w:rsid w:val="00D63056"/>
    <w:rsid w:val="00D7035F"/>
    <w:rsid w:val="00DA65AC"/>
    <w:rsid w:val="00DB1913"/>
    <w:rsid w:val="00DB7DBC"/>
    <w:rsid w:val="00DC410D"/>
    <w:rsid w:val="00DC68CA"/>
    <w:rsid w:val="00DC7CBA"/>
    <w:rsid w:val="00DD73B7"/>
    <w:rsid w:val="00DF28BC"/>
    <w:rsid w:val="00DF34B9"/>
    <w:rsid w:val="00E01053"/>
    <w:rsid w:val="00E07ACF"/>
    <w:rsid w:val="00E331A1"/>
    <w:rsid w:val="00E33202"/>
    <w:rsid w:val="00E336A9"/>
    <w:rsid w:val="00E50624"/>
    <w:rsid w:val="00E568DF"/>
    <w:rsid w:val="00E576C5"/>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6518D4"/>
    <w:rsid w:val="019D020D"/>
    <w:rsid w:val="03C13A53"/>
    <w:rsid w:val="04906E08"/>
    <w:rsid w:val="05665609"/>
    <w:rsid w:val="05680E80"/>
    <w:rsid w:val="056F2DD7"/>
    <w:rsid w:val="06053DCB"/>
    <w:rsid w:val="0670344A"/>
    <w:rsid w:val="07164E2C"/>
    <w:rsid w:val="0741054D"/>
    <w:rsid w:val="07D76440"/>
    <w:rsid w:val="07F91948"/>
    <w:rsid w:val="07FC6A07"/>
    <w:rsid w:val="080B15C5"/>
    <w:rsid w:val="08627A7D"/>
    <w:rsid w:val="08DB785C"/>
    <w:rsid w:val="091F6460"/>
    <w:rsid w:val="0938401C"/>
    <w:rsid w:val="09502692"/>
    <w:rsid w:val="09750786"/>
    <w:rsid w:val="09B77DAE"/>
    <w:rsid w:val="09C6465D"/>
    <w:rsid w:val="0A5C175F"/>
    <w:rsid w:val="0A81165A"/>
    <w:rsid w:val="0AAE1F42"/>
    <w:rsid w:val="0ABD1E27"/>
    <w:rsid w:val="0B111B4B"/>
    <w:rsid w:val="0B31254E"/>
    <w:rsid w:val="0B81130F"/>
    <w:rsid w:val="0BA93787"/>
    <w:rsid w:val="0C8A48B9"/>
    <w:rsid w:val="0CB5560E"/>
    <w:rsid w:val="0CC854AF"/>
    <w:rsid w:val="0CD87849"/>
    <w:rsid w:val="0D141724"/>
    <w:rsid w:val="0D63596C"/>
    <w:rsid w:val="0E1939C8"/>
    <w:rsid w:val="0E1D0A37"/>
    <w:rsid w:val="0E482ABA"/>
    <w:rsid w:val="0E5F36EE"/>
    <w:rsid w:val="0EE309CF"/>
    <w:rsid w:val="0EE6339E"/>
    <w:rsid w:val="0FB61FCB"/>
    <w:rsid w:val="0FC94BB8"/>
    <w:rsid w:val="0FF03ECF"/>
    <w:rsid w:val="1082456E"/>
    <w:rsid w:val="10A61824"/>
    <w:rsid w:val="10C055FF"/>
    <w:rsid w:val="10E11385"/>
    <w:rsid w:val="11217BC8"/>
    <w:rsid w:val="12301974"/>
    <w:rsid w:val="128E5591"/>
    <w:rsid w:val="12FF0DFF"/>
    <w:rsid w:val="1323337C"/>
    <w:rsid w:val="14217DBC"/>
    <w:rsid w:val="14786DF2"/>
    <w:rsid w:val="14CC5179"/>
    <w:rsid w:val="150563D7"/>
    <w:rsid w:val="166447A8"/>
    <w:rsid w:val="16BB723D"/>
    <w:rsid w:val="17A66B6C"/>
    <w:rsid w:val="17E00E27"/>
    <w:rsid w:val="185E5F0D"/>
    <w:rsid w:val="18CA50DD"/>
    <w:rsid w:val="192D4B0A"/>
    <w:rsid w:val="19782B7D"/>
    <w:rsid w:val="197F039C"/>
    <w:rsid w:val="19AE3228"/>
    <w:rsid w:val="1A056AC7"/>
    <w:rsid w:val="1A1A4BEF"/>
    <w:rsid w:val="1A6608C1"/>
    <w:rsid w:val="1AD309C3"/>
    <w:rsid w:val="1AE770A8"/>
    <w:rsid w:val="1AF00C3F"/>
    <w:rsid w:val="1AF02367"/>
    <w:rsid w:val="1B391621"/>
    <w:rsid w:val="1B3C206C"/>
    <w:rsid w:val="1B423C88"/>
    <w:rsid w:val="1BFF3FD2"/>
    <w:rsid w:val="1C7D4DBE"/>
    <w:rsid w:val="1C9539B6"/>
    <w:rsid w:val="1CA465D6"/>
    <w:rsid w:val="1CB50AF6"/>
    <w:rsid w:val="1D0926D8"/>
    <w:rsid w:val="1D3D325D"/>
    <w:rsid w:val="1D5C6920"/>
    <w:rsid w:val="1D7E1B8A"/>
    <w:rsid w:val="1D871976"/>
    <w:rsid w:val="1DC300D7"/>
    <w:rsid w:val="1DC70C3D"/>
    <w:rsid w:val="1E592A71"/>
    <w:rsid w:val="1E5B574C"/>
    <w:rsid w:val="1E774B19"/>
    <w:rsid w:val="1F7C59C2"/>
    <w:rsid w:val="1FA45540"/>
    <w:rsid w:val="1FAD4B5E"/>
    <w:rsid w:val="200D08C5"/>
    <w:rsid w:val="2011450B"/>
    <w:rsid w:val="202920F5"/>
    <w:rsid w:val="204978C9"/>
    <w:rsid w:val="204C32BC"/>
    <w:rsid w:val="20561D76"/>
    <w:rsid w:val="20F14F56"/>
    <w:rsid w:val="20F73A71"/>
    <w:rsid w:val="21013642"/>
    <w:rsid w:val="213A36AB"/>
    <w:rsid w:val="221833EE"/>
    <w:rsid w:val="23072046"/>
    <w:rsid w:val="23396B0C"/>
    <w:rsid w:val="234E1921"/>
    <w:rsid w:val="240371BF"/>
    <w:rsid w:val="24A57890"/>
    <w:rsid w:val="24D65456"/>
    <w:rsid w:val="2587478A"/>
    <w:rsid w:val="258D3074"/>
    <w:rsid w:val="25AF5F5F"/>
    <w:rsid w:val="25C81910"/>
    <w:rsid w:val="25CD34A7"/>
    <w:rsid w:val="266409A7"/>
    <w:rsid w:val="26961C3B"/>
    <w:rsid w:val="27165D08"/>
    <w:rsid w:val="274B1A23"/>
    <w:rsid w:val="27C509F4"/>
    <w:rsid w:val="27F64446"/>
    <w:rsid w:val="28D263A4"/>
    <w:rsid w:val="28E430DB"/>
    <w:rsid w:val="29681010"/>
    <w:rsid w:val="29C100EB"/>
    <w:rsid w:val="29FA6509"/>
    <w:rsid w:val="29FD04D3"/>
    <w:rsid w:val="2A22472D"/>
    <w:rsid w:val="2AFB3E8A"/>
    <w:rsid w:val="2B2321ED"/>
    <w:rsid w:val="2BCC6816"/>
    <w:rsid w:val="2C226CD1"/>
    <w:rsid w:val="2C731283"/>
    <w:rsid w:val="2CDD568C"/>
    <w:rsid w:val="2D0D150B"/>
    <w:rsid w:val="2D572FED"/>
    <w:rsid w:val="2D874E78"/>
    <w:rsid w:val="2DBB77E4"/>
    <w:rsid w:val="2E294897"/>
    <w:rsid w:val="2EF07F24"/>
    <w:rsid w:val="2F276F76"/>
    <w:rsid w:val="2FD277AD"/>
    <w:rsid w:val="30101738"/>
    <w:rsid w:val="30671C33"/>
    <w:rsid w:val="30830D6D"/>
    <w:rsid w:val="311E4CC4"/>
    <w:rsid w:val="31264DB3"/>
    <w:rsid w:val="31660FEE"/>
    <w:rsid w:val="316C6945"/>
    <w:rsid w:val="319F7F4E"/>
    <w:rsid w:val="320B5BBB"/>
    <w:rsid w:val="3247455B"/>
    <w:rsid w:val="326547E0"/>
    <w:rsid w:val="32867805"/>
    <w:rsid w:val="32A3760D"/>
    <w:rsid w:val="330C7DC0"/>
    <w:rsid w:val="33A326E3"/>
    <w:rsid w:val="33A43D1B"/>
    <w:rsid w:val="33FF0876"/>
    <w:rsid w:val="34A54AB5"/>
    <w:rsid w:val="34B5613E"/>
    <w:rsid w:val="35557B64"/>
    <w:rsid w:val="35F50EDF"/>
    <w:rsid w:val="36B92E40"/>
    <w:rsid w:val="36DB765E"/>
    <w:rsid w:val="36E52D78"/>
    <w:rsid w:val="379F191A"/>
    <w:rsid w:val="38157F43"/>
    <w:rsid w:val="387A53A2"/>
    <w:rsid w:val="38B068D2"/>
    <w:rsid w:val="3921257D"/>
    <w:rsid w:val="39521163"/>
    <w:rsid w:val="39591230"/>
    <w:rsid w:val="39CF559D"/>
    <w:rsid w:val="3A5E5FD2"/>
    <w:rsid w:val="3AAF2DDE"/>
    <w:rsid w:val="3B2D3D33"/>
    <w:rsid w:val="3B540FB8"/>
    <w:rsid w:val="3BE32EEC"/>
    <w:rsid w:val="3BEB642E"/>
    <w:rsid w:val="3C110791"/>
    <w:rsid w:val="3C3030B1"/>
    <w:rsid w:val="3C470B98"/>
    <w:rsid w:val="3C776905"/>
    <w:rsid w:val="3CC14590"/>
    <w:rsid w:val="3CED456E"/>
    <w:rsid w:val="3D1F26A6"/>
    <w:rsid w:val="3D3731B0"/>
    <w:rsid w:val="3D6C123C"/>
    <w:rsid w:val="3DC43237"/>
    <w:rsid w:val="3DE53ED4"/>
    <w:rsid w:val="3E437624"/>
    <w:rsid w:val="3E5D7F33"/>
    <w:rsid w:val="3EA65D93"/>
    <w:rsid w:val="3EB37B15"/>
    <w:rsid w:val="3F553F84"/>
    <w:rsid w:val="3F575F3F"/>
    <w:rsid w:val="3F5F08F0"/>
    <w:rsid w:val="3F784008"/>
    <w:rsid w:val="3FC55605"/>
    <w:rsid w:val="40225B0B"/>
    <w:rsid w:val="40F406B1"/>
    <w:rsid w:val="41283F2D"/>
    <w:rsid w:val="41431347"/>
    <w:rsid w:val="41AE4F5B"/>
    <w:rsid w:val="42626A7E"/>
    <w:rsid w:val="427573B9"/>
    <w:rsid w:val="42975CC0"/>
    <w:rsid w:val="42FC7EEE"/>
    <w:rsid w:val="43100BBA"/>
    <w:rsid w:val="43406EA5"/>
    <w:rsid w:val="43640C8D"/>
    <w:rsid w:val="43726164"/>
    <w:rsid w:val="4395586C"/>
    <w:rsid w:val="453F22AB"/>
    <w:rsid w:val="4543723E"/>
    <w:rsid w:val="45E92037"/>
    <w:rsid w:val="45F533FF"/>
    <w:rsid w:val="45F67999"/>
    <w:rsid w:val="46707414"/>
    <w:rsid w:val="46761096"/>
    <w:rsid w:val="46B56547"/>
    <w:rsid w:val="47134FBA"/>
    <w:rsid w:val="47934A31"/>
    <w:rsid w:val="48231A1E"/>
    <w:rsid w:val="482825AA"/>
    <w:rsid w:val="48906FA0"/>
    <w:rsid w:val="490B576D"/>
    <w:rsid w:val="49217915"/>
    <w:rsid w:val="49542693"/>
    <w:rsid w:val="49FB098E"/>
    <w:rsid w:val="4A7429C3"/>
    <w:rsid w:val="4AD67CB3"/>
    <w:rsid w:val="4B9922DA"/>
    <w:rsid w:val="4BA921D2"/>
    <w:rsid w:val="4C1572FA"/>
    <w:rsid w:val="4C2557A1"/>
    <w:rsid w:val="4C642CE8"/>
    <w:rsid w:val="4C760694"/>
    <w:rsid w:val="4C7C5968"/>
    <w:rsid w:val="4C866024"/>
    <w:rsid w:val="4D7676DF"/>
    <w:rsid w:val="4D78509A"/>
    <w:rsid w:val="4D7F2D1C"/>
    <w:rsid w:val="4DD80E3E"/>
    <w:rsid w:val="4DDE6AAC"/>
    <w:rsid w:val="4E570E02"/>
    <w:rsid w:val="4ED81548"/>
    <w:rsid w:val="4F6B0A4F"/>
    <w:rsid w:val="4F8605B0"/>
    <w:rsid w:val="5019773A"/>
    <w:rsid w:val="50904919"/>
    <w:rsid w:val="510723E8"/>
    <w:rsid w:val="51302B71"/>
    <w:rsid w:val="521305F1"/>
    <w:rsid w:val="52B9593E"/>
    <w:rsid w:val="52BA47EA"/>
    <w:rsid w:val="52F265D6"/>
    <w:rsid w:val="533443ED"/>
    <w:rsid w:val="53611C44"/>
    <w:rsid w:val="539B5C6F"/>
    <w:rsid w:val="53A41201"/>
    <w:rsid w:val="5491019D"/>
    <w:rsid w:val="54AF45F1"/>
    <w:rsid w:val="54CC1A71"/>
    <w:rsid w:val="553F1ED1"/>
    <w:rsid w:val="5563759E"/>
    <w:rsid w:val="567D2FAC"/>
    <w:rsid w:val="569D4BAD"/>
    <w:rsid w:val="56E57E86"/>
    <w:rsid w:val="577F3753"/>
    <w:rsid w:val="57977A37"/>
    <w:rsid w:val="585C7890"/>
    <w:rsid w:val="58934F0E"/>
    <w:rsid w:val="598C7D37"/>
    <w:rsid w:val="5A3445B3"/>
    <w:rsid w:val="5A8674B7"/>
    <w:rsid w:val="5B127621"/>
    <w:rsid w:val="5B722BD2"/>
    <w:rsid w:val="5BB243CD"/>
    <w:rsid w:val="5BC72F5C"/>
    <w:rsid w:val="5C0A446A"/>
    <w:rsid w:val="5CB55867"/>
    <w:rsid w:val="5CF43801"/>
    <w:rsid w:val="5D0E3085"/>
    <w:rsid w:val="5D696F07"/>
    <w:rsid w:val="5DC429DB"/>
    <w:rsid w:val="5DC531D8"/>
    <w:rsid w:val="5DD53F16"/>
    <w:rsid w:val="5EC04069"/>
    <w:rsid w:val="5F130570"/>
    <w:rsid w:val="5F3C2C4C"/>
    <w:rsid w:val="5FE83DDC"/>
    <w:rsid w:val="5FFD314F"/>
    <w:rsid w:val="602C7B0A"/>
    <w:rsid w:val="60D51BAD"/>
    <w:rsid w:val="61226446"/>
    <w:rsid w:val="614C380B"/>
    <w:rsid w:val="61660953"/>
    <w:rsid w:val="61787CCC"/>
    <w:rsid w:val="618E7474"/>
    <w:rsid w:val="61CC2AD1"/>
    <w:rsid w:val="61F90DDB"/>
    <w:rsid w:val="6299211C"/>
    <w:rsid w:val="634A698B"/>
    <w:rsid w:val="634B3D11"/>
    <w:rsid w:val="634E7453"/>
    <w:rsid w:val="63813D24"/>
    <w:rsid w:val="63E262CC"/>
    <w:rsid w:val="64875955"/>
    <w:rsid w:val="648F372B"/>
    <w:rsid w:val="64AB2163"/>
    <w:rsid w:val="64ED02C6"/>
    <w:rsid w:val="64FD6E47"/>
    <w:rsid w:val="650B6462"/>
    <w:rsid w:val="65D45BC1"/>
    <w:rsid w:val="65E965C1"/>
    <w:rsid w:val="66252916"/>
    <w:rsid w:val="666C38FC"/>
    <w:rsid w:val="67281B3B"/>
    <w:rsid w:val="67371819"/>
    <w:rsid w:val="67595EDB"/>
    <w:rsid w:val="67880D72"/>
    <w:rsid w:val="67996945"/>
    <w:rsid w:val="67C42A8D"/>
    <w:rsid w:val="67D15BEF"/>
    <w:rsid w:val="681F5675"/>
    <w:rsid w:val="687D1A7E"/>
    <w:rsid w:val="6927503E"/>
    <w:rsid w:val="69847B02"/>
    <w:rsid w:val="6A023EA5"/>
    <w:rsid w:val="6A2B1D02"/>
    <w:rsid w:val="6A6A03D2"/>
    <w:rsid w:val="6A8675DF"/>
    <w:rsid w:val="6AE16007"/>
    <w:rsid w:val="6B2F5F7F"/>
    <w:rsid w:val="6B7D34B9"/>
    <w:rsid w:val="6B922000"/>
    <w:rsid w:val="6BF57E53"/>
    <w:rsid w:val="6BF734A9"/>
    <w:rsid w:val="6C6425DA"/>
    <w:rsid w:val="6CC124CD"/>
    <w:rsid w:val="6CEE6FD6"/>
    <w:rsid w:val="6F594757"/>
    <w:rsid w:val="6F735A4B"/>
    <w:rsid w:val="6F964DC4"/>
    <w:rsid w:val="6FFD05C9"/>
    <w:rsid w:val="70243072"/>
    <w:rsid w:val="713848F7"/>
    <w:rsid w:val="71744D96"/>
    <w:rsid w:val="71D45B61"/>
    <w:rsid w:val="73520AF6"/>
    <w:rsid w:val="73557246"/>
    <w:rsid w:val="73F53E32"/>
    <w:rsid w:val="74EA008F"/>
    <w:rsid w:val="75A00DAA"/>
    <w:rsid w:val="7610485C"/>
    <w:rsid w:val="762F6050"/>
    <w:rsid w:val="77602A5E"/>
    <w:rsid w:val="77CD7FEF"/>
    <w:rsid w:val="78494E0D"/>
    <w:rsid w:val="78ED0533"/>
    <w:rsid w:val="79550F53"/>
    <w:rsid w:val="798858BA"/>
    <w:rsid w:val="7A771F91"/>
    <w:rsid w:val="7A7A4B56"/>
    <w:rsid w:val="7A94354D"/>
    <w:rsid w:val="7AF9643C"/>
    <w:rsid w:val="7BF31862"/>
    <w:rsid w:val="7D030AEF"/>
    <w:rsid w:val="7DBB53B8"/>
    <w:rsid w:val="7E545E01"/>
    <w:rsid w:val="7E9F6105"/>
    <w:rsid w:val="7EBDDFC5"/>
    <w:rsid w:val="7F3D6C86"/>
    <w:rsid w:val="7FE760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0"/>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unhideWhenUsed/>
    <w:qFormat/>
    <w:uiPriority w:val="99"/>
    <w:rPr>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FollowedHyperlink"/>
    <w:basedOn w:val="13"/>
    <w:unhideWhenUsed/>
    <w:qFormat/>
    <w:uiPriority w:val="99"/>
    <w:rPr>
      <w:color w:val="2786E4"/>
      <w:u w:val="none"/>
    </w:rPr>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2"/>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firstLineChars="200"/>
    </w:pPr>
  </w:style>
  <w:style w:type="character" w:customStyle="1" w:styleId="25">
    <w:name w:val="标题 1 Char"/>
    <w:basedOn w:val="13"/>
    <w:link w:val="3"/>
    <w:qFormat/>
    <w:uiPriority w:val="9"/>
    <w:rPr>
      <w:rFonts w:ascii="Times New Roman" w:hAnsi="Times New Roman"/>
      <w:b/>
      <w:bCs/>
      <w:kern w:val="44"/>
      <w:sz w:val="44"/>
      <w:szCs w:val="44"/>
    </w:rPr>
  </w:style>
  <w:style w:type="character" w:customStyle="1" w:styleId="26">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8"/>
    <w:semiHidden/>
    <w:qFormat/>
    <w:uiPriority w:val="99"/>
    <w:rPr>
      <w:rFonts w:ascii="Times New Roman" w:hAnsi="Times New Roman"/>
      <w:kern w:val="2"/>
      <w:sz w:val="18"/>
      <w:szCs w:val="18"/>
    </w:rPr>
  </w:style>
  <w:style w:type="character" w:customStyle="1" w:styleId="29">
    <w:name w:val="标题 3 Char"/>
    <w:basedOn w:val="13"/>
    <w:link w:val="5"/>
    <w:qFormat/>
    <w:uiPriority w:val="9"/>
    <w:rPr>
      <w:rFonts w:ascii="Times New Roman" w:hAnsi="Times New Roman"/>
      <w:b/>
      <w:bCs/>
      <w:kern w:val="2"/>
      <w:sz w:val="32"/>
      <w:szCs w:val="32"/>
    </w:rPr>
  </w:style>
  <w:style w:type="paragraph" w:customStyle="1" w:styleId="30">
    <w:name w:val="列出段落111"/>
    <w:basedOn w:val="1"/>
    <w:qFormat/>
    <w:uiPriority w:val="34"/>
    <w:pPr>
      <w:ind w:firstLine="420" w:firstLineChars="200"/>
    </w:pPr>
  </w:style>
  <w:style w:type="character" w:customStyle="1" w:styleId="31">
    <w:name w:val="rec-time"/>
    <w:basedOn w:val="13"/>
    <w:qFormat/>
    <w:uiPriority w:val="0"/>
  </w:style>
  <w:style w:type="character" w:customStyle="1" w:styleId="32">
    <w:name w:val="rec-status-desc"/>
    <w:basedOn w:val="13"/>
    <w:qFormat/>
    <w:uiPriority w:val="0"/>
  </w:style>
  <w:style w:type="character" w:customStyle="1" w:styleId="33">
    <w:name w:val="rec-volume"/>
    <w:basedOn w:val="13"/>
    <w:qFormat/>
    <w:uiPriority w:val="0"/>
  </w:style>
  <w:style w:type="paragraph" w:customStyle="1" w:styleId="34">
    <w:name w:val="列出段落11"/>
    <w:basedOn w:val="1"/>
    <w:qFormat/>
    <w:uiPriority w:val="34"/>
    <w:pPr>
      <w:ind w:firstLine="420" w:firstLineChars="200"/>
    </w:pPr>
  </w:style>
  <w:style w:type="character" w:customStyle="1" w:styleId="35">
    <w:name w:val="标题 2 字符"/>
    <w:link w:val="4"/>
    <w:semiHidden/>
    <w:qFormat/>
    <w:uiPriority w:val="0"/>
    <w:rPr>
      <w:rFonts w:ascii="Cambria" w:hAnsi="Cambria" w:eastAsia="宋体" w:cs="黑体"/>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1381</Words>
  <Characters>7873</Characters>
  <Lines>65</Lines>
  <Paragraphs>18</Paragraphs>
  <TotalTime>7</TotalTime>
  <ScaleCrop>false</ScaleCrop>
  <LinksUpToDate>false</LinksUpToDate>
  <CharactersWithSpaces>9236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2020-08-10T12:06:00Z</dcterms:created>
  <dc:creator>张彬茜</dc:creator>
  <cp:lastModifiedBy>kylin</cp:lastModifiedBy>
  <cp:lastPrinted>2020-08-10T16:26:00Z</cp:lastPrinted>
  <dcterms:modified xsi:type="dcterms:W3CDTF">2024-01-29T17:49:15Z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