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8442"/>
      <w:bookmarkStart w:id="9" w:name="_Toc15396598"/>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rPr>
        <w:t>邻水县公安局单位决算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编制说明</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公开时间：2024年8月20日</w:t>
      </w:r>
    </w:p>
    <w:p/>
    <w:p>
      <w:pPr>
        <w:pStyle w:val="11"/>
        <w:adjustRightInd w:val="0"/>
        <w:snapToGrid w:val="0"/>
        <w:spacing w:line="480" w:lineRule="exact"/>
        <w:ind w:left="0" w:leftChars="0" w:firstLine="480" w:firstLineChars="200"/>
        <w:jc w:val="left"/>
        <w:rPr>
          <w:sz w:val="24"/>
        </w:rPr>
      </w:pPr>
      <w:r>
        <w:rPr>
          <w:rFonts w:hint="eastAsia"/>
          <w:sz w:val="24"/>
        </w:rPr>
        <w:t>第一部分</w:t>
      </w:r>
      <w:r>
        <w:rPr>
          <w:sz w:val="24"/>
        </w:rPr>
        <w:t xml:space="preserve"> </w:t>
      </w:r>
      <w:r>
        <w:rPr>
          <w:rFonts w:hint="eastAsia"/>
          <w:sz w:val="24"/>
        </w:rPr>
        <w:t>单位概况..................</w:t>
      </w:r>
      <w:r>
        <w:rPr>
          <w:sz w:val="24"/>
        </w:rPr>
        <w:t>..</w:t>
      </w:r>
      <w:r>
        <w:rPr>
          <w:rFonts w:hint="eastAsia"/>
          <w:sz w:val="24"/>
        </w:rPr>
        <w:t>.................................................................</w:t>
      </w:r>
      <w:r>
        <w:rPr>
          <w:sz w:val="24"/>
        </w:rPr>
        <w:t>....</w:t>
      </w:r>
      <w:r>
        <w:rPr>
          <w:rFonts w:hint="eastAsia"/>
          <w:sz w:val="24"/>
        </w:rPr>
        <w:t>4</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 xml:space="preserve">一、基本职责          </w:t>
      </w:r>
      <w:r>
        <w:rPr>
          <w:sz w:val="24"/>
        </w:rPr>
        <w:t>...........................................</w:t>
      </w:r>
      <w:r>
        <w:rPr>
          <w:rFonts w:hint="eastAsia"/>
          <w:sz w:val="24"/>
        </w:rPr>
        <w:t>..............................</w:t>
      </w:r>
      <w:r>
        <w:rPr>
          <w:sz w:val="24"/>
        </w:rPr>
        <w:t>......</w:t>
      </w:r>
      <w:r>
        <w:rPr>
          <w:rFonts w:hint="eastAsia"/>
          <w:sz w:val="24"/>
        </w:rPr>
        <w:t>4</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二、机构设置</w:t>
      </w:r>
      <w:r>
        <w:rPr>
          <w:sz w:val="24"/>
        </w:rPr>
        <w:t>...............................</w:t>
      </w:r>
      <w:r>
        <w:rPr>
          <w:rFonts w:hint="eastAsia"/>
          <w:sz w:val="24"/>
        </w:rPr>
        <w:t>...............................................</w:t>
      </w:r>
      <w:r>
        <w:rPr>
          <w:sz w:val="24"/>
        </w:rPr>
        <w:t>..........</w:t>
      </w:r>
      <w:r>
        <w:rPr>
          <w:rFonts w:hint="eastAsia"/>
          <w:sz w:val="24"/>
        </w:rPr>
        <w:t>.</w:t>
      </w:r>
      <w:r>
        <w:rPr>
          <w:sz w:val="24"/>
        </w:rPr>
        <w:t>..........</w:t>
      </w:r>
      <w:r>
        <w:rPr>
          <w:rFonts w:hint="eastAsia"/>
          <w:sz w:val="24"/>
        </w:rPr>
        <w:t>6</w:t>
      </w:r>
    </w:p>
    <w:p>
      <w:pPr>
        <w:pStyle w:val="11"/>
        <w:adjustRightInd w:val="0"/>
        <w:snapToGrid w:val="0"/>
        <w:spacing w:line="480" w:lineRule="exact"/>
        <w:ind w:left="0" w:leftChars="0" w:firstLine="480" w:firstLineChars="200"/>
        <w:jc w:val="left"/>
        <w:rPr>
          <w:sz w:val="24"/>
        </w:rPr>
      </w:pPr>
      <w:r>
        <w:rPr>
          <w:rFonts w:hint="eastAsia"/>
          <w:sz w:val="24"/>
        </w:rPr>
        <w:t>第二部分 单位决算情况明</w:t>
      </w:r>
      <w:r>
        <w:rPr>
          <w:sz w:val="24"/>
        </w:rPr>
        <w:t>...........</w:t>
      </w:r>
      <w:r>
        <w:rPr>
          <w:rFonts w:hint="eastAsia"/>
          <w:sz w:val="24"/>
        </w:rPr>
        <w:t>.............</w:t>
      </w:r>
      <w:r>
        <w:rPr>
          <w:sz w:val="24"/>
        </w:rPr>
        <w:t>........</w:t>
      </w:r>
      <w:r>
        <w:rPr>
          <w:rFonts w:hint="eastAsia"/>
          <w:sz w:val="24"/>
        </w:rPr>
        <w:t>.........................................</w:t>
      </w:r>
      <w:r>
        <w:rPr>
          <w:sz w:val="24"/>
        </w:rPr>
        <w:t>....</w:t>
      </w:r>
      <w:r>
        <w:rPr>
          <w:rFonts w:hint="eastAsia"/>
          <w:sz w:val="24"/>
        </w:rPr>
        <w:t>7</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一、收入支出决算总体情况说明</w:t>
      </w:r>
      <w:r>
        <w:rPr>
          <w:sz w:val="24"/>
        </w:rPr>
        <w:t>.............</w:t>
      </w:r>
      <w:r>
        <w:rPr>
          <w:rFonts w:hint="eastAsia"/>
          <w:sz w:val="24"/>
        </w:rPr>
        <w:t>... ...........................................</w:t>
      </w:r>
      <w:r>
        <w:rPr>
          <w:sz w:val="24"/>
        </w:rPr>
        <w:t>.......</w:t>
      </w:r>
      <w:r>
        <w:rPr>
          <w:rFonts w:hint="eastAsia"/>
          <w:sz w:val="24"/>
        </w:rPr>
        <w:t>7</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二、收入决算情况说明.</w:t>
      </w:r>
      <w:r>
        <w:rPr>
          <w:sz w:val="24"/>
        </w:rPr>
        <w:t>...</w:t>
      </w:r>
      <w:r>
        <w:rPr>
          <w:rFonts w:hint="eastAsia"/>
          <w:sz w:val="24"/>
        </w:rPr>
        <w:t>...........................................................................</w:t>
      </w:r>
      <w:r>
        <w:rPr>
          <w:sz w:val="24"/>
        </w:rPr>
        <w:t>....</w:t>
      </w:r>
      <w:r>
        <w:rPr>
          <w:rFonts w:hint="eastAsia"/>
          <w:sz w:val="24"/>
        </w:rPr>
        <w:t>7</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三、支出决算情况说明.</w:t>
      </w:r>
      <w:r>
        <w:rPr>
          <w:sz w:val="24"/>
        </w:rPr>
        <w:t>.....</w:t>
      </w:r>
      <w:r>
        <w:rPr>
          <w:rFonts w:hint="eastAsia"/>
          <w:sz w:val="24"/>
        </w:rPr>
        <w:t>...........................................................................</w:t>
      </w:r>
      <w:r>
        <w:rPr>
          <w:sz w:val="24"/>
        </w:rPr>
        <w:t>..</w:t>
      </w:r>
      <w:r>
        <w:rPr>
          <w:rFonts w:hint="eastAsia"/>
          <w:sz w:val="24"/>
        </w:rPr>
        <w:t>7</w:t>
      </w:r>
    </w:p>
    <w:p>
      <w:pPr>
        <w:pStyle w:val="11"/>
        <w:adjustRightInd w:val="0"/>
        <w:snapToGrid w:val="0"/>
        <w:spacing w:line="480" w:lineRule="exact"/>
        <w:ind w:left="0" w:leftChars="0" w:firstLine="480" w:firstLineChars="200"/>
        <w:jc w:val="left"/>
        <w:rPr>
          <w:sz w:val="24"/>
        </w:rPr>
      </w:pPr>
      <w:r>
        <w:rPr>
          <w:rFonts w:hint="eastAsia"/>
          <w:sz w:val="24"/>
        </w:rPr>
        <w:t>四、财政拨款收入支出决算总体情况说明...................................................8</w:t>
      </w:r>
    </w:p>
    <w:p>
      <w:pPr>
        <w:pStyle w:val="11"/>
        <w:adjustRightInd w:val="0"/>
        <w:snapToGrid w:val="0"/>
        <w:spacing w:line="480" w:lineRule="exact"/>
        <w:ind w:left="0" w:leftChars="0" w:firstLine="480" w:firstLineChars="200"/>
        <w:jc w:val="left"/>
        <w:rPr>
          <w:rFonts w:ascii="仿宋" w:hAnsi="仿宋"/>
          <w:sz w:val="24"/>
        </w:rPr>
      </w:pPr>
      <w:r>
        <w:rPr>
          <w:rFonts w:hint="eastAsia"/>
          <w:sz w:val="24"/>
        </w:rPr>
        <w:t>五、一般公共预算财政拨款支出决算情况说明.........................................</w:t>
      </w:r>
      <w:r>
        <w:rPr>
          <w:sz w:val="24"/>
        </w:rPr>
        <w:t>.</w:t>
      </w:r>
      <w:r>
        <w:rPr>
          <w:rFonts w:hint="eastAsia"/>
          <w:sz w:val="24"/>
        </w:rPr>
        <w:t>.8</w:t>
      </w:r>
    </w:p>
    <w:p>
      <w:pPr>
        <w:pStyle w:val="11"/>
        <w:adjustRightInd w:val="0"/>
        <w:snapToGrid w:val="0"/>
        <w:spacing w:line="440" w:lineRule="exact"/>
        <w:jc w:val="left"/>
        <w:rPr>
          <w:sz w:val="24"/>
        </w:rPr>
      </w:pPr>
      <w:r>
        <w:rPr>
          <w:rFonts w:hint="eastAsia"/>
          <w:sz w:val="24"/>
        </w:rPr>
        <w:t>六、一般公共预算财政拨款基本支出决算情况说明...................................11</w:t>
      </w:r>
    </w:p>
    <w:p>
      <w:pPr>
        <w:pStyle w:val="11"/>
        <w:adjustRightInd w:val="0"/>
        <w:snapToGrid w:val="0"/>
        <w:spacing w:line="440" w:lineRule="exact"/>
        <w:jc w:val="left"/>
        <w:rPr>
          <w:rFonts w:ascii="仿宋" w:hAnsi="仿宋"/>
          <w:sz w:val="24"/>
        </w:rPr>
      </w:pPr>
      <w:r>
        <w:rPr>
          <w:rFonts w:hint="eastAsia"/>
          <w:sz w:val="24"/>
        </w:rPr>
        <w:t>七、财政拨款</w:t>
      </w:r>
      <w:r>
        <w:rPr>
          <w:sz w:val="24"/>
        </w:rPr>
        <w:t>“</w:t>
      </w:r>
      <w:r>
        <w:rPr>
          <w:rFonts w:hint="eastAsia"/>
          <w:sz w:val="24"/>
        </w:rPr>
        <w:t>三公”经费支出决算情况说明.............................................11</w:t>
      </w:r>
    </w:p>
    <w:p>
      <w:pPr>
        <w:pStyle w:val="11"/>
        <w:adjustRightInd w:val="0"/>
        <w:snapToGrid w:val="0"/>
        <w:spacing w:line="440" w:lineRule="exact"/>
        <w:jc w:val="left"/>
        <w:rPr>
          <w:rFonts w:ascii="仿宋" w:hAnsi="仿宋"/>
          <w:sz w:val="24"/>
        </w:rPr>
      </w:pPr>
      <w:r>
        <w:rPr>
          <w:rFonts w:hint="eastAsia"/>
          <w:sz w:val="24"/>
        </w:rPr>
        <w:t>八、政府性基金预算支出决算情况说明.......................................................13</w:t>
      </w:r>
    </w:p>
    <w:p>
      <w:pPr>
        <w:pStyle w:val="11"/>
        <w:adjustRightInd w:val="0"/>
        <w:snapToGrid w:val="0"/>
        <w:spacing w:line="440" w:lineRule="exact"/>
        <w:ind w:leftChars="0"/>
        <w:jc w:val="left"/>
        <w:rPr>
          <w:rFonts w:ascii="仿宋" w:hAnsi="仿宋"/>
          <w:sz w:val="24"/>
        </w:rPr>
      </w:pPr>
      <w:r>
        <w:rPr>
          <w:rFonts w:hint="eastAsia"/>
          <w:sz w:val="24"/>
        </w:rPr>
        <w:t>九</w:t>
      </w:r>
      <w:r>
        <w:rPr>
          <w:rFonts w:hint="eastAsia" w:ascii="仿宋" w:hAnsi="仿宋" w:eastAsia="仿宋"/>
          <w:sz w:val="24"/>
        </w:rPr>
        <w:t>、</w:t>
      </w:r>
      <w:r>
        <w:rPr>
          <w:sz w:val="24"/>
        </w:rPr>
        <w:t xml:space="preserve"> 国</w:t>
      </w:r>
      <w:r>
        <w:rPr>
          <w:rFonts w:hint="eastAsia"/>
          <w:sz w:val="24"/>
        </w:rPr>
        <w:t>有资本经营预算支出决算情况说明.................................................13</w:t>
      </w:r>
    </w:p>
    <w:p>
      <w:pPr>
        <w:adjustRightInd w:val="0"/>
        <w:snapToGrid w:val="0"/>
        <w:spacing w:line="440" w:lineRule="exact"/>
        <w:ind w:firstLine="420" w:firstLineChars="175"/>
        <w:jc w:val="left"/>
        <w:rPr>
          <w:rFonts w:ascii="仿宋" w:hAnsi="仿宋"/>
          <w:sz w:val="24"/>
        </w:rPr>
      </w:pPr>
      <w:r>
        <w:rPr>
          <w:rStyle w:val="15"/>
          <w:rFonts w:hint="eastAsia" w:ascii="仿宋" w:hAnsi="仿宋" w:eastAsia="仿宋"/>
          <w:color w:val="000000"/>
          <w:sz w:val="24"/>
          <w:u w:val="none"/>
        </w:rPr>
        <w:t>十、</w:t>
      </w:r>
      <w:r>
        <w:rPr>
          <w:rFonts w:hint="eastAsia"/>
          <w:sz w:val="24"/>
        </w:rPr>
        <w:t>其他重要事项的情况说明........................................ ..............................13</w:t>
      </w:r>
    </w:p>
    <w:p>
      <w:pPr>
        <w:adjustRightInd w:val="0"/>
        <w:snapToGrid w:val="0"/>
        <w:spacing w:line="440" w:lineRule="exact"/>
        <w:ind w:firstLine="480" w:firstLineChars="200"/>
        <w:jc w:val="left"/>
        <w:rPr>
          <w:rFonts w:ascii="仿宋" w:hAnsi="仿宋"/>
          <w:sz w:val="24"/>
        </w:rPr>
      </w:pPr>
      <w:r>
        <w:rPr>
          <w:rFonts w:hint="eastAsia"/>
          <w:sz w:val="24"/>
        </w:rPr>
        <w:t>第三部分</w:t>
      </w:r>
      <w:r>
        <w:rPr>
          <w:sz w:val="24"/>
        </w:rPr>
        <w:t xml:space="preserve"> </w:t>
      </w:r>
      <w:r>
        <w:rPr>
          <w:rFonts w:hint="eastAsia"/>
          <w:sz w:val="24"/>
        </w:rPr>
        <w:t>名词解释.........................................................................................15</w:t>
      </w:r>
    </w:p>
    <w:p>
      <w:pPr>
        <w:adjustRightInd w:val="0"/>
        <w:snapToGrid w:val="0"/>
        <w:spacing w:line="440" w:lineRule="exact"/>
        <w:ind w:firstLine="480" w:firstLineChars="200"/>
        <w:jc w:val="left"/>
        <w:rPr>
          <w:rFonts w:eastAsia="仿宋"/>
          <w:sz w:val="24"/>
        </w:rPr>
      </w:pPr>
      <w:r>
        <w:rPr>
          <w:rFonts w:hint="eastAsia"/>
          <w:sz w:val="24"/>
        </w:rPr>
        <w:t>第四部分</w:t>
      </w:r>
      <w:r>
        <w:rPr>
          <w:sz w:val="24"/>
        </w:rPr>
        <w:t xml:space="preserve"> </w:t>
      </w:r>
      <w:r>
        <w:rPr>
          <w:rFonts w:hint="eastAsia"/>
          <w:sz w:val="24"/>
        </w:rPr>
        <w:t>附件.................................................................................................18</w:t>
      </w:r>
    </w:p>
    <w:p>
      <w:pPr>
        <w:pStyle w:val="11"/>
        <w:adjustRightInd w:val="0"/>
        <w:snapToGrid w:val="0"/>
        <w:spacing w:line="440" w:lineRule="exact"/>
        <w:jc w:val="left"/>
        <w:rPr>
          <w:rFonts w:ascii="仿宋" w:hAnsi="仿宋"/>
          <w:sz w:val="24"/>
        </w:rPr>
      </w:pPr>
      <w:r>
        <w:rPr>
          <w:rFonts w:hint="eastAsia"/>
          <w:sz w:val="24"/>
        </w:rPr>
        <w:t>附件</w:t>
      </w:r>
      <w:r>
        <w:rPr>
          <w:sz w:val="24"/>
        </w:rPr>
        <w:t>1</w:t>
      </w:r>
      <w:r>
        <w:rPr>
          <w:rFonts w:hint="eastAsia"/>
          <w:sz w:val="24"/>
        </w:rPr>
        <w:t>.................................................................................................................18</w:t>
      </w:r>
    </w:p>
    <w:p>
      <w:pPr>
        <w:pStyle w:val="11"/>
        <w:adjustRightInd w:val="0"/>
        <w:snapToGrid w:val="0"/>
        <w:spacing w:line="440" w:lineRule="exact"/>
        <w:jc w:val="left"/>
        <w:rPr>
          <w:sz w:val="24"/>
        </w:rPr>
      </w:pPr>
      <w:r>
        <w:rPr>
          <w:rFonts w:hint="eastAsia"/>
          <w:sz w:val="24"/>
        </w:rPr>
        <w:t>附件</w:t>
      </w:r>
      <w:r>
        <w:rPr>
          <w:sz w:val="24"/>
        </w:rPr>
        <w:t>2</w:t>
      </w:r>
      <w:r>
        <w:rPr>
          <w:rFonts w:hint="eastAsia"/>
          <w:sz w:val="24"/>
        </w:rPr>
        <w:t>.................................................................................................................19</w:t>
      </w:r>
    </w:p>
    <w:p>
      <w:r>
        <w:rPr>
          <w:rFonts w:hint="eastAsia"/>
          <w:sz w:val="24"/>
        </w:rPr>
        <w:t xml:space="preserve">    附件3................................................................................................................20</w:t>
      </w:r>
    </w:p>
    <w:p>
      <w:pPr>
        <w:pStyle w:val="11"/>
        <w:adjustRightInd w:val="0"/>
        <w:snapToGrid w:val="0"/>
        <w:spacing w:line="440" w:lineRule="exact"/>
        <w:jc w:val="left"/>
        <w:rPr>
          <w:rFonts w:eastAsia="仿宋"/>
          <w:sz w:val="24"/>
        </w:rPr>
      </w:pPr>
      <w:r>
        <w:rPr>
          <w:rFonts w:hint="eastAsia"/>
          <w:sz w:val="24"/>
        </w:rPr>
        <w:t>第五部分</w:t>
      </w:r>
      <w:r>
        <w:rPr>
          <w:sz w:val="24"/>
        </w:rPr>
        <w:t xml:space="preserve"> </w:t>
      </w:r>
      <w:r>
        <w:rPr>
          <w:rFonts w:hint="eastAsia"/>
          <w:sz w:val="24"/>
        </w:rPr>
        <w:t>附表..................................................................................................21</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一、收入支出决算总表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二、收入决算表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三、支出决算表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四、财政拨款收入支出决算总表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五、财政拨款支出决算明细表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六、一般公共预算财政拨款支出决算表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七、一般公共预算财政拨款支出决算明细表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八、一般公共预算财政拨款基本支出决算表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九、一般公共预算财政拨款项目支出决算表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十、政府性基金预算财政拨款收入支出决算表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十一、国有资本经营预算财政拨款收入支出决算表</w:t>
      </w:r>
    </w:p>
    <w:p>
      <w:pPr>
        <w:widowControl/>
        <w:adjustRightInd w:val="0"/>
        <w:snapToGrid w:val="0"/>
        <w:spacing w:line="440" w:lineRule="exact"/>
        <w:ind w:firstLine="1320" w:firstLineChars="550"/>
        <w:jc w:val="left"/>
        <w:rPr>
          <w:rFonts w:ascii="仿宋" w:hAnsi="仿宋" w:eastAsia="仿宋"/>
          <w:sz w:val="24"/>
          <w:szCs w:val="28"/>
        </w:rPr>
      </w:pPr>
      <w:r>
        <w:rPr>
          <w:rFonts w:hint="eastAsia" w:ascii="仿宋" w:hAnsi="仿宋" w:eastAsia="仿宋"/>
          <w:sz w:val="24"/>
          <w:szCs w:val="28"/>
        </w:rPr>
        <w:t>十二、国有资本经营预算财政拨款支出决算表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szCs w:val="28"/>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ind w:firstLine="640" w:firstLineChars="200"/>
        <w:rPr>
          <w:rFonts w:ascii="黑体" w:hAnsi="黑体" w:eastAsia="黑体"/>
          <w:b w:val="0"/>
        </w:rPr>
      </w:pPr>
      <w:bookmarkStart w:id="14" w:name="_Toc15396600"/>
      <w:bookmarkStart w:id="15" w:name="_Toc15377197"/>
      <w:r>
        <w:rPr>
          <w:rFonts w:hint="eastAsia" w:ascii="黑体" w:hAnsi="黑体" w:eastAsia="黑体"/>
          <w:b w:val="0"/>
        </w:rPr>
        <w:t>一、主要职责</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邻水县公安局（简称县公安局），为县政府组成部门，主要职责有以下22个方面（因森林公安局调整为县公安局内设机构，三定方案待定）：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1.贯彻执行国家公安工作的方针、政策、法律、法规、规章；起草公安规范性文件。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2.负责全县公安危机管理、抢险救援和社会公共突发事件的处置工作。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3.收集掌握影响稳定、危害国内安全和社会治安的情况，分析研判形势，研究公安工作出现的新情况、新问题，为县委、县政府和市公安局提供信息、制定对策服务。</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4.组织开展全县公安侦查工作；侦办重大刑事犯罪案件、国内危害国家安全的犯罪案件、重大经济犯罪案件、毒品案件；处置重大治安事故和群体性事件；组织实施重大活动的安全保卫工作。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5.开展治安行政管理工作；依法查处危害社会治安秩序的行为。</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6.依法管理国籍、出境入境和持普通护照的外国人在辖区内居留、旅行等有关管理工作。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7.组织实施全县消防监督、火灾预防和扑救等工作。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8.组织开展全县道路交通安全管理、交通秩序维护、处置交通事故。</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9.监督、管理全县公共信息网络的安全保护工作。</w:t>
      </w:r>
    </w:p>
    <w:p>
      <w:pPr>
        <w:pStyle w:val="23"/>
        <w:snapToGrid w:val="0"/>
        <w:spacing w:line="520" w:lineRule="exact"/>
        <w:ind w:left="160" w:firstLine="640"/>
        <w:rPr>
          <w:rFonts w:ascii="仿宋_GB2312" w:hAnsi="仿宋" w:eastAsia="仿宋_GB2312"/>
          <w:sz w:val="32"/>
          <w:szCs w:val="32"/>
        </w:rPr>
      </w:pPr>
      <w:r>
        <w:rPr>
          <w:rFonts w:hint="eastAsia" w:ascii="仿宋_GB2312" w:hAnsi="仿宋" w:eastAsia="仿宋_GB2312"/>
          <w:sz w:val="32"/>
          <w:szCs w:val="32"/>
        </w:rPr>
        <w:t>10.防范、处置邪教及有害气功组织的违法犯罪活动。</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11.组织开展对恐怖活动的情报、防范、侦察和应急处置工作，负责对恐怖组织、案件的侦察、调查工作，依法严厉打击各种恐怖活动。</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12.实施全县公安机关依法承担的执行刑罚和监督、考察工作。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13.组织实施对警卫对象的安全警卫工作。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14.组织、实施全县公安科学技术工作；规划全县公安指挥系统、信息技术、刑事技术建设。</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15.制定全县公安机关装备、被装、经费等警务保障计划和管理制度，组织、管理和分配全县公安装备、被装和经费；组织实施全县公安机关重大任务的警务保障工作。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16.组织开展同县外公安机关的交往与业务合作。</w:t>
      </w:r>
    </w:p>
    <w:p>
      <w:pPr>
        <w:snapToGrid w:val="0"/>
        <w:spacing w:line="520" w:lineRule="exact"/>
        <w:ind w:firstLine="800" w:firstLineChars="250"/>
        <w:rPr>
          <w:rFonts w:ascii="仿宋_GB2312" w:hAnsi="仿宋" w:eastAsia="仿宋_GB2312"/>
          <w:sz w:val="32"/>
          <w:szCs w:val="32"/>
        </w:rPr>
      </w:pPr>
      <w:r>
        <w:rPr>
          <w:rFonts w:hint="eastAsia" w:ascii="仿宋_GB2312" w:hAnsi="仿宋" w:eastAsia="仿宋_GB2312"/>
          <w:sz w:val="32"/>
          <w:szCs w:val="32"/>
        </w:rPr>
        <w:t>17.分析全县公安队伍状况，研究、制定公安队伍建设、民警教育训练和公安宣传的规章制度，监督检查落实情况；负责全县公安队伍建设、公安机关党风廉政建设、公安机关人事管理、民警教育训练和公安宣传工作；按规定权限管理干部；负责全县公安警务督察、审计、信访工作，对全县公安机关及人民警察的执法情况进行监督；按规定权限对干部实施监督；查处或督办违纪案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18.承担侦破、查处破坏森林野生动植物和危害森林领域的刑事、治安案件，负责森林领域社会治安管理，根据职能职责配合开展森林防火工作。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19.承担县禁毒委员会办公室的日常工作。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20.负责全县公安法制建设，按管辖办理行政诉讼、行政复议案件。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21.承担县政府公布的有关行政审批事项。</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22.承办县委、县政府和市公安局交办的其他事项。</w:t>
      </w:r>
    </w:p>
    <w:p>
      <w:pPr>
        <w:pStyle w:val="4"/>
        <w:ind w:firstLine="640" w:firstLineChars="200"/>
        <w:rPr>
          <w:rFonts w:ascii="黑体" w:hAnsi="黑体" w:eastAsia="黑体"/>
          <w:b w:val="0"/>
        </w:rPr>
      </w:pPr>
      <w:r>
        <w:rPr>
          <w:rFonts w:hint="eastAsia" w:ascii="黑体" w:hAnsi="黑体" w:eastAsia="黑体"/>
          <w:b w:val="0"/>
        </w:rPr>
        <w:t>二、机构设置</w:t>
      </w:r>
    </w:p>
    <w:bookmarkEnd w:id="14"/>
    <w:bookmarkEnd w:id="15"/>
    <w:p>
      <w:pPr>
        <w:ind w:firstLine="640" w:firstLineChars="200"/>
        <w:rPr>
          <w:rFonts w:ascii="仿宋_GB2312" w:eastAsia="仿宋_GB2312"/>
          <w:sz w:val="32"/>
          <w:szCs w:val="32"/>
        </w:rPr>
      </w:pPr>
      <w:r>
        <w:rPr>
          <w:rFonts w:hint="eastAsia" w:ascii="仿宋_GB2312" w:eastAsia="仿宋_GB2312"/>
          <w:sz w:val="32"/>
          <w:szCs w:val="32"/>
        </w:rPr>
        <w:t>邻水县公安局属于行政单位，内设20个机构、2个下属机构、47个派出机构。行政政法专项编制</w:t>
      </w:r>
      <w:r>
        <w:rPr>
          <w:rFonts w:hint="eastAsia" w:ascii="仿宋_GB2312" w:eastAsia="仿宋_GB2312"/>
          <w:color w:val="000000"/>
          <w:sz w:val="32"/>
          <w:szCs w:val="32"/>
        </w:rPr>
        <w:t>413名，工人编制15名，在职实有</w:t>
      </w:r>
      <w:r>
        <w:rPr>
          <w:rFonts w:hint="eastAsia" w:ascii="仿宋_GB2312" w:eastAsia="仿宋_GB2312"/>
          <w:sz w:val="32"/>
          <w:szCs w:val="32"/>
        </w:rPr>
        <w:t>人员</w:t>
      </w:r>
      <w:r>
        <w:rPr>
          <w:rFonts w:hint="eastAsia" w:ascii="仿宋_GB2312" w:eastAsia="仿宋_GB2312"/>
          <w:color w:val="000000"/>
          <w:sz w:val="32"/>
          <w:szCs w:val="32"/>
        </w:rPr>
        <w:t>446人</w:t>
      </w:r>
      <w:r>
        <w:rPr>
          <w:rFonts w:hint="eastAsia" w:ascii="仿宋_GB2312" w:eastAsia="仿宋_GB2312"/>
          <w:sz w:val="32"/>
          <w:szCs w:val="32"/>
        </w:rPr>
        <w:t>，离退休143人。警务辅助人员编制689名。</w:t>
      </w:r>
    </w:p>
    <w:p>
      <w:pPr>
        <w:ind w:firstLine="640" w:firstLineChars="200"/>
        <w:rPr>
          <w:rFonts w:ascii="仿宋_GB2312" w:eastAsia="仿宋_GB2312"/>
          <w:color w:val="FF0000"/>
          <w:sz w:val="32"/>
          <w:szCs w:val="32"/>
        </w:rPr>
      </w:pPr>
      <w:r>
        <w:rPr>
          <w:rFonts w:hint="eastAsia" w:ascii="仿宋_GB2312" w:eastAsia="仿宋_GB2312"/>
          <w:sz w:val="32"/>
          <w:szCs w:val="32"/>
        </w:rPr>
        <w:t>邻水县公安局强制隔离戒毒所属于公安局下属的机构，参公管理单位，参公编制55个，在职实有人员</w:t>
      </w:r>
      <w:r>
        <w:rPr>
          <w:rFonts w:hint="eastAsia" w:ascii="仿宋_GB2312" w:eastAsia="仿宋_GB2312"/>
          <w:color w:val="000000"/>
          <w:sz w:val="32"/>
          <w:szCs w:val="32"/>
        </w:rPr>
        <w:t>47人；事业编制25个，在职17人。</w:t>
      </w:r>
    </w:p>
    <w:p>
      <w:pPr>
        <w:ind w:firstLine="640" w:firstLineChars="200"/>
        <w:rPr>
          <w:rFonts w:ascii="仿宋_GB2312" w:eastAsia="仿宋_GB2312"/>
          <w:sz w:val="32"/>
          <w:szCs w:val="32"/>
        </w:rPr>
      </w:pPr>
      <w:r>
        <w:rPr>
          <w:rFonts w:hint="eastAsia" w:ascii="仿宋_GB2312" w:eastAsia="仿宋_GB2312"/>
          <w:sz w:val="32"/>
          <w:szCs w:val="32"/>
        </w:rPr>
        <w:t>邻水县公安局监管中心卫生所属于公安局下属的事业单位，人</w:t>
      </w:r>
      <w:r>
        <w:rPr>
          <w:rFonts w:hint="eastAsia" w:ascii="仿宋_GB2312" w:eastAsia="仿宋_GB2312"/>
          <w:color w:val="000000"/>
          <w:sz w:val="32"/>
          <w:szCs w:val="32"/>
        </w:rPr>
        <w:t>员编制9个，在职实有人员8人</w:t>
      </w:r>
      <w:r>
        <w:rPr>
          <w:rFonts w:hint="eastAsia" w:ascii="仿宋_GB2312" w:eastAsia="仿宋_GB2312"/>
          <w:sz w:val="32"/>
          <w:szCs w:val="32"/>
        </w:rPr>
        <w:t>。</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4"/>
          <w:rFonts w:hint="eastAsia" w:ascii="黑体" w:hAnsi="黑体" w:eastAsia="黑体"/>
          <w:b w:val="0"/>
          <w:bCs/>
        </w:rPr>
        <w:t>单位决算情况说明</w:t>
      </w:r>
      <w:bookmarkEnd w:id="16"/>
      <w:bookmarkEnd w:id="17"/>
    </w:p>
    <w:p/>
    <w:p>
      <w:pPr>
        <w:pStyle w:val="23"/>
        <w:numPr>
          <w:ilvl w:val="0"/>
          <w:numId w:val="1"/>
        </w:numPr>
        <w:spacing w:line="600" w:lineRule="exact"/>
        <w:ind w:firstLineChars="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2023年度收入总计22528.89万元，</w:t>
      </w:r>
      <w:r>
        <w:rPr>
          <w:rFonts w:hint="eastAsia" w:ascii="仿宋_GB2312" w:hAnsi="仿宋_GB2312" w:eastAsia="仿宋_GB2312" w:cs="仿宋_GB2312"/>
          <w:sz w:val="32"/>
          <w:szCs w:val="32"/>
        </w:rPr>
        <w:t>支出总计19659.16万元。</w:t>
      </w:r>
      <w:r>
        <w:rPr>
          <w:rFonts w:hint="eastAsia" w:ascii="仿宋_GB2312" w:hAnsi="仿宋" w:eastAsia="仿宋_GB2312"/>
          <w:sz w:val="32"/>
          <w:szCs w:val="32"/>
        </w:rPr>
        <w:t>与2022年相比，收入总计增加3686.99万元，增长19.56%；支出总计增加1759.14万元，增长9.8%。主要变动原因是人员增资、项目个数及经费增加。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bookmarkStart w:id="20" w:name="_1672906944"/>
      <w:bookmarkEnd w:id="20"/>
      <w:r>
        <w:drawing>
          <wp:inline distT="0" distB="0" distL="0" distR="0">
            <wp:extent cx="3086100" cy="1724025"/>
            <wp:effectExtent l="0" t="0" r="0" b="0"/>
            <wp:docPr id="2"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1" w:name="_Toc15396604"/>
      <w:bookmarkStart w:id="22" w:name="_Toc15377206"/>
      <w:r>
        <w:rPr>
          <w:rFonts w:hint="eastAsia" w:ascii="黑体" w:hAnsi="黑体" w:eastAsia="黑体"/>
          <w:sz w:val="32"/>
          <w:szCs w:val="32"/>
        </w:rPr>
        <w:t>收</w:t>
      </w:r>
      <w:r>
        <w:rPr>
          <w:rStyle w:val="25"/>
          <w:rFonts w:hint="eastAsia" w:ascii="黑体" w:hAnsi="黑体" w:eastAsia="黑体"/>
          <w:b w:val="0"/>
        </w:rPr>
        <w:t>入决算情况说明</w:t>
      </w:r>
      <w:bookmarkEnd w:id="21"/>
      <w:bookmarkEnd w:id="22"/>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2023年本年收入合计21587.31万元，其中：一般公共预算财政拨款收入21310.71万元，占98.72%。政府性基金预算财政拨款收入276.60万元，占1.28%。</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（图2：收入决算结构图）（饼状图）</w:t>
      </w:r>
    </w:p>
    <w:p>
      <w:pPr>
        <w:pStyle w:val="2"/>
        <w:spacing w:before="93"/>
      </w:pPr>
      <w:bookmarkStart w:id="23" w:name="_1672914971"/>
      <w:bookmarkEnd w:id="23"/>
      <w:r>
        <w:rPr>
          <w:color w:val="FF0000"/>
          <w:sz w:val="32"/>
          <w:szCs w:val="32"/>
        </w:rPr>
        <w:drawing>
          <wp:inline distT="0" distB="0" distL="0" distR="0">
            <wp:extent cx="4705350" cy="1381125"/>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Style w:val="25"/>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spacing w:line="600" w:lineRule="exact"/>
        <w:ind w:firstLine="640" w:firstLineChars="200"/>
        <w:outlineLvl w:val="1"/>
        <w:rPr>
          <w:rFonts w:ascii="仿宋_GB2312" w:hAnsi="仿宋" w:eastAsia="仿宋_GB2312"/>
          <w:sz w:val="32"/>
          <w:szCs w:val="32"/>
        </w:rPr>
      </w:pPr>
      <w:r>
        <w:rPr>
          <w:rFonts w:hint="eastAsia" w:ascii="仿宋_GB2312" w:hAnsi="仿宋" w:eastAsia="仿宋_GB2312"/>
          <w:sz w:val="32"/>
          <w:szCs w:val="32"/>
        </w:rPr>
        <w:t>2023年本年支出合计19659.16万元，其中：基本支出17463.08万元，占88.83%；项目支出2196.08万元，占11.17%。</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（图3：支出决算结构图）（饼状图）</w:t>
      </w:r>
    </w:p>
    <w:p>
      <w:pPr>
        <w:pStyle w:val="2"/>
        <w:spacing w:before="93"/>
      </w:pPr>
      <w:bookmarkStart w:id="26" w:name="_1721822311"/>
      <w:bookmarkEnd w:id="26"/>
      <w:r>
        <w:rPr>
          <w:color w:val="FF0000"/>
          <w:sz w:val="32"/>
          <w:szCs w:val="32"/>
        </w:rPr>
        <w:drawing>
          <wp:inline distT="0" distB="0" distL="0" distR="0">
            <wp:extent cx="3448050" cy="1381125"/>
            <wp:effectExtent l="0" t="0" r="0" b="0"/>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7"/>
      <w:bookmarkEnd w:id="28"/>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2023年度财政拨款收入总计22528.89万元，</w:t>
      </w:r>
      <w:r>
        <w:rPr>
          <w:rFonts w:hint="eastAsia" w:ascii="仿宋_GB2312" w:hAnsi="仿宋_GB2312" w:eastAsia="仿宋_GB2312" w:cs="仿宋_GB2312"/>
          <w:sz w:val="32"/>
          <w:szCs w:val="32"/>
        </w:rPr>
        <w:t>支出总计</w:t>
      </w:r>
      <w:r>
        <w:rPr>
          <w:rFonts w:hint="eastAsia" w:ascii="仿宋_GB2312" w:hAnsi="仿宋" w:eastAsia="仿宋_GB2312"/>
          <w:sz w:val="32"/>
          <w:szCs w:val="32"/>
        </w:rPr>
        <w:t>19659.16</w:t>
      </w:r>
      <w:r>
        <w:rPr>
          <w:rFonts w:hint="eastAsia" w:ascii="仿宋_GB2312" w:hAnsi="仿宋_GB2312" w:eastAsia="仿宋_GB2312" w:cs="仿宋_GB2312"/>
          <w:sz w:val="32"/>
          <w:szCs w:val="32"/>
        </w:rPr>
        <w:t>万元。</w:t>
      </w:r>
      <w:r>
        <w:rPr>
          <w:rFonts w:hint="eastAsia" w:ascii="仿宋_GB2312" w:hAnsi="仿宋" w:eastAsia="仿宋_GB2312"/>
          <w:sz w:val="32"/>
          <w:szCs w:val="32"/>
        </w:rPr>
        <w:t>与2022年相比，收入总计增加3686.99万元，增长19.56%；支出总计增加1759.14万元，增长9.8%。主要变动原因是人员增资、项目个数及经费增加。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bookmarkStart w:id="29" w:name="_1721822528"/>
      <w:bookmarkEnd w:id="29"/>
      <w:r>
        <w:drawing>
          <wp:inline distT="0" distB="0" distL="0" distR="0">
            <wp:extent cx="3086100" cy="1724025"/>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30" w:name="_Toc15377209"/>
      <w:bookmarkStart w:id="31"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2023年一般公共预算财政拨款支出19487.56万元，占本年支出合计的99.13%。与2022年相比，一般公共预算财政拨款支出增加1587.54万元，增长8.87%。主要变动原因是主要变动原因是人员增资、项目个数及经费增加。</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（图5：一般公共预算财政拨款支出决算变动情况）（柱状图）</w:t>
      </w:r>
    </w:p>
    <w:p>
      <w:pPr>
        <w:pStyle w:val="2"/>
        <w:spacing w:before="93"/>
      </w:pPr>
      <w:bookmarkStart w:id="33" w:name="_1690981805"/>
      <w:bookmarkEnd w:id="33"/>
      <w:r>
        <w:drawing>
          <wp:inline distT="0" distB="0" distL="0" distR="0">
            <wp:extent cx="4133850" cy="2247900"/>
            <wp:effectExtent l="0" t="0" r="0" b="0"/>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rPr>
        <w:t>23年一般公共预算财政拨款支出19487.56万元，主要用于以下方面</w:t>
      </w:r>
      <w:r>
        <w:rPr>
          <w:rFonts w:ascii="仿宋_GB2312" w:hAnsi="仿宋" w:eastAsia="仿宋_GB2312"/>
          <w:sz w:val="32"/>
          <w:szCs w:val="32"/>
        </w:rPr>
        <w:t>:</w:t>
      </w:r>
      <w:r>
        <w:rPr>
          <w:rFonts w:hint="eastAsia" w:ascii="仿宋_GB2312" w:hAnsi="仿宋" w:eastAsia="仿宋_GB2312"/>
          <w:b/>
          <w:sz w:val="32"/>
          <w:szCs w:val="32"/>
        </w:rPr>
        <w:t>一般公共服务支出</w:t>
      </w:r>
      <w:r>
        <w:rPr>
          <w:rFonts w:hint="eastAsia" w:ascii="仿宋_GB2312" w:hAnsi="仿宋" w:eastAsia="仿宋_GB2312"/>
          <w:sz w:val="32"/>
          <w:szCs w:val="32"/>
        </w:rPr>
        <w:t>20万元，占0.1</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b/>
          <w:sz w:val="32"/>
          <w:szCs w:val="32"/>
        </w:rPr>
        <w:t>公共安全支出</w:t>
      </w:r>
      <w:r>
        <w:rPr>
          <w:rFonts w:hint="eastAsia" w:ascii="仿宋_GB2312" w:hAnsi="仿宋" w:eastAsia="仿宋_GB2312"/>
          <w:sz w:val="32"/>
          <w:szCs w:val="32"/>
        </w:rPr>
        <w:t>16690.34万元，占85.65</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b/>
          <w:sz w:val="32"/>
          <w:szCs w:val="32"/>
        </w:rPr>
        <w:t>社会保障和就业支出</w:t>
      </w:r>
      <w:r>
        <w:rPr>
          <w:rFonts w:hint="eastAsia" w:ascii="仿宋_GB2312" w:hAnsi="仿宋" w:eastAsia="仿宋_GB2312"/>
          <w:sz w:val="32"/>
          <w:szCs w:val="32"/>
        </w:rPr>
        <w:t>1578.39万元，占8.1</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b/>
          <w:sz w:val="32"/>
          <w:szCs w:val="32"/>
        </w:rPr>
        <w:t>卫生健康支出</w:t>
      </w:r>
      <w:r>
        <w:rPr>
          <w:rFonts w:hint="eastAsia" w:ascii="仿宋_GB2312" w:hAnsi="仿宋" w:eastAsia="仿宋_GB2312"/>
          <w:sz w:val="32"/>
          <w:szCs w:val="32"/>
        </w:rPr>
        <w:t>398.85万元，占2.05</w:t>
      </w:r>
      <w:r>
        <w:rPr>
          <w:rFonts w:ascii="仿宋_GB2312" w:hAnsi="仿宋" w:eastAsia="仿宋_GB2312"/>
          <w:sz w:val="32"/>
          <w:szCs w:val="32"/>
        </w:rPr>
        <w:t>%</w:t>
      </w:r>
      <w:r>
        <w:rPr>
          <w:rFonts w:hint="eastAsia" w:ascii="仿宋_GB2312" w:hAnsi="仿宋" w:eastAsia="仿宋_GB2312"/>
          <w:sz w:val="32"/>
          <w:szCs w:val="32"/>
        </w:rPr>
        <w:t>；住房保障支出799.98万元，占4.10</w:t>
      </w:r>
      <w:r>
        <w:rPr>
          <w:rFonts w:ascii="仿宋_GB2312" w:hAnsi="仿宋" w:eastAsia="仿宋_GB2312"/>
          <w:sz w:val="32"/>
          <w:szCs w:val="32"/>
        </w:rPr>
        <w:t>%</w:t>
      </w:r>
      <w:r>
        <w:rPr>
          <w:rFonts w:hint="eastAsia" w:ascii="仿宋_GB2312" w:hAnsi="仿宋" w:eastAsia="仿宋_GB2312"/>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spacing w:before="93"/>
      </w:pPr>
      <w:bookmarkStart w:id="35" w:name="_1690982921"/>
      <w:bookmarkEnd w:id="35"/>
      <w:r>
        <w:rPr>
          <w:rFonts w:ascii="仿宋" w:hAnsi="仿宋" w:eastAsia="仿宋"/>
          <w:color w:val="000000"/>
          <w:sz w:val="32"/>
          <w:szCs w:val="32"/>
        </w:rPr>
        <w:drawing>
          <wp:inline distT="0" distB="0" distL="0" distR="0">
            <wp:extent cx="3619500" cy="1647825"/>
            <wp:effectExtent l="0" t="0" r="1905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444"/>
      <w:bookmarkStart w:id="38" w:name="_Toc15378460"/>
      <w:bookmarkStart w:id="39" w:name="_Toc15377213"/>
      <w:r>
        <w:rPr>
          <w:rFonts w:hint="eastAsia" w:ascii="仿宋" w:hAnsi="仿宋" w:eastAsia="仿宋"/>
          <w:b/>
          <w:sz w:val="32"/>
          <w:szCs w:val="32"/>
        </w:rPr>
        <w:t>2023年一般公共预算支出决算数为19487.56万元</w:t>
      </w:r>
      <w:r>
        <w:rPr>
          <w:rFonts w:hint="eastAsia" w:ascii="仿宋" w:hAnsi="仿宋" w:eastAsia="仿宋"/>
          <w:sz w:val="32"/>
          <w:szCs w:val="32"/>
        </w:rPr>
        <w:t>，</w:t>
      </w:r>
      <w:r>
        <w:rPr>
          <w:rStyle w:val="14"/>
          <w:rFonts w:hint="eastAsia" w:ascii="仿宋" w:hAnsi="仿宋" w:eastAsia="仿宋"/>
          <w:bCs/>
          <w:sz w:val="32"/>
          <w:szCs w:val="32"/>
        </w:rPr>
        <w:t>完成预算91.44</w:t>
      </w:r>
      <w:r>
        <w:rPr>
          <w:rStyle w:val="14"/>
          <w:rFonts w:ascii="仿宋" w:hAnsi="仿宋" w:eastAsia="仿宋"/>
          <w:bCs/>
          <w:sz w:val="32"/>
          <w:szCs w:val="32"/>
        </w:rPr>
        <w:t>%</w:t>
      </w:r>
      <w:r>
        <w:rPr>
          <w:rStyle w:val="14"/>
          <w:rFonts w:hint="eastAsia" w:ascii="仿宋" w:hAnsi="仿宋" w:eastAsia="仿宋"/>
          <w:bCs/>
          <w:sz w:val="32"/>
          <w:szCs w:val="32"/>
        </w:rPr>
        <w:t>。其中：</w:t>
      </w:r>
      <w:bookmarkEnd w:id="37"/>
      <w:bookmarkEnd w:id="38"/>
      <w:bookmarkEnd w:id="39"/>
    </w:p>
    <w:p>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一般公共服务（类）政府办公厅（室）及相关机构事务（款）信访事务（项）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支出决算为20万元，完成预算100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，决算数等于预算数的主要原因是按预算执行完毕。</w:t>
      </w:r>
    </w:p>
    <w:p>
      <w:pPr>
        <w:spacing w:line="600" w:lineRule="exact"/>
        <w:ind w:firstLine="643" w:firstLineChars="200"/>
        <w:rPr>
          <w:rFonts w:ascii="仿宋_GB2312" w:hAnsi="仿宋" w:eastAsia="仿宋_GB2312"/>
          <w:b/>
          <w:sz w:val="32"/>
          <w:szCs w:val="32"/>
        </w:rPr>
      </w:pPr>
      <w:r>
        <w:rPr>
          <w:rStyle w:val="14"/>
          <w:rFonts w:ascii="仿宋" w:hAnsi="仿宋" w:eastAsia="仿宋"/>
          <w:bCs/>
          <w:sz w:val="32"/>
          <w:szCs w:val="32"/>
        </w:rPr>
        <w:t>2.</w:t>
      </w:r>
      <w:r>
        <w:rPr>
          <w:rStyle w:val="14"/>
          <w:rFonts w:hint="eastAsia" w:ascii="仿宋" w:hAnsi="仿宋" w:eastAsia="仿宋"/>
          <w:bCs/>
          <w:sz w:val="32"/>
          <w:szCs w:val="32"/>
        </w:rPr>
        <w:t>公共安全（类）公安（款）行政运行（项）：</w:t>
      </w:r>
      <w:r>
        <w:rPr>
          <w:rStyle w:val="14"/>
          <w:rFonts w:hint="eastAsia" w:ascii="仿宋_GB2312" w:hAnsi="仿宋" w:eastAsia="仿宋_GB2312"/>
          <w:bCs/>
          <w:sz w:val="32"/>
          <w:szCs w:val="32"/>
        </w:rPr>
        <w:t>支</w:t>
      </w:r>
      <w:r>
        <w:rPr>
          <w:rStyle w:val="14"/>
          <w:rFonts w:hint="eastAsia" w:ascii="仿宋_GB2312" w:hAnsi="仿宋" w:eastAsia="仿宋_GB2312"/>
          <w:b w:val="0"/>
          <w:bCs/>
          <w:sz w:val="32"/>
          <w:szCs w:val="32"/>
        </w:rPr>
        <w:t>出决算为14473.85万元，完成预算100%；</w:t>
      </w:r>
      <w:r>
        <w:rPr>
          <w:rStyle w:val="14"/>
          <w:rFonts w:hint="eastAsia" w:ascii="仿宋_GB2312" w:hAnsi="仿宋" w:eastAsia="仿宋_GB2312"/>
          <w:bCs/>
          <w:sz w:val="32"/>
          <w:szCs w:val="32"/>
        </w:rPr>
        <w:t>信息化建设（项）</w:t>
      </w:r>
      <w:r>
        <w:rPr>
          <w:rStyle w:val="14"/>
          <w:rFonts w:hint="eastAsia" w:ascii="仿宋_GB2312" w:hAnsi="仿宋" w:eastAsia="仿宋_GB2312"/>
          <w:b w:val="0"/>
          <w:bCs/>
          <w:sz w:val="32"/>
          <w:szCs w:val="32"/>
        </w:rPr>
        <w:t>支出决算359.23万元，完成预算15.25%；</w:t>
      </w:r>
      <w:r>
        <w:rPr>
          <w:rStyle w:val="14"/>
          <w:rFonts w:hint="eastAsia" w:ascii="仿宋_GB2312" w:hAnsi="仿宋" w:eastAsia="仿宋_GB2312"/>
          <w:bCs/>
          <w:sz w:val="32"/>
          <w:szCs w:val="32"/>
        </w:rPr>
        <w:t>执法办案（项）</w:t>
      </w:r>
      <w:r>
        <w:rPr>
          <w:rStyle w:val="14"/>
          <w:rFonts w:hint="eastAsia" w:ascii="仿宋_GB2312" w:hAnsi="仿宋" w:eastAsia="仿宋_GB2312"/>
          <w:b w:val="0"/>
          <w:bCs/>
          <w:sz w:val="32"/>
          <w:szCs w:val="32"/>
        </w:rPr>
        <w:t>支出决算1640.25万元，完成预算68.2%，决算数小于预算数的主要原因是政府采购项目未完成验收；</w:t>
      </w:r>
      <w:r>
        <w:rPr>
          <w:rStyle w:val="14"/>
          <w:rFonts w:hint="eastAsia" w:ascii="仿宋_GB2312" w:hAnsi="仿宋" w:eastAsia="仿宋_GB2312"/>
          <w:bCs/>
          <w:sz w:val="32"/>
          <w:szCs w:val="32"/>
        </w:rPr>
        <w:t>事业运行（项）</w:t>
      </w:r>
      <w:r>
        <w:rPr>
          <w:rStyle w:val="14"/>
          <w:rFonts w:hint="eastAsia" w:ascii="仿宋_GB2312" w:hAnsi="仿宋" w:eastAsia="仿宋_GB2312"/>
          <w:b w:val="0"/>
          <w:bCs/>
          <w:sz w:val="32"/>
          <w:szCs w:val="32"/>
        </w:rPr>
        <w:t>支出决算212万元，完成预算100%；</w:t>
      </w:r>
      <w:r>
        <w:rPr>
          <w:rStyle w:val="14"/>
          <w:rFonts w:hint="eastAsia" w:ascii="仿宋_GB2312" w:hAnsi="仿宋" w:eastAsia="仿宋_GB2312"/>
          <w:bCs/>
          <w:sz w:val="32"/>
          <w:szCs w:val="32"/>
        </w:rPr>
        <w:t>强制隔离戒毒（</w:t>
      </w:r>
      <w:r>
        <w:rPr>
          <w:rStyle w:val="14"/>
          <w:rFonts w:hint="eastAsia" w:ascii="仿宋_GB2312" w:hAnsi="仿宋" w:eastAsia="仿宋_GB2312"/>
          <w:bCs/>
          <w:sz w:val="32"/>
          <w:szCs w:val="32"/>
          <w:lang w:eastAsia="zh-CN"/>
        </w:rPr>
        <w:t>款</w:t>
      </w:r>
      <w:r>
        <w:rPr>
          <w:rStyle w:val="14"/>
          <w:rFonts w:hint="eastAsia" w:ascii="仿宋_GB2312" w:hAnsi="仿宋" w:eastAsia="仿宋_GB2312"/>
          <w:bCs/>
          <w:sz w:val="32"/>
          <w:szCs w:val="32"/>
        </w:rPr>
        <w:t>）</w:t>
      </w:r>
      <w:r>
        <w:rPr>
          <w:rStyle w:val="14"/>
          <w:rFonts w:hint="eastAsia" w:ascii="仿宋_GB2312" w:hAnsi="仿宋" w:eastAsia="仿宋_GB2312"/>
          <w:bCs/>
          <w:sz w:val="32"/>
          <w:szCs w:val="32"/>
          <w:lang w:eastAsia="zh-CN"/>
        </w:rPr>
        <w:t>其他强制隔离戒毒支出（项）</w:t>
      </w:r>
      <w:r>
        <w:rPr>
          <w:rStyle w:val="14"/>
          <w:rFonts w:hint="eastAsia" w:ascii="仿宋_GB2312" w:hAnsi="仿宋" w:eastAsia="仿宋_GB2312"/>
          <w:b w:val="0"/>
          <w:bCs/>
          <w:sz w:val="32"/>
          <w:szCs w:val="32"/>
        </w:rPr>
        <w:t>支出5万元，完成预算100%。</w:t>
      </w:r>
      <w:bookmarkStart w:id="73" w:name="_GoBack"/>
      <w:bookmarkEnd w:id="73"/>
    </w:p>
    <w:p>
      <w:pPr>
        <w:spacing w:line="600" w:lineRule="exact"/>
        <w:ind w:firstLine="643" w:firstLineChars="200"/>
        <w:rPr>
          <w:rFonts w:ascii="仿宋_GB2312" w:hAnsi="仿宋" w:eastAsia="仿宋_GB2312"/>
          <w:b/>
          <w:bCs/>
          <w:sz w:val="32"/>
          <w:szCs w:val="32"/>
        </w:rPr>
      </w:pPr>
      <w:r>
        <w:rPr>
          <w:rStyle w:val="14"/>
          <w:rFonts w:ascii="仿宋" w:hAnsi="仿宋" w:eastAsia="仿宋"/>
          <w:bCs/>
          <w:sz w:val="32"/>
          <w:szCs w:val="32"/>
        </w:rPr>
        <w:t>3</w:t>
      </w:r>
      <w:r>
        <w:rPr>
          <w:rStyle w:val="14"/>
          <w:rFonts w:hint="eastAsia" w:ascii="仿宋" w:hAnsi="仿宋" w:eastAsia="仿宋"/>
          <w:bCs/>
          <w:sz w:val="32"/>
          <w:szCs w:val="32"/>
        </w:rPr>
        <w:t>．</w:t>
      </w:r>
      <w:r>
        <w:rPr>
          <w:rStyle w:val="14"/>
          <w:rFonts w:hint="eastAsia" w:ascii="仿宋_GB2312" w:hAnsi="仿宋" w:eastAsia="仿宋_GB2312"/>
          <w:bCs/>
          <w:sz w:val="32"/>
          <w:szCs w:val="32"/>
        </w:rPr>
        <w:t>社会保障和就业（类）人力资源和社会保障管理事务（款）引进人才费用（项）:</w:t>
      </w:r>
      <w:r>
        <w:rPr>
          <w:rStyle w:val="14"/>
          <w:rFonts w:hint="eastAsia" w:ascii="仿宋_GB2312" w:hAnsi="仿宋" w:eastAsia="仿宋_GB2312"/>
          <w:b w:val="0"/>
          <w:bCs/>
          <w:sz w:val="32"/>
          <w:szCs w:val="32"/>
        </w:rPr>
        <w:t xml:space="preserve"> 支出决算为1万元，完成预算100%，</w:t>
      </w:r>
      <w:r>
        <w:rPr>
          <w:rStyle w:val="14"/>
          <w:rFonts w:hint="eastAsia" w:ascii="仿宋_GB2312" w:hAnsi="仿宋" w:eastAsia="仿宋_GB2312"/>
          <w:bCs/>
          <w:sz w:val="32"/>
          <w:szCs w:val="32"/>
        </w:rPr>
        <w:t>行政事业单位养老支出（款）行政单位离退休（项）</w:t>
      </w:r>
      <w:r>
        <w:rPr>
          <w:rStyle w:val="14"/>
          <w:rFonts w:hint="eastAsia" w:ascii="仿宋_GB2312" w:hAnsi="仿宋" w:eastAsia="仿宋_GB2312"/>
          <w:b w:val="0"/>
          <w:bCs/>
          <w:sz w:val="32"/>
          <w:szCs w:val="32"/>
        </w:rPr>
        <w:t>支出决算为343.05万元，完成预算100%；</w:t>
      </w:r>
      <w:r>
        <w:rPr>
          <w:rStyle w:val="14"/>
          <w:rFonts w:hint="eastAsia" w:ascii="仿宋_GB2312" w:hAnsi="仿宋" w:eastAsia="仿宋_GB2312"/>
          <w:bCs/>
          <w:sz w:val="32"/>
          <w:szCs w:val="32"/>
        </w:rPr>
        <w:t>机关事业单位基本养老保险缴费支出（项）</w:t>
      </w:r>
      <w:r>
        <w:rPr>
          <w:rStyle w:val="14"/>
          <w:rFonts w:hint="eastAsia" w:ascii="仿宋_GB2312" w:hAnsi="仿宋" w:eastAsia="仿宋_GB2312"/>
          <w:b w:val="0"/>
          <w:bCs/>
          <w:sz w:val="32"/>
          <w:szCs w:val="32"/>
        </w:rPr>
        <w:t>支出决算为964.54万元，完成预算100%；</w:t>
      </w:r>
      <w:r>
        <w:rPr>
          <w:rStyle w:val="14"/>
          <w:rFonts w:hint="eastAsia" w:ascii="仿宋_GB2312" w:hAnsi="仿宋" w:eastAsia="仿宋_GB2312"/>
          <w:bCs/>
          <w:sz w:val="32"/>
          <w:szCs w:val="32"/>
        </w:rPr>
        <w:t>机关事业单位职业年金缴费支出（项）</w:t>
      </w:r>
      <w:r>
        <w:rPr>
          <w:rStyle w:val="14"/>
          <w:rFonts w:hint="eastAsia" w:ascii="仿宋_GB2312" w:hAnsi="仿宋" w:eastAsia="仿宋_GB2312"/>
          <w:b w:val="0"/>
          <w:bCs/>
          <w:sz w:val="32"/>
          <w:szCs w:val="32"/>
        </w:rPr>
        <w:t>支出决算为157.46万元，完成预算100%；</w:t>
      </w:r>
      <w:r>
        <w:rPr>
          <w:rStyle w:val="14"/>
          <w:rFonts w:hint="eastAsia" w:ascii="仿宋_GB2312" w:hAnsi="仿宋" w:eastAsia="仿宋_GB2312"/>
          <w:bCs/>
          <w:sz w:val="32"/>
          <w:szCs w:val="32"/>
        </w:rPr>
        <w:t>其他行政事业单位养老（项）</w:t>
      </w:r>
      <w:r>
        <w:rPr>
          <w:rStyle w:val="14"/>
          <w:rFonts w:hint="eastAsia" w:ascii="仿宋_GB2312" w:hAnsi="仿宋" w:eastAsia="仿宋_GB2312"/>
          <w:b w:val="0"/>
          <w:bCs/>
          <w:sz w:val="32"/>
          <w:szCs w:val="32"/>
        </w:rPr>
        <w:t>支出2.39万元，完成预算100%；</w:t>
      </w:r>
      <w:r>
        <w:rPr>
          <w:rStyle w:val="14"/>
          <w:rFonts w:hint="eastAsia" w:ascii="仿宋_GB2312" w:hAnsi="仿宋" w:eastAsia="仿宋_GB2312"/>
          <w:bCs/>
          <w:sz w:val="32"/>
          <w:szCs w:val="32"/>
        </w:rPr>
        <w:t>抚恤（款）死亡抚恤（项）</w:t>
      </w:r>
      <w:r>
        <w:rPr>
          <w:rStyle w:val="14"/>
          <w:rFonts w:hint="eastAsia" w:ascii="仿宋_GB2312" w:hAnsi="仿宋" w:eastAsia="仿宋_GB2312"/>
          <w:b w:val="0"/>
          <w:bCs/>
          <w:sz w:val="32"/>
          <w:szCs w:val="32"/>
        </w:rPr>
        <w:t>支出决算为109.56万元，完成预算100%。</w:t>
      </w:r>
    </w:p>
    <w:p>
      <w:pPr>
        <w:spacing w:line="600" w:lineRule="exact"/>
        <w:ind w:firstLine="643" w:firstLineChars="200"/>
        <w:rPr>
          <w:rStyle w:val="14"/>
          <w:rFonts w:ascii="仿宋_GB2312" w:hAnsi="仿宋" w:eastAsia="仿宋_GB2312"/>
          <w:b w:val="0"/>
          <w:bCs/>
          <w:sz w:val="32"/>
          <w:szCs w:val="32"/>
        </w:rPr>
      </w:pPr>
      <w:r>
        <w:rPr>
          <w:rStyle w:val="14"/>
          <w:rFonts w:hint="eastAsia" w:ascii="仿宋_GB2312" w:hAnsi="仿宋" w:eastAsia="仿宋_GB2312"/>
          <w:bCs/>
          <w:sz w:val="32"/>
          <w:szCs w:val="32"/>
        </w:rPr>
        <w:t>4.</w:t>
      </w:r>
      <w:r>
        <w:rPr>
          <w:rFonts w:hint="eastAsia" w:ascii="仿宋_GB2312" w:hAnsi="仿宋" w:eastAsia="仿宋_GB2312"/>
          <w:b/>
          <w:bCs/>
          <w:sz w:val="32"/>
          <w:szCs w:val="32"/>
        </w:rPr>
        <w:t>卫生健康</w:t>
      </w:r>
      <w:r>
        <w:rPr>
          <w:rStyle w:val="14"/>
          <w:rFonts w:hint="eastAsia" w:ascii="仿宋_GB2312" w:hAnsi="仿宋" w:eastAsia="仿宋_GB2312"/>
          <w:bCs/>
          <w:sz w:val="32"/>
          <w:szCs w:val="32"/>
        </w:rPr>
        <w:t>（类）行政事业单位医疗（款）行政单位医疗（项）:</w:t>
      </w:r>
      <w:r>
        <w:rPr>
          <w:rStyle w:val="14"/>
          <w:rFonts w:hint="eastAsia" w:ascii="仿宋_GB2312" w:hAnsi="仿宋" w:eastAsia="仿宋_GB2312"/>
          <w:b w:val="0"/>
          <w:bCs/>
          <w:sz w:val="32"/>
          <w:szCs w:val="32"/>
        </w:rPr>
        <w:t>支出决算为398.85万元，完成预算100%；</w:t>
      </w:r>
      <w:r>
        <w:rPr>
          <w:rStyle w:val="14"/>
          <w:rFonts w:hint="eastAsia" w:ascii="仿宋_GB2312" w:hAnsi="仿宋" w:eastAsia="仿宋_GB2312"/>
          <w:bCs/>
          <w:sz w:val="32"/>
          <w:szCs w:val="32"/>
        </w:rPr>
        <w:t>事业单位医疗（项）:</w:t>
      </w:r>
      <w:r>
        <w:rPr>
          <w:rStyle w:val="14"/>
          <w:rFonts w:hint="eastAsia" w:ascii="仿宋_GB2312" w:hAnsi="仿宋" w:eastAsia="仿宋_GB2312"/>
          <w:b w:val="0"/>
          <w:bCs/>
          <w:sz w:val="32"/>
          <w:szCs w:val="32"/>
        </w:rPr>
        <w:t>支出决算为285.28万元，完成预算100%；</w:t>
      </w:r>
      <w:r>
        <w:rPr>
          <w:rStyle w:val="14"/>
          <w:rFonts w:hint="eastAsia" w:ascii="仿宋_GB2312" w:hAnsi="仿宋" w:eastAsia="仿宋_GB2312"/>
          <w:bCs/>
          <w:sz w:val="32"/>
          <w:szCs w:val="32"/>
        </w:rPr>
        <w:t>公务医疗补助（项）:</w:t>
      </w:r>
      <w:r>
        <w:rPr>
          <w:rStyle w:val="14"/>
          <w:rFonts w:hint="eastAsia" w:ascii="仿宋_GB2312" w:hAnsi="仿宋" w:eastAsia="仿宋_GB2312"/>
          <w:b w:val="0"/>
          <w:bCs/>
          <w:sz w:val="32"/>
          <w:szCs w:val="32"/>
        </w:rPr>
        <w:t>支出决算为107.60万元，完成预算100%。</w:t>
      </w:r>
    </w:p>
    <w:p>
      <w:pPr>
        <w:spacing w:line="600" w:lineRule="exact"/>
        <w:ind w:firstLine="643" w:firstLineChars="200"/>
        <w:rPr>
          <w:rStyle w:val="14"/>
          <w:rFonts w:ascii="仿宋_GB2312" w:hAnsi="仿宋" w:eastAsia="仿宋_GB2312"/>
          <w:b w:val="0"/>
          <w:bCs/>
          <w:sz w:val="32"/>
          <w:szCs w:val="32"/>
        </w:rPr>
      </w:pPr>
      <w:r>
        <w:rPr>
          <w:rStyle w:val="14"/>
          <w:rFonts w:hint="eastAsia" w:ascii="仿宋_GB2312" w:hAnsi="仿宋" w:eastAsia="仿宋_GB2312"/>
          <w:bCs/>
          <w:sz w:val="32"/>
          <w:szCs w:val="32"/>
        </w:rPr>
        <w:t>5.</w:t>
      </w:r>
      <w:r>
        <w:rPr>
          <w:rFonts w:hint="eastAsia" w:ascii="仿宋_GB2312" w:hAnsi="仿宋" w:eastAsia="仿宋_GB2312"/>
          <w:b/>
          <w:bCs/>
          <w:sz w:val="32"/>
          <w:szCs w:val="32"/>
        </w:rPr>
        <w:t>住房保障支出</w:t>
      </w:r>
      <w:r>
        <w:rPr>
          <w:rStyle w:val="14"/>
          <w:rFonts w:hint="eastAsia" w:ascii="仿宋_GB2312" w:hAnsi="仿宋" w:eastAsia="仿宋_GB2312"/>
          <w:bCs/>
          <w:sz w:val="32"/>
          <w:szCs w:val="32"/>
        </w:rPr>
        <w:t>（类）住房改革支出（款）住房公积金（项）:</w:t>
      </w:r>
      <w:r>
        <w:rPr>
          <w:rStyle w:val="14"/>
          <w:rFonts w:hint="eastAsia" w:ascii="仿宋_GB2312" w:hAnsi="仿宋" w:eastAsia="仿宋_GB2312"/>
          <w:b w:val="0"/>
          <w:bCs/>
          <w:sz w:val="32"/>
          <w:szCs w:val="32"/>
        </w:rPr>
        <w:t>支出决算为799.98万元，完成预算100%。</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2023年一般公共预算财政拨款基本支出17463.08万元，其中：</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14661.83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r>
        <w:rPr>
          <w:rFonts w:hint="eastAsia" w:ascii="仿宋_GB2312" w:hAnsi="仿宋" w:eastAsia="仿宋_GB2312"/>
          <w:sz w:val="32"/>
          <w:szCs w:val="32"/>
        </w:rPr>
        <w:br w:type="textWrapping"/>
      </w:r>
      <w:r>
        <w:rPr>
          <w:rFonts w:hint="eastAsia" w:ascii="仿宋_GB2312" w:hAnsi="仿宋" w:eastAsia="仿宋_GB2312"/>
          <w:sz w:val="32"/>
          <w:szCs w:val="32"/>
        </w:rPr>
        <w:t>　　公用经费2801.25万元，主要包括：办公费、印刷费、手续费、水费、电费、邮电费、物业管理费、差旅费、维修（护）费、租赁费、会议费、培训费、公务接待费、劳务费、委托业务费、工会经费、公务用车运行维护费、其他交通费、其他商品和服务支出、办公设备购置、专用设备购置、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2023年“三公”经费财政拨款支出决算为389.27万元，完成预算98.30%，较上年减少50.92万元，减少11.57%。决算数小于预算数的主要原因是公务用车购置略有结余。</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rPr>
        <w:t>23年“三公”经费财政拨款支出决算中，因公出国（境）费支出决算2.53万元，占0.65</w:t>
      </w:r>
      <w:r>
        <w:rPr>
          <w:rFonts w:ascii="仿宋_GB2312" w:hAnsi="仿宋" w:eastAsia="仿宋_GB2312"/>
          <w:sz w:val="32"/>
          <w:szCs w:val="32"/>
        </w:rPr>
        <w:t>%</w:t>
      </w:r>
      <w:r>
        <w:rPr>
          <w:rFonts w:hint="eastAsia" w:ascii="仿宋_GB2312" w:hAnsi="仿宋" w:eastAsia="仿宋_GB2312"/>
          <w:sz w:val="32"/>
          <w:szCs w:val="32"/>
        </w:rPr>
        <w:t>；公务用车购置及运行维护费支出决算385.83万元，占99.17</w:t>
      </w:r>
      <w:r>
        <w:rPr>
          <w:rFonts w:ascii="仿宋_GB2312" w:hAnsi="仿宋" w:eastAsia="仿宋_GB2312"/>
          <w:sz w:val="32"/>
          <w:szCs w:val="32"/>
        </w:rPr>
        <w:t>%</w:t>
      </w:r>
      <w:r>
        <w:rPr>
          <w:rFonts w:hint="eastAsia" w:ascii="仿宋_GB2312" w:hAnsi="仿宋" w:eastAsia="仿宋_GB2312"/>
          <w:sz w:val="32"/>
          <w:szCs w:val="32"/>
        </w:rPr>
        <w:t>；公务接待费支出决算0.91万元，占0.23</w:t>
      </w:r>
      <w:r>
        <w:rPr>
          <w:rFonts w:ascii="仿宋_GB2312" w:hAnsi="仿宋" w:eastAsia="仿宋_GB2312"/>
          <w:sz w:val="32"/>
          <w:szCs w:val="32"/>
        </w:rPr>
        <w:t>%</w:t>
      </w:r>
      <w:r>
        <w:rPr>
          <w:rFonts w:hint="eastAsia" w:ascii="仿宋_GB2312" w:hAnsi="仿宋" w:eastAsia="仿宋_GB2312"/>
          <w:sz w:val="32"/>
          <w:szCs w:val="32"/>
        </w:rPr>
        <w:t>。具体情况如下：</w:t>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（图7：“三公”经费财政拨款支出结构）（饼状图）</w:t>
      </w:r>
    </w:p>
    <w:p>
      <w:pPr>
        <w:pStyle w:val="2"/>
        <w:spacing w:before="93"/>
      </w:pPr>
      <w:r>
        <w:rPr>
          <w:rFonts w:ascii="仿宋" w:hAnsi="仿宋" w:eastAsia="仿宋"/>
          <w:color w:val="000000"/>
          <w:sz w:val="32"/>
          <w:szCs w:val="32"/>
        </w:rPr>
        <w:drawing>
          <wp:inline distT="0" distB="0" distL="0" distR="0">
            <wp:extent cx="3619500" cy="1647825"/>
            <wp:effectExtent l="0" t="0" r="1905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2.53万元，</w:t>
      </w:r>
      <w:r>
        <w:rPr>
          <w:rStyle w:val="14"/>
          <w:rFonts w:hint="eastAsia" w:ascii="仿宋" w:hAnsi="仿宋" w:eastAsia="仿宋"/>
          <w:b w:val="0"/>
          <w:bCs/>
          <w:sz w:val="32"/>
          <w:szCs w:val="32"/>
        </w:rPr>
        <w:t>完成预算84.33</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全年安排因公出国（境）团组1次，出国（境）2人。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385.83万元,</w:t>
      </w:r>
      <w:r>
        <w:rPr>
          <w:rStyle w:val="14"/>
          <w:rFonts w:hint="eastAsia" w:ascii="仿宋_GB2312" w:hAnsi="仿宋" w:eastAsia="仿宋_GB2312"/>
          <w:b w:val="0"/>
          <w:bCs/>
          <w:sz w:val="32"/>
          <w:szCs w:val="32"/>
        </w:rPr>
        <w:t>完成预算99.17%。</w:t>
      </w:r>
      <w:r>
        <w:rPr>
          <w:rFonts w:hint="eastAsia" w:ascii="仿宋_GB2312" w:eastAsia="仿宋_GB2312"/>
          <w:sz w:val="32"/>
          <w:szCs w:val="32"/>
        </w:rPr>
        <w:t>公务用车购置及运行维护费支出决算比2022年减少16.77万元，下降4.17%。主要原因是</w:t>
      </w:r>
      <w:r>
        <w:rPr>
          <w:rFonts w:hint="eastAsia" w:ascii="仿宋_GB2312" w:eastAsia="仿宋_GB2312"/>
          <w:color w:val="000000"/>
          <w:sz w:val="32"/>
          <w:szCs w:val="32"/>
        </w:rPr>
        <w:t>车辆购置数量减少</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24.04万元。全年按规定更新购置公务用车1辆，其中：轿车0辆、金额0万元，越野车1辆、金额24.04万元，载客汽车0辆、金额0万元，主要用于执法办案。截至</w:t>
      </w:r>
      <w:r>
        <w:rPr>
          <w:rFonts w:ascii="仿宋_GB2312" w:eastAsia="仿宋_GB2312"/>
          <w:sz w:val="32"/>
          <w:szCs w:val="32"/>
        </w:rPr>
        <w:t>20</w:t>
      </w:r>
      <w:r>
        <w:rPr>
          <w:rFonts w:hint="eastAsia" w:ascii="仿宋_GB2312" w:eastAsia="仿宋_GB2312"/>
          <w:sz w:val="32"/>
          <w:szCs w:val="32"/>
        </w:rPr>
        <w:t>23年</w:t>
      </w:r>
      <w:r>
        <w:rPr>
          <w:rFonts w:ascii="仿宋_GB2312" w:eastAsia="仿宋_GB2312"/>
          <w:sz w:val="32"/>
          <w:szCs w:val="32"/>
        </w:rPr>
        <w:t>12</w:t>
      </w:r>
      <w:r>
        <w:rPr>
          <w:rFonts w:hint="eastAsia" w:ascii="仿宋_GB2312" w:eastAsia="仿宋_GB2312"/>
          <w:sz w:val="32"/>
          <w:szCs w:val="32"/>
        </w:rPr>
        <w:t>月底，单位共有公务用车97辆，其中：轿车27辆、越野车38辆、载客汽车5辆、摩托车8辆。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359.80万元。主要用于执法办案、安保维稳等所需的公务用车燃料费、维修费、过路过桥费、保险费等支出。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0.91万元，</w:t>
      </w:r>
      <w:r>
        <w:rPr>
          <w:rStyle w:val="14"/>
          <w:rFonts w:hint="eastAsia" w:ascii="仿宋" w:hAnsi="仿宋" w:eastAsia="仿宋"/>
          <w:b w:val="0"/>
          <w:bCs/>
          <w:sz w:val="32"/>
          <w:szCs w:val="32"/>
        </w:rPr>
        <w:t>完成预算33.33</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22年减少36.68万元，减少97.58</w:t>
      </w:r>
      <w:r>
        <w:rPr>
          <w:rFonts w:ascii="仿宋_GB2312" w:eastAsia="仿宋_GB2312"/>
          <w:sz w:val="32"/>
          <w:szCs w:val="32"/>
        </w:rPr>
        <w:t>%</w:t>
      </w:r>
      <w:r>
        <w:rPr>
          <w:rFonts w:hint="eastAsia" w:ascii="仿宋_GB2312" w:eastAsia="仿宋_GB2312"/>
          <w:sz w:val="32"/>
          <w:szCs w:val="32"/>
        </w:rPr>
        <w:t>。主要原因是2022年突然爆发新冠疫情，接待支援邻水的警队,2023年无此项目经费支出。其中：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0.91</w:t>
      </w:r>
      <w:r>
        <w:rPr>
          <w:rFonts w:hint="eastAsia" w:ascii="仿宋_GB2312" w:eastAsia="仿宋_GB2312"/>
          <w:sz w:val="32"/>
          <w:szCs w:val="32"/>
        </w:rPr>
        <w:t>万元，主要用于接待新闻记者、友邻考察单位。国内公务接待21批次，288人次（不包括陪同人员），共计支出0.91万元。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bookmarkStart w:id="46" w:name="_Toc15396610"/>
      <w:bookmarkStart w:id="47" w:name="_Toc15377218"/>
    </w:p>
    <w:p>
      <w:pPr>
        <w:pStyle w:val="23"/>
        <w:numPr>
          <w:ilvl w:val="0"/>
          <w:numId w:val="2"/>
        </w:numPr>
        <w:spacing w:line="600" w:lineRule="exact"/>
        <w:ind w:firstLineChars="0"/>
        <w:outlineLvl w:val="1"/>
        <w:rPr>
          <w:rStyle w:val="25"/>
          <w:rFonts w:ascii="黑体" w:hAnsi="黑体" w:eastAsia="黑体"/>
        </w:rPr>
      </w:pPr>
      <w:r>
        <w:rPr>
          <w:rStyle w:val="25"/>
          <w:rFonts w:hint="eastAsia" w:ascii="黑体" w:hAnsi="黑体" w:eastAsia="黑体"/>
          <w:b w:val="0"/>
        </w:rPr>
        <w:t>政府性基金预算支出决算情况说明</w:t>
      </w:r>
      <w:bookmarkEnd w:id="46"/>
      <w:bookmarkEnd w:id="47"/>
    </w:p>
    <w:p>
      <w:pPr>
        <w:pStyle w:val="23"/>
        <w:spacing w:line="600" w:lineRule="exact"/>
        <w:ind w:left="520" w:firstLine="160" w:firstLineChars="5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23年政府性基金预算财政拨款支出171.60万元。</w:t>
      </w:r>
    </w:p>
    <w:p>
      <w:pPr>
        <w:pStyle w:val="23"/>
        <w:numPr>
          <w:ilvl w:val="0"/>
          <w:numId w:val="2"/>
        </w:numPr>
        <w:spacing w:line="600" w:lineRule="exact"/>
        <w:ind w:firstLineChars="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pStyle w:val="23"/>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23年国有资本经营预算财政拨款支出0万元。</w:t>
      </w:r>
    </w:p>
    <w:p>
      <w:pPr>
        <w:pStyle w:val="23"/>
        <w:spacing w:line="600" w:lineRule="exact"/>
        <w:ind w:left="360" w:firstLine="320" w:firstLineChars="100"/>
        <w:outlineLvl w:val="1"/>
        <w:rPr>
          <w:rStyle w:val="25"/>
          <w:rFonts w:ascii="黑体" w:hAnsi="黑体" w:eastAsia="黑体"/>
          <w:b w:val="0"/>
        </w:rPr>
      </w:pPr>
      <w:bookmarkStart w:id="50" w:name="_Toc15377221"/>
      <w:bookmarkStart w:id="51" w:name="_Toc15396612"/>
      <w:r>
        <w:rPr>
          <w:rStyle w:val="25"/>
          <w:rFonts w:hint="eastAsia" w:ascii="黑体" w:hAnsi="黑体" w:eastAsia="黑体"/>
          <w:b w:val="0"/>
        </w:rPr>
        <w:t>十、其他重要事项的情况说明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23年，邻水县公安局机关运行经费支出2801.25万元，比</w:t>
      </w:r>
      <w:r>
        <w:rPr>
          <w:rFonts w:ascii="仿宋_GB2312" w:eastAsia="仿宋_GB2312"/>
          <w:sz w:val="32"/>
          <w:szCs w:val="32"/>
        </w:rPr>
        <w:t>20</w:t>
      </w:r>
      <w:r>
        <w:rPr>
          <w:rFonts w:hint="eastAsia" w:ascii="仿宋_GB2312" w:eastAsia="仿宋_GB2312"/>
          <w:sz w:val="32"/>
          <w:szCs w:val="32"/>
        </w:rPr>
        <w:t>22年增加33.72万元，增长1.22</w:t>
      </w:r>
      <w:r>
        <w:rPr>
          <w:rFonts w:ascii="仿宋_GB2312" w:eastAsia="仿宋_GB2312"/>
          <w:sz w:val="32"/>
          <w:szCs w:val="32"/>
        </w:rPr>
        <w:t>%</w:t>
      </w:r>
      <w:r>
        <w:rPr>
          <w:rFonts w:hint="eastAsia" w:ascii="仿宋_GB2312" w:eastAsia="仿宋_GB2312"/>
          <w:sz w:val="32"/>
          <w:szCs w:val="32"/>
        </w:rPr>
        <w:t>。主要原因是2023年机关运行费用略增长。</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邻水县公安局政府采购支出总额1058.02万元，其中：政府采购货物支出702.95万元、政府采购工程支出0万元、政府采购服务支出355.07万元。主要用于执法办案网络监控租赁服务。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日，邻水县公安局共有车辆97辆，其中：主要领导干部用车0辆、机要通信用车0辆、应急保障用车0辆、执法执勤用车97辆。单价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rFonts w:hAnsi="仿宋_GB2312" w:cs="仿宋_GB2312"/>
          <w:sz w:val="32"/>
          <w:szCs w:val="32"/>
        </w:rPr>
      </w:pPr>
      <w:r>
        <w:rPr>
          <w:rFonts w:hint="eastAsia" w:hAnsi="仿宋_GB2312" w:cs="仿宋_GB2312"/>
          <w:sz w:val="32"/>
          <w:szCs w:val="32"/>
        </w:rPr>
        <w:t>根据预算绩效管理要求，本单位在2023年度预算编制阶段，组织对整体支出项目、信息化建设租赁项目、中央政法纪检监察转移支付资金（项目名称）等3个项目开展了预算事前绩效评估，对3个项目编制了绩效目标，预算执行过程中，选取3个项目开展绩效监控，组织对3个项目开展绩效自评，绩效自评表详见第四部分附件。</w:t>
      </w:r>
    </w:p>
    <w:p>
      <w:pPr>
        <w:pStyle w:val="2"/>
        <w:spacing w:before="93"/>
        <w:ind w:firstLine="640" w:firstLineChars="200"/>
        <w:rPr>
          <w:rFonts w:hAnsi="仿宋_GB2312" w:cs="仿宋_GB2312"/>
          <w:sz w:val="32"/>
          <w:szCs w:val="32"/>
        </w:rPr>
      </w:pPr>
    </w:p>
    <w:p>
      <w:pPr>
        <w:pStyle w:val="2"/>
        <w:spacing w:before="93"/>
        <w:ind w:firstLine="640" w:firstLineChars="200"/>
        <w:rPr>
          <w:rFonts w:hAnsi="仿宋_GB2312" w:cs="仿宋_GB2312"/>
          <w:sz w:val="32"/>
          <w:szCs w:val="32"/>
        </w:rPr>
      </w:pPr>
    </w:p>
    <w:p>
      <w:pPr>
        <w:pStyle w:val="2"/>
        <w:spacing w:before="93"/>
        <w:ind w:firstLine="600" w:firstLineChars="200"/>
        <w:rPr>
          <w:highlight w:val="yellow"/>
        </w:rPr>
      </w:pPr>
    </w:p>
    <w:p>
      <w:pPr>
        <w:pStyle w:val="2"/>
        <w:spacing w:before="93"/>
        <w:ind w:firstLine="600" w:firstLineChars="200"/>
        <w:rPr>
          <w:highlight w:val="yellow"/>
        </w:rPr>
      </w:pPr>
    </w:p>
    <w:p>
      <w:pPr>
        <w:pStyle w:val="2"/>
        <w:spacing w:before="93"/>
        <w:ind w:firstLine="600" w:firstLineChars="200"/>
        <w:rPr>
          <w:highlight w:val="yellow"/>
        </w:rPr>
      </w:pPr>
    </w:p>
    <w:p>
      <w:pPr>
        <w:pStyle w:val="2"/>
        <w:spacing w:before="93"/>
        <w:ind w:firstLine="600" w:firstLineChars="200"/>
        <w:rPr>
          <w:highlight w:val="yellow"/>
        </w:rPr>
      </w:pPr>
    </w:p>
    <w:p>
      <w:pPr>
        <w:widowControl/>
        <w:ind w:firstLine="663" w:firstLineChars="150"/>
        <w:jc w:val="center"/>
        <w:rPr>
          <w:rStyle w:val="24"/>
          <w:rFonts w:ascii="黑体" w:hAnsi="黑体" w:eastAsia="黑体"/>
          <w:b w:val="0"/>
        </w:rPr>
      </w:pPr>
      <w:bookmarkStart w:id="55" w:name="_Toc15396613"/>
      <w:bookmarkStart w:id="56" w:name="_Toc15377225"/>
      <w:r>
        <w:rPr>
          <w:rStyle w:val="24"/>
          <w:rFonts w:hint="eastAsia" w:ascii="黑体" w:hAnsi="黑体"/>
        </w:rPr>
        <w:t xml:space="preserve">第三部分 </w:t>
      </w:r>
      <w:r>
        <w:rPr>
          <w:rFonts w:hint="eastAsia" w:ascii="黑体" w:hAnsi="黑体" w:eastAsia="黑体"/>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ind w:firstLine="640" w:firstLineChars="20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color w:val="000000"/>
          <w:sz w:val="32"/>
          <w:szCs w:val="32"/>
        </w:rPr>
        <w:t>一般公共服务（类）政府办公厅（室）及相关机构事务（款）信访事务（项）：指各级各级政府用于接待群众来信来访方面的支出。</w:t>
      </w:r>
    </w:p>
    <w:p>
      <w:pPr>
        <w:ind w:firstLine="640" w:firstLineChars="200"/>
        <w:rPr>
          <w:rFonts w:ascii="仿宋_GB2312" w:eastAsia="仿宋_GB2312"/>
          <w:sz w:val="32"/>
          <w:szCs w:val="32"/>
        </w:rPr>
      </w:pPr>
      <w:r>
        <w:rPr>
          <w:rFonts w:ascii="仿宋_GB2312" w:eastAsia="仿宋_GB2312"/>
          <w:sz w:val="32"/>
          <w:szCs w:val="32"/>
        </w:rPr>
        <w:t xml:space="preserve">3. </w:t>
      </w:r>
      <w:r>
        <w:rPr>
          <w:rFonts w:hint="eastAsia" w:ascii="仿宋_GB2312" w:eastAsia="仿宋_GB2312"/>
          <w:color w:val="000000"/>
          <w:sz w:val="32"/>
          <w:szCs w:val="32"/>
        </w:rPr>
        <w:t>公共安全（类）公安（款）行政运行（项）：指行政单位（包括实行公务员管理的事业单位）的基本支出。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 xml:space="preserve"> 社会保障和就业（类）行政事业单位养老支出（款）行政单位离退休（项）：指行政单位（包括实行公务员管理的事业单位）开支的离退休经费。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社会保障和就业（类）行政事业单位养老支出（款）机关事业单位职业年金缴费支出（项）：指各级财政部门对机关事业单位职业年金记账利息的补助。</w:t>
      </w:r>
      <w:r>
        <w:rPr>
          <w:rFonts w:ascii="仿宋_GB2312" w:eastAsia="仿宋_GB2312"/>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sz w:val="32"/>
          <w:szCs w:val="32"/>
        </w:rPr>
        <w:t>5.</w:t>
      </w:r>
      <w:r>
        <w:rPr>
          <w:rFonts w:hint="eastAsia" w:ascii="仿宋_GB2312" w:eastAsia="仿宋_GB2312"/>
          <w:color w:val="000000"/>
          <w:sz w:val="32"/>
          <w:szCs w:val="32"/>
        </w:rPr>
        <w:t xml:space="preserve"> 卫生健康支出（类）公共卫生（款）突发公共卫生事件应急处理（项）：指用于突发公共卫生事件应急处理的支出。</w:t>
      </w:r>
    </w:p>
    <w:p>
      <w:pPr>
        <w:tabs>
          <w:tab w:val="left" w:pos="312"/>
        </w:tabs>
        <w:ind w:firstLine="640" w:firstLineChars="200"/>
        <w:rPr>
          <w:rFonts w:ascii="仿宋_GB2312" w:eastAsia="仿宋_GB2312"/>
          <w:color w:val="000000"/>
          <w:sz w:val="32"/>
          <w:szCs w:val="32"/>
        </w:rPr>
      </w:pPr>
      <w:r>
        <w:rPr>
          <w:rFonts w:hint="eastAsia" w:ascii="仿宋_GB2312" w:eastAsia="仿宋_GB2312"/>
          <w:color w:val="000000"/>
          <w:sz w:val="32"/>
          <w:szCs w:val="32"/>
        </w:rPr>
        <w:t>卫生健康支出（类）计划生育事务（款）其他计划生育事务支出（项）：指其他用于计划生育管理事务方面的支出。</w:t>
      </w:r>
    </w:p>
    <w:p>
      <w:pPr>
        <w:ind w:firstLine="645"/>
        <w:rPr>
          <w:rFonts w:ascii="仿宋_GB2312" w:eastAsia="仿宋_GB2312"/>
          <w:color w:val="000000"/>
          <w:sz w:val="32"/>
          <w:szCs w:val="32"/>
        </w:rPr>
      </w:pPr>
      <w:r>
        <w:rPr>
          <w:rFonts w:hint="eastAsia" w:ascii="仿宋_GB2312" w:eastAsia="仿宋_GB2312"/>
          <w:color w:val="000000"/>
          <w:sz w:val="32"/>
          <w:szCs w:val="32"/>
        </w:rPr>
        <w:t>卫生健康支出（类）行政事业单位医疗（款）行政单位医疗（项）：指财政部门安排的行政单位（包括试行公务员管理的事业单位，下同）基本医疗保险缴费经费，未参加医疗保险的行政单位的公费医疗经费，按国家规定享受离休人员、红军老战士待遇人员的医疗经费。</w:t>
      </w:r>
    </w:p>
    <w:p>
      <w:pPr>
        <w:ind w:firstLine="645"/>
        <w:rPr>
          <w:rFonts w:ascii="仿宋_GB2312" w:eastAsia="仿宋_GB2312"/>
          <w:color w:val="000000"/>
          <w:sz w:val="32"/>
          <w:szCs w:val="32"/>
        </w:rPr>
      </w:pPr>
      <w:r>
        <w:rPr>
          <w:rFonts w:hint="eastAsia" w:ascii="仿宋_GB2312" w:eastAsia="仿宋_GB2312"/>
          <w:color w:val="000000"/>
          <w:sz w:val="32"/>
          <w:szCs w:val="32"/>
        </w:rPr>
        <w:t>卫生健康支出（类）行政事业单位医疗（款）事业单位医疗（项）：指财政部门安排的事业单位基本医疗保险缴费经费，未参加医疗保险的事业单位的公费医疗经费，按国家规定享受离休人员待遇的医疗经费。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sz w:val="32"/>
          <w:szCs w:val="32"/>
        </w:rPr>
        <w:t xml:space="preserve"> </w:t>
      </w:r>
      <w:r>
        <w:rPr>
          <w:rFonts w:hint="eastAsia" w:ascii="仿宋_GB2312" w:eastAsia="仿宋_GB2312"/>
          <w:color w:val="000000"/>
          <w:sz w:val="32"/>
          <w:szCs w:val="32"/>
        </w:rPr>
        <w:t xml:space="preserve">住房保障（类）住房保障支出（款）住房公积金（项）：指行政事业单位按人力资源和社会保障部、财政部规定的基本工资和津贴补贴以及规定比例为职工缴纳的住房公积金。  </w:t>
      </w:r>
      <w:r>
        <w:rPr>
          <w:rFonts w:hint="eastAsia"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 xml:space="preserve"> 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hint="eastAsia" w:ascii="仿宋_GB2312" w:eastAsia="仿宋_GB2312"/>
          <w:sz w:val="32"/>
          <w:szCs w:val="32"/>
        </w:rPr>
        <w:t xml:space="preserve"> 项目支出：指在基本支出之外为完成特定行政任务和事业发展目标所发生的支出。</w:t>
      </w:r>
    </w:p>
    <w:p>
      <w:pPr>
        <w:pStyle w:val="22"/>
        <w:spacing w:line="560" w:lineRule="exact"/>
        <w:ind w:firstLine="640" w:firstLineChars="200"/>
        <w:rPr>
          <w:rFonts w:ascii="仿宋_GB2312" w:eastAsia="仿宋_GB2312"/>
          <w:color w:val="auto"/>
          <w:sz w:val="32"/>
          <w:szCs w:val="32"/>
        </w:rPr>
      </w:pPr>
      <w:r>
        <w:rPr>
          <w:rFonts w:hint="eastAsia"/>
          <w:sz w:val="32"/>
          <w:szCs w:val="32"/>
        </w:rPr>
        <w:t>9</w:t>
      </w:r>
      <w:r>
        <w:rPr>
          <w:sz w:val="32"/>
          <w:szCs w:val="32"/>
        </w:rPr>
        <w:t>.</w:t>
      </w:r>
      <w:r>
        <w:rPr>
          <w:rFonts w:hint="eastAsia" w:ascii="仿宋_GB2312" w:eastAsia="仿宋_GB2312"/>
          <w:color w:val="auto"/>
          <w:sz w:val="32"/>
          <w:szCs w:val="32"/>
        </w:rPr>
        <w:t xml:space="preserve"> “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1</w:t>
      </w:r>
      <w:r>
        <w:rPr>
          <w:rFonts w:hint="eastAsia"/>
          <w:sz w:val="32"/>
          <w:szCs w:val="32"/>
        </w:rPr>
        <w:t>0</w:t>
      </w:r>
      <w:r>
        <w:rPr>
          <w:rFonts w:ascii="仿宋_GB2312" w:eastAsia="仿宋_GB2312"/>
          <w:sz w:val="32"/>
          <w:szCs w:val="32"/>
        </w:rPr>
        <w:t>.</w:t>
      </w:r>
      <w:r>
        <w:rPr>
          <w:rFonts w:hint="eastAsia" w:ascii="仿宋_GB2312" w:eastAsia="仿宋_GB2312"/>
          <w:color w:val="auto"/>
          <w:sz w:val="32"/>
          <w:szCs w:val="32"/>
        </w:rPr>
        <w:t xml:space="preserve">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sz w:val="44"/>
          <w:szCs w:val="44"/>
        </w:rPr>
        <w:br w:type="page"/>
      </w:r>
      <w:bookmarkStart w:id="58" w:name="_Toc15396614"/>
      <w:r>
        <w:rPr>
          <w:rFonts w:hint="eastAsia" w:ascii="黑体" w:hAnsi="黑体" w:eastAsia="黑体"/>
          <w:sz w:val="44"/>
          <w:szCs w:val="44"/>
        </w:rPr>
        <w:t>第</w:t>
      </w:r>
      <w:r>
        <w:rPr>
          <w:rStyle w:val="24"/>
          <w:rFonts w:hint="eastAsia" w:ascii="黑体" w:hAnsi="黑体" w:eastAsia="黑体"/>
          <w:b w:val="0"/>
        </w:rPr>
        <w:t>四部分 附件</w:t>
      </w:r>
      <w:bookmarkEnd w:id="58"/>
    </w:p>
    <w:p>
      <w:pPr>
        <w:spacing w:line="572" w:lineRule="exact"/>
        <w:jc w:val="left"/>
        <w:outlineLvl w:val="0"/>
        <w:rPr>
          <w:rFonts w:ascii="仿宋_GB2312" w:hAnsi="仿宋_GB2312" w:eastAsia="仿宋_GB2312" w:cs="仿宋_GB2312"/>
          <w:sz w:val="32"/>
          <w:szCs w:val="32"/>
        </w:rPr>
      </w:pPr>
    </w:p>
    <w:p>
      <w:pPr>
        <w:pStyle w:val="2"/>
        <w:spacing w:before="93"/>
      </w:pPr>
      <w:bookmarkStart w:id="59" w:name="_Toc15396618"/>
      <w:r>
        <w:rPr>
          <w:rFonts w:hint="eastAsia"/>
        </w:rPr>
        <w:t>附件1</w:t>
      </w:r>
    </w:p>
    <w:tbl>
      <w:tblPr>
        <w:tblStyle w:val="12"/>
        <w:tblW w:w="9371" w:type="dxa"/>
        <w:tblInd w:w="93" w:type="dxa"/>
        <w:tblLayout w:type="autofit"/>
        <w:tblCellMar>
          <w:top w:w="0" w:type="dxa"/>
          <w:left w:w="108" w:type="dxa"/>
          <w:bottom w:w="0" w:type="dxa"/>
          <w:right w:w="108" w:type="dxa"/>
        </w:tblCellMar>
      </w:tblPr>
      <w:tblGrid>
        <w:gridCol w:w="700"/>
        <w:gridCol w:w="140"/>
        <w:gridCol w:w="640"/>
        <w:gridCol w:w="260"/>
        <w:gridCol w:w="920"/>
        <w:gridCol w:w="260"/>
        <w:gridCol w:w="820"/>
        <w:gridCol w:w="260"/>
        <w:gridCol w:w="800"/>
        <w:gridCol w:w="140"/>
        <w:gridCol w:w="240"/>
        <w:gridCol w:w="100"/>
        <w:gridCol w:w="980"/>
        <w:gridCol w:w="100"/>
        <w:gridCol w:w="980"/>
        <w:gridCol w:w="100"/>
        <w:gridCol w:w="360"/>
        <w:gridCol w:w="340"/>
        <w:gridCol w:w="540"/>
        <w:gridCol w:w="691"/>
      </w:tblGrid>
      <w:tr>
        <w:tblPrEx>
          <w:tblCellMar>
            <w:top w:w="0" w:type="dxa"/>
            <w:left w:w="108" w:type="dxa"/>
            <w:bottom w:w="0" w:type="dxa"/>
            <w:right w:w="108" w:type="dxa"/>
          </w:tblCellMar>
        </w:tblPrEx>
        <w:trPr>
          <w:trHeight w:val="543" w:hRule="atLeast"/>
        </w:trPr>
        <w:tc>
          <w:tcPr>
            <w:tcW w:w="9371" w:type="dxa"/>
            <w:gridSpan w:val="2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trHeight w:val="330" w:hRule="atLeast"/>
        </w:trPr>
        <w:tc>
          <w:tcPr>
            <w:tcW w:w="1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891" w:type="dxa"/>
            <w:gridSpan w:val="1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信息化建设租赁项目</w:t>
            </w:r>
          </w:p>
        </w:tc>
      </w:tr>
      <w:tr>
        <w:tblPrEx>
          <w:tblCellMar>
            <w:top w:w="0" w:type="dxa"/>
            <w:left w:w="108" w:type="dxa"/>
            <w:bottom w:w="0" w:type="dxa"/>
            <w:right w:w="108" w:type="dxa"/>
          </w:tblCellMar>
        </w:tblPrEx>
        <w:trPr>
          <w:trHeight w:val="330" w:hRule="atLeast"/>
        </w:trPr>
        <w:tc>
          <w:tcPr>
            <w:tcW w:w="14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46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11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trHeight w:val="330" w:hRule="atLeast"/>
        </w:trPr>
        <w:tc>
          <w:tcPr>
            <w:tcW w:w="1480"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4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880"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23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88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3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480"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1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3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3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trHeight w:val="160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6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285套电信公司“天网”视频监控点位租赁项目、4G无线图像传输租赁；蜀通公司高空瞭望视频监控点租赁项目；313套移动公司“天网”视频监控点位租赁项目、239套人行道智能抓拍、高清录像监控系统租赁项目；30条视频专网等租赁项目的租赁费。</w:t>
            </w:r>
          </w:p>
        </w:tc>
        <w:tc>
          <w:tcPr>
            <w:tcW w:w="3111"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285套电信公司“天网”视频监控点位租赁项目、4G无线图像传输租赁；蜀通公司高空瞭望视频监控点租赁项目；313套移动公司“天网”视频监控点位租赁项目、239套人行道智能抓拍、高清录像监控系统租赁项目；30条视频专网等租赁项目的租赁费。</w:t>
            </w:r>
          </w:p>
        </w:tc>
      </w:tr>
      <w:tr>
        <w:tblPrEx>
          <w:tblCellMar>
            <w:top w:w="0" w:type="dxa"/>
            <w:left w:w="108" w:type="dxa"/>
            <w:bottom w:w="0" w:type="dxa"/>
            <w:right w:w="108" w:type="dxa"/>
          </w:tblCellMar>
        </w:tblPrEx>
        <w:trPr>
          <w:trHeight w:val="330" w:hRule="atLeast"/>
        </w:trPr>
        <w:tc>
          <w:tcPr>
            <w:tcW w:w="7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52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203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31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031"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2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指标1：电信公司“天网”视频监控点位数量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≥285套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285套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指标2：移动公司“天网”视频监控点位数量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313套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指标3：人行道智能抓拍、高清录像监控系统数量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≥239套</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239套</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252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指标4：视频专网数量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≥30条</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30条</w:t>
            </w:r>
          </w:p>
        </w:tc>
        <w:tc>
          <w:tcPr>
            <w:tcW w:w="2031"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指标1：监控设备验收合格率</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≤355.08万元</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355.08万元</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8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指标1：加强各类风险的管控，稳定社会治安程度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2" w:hRule="atLeast"/>
        </w:trPr>
        <w:tc>
          <w:tcPr>
            <w:tcW w:w="7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7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52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3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405" w:hRule="atLeast"/>
        </w:trPr>
        <w:tc>
          <w:tcPr>
            <w:tcW w:w="8680" w:type="dxa"/>
            <w:gridSpan w:val="19"/>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gridAfter w:val="1"/>
          <w:wAfter w:w="691" w:type="dxa"/>
          <w:trHeight w:val="330" w:hRule="atLeast"/>
        </w:trPr>
        <w:tc>
          <w:tcPr>
            <w:tcW w:w="8680" w:type="dxa"/>
            <w:gridSpan w:val="19"/>
            <w:tcBorders>
              <w:top w:val="nil"/>
              <w:left w:val="nil"/>
              <w:bottom w:val="nil"/>
              <w:right w:val="nil"/>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（2023年度）</w:t>
            </w:r>
          </w:p>
        </w:tc>
      </w:tr>
      <w:tr>
        <w:tblPrEx>
          <w:tblCellMar>
            <w:top w:w="0" w:type="dxa"/>
            <w:left w:w="108" w:type="dxa"/>
            <w:bottom w:w="0" w:type="dxa"/>
            <w:right w:w="108" w:type="dxa"/>
          </w:tblCellMar>
        </w:tblPrEx>
        <w:trPr>
          <w:gridAfter w:val="1"/>
          <w:wAfter w:w="691" w:type="dxa"/>
          <w:trHeight w:val="330" w:hRule="atLeast"/>
        </w:trPr>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6940" w:type="dxa"/>
            <w:gridSpan w:val="1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依法治访专项工作经费</w:t>
            </w:r>
          </w:p>
        </w:tc>
      </w:tr>
      <w:tr>
        <w:tblPrEx>
          <w:tblCellMar>
            <w:top w:w="0" w:type="dxa"/>
            <w:left w:w="108" w:type="dxa"/>
            <w:bottom w:w="0" w:type="dxa"/>
            <w:right w:w="108" w:type="dxa"/>
          </w:tblCellMar>
        </w:tblPrEx>
        <w:trPr>
          <w:gridAfter w:val="1"/>
          <w:wAfter w:w="691" w:type="dxa"/>
          <w:trHeight w:val="330" w:hRule="atLeast"/>
        </w:trPr>
        <w:tc>
          <w:tcPr>
            <w:tcW w:w="174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200"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4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2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42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4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88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2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4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8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1740"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9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2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2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gridAfter w:val="1"/>
          <w:wAfter w:w="691" w:type="dxa"/>
          <w:trHeight w:val="208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20" w:type="dxa"/>
            <w:gridSpan w:val="1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赔偿汤佳俊医疗费、交通费、精神抚慰金等所有费</w:t>
            </w:r>
          </w:p>
        </w:tc>
        <w:tc>
          <w:tcPr>
            <w:tcW w:w="2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完成汤佳俊医疗费、交通费、精神抚慰金等所有赔偿费用共计20万元。</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360"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124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gridAfter w:val="1"/>
          <w:wAfter w:w="691" w:type="dxa"/>
          <w:trHeight w:val="31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360"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gridAfter w:val="1"/>
          <w:wAfter w:w="691" w:type="dxa"/>
          <w:trHeight w:val="52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gridSpan w:val="2"/>
            <w:tcBorders>
              <w:top w:val="nil"/>
              <w:left w:val="nil"/>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指标1：协议赔偿人数</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=1人</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1人</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330"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指标1：赔偿资金发放准确率</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40"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59"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≤20万元</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20万元</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58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指标1：保障赔偿人员后续生活质量</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gridAfter w:val="1"/>
          <w:wAfter w:w="691" w:type="dxa"/>
          <w:trHeight w:val="702" w:hRule="atLeast"/>
        </w:trPr>
        <w:tc>
          <w:tcPr>
            <w:tcW w:w="84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36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指标1：受益人员满意度</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2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tbl>
      <w:tblPr>
        <w:tblStyle w:val="12"/>
        <w:tblW w:w="9320" w:type="dxa"/>
        <w:tblInd w:w="93" w:type="dxa"/>
        <w:tblLayout w:type="autofit"/>
        <w:tblCellMar>
          <w:top w:w="0" w:type="dxa"/>
          <w:left w:w="108" w:type="dxa"/>
          <w:bottom w:w="0" w:type="dxa"/>
          <w:right w:w="108" w:type="dxa"/>
        </w:tblCellMar>
      </w:tblPr>
      <w:tblGrid>
        <w:gridCol w:w="640"/>
        <w:gridCol w:w="900"/>
        <w:gridCol w:w="1180"/>
        <w:gridCol w:w="1080"/>
        <w:gridCol w:w="1060"/>
        <w:gridCol w:w="460"/>
        <w:gridCol w:w="900"/>
        <w:gridCol w:w="1080"/>
        <w:gridCol w:w="800"/>
        <w:gridCol w:w="1220"/>
      </w:tblGrid>
      <w:tr>
        <w:tblPrEx>
          <w:tblCellMar>
            <w:top w:w="0" w:type="dxa"/>
            <w:left w:w="108" w:type="dxa"/>
            <w:bottom w:w="0" w:type="dxa"/>
            <w:right w:w="108" w:type="dxa"/>
          </w:tblCellMar>
        </w:tblPrEx>
        <w:trPr>
          <w:trHeight w:val="405" w:hRule="atLeast"/>
        </w:trPr>
        <w:tc>
          <w:tcPr>
            <w:tcW w:w="9320" w:type="dxa"/>
            <w:gridSpan w:val="10"/>
            <w:tcBorders>
              <w:top w:val="nil"/>
              <w:left w:val="nil"/>
              <w:bottom w:val="nil"/>
              <w:right w:val="nil"/>
            </w:tcBorders>
            <w:shd w:val="clear" w:color="auto" w:fill="auto"/>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项目支出绩效目标自评表</w:t>
            </w:r>
          </w:p>
        </w:tc>
      </w:tr>
      <w:tr>
        <w:tblPrEx>
          <w:tblCellMar>
            <w:top w:w="0" w:type="dxa"/>
            <w:left w:w="108" w:type="dxa"/>
            <w:bottom w:w="0" w:type="dxa"/>
            <w:right w:w="108" w:type="dxa"/>
          </w:tblCellMar>
        </w:tblPrEx>
        <w:trPr>
          <w:trHeight w:val="330" w:hRule="atLeast"/>
        </w:trPr>
        <w:tc>
          <w:tcPr>
            <w:tcW w:w="9320" w:type="dxa"/>
            <w:gridSpan w:val="10"/>
            <w:tcBorders>
              <w:top w:val="nil"/>
              <w:left w:val="nil"/>
              <w:bottom w:val="nil"/>
              <w:right w:val="nil"/>
            </w:tcBorders>
            <w:shd w:val="clear" w:color="auto" w:fill="auto"/>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（2023年度）</w:t>
            </w:r>
          </w:p>
        </w:tc>
      </w:tr>
      <w:tr>
        <w:tblPrEx>
          <w:tblCellMar>
            <w:top w:w="0" w:type="dxa"/>
            <w:left w:w="108" w:type="dxa"/>
            <w:bottom w:w="0" w:type="dxa"/>
            <w:right w:w="108" w:type="dxa"/>
          </w:tblCellMar>
        </w:tblPrEx>
        <w:trPr>
          <w:trHeight w:val="330"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778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看守所、新建拘留所、新建强制隔离戒毒所建设项目</w:t>
            </w:r>
          </w:p>
        </w:tc>
      </w:tr>
      <w:tr>
        <w:tblPrEx>
          <w:tblCellMar>
            <w:top w:w="0" w:type="dxa"/>
            <w:left w:w="108" w:type="dxa"/>
            <w:bottom w:w="0" w:type="dxa"/>
            <w:right w:w="108" w:type="dxa"/>
          </w:tblCellMar>
        </w:tblPrEx>
        <w:trPr>
          <w:trHeight w:val="330" w:hRule="atLeast"/>
        </w:trPr>
        <w:tc>
          <w:tcPr>
            <w:tcW w:w="1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3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邻水县公安局部门</w:t>
            </w:r>
          </w:p>
        </w:tc>
        <w:tc>
          <w:tcPr>
            <w:tcW w:w="1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实施单位</w:t>
            </w:r>
          </w:p>
        </w:tc>
        <w:tc>
          <w:tcPr>
            <w:tcW w:w="310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邻水县公安局</w:t>
            </w:r>
          </w:p>
        </w:tc>
      </w:tr>
      <w:tr>
        <w:tblPrEx>
          <w:tblCellMar>
            <w:top w:w="0" w:type="dxa"/>
            <w:left w:w="108" w:type="dxa"/>
            <w:bottom w:w="0" w:type="dxa"/>
            <w:right w:w="108" w:type="dxa"/>
          </w:tblCellMar>
        </w:tblPrEx>
        <w:trPr>
          <w:trHeight w:val="330" w:hRule="atLeast"/>
        </w:trPr>
        <w:tc>
          <w:tcPr>
            <w:tcW w:w="15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项目资金（万元）</w:t>
            </w:r>
          </w:p>
        </w:tc>
        <w:tc>
          <w:tcPr>
            <w:tcW w:w="22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年初预算数</w:t>
            </w:r>
          </w:p>
        </w:tc>
        <w:tc>
          <w:tcPr>
            <w:tcW w:w="13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全年预算数</w:t>
            </w:r>
          </w:p>
        </w:tc>
        <w:tc>
          <w:tcPr>
            <w:tcW w:w="18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全年执行数</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执行率</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3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8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年度资金总额</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其中：当年财政拨款</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上年结转资金</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15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其他资金</w:t>
            </w:r>
          </w:p>
        </w:tc>
        <w:tc>
          <w:tcPr>
            <w:tcW w:w="10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3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8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年度总体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目标</w:t>
            </w:r>
          </w:p>
        </w:tc>
        <w:tc>
          <w:tcPr>
            <w:tcW w:w="55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3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实际完成情况</w:t>
            </w:r>
          </w:p>
        </w:tc>
      </w:tr>
      <w:tr>
        <w:tblPrEx>
          <w:tblCellMar>
            <w:top w:w="0" w:type="dxa"/>
            <w:left w:w="108" w:type="dxa"/>
            <w:bottom w:w="0" w:type="dxa"/>
            <w:right w:w="108" w:type="dxa"/>
          </w:tblCellMar>
        </w:tblPrEx>
        <w:trPr>
          <w:trHeight w:val="256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5580" w:type="dxa"/>
            <w:gridSpan w:val="6"/>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新建看守所、新建拘留所、新建强制隔离戒毒所建设项目</w:t>
            </w:r>
          </w:p>
        </w:tc>
        <w:tc>
          <w:tcPr>
            <w:tcW w:w="31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邻水县看守所、拘留所、强制隔离戒毒所建设项目总面积40亩，场地平整15亩，开挖土石方1万立方米，新建（扩建）看守所3452平方米，新建强制隔离戒毒所5600平方米，新建拘留所3410平方米，附院坝硬化、绿化、水、电、气、通讯、排水管道敷设亮化等工程建设及特殊安装工程等。项目建成后将为我县健全和完善社会治安手段创造条件，有利于保障我县社会治安工作顺利进行。</w:t>
            </w:r>
          </w:p>
        </w:tc>
      </w:tr>
      <w:tr>
        <w:tblPrEx>
          <w:tblCellMar>
            <w:top w:w="0" w:type="dxa"/>
            <w:left w:w="108" w:type="dxa"/>
            <w:bottom w:w="0" w:type="dxa"/>
            <w:right w:w="108" w:type="dxa"/>
          </w:tblCellMar>
        </w:tblPrEx>
        <w:trPr>
          <w:trHeight w:val="33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6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年度指标值</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实际完成值</w:t>
            </w:r>
          </w:p>
        </w:tc>
        <w:tc>
          <w:tcPr>
            <w:tcW w:w="202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偏差原因分析及改进措施</w:t>
            </w:r>
          </w:p>
        </w:tc>
      </w:tr>
      <w:tr>
        <w:tblPrEx>
          <w:tblCellMar>
            <w:top w:w="0" w:type="dxa"/>
            <w:left w:w="108" w:type="dxa"/>
            <w:bottom w:w="0" w:type="dxa"/>
            <w:right w:w="108" w:type="dxa"/>
          </w:tblCellMar>
        </w:tblPrEx>
        <w:trPr>
          <w:trHeight w:val="31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0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202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52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18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指标1：新建（扩建）看守所面积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=3452平方米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3452平方米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2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指标2：新建强制隔离戒毒所面积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=5600平方米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5600平方米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18"/>
                <w:szCs w:val="18"/>
              </w:rPr>
            </w:pP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指标3：新建拘留所面积</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=3410平方米</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3410平方米</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3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指标1：项目建设检验合格率</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40"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指标1：资金到位及时性</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2023年12月31日前</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59"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指标1：项目资金成本</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≤276.6万元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276.6万元</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58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指标1：保障我县社会治安工作顺利进行</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702"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1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6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202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7"/>
      <w:bookmarkEnd w:id="59"/>
      <w:bookmarkStart w:id="60"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25"/>
          <w:rFonts w:hint="eastAsia" w:ascii="仿宋" w:hAnsi="仿宋" w:eastAsia="仿宋"/>
          <w:b w:val="0"/>
          <w:bCs w:val="0"/>
        </w:rPr>
        <w:t>入决算表</w:t>
      </w:r>
      <w:bookmarkEnd w:id="61"/>
    </w:p>
    <w:p>
      <w:pPr>
        <w:pStyle w:val="4"/>
        <w:rPr>
          <w:rFonts w:ascii="仿宋" w:hAnsi="仿宋" w:eastAsia="仿宋"/>
        </w:rPr>
      </w:pPr>
      <w:bookmarkStart w:id="62"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63"/>
    </w:p>
    <w:p>
      <w:pPr>
        <w:pStyle w:val="4"/>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25"/>
          <w:rFonts w:hint="eastAsia" w:ascii="仿宋" w:hAnsi="仿宋" w:eastAsia="仿宋"/>
          <w:b w:val="0"/>
          <w:bCs w:val="0"/>
        </w:rPr>
        <w:t>十、</w:t>
      </w:r>
      <w:bookmarkEnd w:id="69"/>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25"/>
          <w:rFonts w:hint="eastAsia" w:ascii="仿宋" w:hAnsi="仿宋" w:eastAsia="仿宋"/>
          <w:b w:val="0"/>
          <w:bCs w:val="0"/>
        </w:rPr>
        <w:t>十一、</w:t>
      </w:r>
      <w:bookmarkEnd w:id="70"/>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25"/>
          <w:rFonts w:hint="eastAsia" w:ascii="仿宋" w:hAnsi="仿宋" w:eastAsia="仿宋"/>
          <w:b w:val="0"/>
          <w:bCs w:val="0"/>
        </w:rPr>
        <w:t>十二、</w:t>
      </w:r>
      <w:bookmarkEnd w:id="71"/>
      <w:r>
        <w:rPr>
          <w:rStyle w:val="25"/>
          <w:rFonts w:hint="eastAsia" w:ascii="仿宋" w:hAnsi="仿宋" w:eastAsia="仿宋"/>
          <w:b w:val="0"/>
          <w:bCs w:val="0"/>
        </w:rPr>
        <w:t>国有资本经营预算财政拨款支出决算表</w:t>
      </w:r>
    </w:p>
    <w:p>
      <w:pPr>
        <w:pStyle w:val="4"/>
        <w:rPr>
          <w:rFonts w:eastAsia="仿宋"/>
        </w:rPr>
      </w:pPr>
      <w:bookmarkStart w:id="72" w:name="_Toc15396631"/>
      <w:r>
        <w:rPr>
          <w:rStyle w:val="25"/>
          <w:rFonts w:hint="eastAsia" w:ascii="仿宋" w:hAnsi="仿宋" w:eastAsia="仿宋"/>
          <w:b w:val="0"/>
          <w:bCs w:val="0"/>
        </w:rPr>
        <w:t>十三、</w:t>
      </w:r>
      <w:bookmarkEnd w:id="72"/>
      <w:r>
        <w:rPr>
          <w:rStyle w:val="25"/>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5694582"/>
    <w:multiLevelType w:val="multilevel"/>
    <w:tmpl w:val="65694582"/>
    <w:lvl w:ilvl="0" w:tentative="0">
      <w:start w:val="8"/>
      <w:numFmt w:val="japaneseCounting"/>
      <w:lvlText w:val="%1、"/>
      <w:lvlJc w:val="left"/>
      <w:pPr>
        <w:ind w:left="1440" w:hanging="720"/>
      </w:pPr>
      <w:rPr>
        <w:rFonts w:hint="default"/>
        <w:b w:val="0"/>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ZDI0MjIwMjc5YzcxZTJlM2Y0YmRjYmJmZGUwMWYifQ=="/>
  </w:docVars>
  <w:rsids>
    <w:rsidRoot w:val="00F1361C"/>
    <w:rsid w:val="00004477"/>
    <w:rsid w:val="0001182D"/>
    <w:rsid w:val="00015F57"/>
    <w:rsid w:val="000222C6"/>
    <w:rsid w:val="00024A16"/>
    <w:rsid w:val="0002549F"/>
    <w:rsid w:val="000268DF"/>
    <w:rsid w:val="0003686F"/>
    <w:rsid w:val="000468DB"/>
    <w:rsid w:val="0006487A"/>
    <w:rsid w:val="00065F8F"/>
    <w:rsid w:val="00070A43"/>
    <w:rsid w:val="00074F94"/>
    <w:rsid w:val="000768F2"/>
    <w:rsid w:val="00087934"/>
    <w:rsid w:val="0009184B"/>
    <w:rsid w:val="00094236"/>
    <w:rsid w:val="000956BA"/>
    <w:rsid w:val="0009593C"/>
    <w:rsid w:val="00097322"/>
    <w:rsid w:val="000A6A92"/>
    <w:rsid w:val="000B047F"/>
    <w:rsid w:val="000B5923"/>
    <w:rsid w:val="000B5A48"/>
    <w:rsid w:val="000B6FF3"/>
    <w:rsid w:val="000C2F99"/>
    <w:rsid w:val="000C3467"/>
    <w:rsid w:val="000C3CA6"/>
    <w:rsid w:val="000D1267"/>
    <w:rsid w:val="000D1C0C"/>
    <w:rsid w:val="000D1D50"/>
    <w:rsid w:val="000D5782"/>
    <w:rsid w:val="000D6C56"/>
    <w:rsid w:val="000E1302"/>
    <w:rsid w:val="000E6613"/>
    <w:rsid w:val="000E7119"/>
    <w:rsid w:val="00103B3E"/>
    <w:rsid w:val="00114E9B"/>
    <w:rsid w:val="00122A39"/>
    <w:rsid w:val="00123AE6"/>
    <w:rsid w:val="001259D6"/>
    <w:rsid w:val="00133BAF"/>
    <w:rsid w:val="001364C6"/>
    <w:rsid w:val="00142216"/>
    <w:rsid w:val="00144D6A"/>
    <w:rsid w:val="0014729F"/>
    <w:rsid w:val="00157BAB"/>
    <w:rsid w:val="00162683"/>
    <w:rsid w:val="001654D1"/>
    <w:rsid w:val="00174518"/>
    <w:rsid w:val="00175049"/>
    <w:rsid w:val="0018106D"/>
    <w:rsid w:val="00183269"/>
    <w:rsid w:val="001877A7"/>
    <w:rsid w:val="00191536"/>
    <w:rsid w:val="00196687"/>
    <w:rsid w:val="001B721E"/>
    <w:rsid w:val="001C0962"/>
    <w:rsid w:val="001D1DB2"/>
    <w:rsid w:val="001D46BA"/>
    <w:rsid w:val="001D7531"/>
    <w:rsid w:val="001E737D"/>
    <w:rsid w:val="001E7F56"/>
    <w:rsid w:val="001F0592"/>
    <w:rsid w:val="001F231F"/>
    <w:rsid w:val="001F7506"/>
    <w:rsid w:val="002006CD"/>
    <w:rsid w:val="00201E31"/>
    <w:rsid w:val="00202B36"/>
    <w:rsid w:val="00204B7A"/>
    <w:rsid w:val="00204CDE"/>
    <w:rsid w:val="0021101A"/>
    <w:rsid w:val="00216717"/>
    <w:rsid w:val="00217B6C"/>
    <w:rsid w:val="00220536"/>
    <w:rsid w:val="00222C2D"/>
    <w:rsid w:val="00222DB4"/>
    <w:rsid w:val="00235629"/>
    <w:rsid w:val="0023576E"/>
    <w:rsid w:val="00260C38"/>
    <w:rsid w:val="002616C0"/>
    <w:rsid w:val="00265372"/>
    <w:rsid w:val="0026621A"/>
    <w:rsid w:val="002662AA"/>
    <w:rsid w:val="0027145C"/>
    <w:rsid w:val="00280496"/>
    <w:rsid w:val="00294DC9"/>
    <w:rsid w:val="00295495"/>
    <w:rsid w:val="002A31DE"/>
    <w:rsid w:val="002B2613"/>
    <w:rsid w:val="002B2BD4"/>
    <w:rsid w:val="002B3C7F"/>
    <w:rsid w:val="002D4313"/>
    <w:rsid w:val="002D4EF8"/>
    <w:rsid w:val="002D6D05"/>
    <w:rsid w:val="002E1A83"/>
    <w:rsid w:val="002F1818"/>
    <w:rsid w:val="002F567B"/>
    <w:rsid w:val="002F7A72"/>
    <w:rsid w:val="00305140"/>
    <w:rsid w:val="003118A0"/>
    <w:rsid w:val="003147FC"/>
    <w:rsid w:val="003216A9"/>
    <w:rsid w:val="00323BAB"/>
    <w:rsid w:val="00324023"/>
    <w:rsid w:val="00324FAC"/>
    <w:rsid w:val="00326436"/>
    <w:rsid w:val="003359BA"/>
    <w:rsid w:val="00335A74"/>
    <w:rsid w:val="00335B11"/>
    <w:rsid w:val="00336A32"/>
    <w:rsid w:val="0034122E"/>
    <w:rsid w:val="003427BB"/>
    <w:rsid w:val="003453BE"/>
    <w:rsid w:val="003473F2"/>
    <w:rsid w:val="00353F45"/>
    <w:rsid w:val="00354FCF"/>
    <w:rsid w:val="00364E7D"/>
    <w:rsid w:val="0036561B"/>
    <w:rsid w:val="0037013F"/>
    <w:rsid w:val="00380C92"/>
    <w:rsid w:val="00387E76"/>
    <w:rsid w:val="0039085F"/>
    <w:rsid w:val="0039706F"/>
    <w:rsid w:val="003A484F"/>
    <w:rsid w:val="003A4883"/>
    <w:rsid w:val="003A60EA"/>
    <w:rsid w:val="003B0BE0"/>
    <w:rsid w:val="003B0C1B"/>
    <w:rsid w:val="003B4969"/>
    <w:rsid w:val="003B688C"/>
    <w:rsid w:val="003C0291"/>
    <w:rsid w:val="003C39AE"/>
    <w:rsid w:val="003C7B60"/>
    <w:rsid w:val="003D0C0F"/>
    <w:rsid w:val="003D1FB2"/>
    <w:rsid w:val="003D3CA5"/>
    <w:rsid w:val="003D66DA"/>
    <w:rsid w:val="003E1310"/>
    <w:rsid w:val="003E589D"/>
    <w:rsid w:val="003E6F55"/>
    <w:rsid w:val="003F0E6D"/>
    <w:rsid w:val="003F6BD5"/>
    <w:rsid w:val="00406254"/>
    <w:rsid w:val="00407155"/>
    <w:rsid w:val="00411C02"/>
    <w:rsid w:val="00412EF8"/>
    <w:rsid w:val="00421B76"/>
    <w:rsid w:val="004223DE"/>
    <w:rsid w:val="0042494A"/>
    <w:rsid w:val="004327CE"/>
    <w:rsid w:val="00434489"/>
    <w:rsid w:val="00436F2D"/>
    <w:rsid w:val="00437085"/>
    <w:rsid w:val="00443880"/>
    <w:rsid w:val="004464F4"/>
    <w:rsid w:val="004653E2"/>
    <w:rsid w:val="00471401"/>
    <w:rsid w:val="00473F31"/>
    <w:rsid w:val="00477EE8"/>
    <w:rsid w:val="0048263A"/>
    <w:rsid w:val="00487DA1"/>
    <w:rsid w:val="00487DFC"/>
    <w:rsid w:val="00487E5D"/>
    <w:rsid w:val="004A0211"/>
    <w:rsid w:val="004A02DB"/>
    <w:rsid w:val="004A711F"/>
    <w:rsid w:val="004B199D"/>
    <w:rsid w:val="004B4690"/>
    <w:rsid w:val="004C3B97"/>
    <w:rsid w:val="004D1117"/>
    <w:rsid w:val="004D5735"/>
    <w:rsid w:val="004E0A2D"/>
    <w:rsid w:val="004E206B"/>
    <w:rsid w:val="004E6DF7"/>
    <w:rsid w:val="004F0FBD"/>
    <w:rsid w:val="004F1A6B"/>
    <w:rsid w:val="00505A47"/>
    <w:rsid w:val="00512FDA"/>
    <w:rsid w:val="00517B8B"/>
    <w:rsid w:val="00520DA0"/>
    <w:rsid w:val="0052641C"/>
    <w:rsid w:val="00526DC7"/>
    <w:rsid w:val="00527D88"/>
    <w:rsid w:val="00545C68"/>
    <w:rsid w:val="005664BB"/>
    <w:rsid w:val="00566FFA"/>
    <w:rsid w:val="00570FB5"/>
    <w:rsid w:val="0057239F"/>
    <w:rsid w:val="0057481D"/>
    <w:rsid w:val="0058486E"/>
    <w:rsid w:val="00585B33"/>
    <w:rsid w:val="0059014D"/>
    <w:rsid w:val="00592862"/>
    <w:rsid w:val="0059747F"/>
    <w:rsid w:val="005A2228"/>
    <w:rsid w:val="005B2A05"/>
    <w:rsid w:val="005B5C00"/>
    <w:rsid w:val="005B5C64"/>
    <w:rsid w:val="005C2A1F"/>
    <w:rsid w:val="005C5337"/>
    <w:rsid w:val="005C6BD0"/>
    <w:rsid w:val="005C7C36"/>
    <w:rsid w:val="005D1C8B"/>
    <w:rsid w:val="005D468D"/>
    <w:rsid w:val="005D5CED"/>
    <w:rsid w:val="005D6696"/>
    <w:rsid w:val="005E4049"/>
    <w:rsid w:val="005E50E3"/>
    <w:rsid w:val="005E7810"/>
    <w:rsid w:val="005F1A4C"/>
    <w:rsid w:val="005F22F7"/>
    <w:rsid w:val="00605688"/>
    <w:rsid w:val="00606893"/>
    <w:rsid w:val="006070AF"/>
    <w:rsid w:val="00607E6C"/>
    <w:rsid w:val="006101B1"/>
    <w:rsid w:val="00614845"/>
    <w:rsid w:val="00614E44"/>
    <w:rsid w:val="00617BBA"/>
    <w:rsid w:val="0062270A"/>
    <w:rsid w:val="00622830"/>
    <w:rsid w:val="00623DA0"/>
    <w:rsid w:val="00630AEF"/>
    <w:rsid w:val="006325F8"/>
    <w:rsid w:val="0063277A"/>
    <w:rsid w:val="00633463"/>
    <w:rsid w:val="00633D0A"/>
    <w:rsid w:val="00634C9A"/>
    <w:rsid w:val="00635F7A"/>
    <w:rsid w:val="006440E4"/>
    <w:rsid w:val="0065446A"/>
    <w:rsid w:val="00654879"/>
    <w:rsid w:val="006559E6"/>
    <w:rsid w:val="0066343B"/>
    <w:rsid w:val="00664777"/>
    <w:rsid w:val="00665CBC"/>
    <w:rsid w:val="006708AB"/>
    <w:rsid w:val="0067118A"/>
    <w:rsid w:val="00672EDD"/>
    <w:rsid w:val="006748A4"/>
    <w:rsid w:val="006763FC"/>
    <w:rsid w:val="00681A31"/>
    <w:rsid w:val="00683E73"/>
    <w:rsid w:val="00684A7E"/>
    <w:rsid w:val="00686626"/>
    <w:rsid w:val="00695649"/>
    <w:rsid w:val="006A3141"/>
    <w:rsid w:val="006A339F"/>
    <w:rsid w:val="006A37F6"/>
    <w:rsid w:val="006A5E34"/>
    <w:rsid w:val="006A7EDF"/>
    <w:rsid w:val="006B2422"/>
    <w:rsid w:val="006B2B9A"/>
    <w:rsid w:val="006C1937"/>
    <w:rsid w:val="006D0281"/>
    <w:rsid w:val="006D7F47"/>
    <w:rsid w:val="006E372A"/>
    <w:rsid w:val="006F020C"/>
    <w:rsid w:val="006F5852"/>
    <w:rsid w:val="006F605D"/>
    <w:rsid w:val="007061EC"/>
    <w:rsid w:val="0071055B"/>
    <w:rsid w:val="007127B7"/>
    <w:rsid w:val="0071798E"/>
    <w:rsid w:val="00725707"/>
    <w:rsid w:val="0073020F"/>
    <w:rsid w:val="007416B6"/>
    <w:rsid w:val="00742159"/>
    <w:rsid w:val="007423B8"/>
    <w:rsid w:val="00745C35"/>
    <w:rsid w:val="00746F48"/>
    <w:rsid w:val="0075404D"/>
    <w:rsid w:val="0075407F"/>
    <w:rsid w:val="00755522"/>
    <w:rsid w:val="0076182A"/>
    <w:rsid w:val="00767B7E"/>
    <w:rsid w:val="00767DA6"/>
    <w:rsid w:val="00774102"/>
    <w:rsid w:val="007770C3"/>
    <w:rsid w:val="00784D24"/>
    <w:rsid w:val="00785FBA"/>
    <w:rsid w:val="00786E4A"/>
    <w:rsid w:val="007875EB"/>
    <w:rsid w:val="0079426B"/>
    <w:rsid w:val="00795212"/>
    <w:rsid w:val="007A3AEB"/>
    <w:rsid w:val="007C4EB0"/>
    <w:rsid w:val="007D1682"/>
    <w:rsid w:val="007D276B"/>
    <w:rsid w:val="007D312A"/>
    <w:rsid w:val="007D3F19"/>
    <w:rsid w:val="007E23B0"/>
    <w:rsid w:val="007E23E5"/>
    <w:rsid w:val="007F1991"/>
    <w:rsid w:val="007F2C2F"/>
    <w:rsid w:val="007F3808"/>
    <w:rsid w:val="007F4C50"/>
    <w:rsid w:val="007F55FC"/>
    <w:rsid w:val="007F5665"/>
    <w:rsid w:val="00800112"/>
    <w:rsid w:val="00813348"/>
    <w:rsid w:val="00814C4D"/>
    <w:rsid w:val="008253BB"/>
    <w:rsid w:val="00832D5B"/>
    <w:rsid w:val="0083706E"/>
    <w:rsid w:val="008408F6"/>
    <w:rsid w:val="008423A5"/>
    <w:rsid w:val="00847F94"/>
    <w:rsid w:val="00850625"/>
    <w:rsid w:val="00853718"/>
    <w:rsid w:val="00855221"/>
    <w:rsid w:val="00860474"/>
    <w:rsid w:val="00860645"/>
    <w:rsid w:val="00865D8E"/>
    <w:rsid w:val="00871F71"/>
    <w:rsid w:val="00872FD8"/>
    <w:rsid w:val="00877055"/>
    <w:rsid w:val="0088097B"/>
    <w:rsid w:val="00885AF4"/>
    <w:rsid w:val="0089269B"/>
    <w:rsid w:val="008939CD"/>
    <w:rsid w:val="00896E0F"/>
    <w:rsid w:val="008B768C"/>
    <w:rsid w:val="008C4DB1"/>
    <w:rsid w:val="008C4EAF"/>
    <w:rsid w:val="008C5176"/>
    <w:rsid w:val="008C7FD0"/>
    <w:rsid w:val="008E1DE7"/>
    <w:rsid w:val="008E707C"/>
    <w:rsid w:val="00900B08"/>
    <w:rsid w:val="00902155"/>
    <w:rsid w:val="00902FA3"/>
    <w:rsid w:val="00904C69"/>
    <w:rsid w:val="00905234"/>
    <w:rsid w:val="00912325"/>
    <w:rsid w:val="009231D1"/>
    <w:rsid w:val="00923564"/>
    <w:rsid w:val="0092392E"/>
    <w:rsid w:val="009315F9"/>
    <w:rsid w:val="00933499"/>
    <w:rsid w:val="00935C98"/>
    <w:rsid w:val="00936376"/>
    <w:rsid w:val="0094109E"/>
    <w:rsid w:val="00946945"/>
    <w:rsid w:val="00951248"/>
    <w:rsid w:val="0095152F"/>
    <w:rsid w:val="0095156E"/>
    <w:rsid w:val="00954C49"/>
    <w:rsid w:val="00955E37"/>
    <w:rsid w:val="0097099F"/>
    <w:rsid w:val="00971997"/>
    <w:rsid w:val="00971FFC"/>
    <w:rsid w:val="009753ED"/>
    <w:rsid w:val="0097725D"/>
    <w:rsid w:val="00981E6D"/>
    <w:rsid w:val="009829CC"/>
    <w:rsid w:val="00985B1F"/>
    <w:rsid w:val="00986336"/>
    <w:rsid w:val="0098660A"/>
    <w:rsid w:val="009931C3"/>
    <w:rsid w:val="00997388"/>
    <w:rsid w:val="009A3117"/>
    <w:rsid w:val="009B2C43"/>
    <w:rsid w:val="009B4EAE"/>
    <w:rsid w:val="009B7573"/>
    <w:rsid w:val="009C18FE"/>
    <w:rsid w:val="009C1DED"/>
    <w:rsid w:val="009C22F4"/>
    <w:rsid w:val="009C2A4B"/>
    <w:rsid w:val="009C2E98"/>
    <w:rsid w:val="009C3C64"/>
    <w:rsid w:val="009C4C91"/>
    <w:rsid w:val="009C749F"/>
    <w:rsid w:val="009D3447"/>
    <w:rsid w:val="009D4711"/>
    <w:rsid w:val="009E37BF"/>
    <w:rsid w:val="009E6EEE"/>
    <w:rsid w:val="009F1185"/>
    <w:rsid w:val="009F18CD"/>
    <w:rsid w:val="009F2A13"/>
    <w:rsid w:val="009F7527"/>
    <w:rsid w:val="00A01CB4"/>
    <w:rsid w:val="00A04EB0"/>
    <w:rsid w:val="00A0557C"/>
    <w:rsid w:val="00A077B4"/>
    <w:rsid w:val="00A13CC1"/>
    <w:rsid w:val="00A16847"/>
    <w:rsid w:val="00A237D8"/>
    <w:rsid w:val="00A24060"/>
    <w:rsid w:val="00A25B71"/>
    <w:rsid w:val="00A268C4"/>
    <w:rsid w:val="00A307CD"/>
    <w:rsid w:val="00A30AE4"/>
    <w:rsid w:val="00A331C8"/>
    <w:rsid w:val="00A40A00"/>
    <w:rsid w:val="00A413AF"/>
    <w:rsid w:val="00A4142F"/>
    <w:rsid w:val="00A422EB"/>
    <w:rsid w:val="00A42ED0"/>
    <w:rsid w:val="00A43846"/>
    <w:rsid w:val="00A45BB7"/>
    <w:rsid w:val="00A5125F"/>
    <w:rsid w:val="00A54182"/>
    <w:rsid w:val="00A55205"/>
    <w:rsid w:val="00A56DF2"/>
    <w:rsid w:val="00A56E6E"/>
    <w:rsid w:val="00A67AB5"/>
    <w:rsid w:val="00A733B2"/>
    <w:rsid w:val="00A741C2"/>
    <w:rsid w:val="00A86734"/>
    <w:rsid w:val="00A9147A"/>
    <w:rsid w:val="00A91760"/>
    <w:rsid w:val="00A93B00"/>
    <w:rsid w:val="00A93C21"/>
    <w:rsid w:val="00A97238"/>
    <w:rsid w:val="00AA3470"/>
    <w:rsid w:val="00AA68BD"/>
    <w:rsid w:val="00AB36DA"/>
    <w:rsid w:val="00AB64C9"/>
    <w:rsid w:val="00AC1915"/>
    <w:rsid w:val="00AC3C6A"/>
    <w:rsid w:val="00AC731E"/>
    <w:rsid w:val="00AD2527"/>
    <w:rsid w:val="00AD5620"/>
    <w:rsid w:val="00AD656B"/>
    <w:rsid w:val="00AD7C1B"/>
    <w:rsid w:val="00AE16BA"/>
    <w:rsid w:val="00AE1EBE"/>
    <w:rsid w:val="00AE3E24"/>
    <w:rsid w:val="00B03C9D"/>
    <w:rsid w:val="00B060AE"/>
    <w:rsid w:val="00B10517"/>
    <w:rsid w:val="00B1310F"/>
    <w:rsid w:val="00B14E76"/>
    <w:rsid w:val="00B161B8"/>
    <w:rsid w:val="00B2048C"/>
    <w:rsid w:val="00B229E9"/>
    <w:rsid w:val="00B310B9"/>
    <w:rsid w:val="00B358E1"/>
    <w:rsid w:val="00B35F3F"/>
    <w:rsid w:val="00B36CBB"/>
    <w:rsid w:val="00B425E0"/>
    <w:rsid w:val="00B440AA"/>
    <w:rsid w:val="00B44B70"/>
    <w:rsid w:val="00B4731B"/>
    <w:rsid w:val="00B53C56"/>
    <w:rsid w:val="00B57DAF"/>
    <w:rsid w:val="00B6201F"/>
    <w:rsid w:val="00B62852"/>
    <w:rsid w:val="00B67BCE"/>
    <w:rsid w:val="00B76A1F"/>
    <w:rsid w:val="00B77EA6"/>
    <w:rsid w:val="00B81598"/>
    <w:rsid w:val="00B8169F"/>
    <w:rsid w:val="00B841F1"/>
    <w:rsid w:val="00B9007F"/>
    <w:rsid w:val="00B944D6"/>
    <w:rsid w:val="00BA026E"/>
    <w:rsid w:val="00BB4DF0"/>
    <w:rsid w:val="00BB5FBD"/>
    <w:rsid w:val="00BC289F"/>
    <w:rsid w:val="00BC2D50"/>
    <w:rsid w:val="00BC3263"/>
    <w:rsid w:val="00BC5361"/>
    <w:rsid w:val="00BC53AB"/>
    <w:rsid w:val="00BC5460"/>
    <w:rsid w:val="00BC6B50"/>
    <w:rsid w:val="00BD0E25"/>
    <w:rsid w:val="00BE5A78"/>
    <w:rsid w:val="00BE6062"/>
    <w:rsid w:val="00BF3196"/>
    <w:rsid w:val="00BF5BD6"/>
    <w:rsid w:val="00C03E31"/>
    <w:rsid w:val="00C05005"/>
    <w:rsid w:val="00C1134D"/>
    <w:rsid w:val="00C216CE"/>
    <w:rsid w:val="00C2511C"/>
    <w:rsid w:val="00C2692D"/>
    <w:rsid w:val="00C301D8"/>
    <w:rsid w:val="00C33906"/>
    <w:rsid w:val="00C33E72"/>
    <w:rsid w:val="00C354B2"/>
    <w:rsid w:val="00C35554"/>
    <w:rsid w:val="00C35CAC"/>
    <w:rsid w:val="00C362B0"/>
    <w:rsid w:val="00C366CB"/>
    <w:rsid w:val="00C37CED"/>
    <w:rsid w:val="00C37E0E"/>
    <w:rsid w:val="00C42709"/>
    <w:rsid w:val="00C458EA"/>
    <w:rsid w:val="00C533CC"/>
    <w:rsid w:val="00C5751C"/>
    <w:rsid w:val="00C61BFC"/>
    <w:rsid w:val="00C62B85"/>
    <w:rsid w:val="00C65438"/>
    <w:rsid w:val="00C87FD8"/>
    <w:rsid w:val="00C91381"/>
    <w:rsid w:val="00C91CBB"/>
    <w:rsid w:val="00C9263E"/>
    <w:rsid w:val="00C9425E"/>
    <w:rsid w:val="00C94DFC"/>
    <w:rsid w:val="00C9619C"/>
    <w:rsid w:val="00C96405"/>
    <w:rsid w:val="00C9702E"/>
    <w:rsid w:val="00C973F7"/>
    <w:rsid w:val="00CA290F"/>
    <w:rsid w:val="00CA577B"/>
    <w:rsid w:val="00CB28C2"/>
    <w:rsid w:val="00CB4E70"/>
    <w:rsid w:val="00CB78EB"/>
    <w:rsid w:val="00CC09B6"/>
    <w:rsid w:val="00CC2470"/>
    <w:rsid w:val="00CC5333"/>
    <w:rsid w:val="00CC5C21"/>
    <w:rsid w:val="00CC666F"/>
    <w:rsid w:val="00CC6F56"/>
    <w:rsid w:val="00CD1E3F"/>
    <w:rsid w:val="00CD6F7D"/>
    <w:rsid w:val="00CE44F6"/>
    <w:rsid w:val="00CE48F1"/>
    <w:rsid w:val="00CE49DA"/>
    <w:rsid w:val="00CE7B61"/>
    <w:rsid w:val="00CF674E"/>
    <w:rsid w:val="00D00095"/>
    <w:rsid w:val="00D05D81"/>
    <w:rsid w:val="00D114F0"/>
    <w:rsid w:val="00D14176"/>
    <w:rsid w:val="00D17D46"/>
    <w:rsid w:val="00D20620"/>
    <w:rsid w:val="00D245A0"/>
    <w:rsid w:val="00D254F7"/>
    <w:rsid w:val="00D26091"/>
    <w:rsid w:val="00D2685C"/>
    <w:rsid w:val="00D32A8D"/>
    <w:rsid w:val="00D34E7C"/>
    <w:rsid w:val="00D35489"/>
    <w:rsid w:val="00D36AFE"/>
    <w:rsid w:val="00D37129"/>
    <w:rsid w:val="00D41039"/>
    <w:rsid w:val="00D43498"/>
    <w:rsid w:val="00D51276"/>
    <w:rsid w:val="00D62A86"/>
    <w:rsid w:val="00D66F48"/>
    <w:rsid w:val="00D7035F"/>
    <w:rsid w:val="00D74A47"/>
    <w:rsid w:val="00D77E56"/>
    <w:rsid w:val="00DA634F"/>
    <w:rsid w:val="00DA65AC"/>
    <w:rsid w:val="00DB015E"/>
    <w:rsid w:val="00DB1913"/>
    <w:rsid w:val="00DB4FF9"/>
    <w:rsid w:val="00DB6DD1"/>
    <w:rsid w:val="00DC28F2"/>
    <w:rsid w:val="00DC410D"/>
    <w:rsid w:val="00DC4AF9"/>
    <w:rsid w:val="00DC5A81"/>
    <w:rsid w:val="00DC68CA"/>
    <w:rsid w:val="00DC7CBA"/>
    <w:rsid w:val="00DD1DEF"/>
    <w:rsid w:val="00DD73B7"/>
    <w:rsid w:val="00DE0834"/>
    <w:rsid w:val="00DF28BC"/>
    <w:rsid w:val="00DF34B9"/>
    <w:rsid w:val="00E00A69"/>
    <w:rsid w:val="00E01053"/>
    <w:rsid w:val="00E03681"/>
    <w:rsid w:val="00E07ACF"/>
    <w:rsid w:val="00E17432"/>
    <w:rsid w:val="00E218C5"/>
    <w:rsid w:val="00E230BE"/>
    <w:rsid w:val="00E271A8"/>
    <w:rsid w:val="00E300D8"/>
    <w:rsid w:val="00E3285A"/>
    <w:rsid w:val="00E331A1"/>
    <w:rsid w:val="00E33202"/>
    <w:rsid w:val="00E336A9"/>
    <w:rsid w:val="00E405DC"/>
    <w:rsid w:val="00E472B1"/>
    <w:rsid w:val="00E50624"/>
    <w:rsid w:val="00E568DF"/>
    <w:rsid w:val="00E64269"/>
    <w:rsid w:val="00E82267"/>
    <w:rsid w:val="00E853CE"/>
    <w:rsid w:val="00E867B6"/>
    <w:rsid w:val="00E93DEC"/>
    <w:rsid w:val="00EA010F"/>
    <w:rsid w:val="00EA22A5"/>
    <w:rsid w:val="00EA70D4"/>
    <w:rsid w:val="00EA73B8"/>
    <w:rsid w:val="00EB10C0"/>
    <w:rsid w:val="00ED1B63"/>
    <w:rsid w:val="00ED3C1F"/>
    <w:rsid w:val="00ED4085"/>
    <w:rsid w:val="00ED420E"/>
    <w:rsid w:val="00ED6FBE"/>
    <w:rsid w:val="00EE082F"/>
    <w:rsid w:val="00EE2F57"/>
    <w:rsid w:val="00EE61AD"/>
    <w:rsid w:val="00EF068B"/>
    <w:rsid w:val="00EF3967"/>
    <w:rsid w:val="00EF4C34"/>
    <w:rsid w:val="00EF77C6"/>
    <w:rsid w:val="00F05438"/>
    <w:rsid w:val="00F1361C"/>
    <w:rsid w:val="00F156F0"/>
    <w:rsid w:val="00F160C7"/>
    <w:rsid w:val="00F2408F"/>
    <w:rsid w:val="00F240E9"/>
    <w:rsid w:val="00F31D69"/>
    <w:rsid w:val="00F36D8F"/>
    <w:rsid w:val="00F37E5C"/>
    <w:rsid w:val="00F417B1"/>
    <w:rsid w:val="00F44BB9"/>
    <w:rsid w:val="00F45853"/>
    <w:rsid w:val="00F54283"/>
    <w:rsid w:val="00F5462E"/>
    <w:rsid w:val="00F602DF"/>
    <w:rsid w:val="00F74A20"/>
    <w:rsid w:val="00F754A1"/>
    <w:rsid w:val="00F81FD9"/>
    <w:rsid w:val="00F841AA"/>
    <w:rsid w:val="00F84A94"/>
    <w:rsid w:val="00F87E96"/>
    <w:rsid w:val="00F87F3B"/>
    <w:rsid w:val="00F90E15"/>
    <w:rsid w:val="00FA23E8"/>
    <w:rsid w:val="00FA7D29"/>
    <w:rsid w:val="00FB7F7C"/>
    <w:rsid w:val="00FC0265"/>
    <w:rsid w:val="00FD3CC1"/>
    <w:rsid w:val="00FD6B9A"/>
    <w:rsid w:val="00FE13A5"/>
    <w:rsid w:val="00FF1E02"/>
    <w:rsid w:val="00FF30B4"/>
    <w:rsid w:val="053A62B5"/>
    <w:rsid w:val="0A2032A3"/>
    <w:rsid w:val="0B8A37D8"/>
    <w:rsid w:val="10C055FF"/>
    <w:rsid w:val="118107EC"/>
    <w:rsid w:val="11DD6519"/>
    <w:rsid w:val="15FCB6DC"/>
    <w:rsid w:val="16BB723D"/>
    <w:rsid w:val="18015F3F"/>
    <w:rsid w:val="1BE8440E"/>
    <w:rsid w:val="1D155CEE"/>
    <w:rsid w:val="20F57F95"/>
    <w:rsid w:val="240371BF"/>
    <w:rsid w:val="25711CC6"/>
    <w:rsid w:val="25C660F0"/>
    <w:rsid w:val="25C741E6"/>
    <w:rsid w:val="27842671"/>
    <w:rsid w:val="29FD04D3"/>
    <w:rsid w:val="2A2527F0"/>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Char Char1 Char Char Char Char Char Char"/>
    <w:basedOn w:val="1"/>
    <w:qFormat/>
    <w:uiPriority w:val="0"/>
    <w:pPr>
      <w:widowControl/>
      <w:spacing w:after="160" w:line="240" w:lineRule="exact"/>
      <w:jc w:val="left"/>
    </w:pPr>
    <w:rPr>
      <w:rFonts w:ascii="Verdana" w:hAnsi="Verdana" w:eastAsia="仿宋_GB2312" w:cs="Verdana"/>
      <w:kern w:val="0"/>
      <w:sz w:val="24"/>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144469526"/>
          <c:y val="0.0436893203883495"/>
          <c:w val="0.869074492099323"/>
          <c:h val="0.79126213592233"/>
        </c:manualLayout>
      </c:layout>
      <c:barChart>
        <c:barDir val="col"/>
        <c:grouping val="clustered"/>
        <c:varyColors val="0"/>
        <c:ser>
          <c:idx val="0"/>
          <c:order val="0"/>
          <c:tx>
            <c:strRef>
              <c:f>Sheet1!$A$2</c:f>
              <c:strCache>
                <c:ptCount val="1"/>
                <c:pt idx="0">
                  <c:v>收入</c:v>
                </c:pt>
              </c:strCache>
            </c:strRef>
          </c:tx>
          <c:spPr>
            <a:solidFill>
              <a:srgbClr val="9999FF"/>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18841.6</c:v>
                </c:pt>
                <c:pt idx="1">
                  <c:v>21587.31</c:v>
                </c:pt>
              </c:numCache>
            </c:numRef>
          </c:val>
        </c:ser>
        <c:ser>
          <c:idx val="1"/>
          <c:order val="1"/>
          <c:tx>
            <c:strRef>
              <c:f>Sheet1!#REF!</c:f>
              <c:strCache>
                <c:ptCount val="1"/>
                <c:pt idx="0">
                  <c:v>#REF!</c:v>
                </c:pt>
              </c:strCache>
            </c:strRef>
          </c:tx>
          <c:spPr>
            <a:solidFill>
              <a:srgbClr val="993366"/>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140359552"/>
        <c:axId val="140361088"/>
      </c:barChart>
      <c:catAx>
        <c:axId val="140359552"/>
        <c:scaling>
          <c:orientation val="minMax"/>
        </c:scaling>
        <c:delete val="0"/>
        <c:axPos val="b"/>
        <c:majorGridlines>
          <c:spPr>
            <a:ln w="1979" cap="flat" cmpd="sng" algn="ctr">
              <a:solidFill>
                <a:srgbClr val="000000"/>
              </a:solidFill>
              <a:prstDash val="solid"/>
              <a:round/>
            </a:ln>
          </c:spPr>
        </c:majorGridlines>
        <c:numFmt formatCode="General" sourceLinked="1"/>
        <c:majorTickMark val="in"/>
        <c:minorTickMark val="none"/>
        <c:tickLblPos val="low"/>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0361088"/>
        <c:crosses val="autoZero"/>
        <c:auto val="1"/>
        <c:lblAlgn val="ctr"/>
        <c:lblOffset val="100"/>
        <c:noMultiLvlLbl val="0"/>
      </c:catAx>
      <c:valAx>
        <c:axId val="140361088"/>
        <c:scaling>
          <c:orientation val="minMax"/>
        </c:scaling>
        <c:delete val="0"/>
        <c:axPos val="l"/>
        <c:majorGridlines>
          <c:spPr>
            <a:ln w="1979" cap="flat" cmpd="sng" algn="ctr">
              <a:solidFill>
                <a:srgbClr val="000000"/>
              </a:solidFill>
              <a:prstDash val="solid"/>
              <a:round/>
            </a:ln>
          </c:spPr>
        </c:majorGridlines>
        <c:numFmt formatCode="General" sourceLinked="1"/>
        <c:majorTickMark val="in"/>
        <c:minorTickMark val="none"/>
        <c:tickLblPos val="nextTo"/>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0359552"/>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64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85498489425982"/>
          <c:y val="0.201438848920863"/>
          <c:w val="0.646525679758308"/>
          <c:h val="0.611510791366906"/>
        </c:manualLayout>
      </c:layout>
      <c:pieChart>
        <c:varyColors val="1"/>
        <c:ser>
          <c:idx val="0"/>
          <c:order val="0"/>
          <c:tx>
            <c:strRef>
              <c:f>Sheet1!$A$2</c:f>
              <c:strCache>
                <c:ptCount val="1"/>
                <c:pt idx="0">
                  <c:v>2023年</c:v>
                </c:pt>
              </c:strCache>
            </c:strRef>
          </c:tx>
          <c:spPr>
            <a:solidFill>
              <a:srgbClr val="9999FF"/>
            </a:solidFill>
            <a:ln w="6091">
              <a:solidFill>
                <a:srgbClr val="000000"/>
              </a:solidFill>
              <a:prstDash val="solid"/>
            </a:ln>
          </c:spPr>
          <c:explosion val="0"/>
          <c:dPt>
            <c:idx val="0"/>
            <c:bubble3D val="0"/>
            <c:spPr>
              <a:solidFill>
                <a:srgbClr val="9999FF"/>
              </a:solidFill>
              <a:ln w="6091">
                <a:solidFill>
                  <a:srgbClr val="000000"/>
                </a:solidFill>
                <a:prstDash val="solid"/>
              </a:ln>
            </c:spPr>
          </c:dPt>
          <c:dPt>
            <c:idx val="1"/>
            <c:bubble3D val="0"/>
            <c:spPr>
              <a:solidFill>
                <a:srgbClr val="993366"/>
              </a:solidFill>
              <a:ln w="6091">
                <a:solidFill>
                  <a:srgbClr val="000000"/>
                </a:solidFill>
                <a:prstDash val="solid"/>
              </a:ln>
            </c:spPr>
          </c:dPt>
          <c:dLbls>
            <c:delete val="1"/>
          </c:dLbls>
          <c:cat>
            <c:strRef>
              <c:f>Sheet1!$B$1:$C$1</c:f>
              <c:strCache>
                <c:ptCount val="2"/>
                <c:pt idx="0">
                  <c:v>一般公共预算财政拨款收入</c:v>
                </c:pt>
                <c:pt idx="1">
                  <c:v>政府性基金预算财政拨款</c:v>
                </c:pt>
              </c:strCache>
            </c:strRef>
          </c:cat>
          <c:val>
            <c:numRef>
              <c:f>Sheet1!$B$2:$C$2</c:f>
              <c:numCache>
                <c:formatCode>General</c:formatCode>
                <c:ptCount val="2"/>
                <c:pt idx="0">
                  <c:v>21310.71</c:v>
                </c:pt>
                <c:pt idx="1">
                  <c:v>276.6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0060427229205"/>
          <c:y val="0.174583066005638"/>
          <c:w val="0.187311151323476"/>
          <c:h val="0.650832312627588"/>
        </c:manualLayout>
      </c:layout>
      <c:overlay val="0"/>
      <c:spPr>
        <a:noFill/>
        <a:ln w="1523">
          <a:solidFill>
            <a:srgbClr val="000000"/>
          </a:solidFill>
          <a:prstDash val="solid"/>
        </a:ln>
      </c:spPr>
      <c:txPr>
        <a:bodyPr rot="0" spcFirstLastPara="0" vertOverflow="ellipsis" vert="horz" wrap="square" anchor="ctr" anchorCtr="1"/>
        <a:lstStyle/>
        <a:p>
          <a:pPr>
            <a:defRPr lang="zh-CN" sz="3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3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85498489425982"/>
          <c:y val="0.201438848920863"/>
          <c:w val="0.646525679758308"/>
          <c:h val="0.611510791366906"/>
        </c:manualLayout>
      </c:layout>
      <c:pieChart>
        <c:varyColors val="1"/>
        <c:ser>
          <c:idx val="0"/>
          <c:order val="0"/>
          <c:tx>
            <c:strRef>
              <c:f>Sheet1!$A$2</c:f>
              <c:strCache>
                <c:ptCount val="1"/>
                <c:pt idx="0">
                  <c:v>2023年</c:v>
                </c:pt>
              </c:strCache>
            </c:strRef>
          </c:tx>
          <c:spPr>
            <a:solidFill>
              <a:srgbClr val="9999FF"/>
            </a:solidFill>
            <a:ln w="6091">
              <a:solidFill>
                <a:srgbClr val="000000"/>
              </a:solidFill>
              <a:prstDash val="solid"/>
            </a:ln>
          </c:spPr>
          <c:explosion val="0"/>
          <c:dPt>
            <c:idx val="0"/>
            <c:bubble3D val="0"/>
            <c:spPr>
              <a:solidFill>
                <a:srgbClr val="9999FF"/>
              </a:solidFill>
              <a:ln w="6091">
                <a:solidFill>
                  <a:srgbClr val="000000"/>
                </a:solidFill>
                <a:prstDash val="solid"/>
              </a:ln>
            </c:spPr>
          </c:dPt>
          <c:dPt>
            <c:idx val="1"/>
            <c:bubble3D val="0"/>
            <c:spPr>
              <a:solidFill>
                <a:srgbClr val="993366"/>
              </a:solidFill>
              <a:ln w="6091">
                <a:solidFill>
                  <a:srgbClr val="000000"/>
                </a:solidFill>
                <a:prstDash val="solid"/>
              </a:ln>
            </c:spPr>
          </c:dPt>
          <c:dLbls>
            <c:delete val="1"/>
          </c:dLbls>
          <c:cat>
            <c:strRef>
              <c:f>Sheet1!$B$1:$C$1</c:f>
              <c:strCache>
                <c:ptCount val="2"/>
                <c:pt idx="0">
                  <c:v>基本支出</c:v>
                </c:pt>
                <c:pt idx="1">
                  <c:v>项目支出</c:v>
                </c:pt>
              </c:strCache>
            </c:strRef>
          </c:cat>
          <c:val>
            <c:numRef>
              <c:f>Sheet1!$B$2:$C$2</c:f>
              <c:numCache>
                <c:formatCode>General</c:formatCode>
                <c:ptCount val="2"/>
                <c:pt idx="0">
                  <c:v>17463.08</c:v>
                </c:pt>
                <c:pt idx="1">
                  <c:v>2196.08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00604197979526"/>
          <c:y val="0.381294449304948"/>
          <c:w val="0.187311244214131"/>
          <c:h val="0.237409546028969"/>
        </c:manualLayout>
      </c:layout>
      <c:overlay val="0"/>
      <c:spPr>
        <a:noFill/>
        <a:ln w="1523">
          <a:solidFill>
            <a:srgbClr val="000000"/>
          </a:solidFill>
          <a:prstDash val="solid"/>
        </a:ln>
      </c:spPr>
      <c:txPr>
        <a:bodyPr rot="0" spcFirstLastPara="0" vertOverflow="ellipsis" vert="horz" wrap="square" anchor="ctr" anchorCtr="1"/>
        <a:lstStyle/>
        <a:p>
          <a:pPr>
            <a:defRPr lang="zh-CN" sz="35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noFill/>
    <a:ln w="9525" cap="flat" cmpd="sng" algn="ctr">
      <a:noFill/>
      <a:prstDash val="solid"/>
      <a:round/>
    </a:ln>
  </c:spPr>
  <c:txPr>
    <a:bodyPr/>
    <a:lstStyle/>
    <a:p>
      <a:pPr>
        <a:defRPr lang="zh-CN" sz="38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144469526"/>
          <c:y val="0.0436893203883495"/>
          <c:w val="0.869074492099323"/>
          <c:h val="0.79126213592233"/>
        </c:manualLayout>
      </c:layout>
      <c:barChart>
        <c:barDir val="col"/>
        <c:grouping val="clustered"/>
        <c:varyColors val="0"/>
        <c:ser>
          <c:idx val="0"/>
          <c:order val="0"/>
          <c:tx>
            <c:strRef>
              <c:f>Sheet1!$A$2</c:f>
              <c:strCache>
                <c:ptCount val="1"/>
                <c:pt idx="0">
                  <c:v>收入</c:v>
                </c:pt>
              </c:strCache>
            </c:strRef>
          </c:tx>
          <c:spPr>
            <a:solidFill>
              <a:srgbClr val="9999FF"/>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18841.6</c:v>
                </c:pt>
                <c:pt idx="1">
                  <c:v>21587.31</c:v>
                </c:pt>
              </c:numCache>
            </c:numRef>
          </c:val>
        </c:ser>
        <c:ser>
          <c:idx val="1"/>
          <c:order val="1"/>
          <c:tx>
            <c:strRef>
              <c:f>Sheet1!#REF!</c:f>
              <c:strCache>
                <c:ptCount val="1"/>
                <c:pt idx="0">
                  <c:v>#REF!</c:v>
                </c:pt>
              </c:strCache>
            </c:strRef>
          </c:tx>
          <c:spPr>
            <a:solidFill>
              <a:srgbClr val="993366"/>
            </a:solidFill>
            <a:ln w="7918">
              <a:solidFill>
                <a:srgbClr val="000000"/>
              </a:solidFill>
              <a:prstDash val="solid"/>
            </a:ln>
          </c:spPr>
          <c:invertIfNegative val="0"/>
          <c:dLbls>
            <c:delete val="1"/>
          </c:dLbls>
          <c:cat>
            <c:strRef>
              <c:f>Sheet1!$B$1:$C$1</c:f>
              <c:strCache>
                <c:ptCount val="2"/>
                <c:pt idx="0">
                  <c:v>2022年</c:v>
                </c:pt>
                <c:pt idx="1">
                  <c:v>2023年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axId val="140692864"/>
        <c:axId val="142083200"/>
      </c:barChart>
      <c:catAx>
        <c:axId val="140692864"/>
        <c:scaling>
          <c:orientation val="minMax"/>
        </c:scaling>
        <c:delete val="0"/>
        <c:axPos val="b"/>
        <c:majorGridlines>
          <c:spPr>
            <a:ln w="1979" cap="flat" cmpd="sng" algn="ctr">
              <a:solidFill>
                <a:srgbClr val="000000"/>
              </a:solidFill>
              <a:prstDash val="solid"/>
              <a:round/>
            </a:ln>
          </c:spPr>
        </c:majorGridlines>
        <c:numFmt formatCode="General" sourceLinked="1"/>
        <c:majorTickMark val="in"/>
        <c:minorTickMark val="none"/>
        <c:tickLblPos val="low"/>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2083200"/>
        <c:crosses val="autoZero"/>
        <c:auto val="1"/>
        <c:lblAlgn val="ctr"/>
        <c:lblOffset val="100"/>
        <c:noMultiLvlLbl val="0"/>
      </c:catAx>
      <c:valAx>
        <c:axId val="142083200"/>
        <c:scaling>
          <c:orientation val="minMax"/>
        </c:scaling>
        <c:delete val="0"/>
        <c:axPos val="l"/>
        <c:majorGridlines>
          <c:spPr>
            <a:ln w="1979" cap="flat" cmpd="sng" algn="ctr">
              <a:solidFill>
                <a:srgbClr val="000000"/>
              </a:solidFill>
              <a:prstDash val="solid"/>
              <a:round/>
            </a:ln>
          </c:spPr>
        </c:majorGridlines>
        <c:numFmt formatCode="General" sourceLinked="1"/>
        <c:majorTickMark val="in"/>
        <c:minorTickMark val="none"/>
        <c:tickLblPos val="nextTo"/>
        <c:spPr>
          <a:ln w="1979" cap="flat" cmpd="sng" algn="ctr">
            <a:solidFill>
              <a:srgbClr val="000000"/>
            </a:solidFill>
            <a:prstDash val="solid"/>
            <a:round/>
          </a:ln>
        </c:spPr>
        <c:txPr>
          <a:bodyPr rot="0" spcFirstLastPara="0" vertOverflow="ellipsis" vert="horz" wrap="square" anchor="ctr" anchorCtr="1"/>
          <a:lstStyle/>
          <a:p>
            <a:pPr>
              <a:defRPr lang="zh-CN" sz="6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0692864"/>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64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52144469526"/>
          <c:y val="0.0436893203883495"/>
          <c:w val="0.869074492099323"/>
          <c:h val="0.79126213592233"/>
        </c:manualLayout>
      </c:layout>
      <c:barChart>
        <c:barDir val="col"/>
        <c:grouping val="clustered"/>
        <c:varyColors val="0"/>
        <c:ser>
          <c:idx val="1"/>
          <c:order val="0"/>
          <c:tx>
            <c:strRef>
              <c:f>Sheet1!$A$2</c:f>
              <c:strCache>
                <c:ptCount val="1"/>
                <c:pt idx="0">
                  <c:v>支出</c:v>
                </c:pt>
              </c:strCache>
            </c:strRef>
          </c:tx>
          <c:spPr>
            <a:solidFill>
              <a:srgbClr val="993366"/>
            </a:solidFill>
            <a:ln w="8328">
              <a:solidFill>
                <a:srgbClr val="000000"/>
              </a:solidFill>
              <a:prstDash val="solid"/>
            </a:ln>
          </c:spPr>
          <c:invertIfNegative val="0"/>
          <c:dLbls>
            <c:delete val="1"/>
          </c:dLbls>
          <c:cat>
            <c:strRef>
              <c:f>Sheet1!$B$1:$C$1</c:f>
              <c:strCache>
                <c:ptCount val="2"/>
                <c:pt idx="0">
                  <c:v>2022年</c:v>
                </c:pt>
                <c:pt idx="1">
                  <c:v>2023年</c:v>
                </c:pt>
              </c:strCache>
            </c:strRef>
          </c:cat>
          <c:val>
            <c:numRef>
              <c:f>Sheet1!$B$2:$C$2</c:f>
              <c:numCache>
                <c:formatCode>General</c:formatCode>
                <c:ptCount val="2"/>
                <c:pt idx="0">
                  <c:v>17900.02</c:v>
                </c:pt>
                <c:pt idx="1">
                  <c:v>19487.56</c:v>
                </c:pt>
              </c:numCache>
            </c:numRef>
          </c:val>
        </c:ser>
        <c:dLbls>
          <c:showLegendKey val="0"/>
          <c:showVal val="0"/>
          <c:showCatName val="0"/>
          <c:showSerName val="0"/>
          <c:showPercent val="0"/>
          <c:showBubbleSize val="0"/>
        </c:dLbls>
        <c:gapWidth val="150"/>
        <c:axId val="142127488"/>
        <c:axId val="142129024"/>
      </c:barChart>
      <c:catAx>
        <c:axId val="142127488"/>
        <c:scaling>
          <c:orientation val="minMax"/>
        </c:scaling>
        <c:delete val="0"/>
        <c:axPos val="b"/>
        <c:majorGridlines>
          <c:spPr>
            <a:ln w="2082" cap="flat" cmpd="sng" algn="ctr">
              <a:solidFill>
                <a:srgbClr val="000000"/>
              </a:solidFill>
              <a:prstDash val="solid"/>
              <a:round/>
            </a:ln>
          </c:spPr>
        </c:majorGridlines>
        <c:numFmt formatCode="General" sourceLinked="1"/>
        <c:majorTickMark val="in"/>
        <c:minorTickMark val="none"/>
        <c:tickLblPos val="low"/>
        <c:spPr>
          <a:ln w="2082" cap="flat" cmpd="sng" algn="ctr">
            <a:solidFill>
              <a:srgbClr val="000000"/>
            </a:solidFill>
            <a:prstDash val="solid"/>
            <a:round/>
          </a:ln>
        </c:spPr>
        <c:txPr>
          <a:bodyPr rot="0" spcFirstLastPara="0" vertOverflow="ellipsis" vert="horz" wrap="square" anchor="ctr" anchorCtr="1"/>
          <a:lstStyle/>
          <a:p>
            <a:pPr>
              <a:defRPr lang="zh-CN" sz="6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2129024"/>
        <c:crosses val="autoZero"/>
        <c:auto val="1"/>
        <c:lblAlgn val="ctr"/>
        <c:lblOffset val="100"/>
        <c:tickLblSkip val="1"/>
        <c:noMultiLvlLbl val="0"/>
      </c:catAx>
      <c:valAx>
        <c:axId val="142129024"/>
        <c:scaling>
          <c:orientation val="minMax"/>
        </c:scaling>
        <c:delete val="0"/>
        <c:axPos val="l"/>
        <c:majorGridlines>
          <c:spPr>
            <a:ln w="2082" cap="flat" cmpd="sng" algn="ctr">
              <a:solidFill>
                <a:srgbClr val="000000"/>
              </a:solidFill>
              <a:prstDash val="solid"/>
              <a:round/>
            </a:ln>
          </c:spPr>
        </c:majorGridlines>
        <c:numFmt formatCode="General" sourceLinked="1"/>
        <c:majorTickMark val="in"/>
        <c:minorTickMark val="none"/>
        <c:tickLblPos val="nextTo"/>
        <c:spPr>
          <a:ln w="2082" cap="flat" cmpd="sng" algn="ctr">
            <a:solidFill>
              <a:srgbClr val="000000"/>
            </a:solidFill>
            <a:prstDash val="solid"/>
            <a:round/>
          </a:ln>
        </c:spPr>
        <c:txPr>
          <a:bodyPr rot="0" spcFirstLastPara="0" vertOverflow="ellipsis" vert="horz" wrap="square" anchor="ctr" anchorCtr="1"/>
          <a:lstStyle/>
          <a:p>
            <a:pPr>
              <a:defRPr lang="zh-CN" sz="67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2127488"/>
        <c:crosses val="autoZero"/>
        <c:crossBetween val="between"/>
      </c:valAx>
      <c:spPr>
        <a:solidFill>
          <a:srgbClr val="C0C0C0"/>
        </a:solidFill>
        <a:ln w="12700">
          <a:solidFill>
            <a:srgbClr val="808080"/>
          </a:solidFill>
          <a:prstDash val="solid"/>
        </a:ln>
        <a:effectLst/>
      </c:spPr>
    </c:plotArea>
    <c:plotVisOnly val="1"/>
    <c:dispBlanksAs val="gap"/>
    <c:showDLblsOverMax val="0"/>
  </c:chart>
  <c:spPr>
    <a:noFill/>
    <a:ln w="9525" cap="flat" cmpd="sng" algn="ctr">
      <a:noFill/>
      <a:prstDash val="solid"/>
      <a:round/>
    </a:ln>
  </c:spPr>
  <c:txPr>
    <a:bodyPr/>
    <a:lstStyle/>
    <a:p>
      <a:pPr>
        <a:defRPr lang="zh-CN" sz="67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支出额</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5"/>
                <c:pt idx="0">
                  <c:v>一般公共服务</c:v>
                </c:pt>
                <c:pt idx="1">
                  <c:v>公共安全</c:v>
                </c:pt>
                <c:pt idx="2">
                  <c:v>社会保障和就业</c:v>
                </c:pt>
                <c:pt idx="3">
                  <c:v>卫生健康</c:v>
                </c:pt>
                <c:pt idx="4">
                  <c:v>住房保障</c:v>
                </c:pt>
              </c:strCache>
            </c:strRef>
          </c:cat>
          <c:val>
            <c:numRef>
              <c:f>Sheet1!$B$2:$B$7</c:f>
              <c:numCache>
                <c:formatCode>General</c:formatCode>
                <c:ptCount val="6"/>
                <c:pt idx="0">
                  <c:v>20</c:v>
                </c:pt>
                <c:pt idx="1">
                  <c:v>16690.34</c:v>
                </c:pt>
                <c:pt idx="2">
                  <c:v>1578.39</c:v>
                </c:pt>
                <c:pt idx="3">
                  <c:v>398.85</c:v>
                </c:pt>
                <c:pt idx="4">
                  <c:v>799.98</c:v>
                </c:pt>
              </c:numCache>
            </c:numRef>
          </c:val>
        </c:ser>
        <c:dLbls>
          <c:showLegendKey val="0"/>
          <c:showVal val="0"/>
          <c:showCatName val="0"/>
          <c:showSerName val="0"/>
          <c:showPercent val="0"/>
          <c:showBubbleSize val="0"/>
          <c:showLeaderLines val="1"/>
        </c:dLbls>
        <c:firstSliceAng val="0"/>
      </c:pieChart>
      <c:spPr>
        <a:noFill/>
        <a:ln w="19051">
          <a:noFill/>
        </a:ln>
      </c:spPr>
    </c:plotArea>
    <c:legend>
      <c:legendPos val="r"/>
      <c:layout>
        <c:manualLayout>
          <c:xMode val="edge"/>
          <c:yMode val="edge"/>
          <c:x val="0.675239475065617"/>
          <c:y val="0.283934199583077"/>
          <c:w val="0.262015608048994"/>
          <c:h val="0.6773031766090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支出额</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3"/>
                <c:pt idx="0">
                  <c:v>因公出国（境）费</c:v>
                </c:pt>
                <c:pt idx="1">
                  <c:v>公务用车购置和维护</c:v>
                </c:pt>
                <c:pt idx="2">
                  <c:v>公务接待费</c:v>
                </c:pt>
              </c:strCache>
            </c:strRef>
          </c:cat>
          <c:val>
            <c:numRef>
              <c:f>Sheet1!$B$2:$B$7</c:f>
              <c:numCache>
                <c:formatCode>General</c:formatCode>
                <c:ptCount val="6"/>
                <c:pt idx="0">
                  <c:v>2.53</c:v>
                </c:pt>
                <c:pt idx="1">
                  <c:v>385.83</c:v>
                </c:pt>
                <c:pt idx="2">
                  <c:v>0.91</c:v>
                </c:pt>
              </c:numCache>
            </c:numRef>
          </c:val>
        </c:ser>
        <c:dLbls>
          <c:showLegendKey val="0"/>
          <c:showVal val="0"/>
          <c:showCatName val="0"/>
          <c:showSerName val="0"/>
          <c:showPercent val="0"/>
          <c:showBubbleSize val="0"/>
          <c:showLeaderLines val="1"/>
        </c:dLbls>
        <c:firstSliceAng val="0"/>
      </c:pieChart>
      <c:spPr>
        <a:noFill/>
        <a:ln w="19051">
          <a:noFill/>
        </a:ln>
      </c:spPr>
    </c:plotArea>
    <c:legend>
      <c:legendPos val="r"/>
      <c:layout>
        <c:manualLayout>
          <c:xMode val="edge"/>
          <c:yMode val="edge"/>
          <c:x val="0.675239475065617"/>
          <c:y val="0.283934199583077"/>
          <c:w val="0.262015608048994"/>
          <c:h val="0.67730317660909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7452</Words>
  <Characters>9917</Characters>
  <Lines>26</Lines>
  <Paragraphs>21</Paragraphs>
  <TotalTime>0</TotalTime>
  <ScaleCrop>false</ScaleCrop>
  <LinksUpToDate>false</LinksUpToDate>
  <CharactersWithSpaces>10039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2024-08-20T07:49:00Z</dcterms:created>
  <dc:creator>曹颖</dc:creator>
  <cp:lastModifiedBy>Administrator</cp:lastModifiedBy>
  <cp:lastPrinted>2023-07-31T10:35:00Z</cp:lastPrinted>
  <dcterms:modified xsi:type="dcterms:W3CDTF">2024-08-27T01:19:18Z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082054FE45D741ED81C964A479C302AC_13</vt:lpwstr>
  </property>
</Properties>
</file>