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96475"/>
      <w:bookmarkStart w:id="3" w:name="_Toc15378441"/>
      <w:bookmarkStart w:id="4" w:name="_Toc15377193"/>
      <w:bookmarkStart w:id="5" w:name="_Toc15306267"/>
    </w:p>
    <w:p>
      <w:pPr>
        <w:pStyle w:val="2"/>
        <w:spacing w:before="93"/>
      </w:pPr>
    </w:p>
    <w:bookmarkEnd w:id="0"/>
    <w:bookmarkEnd w:id="1"/>
    <w:bookmarkEnd w:id="2"/>
    <w:bookmarkEnd w:id="3"/>
    <w:bookmarkEnd w:id="4"/>
    <w:bookmarkEnd w:id="5"/>
    <w:p>
      <w:pPr>
        <w:pStyle w:val="2"/>
        <w:jc w:val="both"/>
        <w:rPr>
          <w:rFonts w:hint="eastAsia" w:ascii="方正小标宋简体" w:hAnsi="宋体" w:eastAsia="方正小标宋简体" w:cs="Times New Roman"/>
          <w:color w:val="auto"/>
          <w:kern w:val="2"/>
          <w:sz w:val="44"/>
          <w:szCs w:val="44"/>
          <w:highlight w:val="none"/>
          <w:lang w:val="en-US" w:eastAsia="zh-CN" w:bidi="ar-SA"/>
        </w:rPr>
      </w:pPr>
    </w:p>
    <w:p>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6" w:name="_Toc15396598"/>
      <w:bookmarkStart w:id="7" w:name="_Toc15377426"/>
      <w:bookmarkStart w:id="8" w:name="_Toc15396476"/>
      <w:bookmarkStart w:id="9" w:name="_Toc15378442"/>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邻水县公安局部门决算</w:t>
      </w:r>
      <w:bookmarkEnd w:id="6"/>
      <w:bookmarkEnd w:id="7"/>
      <w:bookmarkEnd w:id="8"/>
      <w:bookmarkEnd w:id="9"/>
      <w:bookmarkEnd w:id="10"/>
      <w:bookmarkEnd w:id="11"/>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center"/>
        <w:rPr>
          <w:rFonts w:ascii="黑体" w:hAnsi="黑体" w:eastAsia="黑体"/>
          <w:color w:val="auto"/>
          <w:sz w:val="48"/>
          <w:szCs w:val="48"/>
          <w:highlight w:val="none"/>
        </w:rPr>
      </w:pPr>
      <w:bookmarkStart w:id="12" w:name="_Toc15377196"/>
      <w:bookmarkStart w:id="13" w:name="_Toc15396599"/>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rFonts w:hint="eastAsia" w:ascii="Times New Roman" w:hAnsi="Times New Roman" w:eastAsia="宋体"/>
          <w:sz w:val="24"/>
          <w:szCs w:val="24"/>
        </w:rPr>
        <w:t>.................................................................................................</w:t>
      </w:r>
      <w:r>
        <w:rPr>
          <w:rFonts w:hint="eastAsia"/>
          <w:sz w:val="24"/>
        </w:rPr>
        <w:t xml:space="preserve"> 4</w:t>
      </w:r>
    </w:p>
    <w:p>
      <w:pPr>
        <w:pStyle w:val="12"/>
        <w:numPr>
          <w:ilvl w:val="0"/>
          <w:numId w:val="0"/>
        </w:numPr>
        <w:adjustRightInd w:val="0"/>
        <w:snapToGrid w:val="0"/>
        <w:spacing w:line="440" w:lineRule="exact"/>
        <w:ind w:left="420" w:leftChars="0"/>
        <w:jc w:val="left"/>
        <w:rPr>
          <w:sz w:val="24"/>
        </w:rPr>
      </w:pPr>
      <w:r>
        <w:rPr>
          <w:rFonts w:hint="eastAsia"/>
          <w:sz w:val="24"/>
          <w:lang w:eastAsia="zh-CN"/>
        </w:rPr>
        <w:t>一、</w:t>
      </w:r>
      <w:r>
        <w:rPr>
          <w:rFonts w:hint="eastAsia"/>
          <w:sz w:val="24"/>
        </w:rPr>
        <w:t>基本职能及主要工作...................................................................................5</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rPr>
          <w:rFonts w:hint="eastAsia"/>
          <w:sz w:val="24"/>
          <w:lang w:val="en-US" w:eastAsia="zh-CN"/>
        </w:rPr>
        <w:t>7</w:t>
      </w:r>
    </w:p>
    <w:p>
      <w:pPr>
        <w:pStyle w:val="11"/>
        <w:adjustRightInd w:val="0"/>
        <w:snapToGrid w:val="0"/>
        <w:spacing w:before="0" w:line="440" w:lineRule="exact"/>
        <w:jc w:val="left"/>
        <w:rPr>
          <w:rFonts w:hint="eastAsia" w:eastAsia="宋体"/>
          <w:sz w:val="24"/>
          <w:szCs w:val="24"/>
          <w:lang w:val="en-US" w:eastAsia="zh-CN"/>
        </w:rPr>
      </w:pPr>
      <w:r>
        <w:rPr>
          <w:rFonts w:hint="eastAsia"/>
          <w:sz w:val="24"/>
        </w:rPr>
        <w:t>第二部分 2022年度部门决算情况说明</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7</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一、</w:t>
      </w:r>
      <w:r>
        <w:rPr>
          <w:rFonts w:hint="eastAsia"/>
          <w:sz w:val="24"/>
          <w:highlight w:val="none"/>
        </w:rPr>
        <w:t>收入支出决算总体情况说明.</w:t>
      </w:r>
      <w:r>
        <w:rPr>
          <w:rFonts w:hint="eastAsia"/>
          <w:sz w:val="24"/>
        </w:rPr>
        <w:t>.......................................................................</w:t>
      </w:r>
      <w:r>
        <w:rPr>
          <w:rFonts w:hint="eastAsia"/>
          <w:sz w:val="24"/>
          <w:lang w:val="en-US" w:eastAsia="zh-CN"/>
        </w:rPr>
        <w:t>7</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9</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9</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六、一般公共预算财政拨款基本支出决算情况说明........................................12</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highlight w:val="none"/>
          <w:lang w:eastAsia="zh-CN"/>
        </w:rPr>
        <w:t>七</w:t>
      </w:r>
      <w:r>
        <w:rPr>
          <w:rFonts w:hint="eastAsia"/>
          <w:sz w:val="24"/>
          <w:highlight w:val="none"/>
        </w:rPr>
        <w:t>、“三公”经费财政拨款支出决算情况说明.</w:t>
      </w:r>
      <w:r>
        <w:rPr>
          <w:rFonts w:hint="eastAsia"/>
          <w:sz w:val="24"/>
        </w:rPr>
        <w:t>.................................................1</w:t>
      </w:r>
      <w:r>
        <w:rPr>
          <w:rFonts w:hint="eastAsia"/>
          <w:sz w:val="24"/>
          <w:lang w:val="en-US" w:eastAsia="zh-CN"/>
        </w:rPr>
        <w:t>3</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lang w:eastAsia="zh-CN"/>
        </w:rPr>
        <w:t>八</w:t>
      </w:r>
      <w:r>
        <w:rPr>
          <w:rFonts w:hint="eastAsia"/>
          <w:sz w:val="24"/>
        </w:rPr>
        <w:t>、政府性基金预算支出决算情况说明............................................................1</w:t>
      </w:r>
      <w:r>
        <w:rPr>
          <w:rFonts w:hint="eastAsia"/>
          <w:sz w:val="24"/>
          <w:lang w:val="en-US" w:eastAsia="zh-CN"/>
        </w:rPr>
        <w:t>5</w:t>
      </w:r>
    </w:p>
    <w:p>
      <w:pPr>
        <w:pStyle w:val="12"/>
        <w:adjustRightInd w:val="0"/>
        <w:snapToGrid w:val="0"/>
        <w:spacing w:line="440" w:lineRule="exact"/>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九</w:t>
      </w:r>
      <w:r>
        <w:rPr>
          <w:rFonts w:hint="eastAsia" w:asciiTheme="minorEastAsia" w:hAnsiTheme="minorEastAsia" w:eastAsiaTheme="minorEastAsia" w:cstheme="minorEastAsia"/>
          <w:sz w:val="24"/>
        </w:rPr>
        <w:t>、国有资本经营预算支出决算情况说明</w:t>
      </w:r>
      <w:r>
        <w:rPr>
          <w:rFonts w:hint="eastAsia"/>
          <w:sz w:val="24"/>
        </w:rPr>
        <w:t>.......................................................</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p>
      <w:pPr>
        <w:adjustRightInd w:val="0"/>
        <w:snapToGrid w:val="0"/>
        <w:spacing w:line="440" w:lineRule="exact"/>
        <w:ind w:firstLine="420" w:firstLineChars="175"/>
        <w:jc w:val="left"/>
        <w:rPr>
          <w:rFonts w:hint="eastAsia" w:asciiTheme="minorEastAsia" w:hAnsiTheme="minorEastAsia" w:eastAsiaTheme="minorEastAsia" w:cstheme="minorEastAsia"/>
          <w:sz w:val="24"/>
          <w:lang w:val="en-US" w:eastAsia="zh-CN"/>
        </w:rPr>
      </w:pPr>
      <w:r>
        <w:rPr>
          <w:rStyle w:val="17"/>
          <w:rFonts w:hint="eastAsia" w:asciiTheme="minorEastAsia" w:hAnsiTheme="minorEastAsia" w:eastAsiaTheme="minorEastAsia" w:cstheme="minorEastAsia"/>
          <w:color w:val="auto"/>
          <w:sz w:val="24"/>
          <w:u w:val="none"/>
          <w:lang w:eastAsia="zh-CN"/>
        </w:rPr>
        <w:t>十</w:t>
      </w:r>
      <w:r>
        <w:rPr>
          <w:rStyle w:val="17"/>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sz w:val="24"/>
        </w:rPr>
        <w:t>其他重要事项的情况说明</w:t>
      </w:r>
      <w:r>
        <w:rPr>
          <w:rFonts w:hint="eastAsia"/>
          <w:sz w:val="24"/>
        </w:rPr>
        <w:t>........................................................................</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p>
      <w:pPr>
        <w:pStyle w:val="11"/>
        <w:adjustRightInd w:val="0"/>
        <w:snapToGrid w:val="0"/>
        <w:spacing w:before="0" w:line="440" w:lineRule="exact"/>
        <w:jc w:val="left"/>
        <w:rPr>
          <w:rFonts w:hint="eastAsia" w:eastAsia="宋体"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sz w:val="24"/>
          <w:szCs w:val="24"/>
        </w:rPr>
        <w:t>....................................................................................................1</w:t>
      </w:r>
      <w:r>
        <w:rPr>
          <w:rFonts w:hint="eastAsia" w:ascii="Times New Roman" w:hAnsi="Times New Roman" w:eastAsia="宋体"/>
          <w:sz w:val="24"/>
          <w:szCs w:val="24"/>
          <w:lang w:val="en-US" w:eastAsia="zh-CN"/>
        </w:rPr>
        <w:t>7</w:t>
      </w:r>
    </w:p>
    <w:p>
      <w:pPr>
        <w:pStyle w:val="11"/>
        <w:adjustRightInd w:val="0"/>
        <w:snapToGrid w:val="0"/>
        <w:spacing w:before="0" w:line="440" w:lineRule="exact"/>
        <w:jc w:val="left"/>
        <w:rPr>
          <w:rFonts w:hint="default" w:eastAsia="宋体"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20</w:t>
      </w:r>
    </w:p>
    <w:p>
      <w:pPr>
        <w:pStyle w:val="11"/>
        <w:adjustRightInd w:val="0"/>
        <w:snapToGrid w:val="0"/>
        <w:spacing w:before="0" w:line="440" w:lineRule="exact"/>
        <w:jc w:val="left"/>
        <w:rPr>
          <w:rFonts w:hint="default" w:eastAsia="宋体"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34</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基本职能及主要工作</w:t>
      </w:r>
    </w:p>
    <w:p>
      <w:pPr>
        <w:snapToGrid w:val="0"/>
        <w:spacing w:line="520" w:lineRule="exact"/>
        <w:ind w:firstLine="643" w:firstLineChars="200"/>
        <w:rPr>
          <w:rFonts w:ascii="楷体" w:hAnsi="楷体" w:eastAsia="楷体"/>
          <w:b/>
          <w:sz w:val="32"/>
          <w:szCs w:val="32"/>
        </w:rPr>
      </w:pPr>
      <w:r>
        <w:rPr>
          <w:rFonts w:hint="eastAsia" w:ascii="楷体" w:hAnsi="楷体" w:eastAsia="楷体"/>
          <w:b/>
          <w:sz w:val="32"/>
          <w:szCs w:val="32"/>
        </w:rPr>
        <w:t>（一）基本职能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邻水县公安局（简称县公安局），为县政府组成部门，主要职责有以下22个方面（因森林公安局调整为县公安局内设机构，三定方案待定）：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1.贯彻执行国家公安工作的方针、政策、法律、法规、规章；起草公安规范性文件。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2.负责全县公安危机管理、抢险救援和社会公共突发事件的处置工作。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3.收集掌握影响稳定、危害国内安全和社会治安的情况，分析研判形势，研究公安工作出现的新情况、新问题，为县委、县政府和市公安局提供信息、制定对策服务。</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4.组织开展全县公安侦查工作；侦办重大刑事犯罪案件、国内危害国家安全的犯罪案件、重大经济犯罪案件、毒品案件；处置重大治安事故和群体性事件；组织实施重大活动的安全保卫工作。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5.开展治安行政管理工作；依法查处危害社会治安秩序的行为。</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6.依法管理国籍、出境入境和持普通护照的外国人在辖区内居留、旅行等有关管理工作。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7.组织实施全县消防监督、火灾预防和扑救等工作。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8.组织开展全县道路交通安全管理、交通秩序维护、处置交通事故。</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9.监督、管理全县公共信息网络的安全保护工作。</w:t>
      </w:r>
    </w:p>
    <w:p>
      <w:pPr>
        <w:pStyle w:val="26"/>
        <w:snapToGrid w:val="0"/>
        <w:spacing w:line="520" w:lineRule="exact"/>
        <w:ind w:left="840" w:firstLine="0" w:firstLineChars="0"/>
        <w:rPr>
          <w:rFonts w:ascii="仿宋_GB2312" w:hAnsi="仿宋" w:eastAsia="仿宋_GB2312"/>
          <w:sz w:val="32"/>
          <w:szCs w:val="32"/>
        </w:rPr>
      </w:pPr>
      <w:r>
        <w:rPr>
          <w:rFonts w:hint="eastAsia" w:ascii="仿宋_GB2312" w:hAnsi="仿宋" w:eastAsia="仿宋_GB2312"/>
          <w:sz w:val="32"/>
          <w:szCs w:val="32"/>
        </w:rPr>
        <w:t>10.防范、处置邪教及有害气功组织的违法犯罪活动。</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11.组织开展对恐怖活动的情报、防范、侦察和应急处置工作，负责对恐怖组织、案件的侦察、调查工作，依法严厉打击各种恐怖活动。</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12.实施全县公安机关依法承担的执行刑罚和监督、考察工作。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13.组织实施对警卫对象的安全警卫工作。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14.组织、实施全县公安科学技术工作；规划全县公安指挥系统、信息技术、刑事技术建设。</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15.制定全县公安机关装备、被装、经费等警务保障计划和管理制度，组织、管理和分配全县公安装备、被装和经费；组织实施全县公安机关重大任务的警务保障工作。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16.组织开展同县外公安机关的交往与业务合作。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17.分析全县公安队伍状况，研究、制定公安队伍建设、民警教育训练和公安宣传的规章制度，监督检查落实情况；负责全县公安队伍建设、公安机关党风廉政建设、公安机关人事管理、民警教育训练和公安宣传工作；按规定权限管理干部；负责全县公安警务督察、审计、信访工作，对全县公安机关及人民警察的执法情况进行监督；按规定权限对干部实施监督；查处或督办违纪案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18.承担侦破、查处破坏森林野生动植物和危害森林领域的刑事、治安案件，负责森林领域社会治安管理，根据职能职责配合开展森林防火工作。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19.承担县禁毒委员会办公室的日常工作。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20.负责全县公安法制建设，按管辖办理行政诉讼、行政复议案件。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21.承担县政府公布的有关行政审批事项。</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22.承办县委、县政府和市公安局交办的其他事项。</w:t>
      </w:r>
    </w:p>
    <w:p>
      <w:pPr>
        <w:pStyle w:val="2"/>
        <w:adjustRightInd w:val="0"/>
        <w:snapToGrid w:val="0"/>
        <w:spacing w:before="93" w:line="600" w:lineRule="exact"/>
        <w:ind w:firstLine="632" w:firstLineChars="210"/>
        <w:outlineLvl w:val="2"/>
        <w:rPr>
          <w:rFonts w:ascii="楷体" w:hAnsi="楷体" w:eastAsia="楷体"/>
          <w:b/>
        </w:rPr>
      </w:pPr>
      <w:r>
        <w:rPr>
          <w:rFonts w:hint="eastAsia" w:ascii="楷体" w:hAnsi="楷体" w:eastAsia="楷体"/>
          <w:b/>
        </w:rPr>
        <w:t>（二）202</w:t>
      </w:r>
      <w:r>
        <w:rPr>
          <w:rFonts w:hint="eastAsia" w:ascii="楷体" w:hAnsi="楷体" w:eastAsia="楷体"/>
          <w:b/>
          <w:lang w:val="en-US" w:eastAsia="zh-CN"/>
        </w:rPr>
        <w:t>3</w:t>
      </w:r>
      <w:r>
        <w:rPr>
          <w:rFonts w:hint="eastAsia" w:ascii="楷体" w:hAnsi="楷体" w:eastAsia="楷体"/>
          <w:b/>
        </w:rPr>
        <w:t>年重点工作完成情况</w:t>
      </w:r>
    </w:p>
    <w:p>
      <w:pPr>
        <w:snapToGrid w:val="0"/>
        <w:spacing w:line="520" w:lineRule="exact"/>
        <w:ind w:firstLine="800" w:firstLineChars="250"/>
        <w:rPr>
          <w:rFonts w:ascii="仿宋_GB2312" w:hAnsi="仿宋" w:eastAsia="仿宋_GB2312"/>
          <w:sz w:val="32"/>
          <w:szCs w:val="32"/>
        </w:rPr>
      </w:pPr>
      <w:bookmarkStart w:id="14" w:name="_Toc15377200"/>
      <w:bookmarkStart w:id="15" w:name="_Toc15396601"/>
      <w:r>
        <w:rPr>
          <w:rFonts w:hint="eastAsia" w:ascii="仿宋_GB2312" w:hAnsi="仿宋" w:eastAsia="仿宋_GB2312"/>
          <w:sz w:val="32"/>
          <w:szCs w:val="32"/>
        </w:rPr>
        <w:t>2023年，县公安局在县委、县政府</w:t>
      </w:r>
      <w:r>
        <w:rPr>
          <w:rFonts w:ascii="仿宋_GB2312" w:hAnsi="仿宋" w:eastAsia="仿宋_GB2312"/>
          <w:sz w:val="32"/>
          <w:szCs w:val="32"/>
        </w:rPr>
        <w:t>的坚强领导下，坚持目标引领、求真务实、开拓奋进、真情为民，确保了全县</w:t>
      </w:r>
      <w:r>
        <w:rPr>
          <w:rFonts w:hint="eastAsia" w:ascii="仿宋_GB2312" w:hAnsi="仿宋" w:eastAsia="仿宋_GB2312"/>
          <w:sz w:val="32"/>
          <w:szCs w:val="32"/>
        </w:rPr>
        <w:t>政治</w:t>
      </w:r>
      <w:r>
        <w:rPr>
          <w:rFonts w:ascii="仿宋_GB2312" w:hAnsi="仿宋" w:eastAsia="仿宋_GB2312"/>
          <w:sz w:val="32"/>
          <w:szCs w:val="32"/>
        </w:rPr>
        <w:t>社会治安大局持续平稳，整体</w:t>
      </w:r>
      <w:r>
        <w:rPr>
          <w:rFonts w:hint="eastAsia" w:ascii="仿宋_GB2312" w:hAnsi="仿宋" w:eastAsia="仿宋_GB2312"/>
          <w:sz w:val="32"/>
          <w:szCs w:val="32"/>
        </w:rPr>
        <w:t>工作</w:t>
      </w:r>
      <w:r>
        <w:rPr>
          <w:rFonts w:ascii="仿宋_GB2312" w:hAnsi="仿宋" w:eastAsia="仿宋_GB2312"/>
          <w:sz w:val="32"/>
          <w:szCs w:val="32"/>
        </w:rPr>
        <w:t>评价</w:t>
      </w:r>
      <w:r>
        <w:rPr>
          <w:rFonts w:hint="eastAsia" w:ascii="仿宋_GB2312" w:hAnsi="仿宋" w:eastAsia="仿宋_GB2312"/>
          <w:sz w:val="32"/>
          <w:szCs w:val="32"/>
        </w:rPr>
        <w:t>保持全市前列</w:t>
      </w:r>
      <w:r>
        <w:rPr>
          <w:rFonts w:ascii="仿宋_GB2312" w:hAnsi="仿宋" w:eastAsia="仿宋_GB2312"/>
          <w:sz w:val="32"/>
          <w:szCs w:val="32"/>
        </w:rPr>
        <w:t>，其中1条战略情报获</w:t>
      </w:r>
      <w:r>
        <w:rPr>
          <w:rFonts w:hint="eastAsia" w:ascii="仿宋_GB2312" w:hAnsi="仿宋" w:eastAsia="仿宋_GB2312"/>
          <w:sz w:val="32"/>
          <w:szCs w:val="32"/>
        </w:rPr>
        <w:t>习近平</w:t>
      </w:r>
      <w:r>
        <w:rPr>
          <w:rFonts w:ascii="仿宋_GB2312" w:hAnsi="仿宋" w:eastAsia="仿宋_GB2312"/>
          <w:sz w:val="32"/>
          <w:szCs w:val="32"/>
        </w:rPr>
        <w:t>总书记批示，1条获省委书记批示，2项工作获寒冰副省长批示，工作经验在全国公安系统交流发言1次、全省发言2次，</w:t>
      </w:r>
      <w:r>
        <w:rPr>
          <w:rFonts w:hint="eastAsia" w:ascii="仿宋_GB2312" w:hAnsi="仿宋" w:eastAsia="仿宋_GB2312"/>
          <w:sz w:val="32"/>
          <w:szCs w:val="32"/>
        </w:rPr>
        <w:t>8</w:t>
      </w:r>
      <w:r>
        <w:rPr>
          <w:rFonts w:ascii="仿宋_GB2312" w:hAnsi="仿宋" w:eastAsia="仿宋_GB2312"/>
          <w:sz w:val="32"/>
          <w:szCs w:val="32"/>
        </w:rPr>
        <w:t>项单项工作获省厅领导肯定性批示。</w:t>
      </w:r>
    </w:p>
    <w:p>
      <w:pPr>
        <w:snapToGrid w:val="0"/>
        <w:spacing w:line="520" w:lineRule="exact"/>
        <w:ind w:firstLine="800" w:firstLineChars="250"/>
        <w:rPr>
          <w:rFonts w:ascii="仿宋_GB2312" w:hAnsi="仿宋" w:eastAsia="仿宋_GB2312"/>
          <w:sz w:val="32"/>
          <w:szCs w:val="32"/>
        </w:rPr>
      </w:pPr>
      <w:r>
        <w:rPr>
          <w:rFonts w:ascii="仿宋_GB2312" w:hAnsi="仿宋" w:eastAsia="仿宋_GB2312"/>
          <w:sz w:val="32"/>
          <w:szCs w:val="32"/>
        </w:rPr>
        <w:t>坚持总体国家安全观，牢牢把握战略主动权。</w:t>
      </w:r>
      <w:r>
        <w:rPr>
          <w:rFonts w:hint="eastAsia" w:ascii="仿宋_GB2312" w:hAnsi="仿宋" w:eastAsia="仿宋_GB2312"/>
          <w:sz w:val="32"/>
          <w:szCs w:val="32"/>
        </w:rPr>
        <w:t>2023年</w:t>
      </w:r>
      <w:r>
        <w:rPr>
          <w:rFonts w:ascii="仿宋_GB2312" w:hAnsi="仿宋" w:eastAsia="仿宋_GB2312"/>
          <w:sz w:val="32"/>
          <w:szCs w:val="32"/>
        </w:rPr>
        <w:t>全县未发生一起有影响的涉政案事件</w:t>
      </w:r>
      <w:r>
        <w:rPr>
          <w:rFonts w:hint="eastAsia" w:ascii="仿宋_GB2312" w:hAnsi="仿宋" w:eastAsia="仿宋_GB2312"/>
          <w:sz w:val="32"/>
          <w:szCs w:val="32"/>
        </w:rPr>
        <w:t>。</w:t>
      </w:r>
    </w:p>
    <w:p>
      <w:pPr>
        <w:snapToGrid w:val="0"/>
        <w:spacing w:line="520" w:lineRule="exact"/>
        <w:ind w:firstLine="800" w:firstLineChars="250"/>
        <w:rPr>
          <w:rFonts w:ascii="仿宋_GB2312" w:hAnsi="仿宋" w:eastAsia="仿宋_GB2312"/>
          <w:sz w:val="32"/>
          <w:szCs w:val="32"/>
        </w:rPr>
      </w:pPr>
      <w:r>
        <w:rPr>
          <w:rFonts w:ascii="仿宋_GB2312" w:hAnsi="仿宋" w:eastAsia="仿宋_GB2312"/>
          <w:sz w:val="32"/>
          <w:szCs w:val="32"/>
        </w:rPr>
        <w:t>坚持体系化推动重大风险防范化解</w:t>
      </w:r>
      <w:r>
        <w:rPr>
          <w:rFonts w:hint="eastAsia" w:ascii="仿宋_GB2312" w:hAnsi="仿宋" w:eastAsia="仿宋_GB2312"/>
          <w:sz w:val="32"/>
          <w:szCs w:val="32"/>
        </w:rPr>
        <w:t>，实现“三零六无”目标。</w:t>
      </w:r>
      <w:r>
        <w:rPr>
          <w:rFonts w:ascii="仿宋_GB2312" w:hAnsi="仿宋" w:eastAsia="仿宋_GB2312"/>
          <w:sz w:val="32"/>
          <w:szCs w:val="32"/>
        </w:rPr>
        <w:t>主动摸排化解本地聚集风险37个、个人极端风险7个，预警劝返进京赴省51人次，圆满完成了成都大运会等重大安保任务。会同纪委破获了邻水首例公职人员与社会人员</w:t>
      </w:r>
      <w:r>
        <w:rPr>
          <w:rFonts w:hint="eastAsia" w:ascii="仿宋_GB2312" w:hAnsi="仿宋" w:eastAsia="仿宋_GB2312"/>
          <w:sz w:val="32"/>
          <w:szCs w:val="32"/>
        </w:rPr>
        <w:t>“</w:t>
      </w:r>
      <w:r>
        <w:rPr>
          <w:rFonts w:ascii="仿宋_GB2312" w:hAnsi="仿宋" w:eastAsia="仿宋_GB2312"/>
          <w:sz w:val="32"/>
          <w:szCs w:val="32"/>
        </w:rPr>
        <w:t>内外勾连、以访牟利</w:t>
      </w:r>
      <w:r>
        <w:rPr>
          <w:rFonts w:hint="eastAsia" w:ascii="仿宋_GB2312" w:hAnsi="仿宋" w:eastAsia="仿宋_GB2312"/>
          <w:sz w:val="32"/>
          <w:szCs w:val="32"/>
        </w:rPr>
        <w:t>”</w:t>
      </w:r>
      <w:r>
        <w:rPr>
          <w:rFonts w:ascii="仿宋_GB2312" w:hAnsi="仿宋" w:eastAsia="仿宋_GB2312"/>
          <w:sz w:val="32"/>
          <w:szCs w:val="32"/>
        </w:rPr>
        <w:t>寻衅滋事案。</w:t>
      </w:r>
    </w:p>
    <w:p>
      <w:pPr>
        <w:snapToGrid w:val="0"/>
        <w:spacing w:line="520" w:lineRule="exact"/>
        <w:ind w:firstLine="800" w:firstLineChars="250"/>
        <w:rPr>
          <w:rFonts w:ascii="仿宋_GB2312" w:hAnsi="仿宋" w:eastAsia="仿宋_GB2312"/>
          <w:sz w:val="32"/>
          <w:szCs w:val="32"/>
        </w:rPr>
      </w:pPr>
      <w:r>
        <w:rPr>
          <w:rFonts w:ascii="仿宋_GB2312" w:hAnsi="仿宋" w:eastAsia="仿宋_GB2312"/>
          <w:sz w:val="32"/>
          <w:szCs w:val="32"/>
        </w:rPr>
        <w:t>坚持体系化推动重大风险防范化解</w:t>
      </w:r>
      <w:r>
        <w:rPr>
          <w:rFonts w:hint="eastAsia" w:ascii="仿宋_GB2312" w:hAnsi="仿宋" w:eastAsia="仿宋_GB2312"/>
          <w:sz w:val="32"/>
          <w:szCs w:val="32"/>
        </w:rPr>
        <w:t>，实现“三零六无”目标。</w:t>
      </w:r>
      <w:r>
        <w:rPr>
          <w:rFonts w:ascii="仿宋_GB2312" w:hAnsi="仿宋" w:eastAsia="仿宋_GB2312"/>
          <w:sz w:val="32"/>
          <w:szCs w:val="32"/>
        </w:rPr>
        <w:t>主动摸排化解本地聚集风险37个、个人极端风险7个，预警劝返进京赴省51人次，圆满完成了成都大运会等重大安保任务。会同纪委破获了邻水首例公职人员与社会人员</w:t>
      </w:r>
      <w:r>
        <w:rPr>
          <w:rFonts w:hint="eastAsia" w:ascii="仿宋_GB2312" w:hAnsi="仿宋" w:eastAsia="仿宋_GB2312"/>
          <w:sz w:val="32"/>
          <w:szCs w:val="32"/>
        </w:rPr>
        <w:t>“</w:t>
      </w:r>
      <w:r>
        <w:rPr>
          <w:rFonts w:ascii="仿宋_GB2312" w:hAnsi="仿宋" w:eastAsia="仿宋_GB2312"/>
          <w:sz w:val="32"/>
          <w:szCs w:val="32"/>
        </w:rPr>
        <w:t>内外勾连、以访牟利</w:t>
      </w:r>
      <w:r>
        <w:rPr>
          <w:rFonts w:hint="eastAsia" w:ascii="仿宋_GB2312" w:hAnsi="仿宋" w:eastAsia="仿宋_GB2312"/>
          <w:sz w:val="32"/>
          <w:szCs w:val="32"/>
        </w:rPr>
        <w:t>”</w:t>
      </w:r>
      <w:r>
        <w:rPr>
          <w:rFonts w:ascii="仿宋_GB2312" w:hAnsi="仿宋" w:eastAsia="仿宋_GB2312"/>
          <w:sz w:val="32"/>
          <w:szCs w:val="32"/>
        </w:rPr>
        <w:t>寻衅滋事案。</w:t>
      </w:r>
    </w:p>
    <w:p>
      <w:pPr>
        <w:snapToGrid w:val="0"/>
        <w:spacing w:line="520" w:lineRule="exact"/>
        <w:ind w:firstLine="800" w:firstLineChars="250"/>
        <w:rPr>
          <w:rFonts w:ascii="仿宋_GB2312" w:hAnsi="仿宋" w:eastAsia="仿宋_GB2312"/>
          <w:sz w:val="32"/>
          <w:szCs w:val="32"/>
        </w:rPr>
      </w:pPr>
      <w:r>
        <w:rPr>
          <w:rFonts w:ascii="仿宋_GB2312" w:hAnsi="仿宋" w:eastAsia="仿宋_GB2312"/>
          <w:sz w:val="32"/>
          <w:szCs w:val="32"/>
        </w:rPr>
        <w:t>严守外流贩毒、电诈治理、进京访底线，电诈负向排名降至全国118位，外流贩毒退至全省第15位</w:t>
      </w:r>
      <w:r>
        <w:rPr>
          <w:rFonts w:hint="eastAsia" w:ascii="仿宋_GB2312" w:hAnsi="仿宋" w:eastAsia="仿宋_GB2312"/>
          <w:sz w:val="32"/>
          <w:szCs w:val="32"/>
        </w:rPr>
        <w:t>，</w:t>
      </w:r>
      <w:r>
        <w:rPr>
          <w:rFonts w:ascii="仿宋_GB2312" w:hAnsi="仿宋" w:eastAsia="仿宋_GB2312"/>
          <w:sz w:val="32"/>
          <w:szCs w:val="32"/>
        </w:rPr>
        <w:t>依法治访工作经验在全省公安机关交流发言。</w:t>
      </w:r>
    </w:p>
    <w:p>
      <w:pPr>
        <w:pStyle w:val="4"/>
        <w:rPr>
          <w:rStyle w:val="28"/>
          <w:b w:val="0"/>
          <w:bCs w:val="0"/>
        </w:rPr>
      </w:pPr>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ind w:firstLine="640" w:firstLineChars="200"/>
        <w:rPr>
          <w:rFonts w:ascii="仿宋_GB2312" w:eastAsia="仿宋_GB2312"/>
          <w:sz w:val="32"/>
          <w:szCs w:val="32"/>
        </w:rPr>
      </w:pPr>
      <w:bookmarkStart w:id="16" w:name="_Toc15377204"/>
      <w:bookmarkStart w:id="17" w:name="_Toc15396602"/>
      <w:r>
        <w:rPr>
          <w:rFonts w:hint="eastAsia" w:ascii="仿宋_GB2312" w:eastAsia="仿宋_GB2312"/>
          <w:sz w:val="32"/>
          <w:szCs w:val="32"/>
        </w:rPr>
        <w:t>邻水县公安局属于行政单位，内设20个机构、2个下属机构、47个派出机构。行政政法专项编制</w:t>
      </w:r>
      <w:r>
        <w:rPr>
          <w:rFonts w:hint="eastAsia" w:ascii="仿宋_GB2312" w:eastAsia="仿宋_GB2312"/>
          <w:color w:val="000000"/>
          <w:sz w:val="32"/>
          <w:szCs w:val="32"/>
        </w:rPr>
        <w:t>413名，工人编制15名，在职实有</w:t>
      </w:r>
      <w:r>
        <w:rPr>
          <w:rFonts w:hint="eastAsia" w:ascii="仿宋_GB2312" w:eastAsia="仿宋_GB2312"/>
          <w:sz w:val="32"/>
          <w:szCs w:val="32"/>
        </w:rPr>
        <w:t>人员</w:t>
      </w:r>
      <w:r>
        <w:rPr>
          <w:rFonts w:hint="eastAsia" w:ascii="仿宋_GB2312" w:eastAsia="仿宋_GB2312"/>
          <w:color w:val="000000"/>
          <w:sz w:val="32"/>
          <w:szCs w:val="32"/>
        </w:rPr>
        <w:t>446人</w:t>
      </w:r>
      <w:r>
        <w:rPr>
          <w:rFonts w:hint="eastAsia" w:ascii="仿宋_GB2312" w:eastAsia="仿宋_GB2312"/>
          <w:sz w:val="32"/>
          <w:szCs w:val="32"/>
        </w:rPr>
        <w:t>，离退休143人。警务辅助人员编制689名。</w:t>
      </w:r>
    </w:p>
    <w:p>
      <w:pPr>
        <w:ind w:firstLine="640" w:firstLineChars="200"/>
        <w:rPr>
          <w:rFonts w:ascii="仿宋_GB2312" w:eastAsia="仿宋_GB2312"/>
          <w:color w:val="FF0000"/>
          <w:sz w:val="32"/>
          <w:szCs w:val="32"/>
        </w:rPr>
      </w:pPr>
      <w:r>
        <w:rPr>
          <w:rFonts w:hint="eastAsia" w:ascii="仿宋_GB2312" w:eastAsia="仿宋_GB2312"/>
          <w:sz w:val="32"/>
          <w:szCs w:val="32"/>
        </w:rPr>
        <w:t>邻水县公安局强制隔离戒毒所属于公安局下属的机构，参公管理单位，参公编制55个，在职实有人员</w:t>
      </w:r>
      <w:r>
        <w:rPr>
          <w:rFonts w:hint="eastAsia" w:ascii="仿宋_GB2312" w:eastAsia="仿宋_GB2312"/>
          <w:color w:val="000000"/>
          <w:sz w:val="32"/>
          <w:szCs w:val="32"/>
        </w:rPr>
        <w:t>47人；事业编制25个，在职17人。</w:t>
      </w:r>
    </w:p>
    <w:p>
      <w:pPr>
        <w:ind w:firstLine="640" w:firstLineChars="200"/>
      </w:pPr>
      <w:r>
        <w:rPr>
          <w:rFonts w:hint="eastAsia" w:ascii="仿宋_GB2312" w:eastAsia="仿宋_GB2312"/>
          <w:sz w:val="32"/>
          <w:szCs w:val="32"/>
        </w:rPr>
        <w:t>邻水县公安局监管中心卫生所属于公安局下属的事业单位，人</w:t>
      </w:r>
      <w:r>
        <w:rPr>
          <w:rFonts w:hint="eastAsia" w:ascii="仿宋_GB2312" w:eastAsia="仿宋_GB2312"/>
          <w:color w:val="000000"/>
          <w:sz w:val="32"/>
          <w:szCs w:val="32"/>
        </w:rPr>
        <w:t>员编制9个，在职实有人员8人</w:t>
      </w:r>
      <w:r>
        <w:rPr>
          <w:rFonts w:hint="eastAsia" w:ascii="仿宋_GB2312" w:eastAsia="仿宋_GB2312"/>
          <w:sz w:val="32"/>
          <w:szCs w:val="32"/>
        </w:rPr>
        <w:t>。</w:t>
      </w:r>
    </w:p>
    <w:p>
      <w:pPr>
        <w:pStyle w:val="2"/>
        <w:spacing w:before="93"/>
      </w:pPr>
    </w:p>
    <w:p>
      <w:pPr>
        <w:pStyle w:val="3"/>
        <w:ind w:right="440"/>
        <w:jc w:val="center"/>
        <w:rPr>
          <w:rStyle w:val="27"/>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年度收入总计</w:t>
      </w:r>
      <w:r>
        <w:rPr>
          <w:rFonts w:hint="eastAsia" w:ascii="仿宋_GB2312" w:hAnsi="仿宋" w:eastAsia="仿宋_GB2312"/>
          <w:sz w:val="32"/>
          <w:szCs w:val="32"/>
          <w:lang w:val="en-US" w:eastAsia="zh-CN"/>
        </w:rPr>
        <w:t>23738.46</w:t>
      </w:r>
      <w:r>
        <w:rPr>
          <w:rFonts w:hint="eastAsia" w:ascii="仿宋_GB2312" w:hAnsi="仿宋" w:eastAsia="仿宋_GB2312"/>
          <w:sz w:val="32"/>
          <w:szCs w:val="32"/>
        </w:rPr>
        <w:t>万元，</w:t>
      </w:r>
      <w:r>
        <w:rPr>
          <w:rFonts w:hint="eastAsia" w:ascii="仿宋_GB2312" w:hAnsi="仿宋_GB2312" w:eastAsia="仿宋_GB2312" w:cs="仿宋_GB2312"/>
          <w:sz w:val="32"/>
          <w:szCs w:val="32"/>
        </w:rPr>
        <w:t>支出总计</w:t>
      </w:r>
      <w:r>
        <w:rPr>
          <w:rFonts w:hint="eastAsia" w:ascii="仿宋_GB2312" w:hAnsi="仿宋" w:eastAsia="仿宋_GB2312"/>
          <w:sz w:val="32"/>
          <w:szCs w:val="32"/>
          <w:lang w:val="en-US" w:eastAsia="zh-CN"/>
        </w:rPr>
        <w:t>20868.72</w:t>
      </w:r>
      <w:r>
        <w:rPr>
          <w:rFonts w:hint="eastAsia" w:ascii="仿宋_GB2312" w:hAnsi="仿宋_GB2312" w:eastAsia="仿宋_GB2312" w:cs="仿宋_GB2312"/>
          <w:sz w:val="32"/>
          <w:szCs w:val="32"/>
        </w:rPr>
        <w:t>万元。</w:t>
      </w:r>
      <w:r>
        <w:rPr>
          <w:rFonts w:hint="eastAsia" w:ascii="仿宋_GB2312" w:hAnsi="仿宋" w:eastAsia="仿宋_GB2312"/>
          <w:sz w:val="32"/>
          <w:szCs w:val="32"/>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年相比，收入总计增加</w:t>
      </w:r>
      <w:r>
        <w:rPr>
          <w:rFonts w:hint="eastAsia" w:ascii="仿宋_GB2312" w:hAnsi="仿宋" w:eastAsia="仿宋_GB2312"/>
          <w:sz w:val="32"/>
          <w:szCs w:val="32"/>
          <w:lang w:val="en-US" w:eastAsia="zh-CN"/>
        </w:rPr>
        <w:t>3828.38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16.13</w:t>
      </w:r>
      <w:r>
        <w:rPr>
          <w:rFonts w:hint="eastAsia" w:ascii="仿宋_GB2312" w:hAnsi="仿宋" w:eastAsia="仿宋_GB2312"/>
          <w:sz w:val="32"/>
          <w:szCs w:val="32"/>
        </w:rPr>
        <w:t>%；支出合计增加</w:t>
      </w:r>
      <w:r>
        <w:rPr>
          <w:rFonts w:hint="eastAsia" w:ascii="仿宋_GB2312" w:hAnsi="仿宋" w:eastAsia="仿宋_GB2312"/>
          <w:sz w:val="32"/>
          <w:szCs w:val="32"/>
          <w:lang w:val="en-US" w:eastAsia="zh-CN"/>
        </w:rPr>
        <w:t>1900.22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9.11</w:t>
      </w:r>
      <w:r>
        <w:rPr>
          <w:rFonts w:hint="eastAsia" w:ascii="仿宋_GB2312" w:hAnsi="仿宋" w:eastAsia="仿宋_GB2312"/>
          <w:sz w:val="32"/>
          <w:szCs w:val="32"/>
        </w:rPr>
        <w:t>%。主要变动原因是人员增资、项目个数及经费增加。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981075</wp:posOffset>
            </wp:positionH>
            <wp:positionV relativeFrom="paragraph">
              <wp:posOffset>239395</wp:posOffset>
            </wp:positionV>
            <wp:extent cx="3324225" cy="1857375"/>
            <wp:effectExtent l="0" t="0" r="0" b="0"/>
            <wp:wrapSquare wrapText="bothSides"/>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spacing w:before="93"/>
      </w:pPr>
    </w:p>
    <w:p>
      <w:pPr>
        <w:pStyle w:val="2"/>
        <w:spacing w:before="93"/>
      </w:pPr>
    </w:p>
    <w:p>
      <w:pPr>
        <w:pStyle w:val="2"/>
        <w:spacing w:before="93"/>
      </w:pPr>
    </w:p>
    <w:p>
      <w:pPr>
        <w:pStyle w:val="2"/>
        <w:spacing w:before="93"/>
      </w:pP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2023年本年收入合计</w:t>
      </w:r>
      <w:r>
        <w:rPr>
          <w:rFonts w:hint="eastAsia" w:ascii="仿宋_GB2312" w:hAnsi="仿宋" w:eastAsia="仿宋_GB2312"/>
          <w:sz w:val="32"/>
          <w:szCs w:val="32"/>
          <w:lang w:val="en-US" w:eastAsia="zh-CN"/>
        </w:rPr>
        <w:t>22796.88</w:t>
      </w:r>
      <w:r>
        <w:rPr>
          <w:rFonts w:hint="eastAsia" w:ascii="仿宋_GB2312" w:hAnsi="仿宋" w:eastAsia="仿宋_GB2312"/>
          <w:sz w:val="32"/>
          <w:szCs w:val="32"/>
        </w:rPr>
        <w:t>万元，其中：一般公共预算财政拨款收入</w:t>
      </w:r>
      <w:r>
        <w:rPr>
          <w:rFonts w:hint="eastAsia" w:ascii="仿宋_GB2312" w:hAnsi="仿宋" w:eastAsia="仿宋_GB2312"/>
          <w:sz w:val="32"/>
          <w:szCs w:val="32"/>
          <w:lang w:val="en-US" w:eastAsia="zh-CN"/>
        </w:rPr>
        <w:t>22520.28</w:t>
      </w:r>
      <w:r>
        <w:rPr>
          <w:rFonts w:hint="eastAsia" w:ascii="仿宋_GB2312" w:hAnsi="仿宋" w:eastAsia="仿宋_GB2312"/>
          <w:sz w:val="32"/>
          <w:szCs w:val="32"/>
        </w:rPr>
        <w:t>万元，占98.7</w:t>
      </w:r>
      <w:r>
        <w:rPr>
          <w:rFonts w:hint="eastAsia" w:ascii="仿宋_GB2312" w:hAnsi="仿宋" w:eastAsia="仿宋_GB2312"/>
          <w:sz w:val="32"/>
          <w:szCs w:val="32"/>
          <w:lang w:val="en-US" w:eastAsia="zh-CN"/>
        </w:rPr>
        <w:t>9</w:t>
      </w:r>
      <w:r>
        <w:rPr>
          <w:rFonts w:hint="eastAsia" w:ascii="仿宋_GB2312" w:hAnsi="仿宋" w:eastAsia="仿宋_GB2312"/>
          <w:sz w:val="32"/>
          <w:szCs w:val="32"/>
        </w:rPr>
        <w:t>%。政府性基金预算财政拨款收入276.60万元，占1.2</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jc w:val="center"/>
      </w:pPr>
      <w:r>
        <w:rPr>
          <w:color w:val="FF0000"/>
          <w:sz w:val="32"/>
          <w:szCs w:val="32"/>
        </w:rPr>
        <w:drawing>
          <wp:inline distT="0" distB="0" distL="0" distR="0">
            <wp:extent cx="4705350" cy="1619250"/>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20868.72</w:t>
      </w:r>
      <w:r>
        <w:rPr>
          <w:rFonts w:hint="eastAsia" w:ascii="仿宋" w:hAnsi="仿宋" w:eastAsia="仿宋"/>
          <w:sz w:val="32"/>
          <w:szCs w:val="32"/>
        </w:rPr>
        <w:t>万元，其中：基本支出</w:t>
      </w:r>
      <w:r>
        <w:rPr>
          <w:rFonts w:hint="eastAsia" w:ascii="仿宋" w:hAnsi="仿宋" w:eastAsia="仿宋"/>
          <w:sz w:val="32"/>
          <w:szCs w:val="32"/>
          <w:lang w:val="en-US" w:eastAsia="zh-CN"/>
        </w:rPr>
        <w:t>17687.62</w:t>
      </w:r>
      <w:r>
        <w:rPr>
          <w:rFonts w:hint="eastAsia" w:ascii="仿宋" w:hAnsi="仿宋" w:eastAsia="仿宋"/>
          <w:sz w:val="32"/>
          <w:szCs w:val="32"/>
        </w:rPr>
        <w:t>万元，占</w:t>
      </w:r>
      <w:r>
        <w:rPr>
          <w:rFonts w:hint="eastAsia" w:ascii="仿宋" w:hAnsi="仿宋" w:eastAsia="仿宋"/>
          <w:sz w:val="32"/>
          <w:szCs w:val="32"/>
          <w:lang w:val="en-US" w:eastAsia="zh-CN"/>
        </w:rPr>
        <w:t>84.76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3181.11</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15.24%</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jc w:val="center"/>
      </w:pPr>
      <w:r>
        <w:rPr>
          <w:color w:val="FF0000"/>
          <w:sz w:val="32"/>
          <w:szCs w:val="32"/>
        </w:rPr>
        <w:drawing>
          <wp:inline distT="0" distB="0" distL="0" distR="0">
            <wp:extent cx="4185285" cy="1676400"/>
            <wp:effectExtent l="0" t="0" r="5715" b="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年度财政拨款收入总计</w:t>
      </w:r>
      <w:r>
        <w:rPr>
          <w:rFonts w:hint="eastAsia" w:ascii="仿宋_GB2312" w:hAnsi="仿宋" w:eastAsia="仿宋_GB2312"/>
          <w:sz w:val="32"/>
          <w:szCs w:val="32"/>
          <w:lang w:val="en-US" w:eastAsia="zh-CN"/>
        </w:rPr>
        <w:t>23738.46</w:t>
      </w:r>
      <w:r>
        <w:rPr>
          <w:rFonts w:hint="eastAsia" w:ascii="仿宋_GB2312" w:hAnsi="仿宋" w:eastAsia="仿宋_GB2312"/>
          <w:sz w:val="32"/>
          <w:szCs w:val="32"/>
        </w:rPr>
        <w:t>万元，</w:t>
      </w:r>
      <w:r>
        <w:rPr>
          <w:rFonts w:hint="eastAsia" w:ascii="仿宋_GB2312" w:hAnsi="仿宋_GB2312" w:eastAsia="仿宋_GB2312" w:cs="仿宋_GB2312"/>
          <w:sz w:val="32"/>
          <w:szCs w:val="32"/>
        </w:rPr>
        <w:t>支出总计</w:t>
      </w:r>
      <w:r>
        <w:rPr>
          <w:rFonts w:hint="eastAsia" w:ascii="仿宋_GB2312" w:hAnsi="仿宋" w:eastAsia="仿宋_GB2312"/>
          <w:sz w:val="32"/>
          <w:szCs w:val="32"/>
          <w:lang w:val="en-US" w:eastAsia="zh-CN"/>
        </w:rPr>
        <w:t>20868.72</w:t>
      </w:r>
      <w:r>
        <w:rPr>
          <w:rFonts w:hint="eastAsia" w:ascii="仿宋_GB2312" w:hAnsi="仿宋_GB2312" w:eastAsia="仿宋_GB2312" w:cs="仿宋_GB2312"/>
          <w:sz w:val="32"/>
          <w:szCs w:val="32"/>
        </w:rPr>
        <w:t>万元。</w:t>
      </w:r>
      <w:r>
        <w:rPr>
          <w:rFonts w:hint="eastAsia" w:ascii="仿宋_GB2312" w:hAnsi="仿宋" w:eastAsia="仿宋_GB2312"/>
          <w:sz w:val="32"/>
          <w:szCs w:val="32"/>
        </w:rPr>
        <w:t>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年相比，收入总计增加</w:t>
      </w:r>
      <w:r>
        <w:rPr>
          <w:rFonts w:hint="eastAsia" w:ascii="仿宋_GB2312" w:hAnsi="仿宋" w:eastAsia="仿宋_GB2312"/>
          <w:sz w:val="32"/>
          <w:szCs w:val="32"/>
          <w:lang w:val="en-US" w:eastAsia="zh-CN"/>
        </w:rPr>
        <w:t>3828.38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16.13</w:t>
      </w:r>
      <w:r>
        <w:rPr>
          <w:rFonts w:hint="eastAsia" w:ascii="仿宋_GB2312" w:hAnsi="仿宋" w:eastAsia="仿宋_GB2312"/>
          <w:sz w:val="32"/>
          <w:szCs w:val="32"/>
        </w:rPr>
        <w:t>%；支出总计增加</w:t>
      </w:r>
      <w:r>
        <w:rPr>
          <w:rFonts w:hint="eastAsia" w:ascii="仿宋_GB2312" w:hAnsi="仿宋" w:eastAsia="仿宋_GB2312"/>
          <w:sz w:val="32"/>
          <w:szCs w:val="32"/>
          <w:lang w:val="en-US" w:eastAsia="zh-CN"/>
        </w:rPr>
        <w:t>1900.22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9.11</w:t>
      </w:r>
      <w:r>
        <w:rPr>
          <w:rFonts w:hint="eastAsia" w:ascii="仿宋_GB2312" w:hAnsi="仿宋" w:eastAsia="仿宋_GB2312"/>
          <w:sz w:val="32"/>
          <w:szCs w:val="32"/>
        </w:rPr>
        <w:t>%。主要变动原因是上级转移支付收入较上年增加，人员经费较上年增加。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jc w:val="center"/>
      </w:pPr>
      <w:r>
        <w:drawing>
          <wp:inline distT="0" distB="0" distL="0" distR="0">
            <wp:extent cx="3695700" cy="2400300"/>
            <wp:effectExtent l="0" t="0" r="0" b="0"/>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_GB2312" w:hAnsi="仿宋" w:eastAsia="仿宋_GB2312"/>
          <w:sz w:val="32"/>
          <w:szCs w:val="32"/>
        </w:rPr>
        <w:t>2023年一般公共预算财政拨款支出</w:t>
      </w:r>
      <w:r>
        <w:rPr>
          <w:rFonts w:hint="eastAsia" w:ascii="仿宋_GB2312" w:hAnsi="仿宋" w:eastAsia="仿宋_GB2312"/>
          <w:sz w:val="32"/>
          <w:szCs w:val="32"/>
          <w:lang w:val="en-US" w:eastAsia="zh-CN"/>
        </w:rPr>
        <w:t>20697.12</w:t>
      </w:r>
      <w:r>
        <w:rPr>
          <w:rFonts w:hint="eastAsia" w:ascii="仿宋_GB2312" w:hAnsi="仿宋" w:eastAsia="仿宋_GB2312"/>
          <w:sz w:val="32"/>
          <w:szCs w:val="32"/>
        </w:rPr>
        <w:t>万元，占本年支出合计的99.1</w:t>
      </w:r>
      <w:r>
        <w:rPr>
          <w:rFonts w:hint="eastAsia" w:ascii="仿宋_GB2312" w:hAnsi="仿宋" w:eastAsia="仿宋_GB2312"/>
          <w:sz w:val="32"/>
          <w:szCs w:val="32"/>
          <w:lang w:val="en-US" w:eastAsia="zh-CN"/>
        </w:rPr>
        <w:t>8</w:t>
      </w:r>
      <w:r>
        <w:rPr>
          <w:rFonts w:hint="eastAsia" w:ascii="仿宋_GB2312" w:hAnsi="仿宋" w:eastAsia="仿宋_GB2312"/>
          <w:sz w:val="32"/>
          <w:szCs w:val="32"/>
        </w:rPr>
        <w:t>%。与2022年相比，一般公共预算财政拨款支出增加</w:t>
      </w:r>
      <w:r>
        <w:rPr>
          <w:rFonts w:hint="eastAsia" w:ascii="仿宋_GB2312" w:hAnsi="仿宋" w:eastAsia="仿宋_GB2312"/>
          <w:sz w:val="32"/>
          <w:szCs w:val="32"/>
          <w:lang w:val="en-US" w:eastAsia="zh-CN"/>
        </w:rPr>
        <w:t>1728.62</w:t>
      </w:r>
      <w:r>
        <w:rPr>
          <w:rFonts w:hint="eastAsia" w:ascii="仿宋_GB2312" w:hAnsi="仿宋" w:eastAsia="仿宋_GB2312"/>
          <w:sz w:val="32"/>
          <w:szCs w:val="32"/>
        </w:rPr>
        <w:t>万元，增长8.</w:t>
      </w:r>
      <w:r>
        <w:rPr>
          <w:rFonts w:hint="eastAsia" w:ascii="仿宋_GB2312" w:hAnsi="仿宋" w:eastAsia="仿宋_GB2312"/>
          <w:sz w:val="32"/>
          <w:szCs w:val="32"/>
          <w:lang w:val="en-US" w:eastAsia="zh-CN"/>
        </w:rPr>
        <w:t>35</w:t>
      </w:r>
      <w:r>
        <w:rPr>
          <w:rFonts w:hint="eastAsia" w:ascii="仿宋_GB2312" w:hAnsi="仿宋" w:eastAsia="仿宋_GB2312"/>
          <w:sz w:val="32"/>
          <w:szCs w:val="32"/>
        </w:rPr>
        <w:t>%。主要变动原因是主要变动原因是人员增资、项目个数及经费增加。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jc w:val="center"/>
      </w:pPr>
      <w:r>
        <w:drawing>
          <wp:inline distT="0" distB="0" distL="0" distR="0">
            <wp:extent cx="4133850" cy="2428875"/>
            <wp:effectExtent l="0" t="0" r="0" b="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20697.12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24.78</w:t>
      </w:r>
      <w:r>
        <w:rPr>
          <w:rFonts w:hint="eastAsia" w:ascii="仿宋" w:hAnsi="仿宋" w:eastAsia="仿宋"/>
          <w:sz w:val="32"/>
          <w:szCs w:val="32"/>
        </w:rPr>
        <w:t>万元，占0.</w:t>
      </w: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一般公共安全支出</w:t>
      </w:r>
      <w:r>
        <w:rPr>
          <w:rFonts w:hint="eastAsia" w:ascii="仿宋" w:hAnsi="仿宋" w:eastAsia="仿宋"/>
          <w:sz w:val="32"/>
          <w:szCs w:val="32"/>
          <w:lang w:val="en-US" w:eastAsia="zh-CN"/>
        </w:rPr>
        <w:t>17838.47</w:t>
      </w:r>
      <w:r>
        <w:rPr>
          <w:rFonts w:hint="eastAsia" w:ascii="仿宋" w:hAnsi="仿宋" w:eastAsia="仿宋"/>
          <w:sz w:val="32"/>
          <w:szCs w:val="32"/>
        </w:rPr>
        <w:t>万元，占86.</w:t>
      </w:r>
      <w:r>
        <w:rPr>
          <w:rFonts w:hint="eastAsia" w:ascii="仿宋" w:hAnsi="仿宋" w:eastAsia="仿宋"/>
          <w:sz w:val="32"/>
          <w:szCs w:val="32"/>
          <w:lang w:val="en-US" w:eastAsia="zh-CN"/>
        </w:rPr>
        <w:t>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1610.76</w:t>
      </w:r>
      <w:r>
        <w:rPr>
          <w:rFonts w:hint="eastAsia" w:ascii="仿宋" w:hAnsi="仿宋" w:eastAsia="仿宋"/>
          <w:sz w:val="32"/>
          <w:szCs w:val="32"/>
        </w:rPr>
        <w:t>万元，占</w:t>
      </w:r>
      <w:r>
        <w:rPr>
          <w:rFonts w:hint="eastAsia" w:ascii="仿宋" w:hAnsi="仿宋" w:eastAsia="仿宋"/>
          <w:sz w:val="32"/>
          <w:szCs w:val="32"/>
          <w:lang w:val="en-US" w:eastAsia="zh-CN"/>
        </w:rPr>
        <w:t>7.78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407.25</w:t>
      </w:r>
      <w:r>
        <w:rPr>
          <w:rFonts w:hint="eastAsia" w:ascii="仿宋" w:hAnsi="仿宋" w:eastAsia="仿宋"/>
          <w:sz w:val="32"/>
          <w:szCs w:val="32"/>
        </w:rPr>
        <w:t>万元，占</w:t>
      </w:r>
      <w:r>
        <w:rPr>
          <w:rFonts w:hint="eastAsia" w:ascii="仿宋" w:hAnsi="仿宋" w:eastAsia="仿宋"/>
          <w:sz w:val="32"/>
          <w:szCs w:val="32"/>
          <w:lang w:val="en-US" w:eastAsia="zh-CN"/>
        </w:rPr>
        <w:t>1.97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815.52</w:t>
      </w:r>
      <w:r>
        <w:rPr>
          <w:rFonts w:hint="eastAsia" w:ascii="仿宋" w:hAnsi="仿宋" w:eastAsia="仿宋"/>
          <w:sz w:val="32"/>
          <w:szCs w:val="32"/>
        </w:rPr>
        <w:t>万元，占</w:t>
      </w:r>
      <w:r>
        <w:rPr>
          <w:rFonts w:hint="eastAsia" w:ascii="仿宋" w:hAnsi="仿宋" w:eastAsia="仿宋"/>
          <w:sz w:val="32"/>
          <w:szCs w:val="32"/>
          <w:lang w:val="en-US" w:eastAsia="zh-CN"/>
        </w:rPr>
        <w:t>3.94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jc w:val="center"/>
      </w:pPr>
      <w:r>
        <w:rPr>
          <w:rFonts w:ascii="仿宋" w:hAnsi="仿宋" w:eastAsia="仿宋"/>
          <w:color w:val="000000"/>
          <w:sz w:val="32"/>
          <w:szCs w:val="32"/>
        </w:rPr>
        <w:drawing>
          <wp:inline distT="0" distB="0" distL="0" distR="0">
            <wp:extent cx="4071620" cy="1647825"/>
            <wp:effectExtent l="4445" t="4445" r="1968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20697.12万元</w:t>
      </w:r>
      <w:r>
        <w:rPr>
          <w:rFonts w:hint="eastAsia" w:ascii="仿宋" w:hAnsi="仿宋" w:eastAsia="仿宋"/>
          <w:sz w:val="32"/>
          <w:szCs w:val="32"/>
        </w:rPr>
        <w:t>，</w:t>
      </w:r>
      <w:r>
        <w:rPr>
          <w:rFonts w:hint="eastAsia" w:ascii="仿宋" w:hAnsi="仿宋" w:eastAsia="仿宋"/>
          <w:b/>
          <w:bCs/>
          <w:sz w:val="32"/>
          <w:szCs w:val="32"/>
        </w:rPr>
        <w:t>完成预算</w:t>
      </w:r>
      <w:r>
        <w:rPr>
          <w:rFonts w:hint="eastAsia" w:ascii="仿宋" w:hAnsi="仿宋" w:eastAsia="仿宋"/>
          <w:b/>
          <w:bCs/>
          <w:sz w:val="32"/>
          <w:szCs w:val="32"/>
          <w:lang w:val="en-US" w:eastAsia="zh-CN"/>
        </w:rPr>
        <w:t>88.22</w:t>
      </w:r>
      <w:r>
        <w:rPr>
          <w:rFonts w:ascii="仿宋" w:hAnsi="仿宋" w:eastAsia="仿宋"/>
          <w:b/>
          <w:bCs/>
          <w:sz w:val="32"/>
          <w:szCs w:val="32"/>
        </w:rPr>
        <w:t>%</w:t>
      </w:r>
      <w:r>
        <w:rPr>
          <w:rFonts w:hint="eastAsia" w:ascii="仿宋" w:hAnsi="仿宋" w:eastAsia="仿宋"/>
          <w:b/>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Fonts w:ascii="仿宋" w:hAnsi="仿宋" w:eastAsia="仿宋"/>
          <w:b/>
          <w:bCs/>
          <w:sz w:val="32"/>
          <w:szCs w:val="32"/>
        </w:rPr>
        <w:t>1.</w:t>
      </w:r>
      <w:r>
        <w:rPr>
          <w:rFonts w:hint="eastAsia" w:ascii="仿宋" w:hAnsi="仿宋" w:eastAsia="仿宋"/>
          <w:b/>
          <w:bCs/>
          <w:sz w:val="32"/>
          <w:szCs w:val="32"/>
        </w:rPr>
        <w:t>一般公共服务（类）政府办公厅（室）及相关机构事务（款）信访事务（项）</w:t>
      </w:r>
      <w:r>
        <w:rPr>
          <w:rFonts w:ascii="仿宋" w:hAnsi="仿宋" w:eastAsia="仿宋"/>
          <w:b/>
          <w:bCs/>
          <w:sz w:val="32"/>
          <w:szCs w:val="32"/>
        </w:rPr>
        <w:t>:</w:t>
      </w:r>
      <w:r>
        <w:rPr>
          <w:rFonts w:ascii="仿宋" w:hAnsi="仿宋" w:eastAsia="仿宋"/>
          <w:bCs/>
          <w:sz w:val="32"/>
          <w:szCs w:val="32"/>
        </w:rPr>
        <w:t xml:space="preserve"> </w:t>
      </w:r>
      <w:r>
        <w:rPr>
          <w:rFonts w:hint="eastAsia" w:ascii="仿宋" w:hAnsi="仿宋" w:eastAsia="仿宋"/>
          <w:bCs/>
          <w:sz w:val="32"/>
          <w:szCs w:val="32"/>
        </w:rPr>
        <w:t>支出决算为</w:t>
      </w:r>
      <w:r>
        <w:rPr>
          <w:rFonts w:hint="eastAsia" w:ascii="仿宋" w:hAnsi="仿宋" w:eastAsia="仿宋"/>
          <w:bCs/>
          <w:sz w:val="32"/>
          <w:szCs w:val="32"/>
          <w:lang w:val="en-US" w:eastAsia="zh-CN"/>
        </w:rPr>
        <w:t>24.78</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，决算数等于预算数的主要原因是按预算执行完毕。</w:t>
      </w:r>
    </w:p>
    <w:p>
      <w:pPr>
        <w:spacing w:line="600" w:lineRule="exact"/>
        <w:ind w:firstLine="643" w:firstLineChars="200"/>
        <w:rPr>
          <w:rFonts w:ascii="仿宋" w:hAnsi="仿宋" w:eastAsia="仿宋"/>
          <w:bCs/>
          <w:sz w:val="32"/>
          <w:szCs w:val="32"/>
        </w:rPr>
      </w:pPr>
      <w:r>
        <w:rPr>
          <w:rFonts w:ascii="仿宋" w:hAnsi="仿宋" w:eastAsia="仿宋"/>
          <w:b/>
          <w:bCs/>
          <w:sz w:val="32"/>
          <w:szCs w:val="32"/>
        </w:rPr>
        <w:t>2.</w:t>
      </w:r>
      <w:r>
        <w:rPr>
          <w:rFonts w:hint="eastAsia" w:ascii="仿宋" w:hAnsi="仿宋" w:eastAsia="仿宋"/>
          <w:b/>
          <w:bCs/>
          <w:sz w:val="32"/>
          <w:szCs w:val="32"/>
        </w:rPr>
        <w:t>公共安全（类）公安（款）行政运行（项）：支</w:t>
      </w:r>
      <w:r>
        <w:rPr>
          <w:rFonts w:hint="eastAsia" w:ascii="仿宋" w:hAnsi="仿宋" w:eastAsia="仿宋"/>
          <w:bCs/>
          <w:sz w:val="32"/>
          <w:szCs w:val="32"/>
        </w:rPr>
        <w:t>出决算为</w:t>
      </w:r>
      <w:r>
        <w:rPr>
          <w:rFonts w:hint="eastAsia" w:ascii="仿宋" w:hAnsi="仿宋" w:eastAsia="仿宋"/>
          <w:bCs/>
          <w:sz w:val="32"/>
          <w:szCs w:val="32"/>
          <w:lang w:val="en-US" w:eastAsia="zh-CN"/>
        </w:rPr>
        <w:t>17838.46</w:t>
      </w:r>
      <w:r>
        <w:rPr>
          <w:rFonts w:hint="eastAsia" w:ascii="仿宋" w:hAnsi="仿宋" w:eastAsia="仿宋"/>
          <w:bCs/>
          <w:sz w:val="32"/>
          <w:szCs w:val="32"/>
        </w:rPr>
        <w:t>万元，完成预算</w:t>
      </w:r>
      <w:r>
        <w:rPr>
          <w:rFonts w:hint="eastAsia" w:ascii="仿宋" w:hAnsi="仿宋" w:eastAsia="仿宋"/>
          <w:bCs/>
          <w:sz w:val="32"/>
          <w:szCs w:val="32"/>
          <w:lang w:val="en-US" w:eastAsia="zh-CN"/>
        </w:rPr>
        <w:t>90.73</w:t>
      </w:r>
      <w:r>
        <w:rPr>
          <w:rFonts w:hint="eastAsia" w:ascii="仿宋" w:hAnsi="仿宋" w:eastAsia="仿宋"/>
          <w:bCs/>
          <w:sz w:val="32"/>
          <w:szCs w:val="32"/>
        </w:rPr>
        <w:t>%；</w:t>
      </w:r>
      <w:r>
        <w:rPr>
          <w:rFonts w:hint="eastAsia" w:ascii="仿宋" w:hAnsi="仿宋" w:eastAsia="仿宋"/>
          <w:b/>
          <w:bCs/>
          <w:sz w:val="32"/>
          <w:szCs w:val="32"/>
        </w:rPr>
        <w:t>信息化建设（项）</w:t>
      </w:r>
      <w:r>
        <w:rPr>
          <w:rFonts w:hint="eastAsia" w:ascii="仿宋" w:hAnsi="仿宋" w:eastAsia="仿宋"/>
          <w:bCs/>
          <w:sz w:val="32"/>
          <w:szCs w:val="32"/>
        </w:rPr>
        <w:t>支出决算</w:t>
      </w:r>
      <w:r>
        <w:rPr>
          <w:rFonts w:hint="eastAsia" w:ascii="仿宋" w:hAnsi="仿宋" w:eastAsia="仿宋"/>
          <w:bCs/>
          <w:sz w:val="32"/>
          <w:szCs w:val="32"/>
          <w:lang w:val="en-US" w:eastAsia="zh-CN"/>
        </w:rPr>
        <w:t>359.23</w:t>
      </w:r>
      <w:r>
        <w:rPr>
          <w:rFonts w:hint="eastAsia" w:ascii="仿宋" w:hAnsi="仿宋" w:eastAsia="仿宋"/>
          <w:bCs/>
          <w:sz w:val="32"/>
          <w:szCs w:val="32"/>
        </w:rPr>
        <w:t>万元，完成预算</w:t>
      </w:r>
      <w:r>
        <w:rPr>
          <w:rFonts w:hint="eastAsia" w:ascii="仿宋" w:hAnsi="仿宋" w:eastAsia="仿宋"/>
          <w:bCs/>
          <w:sz w:val="32"/>
          <w:szCs w:val="32"/>
          <w:lang w:val="en-US" w:eastAsia="zh-CN"/>
        </w:rPr>
        <w:t>15.25</w:t>
      </w:r>
      <w:r>
        <w:rPr>
          <w:rFonts w:hint="eastAsia" w:ascii="仿宋" w:hAnsi="仿宋" w:eastAsia="仿宋"/>
          <w:bCs/>
          <w:sz w:val="32"/>
          <w:szCs w:val="32"/>
        </w:rPr>
        <w:t>%；</w:t>
      </w:r>
      <w:r>
        <w:rPr>
          <w:rFonts w:hint="eastAsia" w:ascii="仿宋" w:hAnsi="仿宋" w:eastAsia="仿宋"/>
          <w:b/>
          <w:bCs/>
          <w:sz w:val="32"/>
          <w:szCs w:val="32"/>
        </w:rPr>
        <w:t>执法办案（项）</w:t>
      </w:r>
      <w:r>
        <w:rPr>
          <w:rFonts w:hint="eastAsia" w:ascii="仿宋" w:hAnsi="仿宋" w:eastAsia="仿宋"/>
          <w:bCs/>
          <w:sz w:val="32"/>
          <w:szCs w:val="32"/>
        </w:rPr>
        <w:t>支出决算</w:t>
      </w:r>
      <w:r>
        <w:rPr>
          <w:rFonts w:hint="eastAsia" w:ascii="仿宋" w:hAnsi="仿宋" w:eastAsia="仿宋"/>
          <w:bCs/>
          <w:sz w:val="32"/>
          <w:szCs w:val="32"/>
          <w:lang w:val="en-US" w:eastAsia="zh-CN"/>
        </w:rPr>
        <w:t>1729.25</w:t>
      </w:r>
      <w:r>
        <w:rPr>
          <w:rFonts w:hint="eastAsia" w:ascii="仿宋" w:hAnsi="仿宋" w:eastAsia="仿宋"/>
          <w:bCs/>
          <w:sz w:val="32"/>
          <w:szCs w:val="32"/>
        </w:rPr>
        <w:t>万元，完成预算</w:t>
      </w:r>
      <w:r>
        <w:rPr>
          <w:rFonts w:hint="eastAsia" w:ascii="仿宋" w:hAnsi="仿宋" w:eastAsia="仿宋"/>
          <w:bCs/>
          <w:sz w:val="32"/>
          <w:szCs w:val="32"/>
          <w:lang w:val="en-US" w:eastAsia="zh-CN"/>
        </w:rPr>
        <w:t>69.34</w:t>
      </w:r>
      <w:r>
        <w:rPr>
          <w:rFonts w:hint="eastAsia" w:ascii="仿宋" w:hAnsi="仿宋" w:eastAsia="仿宋"/>
          <w:bCs/>
          <w:sz w:val="32"/>
          <w:szCs w:val="32"/>
        </w:rPr>
        <w:t>%，决算数小于预算数的主要原因是政府采购项目未验收；</w:t>
      </w:r>
      <w:r>
        <w:rPr>
          <w:rFonts w:hint="eastAsia" w:ascii="仿宋" w:hAnsi="仿宋" w:eastAsia="仿宋"/>
          <w:b/>
          <w:bCs/>
          <w:sz w:val="32"/>
          <w:szCs w:val="32"/>
        </w:rPr>
        <w:t>事业运行（项）</w:t>
      </w:r>
      <w:r>
        <w:rPr>
          <w:rFonts w:hint="eastAsia" w:ascii="仿宋" w:hAnsi="仿宋" w:eastAsia="仿宋"/>
          <w:bCs/>
          <w:sz w:val="32"/>
          <w:szCs w:val="32"/>
        </w:rPr>
        <w:t>支出</w:t>
      </w:r>
      <w:bookmarkStart w:id="67" w:name="_GoBack"/>
      <w:bookmarkEnd w:id="67"/>
      <w:r>
        <w:rPr>
          <w:rFonts w:hint="eastAsia" w:ascii="仿宋" w:hAnsi="仿宋" w:eastAsia="仿宋"/>
          <w:bCs/>
          <w:sz w:val="32"/>
          <w:szCs w:val="32"/>
        </w:rPr>
        <w:t>决算</w:t>
      </w:r>
      <w:r>
        <w:rPr>
          <w:rFonts w:hint="eastAsia" w:ascii="仿宋" w:hAnsi="仿宋" w:eastAsia="仿宋"/>
          <w:bCs/>
          <w:sz w:val="32"/>
          <w:szCs w:val="32"/>
          <w:lang w:val="en-US" w:eastAsia="zh-CN"/>
        </w:rPr>
        <w:t>212</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lang w:eastAsia="zh-CN"/>
        </w:rPr>
        <w:t>，</w:t>
      </w:r>
      <w:r>
        <w:rPr>
          <w:rFonts w:hint="eastAsia" w:ascii="仿宋" w:hAnsi="仿宋" w:eastAsia="仿宋"/>
          <w:b/>
          <w:bCs w:val="0"/>
          <w:sz w:val="32"/>
          <w:szCs w:val="32"/>
          <w:lang w:eastAsia="zh-CN"/>
        </w:rPr>
        <w:t>其他公安支出（项）</w:t>
      </w:r>
      <w:r>
        <w:rPr>
          <w:rFonts w:hint="eastAsia" w:ascii="仿宋" w:hAnsi="仿宋" w:eastAsia="仿宋"/>
          <w:bCs/>
          <w:sz w:val="32"/>
          <w:szCs w:val="32"/>
          <w:lang w:eastAsia="zh-CN"/>
        </w:rPr>
        <w:t>支出决算</w:t>
      </w:r>
      <w:r>
        <w:rPr>
          <w:rFonts w:hint="eastAsia" w:ascii="仿宋" w:hAnsi="仿宋" w:eastAsia="仿宋"/>
          <w:bCs/>
          <w:sz w:val="32"/>
          <w:szCs w:val="32"/>
          <w:lang w:val="en-US" w:eastAsia="zh-CN"/>
        </w:rPr>
        <w:t>896.03万元，完成预算100%，</w:t>
      </w:r>
      <w:r>
        <w:rPr>
          <w:rStyle w:val="16"/>
          <w:rFonts w:hint="eastAsia" w:ascii="仿宋_GB2312" w:hAnsi="仿宋" w:eastAsia="仿宋_GB2312"/>
          <w:bCs/>
          <w:sz w:val="32"/>
          <w:szCs w:val="32"/>
        </w:rPr>
        <w:t>强制隔离戒毒（</w:t>
      </w:r>
      <w:r>
        <w:rPr>
          <w:rStyle w:val="16"/>
          <w:rFonts w:hint="eastAsia" w:ascii="仿宋_GB2312" w:hAnsi="仿宋" w:eastAsia="仿宋_GB2312"/>
          <w:bCs/>
          <w:sz w:val="32"/>
          <w:szCs w:val="32"/>
          <w:lang w:eastAsia="zh-CN"/>
        </w:rPr>
        <w:t>款</w:t>
      </w:r>
      <w:r>
        <w:rPr>
          <w:rStyle w:val="16"/>
          <w:rFonts w:hint="eastAsia" w:ascii="仿宋_GB2312" w:hAnsi="仿宋" w:eastAsia="仿宋_GB2312"/>
          <w:bCs/>
          <w:sz w:val="32"/>
          <w:szCs w:val="32"/>
        </w:rPr>
        <w:t>）</w:t>
      </w:r>
      <w:r>
        <w:rPr>
          <w:rStyle w:val="16"/>
          <w:rFonts w:hint="eastAsia" w:ascii="仿宋_GB2312" w:hAnsi="仿宋" w:eastAsia="仿宋_GB2312"/>
          <w:bCs/>
          <w:sz w:val="32"/>
          <w:szCs w:val="32"/>
          <w:lang w:eastAsia="zh-CN"/>
        </w:rPr>
        <w:t>其他强制隔离戒毒支出（项）</w:t>
      </w:r>
      <w:r>
        <w:rPr>
          <w:rStyle w:val="16"/>
          <w:rFonts w:hint="eastAsia" w:ascii="仿宋_GB2312" w:hAnsi="仿宋" w:eastAsia="仿宋_GB2312"/>
          <w:b w:val="0"/>
          <w:bCs/>
          <w:sz w:val="32"/>
          <w:szCs w:val="32"/>
        </w:rPr>
        <w:t>支出5万元，完成预算100%。</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3</w:t>
      </w:r>
      <w:r>
        <w:rPr>
          <w:rFonts w:hint="eastAsia" w:ascii="仿宋" w:hAnsi="仿宋" w:eastAsia="仿宋"/>
          <w:b/>
          <w:bCs/>
          <w:sz w:val="32"/>
          <w:szCs w:val="32"/>
        </w:rPr>
        <w:t>．社会保障和就业（类）人力资源和社会保障管理事务（款）引进人才费用（项）</w:t>
      </w:r>
      <w:r>
        <w:rPr>
          <w:rFonts w:ascii="仿宋" w:hAnsi="仿宋" w:eastAsia="仿宋"/>
          <w:b/>
          <w:bCs/>
          <w:sz w:val="32"/>
          <w:szCs w:val="32"/>
        </w:rPr>
        <w:t>:</w:t>
      </w:r>
      <w:r>
        <w:rPr>
          <w:rFonts w:ascii="仿宋" w:hAnsi="仿宋" w:eastAsia="仿宋"/>
          <w:bCs/>
          <w:sz w:val="32"/>
          <w:szCs w:val="32"/>
        </w:rPr>
        <w:t xml:space="preserve"> </w:t>
      </w:r>
      <w:r>
        <w:rPr>
          <w:rFonts w:hint="eastAsia" w:ascii="仿宋" w:hAnsi="仿宋" w:eastAsia="仿宋"/>
          <w:bCs/>
          <w:sz w:val="32"/>
          <w:szCs w:val="32"/>
        </w:rPr>
        <w:t>支出决算为</w:t>
      </w:r>
      <w:r>
        <w:rPr>
          <w:rFonts w:hint="eastAsia" w:ascii="仿宋" w:hAnsi="仿宋" w:eastAsia="仿宋"/>
          <w:bCs/>
          <w:sz w:val="32"/>
          <w:szCs w:val="32"/>
          <w:lang w:val="en-US" w:eastAsia="zh-CN"/>
        </w:rPr>
        <w:t>1</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b/>
          <w:bCs/>
          <w:sz w:val="32"/>
          <w:szCs w:val="32"/>
        </w:rPr>
        <w:t>行政事业单位养老支出（款）行政单位离退休（项）</w:t>
      </w:r>
      <w:r>
        <w:rPr>
          <w:rFonts w:hint="eastAsia" w:ascii="仿宋" w:hAnsi="仿宋" w:eastAsia="仿宋"/>
          <w:bCs/>
          <w:sz w:val="32"/>
          <w:szCs w:val="32"/>
        </w:rPr>
        <w:t>支出决算为</w:t>
      </w:r>
      <w:r>
        <w:rPr>
          <w:rFonts w:hint="eastAsia" w:ascii="仿宋" w:hAnsi="仿宋" w:eastAsia="仿宋"/>
          <w:bCs/>
          <w:sz w:val="32"/>
          <w:szCs w:val="32"/>
          <w:lang w:val="en-US" w:eastAsia="zh-CN"/>
        </w:rPr>
        <w:t>1500.2</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b/>
          <w:bCs/>
          <w:sz w:val="32"/>
          <w:szCs w:val="32"/>
        </w:rPr>
        <w:t>机关事业单位基本养老保险缴费支出（项）</w:t>
      </w:r>
      <w:r>
        <w:rPr>
          <w:rFonts w:hint="eastAsia" w:ascii="仿宋" w:hAnsi="仿宋" w:eastAsia="仿宋"/>
          <w:bCs/>
          <w:sz w:val="32"/>
          <w:szCs w:val="32"/>
        </w:rPr>
        <w:t>支出决算为</w:t>
      </w:r>
      <w:r>
        <w:rPr>
          <w:rFonts w:hint="eastAsia" w:ascii="仿宋" w:hAnsi="仿宋" w:eastAsia="仿宋"/>
          <w:bCs/>
          <w:sz w:val="32"/>
          <w:szCs w:val="32"/>
          <w:lang w:val="en-US" w:eastAsia="zh-CN"/>
        </w:rPr>
        <w:t>982.98</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b/>
          <w:bCs/>
          <w:sz w:val="32"/>
          <w:szCs w:val="32"/>
        </w:rPr>
        <w:t>机关事业单位职业年金缴费支出（项）</w:t>
      </w:r>
      <w:r>
        <w:rPr>
          <w:rFonts w:hint="eastAsia" w:ascii="仿宋" w:hAnsi="仿宋" w:eastAsia="仿宋"/>
          <w:bCs/>
          <w:sz w:val="32"/>
          <w:szCs w:val="32"/>
        </w:rPr>
        <w:t>支出决算为</w:t>
      </w:r>
      <w:r>
        <w:rPr>
          <w:rFonts w:hint="eastAsia" w:ascii="仿宋" w:hAnsi="仿宋" w:eastAsia="仿宋"/>
          <w:bCs/>
          <w:sz w:val="32"/>
          <w:szCs w:val="32"/>
          <w:lang w:val="en-US" w:eastAsia="zh-CN"/>
        </w:rPr>
        <w:t>171.79</w:t>
      </w:r>
      <w:r>
        <w:rPr>
          <w:rFonts w:hint="eastAsia" w:ascii="仿宋" w:hAnsi="仿宋" w:eastAsia="仿宋"/>
          <w:bCs/>
          <w:sz w:val="32"/>
          <w:szCs w:val="32"/>
        </w:rPr>
        <w:t>万元，完成预算100%；</w:t>
      </w:r>
      <w:r>
        <w:rPr>
          <w:rStyle w:val="16"/>
          <w:rFonts w:hint="eastAsia" w:ascii="仿宋_GB2312" w:hAnsi="仿宋" w:eastAsia="仿宋_GB2312"/>
          <w:bCs/>
          <w:sz w:val="32"/>
          <w:szCs w:val="32"/>
        </w:rPr>
        <w:t>其他行政事业单位养老（项）</w:t>
      </w:r>
      <w:r>
        <w:rPr>
          <w:rStyle w:val="16"/>
          <w:rFonts w:hint="eastAsia" w:ascii="仿宋_GB2312" w:hAnsi="仿宋" w:eastAsia="仿宋_GB2312"/>
          <w:b w:val="0"/>
          <w:bCs w:val="0"/>
          <w:sz w:val="32"/>
          <w:szCs w:val="32"/>
          <w:lang w:eastAsia="zh-CN"/>
        </w:rPr>
        <w:t>支出决算</w:t>
      </w:r>
      <w:r>
        <w:rPr>
          <w:rStyle w:val="16"/>
          <w:rFonts w:hint="eastAsia" w:ascii="仿宋_GB2312" w:hAnsi="仿宋" w:eastAsia="仿宋_GB2312"/>
          <w:b w:val="0"/>
          <w:bCs w:val="0"/>
          <w:sz w:val="32"/>
          <w:szCs w:val="32"/>
          <w:lang w:val="en-US" w:eastAsia="zh-CN"/>
        </w:rPr>
        <w:t>2.39万元，</w:t>
      </w:r>
      <w:r>
        <w:rPr>
          <w:rStyle w:val="16"/>
          <w:rFonts w:hint="eastAsia" w:ascii="仿宋_GB2312" w:hAnsi="仿宋" w:eastAsia="仿宋_GB2312"/>
          <w:b w:val="0"/>
          <w:bCs/>
          <w:sz w:val="32"/>
          <w:szCs w:val="32"/>
        </w:rPr>
        <w:t>完成预算100%</w:t>
      </w:r>
      <w:r>
        <w:rPr>
          <w:rStyle w:val="16"/>
          <w:rFonts w:hint="eastAsia" w:ascii="仿宋_GB2312" w:hAnsi="仿宋" w:eastAsia="仿宋_GB2312"/>
          <w:bCs/>
          <w:sz w:val="32"/>
          <w:szCs w:val="32"/>
          <w:lang w:val="en-US" w:eastAsia="zh-CN"/>
        </w:rPr>
        <w:t>，</w:t>
      </w:r>
      <w:r>
        <w:rPr>
          <w:rFonts w:hint="eastAsia" w:ascii="仿宋" w:hAnsi="仿宋" w:eastAsia="仿宋"/>
          <w:b/>
          <w:bCs/>
          <w:sz w:val="32"/>
          <w:szCs w:val="32"/>
        </w:rPr>
        <w:t>抚恤（款）死亡抚恤（项）</w:t>
      </w:r>
      <w:r>
        <w:rPr>
          <w:rFonts w:hint="eastAsia" w:ascii="仿宋" w:hAnsi="仿宋" w:eastAsia="仿宋"/>
          <w:bCs/>
          <w:sz w:val="32"/>
          <w:szCs w:val="32"/>
        </w:rPr>
        <w:t>支出决算为</w:t>
      </w:r>
      <w:r>
        <w:rPr>
          <w:rFonts w:hint="eastAsia" w:ascii="仿宋" w:hAnsi="仿宋" w:eastAsia="仿宋"/>
          <w:bCs/>
          <w:sz w:val="32"/>
          <w:szCs w:val="32"/>
          <w:lang w:val="en-US" w:eastAsia="zh-CN"/>
        </w:rPr>
        <w:t>109.56</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p>
    <w:p>
      <w:pPr>
        <w:spacing w:line="600" w:lineRule="exact"/>
        <w:ind w:firstLine="643" w:firstLineChars="200"/>
        <w:rPr>
          <w:rFonts w:ascii="仿宋" w:hAnsi="仿宋" w:eastAsia="仿宋"/>
          <w:bCs/>
          <w:sz w:val="32"/>
          <w:szCs w:val="32"/>
        </w:rPr>
      </w:pPr>
      <w:r>
        <w:rPr>
          <w:rFonts w:hint="eastAsia" w:ascii="仿宋" w:hAnsi="仿宋" w:eastAsia="仿宋"/>
          <w:b/>
          <w:bCs/>
          <w:sz w:val="32"/>
          <w:szCs w:val="32"/>
        </w:rPr>
        <w:t>4</w:t>
      </w:r>
      <w:r>
        <w:rPr>
          <w:rFonts w:ascii="仿宋" w:hAnsi="仿宋" w:eastAsia="仿宋"/>
          <w:b/>
          <w:bCs/>
          <w:sz w:val="32"/>
          <w:szCs w:val="32"/>
        </w:rPr>
        <w:t>.</w:t>
      </w:r>
      <w:r>
        <w:rPr>
          <w:rFonts w:hint="eastAsia" w:ascii="仿宋" w:hAnsi="仿宋" w:eastAsia="仿宋"/>
          <w:b/>
          <w:bCs/>
          <w:sz w:val="32"/>
          <w:szCs w:val="32"/>
        </w:rPr>
        <w:t>卫生健康（类）公共卫生（款）突发公共卫生事件应急处理（项）</w:t>
      </w:r>
      <w:r>
        <w:rPr>
          <w:rFonts w:ascii="仿宋" w:hAnsi="仿宋" w:eastAsia="仿宋"/>
          <w:b/>
          <w:bCs/>
          <w:sz w:val="32"/>
          <w:szCs w:val="32"/>
        </w:rPr>
        <w:t>:</w:t>
      </w:r>
      <w:r>
        <w:rPr>
          <w:rFonts w:hint="eastAsia" w:ascii="仿宋" w:hAnsi="仿宋" w:eastAsia="仿宋"/>
          <w:bCs/>
          <w:sz w:val="32"/>
          <w:szCs w:val="32"/>
        </w:rPr>
        <w:t>支出决算为</w:t>
      </w:r>
      <w:r>
        <w:rPr>
          <w:rFonts w:hint="eastAsia" w:ascii="仿宋" w:hAnsi="仿宋" w:eastAsia="仿宋"/>
          <w:bCs/>
          <w:sz w:val="32"/>
          <w:szCs w:val="32"/>
          <w:lang w:val="en-US" w:eastAsia="zh-CN"/>
        </w:rPr>
        <w:t>407.25</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b/>
          <w:bCs/>
          <w:sz w:val="32"/>
          <w:szCs w:val="32"/>
        </w:rPr>
        <w:t>事业单位医疗（项）</w:t>
      </w:r>
      <w:r>
        <w:rPr>
          <w:rFonts w:ascii="仿宋" w:hAnsi="仿宋" w:eastAsia="仿宋"/>
          <w:b/>
          <w:bCs/>
          <w:sz w:val="32"/>
          <w:szCs w:val="32"/>
        </w:rPr>
        <w:t>:</w:t>
      </w:r>
      <w:r>
        <w:rPr>
          <w:rFonts w:hint="eastAsia" w:ascii="仿宋" w:hAnsi="仿宋" w:eastAsia="仿宋"/>
          <w:bCs/>
          <w:sz w:val="32"/>
          <w:szCs w:val="32"/>
        </w:rPr>
        <w:t>支出决算为</w:t>
      </w:r>
      <w:r>
        <w:rPr>
          <w:rFonts w:hint="eastAsia" w:ascii="仿宋" w:hAnsi="仿宋" w:eastAsia="仿宋"/>
          <w:bCs/>
          <w:sz w:val="32"/>
          <w:szCs w:val="32"/>
          <w:lang w:val="en-US" w:eastAsia="zh-CN"/>
        </w:rPr>
        <w:t>291.59</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r>
        <w:rPr>
          <w:rFonts w:hint="eastAsia" w:ascii="仿宋" w:hAnsi="仿宋" w:eastAsia="仿宋"/>
          <w:b/>
          <w:bCs/>
          <w:sz w:val="32"/>
          <w:szCs w:val="32"/>
        </w:rPr>
        <w:t>公务医疗补助（项）</w:t>
      </w:r>
      <w:r>
        <w:rPr>
          <w:rFonts w:ascii="仿宋" w:hAnsi="仿宋" w:eastAsia="仿宋"/>
          <w:b/>
          <w:bCs/>
          <w:sz w:val="32"/>
          <w:szCs w:val="32"/>
        </w:rPr>
        <w:t>:</w:t>
      </w:r>
      <w:r>
        <w:rPr>
          <w:rFonts w:hint="eastAsia" w:ascii="仿宋" w:hAnsi="仿宋" w:eastAsia="仿宋"/>
          <w:bCs/>
          <w:sz w:val="32"/>
          <w:szCs w:val="32"/>
        </w:rPr>
        <w:t>支出决算为</w:t>
      </w:r>
      <w:r>
        <w:rPr>
          <w:rFonts w:hint="eastAsia" w:ascii="仿宋" w:hAnsi="仿宋" w:eastAsia="仿宋"/>
          <w:bCs/>
          <w:sz w:val="32"/>
          <w:szCs w:val="32"/>
          <w:lang w:val="en-US" w:eastAsia="zh-CN"/>
        </w:rPr>
        <w:t>109.69</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p>
    <w:p>
      <w:pPr>
        <w:spacing w:line="600" w:lineRule="exact"/>
        <w:ind w:firstLine="643" w:firstLineChars="200"/>
        <w:rPr>
          <w:rFonts w:ascii="仿宋" w:hAnsi="仿宋" w:eastAsia="仿宋"/>
          <w:bCs/>
          <w:sz w:val="32"/>
          <w:szCs w:val="32"/>
        </w:rPr>
      </w:pPr>
      <w:r>
        <w:rPr>
          <w:rFonts w:hint="eastAsia" w:ascii="仿宋" w:hAnsi="仿宋" w:eastAsia="仿宋"/>
          <w:b/>
          <w:bCs/>
          <w:sz w:val="32"/>
          <w:szCs w:val="32"/>
        </w:rPr>
        <w:t>5</w:t>
      </w:r>
      <w:r>
        <w:rPr>
          <w:rFonts w:ascii="仿宋" w:hAnsi="仿宋" w:eastAsia="仿宋"/>
          <w:b/>
          <w:bCs/>
          <w:sz w:val="32"/>
          <w:szCs w:val="32"/>
        </w:rPr>
        <w:t>.</w:t>
      </w:r>
      <w:r>
        <w:rPr>
          <w:rFonts w:hint="eastAsia" w:ascii="仿宋" w:hAnsi="仿宋" w:eastAsia="仿宋"/>
          <w:b/>
          <w:bCs/>
          <w:sz w:val="32"/>
          <w:szCs w:val="32"/>
        </w:rPr>
        <w:t>住房保障支出（类）住房改革支出（款）住房公积金（项）</w:t>
      </w:r>
      <w:r>
        <w:rPr>
          <w:rFonts w:ascii="仿宋" w:hAnsi="仿宋" w:eastAsia="仿宋"/>
          <w:b/>
          <w:bCs/>
          <w:sz w:val="32"/>
          <w:szCs w:val="32"/>
        </w:rPr>
        <w:t>:</w:t>
      </w:r>
      <w:r>
        <w:rPr>
          <w:rFonts w:hint="eastAsia" w:ascii="仿宋" w:hAnsi="仿宋" w:eastAsia="仿宋"/>
          <w:bCs/>
          <w:sz w:val="32"/>
          <w:szCs w:val="32"/>
        </w:rPr>
        <w:t>支出决算为</w:t>
      </w:r>
      <w:r>
        <w:rPr>
          <w:rFonts w:hint="eastAsia" w:ascii="仿宋" w:hAnsi="仿宋" w:eastAsia="仿宋"/>
          <w:bCs/>
          <w:sz w:val="32"/>
          <w:szCs w:val="32"/>
          <w:lang w:val="en-US" w:eastAsia="zh-CN"/>
        </w:rPr>
        <w:t>815.51</w:t>
      </w:r>
      <w:r>
        <w:rPr>
          <w:rFonts w:hint="eastAsia" w:ascii="仿宋" w:hAnsi="仿宋" w:eastAsia="仿宋"/>
          <w:bCs/>
          <w:sz w:val="32"/>
          <w:szCs w:val="32"/>
        </w:rPr>
        <w:t>万元，完成预算100</w:t>
      </w:r>
      <w:r>
        <w:rPr>
          <w:rFonts w:ascii="仿宋" w:hAnsi="仿宋" w:eastAsia="仿宋"/>
          <w:bCs/>
          <w:sz w:val="32"/>
          <w:szCs w:val="32"/>
        </w:rPr>
        <w:t>%</w:t>
      </w:r>
      <w:r>
        <w:rPr>
          <w:rFonts w:hint="eastAsia" w:ascii="仿宋" w:hAnsi="仿宋" w:eastAsia="仿宋"/>
          <w:bCs/>
          <w:sz w:val="32"/>
          <w:szCs w:val="32"/>
        </w:rPr>
        <w:t>。</w:t>
      </w: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17687.62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14858.76</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职工基本医疗保险缴费、公务员医疗补助缴费、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住房公积金、医疗费、</w:t>
      </w:r>
      <w:r>
        <w:rPr>
          <w:rFonts w:hint="eastAsia" w:ascii="仿宋" w:hAnsi="仿宋" w:eastAsia="仿宋"/>
          <w:sz w:val="32"/>
          <w:szCs w:val="32"/>
        </w:rPr>
        <w:t>其他工资福利支出、</w:t>
      </w:r>
      <w:r>
        <w:rPr>
          <w:rFonts w:hint="eastAsia" w:ascii="仿宋" w:hAnsi="仿宋" w:eastAsia="仿宋"/>
          <w:sz w:val="32"/>
          <w:szCs w:val="32"/>
          <w:lang w:eastAsia="zh-CN"/>
        </w:rPr>
        <w:t>对个人和家庭的补助、离休费、</w:t>
      </w:r>
      <w:r>
        <w:rPr>
          <w:rFonts w:hint="eastAsia" w:ascii="仿宋" w:hAnsi="仿宋" w:eastAsia="仿宋"/>
          <w:sz w:val="32"/>
          <w:szCs w:val="32"/>
        </w:rPr>
        <w:t>退休费、</w:t>
      </w:r>
      <w:r>
        <w:rPr>
          <w:rFonts w:hint="eastAsia" w:ascii="仿宋" w:hAnsi="仿宋" w:eastAsia="仿宋"/>
          <w:sz w:val="32"/>
          <w:szCs w:val="32"/>
          <w:lang w:eastAsia="zh-CN"/>
        </w:rPr>
        <w:t>退职（役）费、</w:t>
      </w:r>
      <w:r>
        <w:rPr>
          <w:rFonts w:hint="eastAsia" w:ascii="仿宋" w:hAnsi="仿宋" w:eastAsia="仿宋"/>
          <w:sz w:val="32"/>
          <w:szCs w:val="32"/>
        </w:rPr>
        <w:t>抚恤金、生活补助、</w:t>
      </w:r>
      <w:r>
        <w:rPr>
          <w:rFonts w:hint="eastAsia" w:ascii="仿宋" w:hAnsi="仿宋" w:eastAsia="仿宋"/>
          <w:sz w:val="32"/>
          <w:szCs w:val="32"/>
          <w:lang w:eastAsia="zh-CN"/>
        </w:rPr>
        <w:t>救济费、助学金、</w:t>
      </w:r>
      <w:r>
        <w:rPr>
          <w:rFonts w:hint="eastAsia" w:ascii="仿宋" w:hAnsi="仿宋" w:eastAsia="仿宋"/>
          <w:sz w:val="32"/>
          <w:szCs w:val="32"/>
        </w:rPr>
        <w:t>奖励金、</w:t>
      </w:r>
      <w:r>
        <w:rPr>
          <w:rFonts w:hint="eastAsia" w:ascii="仿宋" w:hAnsi="仿宋" w:eastAsia="仿宋"/>
          <w:sz w:val="32"/>
          <w:szCs w:val="32"/>
          <w:lang w:eastAsia="zh-CN"/>
        </w:rPr>
        <w:t>代缴社会保险费、其他对个人和家庭的补助</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2828.85</w:t>
      </w:r>
      <w:r>
        <w:rPr>
          <w:rFonts w:hint="eastAsia" w:ascii="仿宋" w:hAnsi="仿宋" w:eastAsia="仿宋"/>
          <w:sz w:val="32"/>
          <w:szCs w:val="32"/>
        </w:rPr>
        <w:t>万元，主要包括：办公费、印刷费、</w:t>
      </w:r>
      <w:r>
        <w:rPr>
          <w:rFonts w:hint="eastAsia" w:ascii="仿宋" w:hAnsi="仿宋" w:eastAsia="仿宋"/>
          <w:sz w:val="32"/>
          <w:szCs w:val="32"/>
          <w:lang w:eastAsia="zh-CN"/>
        </w:rPr>
        <w:t>咨询费、</w:t>
      </w:r>
      <w:r>
        <w:rPr>
          <w:rFonts w:hint="eastAsia" w:ascii="仿宋" w:hAnsi="仿宋" w:eastAsia="仿宋"/>
          <w:sz w:val="32"/>
          <w:szCs w:val="32"/>
        </w:rPr>
        <w:t>手续费、水费、电费、邮电费、</w:t>
      </w:r>
      <w:r>
        <w:rPr>
          <w:rFonts w:hint="eastAsia" w:ascii="仿宋" w:hAnsi="仿宋" w:eastAsia="仿宋"/>
          <w:sz w:val="32"/>
          <w:szCs w:val="32"/>
          <w:lang w:eastAsia="zh-CN"/>
        </w:rPr>
        <w:t>取暖费、</w:t>
      </w:r>
      <w:r>
        <w:rPr>
          <w:rFonts w:hint="eastAsia" w:ascii="仿宋" w:hAnsi="仿宋" w:eastAsia="仿宋"/>
          <w:sz w:val="32"/>
          <w:szCs w:val="32"/>
        </w:rPr>
        <w:t>物业管理费、差旅费、</w:t>
      </w:r>
      <w:r>
        <w:rPr>
          <w:rFonts w:hint="eastAsia" w:ascii="仿宋" w:hAnsi="仿宋" w:eastAsia="仿宋"/>
          <w:sz w:val="32"/>
          <w:szCs w:val="32"/>
          <w:lang w:eastAsia="zh-CN"/>
        </w:rPr>
        <w:t>因公出国（境）费用、</w:t>
      </w:r>
      <w:r>
        <w:rPr>
          <w:rFonts w:hint="eastAsia" w:ascii="仿宋" w:hAnsi="仿宋" w:eastAsia="仿宋"/>
          <w:sz w:val="32"/>
          <w:szCs w:val="32"/>
        </w:rPr>
        <w:t>维修（护）费、租赁费、会议费、培训费、公务接待费、</w:t>
      </w:r>
      <w:r>
        <w:rPr>
          <w:rFonts w:hint="eastAsia" w:ascii="仿宋" w:hAnsi="仿宋" w:eastAsia="仿宋"/>
          <w:sz w:val="32"/>
          <w:szCs w:val="32"/>
          <w:lang w:eastAsia="zh-CN"/>
        </w:rPr>
        <w:t>专用材料费、</w:t>
      </w:r>
      <w:r>
        <w:rPr>
          <w:rFonts w:hint="eastAsia" w:ascii="仿宋" w:hAnsi="仿宋" w:eastAsia="仿宋"/>
          <w:sz w:val="32"/>
          <w:szCs w:val="32"/>
        </w:rPr>
        <w:t>劳务费、委托业务费、工会经费、</w:t>
      </w:r>
      <w:r>
        <w:rPr>
          <w:rFonts w:hint="eastAsia" w:ascii="仿宋" w:hAnsi="仿宋" w:eastAsia="仿宋"/>
          <w:sz w:val="32"/>
          <w:szCs w:val="32"/>
          <w:lang w:eastAsia="zh-CN"/>
        </w:rPr>
        <w:t>福利费、</w:t>
      </w:r>
      <w:r>
        <w:rPr>
          <w:rFonts w:hint="eastAsia" w:ascii="仿宋" w:hAnsi="仿宋" w:eastAsia="仿宋"/>
          <w:sz w:val="32"/>
          <w:szCs w:val="32"/>
        </w:rPr>
        <w:t>公务用车运行维护费、其他交通费、其他商品和服务支出、</w:t>
      </w:r>
      <w:r>
        <w:rPr>
          <w:rFonts w:hint="eastAsia" w:ascii="仿宋" w:hAnsi="仿宋" w:eastAsia="仿宋"/>
          <w:sz w:val="32"/>
          <w:szCs w:val="32"/>
          <w:lang w:eastAsia="zh-CN"/>
        </w:rPr>
        <w:t>资本性支出、</w:t>
      </w:r>
      <w:r>
        <w:rPr>
          <w:rFonts w:hint="eastAsia" w:ascii="仿宋" w:hAnsi="仿宋" w:eastAsia="仿宋"/>
          <w:sz w:val="32"/>
          <w:szCs w:val="32"/>
        </w:rPr>
        <w:t>办公设备购置、专用设备购置、</w:t>
      </w:r>
      <w:r>
        <w:rPr>
          <w:rFonts w:hint="eastAsia" w:ascii="仿宋" w:hAnsi="仿宋" w:eastAsia="仿宋"/>
          <w:sz w:val="32"/>
          <w:szCs w:val="32"/>
          <w:lang w:eastAsia="zh-CN"/>
        </w:rPr>
        <w:t>公务用车购置、</w:t>
      </w:r>
      <w:r>
        <w:rPr>
          <w:rFonts w:hint="eastAsia" w:ascii="仿宋" w:hAnsi="仿宋" w:eastAsia="仿宋"/>
          <w:sz w:val="32"/>
          <w:szCs w:val="32"/>
        </w:rPr>
        <w:t>其他资本性支出等。</w:t>
      </w: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lang w:eastAsia="zh-CN"/>
        </w:rPr>
        <w:t>七</w:t>
      </w:r>
      <w:r>
        <w:rPr>
          <w:rFonts w:hint="eastAsia" w:ascii="黑体" w:eastAsia="黑体"/>
          <w:sz w:val="32"/>
          <w:szCs w:val="32"/>
        </w:rPr>
        <w:t>、</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398.16</w:t>
      </w:r>
      <w:r>
        <w:rPr>
          <w:rFonts w:hint="eastAsia" w:ascii="仿宋" w:hAnsi="仿宋" w:eastAsia="仿宋"/>
          <w:sz w:val="32"/>
          <w:szCs w:val="32"/>
        </w:rPr>
        <w:t>万元，完成预算</w:t>
      </w:r>
      <w:r>
        <w:rPr>
          <w:rFonts w:hint="eastAsia" w:ascii="仿宋" w:hAnsi="仿宋" w:eastAsia="仿宋"/>
          <w:sz w:val="32"/>
          <w:szCs w:val="32"/>
          <w:lang w:val="en-US" w:eastAsia="zh-CN"/>
        </w:rPr>
        <w:t>98.33</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45.94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10.34</w:t>
      </w:r>
      <w:r>
        <w:rPr>
          <w:rFonts w:hint="eastAsia" w:ascii="仿宋" w:hAnsi="仿宋" w:eastAsia="仿宋"/>
          <w:sz w:val="32"/>
          <w:szCs w:val="32"/>
        </w:rPr>
        <w:t>%。决算数小于预算数的主要原因是公务用车购置略有结余。</w:t>
      </w:r>
    </w:p>
    <w:p>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39" w:name="_Toc15377217"/>
      <w:r>
        <w:rPr>
          <w:rFonts w:hint="eastAsia" w:ascii="仿宋" w:hAnsi="仿宋" w:eastAsia="仿宋"/>
          <w:b/>
          <w:color w:val="000000" w:themeColor="text1"/>
          <w:sz w:val="32"/>
          <w:szCs w:val="32"/>
          <w14:textFill>
            <w14:solidFill>
              <w14:schemeClr w14:val="tx1"/>
            </w14:solidFill>
          </w14:textFill>
        </w:rPr>
        <w:t>（二）“三公”经费财政拨款支出决算具体情况说明</w:t>
      </w:r>
      <w:bookmarkEnd w:id="39"/>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年“三公”经费财政拨款支出决算中，因公出国（境）费支出决算</w:t>
      </w:r>
      <w:r>
        <w:rPr>
          <w:rFonts w:hint="eastAsia" w:ascii="仿宋" w:hAnsi="仿宋" w:eastAsia="仿宋"/>
          <w:color w:val="000000" w:themeColor="text1"/>
          <w:sz w:val="32"/>
          <w:szCs w:val="32"/>
          <w:lang w:val="en-US" w:eastAsia="zh-CN"/>
          <w14:textFill>
            <w14:solidFill>
              <w14:schemeClr w14:val="tx1"/>
            </w14:solidFill>
          </w14:textFill>
        </w:rPr>
        <w:t>2.53</w:t>
      </w:r>
      <w:r>
        <w:rPr>
          <w:rFonts w:hint="eastAsia" w:ascii="仿宋" w:hAnsi="仿宋" w:eastAsia="仿宋"/>
          <w:color w:val="000000" w:themeColor="text1"/>
          <w:sz w:val="32"/>
          <w:szCs w:val="32"/>
          <w14:textFill>
            <w14:solidFill>
              <w14:schemeClr w14:val="tx1"/>
            </w14:solidFill>
          </w14:textFill>
        </w:rPr>
        <w:t>万元，占0</w:t>
      </w:r>
      <w:r>
        <w:rPr>
          <w:rFonts w:hint="eastAsia" w:ascii="仿宋" w:hAnsi="仿宋" w:eastAsia="仿宋"/>
          <w:color w:val="000000" w:themeColor="text1"/>
          <w:sz w:val="32"/>
          <w:szCs w:val="32"/>
          <w:lang w:val="en-US" w:eastAsia="zh-CN"/>
          <w14:textFill>
            <w14:solidFill>
              <w14:schemeClr w14:val="tx1"/>
            </w14:solidFill>
          </w14:textFill>
        </w:rPr>
        <w:t>.64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；公务用车购置及运行维护费支出决算</w:t>
      </w:r>
      <w:r>
        <w:rPr>
          <w:rFonts w:hint="eastAsia" w:ascii="仿宋" w:hAnsi="仿宋" w:eastAsia="仿宋"/>
          <w:color w:val="000000" w:themeColor="text1"/>
          <w:sz w:val="32"/>
          <w:szCs w:val="32"/>
          <w:lang w:val="en-US" w:eastAsia="zh-CN"/>
          <w14:textFill>
            <w14:solidFill>
              <w14:schemeClr w14:val="tx1"/>
            </w14:solidFill>
          </w14:textFill>
        </w:rPr>
        <w:t>394.72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99.14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；公务接待费支出决算</w:t>
      </w:r>
      <w:r>
        <w:rPr>
          <w:rFonts w:hint="eastAsia" w:ascii="仿宋" w:hAnsi="仿宋" w:eastAsia="仿宋"/>
          <w:color w:val="000000" w:themeColor="text1"/>
          <w:sz w:val="32"/>
          <w:szCs w:val="32"/>
          <w:lang w:val="en-US" w:eastAsia="zh-CN"/>
          <w14:textFill>
            <w14:solidFill>
              <w14:schemeClr w14:val="tx1"/>
            </w14:solidFill>
          </w14:textFill>
        </w:rPr>
        <w:t>0.91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jc w:val="center"/>
      </w:pPr>
      <w:r>
        <w:rPr>
          <w:rFonts w:ascii="仿宋" w:hAnsi="仿宋" w:eastAsia="仿宋"/>
          <w:color w:val="000000"/>
          <w:sz w:val="32"/>
          <w:szCs w:val="32"/>
        </w:rPr>
        <w:drawing>
          <wp:inline distT="0" distB="0" distL="0" distR="0">
            <wp:extent cx="4927600" cy="1647825"/>
            <wp:effectExtent l="4445" t="4445" r="2095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bookmarkStart w:id="40" w:name="_Toc15396610"/>
      <w:bookmarkStart w:id="41"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2.53</w:t>
      </w:r>
      <w:r>
        <w:rPr>
          <w:rFonts w:hint="eastAsia" w:ascii="仿宋_GB2312" w:eastAsia="仿宋_GB2312"/>
          <w:sz w:val="32"/>
          <w:szCs w:val="32"/>
        </w:rPr>
        <w:t>万元，</w:t>
      </w:r>
      <w:r>
        <w:rPr>
          <w:rFonts w:hint="eastAsia" w:ascii="仿宋" w:hAnsi="仿宋" w:eastAsia="仿宋"/>
          <w:b/>
          <w:bCs/>
          <w:sz w:val="32"/>
          <w:szCs w:val="32"/>
        </w:rPr>
        <w:t>完成预算</w:t>
      </w:r>
      <w:r>
        <w:rPr>
          <w:rFonts w:hint="eastAsia" w:ascii="仿宋" w:hAnsi="仿宋" w:eastAsia="仿宋"/>
          <w:b/>
          <w:bCs/>
          <w:sz w:val="32"/>
          <w:szCs w:val="32"/>
          <w:lang w:val="en-US" w:eastAsia="zh-CN"/>
        </w:rPr>
        <w:t>84.33</w:t>
      </w:r>
      <w:r>
        <w:rPr>
          <w:rFonts w:ascii="仿宋" w:hAnsi="仿宋" w:eastAsia="仿宋"/>
          <w:b/>
          <w:bCs/>
          <w:sz w:val="32"/>
          <w:szCs w:val="32"/>
        </w:rPr>
        <w:t>%</w:t>
      </w:r>
      <w:r>
        <w:rPr>
          <w:rFonts w:hint="eastAsia" w:ascii="仿宋" w:hAnsi="仿宋" w:eastAsia="仿宋"/>
          <w:b/>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1</w:t>
      </w:r>
      <w:r>
        <w:rPr>
          <w:rFonts w:hint="eastAsia" w:ascii="仿宋_GB2312" w:eastAsia="仿宋_GB2312"/>
          <w:sz w:val="32"/>
          <w:szCs w:val="32"/>
        </w:rPr>
        <w:t>次，出国（境）</w:t>
      </w:r>
      <w:r>
        <w:rPr>
          <w:rFonts w:hint="eastAsia" w:ascii="仿宋_GB2312" w:eastAsia="仿宋_GB2312"/>
          <w:sz w:val="32"/>
          <w:szCs w:val="32"/>
          <w:lang w:val="en-US" w:eastAsia="zh-CN"/>
        </w:rPr>
        <w:t>2</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394.72</w:t>
      </w:r>
      <w:r>
        <w:rPr>
          <w:rFonts w:hint="eastAsia" w:ascii="仿宋_GB2312" w:eastAsia="仿宋_GB2312"/>
          <w:sz w:val="32"/>
          <w:szCs w:val="32"/>
        </w:rPr>
        <w:t>万元,</w:t>
      </w:r>
      <w:r>
        <w:rPr>
          <w:rFonts w:hint="eastAsia" w:ascii="仿宋_GB2312" w:hAnsi="仿宋" w:eastAsia="仿宋_GB2312"/>
          <w:b/>
          <w:bCs/>
          <w:sz w:val="32"/>
          <w:szCs w:val="32"/>
        </w:rPr>
        <w:t>完成预算</w:t>
      </w:r>
      <w:r>
        <w:rPr>
          <w:rFonts w:hint="eastAsia" w:ascii="仿宋_GB2312" w:hAnsi="仿宋" w:eastAsia="仿宋_GB2312"/>
          <w:b/>
          <w:bCs/>
          <w:sz w:val="32"/>
          <w:szCs w:val="32"/>
          <w:lang w:val="en-US" w:eastAsia="zh-CN"/>
        </w:rPr>
        <w:t>98.95</w:t>
      </w:r>
      <w:r>
        <w:rPr>
          <w:rFonts w:hint="eastAsia" w:ascii="仿宋_GB2312" w:hAnsi="仿宋" w:eastAsia="仿宋_GB2312"/>
          <w:b/>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2</w:t>
      </w:r>
      <w:r>
        <w:rPr>
          <w:rFonts w:hint="eastAsia" w:ascii="仿宋_GB2312" w:eastAsia="仿宋_GB2312"/>
          <w:sz w:val="32"/>
          <w:szCs w:val="32"/>
        </w:rPr>
        <w:t>年减少</w:t>
      </w:r>
      <w:r>
        <w:rPr>
          <w:rFonts w:hint="eastAsia" w:ascii="仿宋_GB2312" w:eastAsia="仿宋_GB2312"/>
          <w:sz w:val="32"/>
          <w:szCs w:val="32"/>
          <w:lang w:val="en-US" w:eastAsia="zh-CN"/>
        </w:rPr>
        <w:t>11.79</w:t>
      </w:r>
      <w:r>
        <w:rPr>
          <w:rFonts w:hint="eastAsia" w:ascii="仿宋_GB2312" w:eastAsia="仿宋_GB2312"/>
          <w:sz w:val="32"/>
          <w:szCs w:val="32"/>
        </w:rPr>
        <w:t>万元，下降</w:t>
      </w:r>
      <w:r>
        <w:rPr>
          <w:rFonts w:hint="eastAsia" w:ascii="仿宋_GB2312" w:eastAsia="仿宋_GB2312"/>
          <w:sz w:val="32"/>
          <w:szCs w:val="32"/>
          <w:lang w:val="en-US" w:eastAsia="zh-CN"/>
        </w:rPr>
        <w:t>2.9</w:t>
      </w:r>
      <w:r>
        <w:rPr>
          <w:rFonts w:hint="eastAsia" w:ascii="仿宋_GB2312" w:eastAsia="仿宋_GB2312"/>
          <w:sz w:val="32"/>
          <w:szCs w:val="32"/>
        </w:rPr>
        <w:t>%。主要原因是</w:t>
      </w:r>
      <w:r>
        <w:rPr>
          <w:rFonts w:hint="eastAsia" w:ascii="仿宋_GB2312" w:eastAsia="仿宋_GB2312"/>
          <w:color w:val="000000"/>
          <w:sz w:val="32"/>
          <w:szCs w:val="32"/>
        </w:rPr>
        <w:t>车辆购置数量减少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31.62</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11</w:t>
      </w:r>
      <w:r>
        <w:rPr>
          <w:rFonts w:hint="eastAsia" w:ascii="仿宋_GB2312" w:eastAsia="仿宋_GB2312"/>
          <w:sz w:val="32"/>
          <w:szCs w:val="32"/>
        </w:rPr>
        <w:t>辆，其中：轿车0辆、金额0万元，越野车</w:t>
      </w:r>
      <w:r>
        <w:rPr>
          <w:rFonts w:hint="eastAsia" w:ascii="仿宋_GB2312" w:eastAsia="仿宋_GB2312"/>
          <w:sz w:val="32"/>
          <w:szCs w:val="32"/>
          <w:lang w:val="en-US" w:eastAsia="zh-CN"/>
        </w:rPr>
        <w:t>1</w:t>
      </w:r>
      <w:r>
        <w:rPr>
          <w:rFonts w:hint="eastAsia" w:ascii="仿宋_GB2312" w:eastAsia="仿宋_GB2312"/>
          <w:sz w:val="32"/>
          <w:szCs w:val="32"/>
        </w:rPr>
        <w:t>辆、金额</w:t>
      </w:r>
      <w:r>
        <w:rPr>
          <w:rFonts w:hint="eastAsia" w:ascii="仿宋_GB2312" w:eastAsia="仿宋_GB2312"/>
          <w:sz w:val="32"/>
          <w:szCs w:val="32"/>
          <w:lang w:val="en-US" w:eastAsia="zh-CN"/>
        </w:rPr>
        <w:t>26.04</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olor w:val="000000" w:themeColor="text1"/>
          <w:sz w:val="32"/>
          <w:szCs w:val="32"/>
          <w:highlight w:val="none"/>
          <w:lang w:val="en-US" w:eastAsia="zh-CN"/>
          <w14:textFill>
            <w14:solidFill>
              <w14:schemeClr w14:val="tx1"/>
            </w14:solidFill>
          </w14:textFill>
        </w:rPr>
        <w:t>其他车型10辆，金额5.58万元，</w:t>
      </w:r>
      <w:r>
        <w:rPr>
          <w:rFonts w:hint="eastAsia" w:ascii="仿宋_GB2312" w:eastAsia="仿宋_GB2312"/>
          <w:sz w:val="32"/>
          <w:szCs w:val="32"/>
        </w:rPr>
        <w:t>主要用于执法办案。截至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w:t>
      </w:r>
      <w:r>
        <w:rPr>
          <w:rFonts w:hint="eastAsia" w:ascii="仿宋_GB2312" w:eastAsia="仿宋_GB2312"/>
          <w:color w:val="auto"/>
          <w:sz w:val="32"/>
          <w:szCs w:val="32"/>
        </w:rPr>
        <w:t>，单位共有公务用车</w:t>
      </w:r>
      <w:r>
        <w:rPr>
          <w:rFonts w:hint="eastAsia" w:ascii="仿宋_GB2312" w:eastAsia="仿宋_GB2312"/>
          <w:color w:val="auto"/>
          <w:sz w:val="32"/>
          <w:szCs w:val="32"/>
          <w:lang w:val="en-US" w:eastAsia="zh-CN"/>
        </w:rPr>
        <w:t>152</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47</w:t>
      </w:r>
      <w:r>
        <w:rPr>
          <w:rFonts w:hint="eastAsia" w:ascii="仿宋_GB2312" w:eastAsia="仿宋_GB2312"/>
          <w:color w:val="auto"/>
          <w:sz w:val="32"/>
          <w:szCs w:val="32"/>
        </w:rPr>
        <w:t>辆、越野车38辆、</w:t>
      </w:r>
      <w:r>
        <w:rPr>
          <w:rFonts w:hint="eastAsia" w:ascii="仿宋_GB2312" w:eastAsia="仿宋_GB2312"/>
          <w:color w:val="auto"/>
          <w:sz w:val="32"/>
          <w:szCs w:val="32"/>
          <w:lang w:eastAsia="zh-CN"/>
        </w:rPr>
        <w:t>小型客车</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辆</w:t>
      </w:r>
      <w:r>
        <w:rPr>
          <w:rFonts w:hint="eastAsia" w:ascii="仿宋_GB2312" w:eastAsia="仿宋_GB2312"/>
          <w:color w:val="auto"/>
          <w:sz w:val="32"/>
          <w:szCs w:val="32"/>
          <w:lang w:eastAsia="zh-CN"/>
        </w:rPr>
        <w:t>、中型客车</w:t>
      </w:r>
      <w:r>
        <w:rPr>
          <w:rFonts w:hint="eastAsia" w:ascii="仿宋_GB2312" w:eastAsia="仿宋_GB2312"/>
          <w:color w:val="000000" w:themeColor="text1"/>
          <w:sz w:val="32"/>
          <w:szCs w:val="32"/>
          <w:lang w:eastAsia="zh-CN"/>
          <w14:textFill>
            <w14:solidFill>
              <w14:schemeClr w14:val="tx1"/>
            </w14:solidFill>
          </w14:textFill>
        </w:rPr>
        <w:t>和大型客车</w:t>
      </w:r>
      <w:r>
        <w:rPr>
          <w:rFonts w:hint="eastAsia" w:ascii="仿宋_GB2312" w:eastAsia="仿宋_GB2312"/>
          <w:color w:val="000000" w:themeColor="text1"/>
          <w:sz w:val="32"/>
          <w:szCs w:val="32"/>
          <w:lang w:val="en-US" w:eastAsia="zh-CN"/>
          <w14:textFill>
            <w14:solidFill>
              <w14:schemeClr w14:val="tx1"/>
            </w14:solidFill>
          </w14:textFill>
        </w:rPr>
        <w:t>4辆、</w:t>
      </w:r>
      <w:r>
        <w:rPr>
          <w:rFonts w:hint="eastAsia" w:ascii="仿宋_GB2312" w:eastAsia="仿宋_GB2312"/>
          <w:color w:val="000000" w:themeColor="text1"/>
          <w:sz w:val="32"/>
          <w:szCs w:val="32"/>
          <w:highlight w:val="none"/>
          <w:lang w:val="en-US" w:eastAsia="zh-CN"/>
          <w14:textFill>
            <w14:solidFill>
              <w14:schemeClr w14:val="tx1"/>
            </w14:solidFill>
          </w14:textFill>
        </w:rPr>
        <w:t>其他车型49辆</w:t>
      </w:r>
      <w:r>
        <w:rPr>
          <w:rFonts w:hint="eastAsia" w:ascii="仿宋_GB2312" w:eastAsia="仿宋_GB2312"/>
          <w:color w:val="000000" w:themeColor="text1"/>
          <w:sz w:val="32"/>
          <w:szCs w:val="32"/>
          <w:highlight w:val="none"/>
          <w14:textFill>
            <w14:solidFill>
              <w14:schemeClr w14:val="tx1"/>
            </w14:solidFill>
          </w14:textFill>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363.11</w:t>
      </w:r>
      <w:r>
        <w:rPr>
          <w:rFonts w:hint="eastAsia" w:ascii="仿宋_GB2312" w:eastAsia="仿宋_GB2312"/>
          <w:sz w:val="32"/>
          <w:szCs w:val="32"/>
        </w:rPr>
        <w:t>万元。主要用于执法办案、安保维稳等所需的公务用车燃料费、维修费、过路过桥费、保险费等支出。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0.91</w:t>
      </w:r>
      <w:r>
        <w:rPr>
          <w:rFonts w:hint="eastAsia" w:ascii="仿宋_GB2312" w:eastAsia="仿宋_GB2312"/>
          <w:sz w:val="32"/>
          <w:szCs w:val="32"/>
        </w:rPr>
        <w:t>万元，</w:t>
      </w:r>
      <w:r>
        <w:rPr>
          <w:rFonts w:hint="eastAsia" w:ascii="仿宋" w:hAnsi="仿宋" w:eastAsia="仿宋"/>
          <w:b/>
          <w:bCs/>
          <w:sz w:val="32"/>
          <w:szCs w:val="32"/>
        </w:rPr>
        <w:t>完成预算</w:t>
      </w:r>
      <w:r>
        <w:rPr>
          <w:rFonts w:hint="eastAsia" w:ascii="仿宋" w:hAnsi="仿宋" w:eastAsia="仿宋"/>
          <w:b/>
          <w:bCs/>
          <w:sz w:val="32"/>
          <w:szCs w:val="32"/>
          <w:lang w:val="en-US" w:eastAsia="zh-CN"/>
        </w:rPr>
        <w:t>33.33</w:t>
      </w:r>
      <w:r>
        <w:rPr>
          <w:rFonts w:ascii="仿宋" w:hAnsi="仿宋" w:eastAsia="仿宋"/>
          <w:b/>
          <w:bCs/>
          <w:sz w:val="32"/>
          <w:szCs w:val="32"/>
        </w:rPr>
        <w:t>%</w:t>
      </w:r>
      <w:r>
        <w:rPr>
          <w:rFonts w:hint="eastAsia" w:ascii="仿宋" w:hAnsi="仿宋" w:eastAsia="仿宋"/>
          <w:b/>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36.68</w:t>
      </w:r>
      <w:r>
        <w:rPr>
          <w:rFonts w:hint="eastAsia" w:ascii="仿宋_GB2312" w:eastAsia="仿宋_GB2312"/>
          <w:sz w:val="32"/>
          <w:szCs w:val="32"/>
        </w:rPr>
        <w:t>万元，减少97.58</w:t>
      </w:r>
      <w:r>
        <w:rPr>
          <w:rFonts w:ascii="仿宋_GB2312" w:eastAsia="仿宋_GB2312"/>
          <w:sz w:val="32"/>
          <w:szCs w:val="32"/>
        </w:rPr>
        <w:t>%</w:t>
      </w:r>
      <w:r>
        <w:rPr>
          <w:rFonts w:hint="eastAsia" w:ascii="仿宋_GB2312" w:eastAsia="仿宋_GB2312"/>
          <w:sz w:val="32"/>
          <w:szCs w:val="32"/>
        </w:rPr>
        <w:t>。主要原因是2022年突然爆发新冠疫情，接待支援邻水的警队,2023年无此项目经费支出。其中：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0.91</w:t>
      </w:r>
      <w:r>
        <w:rPr>
          <w:rFonts w:hint="eastAsia" w:ascii="仿宋_GB2312" w:eastAsia="仿宋_GB2312"/>
          <w:sz w:val="32"/>
          <w:szCs w:val="32"/>
        </w:rPr>
        <w:t>万元，主要用于接待新闻记者、友邻考察单位。国内公务接待21批次，288人次（不包括陪同人员），共计支出0.91万元。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8"/>
          <w:rFonts w:ascii="黑体" w:hAnsi="黑体" w:eastAsia="黑体"/>
        </w:rPr>
      </w:pPr>
      <w:r>
        <w:rPr>
          <w:rFonts w:hint="eastAsia" w:ascii="黑体" w:eastAsia="黑体"/>
          <w:sz w:val="32"/>
          <w:szCs w:val="32"/>
          <w:lang w:eastAsia="zh-CN"/>
        </w:rPr>
        <w:t>八</w:t>
      </w:r>
      <w:r>
        <w:rPr>
          <w:rFonts w:hint="eastAsia" w:ascii="黑体" w:eastAsia="黑体"/>
          <w:sz w:val="32"/>
          <w:szCs w:val="32"/>
        </w:rPr>
        <w:t>、</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171.6</w:t>
      </w:r>
      <w:r>
        <w:rPr>
          <w:rFonts w:hint="eastAsia" w:ascii="仿宋_GB2312" w:eastAsia="仿宋_GB2312"/>
          <w:sz w:val="32"/>
          <w:szCs w:val="32"/>
        </w:rPr>
        <w:t>万元。</w:t>
      </w:r>
    </w:p>
    <w:p>
      <w:pPr>
        <w:pStyle w:val="26"/>
        <w:numPr>
          <w:ilvl w:val="0"/>
          <w:numId w:val="0"/>
        </w:numPr>
        <w:spacing w:line="600" w:lineRule="exact"/>
        <w:ind w:firstLine="640" w:firstLineChars="200"/>
        <w:outlineLvl w:val="1"/>
        <w:rPr>
          <w:rFonts w:hint="eastAsia" w:ascii="黑体" w:hAnsi="Times New Roman" w:eastAsia="黑体" w:cs="Times New Roman"/>
          <w:kern w:val="2"/>
          <w:sz w:val="32"/>
          <w:szCs w:val="32"/>
          <w:lang w:val="en-US" w:eastAsia="zh-CN" w:bidi="ar-SA"/>
        </w:rPr>
      </w:pPr>
      <w:bookmarkStart w:id="42" w:name="_Toc15396611"/>
      <w:bookmarkStart w:id="43" w:name="_Toc15377219"/>
      <w:r>
        <w:rPr>
          <w:rFonts w:hint="eastAsia" w:ascii="黑体" w:hAnsi="Times New Roman" w:eastAsia="黑体" w:cs="Times New Roman"/>
          <w:kern w:val="2"/>
          <w:sz w:val="32"/>
          <w:szCs w:val="32"/>
          <w:lang w:val="en-US" w:eastAsia="zh-CN" w:bidi="ar-SA"/>
        </w:rPr>
        <w:t>九、国有资本经营预算支出决算情况说明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年国有资本经营预算财政拨款支出0万元。</w:t>
      </w:r>
    </w:p>
    <w:p>
      <w:pPr>
        <w:spacing w:line="600" w:lineRule="exact"/>
        <w:ind w:firstLine="640" w:firstLineChars="200"/>
        <w:outlineLvl w:val="1"/>
        <w:rPr>
          <w:rFonts w:ascii="黑体" w:hAnsi="黑体" w:eastAsia="黑体" w:cstheme="majorBidi"/>
          <w:bCs/>
          <w:sz w:val="32"/>
          <w:szCs w:val="32"/>
        </w:rPr>
      </w:pPr>
      <w:bookmarkStart w:id="44" w:name="_Toc15377221"/>
      <w:bookmarkStart w:id="45" w:name="_Toc15396612"/>
      <w:r>
        <w:rPr>
          <w:rStyle w:val="28"/>
          <w:rFonts w:hint="eastAsia" w:ascii="黑体" w:hAnsi="黑体" w:eastAsia="黑体"/>
          <w:b w:val="0"/>
          <w:lang w:eastAsia="zh-CN"/>
        </w:rPr>
        <w:t>十</w:t>
      </w:r>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22年，邻水县公安局机关运行经费支出</w:t>
      </w:r>
      <w:r>
        <w:rPr>
          <w:rFonts w:hint="eastAsia" w:ascii="仿宋_GB2312" w:eastAsia="仿宋_GB2312"/>
          <w:sz w:val="32"/>
          <w:szCs w:val="32"/>
          <w:lang w:val="en-US" w:eastAsia="zh-CN"/>
        </w:rPr>
        <w:t>2828.85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28.92</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1.03</w:t>
      </w:r>
      <w:r>
        <w:rPr>
          <w:rFonts w:ascii="仿宋_GB2312" w:eastAsia="仿宋_GB2312"/>
          <w:sz w:val="32"/>
          <w:szCs w:val="32"/>
        </w:rPr>
        <w:t>%</w:t>
      </w:r>
      <w:r>
        <w:rPr>
          <w:rFonts w:hint="eastAsia" w:ascii="仿宋_GB2312" w:eastAsia="仿宋_GB2312"/>
          <w:sz w:val="32"/>
          <w:szCs w:val="32"/>
        </w:rPr>
        <w:t>。主要原因是2023年机关运行费用略增长。</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年，邻水县公安局政府采购支出总额</w:t>
      </w:r>
      <w:r>
        <w:rPr>
          <w:rFonts w:hint="eastAsia" w:ascii="仿宋_GB2312" w:eastAsia="仿宋_GB2312"/>
          <w:sz w:val="32"/>
          <w:szCs w:val="32"/>
          <w:lang w:val="en-US" w:eastAsia="zh-CN"/>
        </w:rPr>
        <w:t>1137.56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708.47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74.02</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355.07</w:t>
      </w:r>
      <w:r>
        <w:rPr>
          <w:rFonts w:hint="eastAsia" w:ascii="仿宋_GB2312" w:eastAsia="仿宋_GB2312"/>
          <w:sz w:val="32"/>
          <w:szCs w:val="32"/>
        </w:rPr>
        <w:t>万元。主要用于执法办案网络监控租赁服务。授予中小企业合同金额0万元，占政府采购支出总额的0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日，邻水县公安局共有车辆</w:t>
      </w:r>
      <w:r>
        <w:rPr>
          <w:rFonts w:hint="eastAsia" w:ascii="仿宋_GB2312" w:eastAsia="仿宋_GB2312"/>
          <w:sz w:val="32"/>
          <w:szCs w:val="32"/>
          <w:lang w:val="en-US" w:eastAsia="zh-CN"/>
        </w:rPr>
        <w:t>152</w:t>
      </w:r>
      <w:r>
        <w:rPr>
          <w:rFonts w:hint="eastAsia" w:ascii="仿宋_GB2312" w:eastAsia="仿宋_GB2312"/>
          <w:sz w:val="32"/>
          <w:szCs w:val="32"/>
        </w:rPr>
        <w:t>辆，其中：主要领导干部用车0辆、机要通信用车0辆、应急保障用车0辆、执法执勤用车</w:t>
      </w:r>
      <w:r>
        <w:rPr>
          <w:rFonts w:hint="eastAsia" w:ascii="仿宋_GB2312" w:eastAsia="仿宋_GB2312"/>
          <w:sz w:val="32"/>
          <w:szCs w:val="32"/>
          <w:lang w:val="en-US" w:eastAsia="zh-CN"/>
        </w:rPr>
        <w:t>117</w:t>
      </w:r>
      <w:r>
        <w:rPr>
          <w:rFonts w:hint="eastAsia" w:ascii="仿宋_GB2312" w:eastAsia="仿宋_GB2312"/>
          <w:sz w:val="32"/>
          <w:szCs w:val="32"/>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执勤巡逻等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w:t>
      </w:r>
      <w:r>
        <w:rPr>
          <w:rFonts w:hint="eastAsia" w:hAnsi="仿宋_GB2312" w:cs="仿宋_GB2312"/>
          <w:sz w:val="32"/>
          <w:szCs w:val="32"/>
          <w:lang w:val="en-US" w:eastAsia="zh-CN"/>
        </w:rPr>
        <w:t>3</w:t>
      </w:r>
      <w:r>
        <w:rPr>
          <w:rFonts w:hint="eastAsia" w:hAnsi="仿宋_GB2312" w:cs="仿宋_GB2312"/>
          <w:sz w:val="32"/>
          <w:szCs w:val="32"/>
        </w:rPr>
        <w:t>年度预算编制阶段，组织对整体支出项目、信息化建设租赁项目、中央政法纪检监察转移支付资金（项目名称）等</w:t>
      </w:r>
      <w:r>
        <w:rPr>
          <w:rFonts w:hint="eastAsia" w:hAnsi="仿宋_GB2312" w:cs="仿宋_GB2312"/>
          <w:sz w:val="32"/>
          <w:szCs w:val="32"/>
          <w:lang w:val="en-US" w:eastAsia="zh-CN"/>
        </w:rPr>
        <w:t>4</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4</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4</w:t>
      </w:r>
      <w:r>
        <w:rPr>
          <w:rFonts w:hint="eastAsia" w:hAnsi="仿宋_GB2312" w:cs="仿宋_GB2312"/>
          <w:sz w:val="32"/>
          <w:szCs w:val="32"/>
        </w:rPr>
        <w:t>个项目开展绩效监控，组织对</w:t>
      </w:r>
      <w:r>
        <w:rPr>
          <w:rFonts w:hint="eastAsia" w:hAnsi="仿宋_GB2312" w:cs="仿宋_GB2312"/>
          <w:sz w:val="32"/>
          <w:szCs w:val="32"/>
          <w:lang w:val="en-US" w:eastAsia="zh-CN"/>
        </w:rPr>
        <w:t>4</w:t>
      </w:r>
      <w:r>
        <w:rPr>
          <w:rFonts w:hint="eastAsia" w:hAnsi="仿宋_GB2312" w:cs="仿宋_GB2312"/>
          <w:sz w:val="32"/>
          <w:szCs w:val="32"/>
        </w:rPr>
        <w:t>个项目开展绩效自评，绩效自评表详见第四部分附件。</w:t>
      </w:r>
    </w:p>
    <w:p>
      <w:pPr>
        <w:pStyle w:val="2"/>
        <w:spacing w:before="93"/>
        <w:ind w:firstLine="640" w:firstLineChars="200"/>
        <w:rPr>
          <w:rFonts w:hAnsi="仿宋_GB2312" w:cs="仿宋_GB2312"/>
          <w:sz w:val="32"/>
          <w:szCs w:val="32"/>
        </w:rPr>
      </w:pPr>
    </w:p>
    <w:p>
      <w:pPr>
        <w:widowControl/>
        <w:ind w:firstLine="643" w:firstLineChars="200"/>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bookmarkStart w:id="51" w:name="_Toc15377226"/>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2.</w:t>
      </w:r>
      <w:r>
        <w:rPr>
          <w:rFonts w:hint="eastAsia" w:ascii="仿宋_GB2312" w:hAnsi="Calibri" w:eastAsia="仿宋_GB2312" w:cs="仿宋"/>
          <w:kern w:val="0"/>
          <w:sz w:val="32"/>
          <w:szCs w:val="32"/>
        </w:rPr>
        <w:t>事业收入：指事业单位开展专业业务活动及辅助活动取得的收入。如</w:t>
      </w:r>
      <w:r>
        <w:rPr>
          <w:rFonts w:hint="eastAsia" w:ascii="仿宋_GB2312" w:hAnsi="Calibri" w:eastAsia="仿宋_GB2312" w:cs="仿宋"/>
          <w:color w:val="000000"/>
          <w:kern w:val="0"/>
          <w:sz w:val="32"/>
          <w:szCs w:val="32"/>
        </w:rPr>
        <w:t>如监管中心卫生所的事业收入。</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 xml:space="preserve">3. </w:t>
      </w:r>
      <w:r>
        <w:rPr>
          <w:rFonts w:hint="eastAsia" w:ascii="仿宋_GB2312" w:hAnsi="Calibri" w:eastAsia="仿宋_GB2312" w:cs="仿宋"/>
          <w:kern w:val="0"/>
          <w:sz w:val="32"/>
          <w:szCs w:val="32"/>
        </w:rPr>
        <w:t>年初结转和结余：指以前年度尚未完成、结转到本年按有关规定继续使用的资金。</w:t>
      </w:r>
      <w:r>
        <w:rPr>
          <w:rFonts w:ascii="仿宋_GB2312" w:hAnsi="Calibri" w:eastAsia="仿宋_GB2312" w:cs="仿宋"/>
          <w:kern w:val="0"/>
          <w:sz w:val="32"/>
          <w:szCs w:val="32"/>
        </w:rPr>
        <w:t xml:space="preserve"> </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4</w:t>
      </w:r>
      <w:r>
        <w:rPr>
          <w:rFonts w:ascii="仿宋_GB2312" w:hAnsi="Calibri" w:eastAsia="仿宋_GB2312" w:cs="仿宋"/>
          <w:kern w:val="0"/>
          <w:sz w:val="32"/>
          <w:szCs w:val="32"/>
        </w:rPr>
        <w:t>.</w:t>
      </w:r>
      <w:r>
        <w:rPr>
          <w:rFonts w:hint="eastAsia" w:ascii="仿宋_GB2312" w:hAnsi="Calibri" w:eastAsia="仿宋_GB2312" w:cs="仿宋"/>
          <w:kern w:val="0"/>
          <w:sz w:val="32"/>
          <w:szCs w:val="32"/>
        </w:rPr>
        <w:t>结余分配：指事业单位按照会计制度规定缴纳的所得税、提取的专用结余以及转入非财政拨款结余的金额等。</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5.年末结转和结余：指单位按有关规定结转到下年或以后年度继续使用的资金。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color w:val="000000"/>
          <w:sz w:val="32"/>
          <w:szCs w:val="32"/>
        </w:rPr>
        <w:t xml:space="preserve"> 一般公共服务（类）政府办公厅（室）及相关机构事务（款）信访事务（项）：指各级各级政府用于接待群众来信来访方面的支出。</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color w:val="000000"/>
          <w:sz w:val="32"/>
          <w:szCs w:val="32"/>
        </w:rPr>
        <w:t xml:space="preserve"> 公共安全（类）公安（款）行政运行（项）：指行政单位（包括实行公务员管理的事业单位）的基本支出。</w:t>
      </w:r>
    </w:p>
    <w:p>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 xml:space="preserve"> 社会保障和就业（类）行政事业单位养老支出（款）行政单位离退休（项）：指行政单位（包括实行公务员管理的事业单位）开支的离退休经费。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社会保障和就业（类）行政事业单位养老支出（款）机关事业单位职业年金缴费支出（项）：指各级财政部门对机关事业单位职业年金记账利息的补助。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9.卫生健康支出（类）公共卫生（款）突发公共卫生事件应急处理（项）：指用于突发公共卫生事件应急处理的支出。</w:t>
      </w:r>
    </w:p>
    <w:p>
      <w:pPr>
        <w:tabs>
          <w:tab w:val="left" w:pos="312"/>
        </w:tabs>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卫生健康支出（类）计划生育事务（款）其他计划生育事务支出（项）：指其他用于计划生育管理事务方面的支出。</w:t>
      </w:r>
    </w:p>
    <w:p>
      <w:pPr>
        <w:ind w:firstLine="645"/>
        <w:rPr>
          <w:rFonts w:ascii="仿宋_GB2312" w:eastAsia="仿宋_GB2312"/>
          <w:color w:val="000000"/>
          <w:sz w:val="32"/>
          <w:szCs w:val="32"/>
        </w:rPr>
      </w:pPr>
      <w:r>
        <w:rPr>
          <w:rFonts w:hint="eastAsia" w:ascii="仿宋_GB2312" w:eastAsia="仿宋_GB2312"/>
          <w:color w:val="000000"/>
          <w:sz w:val="32"/>
          <w:szCs w:val="32"/>
        </w:rPr>
        <w:t>卫生健康支出（类）行政事业单位医疗（款）行政单位医疗（项）：指财政部门安排的行政单位（包括试行公务员管理的事业单位，下同）基本医疗保险缴费经费，未参加医疗保险的行政单位的公费医疗经费，按国家规定享受离休人员、红军老战士待遇人员的医疗经费。</w:t>
      </w:r>
    </w:p>
    <w:p>
      <w:pPr>
        <w:ind w:firstLine="645"/>
        <w:rPr>
          <w:rFonts w:ascii="仿宋_GB2312" w:eastAsia="仿宋_GB2312"/>
          <w:color w:val="000000"/>
          <w:sz w:val="32"/>
          <w:szCs w:val="32"/>
        </w:rPr>
      </w:pPr>
      <w:r>
        <w:rPr>
          <w:rFonts w:hint="eastAsia" w:ascii="仿宋_GB2312" w:eastAsia="仿宋_GB2312"/>
          <w:color w:val="000000"/>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pPr>
        <w:ind w:firstLine="645"/>
        <w:rPr>
          <w:rFonts w:ascii="仿宋_GB2312" w:eastAsia="仿宋_GB2312"/>
          <w:color w:val="000000"/>
          <w:sz w:val="32"/>
          <w:szCs w:val="32"/>
        </w:rPr>
      </w:pPr>
      <w:r>
        <w:rPr>
          <w:rFonts w:hint="eastAsia" w:ascii="仿宋_GB2312" w:eastAsia="仿宋_GB2312"/>
          <w:color w:val="000000"/>
          <w:sz w:val="32"/>
          <w:szCs w:val="32"/>
        </w:rPr>
        <w:t>卫生健康支出（类）行政事业单位医疗（款）公务员医疗补助（项）：指公务员医疗补助经费。</w:t>
      </w:r>
    </w:p>
    <w:p>
      <w:pPr>
        <w:spacing w:before="72" w:after="120"/>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住房保障（类）住房保障支出（款）住房公积金（项）：指行政事业单位按人力资源和社会保障部、财政部规定的基本工资和津贴补贴以及规定比例为职工缴纳的住房公积金。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13</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14</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pStyle w:val="2"/>
        <w:spacing w:before="93"/>
      </w:pPr>
      <w:r>
        <w:rPr>
          <w:rFonts w:hint="eastAsia"/>
        </w:rPr>
        <w:t>附件1</w:t>
      </w:r>
    </w:p>
    <w:tbl>
      <w:tblPr>
        <w:tblStyle w:val="14"/>
        <w:tblW w:w="9371" w:type="dxa"/>
        <w:tblInd w:w="93" w:type="dxa"/>
        <w:tblLayout w:type="autofit"/>
        <w:tblCellMar>
          <w:top w:w="0" w:type="dxa"/>
          <w:left w:w="108" w:type="dxa"/>
          <w:bottom w:w="0" w:type="dxa"/>
          <w:right w:w="108" w:type="dxa"/>
        </w:tblCellMar>
      </w:tblPr>
      <w:tblGrid>
        <w:gridCol w:w="700"/>
        <w:gridCol w:w="140"/>
        <w:gridCol w:w="640"/>
        <w:gridCol w:w="260"/>
        <w:gridCol w:w="920"/>
        <w:gridCol w:w="260"/>
        <w:gridCol w:w="820"/>
        <w:gridCol w:w="260"/>
        <w:gridCol w:w="800"/>
        <w:gridCol w:w="140"/>
        <w:gridCol w:w="240"/>
        <w:gridCol w:w="100"/>
        <w:gridCol w:w="980"/>
        <w:gridCol w:w="100"/>
        <w:gridCol w:w="980"/>
        <w:gridCol w:w="100"/>
        <w:gridCol w:w="360"/>
        <w:gridCol w:w="340"/>
        <w:gridCol w:w="540"/>
        <w:gridCol w:w="691"/>
      </w:tblGrid>
      <w:tr>
        <w:tblPrEx>
          <w:tblCellMar>
            <w:top w:w="0" w:type="dxa"/>
            <w:left w:w="108" w:type="dxa"/>
            <w:bottom w:w="0" w:type="dxa"/>
            <w:right w:w="108" w:type="dxa"/>
          </w:tblCellMar>
        </w:tblPrEx>
        <w:trPr>
          <w:trHeight w:val="543" w:hRule="atLeast"/>
        </w:trPr>
        <w:tc>
          <w:tcPr>
            <w:tcW w:w="9371" w:type="dxa"/>
            <w:gridSpan w:val="2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trHeight w:val="330" w:hRule="atLeast"/>
        </w:trPr>
        <w:tc>
          <w:tcPr>
            <w:tcW w:w="1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891"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信息化建设租赁项目</w:t>
            </w:r>
          </w:p>
        </w:tc>
      </w:tr>
      <w:tr>
        <w:tblPrEx>
          <w:tblCellMar>
            <w:top w:w="0" w:type="dxa"/>
            <w:left w:w="108" w:type="dxa"/>
            <w:bottom w:w="0" w:type="dxa"/>
            <w:right w:w="108" w:type="dxa"/>
          </w:tblCellMar>
        </w:tblPrEx>
        <w:trPr>
          <w:trHeight w:val="330" w:hRule="atLeast"/>
        </w:trPr>
        <w:tc>
          <w:tcPr>
            <w:tcW w:w="1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4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1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trHeight w:val="330" w:hRule="atLeast"/>
        </w:trPr>
        <w:tc>
          <w:tcPr>
            <w:tcW w:w="148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4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880"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2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88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3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trHeight w:val="160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285套电信公司“天网”视频监控点位租赁项目、4G无线图像传输租赁；蜀通公司高空瞭望视频监控点租赁项目；313套移动公司“天网”视频监控点位租赁项目、239套人行道智能抓拍、高清录像监控系统租赁项目；30条视频专网等租赁项目的租赁费。</w:t>
            </w:r>
          </w:p>
        </w:tc>
        <w:tc>
          <w:tcPr>
            <w:tcW w:w="3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285套电信公司“天网”视频监控点位租赁项目、4G无线图像传输租赁；蜀通公司高空瞭望视频监控点租赁项目；313套移动公司“天网”视频监控点位租赁项目、239套人行道智能抓拍、高清录像监控系统租赁项目；30条视频专网等租赁项目的租赁费。</w:t>
            </w:r>
          </w:p>
        </w:tc>
      </w:tr>
      <w:tr>
        <w:tblPrEx>
          <w:tblCellMar>
            <w:top w:w="0" w:type="dxa"/>
            <w:left w:w="108" w:type="dxa"/>
            <w:bottom w:w="0" w:type="dxa"/>
            <w:right w:w="108" w:type="dxa"/>
          </w:tblCellMar>
        </w:tblPrEx>
        <w:trPr>
          <w:trHeight w:val="33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5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203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31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03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2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指标1：电信公司“天网”视频监控点位数量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≥285套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285套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指标2：移动公司“天网”视频监控点位数量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指标3：人行道智能抓拍、高清录像监控系统数量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指标4：视频专网数量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≥30条</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30条</w:t>
            </w:r>
          </w:p>
        </w:tc>
        <w:tc>
          <w:tcPr>
            <w:tcW w:w="203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指标1：监控设备验收合格率</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≤355.08万元</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355.08万元</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8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指标1：加强各类风险的管控，稳定社会治安程度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405" w:hRule="atLeast"/>
        </w:trPr>
        <w:tc>
          <w:tcPr>
            <w:tcW w:w="8680" w:type="dxa"/>
            <w:gridSpan w:val="19"/>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gridAfter w:val="1"/>
          <w:wAfter w:w="691" w:type="dxa"/>
          <w:trHeight w:val="330" w:hRule="atLeast"/>
        </w:trPr>
        <w:tc>
          <w:tcPr>
            <w:tcW w:w="8680" w:type="dxa"/>
            <w:gridSpan w:val="19"/>
            <w:tcBorders>
              <w:top w:val="nil"/>
              <w:left w:val="nil"/>
              <w:bottom w:val="nil"/>
              <w:right w:val="nil"/>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（2023年度）</w:t>
            </w:r>
          </w:p>
        </w:tc>
      </w:tr>
      <w:tr>
        <w:tblPrEx>
          <w:tblCellMar>
            <w:top w:w="0" w:type="dxa"/>
            <w:left w:w="108" w:type="dxa"/>
            <w:bottom w:w="0" w:type="dxa"/>
            <w:right w:w="108" w:type="dxa"/>
          </w:tblCellMar>
        </w:tblPrEx>
        <w:trPr>
          <w:gridAfter w:val="1"/>
          <w:wAfter w:w="691" w:type="dxa"/>
          <w:trHeight w:val="330" w:hRule="atLeast"/>
        </w:trPr>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4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依法治访专项工作经费</w:t>
            </w:r>
          </w:p>
        </w:tc>
      </w:tr>
      <w:tr>
        <w:tblPrEx>
          <w:tblCellMar>
            <w:top w:w="0" w:type="dxa"/>
            <w:left w:w="108" w:type="dxa"/>
            <w:bottom w:w="0" w:type="dxa"/>
            <w:right w:w="108" w:type="dxa"/>
          </w:tblCellMar>
        </w:tblPrEx>
        <w:trPr>
          <w:gridAfter w:val="1"/>
          <w:wAfter w:w="691" w:type="dxa"/>
          <w:trHeight w:val="330" w:hRule="atLeast"/>
        </w:trPr>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0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4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2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42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4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8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2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2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gridAfter w:val="1"/>
          <w:wAfter w:w="691" w:type="dxa"/>
          <w:trHeight w:val="208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2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赔偿汤佳俊医疗费、交通费、精神抚慰金等所有费</w:t>
            </w:r>
          </w:p>
        </w:tc>
        <w:tc>
          <w:tcPr>
            <w:tcW w:w="2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完成汤佳俊医疗费、交通费、精神抚慰金等所有赔偿费用共计20万元。</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6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gridAfter w:val="1"/>
          <w:wAfter w:w="691" w:type="dxa"/>
          <w:trHeight w:val="31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36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691" w:type="dxa"/>
          <w:trHeight w:val="52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gridSpan w:val="2"/>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指标1：协议赔偿人数</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=1人</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1人</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指标1：赔偿资金发放准确率</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40"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59"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≤20万元</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20万元</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8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指标1：保障赔偿人员后续生活质量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70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指标1：受益人员满意度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4"/>
        <w:tblW w:w="9320" w:type="dxa"/>
        <w:tblInd w:w="93" w:type="dxa"/>
        <w:tblLayout w:type="autofit"/>
        <w:tblCellMar>
          <w:top w:w="0" w:type="dxa"/>
          <w:left w:w="108" w:type="dxa"/>
          <w:bottom w:w="0" w:type="dxa"/>
          <w:right w:w="108" w:type="dxa"/>
        </w:tblCellMar>
      </w:tblPr>
      <w:tblGrid>
        <w:gridCol w:w="640"/>
        <w:gridCol w:w="900"/>
        <w:gridCol w:w="1180"/>
        <w:gridCol w:w="1080"/>
        <w:gridCol w:w="1060"/>
        <w:gridCol w:w="460"/>
        <w:gridCol w:w="900"/>
        <w:gridCol w:w="1080"/>
        <w:gridCol w:w="800"/>
        <w:gridCol w:w="1220"/>
      </w:tblGrid>
      <w:tr>
        <w:tblPrEx>
          <w:tblCellMar>
            <w:top w:w="0" w:type="dxa"/>
            <w:left w:w="108" w:type="dxa"/>
            <w:bottom w:w="0" w:type="dxa"/>
            <w:right w:w="108" w:type="dxa"/>
          </w:tblCellMar>
        </w:tblPrEx>
        <w:trPr>
          <w:trHeight w:val="405" w:hRule="atLeast"/>
        </w:trPr>
        <w:tc>
          <w:tcPr>
            <w:tcW w:w="9320" w:type="dxa"/>
            <w:gridSpan w:val="1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trHeight w:val="330" w:hRule="atLeast"/>
        </w:trPr>
        <w:tc>
          <w:tcPr>
            <w:tcW w:w="9320" w:type="dxa"/>
            <w:gridSpan w:val="10"/>
            <w:tcBorders>
              <w:top w:val="nil"/>
              <w:left w:val="nil"/>
              <w:bottom w:val="nil"/>
              <w:right w:val="nil"/>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（2023年度）</w:t>
            </w:r>
          </w:p>
        </w:tc>
      </w:tr>
      <w:tr>
        <w:tblPrEx>
          <w:tblCellMar>
            <w:top w:w="0" w:type="dxa"/>
            <w:left w:w="108" w:type="dxa"/>
            <w:bottom w:w="0" w:type="dxa"/>
            <w:right w:w="108" w:type="dxa"/>
          </w:tblCellMar>
        </w:tblPrEx>
        <w:trPr>
          <w:trHeight w:val="330"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8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看守所、新建拘留所、新建强制隔离戒毒所建设项目</w:t>
            </w:r>
          </w:p>
        </w:tc>
      </w:tr>
      <w:tr>
        <w:tblPrEx>
          <w:tblCellMar>
            <w:top w:w="0" w:type="dxa"/>
            <w:left w:w="108" w:type="dxa"/>
            <w:bottom w:w="0" w:type="dxa"/>
            <w:right w:w="108" w:type="dxa"/>
          </w:tblCellMar>
        </w:tblPrEx>
        <w:trPr>
          <w:trHeight w:val="330"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1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trHeight w:val="330" w:hRule="atLeast"/>
        </w:trPr>
        <w:tc>
          <w:tcPr>
            <w:tcW w:w="15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3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8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3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trHeight w:val="256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新建看守所、新建拘留所、新建强制隔离戒毒所建设项目</w:t>
            </w:r>
          </w:p>
        </w:tc>
        <w:tc>
          <w:tcPr>
            <w:tcW w:w="3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邻水县看守所、拘留所、强制隔离戒毒所建设项目总面积40亩，场地平整15亩，开挖土石方1万立方米，新建（扩建）看守所3452平方米，新建强制隔离戒毒所5600平方米，新建拘留所3410平方米，附院坝硬化、绿化、水、电、气、通讯、排水管道敷设亮化等工程建设及特殊安装工程等。项目建成后将为我县健全和完善社会治安手段创造条件，有利于保障我县社会治安工作顺利进行。</w:t>
            </w:r>
          </w:p>
        </w:tc>
      </w:tr>
      <w:tr>
        <w:tblPrEx>
          <w:tblCellMar>
            <w:top w:w="0" w:type="dxa"/>
            <w:left w:w="108" w:type="dxa"/>
            <w:bottom w:w="0" w:type="dxa"/>
            <w:right w:w="108" w:type="dxa"/>
          </w:tblCellMar>
        </w:tblPrEx>
        <w:trPr>
          <w:trHeight w:val="33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6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20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31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0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2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指标1：新建（扩建）看守所面积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=3452平方米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3452平方米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指标2：新建强制隔离戒毒所面积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=5600平方米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5600平方米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指标3：新建拘留所面积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=3410平方米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3410平方米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指标1：项目建设检验合格率</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≤276.6万元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276.6万元</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8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指标1：保障我县社会治安工作顺利进行</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2"/>
        <w:spacing w:before="93"/>
        <w:rPr>
          <w:rFonts w:hAnsi="Calibri" w:cs="仿宋"/>
          <w:sz w:val="32"/>
          <w:szCs w:val="32"/>
        </w:rPr>
      </w:pPr>
    </w:p>
    <w:tbl>
      <w:tblPr>
        <w:tblStyle w:val="14"/>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720"/>
        <w:gridCol w:w="780"/>
        <w:gridCol w:w="780"/>
        <w:gridCol w:w="780"/>
        <w:gridCol w:w="780"/>
        <w:gridCol w:w="780"/>
        <w:gridCol w:w="1080"/>
        <w:gridCol w:w="810"/>
        <w:gridCol w:w="81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75"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725" w:type="dxa"/>
            <w:gridSpan w:val="9"/>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51162322T000005134345-交通管理业务工作经费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900"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邻水县公安局部门</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74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邻水县公安局交通警察大队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900" w:type="dxa"/>
            <w:gridSpan w:val="5"/>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82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2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00"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保障2023年交警大队交通管理业务工作正常开展，查纠交通违法行为15万起，办理机业车业务和驾驶证业务6.5万笔，开展道路隐患排查治理，交通安全宣传等 工作，确保全县道路安全畅通。</w:t>
            </w:r>
          </w:p>
        </w:tc>
        <w:tc>
          <w:tcPr>
            <w:tcW w:w="3825"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2023年度，交警大队共排查治理道路隐患65处，非现场采集违法数据6万余条，开展集中整治行动76次，查纠各类交通违法行为18.6万起，办理机动车及驾驶证业务6.5万笔，处理交通事故7867起。圆满完成全年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725" w:type="dxa"/>
            <w:gridSpan w:val="9"/>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隐患治理进一步落实。排查上报道路隐患1次65处，协调督促治理处29处。二是交通设施进一步完善。新建交通信号灯3组，安装标识标牌170块，施划交通标线2400平方米；改造中央隔离护栏250米，更换标识标牌37块；非现场采集违法数据6万余条，回复交管12123平台申诉1630余条。三是秩序整治进一步加大。开展集中统一行动76次，查处各类交通违法12.6万起，行政拘留34人。四是车驾管理进一步优化。办理机动车业务55274笔、驾驶证业务15796笔，行政性收费248万元。五是宣传教育进一步强化。开展大型宣传活动45场次，发放宣传资料4万余份，“邻水公安”“广安交警”微信微博抖音公众号发布典型事故案例53条。六是综合整治进一步深入。牵头组织召开农村道路交通安全管理工作相关会议12次，指导各镇交管办开展宣传活动210场次，排查上报治理隐患1100余处。七是事故预防进一步明显。发生道路交通事故7867起，与去年同期相比事故上升25.5%、受伤下降41.1%、死亡下降13.3%，未发生较大以上交通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340"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910.03</w:t>
            </w:r>
          </w:p>
        </w:tc>
        <w:tc>
          <w:tcPr>
            <w:tcW w:w="234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2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910.03</w:t>
            </w:r>
          </w:p>
        </w:tc>
        <w:tc>
          <w:tcPr>
            <w:tcW w:w="234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910.03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黑体" w:hAnsi="宋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黑体" w:hAnsi="宋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黑体" w:hAnsi="宋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8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340" w:type="dxa"/>
            <w:gridSpan w:val="3"/>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黑体" w:hAnsi="宋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交通管理工作完成率</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3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2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45"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w:t>
            </w:r>
            <w:r>
              <w:rPr>
                <w:rStyle w:val="34"/>
                <w:lang w:val="en-US" w:eastAsia="zh-CN" w:bidi="ar"/>
              </w:rPr>
              <w:t>对照2023度县级部门整体支出绩效评价指标体系，邻水县公安局交通警察大队2023年部门预算项目支出情况良好，自评得分96分，按照上级公安机关年初制定的各类工作目标，结合邻水县实际，以道路交通安全综合治理为抓手，抓好公路安全和区城及重点乡镇畅通工程；以提高办案质量为抓手，抓好规范执法；以提高群众满意度为抓手，抓好车管服务与执法服务；以提高群众安全意识为抓手，抓好宣传教育。夯实了全县公安交通管理的基础工作，实现了全年各项预定目标，赢得了党委政府和群众的广泛赞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45"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一是预算编制质量较好但编制准确性有待提高。二是项目支出推进较慢预算执行进度受到影响。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45" w:type="dxa"/>
            <w:gridSpan w:val="10"/>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一是做好、做细预算基础工作，提高预算的准确性。二是加大工作力度，积极争取各方面支持，加快项目实施进度。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9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项目负责人：甘元胜</w:t>
            </w:r>
          </w:p>
        </w:tc>
        <w:tc>
          <w:tcPr>
            <w:tcW w:w="5385" w:type="dxa"/>
            <w:gridSpan w:val="6"/>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财务负责人：甘元胜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widowControl/>
        <w:jc w:val="left"/>
        <w:rPr>
          <w:rStyle w:val="27"/>
          <w:rFonts w:ascii="黑体" w:hAnsi="黑体" w:eastAsia="黑体"/>
          <w:b w:val="0"/>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197710"/>
      <w:docPartObj>
        <w:docPartGallery w:val="autotext"/>
      </w:docPartObj>
    </w:sdtPr>
    <w:sdtContent>
      <w:p>
        <w:pPr>
          <w:pStyle w:val="9"/>
          <w:jc w:val="center"/>
        </w:pPr>
        <w:r>
          <w:fldChar w:fldCharType="begin"/>
        </w:r>
        <w:r>
          <w:instrText xml:space="preserve">PAGE   \* MERGEFORMAT</w:instrText>
        </w:r>
        <w:r>
          <w:fldChar w:fldCharType="separate"/>
        </w:r>
        <w:r>
          <w:rPr>
            <w:lang w:val="zh-CN"/>
          </w:rPr>
          <w:t>18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DF63BCD"/>
    <w:multiLevelType w:val="multilevel"/>
    <w:tmpl w:val="6DF63BCD"/>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ZDI0MjIwMjc5YzcxZTJlM2Y0YmRjYmJmZGUwMWYifQ=="/>
  </w:docVars>
  <w:rsids>
    <w:rsidRoot w:val="00F1361C"/>
    <w:rsid w:val="000222C6"/>
    <w:rsid w:val="0002549F"/>
    <w:rsid w:val="00042BD5"/>
    <w:rsid w:val="000468DB"/>
    <w:rsid w:val="0006487A"/>
    <w:rsid w:val="00065F8F"/>
    <w:rsid w:val="00070A43"/>
    <w:rsid w:val="000768F2"/>
    <w:rsid w:val="0009184B"/>
    <w:rsid w:val="00094236"/>
    <w:rsid w:val="0009593C"/>
    <w:rsid w:val="00097322"/>
    <w:rsid w:val="000A09CE"/>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51D"/>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9D"/>
    <w:rsid w:val="002D4074"/>
    <w:rsid w:val="002D6D05"/>
    <w:rsid w:val="002E0273"/>
    <w:rsid w:val="002F1818"/>
    <w:rsid w:val="002F3E7F"/>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3816"/>
    <w:rsid w:val="00471401"/>
    <w:rsid w:val="00473F31"/>
    <w:rsid w:val="0048263A"/>
    <w:rsid w:val="00487E5D"/>
    <w:rsid w:val="004A711F"/>
    <w:rsid w:val="004B199D"/>
    <w:rsid w:val="004B4690"/>
    <w:rsid w:val="004B6CCC"/>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30ED"/>
    <w:rsid w:val="005C5337"/>
    <w:rsid w:val="005C6BD0"/>
    <w:rsid w:val="005D1C8B"/>
    <w:rsid w:val="005D468D"/>
    <w:rsid w:val="005D5CED"/>
    <w:rsid w:val="005F1A4C"/>
    <w:rsid w:val="00605688"/>
    <w:rsid w:val="00605AF7"/>
    <w:rsid w:val="006070AF"/>
    <w:rsid w:val="00607E6C"/>
    <w:rsid w:val="006101B1"/>
    <w:rsid w:val="00610A41"/>
    <w:rsid w:val="00614E44"/>
    <w:rsid w:val="0062270A"/>
    <w:rsid w:val="00622830"/>
    <w:rsid w:val="00623DA0"/>
    <w:rsid w:val="00630AEF"/>
    <w:rsid w:val="006325F8"/>
    <w:rsid w:val="00633463"/>
    <w:rsid w:val="00634C9A"/>
    <w:rsid w:val="006404B7"/>
    <w:rsid w:val="006440E4"/>
    <w:rsid w:val="006513F4"/>
    <w:rsid w:val="0066343B"/>
    <w:rsid w:val="00664777"/>
    <w:rsid w:val="006748A4"/>
    <w:rsid w:val="00681A31"/>
    <w:rsid w:val="00683E73"/>
    <w:rsid w:val="006A3141"/>
    <w:rsid w:val="006A5E34"/>
    <w:rsid w:val="006B2422"/>
    <w:rsid w:val="006B2B9A"/>
    <w:rsid w:val="006C1937"/>
    <w:rsid w:val="006D16C6"/>
    <w:rsid w:val="006F020C"/>
    <w:rsid w:val="007127B7"/>
    <w:rsid w:val="0071798E"/>
    <w:rsid w:val="007416B6"/>
    <w:rsid w:val="00746F48"/>
    <w:rsid w:val="0075404D"/>
    <w:rsid w:val="0076182A"/>
    <w:rsid w:val="00767B7E"/>
    <w:rsid w:val="00772F65"/>
    <w:rsid w:val="007770C3"/>
    <w:rsid w:val="007842B2"/>
    <w:rsid w:val="00784D24"/>
    <w:rsid w:val="00785FBA"/>
    <w:rsid w:val="00786E4A"/>
    <w:rsid w:val="007875EB"/>
    <w:rsid w:val="0079426B"/>
    <w:rsid w:val="007D1682"/>
    <w:rsid w:val="007D2A81"/>
    <w:rsid w:val="007D312A"/>
    <w:rsid w:val="007D3F19"/>
    <w:rsid w:val="007E23B0"/>
    <w:rsid w:val="007E23E5"/>
    <w:rsid w:val="007F1991"/>
    <w:rsid w:val="007F2C2F"/>
    <w:rsid w:val="007F55FC"/>
    <w:rsid w:val="007F5665"/>
    <w:rsid w:val="00800112"/>
    <w:rsid w:val="00813348"/>
    <w:rsid w:val="008133B8"/>
    <w:rsid w:val="00824A0E"/>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599A"/>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2CE2"/>
    <w:rsid w:val="00A67AB5"/>
    <w:rsid w:val="00A7108B"/>
    <w:rsid w:val="00A733B2"/>
    <w:rsid w:val="00A741C2"/>
    <w:rsid w:val="00A91760"/>
    <w:rsid w:val="00A93B00"/>
    <w:rsid w:val="00A93C21"/>
    <w:rsid w:val="00AB64C9"/>
    <w:rsid w:val="00AC3C6A"/>
    <w:rsid w:val="00AD07A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2DAD"/>
    <w:rsid w:val="00B53C56"/>
    <w:rsid w:val="00B57DAF"/>
    <w:rsid w:val="00B77EA6"/>
    <w:rsid w:val="00B81598"/>
    <w:rsid w:val="00B841F1"/>
    <w:rsid w:val="00B944D6"/>
    <w:rsid w:val="00BA5A7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3E5F"/>
    <w:rsid w:val="00D51276"/>
    <w:rsid w:val="00D7035F"/>
    <w:rsid w:val="00DA634F"/>
    <w:rsid w:val="00DA65AC"/>
    <w:rsid w:val="00DB1913"/>
    <w:rsid w:val="00DB55F8"/>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14B4"/>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0AFA"/>
    <w:rsid w:val="00F754A1"/>
    <w:rsid w:val="00F81FD9"/>
    <w:rsid w:val="00F841AA"/>
    <w:rsid w:val="00F84A94"/>
    <w:rsid w:val="00F87E96"/>
    <w:rsid w:val="00F95F15"/>
    <w:rsid w:val="00FA23E8"/>
    <w:rsid w:val="00FC60E5"/>
    <w:rsid w:val="00FD3CC1"/>
    <w:rsid w:val="00FF1E02"/>
    <w:rsid w:val="00FF30B4"/>
    <w:rsid w:val="015975B8"/>
    <w:rsid w:val="02143E91"/>
    <w:rsid w:val="066E0107"/>
    <w:rsid w:val="07996F6E"/>
    <w:rsid w:val="0A2032A3"/>
    <w:rsid w:val="0F98263C"/>
    <w:rsid w:val="101860EC"/>
    <w:rsid w:val="10C055FF"/>
    <w:rsid w:val="118107EC"/>
    <w:rsid w:val="13D50BC4"/>
    <w:rsid w:val="143C4512"/>
    <w:rsid w:val="16BB723D"/>
    <w:rsid w:val="1BE8440E"/>
    <w:rsid w:val="1C7216E3"/>
    <w:rsid w:val="1D155CEE"/>
    <w:rsid w:val="1F0E4FEE"/>
    <w:rsid w:val="1FAA5CA2"/>
    <w:rsid w:val="1FF35744"/>
    <w:rsid w:val="23860B96"/>
    <w:rsid w:val="240371BF"/>
    <w:rsid w:val="278C19D3"/>
    <w:rsid w:val="29FD04D3"/>
    <w:rsid w:val="2C8A61B5"/>
    <w:rsid w:val="2DF04E50"/>
    <w:rsid w:val="2F040D46"/>
    <w:rsid w:val="319F7F4E"/>
    <w:rsid w:val="3304709D"/>
    <w:rsid w:val="36AA5135"/>
    <w:rsid w:val="376D39B2"/>
    <w:rsid w:val="37E16F03"/>
    <w:rsid w:val="38D469F0"/>
    <w:rsid w:val="3D98207C"/>
    <w:rsid w:val="3E78745D"/>
    <w:rsid w:val="3F7E7151"/>
    <w:rsid w:val="42817701"/>
    <w:rsid w:val="44E268DA"/>
    <w:rsid w:val="44F248E6"/>
    <w:rsid w:val="49FE35DF"/>
    <w:rsid w:val="4A627F82"/>
    <w:rsid w:val="4B0E749A"/>
    <w:rsid w:val="4B4F25DA"/>
    <w:rsid w:val="4BE068DB"/>
    <w:rsid w:val="4D577224"/>
    <w:rsid w:val="4EAB630A"/>
    <w:rsid w:val="4EC423B3"/>
    <w:rsid w:val="4ECE2238"/>
    <w:rsid w:val="50154C9B"/>
    <w:rsid w:val="537E6D0A"/>
    <w:rsid w:val="5AF92295"/>
    <w:rsid w:val="5CD71FC4"/>
    <w:rsid w:val="61D8001B"/>
    <w:rsid w:val="626A52DE"/>
    <w:rsid w:val="6319706B"/>
    <w:rsid w:val="63680C8E"/>
    <w:rsid w:val="65B512EC"/>
    <w:rsid w:val="6C4A05C8"/>
    <w:rsid w:val="6E7E3605"/>
    <w:rsid w:val="6FF5CC65"/>
    <w:rsid w:val="715C0E4B"/>
    <w:rsid w:val="72734D90"/>
    <w:rsid w:val="73AD73D5"/>
    <w:rsid w:val="73B6EB34"/>
    <w:rsid w:val="744731E5"/>
    <w:rsid w:val="76E3355F"/>
    <w:rsid w:val="778769C8"/>
    <w:rsid w:val="79EE5BA4"/>
    <w:rsid w:val="7A894339"/>
    <w:rsid w:val="7D457E8A"/>
    <w:rsid w:val="7E162EDE"/>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character" w:customStyle="1" w:styleId="34">
    <w:name w:val="font61"/>
    <w:basedOn w:val="15"/>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289297171"/>
          <c:y val="0.0234990791896869"/>
          <c:w val="0.869074492099323"/>
          <c:h val="0.79126213592233"/>
        </c:manualLayout>
      </c:layout>
      <c:barChart>
        <c:barDir val="col"/>
        <c:grouping val="stacked"/>
        <c:varyColors val="0"/>
        <c:ser>
          <c:idx val="0"/>
          <c:order val="0"/>
          <c:tx>
            <c:strRef>
              <c:f>Sheet1!$A$2</c:f>
              <c:strCache>
                <c:ptCount val="1"/>
                <c:pt idx="0">
                  <c:v>收入</c:v>
                </c:pt>
              </c:strCache>
            </c:strRef>
          </c:tx>
          <c:spPr>
            <a:solidFill>
              <a:srgbClr val="9999FF"/>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19910.08</c:v>
                </c:pt>
                <c:pt idx="1">
                  <c:v>23738.46</c:v>
                </c:pt>
              </c:numCache>
            </c:numRef>
          </c:val>
        </c:ser>
        <c:ser>
          <c:idx val="1"/>
          <c:order val="1"/>
          <c:tx>
            <c:strRef>
              <c:f>Sheet1!#REF!</c:f>
              <c:strCache>
                <c:ptCount val="1"/>
                <c:pt idx="0">
                  <c:v>#REF!</c:v>
                </c:pt>
              </c:strCache>
            </c:strRef>
          </c:tx>
          <c:spPr>
            <a:solidFill>
              <a:srgbClr val="993366"/>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44378112"/>
        <c:axId val="144379904"/>
      </c:barChart>
      <c:catAx>
        <c:axId val="144378112"/>
        <c:scaling>
          <c:orientation val="minMax"/>
        </c:scaling>
        <c:delete val="0"/>
        <c:axPos val="b"/>
        <c:numFmt formatCode="General" sourceLinked="1"/>
        <c:majorTickMark val="in"/>
        <c:minorTickMark val="none"/>
        <c:tickLblPos val="low"/>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4379904"/>
        <c:crosses val="autoZero"/>
        <c:auto val="1"/>
        <c:lblAlgn val="ctr"/>
        <c:lblOffset val="100"/>
        <c:noMultiLvlLbl val="0"/>
      </c:catAx>
      <c:valAx>
        <c:axId val="144379904"/>
        <c:scaling>
          <c:orientation val="minMax"/>
        </c:scaling>
        <c:delete val="0"/>
        <c:axPos val="l"/>
        <c:majorGridlines>
          <c:spPr>
            <a:ln w="1979" cap="flat" cmpd="sng" algn="ctr">
              <a:solidFill>
                <a:srgbClr val="000000"/>
              </a:solidFill>
              <a:prstDash val="solid"/>
              <a:round/>
            </a:ln>
          </c:spPr>
        </c:majorGridlines>
        <c:numFmt formatCode="General" sourceLinked="1"/>
        <c:majorTickMark val="in"/>
        <c:minorTickMark val="none"/>
        <c:tickLblPos val="nextTo"/>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4378112"/>
        <c:crosses val="autoZero"/>
        <c:crossBetween val="between"/>
      </c:valAx>
      <c:spPr>
        <a:solidFill>
          <a:srgbClr val="C0C0C0"/>
        </a:solidFill>
        <a:ln w="12700">
          <a:solidFill>
            <a:srgbClr val="808080"/>
          </a:solidFill>
          <a:prstDash val="solid"/>
        </a:ln>
      </c:spPr>
    </c:plotArea>
    <c:plotVisOnly val="1"/>
    <c:dispBlanksAs val="gap"/>
    <c:showDLblsOverMax val="0"/>
  </c:chart>
  <c:spPr>
    <a:noFill/>
    <a:ln w="9525" cap="flat" cmpd="sng" algn="ctr">
      <a:noFill/>
      <a:prstDash val="solid"/>
      <a:round/>
    </a:ln>
  </c:spPr>
  <c:txPr>
    <a:bodyPr/>
    <a:lstStyle/>
    <a:p>
      <a:pPr>
        <a:defRPr lang="zh-CN" sz="64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depthPercent val="100"/>
      <c:rAngAx val="0"/>
      <c:perspective val="0"/>
    </c:view3D>
    <c:floor>
      <c:thickness val="0"/>
    </c:floor>
    <c:sideWall>
      <c:thickness val="0"/>
    </c:sideWall>
    <c:backWall>
      <c:thickness val="0"/>
    </c:backWall>
    <c:plotArea>
      <c:layout>
        <c:manualLayout>
          <c:layoutTarget val="inner"/>
          <c:xMode val="edge"/>
          <c:yMode val="edge"/>
          <c:x val="0.0974433357773598"/>
          <c:y val="0.183047877635985"/>
          <c:w val="0.646525679758308"/>
          <c:h val="0.611510791366906"/>
        </c:manualLayout>
      </c:layout>
      <c:pie3DChart>
        <c:varyColors val="1"/>
        <c:ser>
          <c:idx val="0"/>
          <c:order val="0"/>
          <c:tx>
            <c:strRef>
              <c:f>Sheet1!$A$2</c:f>
              <c:strCache>
                <c:ptCount val="1"/>
                <c:pt idx="0">
                  <c:v>2022年</c:v>
                </c:pt>
              </c:strCache>
            </c:strRef>
          </c:tx>
          <c:spPr>
            <a:solidFill>
              <a:srgbClr val="9999FF"/>
            </a:solidFill>
            <a:ln w="6091">
              <a:solidFill>
                <a:srgbClr val="000000"/>
              </a:solidFill>
              <a:prstDash val="solid"/>
            </a:ln>
          </c:spPr>
          <c:explosion val="0"/>
          <c:dPt>
            <c:idx val="0"/>
            <c:bubble3D val="0"/>
            <c:spPr>
              <a:solidFill>
                <a:srgbClr val="9999FF"/>
              </a:solidFill>
              <a:ln w="6091">
                <a:solidFill>
                  <a:srgbClr val="000000"/>
                </a:solidFill>
                <a:prstDash val="solid"/>
              </a:ln>
            </c:spPr>
          </c:dPt>
          <c:dPt>
            <c:idx val="1"/>
            <c:bubble3D val="0"/>
            <c:spPr>
              <a:solidFill>
                <a:srgbClr val="993366"/>
              </a:solidFill>
              <a:ln w="6091">
                <a:solidFill>
                  <a:srgbClr val="000000"/>
                </a:solidFill>
                <a:prstDash val="solid"/>
              </a:ln>
            </c:spPr>
          </c:dPt>
          <c:dLbls>
            <c:delete val="1"/>
          </c:dLbls>
          <c:cat>
            <c:strRef>
              <c:f>Sheet1!$B$1:$C$1</c:f>
              <c:strCache>
                <c:ptCount val="2"/>
                <c:pt idx="0">
                  <c:v>一般公共预算财政拨款收入</c:v>
                </c:pt>
                <c:pt idx="1">
                  <c:v>政府性基金预算财政拨款</c:v>
                </c:pt>
              </c:strCache>
            </c:strRef>
          </c:cat>
          <c:val>
            <c:numRef>
              <c:f>Sheet1!$B$2:$C$2</c:f>
              <c:numCache>
                <c:formatCode>General</c:formatCode>
                <c:ptCount val="2"/>
                <c:pt idx="0">
                  <c:v>22520.28</c:v>
                </c:pt>
                <c:pt idx="1">
                  <c:v>276.6</c:v>
                </c:pt>
              </c:numCache>
            </c:numRef>
          </c:val>
        </c:ser>
        <c:dLbls>
          <c:showLegendKey val="0"/>
          <c:showVal val="0"/>
          <c:showCatName val="0"/>
          <c:showSerName val="0"/>
          <c:showPercent val="0"/>
          <c:showBubbleSize val="0"/>
        </c:dLbls>
      </c:pie3DChart>
      <c:spPr>
        <a:solidFill>
          <a:srgbClr val="C0C0C0"/>
        </a:solidFill>
        <a:ln w="6091">
          <a:solidFill>
            <a:srgbClr val="808080"/>
          </a:solidFill>
          <a:prstDash val="solid"/>
        </a:ln>
      </c:spPr>
    </c:plotArea>
    <c:legend>
      <c:legendPos val="r"/>
      <c:layout>
        <c:manualLayout>
          <c:xMode val="edge"/>
          <c:yMode val="edge"/>
          <c:x val="0.80060427229205"/>
          <c:y val="0.174583066005638"/>
          <c:w val="0.187311151323476"/>
          <c:h val="0.650832312627588"/>
        </c:manualLayout>
      </c:layout>
      <c:overlay val="0"/>
      <c:spPr>
        <a:noFill/>
        <a:ln w="1523">
          <a:solidFill>
            <a:srgbClr val="000000"/>
          </a:solidFill>
          <a:prstDash val="solid"/>
        </a:ln>
      </c:spPr>
      <c:txPr>
        <a:bodyPr rot="0" spcFirstLastPara="0" vertOverflow="ellipsis" vert="horz" wrap="square" anchor="ctr" anchorCtr="1"/>
        <a:lstStyle/>
        <a:p>
          <a:pPr>
            <a:defRPr lang="zh-CN" sz="3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3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depthPercent val="100"/>
      <c:rAngAx val="0"/>
      <c:perspective val="0"/>
    </c:view3D>
    <c:floor>
      <c:thickness val="0"/>
    </c:floor>
    <c:sideWall>
      <c:thickness val="0"/>
    </c:sideWall>
    <c:backWall>
      <c:thickness val="0"/>
    </c:backWall>
    <c:plotArea>
      <c:layout>
        <c:manualLayout>
          <c:layoutTarget val="inner"/>
          <c:xMode val="edge"/>
          <c:yMode val="edge"/>
          <c:x val="0.0906877309430541"/>
          <c:y val="0.171135767120019"/>
          <c:w val="0.646525679758308"/>
          <c:h val="0.611510791366906"/>
        </c:manualLayout>
      </c:layout>
      <c:pie3DChart>
        <c:varyColors val="1"/>
        <c:ser>
          <c:idx val="0"/>
          <c:order val="0"/>
          <c:tx>
            <c:strRef>
              <c:f>Sheet1!$A$2</c:f>
              <c:strCache>
                <c:ptCount val="1"/>
                <c:pt idx="0">
                  <c:v>2023年</c:v>
                </c:pt>
              </c:strCache>
            </c:strRef>
          </c:tx>
          <c:spPr>
            <a:solidFill>
              <a:srgbClr val="9999FF"/>
            </a:solidFill>
            <a:ln w="6091">
              <a:solidFill>
                <a:srgbClr val="000000"/>
              </a:solidFill>
              <a:prstDash val="solid"/>
            </a:ln>
          </c:spPr>
          <c:explosion val="0"/>
          <c:dPt>
            <c:idx val="0"/>
            <c:bubble3D val="0"/>
            <c:spPr>
              <a:solidFill>
                <a:srgbClr val="9999FF"/>
              </a:solidFill>
              <a:ln w="6091">
                <a:solidFill>
                  <a:srgbClr val="000000"/>
                </a:solidFill>
                <a:prstDash val="solid"/>
              </a:ln>
            </c:spPr>
          </c:dPt>
          <c:dPt>
            <c:idx val="1"/>
            <c:bubble3D val="0"/>
            <c:spPr>
              <a:solidFill>
                <a:srgbClr val="993366"/>
              </a:solidFill>
              <a:ln w="6091">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17687.62</c:v>
                </c:pt>
                <c:pt idx="1">
                  <c:v>3181.11</c:v>
                </c:pt>
              </c:numCache>
            </c:numRef>
          </c:val>
        </c:ser>
        <c:dLbls>
          <c:showLegendKey val="0"/>
          <c:showVal val="0"/>
          <c:showCatName val="0"/>
          <c:showSerName val="0"/>
          <c:showPercent val="0"/>
          <c:showBubbleSize val="0"/>
        </c:dLbls>
      </c:pie3DChart>
      <c:spPr>
        <a:solidFill>
          <a:srgbClr val="C0C0C0"/>
        </a:solidFill>
        <a:ln w="6091">
          <a:solidFill>
            <a:srgbClr val="808080"/>
          </a:solidFill>
          <a:prstDash val="solid"/>
        </a:ln>
      </c:spPr>
    </c:plotArea>
    <c:legend>
      <c:legendPos val="r"/>
      <c:layout>
        <c:manualLayout>
          <c:xMode val="edge"/>
          <c:yMode val="edge"/>
          <c:x val="0.800604197979526"/>
          <c:y val="0.381294449304948"/>
          <c:w val="0.187311244214131"/>
          <c:h val="0.237409546028969"/>
        </c:manualLayout>
      </c:layout>
      <c:overlay val="0"/>
      <c:spPr>
        <a:noFill/>
        <a:ln w="1523">
          <a:solidFill>
            <a:srgbClr val="000000"/>
          </a:solidFill>
          <a:prstDash val="solid"/>
        </a:ln>
      </c:spPr>
      <c:txPr>
        <a:bodyPr rot="0" spcFirstLastPara="0" vertOverflow="ellipsis" vert="horz" wrap="square" anchor="ctr" anchorCtr="1"/>
        <a:lstStyle/>
        <a:p>
          <a:pPr>
            <a:defRPr lang="zh-CN" sz="3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3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144469526"/>
          <c:y val="0.0436893203883495"/>
          <c:w val="0.869074492099323"/>
          <c:h val="0.79126213592233"/>
        </c:manualLayout>
      </c:layout>
      <c:barChart>
        <c:barDir val="col"/>
        <c:grouping val="clustered"/>
        <c:varyColors val="0"/>
        <c:ser>
          <c:idx val="0"/>
          <c:order val="0"/>
          <c:tx>
            <c:strRef>
              <c:f>Sheet1!$A$2</c:f>
              <c:strCache>
                <c:ptCount val="1"/>
                <c:pt idx="0">
                  <c:v>收入</c:v>
                </c:pt>
              </c:strCache>
            </c:strRef>
          </c:tx>
          <c:spPr>
            <a:solidFill>
              <a:srgbClr val="9999FF"/>
            </a:solidFill>
            <a:ln w="7923">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19910.08</c:v>
                </c:pt>
                <c:pt idx="1">
                  <c:v>23738.46</c:v>
                </c:pt>
              </c:numCache>
            </c:numRef>
          </c:val>
        </c:ser>
        <c:ser>
          <c:idx val="1"/>
          <c:order val="1"/>
          <c:tx>
            <c:strRef>
              <c:f>Sheet1!#REF!</c:f>
              <c:strCache>
                <c:ptCount val="1"/>
                <c:pt idx="0">
                  <c:v>#REF!</c:v>
                </c:pt>
              </c:strCache>
            </c:strRef>
          </c:tx>
          <c:spPr>
            <a:solidFill>
              <a:srgbClr val="993366"/>
            </a:solidFill>
            <a:ln w="7923">
              <a:solidFill>
                <a:srgbClr val="000000"/>
              </a:solidFill>
              <a:prstDash val="solid"/>
            </a:ln>
          </c:spPr>
          <c:invertIfNegative val="0"/>
          <c:dLbls>
            <c:delete val="1"/>
          </c:dLbls>
          <c:cat>
            <c:strRef>
              <c:f>Sheet1!$B$1:$C$1</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146068608"/>
        <c:axId val="146070144"/>
      </c:barChart>
      <c:catAx>
        <c:axId val="146068608"/>
        <c:scaling>
          <c:orientation val="minMax"/>
        </c:scaling>
        <c:delete val="0"/>
        <c:axPos val="b"/>
        <c:majorGridlines>
          <c:spPr>
            <a:ln w="1981" cap="flat" cmpd="sng" algn="ctr">
              <a:solidFill>
                <a:srgbClr val="000000"/>
              </a:solidFill>
              <a:prstDash val="solid"/>
              <a:round/>
            </a:ln>
          </c:spPr>
        </c:majorGridlines>
        <c:numFmt formatCode="General" sourceLinked="1"/>
        <c:majorTickMark val="in"/>
        <c:minorTickMark val="none"/>
        <c:tickLblPos val="low"/>
        <c:spPr>
          <a:ln w="1981"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6070144"/>
        <c:crosses val="autoZero"/>
        <c:auto val="1"/>
        <c:lblAlgn val="ctr"/>
        <c:lblOffset val="100"/>
        <c:tickLblSkip val="1"/>
        <c:noMultiLvlLbl val="0"/>
      </c:catAx>
      <c:valAx>
        <c:axId val="146070144"/>
        <c:scaling>
          <c:orientation val="minMax"/>
        </c:scaling>
        <c:delete val="0"/>
        <c:axPos val="l"/>
        <c:majorGridlines>
          <c:spPr>
            <a:ln w="1981" cap="flat" cmpd="sng" algn="ctr">
              <a:solidFill>
                <a:srgbClr val="000000"/>
              </a:solidFill>
              <a:prstDash val="solid"/>
              <a:round/>
            </a:ln>
          </c:spPr>
        </c:majorGridlines>
        <c:numFmt formatCode="General" sourceLinked="1"/>
        <c:majorTickMark val="in"/>
        <c:minorTickMark val="none"/>
        <c:tickLblPos val="nextTo"/>
        <c:spPr>
          <a:ln w="1981"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6068608"/>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64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144469526"/>
          <c:y val="0.0436893203883495"/>
          <c:w val="0.869074492099323"/>
          <c:h val="0.79126213592233"/>
        </c:manualLayout>
      </c:layout>
      <c:barChart>
        <c:barDir val="col"/>
        <c:grouping val="clustered"/>
        <c:varyColors val="0"/>
        <c:ser>
          <c:idx val="1"/>
          <c:order val="0"/>
          <c:tx>
            <c:strRef>
              <c:f>Sheet1!$A$2</c:f>
              <c:strCache>
                <c:ptCount val="1"/>
                <c:pt idx="0">
                  <c:v>支出</c:v>
                </c:pt>
              </c:strCache>
            </c:strRef>
          </c:tx>
          <c:spPr>
            <a:solidFill>
              <a:srgbClr val="993366"/>
            </a:solidFill>
            <a:ln w="8328">
              <a:solidFill>
                <a:srgbClr val="000000"/>
              </a:solidFill>
              <a:prstDash val="solid"/>
            </a:ln>
          </c:spPr>
          <c:invertIfNegative val="0"/>
          <c:dPt>
            <c:idx val="1"/>
            <c:invertIfNegative val="0"/>
            <c:bubble3D val="0"/>
            <c:spPr>
              <a:solidFill>
                <a:srgbClr val="993366"/>
              </a:solidFill>
              <a:ln w="8328">
                <a:solidFill>
                  <a:srgbClr val="000000"/>
                </a:solidFill>
                <a:prstDash val="solid"/>
              </a:ln>
            </c:spPr>
          </c:dPt>
          <c:dLbls>
            <c:delete val="1"/>
          </c:dLbls>
          <c:cat>
            <c:strRef>
              <c:f>Sheet1!$B$1:$C$1</c:f>
              <c:strCache>
                <c:ptCount val="2"/>
                <c:pt idx="0">
                  <c:v>2022年</c:v>
                </c:pt>
                <c:pt idx="1">
                  <c:v>2023年</c:v>
                </c:pt>
              </c:strCache>
            </c:strRef>
          </c:cat>
          <c:val>
            <c:numRef>
              <c:f>Sheet1!$B$2:$C$2</c:f>
              <c:numCache>
                <c:formatCode>General</c:formatCode>
                <c:ptCount val="2"/>
                <c:pt idx="0">
                  <c:v>18968.48</c:v>
                </c:pt>
                <c:pt idx="1">
                  <c:v>20697.12</c:v>
                </c:pt>
              </c:numCache>
            </c:numRef>
          </c:val>
        </c:ser>
        <c:dLbls>
          <c:showLegendKey val="0"/>
          <c:showVal val="0"/>
          <c:showCatName val="0"/>
          <c:showSerName val="0"/>
          <c:showPercent val="0"/>
          <c:showBubbleSize val="0"/>
        </c:dLbls>
        <c:gapWidth val="150"/>
        <c:axId val="145795712"/>
        <c:axId val="145801600"/>
      </c:barChart>
      <c:catAx>
        <c:axId val="145795712"/>
        <c:scaling>
          <c:orientation val="minMax"/>
        </c:scaling>
        <c:delete val="0"/>
        <c:axPos val="b"/>
        <c:majorGridlines>
          <c:spPr>
            <a:ln w="2082" cap="flat" cmpd="sng" algn="ctr">
              <a:solidFill>
                <a:srgbClr val="000000"/>
              </a:solidFill>
              <a:prstDash val="solid"/>
              <a:round/>
            </a:ln>
          </c:spPr>
        </c:majorGridlines>
        <c:numFmt formatCode="General" sourceLinked="1"/>
        <c:majorTickMark val="in"/>
        <c:minorTickMark val="none"/>
        <c:tickLblPos val="low"/>
        <c:spPr>
          <a:ln w="2082" cap="flat" cmpd="sng" algn="ctr">
            <a:solidFill>
              <a:srgbClr val="000000"/>
            </a:solidFill>
            <a:prstDash val="solid"/>
            <a:round/>
          </a:ln>
        </c:spPr>
        <c:txPr>
          <a:bodyPr rot="0" spcFirstLastPara="0" vertOverflow="ellipsis" vert="horz" wrap="square" anchor="ctr" anchorCtr="1"/>
          <a:lstStyle/>
          <a:p>
            <a:pPr>
              <a:defRPr lang="zh-CN" sz="6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5801600"/>
        <c:crosses val="autoZero"/>
        <c:auto val="1"/>
        <c:lblAlgn val="ctr"/>
        <c:lblOffset val="100"/>
        <c:tickLblSkip val="1"/>
        <c:noMultiLvlLbl val="0"/>
      </c:catAx>
      <c:valAx>
        <c:axId val="145801600"/>
        <c:scaling>
          <c:orientation val="minMax"/>
        </c:scaling>
        <c:delete val="0"/>
        <c:axPos val="l"/>
        <c:majorGridlines>
          <c:spPr>
            <a:ln w="2082" cap="flat" cmpd="sng" algn="ctr">
              <a:solidFill>
                <a:srgbClr val="000000"/>
              </a:solidFill>
              <a:prstDash val="solid"/>
              <a:round/>
            </a:ln>
          </c:spPr>
        </c:majorGridlines>
        <c:numFmt formatCode="General" sourceLinked="1"/>
        <c:majorTickMark val="in"/>
        <c:minorTickMark val="none"/>
        <c:tickLblPos val="nextTo"/>
        <c:spPr>
          <a:ln w="2082" cap="flat" cmpd="sng" algn="ctr">
            <a:solidFill>
              <a:srgbClr val="000000"/>
            </a:solidFill>
            <a:prstDash val="solid"/>
            <a:round/>
          </a:ln>
        </c:spPr>
        <c:txPr>
          <a:bodyPr rot="0" spcFirstLastPara="0" vertOverflow="ellipsis" vert="horz" wrap="square" anchor="ctr" anchorCtr="1"/>
          <a:lstStyle/>
          <a:p>
            <a:pPr>
              <a:defRPr lang="zh-CN" sz="6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5795712"/>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6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支出额</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一般公共服务</c:v>
                </c:pt>
                <c:pt idx="1">
                  <c:v>公共安全</c:v>
                </c:pt>
                <c:pt idx="2">
                  <c:v>社会保障和就业</c:v>
                </c:pt>
                <c:pt idx="3">
                  <c:v>卫生健康</c:v>
                </c:pt>
                <c:pt idx="4">
                  <c:v>住房保障</c:v>
                </c:pt>
              </c:strCache>
            </c:strRef>
          </c:cat>
          <c:val>
            <c:numRef>
              <c:f>Sheet1!$B$2:$B$6</c:f>
              <c:numCache>
                <c:formatCode>General</c:formatCode>
                <c:ptCount val="5"/>
                <c:pt idx="0">
                  <c:v>24.78</c:v>
                </c:pt>
                <c:pt idx="1">
                  <c:v>17838.47</c:v>
                </c:pt>
                <c:pt idx="2">
                  <c:v>1610.76</c:v>
                </c:pt>
                <c:pt idx="3">
                  <c:v>407.25</c:v>
                </c:pt>
                <c:pt idx="4">
                  <c:v>815.52</c:v>
                </c:pt>
              </c:numCache>
            </c:numRef>
          </c:val>
        </c:ser>
        <c:dLbls>
          <c:showLegendKey val="0"/>
          <c:showVal val="0"/>
          <c:showCatName val="0"/>
          <c:showSerName val="0"/>
          <c:showPercent val="0"/>
          <c:showBubbleSize val="0"/>
          <c:showLeaderLines val="1"/>
        </c:dLbls>
        <c:firstSliceAng val="0"/>
      </c:pieChart>
      <c:spPr>
        <a:noFill/>
        <a:ln w="19051">
          <a:noFill/>
        </a:ln>
      </c:spPr>
    </c:plotArea>
    <c:legend>
      <c:legendPos val="r"/>
      <c:layout>
        <c:manualLayout>
          <c:xMode val="edge"/>
          <c:yMode val="edge"/>
          <c:x val="0.675239475065617"/>
          <c:y val="0.283934199583077"/>
          <c:w val="0.262015608048994"/>
          <c:h val="0.6773031766090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支出额</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公务用车购置和维护</c:v>
                </c:pt>
                <c:pt idx="2">
                  <c:v>公务接待费</c:v>
                </c:pt>
              </c:strCache>
            </c:strRef>
          </c:cat>
          <c:val>
            <c:numRef>
              <c:f>Sheet1!$B$2:$B$4</c:f>
              <c:numCache>
                <c:formatCode>General</c:formatCode>
                <c:ptCount val="3"/>
                <c:pt idx="0">
                  <c:v>2.53</c:v>
                </c:pt>
                <c:pt idx="1">
                  <c:v>394.72</c:v>
                </c:pt>
                <c:pt idx="2">
                  <c:v>0.91</c:v>
                </c:pt>
              </c:numCache>
            </c:numRef>
          </c:val>
        </c:ser>
        <c:dLbls>
          <c:showLegendKey val="0"/>
          <c:showVal val="0"/>
          <c:showCatName val="0"/>
          <c:showSerName val="0"/>
          <c:showPercent val="0"/>
          <c:showBubbleSize val="0"/>
          <c:showLeaderLines val="1"/>
        </c:dLbls>
        <c:firstSliceAng val="0"/>
      </c:pieChart>
      <c:spPr>
        <a:noFill/>
        <a:ln w="19051">
          <a:noFill/>
        </a:ln>
      </c:spPr>
    </c:plotArea>
    <c:legend>
      <c:legendPos val="r"/>
      <c:layout>
        <c:manualLayout>
          <c:xMode val="edge"/>
          <c:yMode val="edge"/>
          <c:x val="0.675239475065617"/>
          <c:y val="0.283934199583077"/>
          <c:w val="0.262015608048994"/>
          <c:h val="0.6773031766090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9777</Words>
  <Characters>12216</Characters>
  <Lines>113</Lines>
  <Paragraphs>31</Paragraphs>
  <TotalTime>7</TotalTime>
  <ScaleCrop>false</ScaleCrop>
  <LinksUpToDate>false</LinksUpToDate>
  <CharactersWithSpaces>12321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2024-03-25T07:04:00Z</dcterms:created>
  <dc:creator>曹颖</dc:creator>
  <cp:lastModifiedBy>Administrator</cp:lastModifiedBy>
  <cp:lastPrinted>2023-07-31T02:35:00Z</cp:lastPrinted>
  <dcterms:modified xsi:type="dcterms:W3CDTF">2024-08-27T01:19:23Z</dcterms:modified>
  <dc:title>四川省***</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0622DC7EC5E749979445C76FD3C33A89_12</vt:lpwstr>
  </property>
</Properties>
</file>