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745A">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14:paraId="18802867">
      <w:pPr>
        <w:spacing w:line="600" w:lineRule="exact"/>
        <w:jc w:val="center"/>
        <w:outlineLvl w:val="0"/>
        <w:rPr>
          <w:rFonts w:hint="default" w:ascii="Times New Roman" w:hAnsi="Times New Roman" w:eastAsia="方正小标宋简体" w:cs="Times New Roman"/>
          <w:color w:val="000000"/>
          <w:sz w:val="72"/>
          <w:szCs w:val="72"/>
        </w:rPr>
      </w:pPr>
    </w:p>
    <w:p w14:paraId="1EDD68D0">
      <w:pPr>
        <w:spacing w:line="600" w:lineRule="exact"/>
        <w:jc w:val="center"/>
        <w:outlineLvl w:val="0"/>
        <w:rPr>
          <w:rFonts w:hint="default" w:ascii="Times New Roman" w:hAnsi="Times New Roman" w:eastAsia="方正小标宋简体" w:cs="Times New Roman"/>
          <w:color w:val="000000"/>
          <w:sz w:val="72"/>
          <w:szCs w:val="72"/>
        </w:rPr>
      </w:pPr>
    </w:p>
    <w:p w14:paraId="25554415">
      <w:pPr>
        <w:spacing w:line="600" w:lineRule="exact"/>
        <w:jc w:val="center"/>
        <w:outlineLvl w:val="0"/>
        <w:rPr>
          <w:rFonts w:hint="default" w:ascii="Times New Roman" w:hAnsi="Times New Roman" w:eastAsia="方正小标宋简体" w:cs="Times New Roman"/>
          <w:color w:val="000000"/>
          <w:sz w:val="72"/>
          <w:szCs w:val="72"/>
        </w:rPr>
      </w:pPr>
    </w:p>
    <w:p w14:paraId="1A148E04">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7425"/>
      <w:bookmarkStart w:id="2" w:name="_Toc15396475"/>
      <w:bookmarkStart w:id="3" w:name="_Toc15396597"/>
      <w:bookmarkStart w:id="4" w:name="_Toc15378441"/>
      <w:bookmarkStart w:id="5" w:name="_Toc15377193"/>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bookmarkEnd w:id="0"/>
    <w:p w14:paraId="45C02DBB">
      <w:pPr>
        <w:adjustRightInd w:val="0"/>
        <w:snapToGrid w:val="0"/>
        <w:spacing w:line="360" w:lineRule="auto"/>
        <w:jc w:val="center"/>
        <w:outlineLvl w:val="0"/>
        <w:rPr>
          <w:rFonts w:hint="eastAsia" w:eastAsia="方正小标宋简体" w:cs="Times New Roman"/>
          <w:color w:val="000000"/>
          <w:sz w:val="72"/>
          <w:szCs w:val="72"/>
          <w:lang w:eastAsia="zh-CN"/>
        </w:rPr>
      </w:pPr>
      <w:bookmarkStart w:id="6" w:name="_Toc15396476"/>
      <w:bookmarkStart w:id="7" w:name="_Toc15377194"/>
      <w:bookmarkStart w:id="8" w:name="_Toc15396598"/>
      <w:bookmarkStart w:id="9" w:name="_Toc15377426"/>
      <w:bookmarkStart w:id="10" w:name="_Toc15306268"/>
      <w:bookmarkStart w:id="11" w:name="_Toc15378442"/>
      <w:r>
        <w:rPr>
          <w:rFonts w:hint="eastAsia" w:eastAsia="方正小标宋简体" w:cs="Times New Roman"/>
          <w:color w:val="000000"/>
          <w:sz w:val="72"/>
          <w:szCs w:val="72"/>
          <w:lang w:eastAsia="zh-CN"/>
        </w:rPr>
        <w:t>邻水县中医医院</w:t>
      </w:r>
    </w:p>
    <w:p w14:paraId="44F5B30E">
      <w:pPr>
        <w:adjustRightInd w:val="0"/>
        <w:snapToGrid w:val="0"/>
        <w:spacing w:line="360" w:lineRule="auto"/>
        <w:jc w:val="center"/>
        <w:outlineLvl w:val="0"/>
        <w:rPr>
          <w:rFonts w:hint="default" w:ascii="Times New Roman" w:hAnsi="Times New Roman" w:eastAsia="宋体" w:cs="Times New Roman"/>
          <w:kern w:val="2"/>
          <w:sz w:val="21"/>
          <w:szCs w:val="24"/>
          <w:lang w:val="en-US" w:eastAsia="zh-CN" w:bidi="ar-SA"/>
        </w:rPr>
      </w:pP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14:paraId="0E74A756">
      <w:pPr>
        <w:bidi w:val="0"/>
        <w:rPr>
          <w:rFonts w:hint="default" w:ascii="Times New Roman" w:hAnsi="Times New Roman" w:cs="Times New Roman"/>
          <w:lang w:val="en-US" w:eastAsia="zh-CN"/>
        </w:rPr>
      </w:pPr>
    </w:p>
    <w:p w14:paraId="0A33C0B2">
      <w:pPr>
        <w:bidi w:val="0"/>
        <w:rPr>
          <w:rFonts w:hint="default" w:ascii="Times New Roman" w:hAnsi="Times New Roman" w:cs="Times New Roman"/>
          <w:lang w:val="en-US" w:eastAsia="zh-CN"/>
        </w:rPr>
      </w:pPr>
    </w:p>
    <w:p w14:paraId="2C7EE72C">
      <w:pPr>
        <w:bidi w:val="0"/>
        <w:rPr>
          <w:rFonts w:hint="default" w:ascii="Times New Roman" w:hAnsi="Times New Roman" w:cs="Times New Roman"/>
          <w:lang w:val="en-US" w:eastAsia="zh-CN"/>
        </w:rPr>
      </w:pPr>
    </w:p>
    <w:p w14:paraId="17546CC3">
      <w:pPr>
        <w:bidi w:val="0"/>
        <w:rPr>
          <w:rFonts w:hint="default" w:ascii="Times New Roman" w:hAnsi="Times New Roman" w:cs="Times New Roman"/>
          <w:lang w:val="en-US" w:eastAsia="zh-CN"/>
        </w:rPr>
      </w:pPr>
    </w:p>
    <w:p w14:paraId="74C408F3">
      <w:pPr>
        <w:bidi w:val="0"/>
        <w:rPr>
          <w:rFonts w:hint="default" w:ascii="Times New Roman" w:hAnsi="Times New Roman" w:cs="Times New Roman"/>
          <w:lang w:val="en-US" w:eastAsia="zh-CN"/>
        </w:rPr>
      </w:pPr>
    </w:p>
    <w:p w14:paraId="77C3A05F">
      <w:pPr>
        <w:bidi w:val="0"/>
        <w:rPr>
          <w:rFonts w:hint="default" w:ascii="Times New Roman" w:hAnsi="Times New Roman" w:cs="Times New Roman"/>
          <w:lang w:val="en-US" w:eastAsia="zh-CN"/>
        </w:rPr>
      </w:pPr>
    </w:p>
    <w:p w14:paraId="754DD34B">
      <w:pPr>
        <w:tabs>
          <w:tab w:val="left" w:pos="5738"/>
        </w:tabs>
        <w:bidi w:val="0"/>
        <w:jc w:val="left"/>
        <w:rPr>
          <w:rFonts w:hint="default" w:ascii="Times New Roman" w:hAnsi="Times New Roman" w:cs="Times New Roman"/>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lang w:val="en-US" w:eastAsia="zh-CN"/>
        </w:rPr>
        <w:tab/>
      </w:r>
    </w:p>
    <w:p w14:paraId="62F6EC3C">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14:paraId="1CC4FB5A">
      <w:pPr>
        <w:widowControl/>
        <w:jc w:val="center"/>
        <w:rPr>
          <w:rFonts w:hint="default" w:ascii="Times New Roman" w:hAnsi="Times New Roman" w:eastAsia="黑体" w:cs="Times New Roman"/>
          <w:sz w:val="28"/>
          <w:szCs w:val="28"/>
        </w:rPr>
      </w:pPr>
    </w:p>
    <w:p w14:paraId="0BC15223">
      <w:pPr>
        <w:pStyle w:val="11"/>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日</w:t>
      </w:r>
    </w:p>
    <w:p w14:paraId="53DBEF03">
      <w:pPr>
        <w:pStyle w:val="11"/>
        <w:keepNext w:val="0"/>
        <w:keepLines w:val="0"/>
        <w:pageBreakBefore w:val="0"/>
        <w:widowControl w:val="0"/>
        <w:kinsoku/>
        <w:wordWrap/>
        <w:overflowPunct/>
        <w:topLinePunct w:val="0"/>
        <w:autoSpaceDE/>
        <w:autoSpaceDN/>
        <w:bidi w:val="0"/>
        <w:adjustRightInd w:val="0"/>
        <w:snapToGrid w:val="0"/>
        <w:spacing w:before="0" w:line="440" w:lineRule="exact"/>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rPr>
        <w:t xml:space="preserve">第一部分 </w:t>
      </w:r>
      <w:r>
        <w:rPr>
          <w:rFonts w:hint="eastAsia" w:ascii="Times New Roman" w:hAnsi="Times New Roman" w:cs="Times New Roman"/>
          <w:sz w:val="24"/>
          <w:lang w:eastAsia="zh-CN"/>
        </w:rPr>
        <w:t>单位</w:t>
      </w:r>
      <w:r>
        <w:rPr>
          <w:rFonts w:hint="default" w:ascii="Times New Roman" w:hAnsi="Times New Roman" w:cs="Times New Roman"/>
          <w:sz w:val="24"/>
        </w:rPr>
        <w:t>概况</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w:t>
      </w:r>
    </w:p>
    <w:p w14:paraId="5798F6A8">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一、基本职能及主要工作</w:t>
      </w:r>
      <w:r>
        <w:rPr>
          <w:rFonts w:hint="eastAsia" w:cs="Times New Roman"/>
          <w:sz w:val="24"/>
          <w:lang w:val="en-US" w:eastAsia="zh-CN"/>
        </w:rPr>
        <w:tab/>
      </w:r>
      <w:r>
        <w:rPr>
          <w:rFonts w:hint="eastAsia" w:cs="Times New Roman"/>
          <w:sz w:val="24"/>
          <w:lang w:val="en-US" w:eastAsia="zh-CN"/>
        </w:rPr>
        <w:t>4</w:t>
      </w:r>
    </w:p>
    <w:p w14:paraId="33A5777B">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二、机构设置</w:t>
      </w:r>
      <w:r>
        <w:rPr>
          <w:rFonts w:hint="eastAsia" w:cs="Times New Roman"/>
          <w:sz w:val="24"/>
          <w:lang w:val="en-US" w:eastAsia="zh-CN"/>
        </w:rPr>
        <w:tab/>
      </w:r>
      <w:r>
        <w:rPr>
          <w:rFonts w:hint="eastAsia" w:cs="Times New Roman"/>
          <w:sz w:val="24"/>
          <w:lang w:val="en-US" w:eastAsia="zh-CN"/>
        </w:rPr>
        <w:t>6</w:t>
      </w:r>
    </w:p>
    <w:p w14:paraId="039C0AEE">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2022年度</w:t>
      </w:r>
      <w:r>
        <w:rPr>
          <w:rFonts w:hint="eastAsia" w:ascii="Times New Roman" w:hAnsi="Times New Roman" w:cs="Times New Roman"/>
          <w:sz w:val="24"/>
          <w:lang w:val="en-US" w:eastAsia="zh-CN"/>
        </w:rPr>
        <w:t>单位</w:t>
      </w:r>
      <w:r>
        <w:rPr>
          <w:rFonts w:hint="default" w:ascii="Times New Roman" w:hAnsi="Times New Roman" w:cs="Times New Roman"/>
          <w:sz w:val="24"/>
        </w:rPr>
        <w:t>决算情况说明</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6</w:t>
      </w:r>
    </w:p>
    <w:p w14:paraId="74E148C0">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一、收入支出决算总体情况说明</w:t>
      </w:r>
      <w:r>
        <w:rPr>
          <w:rFonts w:hint="eastAsia" w:cs="Times New Roman"/>
          <w:sz w:val="24"/>
          <w:lang w:val="en-US" w:eastAsia="zh-CN"/>
        </w:rPr>
        <w:tab/>
      </w:r>
      <w:r>
        <w:rPr>
          <w:rFonts w:hint="eastAsia" w:cs="Times New Roman"/>
          <w:sz w:val="24"/>
          <w:lang w:val="en-US" w:eastAsia="zh-CN"/>
        </w:rPr>
        <w:t>6</w:t>
      </w:r>
    </w:p>
    <w:p w14:paraId="7F74A0EA">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二、收入决算情况说明</w:t>
      </w:r>
      <w:r>
        <w:rPr>
          <w:rFonts w:hint="eastAsia" w:cs="Times New Roman"/>
          <w:sz w:val="24"/>
          <w:lang w:val="en-US" w:eastAsia="zh-CN"/>
        </w:rPr>
        <w:tab/>
      </w:r>
      <w:r>
        <w:rPr>
          <w:rFonts w:hint="eastAsia" w:cs="Times New Roman"/>
          <w:sz w:val="24"/>
          <w:lang w:val="en-US" w:eastAsia="zh-CN"/>
        </w:rPr>
        <w:t>7</w:t>
      </w:r>
    </w:p>
    <w:p w14:paraId="6FF2D0F3">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三、支出决算情况说明</w:t>
      </w:r>
      <w:r>
        <w:rPr>
          <w:rFonts w:hint="eastAsia" w:cs="Times New Roman"/>
          <w:sz w:val="24"/>
          <w:lang w:val="en-US" w:eastAsia="zh-CN"/>
        </w:rPr>
        <w:tab/>
      </w:r>
      <w:r>
        <w:rPr>
          <w:rFonts w:hint="eastAsia" w:cs="Times New Roman"/>
          <w:sz w:val="24"/>
          <w:lang w:val="en-US" w:eastAsia="zh-CN"/>
        </w:rPr>
        <w:t>8</w:t>
      </w:r>
    </w:p>
    <w:p w14:paraId="76CA9737">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四、财政拨款收入支出决算总体情况说明</w:t>
      </w:r>
      <w:r>
        <w:rPr>
          <w:rFonts w:hint="eastAsia" w:cs="Times New Roman"/>
          <w:sz w:val="24"/>
          <w:lang w:val="en-US" w:eastAsia="zh-CN"/>
        </w:rPr>
        <w:tab/>
      </w:r>
      <w:r>
        <w:rPr>
          <w:rFonts w:hint="eastAsia" w:cs="Times New Roman"/>
          <w:sz w:val="24"/>
          <w:lang w:val="en-US" w:eastAsia="zh-CN"/>
        </w:rPr>
        <w:t>8</w:t>
      </w:r>
    </w:p>
    <w:p w14:paraId="086CB441">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五、一般公共预算财政拨款支出决算情况说明</w:t>
      </w:r>
      <w:r>
        <w:rPr>
          <w:rFonts w:hint="eastAsia" w:cs="Times New Roman"/>
          <w:sz w:val="24"/>
          <w:lang w:val="en-US" w:eastAsia="zh-CN"/>
        </w:rPr>
        <w:tab/>
      </w:r>
      <w:r>
        <w:rPr>
          <w:rFonts w:hint="eastAsia" w:cs="Times New Roman"/>
          <w:sz w:val="24"/>
          <w:lang w:val="en-US" w:eastAsia="zh-CN"/>
        </w:rPr>
        <w:t>9</w:t>
      </w:r>
    </w:p>
    <w:p w14:paraId="1A19FF8F">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六、一般公共预算财政拨款基本支出决算情况说明</w:t>
      </w:r>
      <w:r>
        <w:rPr>
          <w:rFonts w:hint="eastAsia" w:cs="Times New Roman"/>
          <w:sz w:val="24"/>
          <w:lang w:val="en-US" w:eastAsia="zh-CN"/>
        </w:rPr>
        <w:tab/>
      </w:r>
      <w:r>
        <w:rPr>
          <w:rFonts w:hint="eastAsia" w:cs="Times New Roman"/>
          <w:sz w:val="24"/>
          <w:lang w:val="en-US" w:eastAsia="zh-CN"/>
        </w:rPr>
        <w:t>11</w:t>
      </w:r>
    </w:p>
    <w:p w14:paraId="7D93750F">
      <w:pPr>
        <w:pStyle w:val="12"/>
        <w:adjustRightInd w:val="0"/>
        <w:snapToGrid w:val="0"/>
        <w:spacing w:line="440" w:lineRule="exact"/>
        <w:jc w:val="left"/>
        <w:rPr>
          <w:rFonts w:hint="default" w:ascii="Times New Roman" w:hAnsi="Times New Roman" w:cs="Times New Roman"/>
          <w:lang w:val="en-US"/>
        </w:rPr>
      </w:pPr>
      <w:r>
        <w:rPr>
          <w:rFonts w:hint="default" w:ascii="Times New Roman" w:hAnsi="Times New Roman" w:cs="Times New Roman"/>
          <w:sz w:val="24"/>
          <w:lang w:eastAsia="zh-CN"/>
        </w:rPr>
        <w:t>七</w:t>
      </w:r>
      <w:r>
        <w:rPr>
          <w:rFonts w:hint="default" w:ascii="Times New Roman" w:hAnsi="Times New Roman" w:cs="Times New Roman"/>
          <w:sz w:val="24"/>
        </w:rPr>
        <w:t>、一般公共预算财政拨款</w:t>
      </w:r>
      <w:r>
        <w:rPr>
          <w:rFonts w:hint="default" w:ascii="Times New Roman" w:hAnsi="Times New Roman" w:cs="Times New Roman"/>
          <w:sz w:val="24"/>
          <w:lang w:eastAsia="zh-CN"/>
        </w:rPr>
        <w:t>项目</w:t>
      </w:r>
      <w:r>
        <w:rPr>
          <w:rFonts w:hint="default" w:ascii="Times New Roman" w:hAnsi="Times New Roman" w:cs="Times New Roman"/>
          <w:sz w:val="24"/>
        </w:rPr>
        <w:t>支出决算情况说明</w:t>
      </w:r>
      <w:r>
        <w:rPr>
          <w:rFonts w:hint="eastAsia" w:cs="Times New Roman"/>
          <w:sz w:val="24"/>
          <w:lang w:val="en-US" w:eastAsia="zh-CN"/>
        </w:rPr>
        <w:tab/>
      </w:r>
      <w:r>
        <w:rPr>
          <w:rFonts w:hint="eastAsia" w:cs="Times New Roman"/>
          <w:sz w:val="24"/>
          <w:lang w:val="en-US" w:eastAsia="zh-CN"/>
        </w:rPr>
        <w:t>11</w:t>
      </w:r>
    </w:p>
    <w:p w14:paraId="26C714F6">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八</w:t>
      </w:r>
      <w:r>
        <w:rPr>
          <w:rFonts w:hint="default" w:ascii="Times New Roman" w:hAnsi="Times New Roman" w:cs="Times New Roman"/>
          <w:sz w:val="24"/>
        </w:rPr>
        <w:t>、</w:t>
      </w:r>
      <w:r>
        <w:rPr>
          <w:rFonts w:hint="default" w:ascii="Times New Roman" w:hAnsi="Times New Roman" w:cs="Times New Roman"/>
          <w:sz w:val="24"/>
          <w:lang w:eastAsia="zh-CN"/>
        </w:rPr>
        <w:t>财政拨款</w:t>
      </w:r>
      <w:r>
        <w:rPr>
          <w:rFonts w:hint="default" w:ascii="Times New Roman" w:hAnsi="Times New Roman" w:cs="Times New Roman"/>
          <w:sz w:val="24"/>
        </w:rPr>
        <w:t>“三公”经费支出决算情况说明</w:t>
      </w:r>
      <w:r>
        <w:rPr>
          <w:rFonts w:hint="eastAsia" w:cs="Times New Roman"/>
          <w:sz w:val="24"/>
          <w:lang w:val="en-US" w:eastAsia="zh-CN"/>
        </w:rPr>
        <w:tab/>
      </w:r>
      <w:r>
        <w:rPr>
          <w:rFonts w:hint="eastAsia" w:cs="Times New Roman"/>
          <w:sz w:val="24"/>
          <w:lang w:val="en-US" w:eastAsia="zh-CN"/>
        </w:rPr>
        <w:t>12</w:t>
      </w:r>
    </w:p>
    <w:p w14:paraId="2FE5D7DD">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九</w:t>
      </w:r>
      <w:r>
        <w:rPr>
          <w:rFonts w:hint="default" w:ascii="Times New Roman" w:hAnsi="Times New Roman" w:cs="Times New Roman"/>
          <w:sz w:val="24"/>
        </w:rPr>
        <w:t>、政府性基金预算支出决算情况说明</w:t>
      </w:r>
      <w:r>
        <w:rPr>
          <w:rFonts w:hint="eastAsia" w:cs="Times New Roman"/>
          <w:sz w:val="24"/>
          <w:lang w:val="en-US" w:eastAsia="zh-CN"/>
        </w:rPr>
        <w:tab/>
      </w:r>
      <w:r>
        <w:rPr>
          <w:rFonts w:hint="eastAsia" w:cs="Times New Roman"/>
          <w:sz w:val="24"/>
          <w:lang w:val="en-US" w:eastAsia="zh-CN"/>
        </w:rPr>
        <w:t>13</w:t>
      </w:r>
    </w:p>
    <w:p w14:paraId="2CDC201F">
      <w:pPr>
        <w:pStyle w:val="12"/>
        <w:adjustRightInd w:val="0"/>
        <w:snapToGrid w:val="0"/>
        <w:spacing w:line="440" w:lineRule="exact"/>
        <w:ind w:leftChars="0"/>
        <w:jc w:val="left"/>
        <w:rPr>
          <w:rFonts w:hint="default" w:ascii="Times New Roman" w:hAnsi="Times New Roman" w:eastAsia="仿宋" w:cs="Times New Roman"/>
          <w:sz w:val="24"/>
          <w:lang w:val="en-US"/>
        </w:rPr>
      </w:pPr>
      <w:r>
        <w:rPr>
          <w:rFonts w:hint="default" w:ascii="Times New Roman" w:hAnsi="Times New Roman" w:eastAsia="仿宋" w:cs="Times New Roman"/>
          <w:sz w:val="24"/>
          <w:lang w:eastAsia="zh-CN"/>
        </w:rPr>
        <w:t>十</w:t>
      </w:r>
      <w:r>
        <w:rPr>
          <w:rFonts w:hint="default" w:ascii="Times New Roman" w:hAnsi="Times New Roman" w:eastAsia="仿宋" w:cs="Times New Roman"/>
          <w:sz w:val="24"/>
        </w:rPr>
        <w:t>、</w:t>
      </w:r>
      <w:r>
        <w:rPr>
          <w:rFonts w:hint="default" w:ascii="Times New Roman" w:hAnsi="Times New Roman" w:cs="Times New Roman"/>
          <w:sz w:val="24"/>
        </w:rPr>
        <w:t xml:space="preserve"> 国有资本经营预算支出决算情况说明</w:t>
      </w:r>
      <w:r>
        <w:rPr>
          <w:rFonts w:hint="eastAsia" w:cs="Times New Roman"/>
          <w:sz w:val="24"/>
          <w:lang w:val="en-US" w:eastAsia="zh-CN"/>
        </w:rPr>
        <w:tab/>
      </w:r>
      <w:r>
        <w:rPr>
          <w:rFonts w:hint="eastAsia" w:cs="Times New Roman"/>
          <w:sz w:val="24"/>
          <w:lang w:val="en-US" w:eastAsia="zh-CN"/>
        </w:rPr>
        <w:t>13</w:t>
      </w:r>
    </w:p>
    <w:p w14:paraId="71820185">
      <w:pPr>
        <w:keepNext w:val="0"/>
        <w:keepLines w:val="0"/>
        <w:pageBreakBefore w:val="0"/>
        <w:widowControl w:val="0"/>
        <w:tabs>
          <w:tab w:val="left" w:leader="dot" w:pos="8358"/>
        </w:tabs>
        <w:kinsoku/>
        <w:wordWrap/>
        <w:overflowPunct/>
        <w:topLinePunct w:val="0"/>
        <w:autoSpaceDE/>
        <w:autoSpaceDN/>
        <w:bidi w:val="0"/>
        <w:adjustRightInd w:val="0"/>
        <w:snapToGrid w:val="0"/>
        <w:spacing w:line="440" w:lineRule="exact"/>
        <w:ind w:left="0" w:leftChars="0" w:right="0" w:rightChars="0" w:firstLine="420" w:firstLineChars="175"/>
        <w:jc w:val="both"/>
        <w:textAlignment w:val="auto"/>
        <w:outlineLvl w:val="9"/>
        <w:rPr>
          <w:rFonts w:hint="default" w:ascii="Times New Roman" w:hAnsi="Times New Roman" w:eastAsia="仿宋" w:cs="Times New Roman"/>
          <w:sz w:val="24"/>
          <w:lang w:val="en-US"/>
        </w:rPr>
      </w:pPr>
      <w:r>
        <w:rPr>
          <w:rStyle w:val="17"/>
          <w:rFonts w:hint="default" w:ascii="Times New Roman" w:hAnsi="Times New Roman" w:eastAsia="仿宋" w:cs="Times New Roman"/>
          <w:color w:val="000000" w:themeColor="text1"/>
          <w:sz w:val="24"/>
          <w:u w:val="none"/>
          <w:lang w:eastAsia="zh-CN"/>
          <w14:textFill>
            <w14:solidFill>
              <w14:schemeClr w14:val="tx1"/>
            </w14:solidFill>
          </w14:textFill>
        </w:rPr>
        <w:t>十一</w:t>
      </w:r>
      <w:r>
        <w:rPr>
          <w:rStyle w:val="17"/>
          <w:rFonts w:hint="default" w:ascii="Times New Roman" w:hAnsi="Times New Roman" w:eastAsia="仿宋" w:cs="Times New Roman"/>
          <w:color w:val="000000" w:themeColor="text1"/>
          <w:sz w:val="24"/>
          <w:u w:val="none"/>
          <w14:textFill>
            <w14:solidFill>
              <w14:schemeClr w14:val="tx1"/>
            </w14:solidFill>
          </w14:textFill>
        </w:rPr>
        <w:t>、</w:t>
      </w:r>
      <w:r>
        <w:rPr>
          <w:rFonts w:hint="default" w:ascii="Times New Roman" w:hAnsi="Times New Roman" w:cs="Times New Roman"/>
          <w:sz w:val="24"/>
        </w:rPr>
        <w:t>其他重要事项的情况说明</w:t>
      </w:r>
      <w:r>
        <w:rPr>
          <w:rFonts w:hint="eastAsia" w:cs="Times New Roman"/>
          <w:sz w:val="24"/>
          <w:lang w:val="en-US" w:eastAsia="zh-CN"/>
        </w:rPr>
        <w:t>.......................................................................</w:t>
      </w:r>
      <w:r>
        <w:rPr>
          <w:rFonts w:hint="default" w:ascii="Times New Roman" w:hAnsi="Times New Roman" w:cs="Times New Roman"/>
          <w:sz w:val="24"/>
        </w:rPr>
        <w:t>13</w:t>
      </w:r>
    </w:p>
    <w:p w14:paraId="1CEADA25">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第三部分 名词解释</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16</w:t>
      </w:r>
    </w:p>
    <w:p w14:paraId="228431EA">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16</w:t>
      </w:r>
    </w:p>
    <w:p w14:paraId="70265FC3">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第五部分 附表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28</w:t>
      </w:r>
    </w:p>
    <w:p w14:paraId="2E37794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cs="Times New Roman"/>
          <w:sz w:val="24"/>
          <w:lang w:val="en-US" w:eastAsia="zh-CN"/>
        </w:rPr>
        <w:tab/>
      </w:r>
      <w:r>
        <w:rPr>
          <w:rFonts w:hint="eastAsia" w:cs="Times New Roman"/>
          <w:sz w:val="24"/>
          <w:lang w:val="en-US" w:eastAsia="zh-CN"/>
        </w:rPr>
        <w:t>28</w:t>
      </w:r>
    </w:p>
    <w:p w14:paraId="307E0E8A">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二、</w:t>
      </w:r>
      <w:r>
        <w:rPr>
          <w:rFonts w:hint="default" w:ascii="Times New Roman" w:hAnsi="Times New Roman" w:cs="Times New Roman"/>
          <w:sz w:val="24"/>
        </w:rPr>
        <w:t>收入</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28</w:t>
      </w:r>
    </w:p>
    <w:p w14:paraId="6BAAD8B0">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三、</w:t>
      </w:r>
      <w:r>
        <w:rPr>
          <w:rFonts w:hint="default" w:ascii="Times New Roman" w:hAnsi="Times New Roman" w:cs="Times New Roman"/>
          <w:sz w:val="24"/>
        </w:rPr>
        <w:t>支出</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28</w:t>
      </w:r>
    </w:p>
    <w:p w14:paraId="55A9AB27">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四、</w:t>
      </w:r>
      <w:r>
        <w:rPr>
          <w:rFonts w:hint="default" w:ascii="Times New Roman" w:hAnsi="Times New Roman" w:cs="Times New Roman"/>
          <w:sz w:val="24"/>
        </w:rPr>
        <w:t>财政拨款收入支出决算总表</w:t>
      </w:r>
      <w:r>
        <w:rPr>
          <w:rFonts w:hint="eastAsia" w:cs="Times New Roman"/>
          <w:sz w:val="24"/>
          <w:lang w:val="en-US" w:eastAsia="zh-CN"/>
        </w:rPr>
        <w:tab/>
      </w:r>
      <w:r>
        <w:rPr>
          <w:rFonts w:hint="eastAsia" w:cs="Times New Roman"/>
          <w:sz w:val="24"/>
          <w:lang w:val="en-US" w:eastAsia="zh-CN"/>
        </w:rPr>
        <w:t>28</w:t>
      </w:r>
    </w:p>
    <w:p w14:paraId="6BD5593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五、</w:t>
      </w:r>
      <w:r>
        <w:rPr>
          <w:rFonts w:hint="default" w:ascii="Times New Roman" w:hAnsi="Times New Roman" w:cs="Times New Roman"/>
          <w:sz w:val="24"/>
        </w:rPr>
        <w:t>财政拨款支出决算明细表</w:t>
      </w:r>
      <w:r>
        <w:rPr>
          <w:rFonts w:hint="eastAsia" w:cs="Times New Roman"/>
          <w:sz w:val="24"/>
          <w:lang w:val="en-US" w:eastAsia="zh-CN"/>
        </w:rPr>
        <w:tab/>
      </w:r>
      <w:r>
        <w:rPr>
          <w:rFonts w:hint="eastAsia" w:cs="Times New Roman"/>
          <w:sz w:val="24"/>
          <w:lang w:val="en-US" w:eastAsia="zh-CN"/>
        </w:rPr>
        <w:t>28</w:t>
      </w:r>
    </w:p>
    <w:p w14:paraId="4E4F133A">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六、</w:t>
      </w:r>
      <w:r>
        <w:rPr>
          <w:rFonts w:hint="default" w:ascii="Times New Roman" w:hAnsi="Times New Roman" w:cs="Times New Roman"/>
          <w:sz w:val="24"/>
        </w:rPr>
        <w:t>一般公共预算财政拨款支出决算表</w:t>
      </w:r>
      <w:r>
        <w:rPr>
          <w:rFonts w:hint="eastAsia" w:cs="Times New Roman"/>
          <w:sz w:val="24"/>
          <w:lang w:val="en-US" w:eastAsia="zh-CN"/>
        </w:rPr>
        <w:tab/>
      </w:r>
      <w:r>
        <w:rPr>
          <w:rFonts w:hint="eastAsia" w:cs="Times New Roman"/>
          <w:sz w:val="24"/>
          <w:lang w:val="en-US" w:eastAsia="zh-CN"/>
        </w:rPr>
        <w:t>28</w:t>
      </w:r>
    </w:p>
    <w:p w14:paraId="4ECFFE6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七、</w:t>
      </w:r>
      <w:r>
        <w:rPr>
          <w:rFonts w:hint="default" w:ascii="Times New Roman" w:hAnsi="Times New Roman" w:cs="Times New Roman"/>
          <w:sz w:val="24"/>
        </w:rPr>
        <w:t>一般公共预算财政拨款支出决算明细表</w:t>
      </w:r>
      <w:r>
        <w:rPr>
          <w:rFonts w:hint="eastAsia" w:cs="Times New Roman"/>
          <w:sz w:val="24"/>
          <w:lang w:val="en-US" w:eastAsia="zh-CN"/>
        </w:rPr>
        <w:tab/>
      </w:r>
      <w:r>
        <w:rPr>
          <w:rFonts w:hint="eastAsia" w:cs="Times New Roman"/>
          <w:sz w:val="24"/>
          <w:lang w:val="en-US" w:eastAsia="zh-CN"/>
        </w:rPr>
        <w:t>28</w:t>
      </w:r>
    </w:p>
    <w:p w14:paraId="604A4354">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八、</w:t>
      </w:r>
      <w:r>
        <w:rPr>
          <w:rFonts w:hint="default" w:ascii="Times New Roman" w:hAnsi="Times New Roman" w:cs="Times New Roman"/>
          <w:sz w:val="24"/>
        </w:rPr>
        <w:t>一般公共预算财政拨款基本支出决算表</w:t>
      </w:r>
      <w:r>
        <w:rPr>
          <w:rFonts w:hint="eastAsia" w:cs="Times New Roman"/>
          <w:sz w:val="24"/>
          <w:lang w:val="en-US" w:eastAsia="zh-CN"/>
        </w:rPr>
        <w:tab/>
      </w:r>
      <w:r>
        <w:rPr>
          <w:rFonts w:hint="eastAsia" w:cs="Times New Roman"/>
          <w:sz w:val="24"/>
          <w:lang w:val="en-US" w:eastAsia="zh-CN"/>
        </w:rPr>
        <w:t>28</w:t>
      </w:r>
    </w:p>
    <w:p w14:paraId="5BD34289">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九、</w:t>
      </w:r>
      <w:r>
        <w:rPr>
          <w:rFonts w:hint="default" w:ascii="Times New Roman" w:hAnsi="Times New Roman" w:cs="Times New Roman"/>
          <w:sz w:val="24"/>
        </w:rPr>
        <w:t>一般公共预算财政拨款项目支出决算表</w:t>
      </w:r>
      <w:r>
        <w:rPr>
          <w:rFonts w:hint="eastAsia" w:cs="Times New Roman"/>
          <w:sz w:val="24"/>
          <w:lang w:val="en-US" w:eastAsia="zh-CN"/>
        </w:rPr>
        <w:tab/>
      </w:r>
      <w:r>
        <w:rPr>
          <w:rFonts w:hint="eastAsia" w:cs="Times New Roman"/>
          <w:sz w:val="24"/>
          <w:lang w:val="en-US" w:eastAsia="zh-CN"/>
        </w:rPr>
        <w:t>28</w:t>
      </w:r>
    </w:p>
    <w:p w14:paraId="6D034BD9">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cs="Times New Roman"/>
          <w:sz w:val="24"/>
        </w:rPr>
        <w:t>政府性基金预算财政拨款收入支出决算表</w:t>
      </w:r>
      <w:r>
        <w:rPr>
          <w:rFonts w:hint="eastAsia" w:cs="Times New Roman"/>
          <w:sz w:val="24"/>
          <w:lang w:val="en-US" w:eastAsia="zh-CN"/>
        </w:rPr>
        <w:tab/>
      </w:r>
      <w:r>
        <w:rPr>
          <w:rFonts w:hint="eastAsia" w:cs="Times New Roman"/>
          <w:sz w:val="24"/>
          <w:lang w:val="en-US" w:eastAsia="zh-CN"/>
        </w:rPr>
        <w:t>28</w:t>
      </w:r>
    </w:p>
    <w:p w14:paraId="173F8853">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一</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国有资本经营预算财政拨款收入支出决算表</w:t>
      </w:r>
      <w:r>
        <w:rPr>
          <w:rFonts w:hint="eastAsia" w:cs="Times New Roman"/>
          <w:sz w:val="24"/>
          <w:lang w:val="en-US" w:eastAsia="zh-CN"/>
        </w:rPr>
        <w:tab/>
      </w:r>
      <w:r>
        <w:rPr>
          <w:rFonts w:hint="eastAsia" w:cs="Times New Roman"/>
          <w:sz w:val="24"/>
          <w:lang w:val="en-US" w:eastAsia="zh-CN"/>
        </w:rPr>
        <w:t>28</w:t>
      </w:r>
    </w:p>
    <w:p w14:paraId="6EE4283B">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国有资本经营预算财政拨款支出决算表</w:t>
      </w:r>
      <w:r>
        <w:rPr>
          <w:rFonts w:hint="eastAsia" w:cs="Times New Roman"/>
          <w:sz w:val="24"/>
          <w:lang w:val="en-US" w:eastAsia="zh-CN"/>
        </w:rPr>
        <w:tab/>
      </w:r>
      <w:r>
        <w:rPr>
          <w:rFonts w:hint="eastAsia" w:cs="Times New Roman"/>
          <w:sz w:val="24"/>
          <w:lang w:val="en-US" w:eastAsia="zh-CN"/>
        </w:rPr>
        <w:t>28</w:t>
      </w:r>
    </w:p>
    <w:p w14:paraId="73078CA4">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三</w:t>
      </w:r>
      <w:r>
        <w:rPr>
          <w:rFonts w:hint="default" w:ascii="Times New Roman" w:hAnsi="Times New Roman" w:eastAsia="仿宋" w:cs="Times New Roman"/>
          <w:sz w:val="24"/>
        </w:rPr>
        <w:t>、</w:t>
      </w:r>
      <w:r>
        <w:rPr>
          <w:rFonts w:hint="default" w:ascii="Times New Roman" w:hAnsi="Times New Roman" w:cs="Times New Roman"/>
          <w:sz w:val="24"/>
        </w:rPr>
        <w:t>财政拨款“三公”经费支出决算表</w:t>
      </w:r>
      <w:r>
        <w:rPr>
          <w:rFonts w:hint="eastAsia" w:cs="Times New Roman"/>
          <w:sz w:val="24"/>
          <w:lang w:val="en-US" w:eastAsia="zh-CN"/>
        </w:rPr>
        <w:tab/>
      </w:r>
      <w:r>
        <w:rPr>
          <w:rFonts w:hint="eastAsia" w:cs="Times New Roman"/>
          <w:sz w:val="24"/>
          <w:lang w:val="en-US" w:eastAsia="zh-CN"/>
        </w:rPr>
        <w:t>28</w:t>
      </w:r>
    </w:p>
    <w:p w14:paraId="6673364A">
      <w:pPr>
        <w:widowControl/>
        <w:spacing w:line="440" w:lineRule="exact"/>
        <w:jc w:val="left"/>
        <w:rPr>
          <w:rFonts w:hint="default" w:ascii="Times New Roman" w:hAnsi="Times New Roman" w:eastAsia="仿宋" w:cs="Times New Roman"/>
          <w:b/>
          <w:sz w:val="24"/>
          <w:highlight w:val="yellow"/>
        </w:rPr>
      </w:pPr>
      <w:bookmarkStart w:id="12" w:name="_Toc15396599"/>
      <w:bookmarkStart w:id="13" w:name="_Toc15377196"/>
      <w:r>
        <w:rPr>
          <w:rFonts w:hint="default" w:ascii="Times New Roman" w:hAnsi="Times New Roman" w:eastAsia="仿宋" w:cs="Times New Roman"/>
          <w:b/>
          <w:sz w:val="24"/>
          <w:highlight w:val="yellow"/>
        </w:rPr>
        <w:br w:type="page"/>
      </w:r>
    </w:p>
    <w:p w14:paraId="637F5E39">
      <w:pPr>
        <w:pStyle w:val="3"/>
        <w:jc w:val="center"/>
        <w:rPr>
          <w:rStyle w:val="26"/>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Fonts w:hint="eastAsia" w:eastAsia="黑体" w:cs="Times New Roman"/>
          <w:b w:val="0"/>
          <w:lang w:eastAsia="zh-CN"/>
        </w:rPr>
        <w:t>单位</w:t>
      </w:r>
      <w:r>
        <w:rPr>
          <w:rStyle w:val="26"/>
          <w:rFonts w:hint="default" w:ascii="Times New Roman" w:hAnsi="Times New Roman" w:eastAsia="黑体" w:cs="Times New Roman"/>
          <w:b w:val="0"/>
          <w:bCs w:val="0"/>
        </w:rPr>
        <w:t>概况</w:t>
      </w:r>
      <w:bookmarkEnd w:id="12"/>
      <w:bookmarkEnd w:id="13"/>
    </w:p>
    <w:p w14:paraId="42BE7A91">
      <w:pPr>
        <w:widowControl/>
        <w:jc w:val="left"/>
        <w:rPr>
          <w:rFonts w:hint="default" w:ascii="Times New Roman" w:hAnsi="Times New Roman" w:eastAsia="黑体" w:cs="Times New Roman"/>
          <w:color w:val="000000"/>
          <w:sz w:val="32"/>
          <w:szCs w:val="32"/>
        </w:rPr>
      </w:pPr>
    </w:p>
    <w:p w14:paraId="70BDA74A">
      <w:pPr>
        <w:pStyle w:val="4"/>
        <w:rPr>
          <w:rStyle w:val="27"/>
          <w:rFonts w:hint="default" w:ascii="Times New Roman" w:hAnsi="Times New Roman" w:eastAsia="仿宋" w:cs="Times New Roman"/>
          <w:b w:val="0"/>
          <w:bCs w:val="0"/>
        </w:rPr>
      </w:pPr>
      <w:bookmarkStart w:id="14" w:name="_Toc15396600"/>
      <w:bookmarkStart w:id="15" w:name="_Toc15377197"/>
      <w:r>
        <w:rPr>
          <w:rFonts w:hint="default" w:ascii="Times New Roman" w:hAnsi="Times New Roman" w:eastAsia="黑体" w:cs="Times New Roman"/>
          <w:b w:val="0"/>
          <w:color w:val="000000"/>
        </w:rPr>
        <w:t>一、基</w:t>
      </w:r>
      <w:r>
        <w:rPr>
          <w:rStyle w:val="27"/>
          <w:rFonts w:hint="default" w:ascii="Times New Roman" w:hAnsi="Times New Roman" w:eastAsia="黑体" w:cs="Times New Roman"/>
          <w:b w:val="0"/>
          <w:bCs w:val="0"/>
        </w:rPr>
        <w:t>本职能及主要工作</w:t>
      </w:r>
      <w:bookmarkEnd w:id="14"/>
      <w:bookmarkEnd w:id="15"/>
    </w:p>
    <w:p w14:paraId="43D18B3B">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6" w:name="_Toc15378445"/>
      <w:bookmarkStart w:id="17" w:name="_Toc15377198"/>
      <w:r>
        <w:rPr>
          <w:rFonts w:hint="default" w:ascii="Times New Roman" w:hAnsi="Times New Roman" w:eastAsia="仿宋" w:cs="Times New Roman"/>
          <w:bCs/>
          <w:color w:val="000000"/>
          <w:sz w:val="32"/>
          <w:szCs w:val="32"/>
        </w:rPr>
        <w:t>（一）主要职能。</w:t>
      </w:r>
      <w:bookmarkEnd w:id="16"/>
      <w:bookmarkEnd w:id="17"/>
    </w:p>
    <w:p w14:paraId="4D6C3108">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lang w:val="en-US" w:eastAsia="zh-CN"/>
        </w:rPr>
        <w:t>邻水县中医医院位于邻水县鼎屏镇瑞彩路4号，主要宗旨是为全县人民身体健康提供医疗与预防保健服务，业务范围是为医疗与护理、医学教学、医学研究、卫生医疗人员培训、卫生技术人员继续教育、保健与健康教育。</w:t>
      </w:r>
    </w:p>
    <w:p w14:paraId="379A045E">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7199"/>
      <w:bookmarkStart w:id="19" w:name="_Toc15378446"/>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bookmarkEnd w:id="18"/>
      <w:bookmarkEnd w:id="19"/>
    </w:p>
    <w:p w14:paraId="7AF8E84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eastAsia" w:ascii="Times New Roman" w:hAnsi="Times New Roman" w:eastAsia="方正仿宋_GBK" w:cs="Times New Roman"/>
          <w:color w:val="000000"/>
          <w:sz w:val="33"/>
          <w:szCs w:val="33"/>
          <w:lang w:val="en-US" w:eastAsia="zh-CN"/>
        </w:rPr>
        <w:t>1.</w:t>
      </w:r>
      <w:r>
        <w:rPr>
          <w:rFonts w:hint="eastAsia" w:ascii="Times New Roman" w:hAnsi="Times New Roman" w:eastAsia="方正仿宋_GBK" w:cs="Times New Roman"/>
          <w:b/>
          <w:bCs/>
          <w:color w:val="000000"/>
          <w:sz w:val="33"/>
          <w:szCs w:val="33"/>
          <w:lang w:val="en-US" w:eastAsia="zh-CN"/>
        </w:rPr>
        <w:t>强化医保管理</w:t>
      </w:r>
      <w:r>
        <w:rPr>
          <w:rFonts w:hint="eastAsia" w:ascii="Times New Roman" w:hAnsi="Times New Roman" w:eastAsia="方正仿宋_GBK" w:cs="Times New Roman"/>
          <w:color w:val="000000"/>
          <w:sz w:val="33"/>
          <w:szCs w:val="33"/>
          <w:lang w:val="en-US" w:eastAsia="zh-CN"/>
        </w:rPr>
        <w:t>。</w:t>
      </w:r>
      <w:r>
        <w:rPr>
          <w:rFonts w:hint="eastAsia" w:ascii="Times New Roman" w:hAnsi="Times New Roman" w:eastAsia="方正仿宋_GBK" w:cs="Times New Roman"/>
          <w:b/>
          <w:bCs/>
          <w:color w:val="000000"/>
          <w:sz w:val="33"/>
          <w:szCs w:val="33"/>
          <w:lang w:val="en-US" w:eastAsia="zh-CN"/>
        </w:rPr>
        <w:t>一是</w:t>
      </w:r>
      <w:r>
        <w:rPr>
          <w:rFonts w:hint="eastAsia" w:ascii="Times New Roman" w:hAnsi="Times New Roman" w:eastAsia="方正仿宋_GBK" w:cs="Times New Roman"/>
          <w:color w:val="000000"/>
          <w:sz w:val="33"/>
          <w:szCs w:val="33"/>
          <w:lang w:val="en-US" w:eastAsia="zh-CN"/>
        </w:rPr>
        <w:t>加强DRG上报病案首页的质控工作。</w:t>
      </w:r>
      <w:r>
        <w:rPr>
          <w:rFonts w:hint="eastAsia" w:ascii="Times New Roman" w:hAnsi="Times New Roman" w:eastAsia="方正仿宋_GBK" w:cs="Times New Roman"/>
          <w:b/>
          <w:bCs/>
          <w:color w:val="000000"/>
          <w:sz w:val="33"/>
          <w:szCs w:val="33"/>
          <w:lang w:val="en-US" w:eastAsia="zh-CN"/>
        </w:rPr>
        <w:t>二是</w:t>
      </w:r>
      <w:r>
        <w:rPr>
          <w:rFonts w:hint="eastAsia" w:ascii="Times New Roman" w:hAnsi="Times New Roman" w:eastAsia="方正仿宋_GBK" w:cs="Times New Roman"/>
          <w:color w:val="000000"/>
          <w:sz w:val="33"/>
          <w:szCs w:val="33"/>
          <w:lang w:val="en-US" w:eastAsia="zh-CN"/>
        </w:rPr>
        <w:t>完善医保协议执行情况考核机制，每周对DRG付费情况进行一次分析，每月至少开展1次医保专项检查和考核。</w:t>
      </w:r>
      <w:r>
        <w:rPr>
          <w:rFonts w:hint="eastAsia" w:ascii="Times New Roman" w:hAnsi="Times New Roman" w:eastAsia="方正仿宋_GBK" w:cs="Times New Roman"/>
          <w:b/>
          <w:bCs/>
          <w:color w:val="000000"/>
          <w:sz w:val="33"/>
          <w:szCs w:val="33"/>
          <w:lang w:val="en-US" w:eastAsia="zh-CN"/>
        </w:rPr>
        <w:t>三是</w:t>
      </w:r>
      <w:r>
        <w:rPr>
          <w:rFonts w:hint="eastAsia" w:ascii="Times New Roman" w:hAnsi="Times New Roman" w:eastAsia="方正仿宋_GBK" w:cs="Times New Roman"/>
          <w:color w:val="000000"/>
          <w:sz w:val="33"/>
          <w:szCs w:val="33"/>
          <w:lang w:val="en-US" w:eastAsia="zh-CN"/>
        </w:rPr>
        <w:t>每个月开展1次高值耗材点评工作，促进高值耗材的合理使用。</w:t>
      </w:r>
      <w:r>
        <w:rPr>
          <w:rFonts w:hint="eastAsia" w:ascii="Times New Roman" w:hAnsi="Times New Roman" w:eastAsia="方正仿宋_GBK" w:cs="Times New Roman"/>
          <w:b/>
          <w:bCs/>
          <w:color w:val="000000"/>
          <w:sz w:val="33"/>
          <w:szCs w:val="33"/>
          <w:lang w:val="en-US" w:eastAsia="zh-CN"/>
        </w:rPr>
        <w:t>四是</w:t>
      </w:r>
      <w:r>
        <w:rPr>
          <w:rFonts w:hint="eastAsia" w:ascii="Times New Roman" w:hAnsi="Times New Roman" w:eastAsia="方正仿宋_GBK" w:cs="Times New Roman"/>
          <w:color w:val="000000"/>
          <w:sz w:val="33"/>
          <w:szCs w:val="33"/>
          <w:lang w:val="en-US" w:eastAsia="zh-CN"/>
        </w:rPr>
        <w:t>常态化开展医疗服务项目及价格的自查工作，杜绝超范围、超项目及打包收费等现象的发生。</w:t>
      </w:r>
    </w:p>
    <w:p w14:paraId="263964AA">
      <w:pPr>
        <w:keepNext w:val="0"/>
        <w:keepLines w:val="0"/>
        <w:pageBreakBefore w:val="0"/>
        <w:widowControl w:val="0"/>
        <w:kinsoku/>
        <w:wordWrap/>
        <w:overflowPunct/>
        <w:topLinePunct w:val="0"/>
        <w:autoSpaceDE/>
        <w:autoSpaceDN/>
        <w:bidi w:val="0"/>
        <w:adjustRightInd/>
        <w:snapToGrid w:val="0"/>
        <w:spacing w:line="570" w:lineRule="exact"/>
        <w:ind w:firstLine="663" w:firstLineChars="200"/>
        <w:textAlignment w:val="auto"/>
        <w:rPr>
          <w:rFonts w:hint="default"/>
          <w:lang w:val="en-US" w:eastAsia="zh-CN"/>
        </w:rPr>
      </w:pPr>
      <w:r>
        <w:rPr>
          <w:rFonts w:hint="eastAsia" w:ascii="Times New Roman" w:hAnsi="Times New Roman" w:eastAsia="方正仿宋_GBK" w:cs="Times New Roman"/>
          <w:b/>
          <w:bCs/>
          <w:color w:val="000000"/>
          <w:sz w:val="33"/>
          <w:szCs w:val="33"/>
          <w:lang w:val="en-US" w:eastAsia="zh-CN"/>
        </w:rPr>
        <w:t>2.</w:t>
      </w:r>
      <w:r>
        <w:rPr>
          <w:rFonts w:hint="default" w:ascii="Times New Roman" w:hAnsi="Times New Roman" w:eastAsia="方正仿宋_GBK" w:cs="Times New Roman"/>
          <w:b/>
          <w:bCs/>
          <w:color w:val="000000"/>
          <w:sz w:val="33"/>
          <w:szCs w:val="33"/>
        </w:rPr>
        <w:t>提高运营效益。</w:t>
      </w:r>
      <w:r>
        <w:rPr>
          <w:rFonts w:hint="eastAsia" w:ascii="Times New Roman" w:hAnsi="Times New Roman" w:eastAsia="方正仿宋_GBK" w:cs="Times New Roman"/>
          <w:b/>
          <w:bCs/>
          <w:color w:val="000000"/>
          <w:sz w:val="33"/>
          <w:szCs w:val="33"/>
          <w:lang w:eastAsia="zh-CN"/>
        </w:rPr>
        <w:t>一是</w:t>
      </w:r>
      <w:r>
        <w:rPr>
          <w:rFonts w:hint="default" w:ascii="Times New Roman" w:hAnsi="Times New Roman" w:eastAsia="方正仿宋_GBK" w:cs="Times New Roman"/>
          <w:color w:val="000000"/>
          <w:sz w:val="33"/>
          <w:szCs w:val="33"/>
        </w:rPr>
        <w:t>全面推进经济管理年活动，成立运营管理委员会与绩效目标考核办公室，搭建运营管理数据平台，进一步强化全面预算、成本核算、基建财务、经济合同、医疗服务价格、医保结算等方面的管控，实现运营数据标准化、集成化、自动化以适应区域点数法总额预算和DRG付费改革，推进核心业务与运营管理深度融合</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全面实施预算、对账管理体系。</w:t>
      </w:r>
      <w:r>
        <w:rPr>
          <w:rFonts w:hint="eastAsia" w:ascii="Times New Roman" w:hAnsi="Times New Roman" w:eastAsia="方正仿宋_GBK" w:cs="Times New Roman"/>
          <w:b/>
          <w:bCs/>
          <w:color w:val="000000"/>
          <w:sz w:val="33"/>
          <w:szCs w:val="33"/>
          <w:lang w:eastAsia="zh-CN"/>
        </w:rPr>
        <w:t>二是</w:t>
      </w:r>
      <w:r>
        <w:rPr>
          <w:rFonts w:hint="default" w:ascii="Times New Roman" w:hAnsi="Times New Roman" w:eastAsia="方正仿宋_GBK" w:cs="Times New Roman"/>
          <w:color w:val="000000"/>
          <w:sz w:val="33"/>
          <w:szCs w:val="33"/>
        </w:rPr>
        <w:t>编制内部控制手册，构建运营数据仓库，推广医疗收费电子票据，推行运营助理员、价格协管员制度，健全医疗、价格、财务等管理部门联检联查日常监督机制。</w:t>
      </w:r>
    </w:p>
    <w:p w14:paraId="74E827D6">
      <w:pPr>
        <w:keepNext w:val="0"/>
        <w:keepLines w:val="0"/>
        <w:pageBreakBefore w:val="0"/>
        <w:widowControl w:val="0"/>
        <w:kinsoku/>
        <w:wordWrap/>
        <w:overflowPunct/>
        <w:topLinePunct w:val="0"/>
        <w:autoSpaceDE/>
        <w:autoSpaceDN/>
        <w:bidi w:val="0"/>
        <w:adjustRightInd/>
        <w:spacing w:line="57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3.</w:t>
      </w:r>
      <w:r>
        <w:rPr>
          <w:rFonts w:hint="eastAsia" w:ascii="Times New Roman" w:hAnsi="Times New Roman" w:eastAsia="方正仿宋_GBK" w:cs="Times New Roman"/>
          <w:b/>
          <w:bCs/>
          <w:color w:val="000000"/>
          <w:kern w:val="2"/>
          <w:sz w:val="33"/>
          <w:szCs w:val="33"/>
          <w:lang w:val="en-US" w:eastAsia="zh-CN" w:bidi="ar-SA"/>
        </w:rPr>
        <w:t>加强对外</w:t>
      </w:r>
      <w:r>
        <w:rPr>
          <w:rFonts w:hint="default" w:ascii="Times New Roman" w:hAnsi="Times New Roman" w:eastAsia="方正仿宋_GBK" w:cs="Times New Roman"/>
          <w:b/>
          <w:bCs/>
          <w:sz w:val="33"/>
          <w:szCs w:val="33"/>
          <w:lang w:val="en-US" w:eastAsia="zh-CN"/>
        </w:rPr>
        <w:t>外宣</w:t>
      </w:r>
      <w:r>
        <w:rPr>
          <w:rFonts w:hint="eastAsia" w:ascii="Times New Roman" w:hAnsi="Times New Roman" w:eastAsia="方正仿宋_GBK" w:cs="Times New Roman"/>
          <w:b/>
          <w:bCs/>
          <w:sz w:val="33"/>
          <w:szCs w:val="33"/>
          <w:lang w:val="en-US" w:eastAsia="zh-CN"/>
        </w:rPr>
        <w:t>。</w:t>
      </w:r>
      <w:r>
        <w:rPr>
          <w:rFonts w:hint="eastAsia" w:ascii="Times New Roman" w:hAnsi="Times New Roman" w:eastAsia="方正仿宋_GBK" w:cs="Times New Roman"/>
          <w:sz w:val="33"/>
          <w:szCs w:val="33"/>
          <w:lang w:val="en-US" w:eastAsia="zh-CN"/>
        </w:rPr>
        <w:t>开设医院文化培训课程，</w:t>
      </w:r>
      <w:r>
        <w:rPr>
          <w:rFonts w:hint="default" w:ascii="Times New Roman" w:hAnsi="Times New Roman" w:eastAsia="方正仿宋_GBK" w:cs="Times New Roman"/>
          <w:sz w:val="33"/>
          <w:szCs w:val="33"/>
        </w:rPr>
        <w:t>改善服务态度和服务质量</w:t>
      </w:r>
      <w:r>
        <w:rPr>
          <w:rFonts w:hint="eastAsia" w:ascii="Times New Roman" w:hAnsi="Times New Roman" w:eastAsia="方正仿宋_GBK" w:cs="Times New Roman"/>
          <w:sz w:val="33"/>
          <w:szCs w:val="33"/>
          <w:lang w:eastAsia="zh-CN"/>
        </w:rPr>
        <w:t>，同时围绕医院文化，</w:t>
      </w:r>
      <w:r>
        <w:rPr>
          <w:rFonts w:hint="default" w:ascii="Times New Roman" w:hAnsi="Times New Roman" w:eastAsia="方正仿宋_GBK" w:cs="Times New Roman"/>
          <w:sz w:val="33"/>
          <w:szCs w:val="33"/>
        </w:rPr>
        <w:t>借助各种媒体大力宣传医院新业务新技术、名医专家、优质服务、公益慈善和改革创新举措</w:t>
      </w:r>
      <w:r>
        <w:rPr>
          <w:rFonts w:hint="eastAsia" w:ascii="Times New Roman" w:hAnsi="Times New Roman" w:eastAsia="方正仿宋_GBK" w:cs="Times New Roman"/>
          <w:sz w:val="33"/>
          <w:szCs w:val="33"/>
          <w:lang w:eastAsia="zh-CN"/>
        </w:rPr>
        <w:t>。</w:t>
      </w:r>
    </w:p>
    <w:p w14:paraId="299D1F90">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63" w:firstLineChars="200"/>
        <w:textAlignment w:val="auto"/>
        <w:rPr>
          <w:rFonts w:hint="eastAsia" w:ascii="Times New Roman" w:hAnsi="Times New Roman" w:eastAsia="方正仿宋_GBK" w:cs="Times New Roman"/>
          <w:b/>
          <w:bCs/>
          <w:color w:val="000000"/>
          <w:kern w:val="2"/>
          <w:sz w:val="33"/>
          <w:szCs w:val="33"/>
          <w:lang w:val="en-US" w:eastAsia="zh-CN" w:bidi="ar-SA"/>
        </w:rPr>
      </w:pPr>
      <w:r>
        <w:rPr>
          <w:rFonts w:hint="eastAsia" w:ascii="Times New Roman" w:hAnsi="Times New Roman" w:eastAsia="方正仿宋_GBK" w:cs="Times New Roman"/>
          <w:b/>
          <w:bCs/>
          <w:color w:val="000000"/>
          <w:kern w:val="2"/>
          <w:sz w:val="33"/>
          <w:szCs w:val="33"/>
          <w:lang w:val="en-US" w:eastAsia="zh-CN" w:bidi="ar-SA"/>
        </w:rPr>
        <w:t>一是</w:t>
      </w:r>
      <w:r>
        <w:rPr>
          <w:rFonts w:hint="eastAsia" w:ascii="Times New Roman" w:hAnsi="Times New Roman" w:eastAsia="方正仿宋_GBK" w:cs="Times New Roman"/>
          <w:color w:val="000000"/>
          <w:kern w:val="2"/>
          <w:sz w:val="33"/>
          <w:szCs w:val="33"/>
          <w:lang w:val="en-US" w:eastAsia="zh-CN" w:bidi="ar-SA"/>
        </w:rPr>
        <w:t>加强医院文化建设，通过开展《医院文化建设及行为礼仪文化》等课程为题，不断创建完善医院制度文化、行为文化等。</w:t>
      </w:r>
      <w:r>
        <w:rPr>
          <w:rFonts w:hint="eastAsia" w:ascii="Times New Roman" w:hAnsi="Times New Roman" w:eastAsia="方正仿宋_GBK" w:cs="Times New Roman"/>
          <w:b/>
          <w:bCs/>
          <w:color w:val="000000"/>
          <w:kern w:val="2"/>
          <w:sz w:val="33"/>
          <w:szCs w:val="33"/>
          <w:lang w:val="en-US" w:eastAsia="zh-CN" w:bidi="ar-SA"/>
        </w:rPr>
        <w:t>二是</w:t>
      </w:r>
      <w:r>
        <w:rPr>
          <w:rFonts w:hint="eastAsia" w:ascii="Times New Roman" w:hAnsi="Times New Roman" w:eastAsia="方正仿宋_GBK" w:cs="Times New Roman"/>
          <w:color w:val="000000"/>
          <w:kern w:val="2"/>
          <w:sz w:val="33"/>
          <w:szCs w:val="33"/>
          <w:lang w:val="en-US" w:eastAsia="zh-CN" w:bidi="ar-SA"/>
        </w:rPr>
        <w:t>制定全院宣传、</w:t>
      </w:r>
      <w:r>
        <w:rPr>
          <w:rFonts w:hint="eastAsia" w:ascii="方正仿宋_GBK" w:hAnsi="方正仿宋_GBK" w:eastAsia="方正仿宋_GBK" w:cs="方正仿宋_GBK"/>
          <w:sz w:val="33"/>
          <w:szCs w:val="33"/>
          <w:lang w:val="en-US" w:eastAsia="zh-CN"/>
        </w:rPr>
        <w:t>新院搬迁</w:t>
      </w:r>
      <w:r>
        <w:rPr>
          <w:rFonts w:hint="eastAsia" w:ascii="Times New Roman" w:hAnsi="Times New Roman" w:eastAsia="方正仿宋_GBK" w:cs="Times New Roman"/>
          <w:color w:val="000000"/>
          <w:kern w:val="2"/>
          <w:sz w:val="33"/>
          <w:szCs w:val="33"/>
          <w:lang w:val="en-US" w:eastAsia="zh-CN" w:bidi="ar-SA"/>
        </w:rPr>
        <w:t>工作计划，加强对外宣传，传播中医文化，树立医院公众形象，努力提升医院知名度和影响力。</w:t>
      </w:r>
      <w:r>
        <w:rPr>
          <w:rFonts w:hint="eastAsia" w:ascii="Times New Roman" w:hAnsi="Times New Roman" w:eastAsia="方正仿宋_GBK" w:cs="Times New Roman"/>
          <w:b/>
          <w:bCs/>
          <w:color w:val="000000"/>
          <w:kern w:val="2"/>
          <w:sz w:val="33"/>
          <w:szCs w:val="33"/>
          <w:lang w:val="en-US" w:eastAsia="zh-CN" w:bidi="ar-SA"/>
        </w:rPr>
        <w:t>三是</w:t>
      </w:r>
      <w:r>
        <w:rPr>
          <w:rFonts w:hint="eastAsia" w:ascii="Times New Roman" w:hAnsi="Times New Roman" w:eastAsia="方正仿宋_GBK" w:cs="Times New Roman"/>
          <w:color w:val="000000"/>
          <w:kern w:val="2"/>
          <w:sz w:val="33"/>
          <w:szCs w:val="33"/>
          <w:lang w:val="en-US" w:eastAsia="zh-CN" w:bidi="ar-SA"/>
        </w:rPr>
        <w:t>创新宣传渠道，发挥组合媒体的矩阵作用，精心办好《杏林苑》、医院官网、公众号、抖音号、快手号、微博号等新媒体，营造良好的媒体舆论环境。</w:t>
      </w:r>
      <w:r>
        <w:rPr>
          <w:rFonts w:hint="eastAsia" w:ascii="Times New Roman" w:hAnsi="Times New Roman" w:eastAsia="方正仿宋_GBK" w:cs="Times New Roman"/>
          <w:b/>
          <w:bCs/>
          <w:color w:val="000000"/>
          <w:kern w:val="2"/>
          <w:sz w:val="33"/>
          <w:szCs w:val="33"/>
          <w:lang w:val="en-US" w:eastAsia="zh-CN" w:bidi="ar-SA"/>
        </w:rPr>
        <w:t>四是</w:t>
      </w:r>
      <w:r>
        <w:rPr>
          <w:rFonts w:hint="eastAsia" w:ascii="Times New Roman" w:hAnsi="Times New Roman" w:eastAsia="方正仿宋_GBK" w:cs="Times New Roman"/>
          <w:color w:val="000000"/>
          <w:kern w:val="2"/>
          <w:sz w:val="33"/>
          <w:szCs w:val="33"/>
          <w:lang w:val="en-US" w:eastAsia="zh-CN" w:bidi="ar-SA"/>
        </w:rPr>
        <w:t>建立新闻发言人制度，负责媒体危机公关处理，积极应对负面舆情，降低医疗风险。</w:t>
      </w:r>
      <w:r>
        <w:rPr>
          <w:rFonts w:hint="eastAsia" w:ascii="Times New Roman" w:hAnsi="Times New Roman" w:eastAsia="方正仿宋_GBK" w:cs="Times New Roman"/>
          <w:b/>
          <w:bCs/>
          <w:color w:val="000000"/>
          <w:kern w:val="2"/>
          <w:sz w:val="33"/>
          <w:szCs w:val="33"/>
          <w:lang w:val="en-US" w:eastAsia="zh-CN" w:bidi="ar-SA"/>
        </w:rPr>
        <w:t>五是</w:t>
      </w:r>
      <w:r>
        <w:rPr>
          <w:rFonts w:hint="eastAsia" w:ascii="Times New Roman" w:hAnsi="Times New Roman" w:eastAsia="方正仿宋_GBK" w:cs="Times New Roman"/>
          <w:b w:val="0"/>
          <w:bCs w:val="0"/>
          <w:color w:val="000000"/>
          <w:kern w:val="2"/>
          <w:sz w:val="33"/>
          <w:szCs w:val="33"/>
          <w:lang w:val="en-US" w:eastAsia="zh-CN" w:bidi="ar-SA"/>
        </w:rPr>
        <w:t>加强中医药文化宣传，定期通过微信公众号、订阅号宣传中医药知识，树立中医文化自信。</w:t>
      </w:r>
    </w:p>
    <w:p w14:paraId="6C57015D">
      <w:pPr>
        <w:pStyle w:val="2"/>
        <w:adjustRightInd w:val="0"/>
        <w:snapToGrid w:val="0"/>
        <w:spacing w:before="93" w:line="600" w:lineRule="exact"/>
        <w:ind w:firstLine="696" w:firstLineChars="210"/>
        <w:outlineLvl w:val="2"/>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color w:val="000000"/>
          <w:kern w:val="2"/>
          <w:sz w:val="33"/>
          <w:szCs w:val="33"/>
          <w:lang w:val="en-US" w:eastAsia="zh-CN" w:bidi="ar-SA"/>
        </w:rPr>
        <w:t>4.</w:t>
      </w:r>
      <w:r>
        <w:rPr>
          <w:rFonts w:hint="default" w:ascii="Times New Roman" w:hAnsi="Times New Roman" w:eastAsia="方正仿宋_GBK" w:cs="Times New Roman"/>
          <w:b/>
          <w:bCs/>
          <w:color w:val="000000"/>
          <w:kern w:val="2"/>
          <w:sz w:val="33"/>
          <w:szCs w:val="33"/>
          <w:lang w:val="en-US" w:eastAsia="zh-CN" w:bidi="ar-SA"/>
        </w:rPr>
        <w:t>快速推进重点项目。</w:t>
      </w:r>
      <w:r>
        <w:rPr>
          <w:rFonts w:hint="eastAsia" w:ascii="Times New Roman" w:hAnsi="Times New Roman" w:eastAsia="方正仿宋_GBK" w:cs="Times New Roman"/>
          <w:b/>
          <w:bCs/>
          <w:color w:val="000000"/>
          <w:kern w:val="2"/>
          <w:sz w:val="33"/>
          <w:szCs w:val="33"/>
          <w:lang w:val="en-US" w:eastAsia="zh-CN" w:bidi="ar-SA"/>
        </w:rPr>
        <w:t>一是</w:t>
      </w:r>
      <w:r>
        <w:rPr>
          <w:rFonts w:hint="default" w:ascii="Times New Roman" w:hAnsi="Times New Roman" w:eastAsia="方正仿宋_GBK" w:cs="Times New Roman"/>
          <w:color w:val="000000"/>
          <w:kern w:val="2"/>
          <w:sz w:val="33"/>
          <w:szCs w:val="33"/>
          <w:lang w:val="en-US" w:eastAsia="zh-CN" w:bidi="ar-SA"/>
        </w:rPr>
        <w:t>提速新院</w:t>
      </w:r>
      <w:r>
        <w:rPr>
          <w:rFonts w:hint="eastAsia" w:ascii="Times New Roman" w:hAnsi="Times New Roman" w:eastAsia="方正仿宋_GBK" w:cs="Times New Roman"/>
          <w:color w:val="000000"/>
          <w:kern w:val="2"/>
          <w:sz w:val="33"/>
          <w:szCs w:val="33"/>
          <w:lang w:val="en-US" w:eastAsia="zh-CN" w:bidi="ar-SA"/>
        </w:rPr>
        <w:t>装修</w:t>
      </w:r>
      <w:r>
        <w:rPr>
          <w:rFonts w:hint="default" w:ascii="Times New Roman" w:hAnsi="Times New Roman" w:eastAsia="方正仿宋_GBK" w:cs="Times New Roman"/>
          <w:color w:val="000000"/>
          <w:kern w:val="2"/>
          <w:sz w:val="33"/>
          <w:szCs w:val="33"/>
          <w:lang w:val="en-US" w:eastAsia="zh-CN" w:bidi="ar-SA"/>
        </w:rPr>
        <w:t>与配套工程招标、施工进度，健全医疗设备等配置规划</w:t>
      </w:r>
      <w:r>
        <w:rPr>
          <w:rFonts w:hint="eastAsia" w:ascii="Times New Roman" w:hAnsi="Times New Roman" w:eastAsia="方正仿宋_GBK" w:cs="Times New Roman"/>
          <w:color w:val="000000"/>
          <w:kern w:val="2"/>
          <w:sz w:val="33"/>
          <w:szCs w:val="33"/>
          <w:lang w:val="en-US" w:eastAsia="zh-CN" w:bidi="ar-SA"/>
        </w:rPr>
        <w:t>。</w:t>
      </w:r>
      <w:r>
        <w:rPr>
          <w:rFonts w:hint="eastAsia" w:ascii="Times New Roman" w:hAnsi="Times New Roman" w:eastAsia="方正仿宋_GBK" w:cs="Times New Roman"/>
          <w:b/>
          <w:bCs/>
          <w:color w:val="000000"/>
          <w:kern w:val="2"/>
          <w:sz w:val="33"/>
          <w:szCs w:val="33"/>
          <w:lang w:val="en-US" w:eastAsia="zh-CN" w:bidi="ar-SA"/>
        </w:rPr>
        <w:t>二是</w:t>
      </w:r>
      <w:r>
        <w:rPr>
          <w:rFonts w:hint="default" w:ascii="Times New Roman" w:hAnsi="Times New Roman" w:eastAsia="方正仿宋_GBK" w:cs="Times New Roman"/>
          <w:color w:val="000000"/>
          <w:kern w:val="2"/>
          <w:sz w:val="33"/>
          <w:szCs w:val="33"/>
          <w:lang w:val="en-US" w:eastAsia="zh-CN" w:bidi="ar-SA"/>
        </w:rPr>
        <w:t>加快信息化建设步伐</w:t>
      </w:r>
      <w:r>
        <w:rPr>
          <w:rFonts w:hint="eastAsia" w:ascii="Times New Roman" w:hAnsi="Times New Roman" w:eastAsia="方正仿宋_GBK" w:cs="Times New Roman"/>
          <w:color w:val="000000"/>
          <w:kern w:val="2"/>
          <w:sz w:val="33"/>
          <w:szCs w:val="33"/>
          <w:lang w:val="en-US" w:eastAsia="zh-CN" w:bidi="ar-SA"/>
        </w:rPr>
        <w:t>，开展电子病历四级标准、新院机房网络、</w:t>
      </w:r>
      <w:r>
        <w:rPr>
          <w:rFonts w:hint="eastAsia" w:ascii="仿宋_GB2312" w:hAnsi="仿宋_GB2312" w:eastAsia="仿宋_GB2312" w:cs="仿宋_GB2312"/>
          <w:b w:val="0"/>
          <w:bCs w:val="0"/>
          <w:color w:val="000000"/>
          <w:sz w:val="32"/>
          <w:szCs w:val="32"/>
          <w:lang w:val="en-US" w:eastAsia="zh-CN"/>
        </w:rPr>
        <w:t>人力资源管理系统、</w:t>
      </w:r>
      <w:r>
        <w:rPr>
          <w:rFonts w:hint="eastAsia" w:ascii="Times New Roman" w:hAnsi="Times New Roman" w:eastAsia="方正仿宋_GBK" w:cs="Times New Roman"/>
          <w:color w:val="000000"/>
          <w:kern w:val="2"/>
          <w:sz w:val="33"/>
          <w:szCs w:val="33"/>
          <w:lang w:val="en-US" w:eastAsia="zh-CN" w:bidi="ar-SA"/>
        </w:rPr>
        <w:t>网络安全、银医系统便民服务信息化建设工作。</w:t>
      </w:r>
      <w:r>
        <w:rPr>
          <w:rFonts w:hint="eastAsia" w:ascii="Times New Roman" w:hAnsi="Times New Roman" w:eastAsia="方正仿宋_GBK" w:cs="Times New Roman"/>
          <w:b/>
          <w:bCs/>
          <w:color w:val="000000"/>
          <w:kern w:val="2"/>
          <w:sz w:val="33"/>
          <w:szCs w:val="33"/>
          <w:lang w:val="en-US" w:eastAsia="zh-CN" w:bidi="ar-SA"/>
        </w:rPr>
        <w:t>三是</w:t>
      </w:r>
      <w:r>
        <w:rPr>
          <w:rFonts w:hint="default" w:ascii="Times New Roman" w:hAnsi="Times New Roman" w:eastAsia="方正仿宋_GBK" w:cs="Times New Roman"/>
          <w:kern w:val="2"/>
          <w:sz w:val="33"/>
          <w:szCs w:val="33"/>
          <w:lang w:val="en-US" w:eastAsia="zh-CN" w:bidi="ar-SA"/>
        </w:rPr>
        <w:t>协调</w:t>
      </w:r>
      <w:r>
        <w:rPr>
          <w:rFonts w:hint="eastAsia" w:ascii="Times New Roman" w:hAnsi="Times New Roman" w:eastAsia="方正仿宋_GBK" w:cs="Times New Roman"/>
          <w:kern w:val="2"/>
          <w:sz w:val="33"/>
          <w:szCs w:val="33"/>
          <w:lang w:val="en-US" w:eastAsia="zh-CN" w:bidi="ar-SA"/>
        </w:rPr>
        <w:t>新院</w:t>
      </w:r>
      <w:r>
        <w:rPr>
          <w:rFonts w:hint="default" w:ascii="Times New Roman" w:hAnsi="Times New Roman" w:eastAsia="方正仿宋_GBK" w:cs="Times New Roman"/>
          <w:kern w:val="2"/>
          <w:sz w:val="33"/>
          <w:szCs w:val="33"/>
          <w:lang w:val="en-US" w:eastAsia="zh-CN" w:bidi="ar-SA"/>
        </w:rPr>
        <w:t>综合楼建设</w:t>
      </w:r>
      <w:r>
        <w:rPr>
          <w:rFonts w:hint="default" w:ascii="Times New Roman" w:hAnsi="Times New Roman" w:eastAsia="方正仿宋_GBK" w:cs="Times New Roman"/>
          <w:color w:val="000000"/>
          <w:kern w:val="2"/>
          <w:sz w:val="33"/>
          <w:szCs w:val="33"/>
          <w:lang w:val="en-US" w:eastAsia="zh-CN" w:bidi="ar-SA"/>
        </w:rPr>
        <w:t>项目</w:t>
      </w:r>
      <w:r>
        <w:rPr>
          <w:rFonts w:hint="eastAsia" w:ascii="Times New Roman" w:hAnsi="Times New Roman"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sz w:val="33"/>
          <w:szCs w:val="33"/>
        </w:rPr>
        <w:t>加快新院整体迁建力度，</w:t>
      </w:r>
      <w:r>
        <w:rPr>
          <w:rFonts w:hint="eastAsia" w:ascii="Times New Roman" w:hAnsi="Times New Roman" w:eastAsia="方正仿宋_GBK" w:cs="Times New Roman"/>
          <w:color w:val="000000"/>
          <w:sz w:val="33"/>
          <w:szCs w:val="33"/>
          <w:lang w:eastAsia="zh-CN"/>
        </w:rPr>
        <w:t>在</w:t>
      </w:r>
      <w:r>
        <w:rPr>
          <w:rFonts w:hint="eastAsia" w:ascii="Times New Roman" w:hAnsi="Times New Roman" w:eastAsia="方正仿宋_GBK" w:cs="Times New Roman"/>
          <w:color w:val="000000"/>
          <w:sz w:val="33"/>
          <w:szCs w:val="33"/>
          <w:lang w:val="en-US" w:eastAsia="zh-CN"/>
        </w:rPr>
        <w:t>2022年底前基本实现迁建项目调试工作。</w:t>
      </w:r>
    </w:p>
    <w:p w14:paraId="1956A5C2">
      <w:pPr>
        <w:pStyle w:val="4"/>
        <w:rPr>
          <w:rStyle w:val="27"/>
          <w:rFonts w:hint="default" w:ascii="Times New Roman" w:hAnsi="Times New Roman" w:cs="Times New Roman"/>
          <w:b w:val="0"/>
          <w:bCs w:val="0"/>
        </w:rPr>
      </w:pPr>
      <w:bookmarkStart w:id="20" w:name="_Toc15396601"/>
      <w:bookmarkStart w:id="21" w:name="_Toc15377200"/>
      <w:r>
        <w:rPr>
          <w:rFonts w:hint="default" w:ascii="Times New Roman" w:hAnsi="Times New Roman" w:eastAsia="黑体" w:cs="Times New Roman"/>
          <w:b w:val="0"/>
          <w:color w:val="000000"/>
        </w:rPr>
        <w:t>二、机</w:t>
      </w:r>
      <w:r>
        <w:rPr>
          <w:rStyle w:val="27"/>
          <w:rFonts w:hint="default" w:ascii="Times New Roman" w:hAnsi="Times New Roman" w:eastAsia="黑体" w:cs="Times New Roman"/>
          <w:b w:val="0"/>
          <w:bCs w:val="0"/>
        </w:rPr>
        <w:t>构设置</w:t>
      </w:r>
      <w:bookmarkEnd w:id="20"/>
      <w:bookmarkEnd w:id="21"/>
    </w:p>
    <w:p w14:paraId="76068B31">
      <w:pPr>
        <w:widowControl/>
        <w:ind w:firstLine="640" w:firstLineChars="200"/>
        <w:jc w:val="left"/>
        <w:rPr>
          <w:rFonts w:hint="default" w:ascii="Times New Roman" w:hAnsi="Times New Roman" w:eastAsia="仿宋" w:cs="Times New Roman"/>
          <w:bCs/>
          <w:color w:val="000000"/>
          <w:kern w:val="0"/>
          <w:sz w:val="32"/>
          <w:szCs w:val="32"/>
          <w:lang w:val="en-US" w:eastAsia="zh-CN" w:bidi="ar-SA"/>
        </w:rPr>
      </w:pPr>
      <w:r>
        <w:rPr>
          <w:rFonts w:hint="eastAsia" w:ascii="Times New Roman" w:hAnsi="Times New Roman" w:eastAsia="仿宋" w:cs="Times New Roman"/>
          <w:bCs/>
          <w:color w:val="000000"/>
          <w:kern w:val="0"/>
          <w:sz w:val="32"/>
          <w:szCs w:val="32"/>
          <w:lang w:val="en-US" w:eastAsia="zh-CN" w:bidi="ar-SA"/>
        </w:rPr>
        <w:t>邻水县中医医院是邻水县卫生健康局下属的公益二类事业单位，是邻水县财政局差额补助的一级预算单位，内设康复科，呼吸内科，老年病科，骨伤科，妇产科，儿科等40个临床医技科室。内设党委办，财务科，医务科，护理部，院感科等25个行政后勤科室，截止到2022年底，单位实有人数619人，其中在编180人，无编439人。退休人员71人。</w:t>
      </w:r>
    </w:p>
    <w:p w14:paraId="60D009CA">
      <w:pPr>
        <w:pStyle w:val="3"/>
        <w:ind w:right="440"/>
        <w:jc w:val="right"/>
        <w:rPr>
          <w:rStyle w:val="26"/>
          <w:rFonts w:hint="default" w:ascii="Times New Roman" w:hAnsi="Times New Roman" w:eastAsia="黑体" w:cs="Times New Roman"/>
          <w:b w:val="0"/>
          <w:bCs w:val="0"/>
        </w:rPr>
      </w:pPr>
      <w:bookmarkStart w:id="22" w:name="_Toc15377204"/>
      <w:bookmarkStart w:id="23" w:name="_Toc15396602"/>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6"/>
          <w:rFonts w:hint="default" w:ascii="Times New Roman" w:hAnsi="Times New Roman" w:eastAsia="黑体" w:cs="Times New Roman"/>
          <w:b w:val="0"/>
          <w:bCs w:val="0"/>
        </w:rPr>
        <w:t>202</w:t>
      </w:r>
      <w:r>
        <w:rPr>
          <w:rStyle w:val="26"/>
          <w:rFonts w:hint="default" w:ascii="Times New Roman" w:hAnsi="Times New Roman" w:eastAsia="黑体" w:cs="Times New Roman"/>
          <w:b w:val="0"/>
          <w:bCs w:val="0"/>
          <w:lang w:val="en-US" w:eastAsia="zh-CN"/>
        </w:rPr>
        <w:t>2</w:t>
      </w:r>
      <w:r>
        <w:rPr>
          <w:rStyle w:val="26"/>
          <w:rFonts w:hint="default" w:ascii="Times New Roman" w:hAnsi="Times New Roman" w:eastAsia="黑体" w:cs="Times New Roman"/>
          <w:b w:val="0"/>
          <w:bCs w:val="0"/>
        </w:rPr>
        <w:t>年度</w:t>
      </w:r>
      <w:r>
        <w:rPr>
          <w:rStyle w:val="26"/>
          <w:rFonts w:hint="eastAsia" w:eastAsia="黑体" w:cs="Times New Roman"/>
          <w:b w:val="0"/>
          <w:bCs w:val="0"/>
          <w:lang w:eastAsia="zh-CN"/>
        </w:rPr>
        <w:t>单位</w:t>
      </w:r>
      <w:r>
        <w:rPr>
          <w:rStyle w:val="26"/>
          <w:rFonts w:hint="default" w:ascii="Times New Roman" w:hAnsi="Times New Roman" w:eastAsia="黑体" w:cs="Times New Roman"/>
          <w:b w:val="0"/>
          <w:bCs w:val="0"/>
        </w:rPr>
        <w:t>决算情况说明</w:t>
      </w:r>
      <w:bookmarkEnd w:id="22"/>
      <w:bookmarkEnd w:id="23"/>
    </w:p>
    <w:p w14:paraId="232F4341">
      <w:pPr>
        <w:rPr>
          <w:rFonts w:hint="default" w:ascii="Times New Roman" w:hAnsi="Times New Roman" w:cs="Times New Roman"/>
        </w:rPr>
      </w:pPr>
    </w:p>
    <w:p w14:paraId="46B24A5D">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24" w:name="_Toc15377205"/>
      <w:bookmarkStart w:id="25" w:name="_Toc15396603"/>
      <w:r>
        <w:rPr>
          <w:rFonts w:hint="default" w:ascii="Times New Roman" w:hAnsi="Times New Roman" w:eastAsia="黑体" w:cs="Times New Roman"/>
          <w:color w:val="000000"/>
          <w:sz w:val="32"/>
          <w:szCs w:val="32"/>
        </w:rPr>
        <w:t>收</w:t>
      </w:r>
      <w:r>
        <w:rPr>
          <w:rStyle w:val="27"/>
          <w:rFonts w:hint="default" w:ascii="Times New Roman" w:hAnsi="Times New Roman" w:eastAsia="黑体" w:cs="Times New Roman"/>
          <w:b w:val="0"/>
        </w:rPr>
        <w:t>入支出决算总体情况说明</w:t>
      </w:r>
      <w:bookmarkEnd w:id="24"/>
      <w:bookmarkEnd w:id="25"/>
    </w:p>
    <w:p w14:paraId="6AD6FECC">
      <w:pPr>
        <w:widowControl/>
        <w:ind w:firstLine="640" w:firstLineChars="200"/>
        <w:jc w:val="left"/>
        <w:rPr>
          <w:rFonts w:hint="eastAsia" w:ascii="Times New Roman" w:hAnsi="Times New Roman" w:eastAsia="仿宋" w:cs="Times New Roman"/>
          <w:bCs/>
          <w:color w:val="000000"/>
          <w:kern w:val="0"/>
          <w:sz w:val="32"/>
          <w:szCs w:val="32"/>
          <w:lang w:val="en-US" w:eastAsia="zh-CN" w:bidi="ar-SA"/>
        </w:rPr>
      </w:pPr>
      <w:r>
        <w:rPr>
          <w:rFonts w:hint="eastAsia" w:ascii="Times New Roman" w:hAnsi="Times New Roman" w:eastAsia="仿宋" w:cs="Times New Roman"/>
          <w:bCs/>
          <w:color w:val="000000"/>
          <w:kern w:val="0"/>
          <w:sz w:val="32"/>
          <w:szCs w:val="32"/>
          <w:lang w:val="en-US" w:eastAsia="zh-CN" w:bidi="ar-SA"/>
        </w:rPr>
        <w:t>2022年度收</w:t>
      </w:r>
      <w:r>
        <w:rPr>
          <w:rFonts w:hint="eastAsia" w:eastAsia="仿宋" w:cs="Times New Roman"/>
          <w:bCs/>
          <w:color w:val="000000"/>
          <w:kern w:val="0"/>
          <w:sz w:val="32"/>
          <w:szCs w:val="32"/>
          <w:lang w:val="en-US" w:eastAsia="zh-CN" w:bidi="ar-SA"/>
        </w:rPr>
        <w:t>入合计17855.65万元，年初结转和结余5955.5万元，年度收入</w:t>
      </w:r>
      <w:r>
        <w:rPr>
          <w:rFonts w:hint="eastAsia" w:ascii="Times New Roman" w:hAnsi="Times New Roman" w:eastAsia="仿宋" w:cs="Times New Roman"/>
          <w:bCs/>
          <w:color w:val="000000"/>
          <w:kern w:val="0"/>
          <w:sz w:val="32"/>
          <w:szCs w:val="32"/>
          <w:lang w:val="en-US" w:eastAsia="zh-CN" w:bidi="ar-SA"/>
        </w:rPr>
        <w:t>总计</w:t>
      </w:r>
      <w:r>
        <w:rPr>
          <w:rFonts w:hint="eastAsia" w:eastAsia="仿宋" w:cs="Times New Roman"/>
          <w:bCs/>
          <w:color w:val="000000"/>
          <w:kern w:val="0"/>
          <w:sz w:val="32"/>
          <w:szCs w:val="32"/>
          <w:lang w:val="en-US" w:eastAsia="zh-CN" w:bidi="ar-SA"/>
        </w:rPr>
        <w:t>23811.15</w:t>
      </w:r>
      <w:r>
        <w:rPr>
          <w:rFonts w:hint="eastAsia" w:ascii="Times New Roman" w:hAnsi="Times New Roman" w:eastAsia="仿宋" w:cs="Times New Roman"/>
          <w:bCs/>
          <w:color w:val="000000"/>
          <w:kern w:val="0"/>
          <w:sz w:val="32"/>
          <w:szCs w:val="32"/>
          <w:lang w:val="en-US" w:eastAsia="zh-CN" w:bidi="ar-SA"/>
        </w:rPr>
        <w:t>万元</w:t>
      </w:r>
      <w:r>
        <w:rPr>
          <w:rFonts w:hint="eastAsia" w:eastAsia="仿宋" w:cs="Times New Roman"/>
          <w:bCs/>
          <w:color w:val="000000"/>
          <w:kern w:val="0"/>
          <w:sz w:val="32"/>
          <w:szCs w:val="32"/>
          <w:lang w:val="en-US" w:eastAsia="zh-CN" w:bidi="ar-SA"/>
        </w:rPr>
        <w:t>；年度支出合计17693.39万元，年末结转6117.76万元，支出总计23811.15万元</w:t>
      </w:r>
      <w:r>
        <w:rPr>
          <w:rFonts w:hint="eastAsia" w:ascii="Times New Roman" w:hAnsi="Times New Roman" w:eastAsia="仿宋" w:cs="Times New Roman"/>
          <w:bCs/>
          <w:color w:val="000000"/>
          <w:kern w:val="0"/>
          <w:sz w:val="32"/>
          <w:szCs w:val="32"/>
          <w:lang w:val="en-US" w:eastAsia="zh-CN" w:bidi="ar-SA"/>
        </w:rPr>
        <w:t>。与2021年相比，收</w:t>
      </w:r>
      <w:r>
        <w:rPr>
          <w:rFonts w:hint="eastAsia" w:eastAsia="仿宋" w:cs="Times New Roman"/>
          <w:bCs/>
          <w:color w:val="000000"/>
          <w:kern w:val="0"/>
          <w:sz w:val="32"/>
          <w:szCs w:val="32"/>
          <w:lang w:val="en-US" w:eastAsia="zh-CN" w:bidi="ar-SA"/>
        </w:rPr>
        <w:t>入总计</w:t>
      </w:r>
      <w:r>
        <w:rPr>
          <w:rFonts w:hint="eastAsia" w:ascii="Times New Roman" w:hAnsi="Times New Roman" w:eastAsia="仿宋" w:cs="Times New Roman"/>
          <w:bCs/>
          <w:color w:val="000000"/>
          <w:kern w:val="0"/>
          <w:sz w:val="32"/>
          <w:szCs w:val="32"/>
          <w:lang w:val="en-US" w:eastAsia="zh-CN" w:bidi="ar-SA"/>
        </w:rPr>
        <w:t>减少</w:t>
      </w:r>
      <w:r>
        <w:rPr>
          <w:rFonts w:hint="eastAsia" w:eastAsia="仿宋" w:cs="Times New Roman"/>
          <w:bCs/>
          <w:color w:val="000000"/>
          <w:kern w:val="0"/>
          <w:sz w:val="32"/>
          <w:szCs w:val="32"/>
          <w:lang w:val="en-US" w:eastAsia="zh-CN" w:bidi="ar-SA"/>
        </w:rPr>
        <w:t>684.75</w:t>
      </w:r>
      <w:r>
        <w:rPr>
          <w:rFonts w:hint="eastAsia" w:ascii="Times New Roman" w:hAnsi="Times New Roman" w:eastAsia="仿宋" w:cs="Times New Roman"/>
          <w:bCs/>
          <w:color w:val="000000"/>
          <w:kern w:val="0"/>
          <w:sz w:val="32"/>
          <w:szCs w:val="32"/>
          <w:lang w:val="en-US" w:eastAsia="zh-CN" w:bidi="ar-SA"/>
        </w:rPr>
        <w:t>万元</w:t>
      </w:r>
      <w:r>
        <w:rPr>
          <w:rFonts w:hint="eastAsia" w:eastAsia="仿宋" w:cs="Times New Roman"/>
          <w:bCs/>
          <w:color w:val="000000"/>
          <w:kern w:val="0"/>
          <w:sz w:val="32"/>
          <w:szCs w:val="32"/>
          <w:lang w:val="en-US" w:eastAsia="zh-CN" w:bidi="ar-SA"/>
        </w:rPr>
        <w:t>下降2.79%，支出合计减少6802.51</w:t>
      </w:r>
      <w:r>
        <w:rPr>
          <w:rFonts w:hint="eastAsia" w:ascii="Times New Roman" w:hAnsi="Times New Roman" w:eastAsia="仿宋" w:cs="Times New Roman"/>
          <w:bCs/>
          <w:color w:val="000000"/>
          <w:kern w:val="0"/>
          <w:sz w:val="32"/>
          <w:szCs w:val="32"/>
          <w:lang w:val="en-US" w:eastAsia="zh-CN" w:bidi="ar-SA"/>
        </w:rPr>
        <w:t>，下降</w:t>
      </w:r>
      <w:r>
        <w:rPr>
          <w:rFonts w:hint="eastAsia" w:eastAsia="仿宋" w:cs="Times New Roman"/>
          <w:bCs/>
          <w:color w:val="000000"/>
          <w:kern w:val="0"/>
          <w:sz w:val="32"/>
          <w:szCs w:val="32"/>
          <w:lang w:val="en-US" w:eastAsia="zh-CN" w:bidi="ar-SA"/>
        </w:rPr>
        <w:t>27.76</w:t>
      </w:r>
      <w:r>
        <w:rPr>
          <w:rFonts w:hint="eastAsia" w:ascii="Times New Roman" w:hAnsi="Times New Roman" w:eastAsia="仿宋" w:cs="Times New Roman"/>
          <w:bCs/>
          <w:color w:val="000000"/>
          <w:kern w:val="0"/>
          <w:sz w:val="32"/>
          <w:szCs w:val="32"/>
          <w:lang w:val="en-US" w:eastAsia="zh-CN" w:bidi="ar-SA"/>
        </w:rPr>
        <w:t>%。主要变动原因是2022疫情因素导致业务量下滑。</w:t>
      </w:r>
    </w:p>
    <w:p w14:paraId="071B8DAF">
      <w:pPr>
        <w:pStyle w:val="2"/>
        <w:rPr>
          <w:rFonts w:hint="default"/>
          <w:lang w:eastAsia="zh-CN"/>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09940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（图1：收、支决算总计变动情况图）（柱状图）</w:t>
      </w:r>
    </w:p>
    <w:p w14:paraId="0DF316C3">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26" w:name="_Toc15377206"/>
      <w:bookmarkStart w:id="27" w:name="_Toc15396604"/>
      <w:r>
        <w:rPr>
          <w:rFonts w:hint="default" w:ascii="Times New Roman" w:hAnsi="Times New Roman" w:eastAsia="黑体" w:cs="Times New Roman"/>
          <w:color w:val="000000"/>
          <w:sz w:val="32"/>
          <w:szCs w:val="32"/>
        </w:rPr>
        <w:t>收</w:t>
      </w:r>
      <w:r>
        <w:rPr>
          <w:rStyle w:val="27"/>
          <w:rFonts w:hint="default" w:ascii="Times New Roman" w:hAnsi="Times New Roman" w:eastAsia="黑体" w:cs="Times New Roman"/>
          <w:b w:val="0"/>
        </w:rPr>
        <w:t>入决算情况说明</w:t>
      </w:r>
      <w:bookmarkEnd w:id="26"/>
      <w:bookmarkEnd w:id="27"/>
    </w:p>
    <w:p w14:paraId="7EEF0488">
      <w:pPr>
        <w:spacing w:line="600" w:lineRule="exact"/>
        <w:ind w:firstLine="640" w:firstLineChars="200"/>
        <w:outlineLvl w:val="1"/>
        <w:rPr>
          <w:rFonts w:hint="default" w:ascii="仿宋" w:hAnsi="仿宋" w:eastAsia="仿宋"/>
          <w:color w:val="auto"/>
          <w:sz w:val="32"/>
          <w:szCs w:val="32"/>
          <w:highlight w:val="none"/>
          <w:lang w:val="en-US" w:eastAsia="zh-CN"/>
        </w:rPr>
      </w:pPr>
      <w:bookmarkStart w:id="28" w:name="_Toc308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17693.39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1026.34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16753.81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75.5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8"/>
      <w:r>
        <w:rPr>
          <w:rFonts w:hint="eastAsia" w:ascii="仿宋" w:hAnsi="仿宋" w:eastAsia="仿宋"/>
          <w:color w:val="auto"/>
          <w:sz w:val="32"/>
          <w:szCs w:val="32"/>
          <w:highlight w:val="none"/>
          <w:lang w:val="en-US" w:eastAsia="zh-CN"/>
        </w:rPr>
        <w:t>年初结转和结余5955.5万元，总计23811.15万元。</w:t>
      </w:r>
    </w:p>
    <w:p w14:paraId="74410244">
      <w:pPr>
        <w:spacing w:line="600" w:lineRule="exact"/>
        <w:ind w:firstLine="640" w:firstLineChars="200"/>
        <w:outlineLvl w:val="1"/>
        <w:rPr>
          <w:rFonts w:hint="default" w:ascii="Times New Roman" w:hAnsi="Times New Roman" w:eastAsia="仿宋" w:cs="Times New Roman"/>
          <w:color w:val="000000"/>
          <w:sz w:val="32"/>
          <w:szCs w:val="32"/>
        </w:rPr>
      </w:pPr>
    </w:p>
    <w:p w14:paraId="232157C7">
      <w:pPr>
        <w:pStyle w:val="2"/>
        <w:rPr>
          <w:rFonts w:hint="default"/>
        </w:rPr>
      </w:pPr>
      <w:r>
        <w:drawing>
          <wp:inline distT="0" distB="0" distL="114300" distR="114300">
            <wp:extent cx="5098415" cy="2874645"/>
            <wp:effectExtent l="4445" t="4445" r="21590" b="54610"/>
            <wp:docPr id="7" name="图表 6"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4330CE">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（图2：收入决算结构图）（饼状图）</w:t>
      </w:r>
    </w:p>
    <w:p w14:paraId="4471A93E">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29" w:name="_Toc15377207"/>
      <w:bookmarkStart w:id="30" w:name="_Toc15396605"/>
      <w:r>
        <w:rPr>
          <w:rFonts w:hint="default" w:ascii="Times New Roman" w:hAnsi="Times New Roman" w:eastAsia="黑体" w:cs="Times New Roman"/>
          <w:color w:val="000000"/>
          <w:sz w:val="32"/>
          <w:szCs w:val="32"/>
        </w:rPr>
        <w:t>支</w:t>
      </w:r>
      <w:r>
        <w:rPr>
          <w:rStyle w:val="27"/>
          <w:rFonts w:hint="default" w:ascii="Times New Roman" w:hAnsi="Times New Roman" w:eastAsia="黑体" w:cs="Times New Roman"/>
          <w:b w:val="0"/>
        </w:rPr>
        <w:t>出决算情况说明</w:t>
      </w:r>
      <w:bookmarkEnd w:id="29"/>
      <w:bookmarkEnd w:id="30"/>
    </w:p>
    <w:p w14:paraId="0CDF191C">
      <w:pPr>
        <w:spacing w:line="600" w:lineRule="exact"/>
        <w:ind w:firstLine="640" w:firstLineChars="200"/>
        <w:outlineLvl w:val="1"/>
        <w:rPr>
          <w:rFonts w:hint="default" w:ascii="仿宋" w:hAnsi="仿宋" w:eastAsia="仿宋" w:cs="Times New Roman"/>
          <w:color w:val="auto"/>
          <w:sz w:val="32"/>
          <w:szCs w:val="32"/>
          <w:highlight w:val="none"/>
          <w:lang w:val="en-US" w:eastAsia="zh-CN"/>
        </w:rPr>
      </w:pPr>
      <w:bookmarkStart w:id="31" w:name="_Toc15286"/>
      <w:r>
        <w:rPr>
          <w:rFonts w:hint="eastAsia" w:ascii="仿宋" w:hAnsi="仿宋" w:eastAsia="仿宋" w:cs="Times New Roman"/>
          <w:color w:val="auto"/>
          <w:sz w:val="32"/>
          <w:szCs w:val="32"/>
          <w:highlight w:val="none"/>
        </w:rPr>
        <w:t>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年本年支出合计</w:t>
      </w:r>
      <w:r>
        <w:rPr>
          <w:rFonts w:hint="eastAsia" w:ascii="仿宋" w:hAnsi="仿宋" w:eastAsia="仿宋" w:cs="Times New Roman"/>
          <w:color w:val="auto"/>
          <w:sz w:val="32"/>
          <w:szCs w:val="32"/>
          <w:highlight w:val="none"/>
          <w:lang w:val="en-US" w:eastAsia="zh-CN"/>
        </w:rPr>
        <w:t>17693.39</w:t>
      </w:r>
      <w:r>
        <w:rPr>
          <w:rFonts w:hint="eastAsia" w:ascii="仿宋" w:hAnsi="仿宋" w:eastAsia="仿宋" w:cs="Times New Roman"/>
          <w:color w:val="auto"/>
          <w:sz w:val="32"/>
          <w:szCs w:val="32"/>
          <w:highlight w:val="none"/>
        </w:rPr>
        <w:t>万元，其中：基本支出17209.75万元，占</w:t>
      </w:r>
      <w:r>
        <w:rPr>
          <w:rFonts w:hint="eastAsia" w:ascii="仿宋" w:hAnsi="仿宋" w:eastAsia="仿宋" w:cs="Times New Roman"/>
          <w:color w:val="auto"/>
          <w:sz w:val="32"/>
          <w:szCs w:val="32"/>
          <w:highlight w:val="none"/>
          <w:lang w:val="en-US" w:eastAsia="zh-CN"/>
        </w:rPr>
        <w:t>98</w:t>
      </w:r>
      <w:r>
        <w:rPr>
          <w:rFonts w:hint="eastAsia" w:ascii="仿宋" w:hAnsi="仿宋" w:eastAsia="仿宋" w:cs="Times New Roman"/>
          <w:color w:val="auto"/>
          <w:sz w:val="32"/>
          <w:szCs w:val="32"/>
          <w:highlight w:val="none"/>
        </w:rPr>
        <w:t>%；项目支出483.64万元，占</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w:t>
      </w:r>
      <w:bookmarkEnd w:id="31"/>
      <w:r>
        <w:rPr>
          <w:rFonts w:hint="eastAsia" w:ascii="仿宋" w:hAnsi="仿宋" w:eastAsia="仿宋" w:cs="Times New Roman"/>
          <w:color w:val="auto"/>
          <w:sz w:val="32"/>
          <w:szCs w:val="32"/>
          <w:highlight w:val="none"/>
          <w:lang w:val="en-US" w:eastAsia="zh-CN"/>
        </w:rPr>
        <w:t>年末结转和结余6117.76万元。</w:t>
      </w:r>
      <w:bookmarkStart w:id="74" w:name="_GoBack"/>
      <w:bookmarkEnd w:id="74"/>
    </w:p>
    <w:p w14:paraId="38F54CB7">
      <w:pPr>
        <w:spacing w:line="600" w:lineRule="exact"/>
        <w:ind w:firstLine="640" w:firstLineChars="200"/>
        <w:outlineLvl w:val="1"/>
        <w:rPr>
          <w:rFonts w:hint="default" w:ascii="仿宋" w:hAnsi="仿宋" w:eastAsia="仿宋" w:cs="Times New Roman"/>
          <w:color w:val="auto"/>
          <w:sz w:val="32"/>
          <w:szCs w:val="32"/>
          <w:highlight w:val="none"/>
        </w:rPr>
      </w:pPr>
    </w:p>
    <w:p w14:paraId="710A85E3">
      <w:pPr>
        <w:pStyle w:val="2"/>
        <w:rPr>
          <w:rFonts w:hint="default"/>
        </w:rPr>
      </w:pPr>
      <w:r>
        <w:drawing>
          <wp:inline distT="0" distB="0" distL="114300" distR="114300">
            <wp:extent cx="4998720" cy="2841625"/>
            <wp:effectExtent l="4445" t="4445" r="6985" b="49530"/>
            <wp:docPr id="12" name="图表 11" descr="7b0a202020202263686172745265734964223a2022323034373630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3FDB52">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（图3：支出决算结构图）（饼状图）</w:t>
      </w:r>
    </w:p>
    <w:p w14:paraId="39D887CC">
      <w:pPr>
        <w:spacing w:line="600" w:lineRule="exact"/>
        <w:ind w:firstLine="640" w:firstLineChars="200"/>
        <w:outlineLvl w:val="1"/>
        <w:rPr>
          <w:rStyle w:val="27"/>
          <w:rFonts w:hint="default" w:ascii="Times New Roman" w:hAnsi="Times New Roman" w:eastAsia="黑体" w:cs="Times New Roman"/>
          <w:b w:val="0"/>
        </w:rPr>
      </w:pPr>
      <w:bookmarkStart w:id="32" w:name="_Toc15377208"/>
      <w:bookmarkStart w:id="33" w:name="_Toc15396606"/>
      <w:r>
        <w:rPr>
          <w:rFonts w:hint="default" w:ascii="Times New Roman" w:hAnsi="Times New Roman" w:eastAsia="黑体" w:cs="Times New Roman"/>
          <w:color w:val="000000"/>
          <w:sz w:val="32"/>
          <w:szCs w:val="32"/>
        </w:rPr>
        <w:t>四、财</w:t>
      </w:r>
      <w:r>
        <w:rPr>
          <w:rStyle w:val="27"/>
          <w:rFonts w:hint="default" w:ascii="Times New Roman" w:hAnsi="Times New Roman" w:eastAsia="黑体" w:cs="Times New Roman"/>
          <w:b w:val="0"/>
        </w:rPr>
        <w:t>政拨款收入支出决算总体情况说明</w:t>
      </w:r>
      <w:bookmarkEnd w:id="32"/>
      <w:bookmarkEnd w:id="33"/>
    </w:p>
    <w:p w14:paraId="08EC29DD">
      <w:pPr>
        <w:spacing w:line="600" w:lineRule="exact"/>
        <w:ind w:firstLine="640" w:firstLineChars="200"/>
        <w:outlineLvl w:val="1"/>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年财政拨款收</w:t>
      </w:r>
      <w:r>
        <w:rPr>
          <w:rFonts w:hint="eastAsia" w:ascii="仿宋" w:hAnsi="仿宋" w:eastAsia="仿宋" w:cs="Times New Roman"/>
          <w:color w:val="auto"/>
          <w:sz w:val="32"/>
          <w:szCs w:val="32"/>
          <w:highlight w:val="none"/>
          <w:lang w:eastAsia="zh-CN"/>
        </w:rPr>
        <w:t>入</w:t>
      </w:r>
      <w:r>
        <w:rPr>
          <w:rFonts w:hint="eastAsia" w:ascii="仿宋" w:hAnsi="仿宋" w:eastAsia="仿宋" w:cs="Times New Roman"/>
          <w:color w:val="auto"/>
          <w:sz w:val="32"/>
          <w:szCs w:val="32"/>
          <w:highlight w:val="none"/>
          <w:lang w:val="en-US" w:eastAsia="zh-CN"/>
        </w:rPr>
        <w:t>1026.34万元，年初财政拨款结转和结余5955.5万元，收入总计6981.84万元。</w:t>
      </w:r>
      <w:r>
        <w:rPr>
          <w:rFonts w:hint="eastAsia" w:ascii="仿宋" w:hAnsi="仿宋" w:eastAsia="仿宋" w:cs="Times New Roman"/>
          <w:color w:val="auto"/>
          <w:sz w:val="32"/>
          <w:szCs w:val="32"/>
          <w:highlight w:val="none"/>
        </w:rPr>
        <w:t>支</w:t>
      </w:r>
      <w:r>
        <w:rPr>
          <w:rFonts w:hint="eastAsia" w:ascii="仿宋" w:hAnsi="仿宋" w:eastAsia="仿宋" w:cs="Times New Roman"/>
          <w:color w:val="auto"/>
          <w:sz w:val="32"/>
          <w:szCs w:val="32"/>
          <w:highlight w:val="none"/>
          <w:lang w:eastAsia="zh-CN"/>
        </w:rPr>
        <w:t>出</w:t>
      </w:r>
      <w:r>
        <w:rPr>
          <w:rFonts w:hint="eastAsia" w:ascii="仿宋" w:hAnsi="仿宋" w:eastAsia="仿宋" w:cs="Times New Roman"/>
          <w:color w:val="auto"/>
          <w:sz w:val="32"/>
          <w:szCs w:val="32"/>
          <w:highlight w:val="none"/>
        </w:rPr>
        <w:t>总计</w:t>
      </w:r>
      <w:r>
        <w:rPr>
          <w:rFonts w:hint="eastAsia" w:ascii="仿宋" w:hAnsi="仿宋" w:eastAsia="仿宋" w:cs="Times New Roman"/>
          <w:color w:val="auto"/>
          <w:sz w:val="32"/>
          <w:szCs w:val="32"/>
          <w:highlight w:val="none"/>
          <w:lang w:val="en-US" w:eastAsia="zh-CN"/>
        </w:rPr>
        <w:t>864.08</w:t>
      </w:r>
      <w:r>
        <w:rPr>
          <w:rFonts w:hint="eastAsia" w:ascii="仿宋" w:hAnsi="仿宋" w:eastAsia="仿宋" w:cs="Times New Roman"/>
          <w:color w:val="auto"/>
          <w:sz w:val="32"/>
          <w:szCs w:val="32"/>
          <w:highlight w:val="none"/>
        </w:rPr>
        <w:t>万元。与20</w:t>
      </w:r>
      <w:r>
        <w:rPr>
          <w:rFonts w:hint="eastAsia" w:ascii="仿宋" w:hAnsi="仿宋" w:eastAsia="仿宋" w:cs="Times New Roman"/>
          <w:color w:val="auto"/>
          <w:sz w:val="32"/>
          <w:szCs w:val="32"/>
          <w:highlight w:val="none"/>
          <w:lang w:val="en-US" w:eastAsia="zh-CN"/>
        </w:rPr>
        <w:t>21</w:t>
      </w:r>
      <w:r>
        <w:rPr>
          <w:rFonts w:hint="eastAsia" w:ascii="仿宋" w:hAnsi="仿宋" w:eastAsia="仿宋" w:cs="Times New Roman"/>
          <w:color w:val="auto"/>
          <w:sz w:val="32"/>
          <w:szCs w:val="32"/>
          <w:highlight w:val="none"/>
        </w:rPr>
        <w:t>年相比，财政拨款收</w:t>
      </w:r>
      <w:r>
        <w:rPr>
          <w:rFonts w:hint="eastAsia" w:ascii="仿宋" w:hAnsi="仿宋" w:eastAsia="仿宋" w:cs="Times New Roman"/>
          <w:color w:val="auto"/>
          <w:sz w:val="32"/>
          <w:szCs w:val="32"/>
          <w:highlight w:val="none"/>
          <w:lang w:eastAsia="zh-CN"/>
        </w:rPr>
        <w:t>入减少</w:t>
      </w:r>
      <w:r>
        <w:rPr>
          <w:rFonts w:hint="eastAsia" w:ascii="仿宋" w:hAnsi="仿宋" w:eastAsia="仿宋" w:cs="Times New Roman"/>
          <w:color w:val="auto"/>
          <w:sz w:val="32"/>
          <w:szCs w:val="32"/>
          <w:highlight w:val="none"/>
          <w:lang w:val="en-US" w:eastAsia="zh-CN"/>
        </w:rPr>
        <w:t>181.61万元，下降3%，</w:t>
      </w:r>
      <w:r>
        <w:rPr>
          <w:rFonts w:hint="eastAsia" w:ascii="仿宋" w:hAnsi="仿宋" w:eastAsia="仿宋" w:cs="Times New Roman"/>
          <w:color w:val="auto"/>
          <w:sz w:val="32"/>
          <w:szCs w:val="32"/>
          <w:highlight w:val="none"/>
        </w:rPr>
        <w:t>支</w:t>
      </w:r>
      <w:r>
        <w:rPr>
          <w:rFonts w:hint="eastAsia" w:ascii="仿宋" w:hAnsi="仿宋" w:eastAsia="仿宋" w:cs="Times New Roman"/>
          <w:color w:val="auto"/>
          <w:sz w:val="32"/>
          <w:szCs w:val="32"/>
          <w:highlight w:val="none"/>
          <w:lang w:eastAsia="zh-CN"/>
        </w:rPr>
        <w:t>出</w:t>
      </w:r>
      <w:r>
        <w:rPr>
          <w:rFonts w:hint="eastAsia" w:ascii="仿宋" w:hAnsi="仿宋" w:eastAsia="仿宋" w:cs="Times New Roman"/>
          <w:color w:val="auto"/>
          <w:sz w:val="32"/>
          <w:szCs w:val="32"/>
          <w:highlight w:val="none"/>
        </w:rPr>
        <w:t>总计减少</w:t>
      </w:r>
      <w:r>
        <w:rPr>
          <w:rFonts w:hint="eastAsia" w:ascii="仿宋" w:hAnsi="仿宋" w:eastAsia="仿宋" w:cs="Times New Roman"/>
          <w:color w:val="auto"/>
          <w:sz w:val="32"/>
          <w:szCs w:val="32"/>
          <w:highlight w:val="none"/>
          <w:lang w:val="en-US" w:eastAsia="zh-CN"/>
        </w:rPr>
        <w:t>343.87</w:t>
      </w:r>
      <w:r>
        <w:rPr>
          <w:rFonts w:hint="eastAsia" w:ascii="仿宋" w:hAnsi="仿宋" w:eastAsia="仿宋" w:cs="Times New Roman"/>
          <w:color w:val="auto"/>
          <w:sz w:val="32"/>
          <w:szCs w:val="32"/>
          <w:highlight w:val="none"/>
        </w:rPr>
        <w:t>万元，下降</w:t>
      </w:r>
      <w:r>
        <w:rPr>
          <w:rFonts w:hint="eastAsia" w:ascii="仿宋" w:hAnsi="仿宋" w:eastAsia="仿宋" w:cs="Times New Roman"/>
          <w:color w:val="auto"/>
          <w:sz w:val="32"/>
          <w:szCs w:val="32"/>
          <w:highlight w:val="none"/>
          <w:lang w:val="en-US" w:eastAsia="zh-CN"/>
        </w:rPr>
        <w:t>29</w:t>
      </w:r>
      <w:r>
        <w:rPr>
          <w:rFonts w:hint="eastAsia" w:ascii="仿宋" w:hAnsi="仿宋" w:eastAsia="仿宋" w:cs="Times New Roman"/>
          <w:color w:val="auto"/>
          <w:sz w:val="32"/>
          <w:szCs w:val="32"/>
          <w:highlight w:val="none"/>
        </w:rPr>
        <w:t>%。主要变动原因</w:t>
      </w:r>
      <w:r>
        <w:rPr>
          <w:rFonts w:hint="eastAsia" w:ascii="仿宋" w:hAnsi="仿宋" w:eastAsia="仿宋" w:cs="Times New Roman"/>
          <w:color w:val="auto"/>
          <w:sz w:val="32"/>
          <w:szCs w:val="32"/>
          <w:highlight w:val="none"/>
          <w:lang w:eastAsia="zh-CN"/>
        </w:rPr>
        <w:t>是</w:t>
      </w:r>
      <w:r>
        <w:rPr>
          <w:rFonts w:hint="eastAsia" w:ascii="仿宋" w:hAnsi="仿宋" w:eastAsia="仿宋" w:cs="Times New Roman"/>
          <w:color w:val="auto"/>
          <w:sz w:val="32"/>
          <w:szCs w:val="32"/>
          <w:highlight w:val="none"/>
          <w:lang w:val="en-US" w:eastAsia="zh-CN"/>
        </w:rPr>
        <w:t>2022年财政拨款收入减少是当年专债券资金比上年拨款减少；财政拨款支出减少是债券资金的支出减少。</w:t>
      </w:r>
    </w:p>
    <w:p w14:paraId="0CD36098">
      <w:pPr>
        <w:pStyle w:val="2"/>
        <w:rPr>
          <w:rFonts w:hint="default"/>
        </w:rPr>
      </w:pPr>
      <w:r>
        <w:drawing>
          <wp:inline distT="0" distB="0" distL="114300" distR="114300">
            <wp:extent cx="5250180" cy="2764790"/>
            <wp:effectExtent l="5080" t="4445" r="21590" b="1206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C1AC48">
      <w:pPr>
        <w:spacing w:line="600" w:lineRule="exact"/>
        <w:ind w:firstLine="640" w:firstLineChars="200"/>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（图4：财政拨款收、支决算总计变动情况）（柱状图）</w:t>
      </w:r>
    </w:p>
    <w:p w14:paraId="1F35C43B">
      <w:pPr>
        <w:spacing w:line="600" w:lineRule="exact"/>
        <w:ind w:firstLine="640" w:firstLineChars="200"/>
        <w:outlineLvl w:val="1"/>
        <w:rPr>
          <w:rStyle w:val="27"/>
          <w:rFonts w:hint="default" w:ascii="Times New Roman" w:hAnsi="Times New Roman" w:eastAsia="黑体" w:cs="Times New Roman"/>
          <w:b w:val="0"/>
        </w:rPr>
      </w:pPr>
      <w:bookmarkStart w:id="34" w:name="_Toc15396607"/>
      <w:bookmarkStart w:id="35" w:name="_Toc15377209"/>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7"/>
          <w:rFonts w:hint="default" w:ascii="Times New Roman" w:hAnsi="Times New Roman" w:eastAsia="黑体" w:cs="Times New Roman"/>
          <w:b w:val="0"/>
        </w:rPr>
        <w:t>般公共预算财政拨款支出决算情况说明</w:t>
      </w:r>
      <w:bookmarkEnd w:id="34"/>
      <w:bookmarkEnd w:id="35"/>
    </w:p>
    <w:p w14:paraId="4889F111">
      <w:pPr>
        <w:spacing w:line="600" w:lineRule="exact"/>
        <w:ind w:firstLine="643" w:firstLineChars="200"/>
        <w:outlineLvl w:val="2"/>
        <w:rPr>
          <w:rFonts w:hint="default" w:ascii="Times New Roman" w:hAnsi="Times New Roman" w:eastAsia="仿宋" w:cs="Times New Roman"/>
          <w:b/>
          <w:color w:val="000000"/>
          <w:sz w:val="32"/>
          <w:szCs w:val="32"/>
        </w:rPr>
      </w:pPr>
      <w:bookmarkStart w:id="36" w:name="_Toc15377210"/>
      <w:r>
        <w:rPr>
          <w:rFonts w:hint="default" w:ascii="Times New Roman" w:hAnsi="Times New Roman" w:eastAsia="仿宋" w:cs="Times New Roman"/>
          <w:b/>
          <w:color w:val="000000"/>
          <w:sz w:val="32"/>
          <w:szCs w:val="32"/>
        </w:rPr>
        <w:t>（一）一般公共预算财政拨款支出决算总体情况</w:t>
      </w:r>
      <w:bookmarkEnd w:id="36"/>
    </w:p>
    <w:p w14:paraId="46A7ABC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431.08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36.08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是项目支出减少。</w:t>
      </w:r>
    </w:p>
    <w:p w14:paraId="022D4507">
      <w:pPr>
        <w:pStyle w:val="2"/>
        <w:rPr>
          <w:rFonts w:hint="default"/>
          <w:lang w:eastAsia="zh-CN"/>
        </w:rPr>
      </w:pPr>
      <w:r>
        <w:drawing>
          <wp:inline distT="0" distB="0" distL="114300" distR="114300">
            <wp:extent cx="5196205" cy="2568575"/>
            <wp:effectExtent l="4445" t="4445" r="19050" b="1778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142DE1">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313A60B3">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（图5：一般公共预算财政拨款支出决算变动情况）（柱状图）</w:t>
      </w:r>
    </w:p>
    <w:p w14:paraId="11FB9344">
      <w:pPr>
        <w:spacing w:line="600" w:lineRule="exact"/>
        <w:ind w:firstLine="643" w:firstLineChars="200"/>
        <w:outlineLvl w:val="2"/>
        <w:rPr>
          <w:rFonts w:hint="default" w:ascii="Times New Roman" w:hAnsi="Times New Roman" w:eastAsia="仿宋" w:cs="Times New Roman"/>
          <w:b/>
          <w:color w:val="000000"/>
          <w:sz w:val="32"/>
          <w:szCs w:val="32"/>
        </w:rPr>
      </w:pPr>
      <w:bookmarkStart w:id="37" w:name="_Toc15377211"/>
      <w:r>
        <w:rPr>
          <w:rFonts w:hint="default" w:ascii="Times New Roman" w:hAnsi="Times New Roman" w:eastAsia="仿宋" w:cs="Times New Roman"/>
          <w:b/>
          <w:color w:val="000000"/>
          <w:sz w:val="32"/>
          <w:szCs w:val="32"/>
        </w:rPr>
        <w:t>（二）一般公共预算财政拨款支出决算结构情况</w:t>
      </w:r>
      <w:bookmarkEnd w:id="37"/>
    </w:p>
    <w:p w14:paraId="4CB2359A">
      <w:pPr>
        <w:spacing w:line="600" w:lineRule="exact"/>
        <w:ind w:firstLine="640"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eastAsia" w:ascii="仿宋" w:hAnsi="仿宋" w:eastAsia="仿宋" w:cs="Times New Roman"/>
          <w:color w:val="auto"/>
          <w:sz w:val="32"/>
          <w:szCs w:val="32"/>
          <w:highlight w:val="none"/>
        </w:rPr>
        <w:t>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年一般公共预算财政拨款支出</w:t>
      </w:r>
      <w:r>
        <w:rPr>
          <w:rFonts w:hint="eastAsia" w:ascii="仿宋" w:hAnsi="仿宋" w:eastAsia="仿宋" w:cs="Times New Roman"/>
          <w:color w:val="auto"/>
          <w:sz w:val="32"/>
          <w:szCs w:val="32"/>
          <w:highlight w:val="none"/>
          <w:lang w:val="en-US" w:eastAsia="zh-CN"/>
        </w:rPr>
        <w:t>431.08</w:t>
      </w:r>
      <w:r>
        <w:rPr>
          <w:rFonts w:hint="eastAsia" w:ascii="仿宋" w:hAnsi="仿宋" w:eastAsia="仿宋" w:cs="Times New Roman"/>
          <w:color w:val="auto"/>
          <w:sz w:val="32"/>
          <w:szCs w:val="32"/>
          <w:highlight w:val="none"/>
        </w:rPr>
        <w:t>万元，主要用于卫生健康支出</w:t>
      </w:r>
      <w:r>
        <w:rPr>
          <w:rFonts w:hint="eastAsia" w:ascii="仿宋" w:hAnsi="仿宋" w:eastAsia="仿宋" w:cs="Times New Roman"/>
          <w:color w:val="auto"/>
          <w:sz w:val="32"/>
          <w:szCs w:val="32"/>
          <w:highlight w:val="none"/>
          <w:lang w:eastAsia="zh-CN"/>
        </w:rPr>
        <w:t>（类）</w:t>
      </w:r>
      <w:r>
        <w:rPr>
          <w:rFonts w:hint="eastAsia" w:ascii="仿宋" w:hAnsi="仿宋" w:eastAsia="仿宋" w:cs="Times New Roman"/>
          <w:color w:val="auto"/>
          <w:sz w:val="32"/>
          <w:szCs w:val="32"/>
          <w:highlight w:val="none"/>
          <w:lang w:val="en-US" w:eastAsia="zh-CN"/>
        </w:rPr>
        <w:t>431.08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100</w:t>
      </w:r>
      <w:r>
        <w:rPr>
          <w:rFonts w:hint="eastAsia" w:ascii="仿宋" w:hAnsi="仿宋" w:eastAsia="仿宋" w:cs="Times New Roman"/>
          <w:color w:val="auto"/>
          <w:sz w:val="32"/>
          <w:szCs w:val="32"/>
          <w:highlight w:val="none"/>
        </w:rPr>
        <w:t>%。</w:t>
      </w:r>
    </w:p>
    <w:p w14:paraId="0B3C9EDB">
      <w:pPr>
        <w:pStyle w:val="2"/>
        <w:rPr>
          <w:rFonts w:hint="default"/>
        </w:rPr>
      </w:pPr>
      <w:r>
        <w:drawing>
          <wp:inline distT="0" distB="0" distL="114300" distR="114300">
            <wp:extent cx="5108575" cy="2775585"/>
            <wp:effectExtent l="4445" t="4445" r="11430" b="203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A3BC2B">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（图6：一般公共预算财政拨款支出决算结构）（饼状图）</w:t>
      </w:r>
    </w:p>
    <w:p w14:paraId="0191F636">
      <w:pPr>
        <w:spacing w:line="600" w:lineRule="exact"/>
        <w:ind w:firstLine="643" w:firstLineChars="200"/>
        <w:outlineLvl w:val="2"/>
        <w:rPr>
          <w:rFonts w:hint="default" w:ascii="Times New Roman" w:hAnsi="Times New Roman" w:eastAsia="仿宋" w:cs="Times New Roman"/>
          <w:b/>
          <w:color w:val="000000"/>
          <w:sz w:val="32"/>
          <w:szCs w:val="32"/>
        </w:rPr>
      </w:pPr>
      <w:bookmarkStart w:id="38" w:name="_Toc15377212"/>
      <w:r>
        <w:rPr>
          <w:rFonts w:hint="default" w:ascii="Times New Roman" w:hAnsi="Times New Roman" w:eastAsia="仿宋" w:cs="Times New Roman"/>
          <w:b/>
          <w:color w:val="000000"/>
          <w:sz w:val="32"/>
          <w:szCs w:val="32"/>
        </w:rPr>
        <w:t>（三）一般公共预算财政拨款支出决算具体情况</w:t>
      </w:r>
      <w:bookmarkEnd w:id="38"/>
    </w:p>
    <w:p w14:paraId="5AD99EE1">
      <w:pPr>
        <w:spacing w:line="600" w:lineRule="exact"/>
        <w:ind w:firstLine="643" w:firstLineChars="200"/>
        <w:outlineLvl w:val="2"/>
        <w:rPr>
          <w:rFonts w:hint="default" w:ascii="Times New Roman" w:hAnsi="Times New Roman" w:eastAsia="仿宋" w:cs="Times New Roman"/>
          <w:b/>
          <w:color w:val="000000"/>
          <w:sz w:val="32"/>
          <w:szCs w:val="32"/>
        </w:rPr>
      </w:pPr>
      <w:bookmarkStart w:id="39" w:name="_Toc15377444"/>
      <w:bookmarkStart w:id="40" w:name="_Toc15378460"/>
      <w:bookmarkStart w:id="41" w:name="_Toc17071"/>
      <w:bookmarkStart w:id="42" w:name="_Toc15377213"/>
      <w:r>
        <w:rPr>
          <w:rFonts w:hint="eastAsia" w:ascii="Times New Roman" w:hAnsi="Times New Roman" w:eastAsia="仿宋" w:cs="Times New Roman"/>
          <w:b/>
          <w:color w:val="000000"/>
          <w:sz w:val="32"/>
          <w:szCs w:val="32"/>
        </w:rPr>
        <w:t>20</w:t>
      </w:r>
      <w:r>
        <w:rPr>
          <w:rFonts w:hint="eastAsia" w:ascii="Times New Roman" w:hAnsi="Times New Roman" w:eastAsia="仿宋" w:cs="Times New Roman"/>
          <w:b/>
          <w:color w:val="000000"/>
          <w:sz w:val="32"/>
          <w:szCs w:val="32"/>
          <w:lang w:val="en-US" w:eastAsia="zh-CN"/>
        </w:rPr>
        <w:t>22</w:t>
      </w:r>
      <w:r>
        <w:rPr>
          <w:rFonts w:hint="eastAsia" w:ascii="Times New Roman" w:hAnsi="Times New Roman" w:eastAsia="仿宋" w:cs="Times New Roman"/>
          <w:b/>
          <w:color w:val="000000"/>
          <w:sz w:val="32"/>
          <w:szCs w:val="32"/>
        </w:rPr>
        <w:t>年</w:t>
      </w:r>
      <w:r>
        <w:rPr>
          <w:rFonts w:hint="eastAsia" w:ascii="Times New Roman" w:hAnsi="Times New Roman" w:eastAsia="仿宋" w:cs="Times New Roman"/>
          <w:b/>
          <w:color w:val="000000"/>
          <w:sz w:val="32"/>
          <w:szCs w:val="32"/>
          <w:lang w:eastAsia="zh-CN"/>
        </w:rPr>
        <w:t>一</w:t>
      </w:r>
      <w:r>
        <w:rPr>
          <w:rFonts w:hint="eastAsia" w:ascii="Times New Roman" w:hAnsi="Times New Roman" w:eastAsia="仿宋" w:cs="Times New Roman"/>
          <w:b/>
          <w:color w:val="000000"/>
          <w:sz w:val="32"/>
          <w:szCs w:val="32"/>
        </w:rPr>
        <w:t>般公共预算支出决算数为</w:t>
      </w:r>
      <w:r>
        <w:rPr>
          <w:rFonts w:hint="eastAsia" w:ascii="Times New Roman" w:hAnsi="Times New Roman" w:eastAsia="仿宋" w:cs="Times New Roman"/>
          <w:b/>
          <w:color w:val="000000"/>
          <w:sz w:val="32"/>
          <w:szCs w:val="32"/>
          <w:lang w:val="en-US" w:eastAsia="zh-CN"/>
        </w:rPr>
        <w:t>431.08</w:t>
      </w:r>
      <w:r>
        <w:rPr>
          <w:rFonts w:hint="eastAsia" w:ascii="Times New Roman" w:hAnsi="Times New Roman" w:eastAsia="仿宋" w:cs="Times New Roman"/>
          <w:b/>
          <w:color w:val="000000"/>
          <w:sz w:val="32"/>
          <w:szCs w:val="32"/>
        </w:rPr>
        <w:t>，完成预算</w:t>
      </w:r>
      <w:r>
        <w:rPr>
          <w:rFonts w:hint="eastAsia" w:ascii="Times New Roman" w:hAnsi="Times New Roman" w:eastAsia="仿宋" w:cs="Times New Roman"/>
          <w:b/>
          <w:color w:val="000000"/>
          <w:sz w:val="32"/>
          <w:szCs w:val="32"/>
          <w:lang w:val="en-US" w:eastAsia="zh-CN"/>
        </w:rPr>
        <w:t>100</w:t>
      </w:r>
      <w:r>
        <w:rPr>
          <w:rFonts w:hint="default" w:ascii="Times New Roman" w:hAnsi="Times New Roman" w:eastAsia="仿宋" w:cs="Times New Roman"/>
          <w:b/>
          <w:color w:val="000000"/>
          <w:sz w:val="32"/>
          <w:szCs w:val="32"/>
        </w:rPr>
        <w:t>%</w:t>
      </w:r>
      <w:r>
        <w:rPr>
          <w:rFonts w:hint="eastAsia" w:ascii="Times New Roman" w:hAnsi="Times New Roman" w:eastAsia="仿宋" w:cs="Times New Roman"/>
          <w:b/>
          <w:color w:val="000000"/>
          <w:sz w:val="32"/>
          <w:szCs w:val="32"/>
        </w:rPr>
        <w:t>。其中：</w:t>
      </w:r>
      <w:bookmarkEnd w:id="39"/>
      <w:bookmarkEnd w:id="40"/>
      <w:bookmarkEnd w:id="41"/>
      <w:bookmarkEnd w:id="42"/>
    </w:p>
    <w:p w14:paraId="04C87ECB">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1.卫生健康（类）公立医院（款）中医在（民族）医院（项）：</w:t>
      </w:r>
      <w:r>
        <w:rPr>
          <w:rFonts w:hint="eastAsia" w:ascii="仿宋" w:hAnsi="仿宋" w:eastAsia="仿宋" w:cs="Times New Roman"/>
          <w:color w:val="auto"/>
          <w:sz w:val="32"/>
          <w:szCs w:val="32"/>
          <w:highlight w:val="none"/>
        </w:rPr>
        <w:t>支出决算为</w:t>
      </w:r>
      <w:r>
        <w:rPr>
          <w:rFonts w:hint="eastAsia" w:ascii="仿宋" w:hAnsi="仿宋" w:eastAsia="仿宋" w:cs="Times New Roman"/>
          <w:color w:val="auto"/>
          <w:sz w:val="32"/>
          <w:szCs w:val="32"/>
          <w:highlight w:val="none"/>
          <w:lang w:val="en-US" w:eastAsia="zh-CN"/>
        </w:rPr>
        <w:t>380.44</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100</w:t>
      </w:r>
      <w:r>
        <w:rPr>
          <w:rFonts w:hint="eastAsia" w:ascii="仿宋" w:hAnsi="仿宋" w:eastAsia="仿宋" w:cs="Times New Roman"/>
          <w:color w:val="auto"/>
          <w:sz w:val="32"/>
          <w:szCs w:val="32"/>
          <w:highlight w:val="none"/>
        </w:rPr>
        <w:t>%，决算数</w:t>
      </w:r>
      <w:r>
        <w:rPr>
          <w:rFonts w:hint="eastAsia" w:ascii="仿宋" w:hAnsi="仿宋" w:eastAsia="仿宋" w:cs="Times New Roman"/>
          <w:color w:val="auto"/>
          <w:sz w:val="32"/>
          <w:szCs w:val="32"/>
          <w:highlight w:val="none"/>
          <w:lang w:eastAsia="zh-CN"/>
        </w:rPr>
        <w:t>等于</w:t>
      </w:r>
      <w:r>
        <w:rPr>
          <w:rFonts w:hint="eastAsia" w:ascii="仿宋" w:hAnsi="仿宋" w:eastAsia="仿宋" w:cs="Times New Roman"/>
          <w:color w:val="auto"/>
          <w:sz w:val="32"/>
          <w:szCs w:val="32"/>
          <w:highlight w:val="none"/>
        </w:rPr>
        <w:t>预算数的主要原因</w:t>
      </w:r>
      <w:r>
        <w:rPr>
          <w:rFonts w:hint="eastAsia" w:ascii="仿宋" w:hAnsi="仿宋" w:eastAsia="仿宋" w:cs="Times New Roman"/>
          <w:color w:val="auto"/>
          <w:sz w:val="32"/>
          <w:szCs w:val="32"/>
          <w:highlight w:val="none"/>
          <w:lang w:eastAsia="zh-CN"/>
        </w:rPr>
        <w:t>年初财政补助差额补助数固定</w:t>
      </w:r>
      <w:r>
        <w:rPr>
          <w:rFonts w:hint="eastAsia" w:ascii="仿宋" w:hAnsi="仿宋" w:eastAsia="仿宋" w:cs="Times New Roman"/>
          <w:color w:val="auto"/>
          <w:sz w:val="32"/>
          <w:szCs w:val="32"/>
          <w:highlight w:val="none"/>
        </w:rPr>
        <w:t>。</w:t>
      </w:r>
    </w:p>
    <w:p w14:paraId="34CC46F3">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2.卫生健康（类）公立医院（款）其他公立医院支出（项）：</w:t>
      </w:r>
      <w:r>
        <w:rPr>
          <w:rFonts w:hint="eastAsia" w:ascii="仿宋" w:hAnsi="仿宋" w:eastAsia="仿宋" w:cs="Times New Roman"/>
          <w:color w:val="auto"/>
          <w:sz w:val="32"/>
          <w:szCs w:val="32"/>
          <w:highlight w:val="none"/>
        </w:rPr>
        <w:t>支出决算为</w:t>
      </w:r>
      <w:r>
        <w:rPr>
          <w:rFonts w:hint="eastAsia" w:ascii="仿宋" w:hAnsi="仿宋" w:eastAsia="仿宋" w:cs="Times New Roman"/>
          <w:color w:val="auto"/>
          <w:sz w:val="32"/>
          <w:szCs w:val="32"/>
          <w:highlight w:val="none"/>
          <w:lang w:val="en-US" w:eastAsia="zh-CN"/>
        </w:rPr>
        <w:t>14.25</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29</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决算数</w:t>
      </w:r>
      <w:r>
        <w:rPr>
          <w:rFonts w:hint="eastAsia" w:ascii="仿宋" w:hAnsi="仿宋" w:eastAsia="仿宋" w:cs="Times New Roman"/>
          <w:color w:val="auto"/>
          <w:sz w:val="32"/>
          <w:szCs w:val="32"/>
          <w:highlight w:val="none"/>
          <w:lang w:eastAsia="zh-CN"/>
        </w:rPr>
        <w:t>小于</w:t>
      </w:r>
      <w:r>
        <w:rPr>
          <w:rFonts w:hint="eastAsia" w:ascii="仿宋" w:hAnsi="仿宋" w:eastAsia="仿宋" w:cs="Times New Roman"/>
          <w:color w:val="auto"/>
          <w:sz w:val="32"/>
          <w:szCs w:val="32"/>
          <w:highlight w:val="none"/>
        </w:rPr>
        <w:t>预算数的主要原因</w:t>
      </w:r>
      <w:r>
        <w:rPr>
          <w:rFonts w:hint="eastAsia" w:ascii="仿宋" w:hAnsi="仿宋" w:eastAsia="仿宋" w:cs="Times New Roman"/>
          <w:color w:val="auto"/>
          <w:sz w:val="32"/>
          <w:szCs w:val="32"/>
          <w:highlight w:val="none"/>
          <w:lang w:eastAsia="zh-CN"/>
        </w:rPr>
        <w:t>项目推进进度付款</w:t>
      </w:r>
      <w:r>
        <w:rPr>
          <w:rFonts w:hint="eastAsia" w:ascii="仿宋" w:hAnsi="仿宋" w:eastAsia="仿宋" w:cs="Times New Roman"/>
          <w:color w:val="auto"/>
          <w:sz w:val="32"/>
          <w:szCs w:val="32"/>
          <w:highlight w:val="none"/>
        </w:rPr>
        <w:t>。</w:t>
      </w:r>
    </w:p>
    <w:p w14:paraId="7B847A09">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3.卫生健康（类）公共卫生（款）基本公共卫生服务（项）：</w:t>
      </w:r>
      <w:r>
        <w:rPr>
          <w:rFonts w:hint="eastAsia" w:ascii="仿宋" w:hAnsi="仿宋" w:eastAsia="仿宋" w:cs="Times New Roman"/>
          <w:color w:val="auto"/>
          <w:sz w:val="32"/>
          <w:szCs w:val="32"/>
          <w:highlight w:val="none"/>
        </w:rPr>
        <w:t>支出决算为</w:t>
      </w:r>
      <w:r>
        <w:rPr>
          <w:rFonts w:hint="eastAsia" w:ascii="仿宋" w:hAnsi="仿宋" w:eastAsia="仿宋" w:cs="Times New Roman"/>
          <w:color w:val="auto"/>
          <w:sz w:val="32"/>
          <w:szCs w:val="32"/>
          <w:highlight w:val="none"/>
          <w:lang w:val="en-US" w:eastAsia="zh-CN"/>
        </w:rPr>
        <w:t>3.09</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决算数</w:t>
      </w:r>
      <w:r>
        <w:rPr>
          <w:rFonts w:hint="eastAsia" w:ascii="仿宋" w:hAnsi="仿宋" w:eastAsia="仿宋" w:cs="Times New Roman"/>
          <w:color w:val="auto"/>
          <w:sz w:val="32"/>
          <w:szCs w:val="32"/>
          <w:highlight w:val="none"/>
          <w:lang w:eastAsia="zh-CN"/>
        </w:rPr>
        <w:t>小于</w:t>
      </w:r>
      <w:r>
        <w:rPr>
          <w:rFonts w:hint="eastAsia" w:ascii="仿宋" w:hAnsi="仿宋" w:eastAsia="仿宋" w:cs="Times New Roman"/>
          <w:color w:val="auto"/>
          <w:sz w:val="32"/>
          <w:szCs w:val="32"/>
          <w:highlight w:val="none"/>
        </w:rPr>
        <w:t>预算数的主要原因</w:t>
      </w:r>
      <w:r>
        <w:rPr>
          <w:rFonts w:hint="eastAsia" w:ascii="仿宋" w:hAnsi="仿宋" w:eastAsia="仿宋" w:cs="Times New Roman"/>
          <w:color w:val="auto"/>
          <w:sz w:val="32"/>
          <w:szCs w:val="32"/>
          <w:highlight w:val="none"/>
          <w:lang w:eastAsia="zh-CN"/>
        </w:rPr>
        <w:t>项目推进进度付款</w:t>
      </w:r>
      <w:r>
        <w:rPr>
          <w:rFonts w:hint="eastAsia" w:ascii="仿宋" w:hAnsi="仿宋" w:eastAsia="仿宋" w:cs="Times New Roman"/>
          <w:color w:val="auto"/>
          <w:sz w:val="32"/>
          <w:szCs w:val="32"/>
          <w:highlight w:val="none"/>
        </w:rPr>
        <w:t>。</w:t>
      </w:r>
    </w:p>
    <w:p w14:paraId="005D219A">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4.卫生健康（类）公共卫生（款）其他公共卫生支出（项）：支出决算为32.97万元，完成预算66%。决算数小于预算数的主要原因项目推进进度付款。</w:t>
      </w:r>
    </w:p>
    <w:p w14:paraId="04D85C91">
      <w:pPr>
        <w:spacing w:line="600" w:lineRule="exact"/>
        <w:ind w:firstLine="640" w:firstLineChars="200"/>
        <w:rPr>
          <w:rFonts w:hint="default" w:ascii="Times New Roman" w:hAnsi="Times New Roman" w:eastAsia="仿宋" w:cs="Times New Roman"/>
          <w:b/>
          <w:color w:val="000000"/>
          <w:sz w:val="32"/>
          <w:szCs w:val="32"/>
        </w:rPr>
      </w:pPr>
      <w:r>
        <w:rPr>
          <w:rFonts w:hint="eastAsia" w:ascii="仿宋" w:hAnsi="仿宋" w:eastAsia="仿宋" w:cs="Times New Roman"/>
          <w:color w:val="auto"/>
          <w:sz w:val="32"/>
          <w:szCs w:val="32"/>
          <w:highlight w:val="none"/>
          <w:lang w:val="en-US" w:eastAsia="zh-CN"/>
        </w:rPr>
        <w:t>5.卫生健康（类）中医药（款）中医（民族医）药专项（项）：</w:t>
      </w:r>
      <w:r>
        <w:rPr>
          <w:rFonts w:hint="eastAsia" w:ascii="仿宋" w:hAnsi="仿宋" w:eastAsia="仿宋" w:cs="Times New Roman"/>
          <w:color w:val="auto"/>
          <w:sz w:val="32"/>
          <w:szCs w:val="32"/>
          <w:highlight w:val="none"/>
        </w:rPr>
        <w:t>支出决算为</w:t>
      </w:r>
      <w:r>
        <w:rPr>
          <w:rFonts w:hint="eastAsia" w:ascii="仿宋" w:hAnsi="仿宋" w:eastAsia="仿宋" w:cs="Times New Roman"/>
          <w:color w:val="auto"/>
          <w:sz w:val="32"/>
          <w:szCs w:val="32"/>
          <w:highlight w:val="none"/>
          <w:lang w:val="en-US" w:eastAsia="zh-CN"/>
        </w:rPr>
        <w:t>0.33</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决算数</w:t>
      </w:r>
      <w:r>
        <w:rPr>
          <w:rFonts w:hint="eastAsia" w:ascii="仿宋" w:hAnsi="仿宋" w:eastAsia="仿宋" w:cs="Times New Roman"/>
          <w:color w:val="auto"/>
          <w:sz w:val="32"/>
          <w:szCs w:val="32"/>
          <w:highlight w:val="none"/>
          <w:lang w:eastAsia="zh-CN"/>
        </w:rPr>
        <w:t>小于</w:t>
      </w:r>
      <w:r>
        <w:rPr>
          <w:rFonts w:hint="eastAsia" w:ascii="仿宋" w:hAnsi="仿宋" w:eastAsia="仿宋" w:cs="Times New Roman"/>
          <w:color w:val="auto"/>
          <w:sz w:val="32"/>
          <w:szCs w:val="32"/>
          <w:highlight w:val="none"/>
        </w:rPr>
        <w:t>预算数的主要原因</w:t>
      </w:r>
      <w:r>
        <w:rPr>
          <w:rFonts w:hint="eastAsia" w:ascii="仿宋" w:hAnsi="仿宋" w:eastAsia="仿宋" w:cs="Times New Roman"/>
          <w:color w:val="auto"/>
          <w:sz w:val="32"/>
          <w:szCs w:val="32"/>
          <w:highlight w:val="none"/>
          <w:lang w:eastAsia="zh-CN"/>
        </w:rPr>
        <w:t>项目推进进度付款</w:t>
      </w:r>
      <w:r>
        <w:rPr>
          <w:rFonts w:hint="eastAsia" w:ascii="仿宋" w:hAnsi="仿宋" w:eastAsia="仿宋" w:cs="Times New Roman"/>
          <w:color w:val="auto"/>
          <w:sz w:val="32"/>
          <w:szCs w:val="32"/>
          <w:highlight w:val="none"/>
        </w:rPr>
        <w:t>。</w:t>
      </w:r>
    </w:p>
    <w:p w14:paraId="2ADB4104">
      <w:pPr>
        <w:tabs>
          <w:tab w:val="right" w:pos="8306"/>
        </w:tabs>
        <w:spacing w:line="600" w:lineRule="exact"/>
        <w:ind w:firstLine="640"/>
        <w:outlineLvl w:val="1"/>
        <w:rPr>
          <w:rStyle w:val="27"/>
          <w:rFonts w:hint="default" w:ascii="Times New Roman" w:hAnsi="Times New Roman" w:cs="Times New Roman"/>
        </w:rPr>
      </w:pPr>
      <w:bookmarkStart w:id="43" w:name="_Toc15377214"/>
      <w:bookmarkStart w:id="44"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7"/>
          <w:rFonts w:hint="default" w:ascii="Times New Roman" w:hAnsi="Times New Roman" w:eastAsia="黑体" w:cs="Times New Roman"/>
          <w:b w:val="0"/>
        </w:rPr>
        <w:t>般公共预算财政拨款基本支出决算情况说明</w:t>
      </w:r>
      <w:bookmarkEnd w:id="43"/>
      <w:bookmarkEnd w:id="44"/>
      <w:r>
        <w:rPr>
          <w:rStyle w:val="27"/>
          <w:rFonts w:hint="default" w:ascii="Times New Roman" w:hAnsi="Times New Roman" w:eastAsia="黑体" w:cs="Times New Roman"/>
          <w:b w:val="0"/>
        </w:rPr>
        <w:tab/>
      </w:r>
    </w:p>
    <w:p w14:paraId="533A2C8D">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2022年一般公共预算财政拨款基本支出380.44万元，其中：</w:t>
      </w:r>
    </w:p>
    <w:p w14:paraId="20A9FB06">
      <w:pPr>
        <w:numPr>
          <w:ilvl w:val="0"/>
          <w:numId w:val="0"/>
        </w:numPr>
        <w:spacing w:line="600" w:lineRule="exact"/>
        <w:ind w:firstLine="640" w:firstLineChars="200"/>
        <w:rPr>
          <w:rStyle w:val="27"/>
          <w:rFonts w:hint="default" w:ascii="Times New Roman" w:hAnsi="Times New Roman" w:eastAsia="黑体" w:cs="Times New Roman"/>
          <w:b w:val="0"/>
          <w:bCs/>
        </w:rPr>
      </w:pPr>
      <w:r>
        <w:rPr>
          <w:rFonts w:hint="eastAsia" w:ascii="仿宋" w:hAnsi="仿宋" w:eastAsia="仿宋" w:cs="Times New Roman"/>
          <w:color w:val="auto"/>
          <w:sz w:val="32"/>
          <w:szCs w:val="32"/>
          <w:highlight w:val="none"/>
          <w:lang w:val="en-US" w:eastAsia="zh-CN"/>
        </w:rPr>
        <w:t>人员经费380.44万元，主要包括：基本工资380.44万元，即全年在编人员基本工资35%。</w:t>
      </w:r>
      <w:r>
        <w:rPr>
          <w:rFonts w:hint="eastAsia" w:ascii="仿宋" w:hAnsi="仿宋" w:eastAsia="仿宋" w:cs="Times New Roman"/>
          <w:color w:val="auto"/>
          <w:sz w:val="32"/>
          <w:szCs w:val="32"/>
          <w:highlight w:val="none"/>
          <w:lang w:val="en-US" w:eastAsia="zh-CN"/>
        </w:rPr>
        <w:br w:type="textWrapping"/>
      </w:r>
      <w:r>
        <w:rPr>
          <w:rFonts w:hint="eastAsia" w:ascii="仿宋" w:hAnsi="仿宋" w:eastAsia="仿宋" w:cs="Times New Roman"/>
          <w:color w:val="auto"/>
          <w:sz w:val="32"/>
          <w:szCs w:val="32"/>
          <w:highlight w:val="none"/>
          <w:lang w:val="en-US" w:eastAsia="zh-CN"/>
        </w:rPr>
        <w:t>　　公用经费0万元。</w:t>
      </w:r>
    </w:p>
    <w:p w14:paraId="5E8E4658">
      <w:pPr>
        <w:numPr>
          <w:ilvl w:val="0"/>
          <w:numId w:val="2"/>
        </w:numPr>
        <w:spacing w:line="600" w:lineRule="exact"/>
        <w:ind w:firstLine="640"/>
        <w:rPr>
          <w:rStyle w:val="27"/>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27"/>
          <w:rFonts w:hint="default" w:ascii="Times New Roman" w:hAnsi="Times New Roman" w:eastAsia="黑体" w:cs="Times New Roman"/>
          <w:b w:val="0"/>
          <w:bCs/>
        </w:rPr>
        <w:t>般公共预算财政拨款</w:t>
      </w:r>
      <w:r>
        <w:rPr>
          <w:rStyle w:val="27"/>
          <w:rFonts w:hint="default" w:ascii="Times New Roman" w:hAnsi="Times New Roman" w:eastAsia="黑体" w:cs="Times New Roman"/>
          <w:b w:val="0"/>
          <w:bCs/>
          <w:lang w:eastAsia="zh-CN"/>
        </w:rPr>
        <w:t>项目</w:t>
      </w:r>
      <w:r>
        <w:rPr>
          <w:rStyle w:val="27"/>
          <w:rFonts w:hint="default" w:ascii="Times New Roman" w:hAnsi="Times New Roman" w:eastAsia="黑体" w:cs="Times New Roman"/>
          <w:b w:val="0"/>
          <w:bCs/>
        </w:rPr>
        <w:t>支出决算情况说明</w:t>
      </w:r>
    </w:p>
    <w:p w14:paraId="78AFC43F">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433</w:t>
      </w:r>
      <w:r>
        <w:rPr>
          <w:rFonts w:hint="default" w:ascii="Times New Roman" w:hAnsi="Times New Roman" w:eastAsia="仿宋" w:cs="Times New Roman"/>
          <w:color w:val="000000"/>
          <w:sz w:val="32"/>
          <w:szCs w:val="32"/>
        </w:rPr>
        <w:t>万元，其中：</w:t>
      </w:r>
    </w:p>
    <w:p w14:paraId="2FE88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eastAsia="仿宋_GB2312" w:cs="Times New Roman"/>
          <w:sz w:val="32"/>
          <w:szCs w:val="32"/>
          <w:lang w:eastAsia="zh-CN"/>
        </w:rPr>
        <w:t>工资福利</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_GB2312" w:cs="Times New Roman"/>
          <w:sz w:val="32"/>
          <w:szCs w:val="32"/>
          <w:lang w:val="en-US" w:eastAsia="zh-CN"/>
        </w:rPr>
        <w:t>380.44</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，主要用于：项目人员支出</w:t>
      </w:r>
      <w:r>
        <w:rPr>
          <w:rFonts w:hint="eastAsia" w:eastAsia="仿宋" w:cs="Times New Roman"/>
          <w:color w:val="000000"/>
          <w:sz w:val="32"/>
          <w:szCs w:val="32"/>
          <w:lang w:val="en-US" w:eastAsia="zh-CN"/>
        </w:rPr>
        <w:t>380.44</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000000"/>
          <w:sz w:val="32"/>
          <w:szCs w:val="32"/>
          <w:lang w:eastAsia="zh-CN"/>
        </w:rPr>
        <w:t>；项目经费支出</w:t>
      </w:r>
      <w:r>
        <w:rPr>
          <w:rFonts w:hint="eastAsia" w:eastAsia="仿宋" w:cs="Times New Roman"/>
          <w:color w:val="000000"/>
          <w:sz w:val="32"/>
          <w:szCs w:val="32"/>
          <w:lang w:val="en-US" w:eastAsia="zh-CN"/>
        </w:rPr>
        <w:t>50.64</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default" w:ascii="Times New Roman" w:hAnsi="Times New Roman" w:eastAsia="仿宋" w:cs="Times New Roman"/>
          <w:color w:val="000000"/>
          <w:sz w:val="32"/>
          <w:szCs w:val="32"/>
          <w:lang w:eastAsia="zh-CN"/>
        </w:rPr>
        <w:t>。</w:t>
      </w:r>
    </w:p>
    <w:p w14:paraId="0ABEC2AE">
      <w:pPr>
        <w:spacing w:line="600" w:lineRule="exact"/>
        <w:ind w:firstLine="640"/>
        <w:outlineLvl w:val="1"/>
        <w:rPr>
          <w:rStyle w:val="27"/>
          <w:rFonts w:hint="default" w:ascii="Times New Roman" w:hAnsi="Times New Roman" w:eastAsia="黑体" w:cs="Times New Roman"/>
          <w:b w:val="0"/>
        </w:rPr>
      </w:pPr>
      <w:bookmarkStart w:id="45" w:name="_Toc15396609"/>
      <w:bookmarkStart w:id="46" w:name="_Toc15377215"/>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27"/>
          <w:rFonts w:hint="default" w:ascii="Times New Roman" w:hAnsi="Times New Roman" w:eastAsia="黑体" w:cs="Times New Roman"/>
        </w:rPr>
        <w:t>“</w:t>
      </w:r>
      <w:r>
        <w:rPr>
          <w:rStyle w:val="27"/>
          <w:rFonts w:hint="default" w:ascii="Times New Roman" w:hAnsi="Times New Roman" w:eastAsia="黑体" w:cs="Times New Roman"/>
          <w:b w:val="0"/>
        </w:rPr>
        <w:t>三公”经费财政拨款支出决算情况说明</w:t>
      </w:r>
      <w:bookmarkEnd w:id="45"/>
      <w:bookmarkEnd w:id="46"/>
    </w:p>
    <w:p w14:paraId="00DDD52E">
      <w:pPr>
        <w:spacing w:line="600" w:lineRule="exact"/>
        <w:ind w:firstLine="640"/>
        <w:outlineLvl w:val="2"/>
        <w:rPr>
          <w:rFonts w:hint="default" w:ascii="Times New Roman" w:hAnsi="Times New Roman" w:eastAsia="仿宋" w:cs="Times New Roman"/>
          <w:b/>
          <w:color w:val="000000"/>
          <w:sz w:val="32"/>
          <w:szCs w:val="32"/>
        </w:rPr>
      </w:pPr>
      <w:bookmarkStart w:id="47" w:name="_Toc15377216"/>
      <w:r>
        <w:rPr>
          <w:rFonts w:hint="default" w:ascii="Times New Roman" w:hAnsi="Times New Roman" w:eastAsia="仿宋" w:cs="Times New Roman"/>
          <w:b/>
          <w:color w:val="000000"/>
          <w:sz w:val="32"/>
          <w:szCs w:val="32"/>
        </w:rPr>
        <w:t>（一）“三公”经费财政拨款支出决算总体情况说明</w:t>
      </w:r>
      <w:bookmarkEnd w:id="47"/>
    </w:p>
    <w:p w14:paraId="0456F9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rPr>
      </w:pPr>
      <w:r>
        <w:rPr>
          <w:rFonts w:hint="default" w:ascii="Times New Roman" w:hAnsi="Times New Roman" w:eastAsia="仿宋" w:cs="Times New Roman"/>
          <w:color w:val="000000"/>
          <w:sz w:val="32"/>
          <w:szCs w:val="32"/>
        </w:rPr>
        <w:t>20</w:t>
      </w:r>
      <w:r>
        <w:rPr>
          <w:rFonts w:hint="eastAsia" w:ascii="Times New Roman" w:hAnsi="Times New Roman" w:eastAsia="仿宋" w:cs="Times New Roman"/>
          <w:color w:val="000000"/>
          <w:sz w:val="32"/>
          <w:szCs w:val="32"/>
          <w:lang w:val="en-US" w:eastAsia="zh-CN"/>
        </w:rPr>
        <w:t>22</w:t>
      </w:r>
      <w:r>
        <w:rPr>
          <w:rFonts w:hint="eastAsia" w:ascii="Times New Roman" w:hAnsi="Times New Roman" w:eastAsia="仿宋" w:cs="Times New Roman"/>
          <w:color w:val="000000"/>
          <w:sz w:val="32"/>
          <w:szCs w:val="32"/>
        </w:rPr>
        <w:t>年“三公”经费财政拨款支出决算为</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rPr>
        <w:t>完成预算</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eastAsia="zh-CN"/>
        </w:rPr>
        <w:t>较上年增加</w:t>
      </w:r>
      <w:r>
        <w:rPr>
          <w:rFonts w:hint="eastAsia" w:ascii="Times New Roman" w:hAnsi="Times New Roman" w:eastAsia="仿宋" w:cs="Times New Roman"/>
          <w:color w:val="000000"/>
          <w:sz w:val="32"/>
          <w:szCs w:val="32"/>
          <w:lang w:val="en-US" w:eastAsia="zh-CN"/>
        </w:rPr>
        <w:t>0万元，增长0%。</w:t>
      </w:r>
      <w:r>
        <w:rPr>
          <w:rFonts w:hint="eastAsia" w:ascii="Times New Roman" w:hAnsi="Times New Roman" w:eastAsia="仿宋" w:cs="Times New Roman"/>
          <w:color w:val="000000"/>
          <w:sz w:val="32"/>
          <w:szCs w:val="32"/>
        </w:rPr>
        <w:t>决算数与预算数持平。</w:t>
      </w:r>
    </w:p>
    <w:p w14:paraId="4882ADF3">
      <w:pPr>
        <w:spacing w:line="600" w:lineRule="exact"/>
        <w:ind w:firstLine="640"/>
        <w:outlineLvl w:val="2"/>
        <w:rPr>
          <w:rFonts w:hint="default" w:ascii="Times New Roman" w:hAnsi="Times New Roman" w:eastAsia="仿宋" w:cs="Times New Roman"/>
          <w:b/>
          <w:color w:val="000000"/>
          <w:sz w:val="32"/>
          <w:szCs w:val="32"/>
        </w:rPr>
      </w:pPr>
      <w:bookmarkStart w:id="48" w:name="_Toc15377217"/>
      <w:r>
        <w:rPr>
          <w:rFonts w:hint="default" w:ascii="Times New Roman" w:hAnsi="Times New Roman" w:eastAsia="仿宋" w:cs="Times New Roman"/>
          <w:b/>
          <w:color w:val="000000"/>
          <w:sz w:val="32"/>
          <w:szCs w:val="32"/>
        </w:rPr>
        <w:t>（二）“三公”经费财政拨款支出决算具体情况说明</w:t>
      </w:r>
      <w:bookmarkEnd w:id="48"/>
    </w:p>
    <w:p w14:paraId="73A86B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eastAsia" w:ascii="Times New Roman" w:hAnsi="Times New Roman" w:eastAsia="仿宋" w:cs="Times New Roman"/>
          <w:color w:val="000000"/>
          <w:sz w:val="32"/>
          <w:szCs w:val="32"/>
          <w:lang w:val="en-US" w:eastAsia="zh-CN"/>
        </w:rPr>
        <w:t>22</w:t>
      </w:r>
      <w:r>
        <w:rPr>
          <w:rFonts w:hint="eastAsia" w:ascii="Times New Roman" w:hAnsi="Times New Roman" w:eastAsia="仿宋" w:cs="Times New Roman"/>
          <w:color w:val="000000"/>
          <w:sz w:val="32"/>
          <w:szCs w:val="32"/>
        </w:rPr>
        <w:t>年“三公”经费财政拨款支出决算中，因公出国（境）费支出决算</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；公务用车购置及运行维护费支出决算</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；公务接待费支出决算</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。具体情况如下：</w:t>
      </w:r>
    </w:p>
    <w:p w14:paraId="3F0D89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（图7：“三公”经费财政拨款支出结构）（饼状图）</w:t>
      </w:r>
    </w:p>
    <w:p w14:paraId="22F7527E">
      <w:pPr>
        <w:spacing w:line="600" w:lineRule="exact"/>
        <w:ind w:firstLine="640"/>
        <w:rPr>
          <w:rFonts w:hint="eastAsia" w:ascii="Times New Roman" w:hAnsi="Times New Roman" w:eastAsia="仿宋" w:cs="Times New Roman"/>
          <w:color w:val="000000"/>
          <w:sz w:val="32"/>
          <w:szCs w:val="32"/>
        </w:rPr>
      </w:pPr>
      <w:bookmarkStart w:id="49" w:name="_Toc15377218"/>
      <w:bookmarkStart w:id="50" w:name="_Toc15396610"/>
      <w:r>
        <w:rPr>
          <w:rFonts w:hint="default" w:ascii="Times New Roman" w:hAnsi="Times New Roman" w:eastAsia="仿宋" w:cs="Times New Roman"/>
          <w:b/>
          <w:color w:val="000000"/>
          <w:sz w:val="32"/>
          <w:szCs w:val="32"/>
        </w:rPr>
        <w:t>1.</w:t>
      </w:r>
      <w:r>
        <w:rPr>
          <w:rFonts w:hint="eastAsia" w:ascii="Times New Roman" w:hAnsi="Times New Roman" w:eastAsia="仿宋" w:cs="Times New Roman"/>
          <w:b/>
          <w:color w:val="000000"/>
          <w:sz w:val="32"/>
          <w:szCs w:val="32"/>
        </w:rPr>
        <w:t>因公出国（境）经费支出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rPr>
        <w:t>万元，完成预算</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。全年安排因公出国（境）团组</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次，出国（境）</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人。因公出国（境）支出决算比</w:t>
      </w:r>
      <w:r>
        <w:rPr>
          <w:rFonts w:hint="default" w:ascii="Times New Roman" w:hAnsi="Times New Roman" w:eastAsia="仿宋" w:cs="Times New Roman"/>
          <w:color w:val="000000"/>
          <w:sz w:val="32"/>
          <w:szCs w:val="32"/>
        </w:rPr>
        <w:t>20</w:t>
      </w:r>
      <w:r>
        <w:rPr>
          <w:rFonts w:hint="eastAsia" w:ascii="Times New Roman" w:hAnsi="Times New Roman" w:eastAsia="仿宋" w:cs="Times New Roman"/>
          <w:color w:val="000000"/>
          <w:sz w:val="32"/>
          <w:szCs w:val="32"/>
          <w:lang w:val="en-US" w:eastAsia="zh-CN"/>
        </w:rPr>
        <w:t>21</w:t>
      </w:r>
      <w:r>
        <w:rPr>
          <w:rFonts w:hint="eastAsia" w:ascii="Times New Roman" w:hAnsi="Times New Roman" w:eastAsia="仿宋" w:cs="Times New Roman"/>
          <w:color w:val="000000"/>
          <w:sz w:val="32"/>
          <w:szCs w:val="32"/>
        </w:rPr>
        <w:t>年增加</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。因公出国（境）支出决算与202</w:t>
      </w:r>
      <w:r>
        <w:rPr>
          <w:rFonts w:hint="eastAsia" w:ascii="Times New Roman" w:hAnsi="Times New Roman" w:eastAsia="仿宋" w:cs="Times New Roman"/>
          <w:color w:val="000000"/>
          <w:sz w:val="32"/>
          <w:szCs w:val="32"/>
          <w:lang w:val="en-US" w:eastAsia="zh-CN"/>
        </w:rPr>
        <w:t>1</w:t>
      </w:r>
      <w:r>
        <w:rPr>
          <w:rFonts w:hint="eastAsia" w:ascii="Times New Roman" w:hAnsi="Times New Roman" w:eastAsia="仿宋" w:cs="Times New Roman"/>
          <w:color w:val="000000"/>
          <w:sz w:val="32"/>
          <w:szCs w:val="32"/>
        </w:rPr>
        <w:t>年持平。</w:t>
      </w:r>
    </w:p>
    <w:p w14:paraId="795E5CCB">
      <w:pPr>
        <w:spacing w:line="600" w:lineRule="exact"/>
        <w:ind w:firstLine="640"/>
        <w:rPr>
          <w:rFonts w:hint="default" w:ascii="仿宋_GB2312" w:eastAsia="仿宋_GB2312"/>
          <w:b/>
          <w:color w:val="auto"/>
          <w:sz w:val="32"/>
          <w:szCs w:val="32"/>
          <w:highlight w:val="none"/>
          <w:lang w:val="en-US" w:eastAsia="zh-CN"/>
        </w:rPr>
      </w:pPr>
      <w:r>
        <w:rPr>
          <w:rFonts w:hint="eastAsia" w:ascii="Times New Roman" w:hAnsi="Times New Roman" w:eastAsia="仿宋" w:cs="Times New Roman"/>
          <w:b/>
          <w:color w:val="000000"/>
          <w:sz w:val="32"/>
          <w:szCs w:val="32"/>
        </w:rPr>
        <w:t>2.公务用车购置及运行维护费支出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rPr>
        <w:t>万元,完成预算</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%。公务用车购置及运行维护费支出决算比20</w:t>
      </w:r>
      <w:r>
        <w:rPr>
          <w:rFonts w:hint="eastAsia" w:ascii="Times New Roman" w:hAnsi="Times New Roman" w:eastAsia="仿宋" w:cs="Times New Roman"/>
          <w:color w:val="000000"/>
          <w:sz w:val="32"/>
          <w:szCs w:val="32"/>
          <w:lang w:val="en-US" w:eastAsia="zh-CN"/>
        </w:rPr>
        <w:t>21</w:t>
      </w:r>
      <w:r>
        <w:rPr>
          <w:rFonts w:hint="eastAsia" w:ascii="Times New Roman" w:hAnsi="Times New Roman" w:eastAsia="仿宋" w:cs="Times New Roman"/>
          <w:color w:val="000000"/>
          <w:sz w:val="32"/>
          <w:szCs w:val="32"/>
        </w:rPr>
        <w:t>年增加</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万元，增长</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eastAsia="zh-CN"/>
        </w:rPr>
        <w:t>公务用车购置及运行维护费用支出与</w:t>
      </w:r>
      <w:r>
        <w:rPr>
          <w:rFonts w:hint="eastAsia" w:ascii="Times New Roman" w:hAnsi="Times New Roman" w:eastAsia="仿宋" w:cs="Times New Roman"/>
          <w:color w:val="000000"/>
          <w:sz w:val="32"/>
          <w:szCs w:val="32"/>
          <w:lang w:val="en-US" w:eastAsia="zh-CN"/>
        </w:rPr>
        <w:t>2021年持平。</w:t>
      </w:r>
    </w:p>
    <w:p w14:paraId="32C2D3EB">
      <w:pPr>
        <w:spacing w:line="600" w:lineRule="exact"/>
        <w:ind w:firstLine="640" w:firstLineChars="200"/>
        <w:rPr>
          <w:rFonts w:hint="eastAsia"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其中：</w:t>
      </w:r>
      <w:r>
        <w:rPr>
          <w:rFonts w:hint="eastAsia" w:ascii="Times New Roman" w:hAnsi="Times New Roman" w:eastAsia="仿宋" w:cs="Times New Roman"/>
          <w:b/>
          <w:color w:val="000000"/>
          <w:sz w:val="32"/>
          <w:szCs w:val="32"/>
        </w:rPr>
        <w:t>公务用车购置支出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rPr>
        <w:t>万元。全年按规定更新购置公务用车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辆，其中：轿车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辆、金额</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万元，越野车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辆、金额</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万元，载客汽车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辆、金额</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万元，。截至20</w:t>
      </w:r>
      <w:r>
        <w:rPr>
          <w:rFonts w:hint="eastAsia" w:ascii="Times New Roman" w:hAnsi="Times New Roman" w:eastAsia="仿宋" w:cs="Times New Roman"/>
          <w:color w:val="000000"/>
          <w:sz w:val="32"/>
          <w:szCs w:val="32"/>
          <w:lang w:val="en-US" w:eastAsia="zh-CN"/>
        </w:rPr>
        <w:t>22</w:t>
      </w:r>
      <w:r>
        <w:rPr>
          <w:rFonts w:hint="eastAsia" w:ascii="Times New Roman" w:hAnsi="Times New Roman" w:eastAsia="仿宋" w:cs="Times New Roman"/>
          <w:color w:val="000000"/>
          <w:sz w:val="32"/>
          <w:szCs w:val="32"/>
        </w:rPr>
        <w:t>年12月底，单位共有公务用车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辆，其中：轿车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辆、越野车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辆、载客汽车</w:t>
      </w:r>
      <w:r>
        <w:rPr>
          <w:rFonts w:hint="eastAsia" w:ascii="Times New Roman" w:hAnsi="Times New Roman" w:eastAsia="仿宋" w:cs="Times New Roman"/>
          <w:color w:val="000000"/>
          <w:sz w:val="32"/>
          <w:szCs w:val="32"/>
          <w:lang w:val="en-US" w:eastAsia="zh-CN"/>
        </w:rPr>
        <w:t>0</w:t>
      </w:r>
      <w:r>
        <w:rPr>
          <w:rFonts w:hint="eastAsia" w:ascii="Times New Roman" w:hAnsi="Times New Roman" w:eastAsia="仿宋" w:cs="Times New Roman"/>
          <w:color w:val="000000"/>
          <w:sz w:val="32"/>
          <w:szCs w:val="32"/>
        </w:rPr>
        <w:t>辆。</w:t>
      </w:r>
    </w:p>
    <w:p w14:paraId="578FD107">
      <w:pPr>
        <w:spacing w:line="600" w:lineRule="exact"/>
        <w:ind w:firstLine="640"/>
        <w:rPr>
          <w:rFonts w:hint="eastAsia" w:ascii="Times New Roman" w:hAnsi="Times New Roman" w:eastAsia="仿宋" w:cs="Times New Roman"/>
          <w:color w:val="000000"/>
          <w:sz w:val="32"/>
          <w:szCs w:val="32"/>
        </w:rPr>
      </w:pPr>
      <w:r>
        <w:rPr>
          <w:rFonts w:hint="eastAsia" w:ascii="Times New Roman" w:hAnsi="Times New Roman" w:eastAsia="仿宋" w:cs="Times New Roman"/>
          <w:b/>
          <w:color w:val="000000"/>
          <w:sz w:val="32"/>
          <w:szCs w:val="32"/>
        </w:rPr>
        <w:t>公务用车运行维护费支出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rPr>
        <w:t>万元。</w:t>
      </w:r>
      <w:r>
        <w:rPr>
          <w:rFonts w:hint="eastAsia" w:ascii="Times New Roman" w:hAnsi="Times New Roman" w:eastAsia="仿宋" w:cs="Times New Roman"/>
          <w:color w:val="000000"/>
          <w:sz w:val="32"/>
          <w:szCs w:val="32"/>
          <w:lang w:eastAsia="zh-CN"/>
        </w:rPr>
        <w:t>与</w:t>
      </w:r>
      <w:r>
        <w:rPr>
          <w:rFonts w:hint="eastAsia" w:ascii="Times New Roman" w:hAnsi="Times New Roman" w:eastAsia="仿宋" w:cs="Times New Roman"/>
          <w:color w:val="000000"/>
          <w:sz w:val="32"/>
          <w:szCs w:val="32"/>
          <w:lang w:val="en-US" w:eastAsia="zh-CN"/>
        </w:rPr>
        <w:t>2021年持平</w:t>
      </w:r>
      <w:r>
        <w:rPr>
          <w:rFonts w:hint="eastAsia" w:ascii="Times New Roman" w:hAnsi="Times New Roman" w:eastAsia="仿宋" w:cs="Times New Roman"/>
          <w:color w:val="000000"/>
          <w:sz w:val="32"/>
          <w:szCs w:val="32"/>
        </w:rPr>
        <w:t>。</w:t>
      </w:r>
    </w:p>
    <w:p w14:paraId="22DED1B4">
      <w:pPr>
        <w:spacing w:line="600" w:lineRule="exact"/>
        <w:ind w:firstLine="64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b/>
          <w:color w:val="000000"/>
          <w:sz w:val="32"/>
          <w:szCs w:val="32"/>
        </w:rPr>
        <w:t>3.公务接待费支出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lang w:val="en-US" w:eastAsia="zh-CN"/>
        </w:rPr>
        <w:t>万元，完成预算0%。公务接待费支出决算比2021年持平。</w:t>
      </w:r>
    </w:p>
    <w:p w14:paraId="129D4812">
      <w:pPr>
        <w:spacing w:line="600" w:lineRule="exact"/>
        <w:ind w:firstLine="64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b/>
          <w:color w:val="000000"/>
          <w:sz w:val="32"/>
          <w:szCs w:val="32"/>
        </w:rPr>
        <w:t>国内公务接待支出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lang w:val="en-US" w:eastAsia="zh-CN"/>
        </w:rPr>
        <w:t>万元，国内公务接待支出决算比2021年持平。</w:t>
      </w:r>
    </w:p>
    <w:p w14:paraId="662AE2EB">
      <w:pPr>
        <w:spacing w:line="600" w:lineRule="exact"/>
        <w:ind w:firstLine="643"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b/>
          <w:color w:val="000000"/>
          <w:sz w:val="32"/>
          <w:szCs w:val="32"/>
        </w:rPr>
        <w:t>外事接待支出</w:t>
      </w:r>
      <w:r>
        <w:rPr>
          <w:rFonts w:hint="eastAsia" w:ascii="Times New Roman" w:hAnsi="Times New Roman" w:eastAsia="仿宋" w:cs="Times New Roman"/>
          <w:b/>
          <w:color w:val="000000"/>
          <w:sz w:val="32"/>
          <w:szCs w:val="32"/>
          <w:lang w:val="en-US" w:eastAsia="zh-CN"/>
        </w:rPr>
        <w:t>0</w:t>
      </w:r>
      <w:r>
        <w:rPr>
          <w:rFonts w:hint="eastAsia" w:ascii="Times New Roman" w:hAnsi="Times New Roman" w:eastAsia="仿宋" w:cs="Times New Roman"/>
          <w:color w:val="000000"/>
          <w:sz w:val="32"/>
          <w:szCs w:val="32"/>
          <w:lang w:val="en-US" w:eastAsia="zh-CN"/>
        </w:rPr>
        <w:t>万元，外事接待支出决算比2021年持平。</w:t>
      </w:r>
    </w:p>
    <w:p w14:paraId="4E1118C1">
      <w:pPr>
        <w:spacing w:line="600" w:lineRule="exact"/>
        <w:ind w:firstLine="640"/>
        <w:outlineLvl w:val="1"/>
        <w:rPr>
          <w:rStyle w:val="27"/>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27"/>
          <w:rFonts w:hint="default" w:ascii="Times New Roman" w:hAnsi="Times New Roman" w:eastAsia="黑体" w:cs="Times New Roman"/>
          <w:b w:val="0"/>
        </w:rPr>
        <w:t>政府性基金预算支出决算情况说明</w:t>
      </w:r>
      <w:bookmarkEnd w:id="49"/>
      <w:bookmarkEnd w:id="50"/>
    </w:p>
    <w:p w14:paraId="674D8325">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2022年政府性基金预算拨款支出</w:t>
      </w:r>
      <w:r>
        <w:rPr>
          <w:rFonts w:hint="eastAsia" w:ascii="Times New Roman" w:hAnsi="Times New Roman" w:eastAsia="仿宋" w:cs="Times New Roman"/>
          <w:color w:val="000000"/>
          <w:sz w:val="32"/>
          <w:szCs w:val="32"/>
          <w:lang w:val="en-US" w:eastAsia="zh-CN"/>
        </w:rPr>
        <w:t>433</w:t>
      </w:r>
      <w:r>
        <w:rPr>
          <w:rFonts w:hint="default" w:ascii="Times New Roman" w:hAnsi="Times New Roman" w:eastAsia="仿宋" w:cs="Times New Roman"/>
          <w:color w:val="000000"/>
          <w:sz w:val="32"/>
          <w:szCs w:val="32"/>
          <w:lang w:val="en-US" w:eastAsia="zh-CN"/>
        </w:rPr>
        <w:t>万元。</w:t>
      </w:r>
    </w:p>
    <w:p w14:paraId="145ED8D6">
      <w:pPr>
        <w:numPr>
          <w:ilvl w:val="0"/>
          <w:numId w:val="0"/>
        </w:numPr>
        <w:spacing w:line="600" w:lineRule="exact"/>
        <w:ind w:firstLine="640" w:firstLineChars="200"/>
        <w:outlineLvl w:val="1"/>
        <w:rPr>
          <w:rStyle w:val="27"/>
          <w:rFonts w:hint="default" w:ascii="Times New Roman" w:hAnsi="Times New Roman" w:eastAsia="黑体" w:cs="Times New Roman"/>
          <w:b w:val="0"/>
        </w:rPr>
      </w:pPr>
      <w:bookmarkStart w:id="51" w:name="_Toc15377219"/>
      <w:bookmarkStart w:id="52" w:name="_Toc15396611"/>
      <w:r>
        <w:rPr>
          <w:rStyle w:val="27"/>
          <w:rFonts w:hint="default" w:ascii="Times New Roman" w:hAnsi="Times New Roman" w:eastAsia="黑体" w:cs="Times New Roman"/>
          <w:b w:val="0"/>
          <w:lang w:eastAsia="zh-CN"/>
        </w:rPr>
        <w:t>十、</w:t>
      </w:r>
      <w:r>
        <w:rPr>
          <w:rStyle w:val="27"/>
          <w:rFonts w:hint="default" w:ascii="Times New Roman" w:hAnsi="Times New Roman" w:eastAsia="黑体" w:cs="Times New Roman"/>
          <w:b w:val="0"/>
        </w:rPr>
        <w:t>国有资本经营预算支出决算情况说明</w:t>
      </w:r>
      <w:bookmarkEnd w:id="51"/>
      <w:bookmarkEnd w:id="52"/>
    </w:p>
    <w:p w14:paraId="4D393633">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2022年国有资本经营预算拨款支出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eastAsia" w:ascii="Times New Roman" w:hAnsi="Times New Roman" w:eastAsia="仿宋" w:cs="Times New Roman"/>
          <w:color w:val="000000"/>
          <w:sz w:val="32"/>
          <w:szCs w:val="32"/>
          <w:lang w:val="en-US" w:eastAsia="zh-CN"/>
        </w:rPr>
        <w:t>。</w:t>
      </w:r>
    </w:p>
    <w:p w14:paraId="02FDC72F">
      <w:pPr>
        <w:spacing w:line="600" w:lineRule="exact"/>
        <w:ind w:left="0" w:leftChars="0" w:firstLine="640" w:firstLineChars="200"/>
        <w:outlineLvl w:val="1"/>
        <w:rPr>
          <w:rStyle w:val="27"/>
          <w:rFonts w:hint="default" w:ascii="Times New Roman" w:hAnsi="Times New Roman" w:eastAsia="黑体" w:cs="Times New Roman"/>
        </w:rPr>
      </w:pPr>
      <w:bookmarkStart w:id="53" w:name="_Toc15377221"/>
      <w:bookmarkStart w:id="54" w:name="_Toc15396612"/>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27"/>
          <w:rFonts w:hint="default" w:ascii="Times New Roman" w:hAnsi="Times New Roman" w:eastAsia="黑体" w:cs="Times New Roman"/>
        </w:rPr>
        <w:t>、</w:t>
      </w:r>
      <w:r>
        <w:rPr>
          <w:rStyle w:val="27"/>
          <w:rFonts w:hint="default" w:ascii="Times New Roman" w:hAnsi="Times New Roman" w:eastAsia="黑体" w:cs="Times New Roman"/>
          <w:b w:val="0"/>
        </w:rPr>
        <w:t>其他重要事项的情况说明</w:t>
      </w:r>
      <w:bookmarkEnd w:id="53"/>
      <w:bookmarkEnd w:id="54"/>
    </w:p>
    <w:p w14:paraId="5499CCFF">
      <w:pPr>
        <w:spacing w:line="600" w:lineRule="exact"/>
        <w:ind w:firstLine="643" w:firstLineChars="200"/>
        <w:outlineLvl w:val="2"/>
        <w:rPr>
          <w:rFonts w:hint="default" w:ascii="Times New Roman" w:hAnsi="Times New Roman" w:eastAsia="仿宋" w:cs="Times New Roman"/>
          <w:color w:val="000000"/>
          <w:sz w:val="32"/>
          <w:szCs w:val="32"/>
        </w:rPr>
      </w:pPr>
      <w:bookmarkStart w:id="55" w:name="_Toc15377222"/>
      <w:r>
        <w:rPr>
          <w:rFonts w:hint="default" w:ascii="Times New Roman" w:hAnsi="Times New Roman" w:eastAsia="仿宋" w:cs="Times New Roman"/>
          <w:b/>
          <w:color w:val="000000"/>
          <w:sz w:val="32"/>
          <w:szCs w:val="32"/>
        </w:rPr>
        <w:t>（一）机关运行经费支出情况</w:t>
      </w:r>
      <w:bookmarkEnd w:id="55"/>
    </w:p>
    <w:p w14:paraId="672900F5">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w:t>
      </w:r>
      <w:r>
        <w:rPr>
          <w:rFonts w:hint="eastAsia" w:ascii="Times New Roman" w:hAnsi="Times New Roman" w:eastAsia="仿宋" w:cs="Times New Roman"/>
          <w:color w:val="000000"/>
          <w:sz w:val="32"/>
          <w:szCs w:val="32"/>
          <w:lang w:val="en-US" w:eastAsia="zh-CN"/>
        </w:rPr>
        <w:t>22年，邻水县中医医院机关运行经费支0万元与</w:t>
      </w:r>
      <w:r>
        <w:rPr>
          <w:rFonts w:hint="default" w:ascii="Times New Roman" w:hAnsi="Times New Roman" w:eastAsia="仿宋" w:cs="Times New Roman"/>
          <w:color w:val="000000"/>
          <w:sz w:val="32"/>
          <w:szCs w:val="32"/>
          <w:lang w:val="en-US" w:eastAsia="zh-CN"/>
        </w:rPr>
        <w:t>20</w:t>
      </w:r>
      <w:r>
        <w:rPr>
          <w:rFonts w:hint="eastAsia" w:ascii="Times New Roman" w:hAnsi="Times New Roman" w:eastAsia="仿宋" w:cs="Times New Roman"/>
          <w:color w:val="000000"/>
          <w:sz w:val="32"/>
          <w:szCs w:val="32"/>
          <w:lang w:val="en-US" w:eastAsia="zh-CN"/>
        </w:rPr>
        <w:t>21年决算数持平。</w:t>
      </w:r>
    </w:p>
    <w:p w14:paraId="6B5489FB">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6" w:name="_Toc15377223"/>
      <w:r>
        <w:rPr>
          <w:rFonts w:hint="default" w:ascii="Times New Roman" w:hAnsi="Times New Roman" w:eastAsia="仿宋" w:cs="Times New Roman"/>
          <w:b/>
          <w:color w:val="000000"/>
          <w:sz w:val="32"/>
          <w:szCs w:val="32"/>
        </w:rPr>
        <w:t>（二）政府采购支出情况</w:t>
      </w:r>
      <w:bookmarkEnd w:id="56"/>
    </w:p>
    <w:p w14:paraId="1B574458">
      <w:pPr>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2022年，邻水县中医医院政府采购支出总额808.91万元，其中：政府采购货物支出808.91万元。主要用于购置医疗及办公设备、家具等。授予中小企业合同金额647.79万元，占政府采购支出总额的80%，其中：授予小微企业合同金额161.12万元，占政府采购支出总额的20%。</w:t>
      </w:r>
    </w:p>
    <w:p w14:paraId="21903BC0">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7" w:name="_Toc15377224"/>
      <w:r>
        <w:rPr>
          <w:rFonts w:hint="default" w:ascii="Times New Roman" w:hAnsi="Times New Roman" w:eastAsia="仿宋" w:cs="Times New Roman"/>
          <w:b/>
          <w:color w:val="000000"/>
          <w:sz w:val="32"/>
          <w:szCs w:val="32"/>
        </w:rPr>
        <w:t>（三）国有资产占有使用情况</w:t>
      </w:r>
      <w:bookmarkEnd w:id="57"/>
    </w:p>
    <w:p w14:paraId="6A012D8A">
      <w:pPr>
        <w:spacing w:line="60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 w:cs="Times New Roman"/>
          <w:color w:val="000000"/>
          <w:sz w:val="32"/>
          <w:szCs w:val="32"/>
          <w:lang w:val="en-US" w:eastAsia="zh-CN"/>
        </w:rPr>
        <w:t>2022年，邻水县中医医院政府采购支出总额808.91万元，其中：政府采购货物支出808.91万元。主要用于购置医疗及办公设备、家具等。授予中小企业合同金额647.79万元，占政府采购支出总额的80%，其中：授予小微企业合同金额161.12万元，占政府采购支出总额的20%。</w:t>
      </w:r>
    </w:p>
    <w:p w14:paraId="58BC0FDC">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14:paraId="1CF0FE26">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根据预算绩效管理要求，本</w:t>
      </w:r>
      <w:r>
        <w:rPr>
          <w:rFonts w:hint="eastAsia" w:eastAsia="仿宋" w:cs="Times New Roman"/>
          <w:color w:val="000000"/>
          <w:sz w:val="32"/>
          <w:szCs w:val="32"/>
          <w:lang w:val="en-US" w:eastAsia="zh-CN"/>
        </w:rPr>
        <w:t>单位</w:t>
      </w:r>
      <w:r>
        <w:rPr>
          <w:rFonts w:hint="default" w:ascii="Times New Roman" w:hAnsi="Times New Roman" w:eastAsia="仿宋" w:cs="Times New Roman"/>
          <w:color w:val="000000"/>
          <w:sz w:val="32"/>
          <w:szCs w:val="32"/>
          <w:lang w:val="en-US" w:eastAsia="zh-CN"/>
        </w:rPr>
        <w:t>在2022年度预算编制阶段，组织对</w:t>
      </w:r>
      <w:r>
        <w:rPr>
          <w:rFonts w:hint="eastAsia" w:ascii="Times New Roman" w:hAnsi="Times New Roman" w:eastAsia="仿宋" w:cs="Times New Roman"/>
          <w:color w:val="000000"/>
          <w:sz w:val="32"/>
          <w:szCs w:val="32"/>
          <w:lang w:val="en-US" w:eastAsia="zh-CN"/>
        </w:rPr>
        <w:t>专用设备购置</w:t>
      </w:r>
      <w:r>
        <w:rPr>
          <w:rFonts w:hint="default" w:ascii="Times New Roman" w:hAnsi="Times New Roman" w:eastAsia="仿宋" w:cs="Times New Roman"/>
          <w:color w:val="000000"/>
          <w:sz w:val="32"/>
          <w:szCs w:val="32"/>
          <w:lang w:val="en-US" w:eastAsia="zh-CN"/>
        </w:rPr>
        <w:t>项目（项目名称）等</w:t>
      </w:r>
      <w:r>
        <w:rPr>
          <w:rFonts w:hint="eastAsia"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eastAsia="zh-CN"/>
        </w:rPr>
        <w:t>个项目开展了预算事前绩效评估，对</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个项目编制了绩效目标，预算执行过程中，选取</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个项目全部开展绩效监控。</w:t>
      </w:r>
    </w:p>
    <w:p w14:paraId="7694CE32">
      <w:pPr>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组织对2022年度</w:t>
      </w:r>
      <w:r>
        <w:rPr>
          <w:rFonts w:hint="eastAsia" w:ascii="Times New Roman" w:hAnsi="Times New Roman" w:eastAsia="仿宋" w:cs="Times New Roman"/>
          <w:color w:val="000000"/>
          <w:sz w:val="32"/>
          <w:szCs w:val="32"/>
          <w:lang w:val="en-US" w:eastAsia="zh-CN"/>
        </w:rPr>
        <w:t>整体支出绩效</w:t>
      </w:r>
      <w:r>
        <w:rPr>
          <w:rFonts w:hint="default" w:ascii="Times New Roman" w:hAnsi="Times New Roman" w:eastAsia="仿宋" w:cs="Times New Roman"/>
          <w:color w:val="000000"/>
          <w:sz w:val="32"/>
          <w:szCs w:val="32"/>
          <w:lang w:val="en-US" w:eastAsia="zh-CN"/>
        </w:rPr>
        <w:t>开展绩效自评，形成</w:t>
      </w:r>
      <w:r>
        <w:rPr>
          <w:rFonts w:hint="eastAsia" w:ascii="Times New Roman" w:hAnsi="Times New Roman" w:eastAsia="仿宋" w:cs="Times New Roman"/>
          <w:color w:val="000000"/>
          <w:sz w:val="32"/>
          <w:szCs w:val="32"/>
          <w:lang w:val="en-US" w:eastAsia="zh-CN"/>
        </w:rPr>
        <w:t>邻水县中医医院</w:t>
      </w:r>
      <w:r>
        <w:rPr>
          <w:rFonts w:hint="default" w:ascii="Times New Roman" w:hAnsi="Times New Roman" w:eastAsia="仿宋" w:cs="Times New Roman"/>
          <w:color w:val="000000"/>
          <w:sz w:val="32"/>
          <w:szCs w:val="32"/>
          <w:lang w:val="en-US" w:eastAsia="zh-CN"/>
        </w:rPr>
        <w:t>整体绩效自评报告</w:t>
      </w:r>
      <w:r>
        <w:rPr>
          <w:rFonts w:hint="eastAsia" w:ascii="Times New Roman" w:hAnsi="Times New Roman" w:eastAsia="仿宋" w:cs="Times New Roman"/>
          <w:color w:val="000000"/>
          <w:sz w:val="32"/>
          <w:szCs w:val="32"/>
          <w:lang w:val="en-US" w:eastAsia="zh-CN"/>
        </w:rPr>
        <w:t>，邻水县中医医院</w:t>
      </w:r>
      <w:r>
        <w:rPr>
          <w:rFonts w:hint="default" w:ascii="Times New Roman" w:hAnsi="Times New Roman" w:eastAsia="仿宋" w:cs="Times New Roman"/>
          <w:color w:val="000000"/>
          <w:sz w:val="32"/>
          <w:szCs w:val="32"/>
          <w:lang w:val="en-US" w:eastAsia="zh-CN"/>
        </w:rPr>
        <w:t>整体绩效自评得分为</w:t>
      </w:r>
      <w:r>
        <w:rPr>
          <w:rFonts w:hint="eastAsia" w:ascii="Times New Roman" w:hAnsi="Times New Roman" w:eastAsia="仿宋" w:cs="Times New Roman"/>
          <w:color w:val="000000"/>
          <w:sz w:val="32"/>
          <w:szCs w:val="32"/>
          <w:lang w:val="en-US" w:eastAsia="zh-CN"/>
        </w:rPr>
        <w:t>95</w:t>
      </w:r>
      <w:r>
        <w:rPr>
          <w:rFonts w:hint="default" w:ascii="Times New Roman" w:hAnsi="Times New Roman" w:eastAsia="仿宋" w:cs="Times New Roman"/>
          <w:color w:val="000000"/>
          <w:sz w:val="32"/>
          <w:szCs w:val="32"/>
          <w:lang w:val="en-US" w:eastAsia="zh-CN"/>
        </w:rPr>
        <w:t>分，绩效自评综述：</w:t>
      </w:r>
      <w:bookmarkStart w:id="58" w:name="_Toc15377225"/>
      <w:bookmarkStart w:id="59" w:name="_Toc15396613"/>
      <w:r>
        <w:rPr>
          <w:rFonts w:hint="eastAsia" w:ascii="Times New Roman" w:hAnsi="Times New Roman" w:eastAsia="仿宋" w:cs="Times New Roman"/>
          <w:color w:val="000000"/>
          <w:sz w:val="32"/>
          <w:szCs w:val="32"/>
          <w:lang w:val="en-US" w:eastAsia="zh-CN"/>
        </w:rPr>
        <w:t>预算绩效整体自评相对较为准确、客观地反映了预算绩效的目标编制、过程分析及结果运用等管理情况。</w:t>
      </w:r>
    </w:p>
    <w:p w14:paraId="7B7FA2A5">
      <w:pPr>
        <w:pStyle w:val="2"/>
        <w:rPr>
          <w:rFonts w:hint="default"/>
          <w:lang w:eastAsia="zh-CN"/>
        </w:rPr>
      </w:pPr>
    </w:p>
    <w:p w14:paraId="53EB9C95">
      <w:pPr>
        <w:numPr>
          <w:ilvl w:val="0"/>
          <w:numId w:val="3"/>
        </w:numPr>
        <w:spacing w:line="600" w:lineRule="exact"/>
        <w:ind w:firstLine="660" w:firstLineChars="150"/>
        <w:jc w:val="center"/>
        <w:outlineLvl w:val="0"/>
        <w:rPr>
          <w:rStyle w:val="26"/>
          <w:rFonts w:hint="default" w:ascii="Times New Roman" w:hAnsi="Times New Roman" w:eastAsia="黑体" w:cs="Times New Roman"/>
          <w:b w:val="0"/>
        </w:rPr>
      </w:pPr>
      <w:r>
        <w:rPr>
          <w:rFonts w:hint="default" w:ascii="Times New Roman" w:hAnsi="Times New Roman" w:eastAsia="黑体" w:cs="Times New Roman"/>
          <w:color w:val="000000"/>
          <w:sz w:val="44"/>
          <w:szCs w:val="44"/>
        </w:rPr>
        <w:t>名</w:t>
      </w:r>
      <w:r>
        <w:rPr>
          <w:rStyle w:val="26"/>
          <w:rFonts w:hint="default" w:ascii="Times New Roman" w:hAnsi="Times New Roman" w:eastAsia="黑体" w:cs="Times New Roman"/>
          <w:b w:val="0"/>
        </w:rPr>
        <w:t>词解释</w:t>
      </w:r>
      <w:bookmarkEnd w:id="58"/>
      <w:bookmarkEnd w:id="59"/>
    </w:p>
    <w:p w14:paraId="3C0FF301">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eastAsia" w:ascii="Times New Roman" w:hAnsi="Times New Roman" w:eastAsia="仿宋" w:cs="Times New Roman"/>
          <w:color w:val="000000"/>
          <w:sz w:val="32"/>
          <w:szCs w:val="32"/>
          <w:lang w:val="en-US" w:eastAsia="zh-CN"/>
        </w:rPr>
        <w:t>财政拨款收入：指单位从同级财政部门取得的财政预算资金。</w:t>
      </w:r>
    </w:p>
    <w:p w14:paraId="09A61AC9">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w:t>
      </w:r>
      <w:r>
        <w:rPr>
          <w:rFonts w:hint="eastAsia" w:ascii="Times New Roman" w:hAnsi="Times New Roman" w:eastAsia="仿宋" w:cs="Times New Roman"/>
          <w:color w:val="000000"/>
          <w:sz w:val="32"/>
          <w:szCs w:val="32"/>
          <w:lang w:val="en-US" w:eastAsia="zh-CN"/>
        </w:rPr>
        <w:t>事业收入：指事业单位开展专业业务活动及辅助活动取得的收入。</w:t>
      </w:r>
    </w:p>
    <w:p w14:paraId="7B32FF10">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年初结转和结余：指以前年度尚未完成、结转到本年按有关规定继续使用的资金。</w:t>
      </w:r>
      <w:r>
        <w:rPr>
          <w:rFonts w:hint="default" w:ascii="Times New Roman" w:hAnsi="Times New Roman" w:eastAsia="仿宋" w:cs="Times New Roman"/>
          <w:color w:val="000000"/>
          <w:sz w:val="32"/>
          <w:szCs w:val="32"/>
          <w:lang w:val="en-US" w:eastAsia="zh-CN"/>
        </w:rPr>
        <w:t xml:space="preserve"> </w:t>
      </w:r>
    </w:p>
    <w:p w14:paraId="7AA6ED7C">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4.年末结转和结余：指单位按有关规定结转到下年或以后年度继续使用的资金。</w:t>
      </w:r>
    </w:p>
    <w:p w14:paraId="29E77AA8">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卫生健康支出（类）公立医院（款）中医（民族）医院（项）：指反映卫生健康、中医部门所属的中医院、中西医结合医院、民族医院的支出。</w:t>
      </w:r>
    </w:p>
    <w:p w14:paraId="1FBAEC28">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基本支出：指为保障机构正常运转、完成日常工作任务而发生的人员支出和公用支出。</w:t>
      </w:r>
    </w:p>
    <w:p w14:paraId="07B54750">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项目支出：指在基本支出之外为完成特定行政任务和事业发展目标所发生的支出。</w:t>
      </w:r>
      <w:r>
        <w:rPr>
          <w:rFonts w:hint="default" w:ascii="Times New Roman" w:hAnsi="Times New Roman" w:eastAsia="仿宋" w:cs="Times New Roman"/>
          <w:color w:val="000000"/>
          <w:sz w:val="32"/>
          <w:szCs w:val="32"/>
          <w:lang w:val="en-US" w:eastAsia="zh-CN"/>
        </w:rPr>
        <w:t xml:space="preserve"> </w:t>
      </w:r>
    </w:p>
    <w:p w14:paraId="15F5B2AD">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经营支出：指事业单位在专业业务活动及其辅助活动之外开展非独立核算经营活动发生的支出。</w:t>
      </w:r>
    </w:p>
    <w:p w14:paraId="4816A8C0">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355C56">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11</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E89317">
      <w:pPr>
        <w:spacing w:line="600" w:lineRule="exact"/>
        <w:ind w:firstLine="640" w:firstLineChars="200"/>
        <w:rPr>
          <w:rFonts w:hint="default" w:ascii="Times New Roman" w:hAnsi="Times New Roman" w:eastAsia="仿宋" w:cs="Times New Roman"/>
          <w:color w:val="000000"/>
          <w:sz w:val="32"/>
          <w:szCs w:val="32"/>
          <w:lang w:val="en-US" w:eastAsia="zh-CN"/>
        </w:rPr>
      </w:pPr>
    </w:p>
    <w:p w14:paraId="5E64E6B1">
      <w:pPr>
        <w:spacing w:line="600" w:lineRule="exact"/>
        <w:ind w:firstLine="640" w:firstLineChars="200"/>
        <w:rPr>
          <w:rFonts w:hint="default" w:ascii="Times New Roman" w:hAnsi="Times New Roman" w:eastAsia="仿宋" w:cs="Times New Roman"/>
          <w:color w:val="000000"/>
          <w:sz w:val="32"/>
          <w:szCs w:val="32"/>
          <w:lang w:val="en-US" w:eastAsia="zh-CN"/>
        </w:rPr>
      </w:pPr>
      <w:bookmarkStart w:id="60" w:name="_Toc15396614"/>
      <w:bookmarkStart w:id="61" w:name="_Toc15377226"/>
    </w:p>
    <w:p w14:paraId="077C2F76">
      <w:pPr>
        <w:spacing w:line="600" w:lineRule="exact"/>
        <w:jc w:val="center"/>
        <w:outlineLvl w:val="0"/>
        <w:rPr>
          <w:rFonts w:hint="default" w:ascii="Times New Roman" w:hAnsi="Times New Roman" w:eastAsia="黑体" w:cs="Times New Roman"/>
          <w:color w:val="000000"/>
          <w:sz w:val="44"/>
          <w:szCs w:val="44"/>
        </w:rPr>
      </w:pPr>
    </w:p>
    <w:p w14:paraId="0FCE5CCB">
      <w:pPr>
        <w:spacing w:line="600" w:lineRule="exact"/>
        <w:jc w:val="center"/>
        <w:outlineLvl w:val="0"/>
        <w:rPr>
          <w:rFonts w:hint="default" w:ascii="Times New Roman" w:hAnsi="Times New Roman" w:eastAsia="黑体" w:cs="Times New Roman"/>
          <w:color w:val="000000"/>
          <w:sz w:val="44"/>
          <w:szCs w:val="44"/>
        </w:rPr>
      </w:pPr>
    </w:p>
    <w:p w14:paraId="6FA5C95C">
      <w:pPr>
        <w:spacing w:line="600" w:lineRule="exact"/>
        <w:jc w:val="center"/>
        <w:outlineLvl w:val="0"/>
        <w:rPr>
          <w:rFonts w:hint="default" w:ascii="Times New Roman" w:hAnsi="Times New Roman" w:eastAsia="黑体" w:cs="Times New Roman"/>
          <w:color w:val="000000"/>
          <w:sz w:val="44"/>
          <w:szCs w:val="44"/>
        </w:rPr>
      </w:pPr>
    </w:p>
    <w:p w14:paraId="4354C6EE">
      <w:pPr>
        <w:spacing w:line="600" w:lineRule="exact"/>
        <w:jc w:val="center"/>
        <w:outlineLvl w:val="0"/>
        <w:rPr>
          <w:rFonts w:hint="default" w:ascii="Times New Roman" w:hAnsi="Times New Roman" w:eastAsia="黑体" w:cs="Times New Roman"/>
          <w:color w:val="000000"/>
          <w:sz w:val="44"/>
          <w:szCs w:val="44"/>
        </w:rPr>
      </w:pPr>
    </w:p>
    <w:p w14:paraId="57BF506B">
      <w:pPr>
        <w:spacing w:line="600" w:lineRule="exact"/>
        <w:jc w:val="center"/>
        <w:outlineLvl w:val="0"/>
        <w:rPr>
          <w:rFonts w:hint="default" w:ascii="Times New Roman" w:hAnsi="Times New Roman" w:eastAsia="黑体" w:cs="Times New Roman"/>
          <w:color w:val="000000"/>
          <w:sz w:val="44"/>
          <w:szCs w:val="44"/>
        </w:rPr>
      </w:pPr>
    </w:p>
    <w:p w14:paraId="3CFEE302">
      <w:pPr>
        <w:spacing w:line="600" w:lineRule="exact"/>
        <w:jc w:val="center"/>
        <w:outlineLvl w:val="0"/>
        <w:rPr>
          <w:rFonts w:hint="default" w:ascii="Times New Roman" w:hAnsi="Times New Roman" w:eastAsia="黑体" w:cs="Times New Roman"/>
          <w:color w:val="000000"/>
          <w:sz w:val="44"/>
          <w:szCs w:val="44"/>
        </w:rPr>
      </w:pPr>
    </w:p>
    <w:p w14:paraId="340C9D60">
      <w:pPr>
        <w:pStyle w:val="2"/>
        <w:rPr>
          <w:rFonts w:hint="default" w:ascii="Times New Roman" w:hAnsi="Times New Roman" w:eastAsia="黑体" w:cs="Times New Roman"/>
          <w:color w:val="000000"/>
          <w:sz w:val="44"/>
          <w:szCs w:val="44"/>
        </w:rPr>
      </w:pPr>
    </w:p>
    <w:p w14:paraId="36D0B784">
      <w:pPr>
        <w:spacing w:line="600" w:lineRule="exact"/>
        <w:jc w:val="center"/>
        <w:outlineLvl w:val="0"/>
        <w:rPr>
          <w:rStyle w:val="26"/>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6"/>
          <w:rFonts w:hint="default" w:ascii="Times New Roman" w:hAnsi="Times New Roman" w:eastAsia="黑体" w:cs="Times New Roman"/>
          <w:b w:val="0"/>
        </w:rPr>
        <w:t>四部分 附件</w:t>
      </w:r>
      <w:bookmarkEnd w:id="60"/>
    </w:p>
    <w:p w14:paraId="1667AFA1">
      <w:pPr>
        <w:spacing w:line="600" w:lineRule="exact"/>
        <w:jc w:val="center"/>
        <w:outlineLvl w:val="0"/>
        <w:rPr>
          <w:rFonts w:hint="default" w:ascii="Times New Roman" w:hAnsi="Times New Roman" w:eastAsia="黑体" w:cs="Times New Roman"/>
          <w:color w:val="000000"/>
          <w:sz w:val="44"/>
          <w:szCs w:val="44"/>
        </w:rPr>
      </w:pPr>
      <w:bookmarkStart w:id="62" w:name="_Toc15396618"/>
    </w:p>
    <w:p w14:paraId="316EA221">
      <w:pPr>
        <w:pStyle w:val="2"/>
        <w:rPr>
          <w:rFonts w:hint="default" w:ascii="Times New Roman" w:hAnsi="Times New Roman" w:eastAsia="黑体" w:cs="Times New Roman"/>
          <w:color w:val="000000"/>
          <w:sz w:val="44"/>
          <w:szCs w:val="44"/>
        </w:rPr>
      </w:pPr>
    </w:p>
    <w:p w14:paraId="77F1798A">
      <w:pPr>
        <w:pStyle w:val="2"/>
        <w:rPr>
          <w:rFonts w:hint="default" w:ascii="Times New Roman" w:hAnsi="Times New Roman" w:eastAsia="黑体" w:cs="Times New Roman"/>
          <w:color w:val="000000"/>
          <w:sz w:val="44"/>
          <w:szCs w:val="44"/>
        </w:rPr>
      </w:pPr>
    </w:p>
    <w:p w14:paraId="1B45D858">
      <w:pPr>
        <w:pStyle w:val="2"/>
        <w:rPr>
          <w:rFonts w:hint="default" w:ascii="Times New Roman" w:hAnsi="Times New Roman" w:eastAsia="黑体" w:cs="Times New Roman"/>
          <w:color w:val="000000"/>
          <w:sz w:val="44"/>
          <w:szCs w:val="44"/>
        </w:rPr>
      </w:pPr>
    </w:p>
    <w:p w14:paraId="3F7408BC">
      <w:pPr>
        <w:spacing w:line="600" w:lineRule="exact"/>
        <w:jc w:val="left"/>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14:paraId="0649DA62">
      <w:pPr>
        <w:spacing w:line="580" w:lineRule="exact"/>
        <w:jc w:val="center"/>
        <w:rPr>
          <w:rFonts w:hint="default" w:ascii="Times New Roman" w:hAnsi="Times New Roman" w:eastAsia="方正小标宋简体" w:cs="Times New Roman"/>
          <w:sz w:val="44"/>
          <w:szCs w:val="44"/>
        </w:rPr>
      </w:pPr>
    </w:p>
    <w:p w14:paraId="34094F03">
      <w:pPr>
        <w:spacing w:line="600" w:lineRule="exact"/>
        <w:jc w:val="center"/>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lang w:val="en-US" w:eastAsia="zh-CN"/>
        </w:rPr>
        <w:t>202</w:t>
      </w:r>
      <w:r>
        <w:rPr>
          <w:rFonts w:hint="eastAsia" w:ascii="Times New Roman" w:hAnsi="Times New Roman" w:eastAsia="方正小标宋简体" w:cs="Times New Roman"/>
          <w:color w:val="000000"/>
          <w:kern w:val="0"/>
          <w:sz w:val="40"/>
          <w:szCs w:val="44"/>
          <w:lang w:val="en-US" w:eastAsia="zh-CN"/>
        </w:rPr>
        <w:t>2</w:t>
      </w:r>
      <w:r>
        <w:rPr>
          <w:rFonts w:hint="default" w:ascii="Times New Roman" w:hAnsi="Times New Roman" w:eastAsia="方正小标宋简体" w:cs="Times New Roman"/>
          <w:color w:val="000000"/>
          <w:kern w:val="0"/>
          <w:sz w:val="40"/>
          <w:szCs w:val="44"/>
          <w:lang w:val="en-US" w:eastAsia="zh-CN"/>
        </w:rPr>
        <w:t>年</w:t>
      </w:r>
      <w:r>
        <w:rPr>
          <w:rFonts w:hint="eastAsia" w:ascii="Times New Roman" w:hAnsi="Times New Roman" w:eastAsia="方正小标宋简体" w:cs="Times New Roman"/>
          <w:color w:val="000000"/>
          <w:kern w:val="0"/>
          <w:sz w:val="40"/>
          <w:szCs w:val="44"/>
          <w:lang w:val="en-US" w:eastAsia="zh-CN"/>
        </w:rPr>
        <w:t>邻水县中医医院</w:t>
      </w:r>
      <w:r>
        <w:rPr>
          <w:rFonts w:hint="default" w:ascii="Times New Roman" w:hAnsi="Times New Roman" w:eastAsia="方正小标宋简体" w:cs="Times New Roman"/>
          <w:color w:val="000000"/>
          <w:kern w:val="0"/>
          <w:sz w:val="40"/>
          <w:szCs w:val="44"/>
          <w:lang w:val="zh-CN"/>
        </w:rPr>
        <w:t>整体绩效</w:t>
      </w:r>
      <w:r>
        <w:rPr>
          <w:rFonts w:hint="eastAsia" w:ascii="Times New Roman" w:hAnsi="Times New Roman" w:eastAsia="方正小标宋简体" w:cs="Times New Roman"/>
          <w:color w:val="000000"/>
          <w:kern w:val="0"/>
          <w:sz w:val="40"/>
          <w:szCs w:val="44"/>
          <w:lang w:val="zh-CN"/>
        </w:rPr>
        <w:t>自评</w:t>
      </w:r>
      <w:r>
        <w:rPr>
          <w:rFonts w:hint="default" w:ascii="Times New Roman" w:hAnsi="Times New Roman" w:eastAsia="方正小标宋简体" w:cs="Times New Roman"/>
          <w:color w:val="000000"/>
          <w:kern w:val="0"/>
          <w:sz w:val="40"/>
          <w:szCs w:val="44"/>
          <w:lang w:val="zh-CN"/>
        </w:rPr>
        <w:t>报告</w:t>
      </w:r>
    </w:p>
    <w:p w14:paraId="7486FF8D">
      <w:pPr>
        <w:widowControl/>
        <w:adjustRightInd w:val="0"/>
        <w:snapToGrid w:val="0"/>
        <w:spacing w:line="580" w:lineRule="exact"/>
        <w:contextualSpacing/>
        <w:jc w:val="left"/>
        <w:rPr>
          <w:rFonts w:hint="eastAsia" w:ascii="Times New Roman" w:hAnsi="Times New Roman" w:eastAsia="黑体" w:cs="Times New Roman"/>
          <w:color w:val="000000"/>
          <w:kern w:val="0"/>
          <w:sz w:val="24"/>
          <w:szCs w:val="32"/>
          <w:shd w:val="clear" w:color="auto" w:fill="FFFFFF"/>
          <w:lang w:eastAsia="zh-CN"/>
        </w:rPr>
      </w:pPr>
    </w:p>
    <w:p w14:paraId="28047F59">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rPr>
        <w:t>一、</w:t>
      </w:r>
      <w:r>
        <w:rPr>
          <w:rFonts w:hint="default" w:ascii="Times New Roman" w:hAnsi="Times New Roman" w:eastAsia="黑体" w:cs="Times New Roman"/>
          <w:color w:val="000000"/>
          <w:kern w:val="0"/>
          <w:sz w:val="32"/>
          <w:szCs w:val="32"/>
          <w:shd w:val="clear" w:color="auto" w:fill="FFFFFF"/>
          <w:lang w:val="zh-CN"/>
        </w:rPr>
        <w:t>单位基本情况</w:t>
      </w:r>
    </w:p>
    <w:p w14:paraId="352B21F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（一）机构组成。</w:t>
      </w:r>
    </w:p>
    <w:p w14:paraId="5D543FF7">
      <w:pPr>
        <w:pStyle w:val="2"/>
        <w:ind w:firstLine="640" w:firstLineChars="200"/>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en-US" w:eastAsia="zh-CN" w:bidi="ar-SA"/>
        </w:rPr>
        <w:t>邻水县中医医院是邻水县卫生健康局下属的公益二类事业单位，是邻水县财政局差额补助的一级预算单位。</w:t>
      </w:r>
    </w:p>
    <w:p w14:paraId="3C024459">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机构职能和人员概况。</w:t>
      </w:r>
    </w:p>
    <w:p w14:paraId="51B6C20B">
      <w:pPr>
        <w:pStyle w:val="2"/>
        <w:ind w:firstLine="640" w:firstLineChars="200"/>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en-US" w:eastAsia="zh-CN" w:bidi="ar-SA"/>
        </w:rPr>
        <w:t>主要宗旨是为全县人民身体健康提供医疗与预防保健服务，业务范围是为医疗与护理、医学教学、医学研究、卫生医疗人员培训、卫生技术人员继续教育、保健与健康教育医院内设康复科，呼吸内科，老年病科，骨伤科，妇产科，儿科等44个临床医技科室。内设党委办，财务科，医务科，护理部，院感科等25个行政后勤科室，截止到2022年底，单位实有人数648人，其中在编186人，无编462人。退休人员73人。</w:t>
      </w:r>
    </w:p>
    <w:p w14:paraId="6703C63D">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年度主要工作任务。</w:t>
      </w:r>
    </w:p>
    <w:p w14:paraId="1928C758">
      <w:pPr>
        <w:pStyle w:val="2"/>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（1）强化党建引领，锻造过硬队伍</w:t>
      </w:r>
    </w:p>
    <w:p w14:paraId="6AF95922">
      <w:pPr>
        <w:pStyle w:val="2"/>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一是壮</w:t>
      </w:r>
      <w:r>
        <w:rPr>
          <w:rFonts w:hint="default" w:ascii="Times New Roman" w:hAnsi="Times New Roman" w:eastAsia="仿宋" w:cs="Times New Roman"/>
          <w:color w:val="000000"/>
          <w:kern w:val="2"/>
          <w:sz w:val="32"/>
          <w:szCs w:val="32"/>
          <w:lang w:val="en-US" w:eastAsia="zh-CN" w:bidi="ar-SA"/>
        </w:rPr>
        <w:t>大党员队伍。</w:t>
      </w:r>
      <w:r>
        <w:rPr>
          <w:rFonts w:hint="eastAsia" w:ascii="Times New Roman" w:hAnsi="Times New Roman" w:eastAsia="仿宋" w:cs="Times New Roman"/>
          <w:color w:val="000000"/>
          <w:kern w:val="2"/>
          <w:sz w:val="32"/>
          <w:szCs w:val="32"/>
          <w:lang w:val="en-US" w:eastAsia="zh-CN" w:bidi="ar-SA"/>
        </w:rPr>
        <w:t>二是推进党支部标准化建设三是把牢意识形态工作领导权。四是</w:t>
      </w:r>
      <w:r>
        <w:rPr>
          <w:rFonts w:hint="default" w:ascii="Times New Roman" w:hAnsi="Times New Roman" w:eastAsia="仿宋" w:cs="Times New Roman"/>
          <w:color w:val="000000"/>
          <w:kern w:val="2"/>
          <w:sz w:val="32"/>
          <w:szCs w:val="32"/>
          <w:lang w:val="en-US" w:eastAsia="zh-CN" w:bidi="ar-SA"/>
        </w:rPr>
        <w:t>持续深入开展“人民阅卷·广安行动”</w:t>
      </w:r>
      <w:r>
        <w:rPr>
          <w:rFonts w:hint="eastAsia" w:ascii="Times New Roman" w:hAnsi="Times New Roman" w:eastAsia="仿宋" w:cs="Times New Roman"/>
          <w:color w:val="000000"/>
          <w:kern w:val="2"/>
          <w:sz w:val="32"/>
          <w:szCs w:val="32"/>
          <w:lang w:val="en-US" w:eastAsia="zh-CN" w:bidi="ar-SA"/>
        </w:rPr>
        <w:t>。五是大力实施“群心向党”工程。六是加强行业作风建设。七是打造支部特色品牌。八是</w:t>
      </w:r>
      <w:r>
        <w:rPr>
          <w:rFonts w:hint="default" w:ascii="Times New Roman" w:hAnsi="Times New Roman" w:eastAsia="仿宋" w:cs="Times New Roman"/>
          <w:color w:val="000000"/>
          <w:kern w:val="2"/>
          <w:sz w:val="32"/>
          <w:szCs w:val="32"/>
          <w:lang w:val="en-US" w:eastAsia="zh-CN" w:bidi="ar-SA"/>
        </w:rPr>
        <w:t>新院打造党建文化墙</w:t>
      </w:r>
      <w:r>
        <w:rPr>
          <w:rFonts w:hint="eastAsia" w:ascii="Times New Roman" w:hAnsi="Times New Roman" w:eastAsia="仿宋" w:cs="Times New Roman"/>
          <w:color w:val="000000"/>
          <w:kern w:val="2"/>
          <w:sz w:val="32"/>
          <w:szCs w:val="32"/>
          <w:lang w:val="en-US" w:eastAsia="zh-CN" w:bidi="ar-SA"/>
        </w:rPr>
        <w:t>。九是加强双拥工作建设。</w:t>
      </w:r>
    </w:p>
    <w:p w14:paraId="7A26C730">
      <w:pPr>
        <w:pStyle w:val="2"/>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（2）发</w:t>
      </w:r>
      <w:r>
        <w:rPr>
          <w:rFonts w:hint="default" w:ascii="Times New Roman" w:hAnsi="Times New Roman" w:eastAsia="仿宋" w:cs="Times New Roman"/>
          <w:color w:val="000000"/>
          <w:kern w:val="2"/>
          <w:sz w:val="32"/>
          <w:szCs w:val="32"/>
          <w:lang w:val="en-US" w:eastAsia="zh-CN" w:bidi="ar-SA"/>
        </w:rPr>
        <w:t>挥中医药特色优势，提高中医临床疗效。</w:t>
      </w:r>
    </w:p>
    <w:p w14:paraId="028BBF7A">
      <w:pPr>
        <w:pStyle w:val="2"/>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狠抓质量控制，保障医疗安全，加强医疗质量与安全管理，保障患者安全。一是健全医疗质量管理体系与机制。二是认真落实医疗质量安全核心制度。三是实施临床路径管理，规范诊疗行为。四是开展单病种质量管理工作。五是加强病历质量管理。</w:t>
      </w:r>
      <w:r>
        <w:rPr>
          <w:rFonts w:hint="default"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六是加强医疗技术管理。七是加强医疗安全风险管理。八是加强诊疗安全质量管理。加强护理管理，</w:t>
      </w:r>
      <w:r>
        <w:rPr>
          <w:rFonts w:hint="default" w:ascii="Times New Roman" w:hAnsi="Times New Roman" w:eastAsia="仿宋" w:cs="Times New Roman"/>
          <w:color w:val="000000"/>
          <w:kern w:val="2"/>
          <w:sz w:val="32"/>
          <w:szCs w:val="32"/>
          <w:lang w:val="en-US" w:eastAsia="zh-CN" w:bidi="ar-SA"/>
        </w:rPr>
        <w:t>提升护理质量。</w:t>
      </w:r>
      <w:r>
        <w:rPr>
          <w:rFonts w:hint="eastAsia" w:ascii="Times New Roman" w:hAnsi="Times New Roman" w:eastAsia="仿宋" w:cs="Times New Roman"/>
          <w:color w:val="000000"/>
          <w:kern w:val="2"/>
          <w:sz w:val="32"/>
          <w:szCs w:val="32"/>
          <w:lang w:val="en-US" w:eastAsia="zh-CN" w:bidi="ar-SA"/>
        </w:rPr>
        <w:t>强化药事管理，保障患者用药安全。</w:t>
      </w:r>
      <w:r>
        <w:rPr>
          <w:rFonts w:hint="default" w:ascii="Times New Roman" w:hAnsi="Times New Roman" w:eastAsia="仿宋" w:cs="Times New Roman"/>
          <w:color w:val="000000"/>
          <w:kern w:val="2"/>
          <w:sz w:val="32"/>
          <w:szCs w:val="32"/>
          <w:lang w:val="en-US" w:eastAsia="zh-CN" w:bidi="ar-SA"/>
        </w:rPr>
        <w:t>加</w:t>
      </w:r>
      <w:r>
        <w:rPr>
          <w:rFonts w:hint="eastAsia" w:ascii="Times New Roman" w:hAnsi="Times New Roman" w:eastAsia="仿宋" w:cs="Times New Roman"/>
          <w:color w:val="000000"/>
          <w:kern w:val="2"/>
          <w:sz w:val="32"/>
          <w:szCs w:val="32"/>
          <w:lang w:val="en-US" w:eastAsia="zh-CN" w:bidi="ar-SA"/>
        </w:rPr>
        <w:t>强</w:t>
      </w:r>
      <w:r>
        <w:rPr>
          <w:rFonts w:hint="default" w:ascii="Times New Roman" w:hAnsi="Times New Roman" w:eastAsia="仿宋" w:cs="Times New Roman"/>
          <w:color w:val="000000"/>
          <w:kern w:val="2"/>
          <w:sz w:val="32"/>
          <w:szCs w:val="32"/>
          <w:lang w:val="en-US" w:eastAsia="zh-CN" w:bidi="ar-SA"/>
        </w:rPr>
        <w:t>院感管控力度</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做好疫情常态化防控工作。</w:t>
      </w:r>
    </w:p>
    <w:p w14:paraId="278007CE">
      <w:pPr>
        <w:pStyle w:val="2"/>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（3）加强人才队伍建设，优化人才队伍结构。</w:t>
      </w:r>
      <w:r>
        <w:rPr>
          <w:rFonts w:hint="default" w:ascii="Times New Roman" w:hAnsi="Times New Roman" w:eastAsia="仿宋" w:cs="Times New Roman"/>
          <w:color w:val="000000"/>
          <w:kern w:val="2"/>
          <w:sz w:val="32"/>
          <w:szCs w:val="32"/>
          <w:lang w:val="en-US" w:eastAsia="zh-CN" w:bidi="ar-SA"/>
        </w:rPr>
        <w:t>加大人才培养力度。</w:t>
      </w:r>
      <w:r>
        <w:rPr>
          <w:rFonts w:hint="eastAsia" w:ascii="Times New Roman" w:hAnsi="Times New Roman" w:eastAsia="仿宋" w:cs="Times New Roman"/>
          <w:color w:val="000000"/>
          <w:kern w:val="2"/>
          <w:sz w:val="32"/>
          <w:szCs w:val="32"/>
          <w:lang w:val="en-US" w:eastAsia="zh-CN" w:bidi="ar-SA"/>
        </w:rPr>
        <w:t>发展专科护士队伍，提高专科护理水平</w:t>
      </w:r>
      <w:r>
        <w:rPr>
          <w:rFonts w:hint="default"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加强继教管理，提升“三基”能力。</w:t>
      </w:r>
    </w:p>
    <w:p w14:paraId="23E83D09">
      <w:pPr>
        <w:pStyle w:val="2"/>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（4）坚持科研创新，聚力内涵建设加强科研管理，提</w:t>
      </w:r>
      <w:r>
        <w:rPr>
          <w:rFonts w:hint="default" w:ascii="Times New Roman" w:hAnsi="Times New Roman" w:eastAsia="仿宋" w:cs="Times New Roman"/>
          <w:color w:val="000000"/>
          <w:kern w:val="2"/>
          <w:sz w:val="32"/>
          <w:szCs w:val="32"/>
          <w:lang w:val="en-US" w:eastAsia="zh-CN" w:bidi="ar-SA"/>
        </w:rPr>
        <w:t>升科研</w:t>
      </w:r>
      <w:r>
        <w:rPr>
          <w:rFonts w:hint="eastAsia" w:ascii="Times New Roman" w:hAnsi="Times New Roman" w:eastAsia="仿宋" w:cs="Times New Roman"/>
          <w:color w:val="000000"/>
          <w:kern w:val="2"/>
          <w:sz w:val="32"/>
          <w:szCs w:val="32"/>
          <w:lang w:val="en-US" w:eastAsia="zh-CN" w:bidi="ar-SA"/>
        </w:rPr>
        <w:t>能力。加强重点专（学）科能力建设。深入开展</w:t>
      </w:r>
      <w:r>
        <w:rPr>
          <w:rFonts w:hint="default" w:ascii="Times New Roman" w:hAnsi="Times New Roman" w:eastAsia="仿宋" w:cs="Times New Roman"/>
          <w:color w:val="000000"/>
          <w:kern w:val="2"/>
          <w:sz w:val="32"/>
          <w:szCs w:val="32"/>
          <w:lang w:val="en-US" w:eastAsia="zh-CN" w:bidi="ar-SA"/>
        </w:rPr>
        <w:t>三甲</w:t>
      </w:r>
      <w:r>
        <w:rPr>
          <w:rFonts w:hint="eastAsia" w:ascii="Times New Roman" w:hAnsi="Times New Roman" w:eastAsia="仿宋" w:cs="Times New Roman"/>
          <w:color w:val="000000"/>
          <w:kern w:val="2"/>
          <w:sz w:val="32"/>
          <w:szCs w:val="32"/>
          <w:lang w:val="en-US" w:eastAsia="zh-CN" w:bidi="ar-SA"/>
        </w:rPr>
        <w:t>中医医院创建工作。</w:t>
      </w:r>
    </w:p>
    <w:p w14:paraId="4B374949">
      <w:pPr>
        <w:pStyle w:val="2"/>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（5）坚持服务导向，改善就医体验。</w:t>
      </w:r>
      <w:r>
        <w:rPr>
          <w:rFonts w:hint="default" w:ascii="Times New Roman" w:hAnsi="Times New Roman" w:eastAsia="仿宋" w:cs="Times New Roman"/>
          <w:color w:val="000000"/>
          <w:kern w:val="2"/>
          <w:sz w:val="32"/>
          <w:szCs w:val="32"/>
          <w:lang w:val="en-US" w:eastAsia="zh-CN" w:bidi="ar-SA"/>
        </w:rPr>
        <w:t>完善患者满意度调查长效管理机制。</w:t>
      </w:r>
      <w:r>
        <w:rPr>
          <w:rFonts w:hint="eastAsia" w:ascii="Times New Roman" w:hAnsi="Times New Roman" w:eastAsia="仿宋" w:cs="Times New Roman"/>
          <w:color w:val="000000"/>
          <w:kern w:val="2"/>
          <w:sz w:val="32"/>
          <w:szCs w:val="32"/>
          <w:lang w:val="en-US" w:eastAsia="zh-CN" w:bidi="ar-SA"/>
        </w:rPr>
        <w:t>持续深化优质护理服务，拓展护理服务领域。扎</w:t>
      </w:r>
      <w:r>
        <w:rPr>
          <w:rFonts w:hint="default" w:ascii="Times New Roman" w:hAnsi="Times New Roman" w:eastAsia="仿宋" w:cs="Times New Roman"/>
          <w:color w:val="000000"/>
          <w:kern w:val="2"/>
          <w:sz w:val="32"/>
          <w:szCs w:val="32"/>
          <w:lang w:val="en-US" w:eastAsia="zh-CN" w:bidi="ar-SA"/>
        </w:rPr>
        <w:t>实开展预防保健工</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快速推进重点项目。</w:t>
      </w:r>
      <w:r>
        <w:rPr>
          <w:rFonts w:hint="eastAsia" w:ascii="Times New Roman" w:hAnsi="Times New Roman" w:eastAsia="仿宋" w:cs="Times New Roman"/>
          <w:color w:val="000000"/>
          <w:kern w:val="2"/>
          <w:sz w:val="32"/>
          <w:szCs w:val="32"/>
          <w:lang w:val="en-US" w:eastAsia="zh-CN" w:bidi="ar-SA"/>
        </w:rPr>
        <w:t>一是</w:t>
      </w:r>
      <w:r>
        <w:rPr>
          <w:rFonts w:hint="default" w:ascii="Times New Roman" w:hAnsi="Times New Roman" w:eastAsia="仿宋" w:cs="Times New Roman"/>
          <w:color w:val="000000"/>
          <w:kern w:val="2"/>
          <w:sz w:val="32"/>
          <w:szCs w:val="32"/>
          <w:lang w:val="en-US" w:eastAsia="zh-CN" w:bidi="ar-SA"/>
        </w:rPr>
        <w:t>提速新院</w:t>
      </w:r>
      <w:r>
        <w:rPr>
          <w:rFonts w:hint="eastAsia" w:ascii="Times New Roman" w:hAnsi="Times New Roman" w:eastAsia="仿宋" w:cs="Times New Roman"/>
          <w:color w:val="000000"/>
          <w:kern w:val="2"/>
          <w:sz w:val="32"/>
          <w:szCs w:val="32"/>
          <w:lang w:val="en-US" w:eastAsia="zh-CN" w:bidi="ar-SA"/>
        </w:rPr>
        <w:t>装修</w:t>
      </w:r>
      <w:r>
        <w:rPr>
          <w:rFonts w:hint="default" w:ascii="Times New Roman" w:hAnsi="Times New Roman" w:eastAsia="仿宋" w:cs="Times New Roman"/>
          <w:color w:val="000000"/>
          <w:kern w:val="2"/>
          <w:sz w:val="32"/>
          <w:szCs w:val="32"/>
          <w:lang w:val="en-US" w:eastAsia="zh-CN" w:bidi="ar-SA"/>
        </w:rPr>
        <w:t>与配套工程招标、施工进度，健全医疗设备等配置规划</w:t>
      </w:r>
      <w:r>
        <w:rPr>
          <w:rFonts w:hint="eastAsia" w:ascii="Times New Roman" w:hAnsi="Times New Roman" w:eastAsia="仿宋" w:cs="Times New Roman"/>
          <w:color w:val="000000"/>
          <w:kern w:val="2"/>
          <w:sz w:val="32"/>
          <w:szCs w:val="32"/>
          <w:lang w:val="en-US" w:eastAsia="zh-CN" w:bidi="ar-SA"/>
        </w:rPr>
        <w:t>。二是</w:t>
      </w:r>
      <w:r>
        <w:rPr>
          <w:rFonts w:hint="default" w:ascii="Times New Roman" w:hAnsi="Times New Roman" w:eastAsia="仿宋" w:cs="Times New Roman"/>
          <w:color w:val="000000"/>
          <w:kern w:val="2"/>
          <w:sz w:val="32"/>
          <w:szCs w:val="32"/>
          <w:lang w:val="en-US" w:eastAsia="zh-CN" w:bidi="ar-SA"/>
        </w:rPr>
        <w:t>加快信息化建设步伐</w:t>
      </w:r>
      <w:r>
        <w:rPr>
          <w:rFonts w:hint="eastAsia" w:ascii="Times New Roman" w:hAnsi="Times New Roman" w:eastAsia="仿宋" w:cs="Times New Roman"/>
          <w:color w:val="000000"/>
          <w:kern w:val="2"/>
          <w:sz w:val="32"/>
          <w:szCs w:val="32"/>
          <w:lang w:val="en-US" w:eastAsia="zh-CN" w:bidi="ar-SA"/>
        </w:rPr>
        <w:t>，开展电子病历四级标准、新院机房网络、人力资源管理系统、网络安全、银医系统便民服务信息化建设工作。三是</w:t>
      </w:r>
      <w:r>
        <w:rPr>
          <w:rFonts w:hint="default" w:ascii="Times New Roman" w:hAnsi="Times New Roman" w:eastAsia="仿宋" w:cs="Times New Roman"/>
          <w:color w:val="000000"/>
          <w:kern w:val="2"/>
          <w:sz w:val="32"/>
          <w:szCs w:val="32"/>
          <w:lang w:val="en-US" w:eastAsia="zh-CN" w:bidi="ar-SA"/>
        </w:rPr>
        <w:t>协调</w:t>
      </w:r>
      <w:r>
        <w:rPr>
          <w:rFonts w:hint="eastAsia" w:ascii="Times New Roman" w:hAnsi="Times New Roman" w:eastAsia="仿宋" w:cs="Times New Roman"/>
          <w:color w:val="000000"/>
          <w:kern w:val="2"/>
          <w:sz w:val="32"/>
          <w:szCs w:val="32"/>
          <w:lang w:val="en-US" w:eastAsia="zh-CN" w:bidi="ar-SA"/>
        </w:rPr>
        <w:t>新院</w:t>
      </w:r>
      <w:r>
        <w:rPr>
          <w:rFonts w:hint="default" w:ascii="Times New Roman" w:hAnsi="Times New Roman" w:eastAsia="仿宋" w:cs="Times New Roman"/>
          <w:color w:val="000000"/>
          <w:kern w:val="2"/>
          <w:sz w:val="32"/>
          <w:szCs w:val="32"/>
          <w:lang w:val="en-US" w:eastAsia="zh-CN" w:bidi="ar-SA"/>
        </w:rPr>
        <w:t>综合楼建设项目</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加快新院整体迁建力度，力争在202</w:t>
      </w:r>
      <w:r>
        <w:rPr>
          <w:rFonts w:hint="eastAsia" w:ascii="Times New Roman" w:hAnsi="Times New Roman" w:eastAsia="仿宋" w:cs="Times New Roman"/>
          <w:color w:val="000000"/>
          <w:kern w:val="2"/>
          <w:sz w:val="32"/>
          <w:szCs w:val="32"/>
          <w:lang w:val="en-US" w:eastAsia="zh-CN" w:bidi="ar-SA"/>
        </w:rPr>
        <w:t>2</w:t>
      </w:r>
      <w:r>
        <w:rPr>
          <w:rFonts w:hint="default" w:ascii="Times New Roman" w:hAnsi="Times New Roman" w:eastAsia="仿宋" w:cs="Times New Roman"/>
          <w:color w:val="000000"/>
          <w:kern w:val="2"/>
          <w:sz w:val="32"/>
          <w:szCs w:val="32"/>
          <w:lang w:val="en-US" w:eastAsia="zh-CN" w:bidi="ar-SA"/>
        </w:rPr>
        <w:t>年</w:t>
      </w:r>
      <w:r>
        <w:rPr>
          <w:rFonts w:hint="eastAsia" w:ascii="Times New Roman" w:hAnsi="Times New Roman" w:eastAsia="仿宋" w:cs="Times New Roman"/>
          <w:color w:val="000000"/>
          <w:kern w:val="2"/>
          <w:sz w:val="32"/>
          <w:szCs w:val="32"/>
          <w:lang w:val="en-US" w:eastAsia="zh-CN" w:bidi="ar-SA"/>
        </w:rPr>
        <w:t>3月底4月初全面完成并投入使用，2022年6月底前全面完成三期土石方挖运招标及转运工作。</w:t>
      </w:r>
    </w:p>
    <w:p w14:paraId="44340104">
      <w:pPr>
        <w:spacing w:line="600" w:lineRule="exact"/>
        <w:ind w:firstLine="640" w:firstLineChars="200"/>
        <w:rPr>
          <w:rFonts w:hint="default" w:ascii="Times New Roman" w:hAnsi="Times New Roman" w:eastAsia="仿宋_GB2312" w:cs="仿宋_GB2312"/>
          <w:kern w:val="2"/>
          <w:sz w:val="32"/>
          <w:szCs w:val="22"/>
          <w:highlight w:val="none"/>
          <w:lang w:val="zh-CN" w:eastAsia="zh-CN" w:bidi="ar-SA"/>
        </w:rPr>
      </w:pPr>
    </w:p>
    <w:p w14:paraId="081B8D29">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eastAsia="楷体_GB2312" w:cs="Times New Roman"/>
          <w:b/>
          <w:bCs/>
          <w:color w:val="auto"/>
          <w:kern w:val="0"/>
          <w:sz w:val="32"/>
          <w:szCs w:val="32"/>
          <w:highlight w:val="none"/>
          <w:shd w:val="clear" w:color="auto" w:fill="FFFFFF"/>
          <w:lang w:val="zh-CN"/>
        </w:rPr>
        <w:t>单位</w:t>
      </w:r>
      <w:r>
        <w:rPr>
          <w:rFonts w:hint="default" w:ascii="Times New Roman" w:hAnsi="Times New Roman" w:eastAsia="楷体_GB2312" w:cs="Times New Roman"/>
          <w:b/>
          <w:bCs/>
          <w:color w:val="auto"/>
          <w:kern w:val="0"/>
          <w:sz w:val="32"/>
          <w:szCs w:val="32"/>
          <w:highlight w:val="none"/>
          <w:shd w:val="clear" w:color="auto" w:fill="FFFFFF"/>
          <w:lang w:val="zh-CN"/>
        </w:rPr>
        <w:t>整体支出绩效目标。</w:t>
      </w:r>
    </w:p>
    <w:p w14:paraId="49EE4FD3">
      <w:pPr>
        <w:pStyle w:val="9"/>
        <w:numPr>
          <w:ilvl w:val="0"/>
          <w:numId w:val="0"/>
        </w:numPr>
        <w:ind w:leftChars="200" w:firstLine="640" w:firstLineChars="200"/>
        <w:rPr>
          <w:rFonts w:hint="default" w:ascii="Times New Roman" w:hAnsi="Times New Roman" w:eastAsia="仿宋_GB2312" w:cs="仿宋_GB2312"/>
          <w:kern w:val="2"/>
          <w:sz w:val="32"/>
          <w:szCs w:val="22"/>
          <w:highlight w:val="none"/>
          <w:lang w:val="zh-CN" w:eastAsia="zh-CN" w:bidi="ar-SA"/>
        </w:rPr>
      </w:pPr>
      <w:r>
        <w:rPr>
          <w:rFonts w:hint="eastAsia" w:ascii="Times New Roman" w:hAnsi="Times New Roman" w:eastAsia="仿宋" w:cs="Times New Roman"/>
          <w:color w:val="000000"/>
          <w:kern w:val="2"/>
          <w:sz w:val="32"/>
          <w:szCs w:val="32"/>
          <w:lang w:val="zh-CN" w:eastAsia="zh-CN" w:bidi="ar-SA"/>
        </w:rPr>
        <w:t>保障医院整体运行，完成县上防疫任务，满足群众就医需求。</w:t>
      </w:r>
    </w:p>
    <w:p w14:paraId="3E466CE2">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eastAsia" w:eastAsia="黑体" w:cs="Times New Roman"/>
          <w:color w:val="auto"/>
          <w:kern w:val="0"/>
          <w:sz w:val="32"/>
          <w:szCs w:val="32"/>
          <w:highlight w:val="none"/>
          <w:shd w:val="clear" w:color="auto" w:fill="FFFFFF"/>
          <w:lang w:eastAsia="zh-CN"/>
        </w:rPr>
        <w:t>单位</w:t>
      </w:r>
      <w:r>
        <w:rPr>
          <w:rFonts w:hint="default" w:ascii="Times New Roman" w:hAnsi="Times New Roman" w:eastAsia="黑体" w:cs="Times New Roman"/>
          <w:color w:val="auto"/>
          <w:kern w:val="0"/>
          <w:sz w:val="32"/>
          <w:szCs w:val="32"/>
          <w:highlight w:val="none"/>
          <w:shd w:val="clear" w:color="auto" w:fill="FFFFFF"/>
        </w:rPr>
        <w:t>资金</w:t>
      </w:r>
      <w:r>
        <w:rPr>
          <w:rFonts w:hint="default" w:ascii="Times New Roman" w:hAnsi="Times New Roman" w:eastAsia="黑体" w:cs="Times New Roman"/>
          <w:color w:val="000000"/>
          <w:kern w:val="0"/>
          <w:sz w:val="32"/>
          <w:szCs w:val="32"/>
          <w:highlight w:val="none"/>
          <w:shd w:val="clear" w:color="auto" w:fill="FFFFFF"/>
        </w:rPr>
        <w:t>收支情况</w:t>
      </w:r>
    </w:p>
    <w:p w14:paraId="661FE3E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eastAsia" w:eastAsia="楷体_GB2312" w:cs="Times New Roman"/>
          <w:b/>
          <w:bCs/>
          <w:color w:val="auto"/>
          <w:kern w:val="0"/>
          <w:sz w:val="32"/>
          <w:szCs w:val="32"/>
          <w:highlight w:val="none"/>
          <w:shd w:val="clear" w:color="auto" w:fill="FFFFFF"/>
          <w:lang w:val="zh-CN"/>
        </w:rPr>
        <w:t>单位</w:t>
      </w:r>
      <w:r>
        <w:rPr>
          <w:rFonts w:hint="default" w:ascii="Times New Roman" w:hAnsi="Times New Roman" w:eastAsia="楷体_GB2312" w:cs="Times New Roman"/>
          <w:b/>
          <w:bCs/>
          <w:color w:val="auto"/>
          <w:kern w:val="0"/>
          <w:sz w:val="32"/>
          <w:szCs w:val="32"/>
          <w:highlight w:val="none"/>
          <w:shd w:val="clear" w:color="auto" w:fill="FFFFFF"/>
          <w:lang w:val="zh-CN"/>
        </w:rPr>
        <w:t>总体收支情况。</w:t>
      </w:r>
    </w:p>
    <w:p w14:paraId="5E13830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总体收入情况</w:t>
      </w:r>
    </w:p>
    <w:p w14:paraId="1956BED5">
      <w:pPr>
        <w:spacing w:line="600" w:lineRule="exact"/>
        <w:ind w:firstLine="640" w:firstLineChars="200"/>
        <w:outlineLvl w:val="1"/>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2022年本年收入合计17693.39万元，其中：一般公共预算财政拨款收入1026.34万元，占6%；事业收入16753.81万元，占93%；其他收入75.5万元，占1%。</w:t>
      </w:r>
    </w:p>
    <w:p w14:paraId="4BB1E76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总体支出情况</w:t>
      </w:r>
    </w:p>
    <w:p w14:paraId="623EBA9F">
      <w:pPr>
        <w:spacing w:line="600" w:lineRule="exact"/>
        <w:ind w:firstLine="640" w:firstLineChars="200"/>
        <w:outlineLvl w:val="1"/>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2022年本年支出合计17693.39万元，其中：基本支出17209.75万元，占98%；项目支出483.64万元，占3%。</w:t>
      </w:r>
    </w:p>
    <w:p w14:paraId="42142C96">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总体结转结余情况</w:t>
      </w:r>
    </w:p>
    <w:p w14:paraId="2909E0A7">
      <w:pPr>
        <w:pStyle w:val="2"/>
        <w:numPr>
          <w:ilvl w:val="0"/>
          <w:numId w:val="0"/>
        </w:numPr>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    </w:t>
      </w:r>
      <w:r>
        <w:rPr>
          <w:rFonts w:hint="eastAsia" w:ascii="Times New Roman" w:eastAsia="仿宋" w:cs="Times New Roman"/>
          <w:color w:val="000000"/>
          <w:kern w:val="2"/>
          <w:sz w:val="32"/>
          <w:szCs w:val="32"/>
          <w:lang w:val="en-US" w:eastAsia="zh-CN" w:bidi="ar-SA"/>
        </w:rPr>
        <w:t>单位</w:t>
      </w:r>
      <w:r>
        <w:rPr>
          <w:rFonts w:hint="eastAsia" w:ascii="Times New Roman" w:hAnsi="Times New Roman" w:eastAsia="仿宋" w:cs="Times New Roman"/>
          <w:color w:val="000000"/>
          <w:kern w:val="2"/>
          <w:sz w:val="32"/>
          <w:szCs w:val="32"/>
          <w:lang w:val="en-US" w:eastAsia="zh-CN" w:bidi="ar-SA"/>
        </w:rPr>
        <w:t>结转结余6117.76万元，其中一般公共预算财政拨款650.28万元。</w:t>
      </w:r>
    </w:p>
    <w:p w14:paraId="1811CD4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w:t>
      </w:r>
      <w:r>
        <w:rPr>
          <w:rFonts w:hint="eastAsia" w:eastAsia="楷体_GB2312" w:cs="Times New Roman"/>
          <w:b/>
          <w:bCs/>
          <w:color w:val="auto"/>
          <w:kern w:val="0"/>
          <w:sz w:val="32"/>
          <w:szCs w:val="32"/>
          <w:highlight w:val="none"/>
          <w:shd w:val="clear" w:color="auto" w:fill="FFFFFF"/>
          <w:lang w:val="zh-CN"/>
        </w:rPr>
        <w:t>单位</w:t>
      </w:r>
      <w:r>
        <w:rPr>
          <w:rFonts w:hint="default" w:ascii="Times New Roman" w:hAnsi="Times New Roman" w:eastAsia="楷体_GB2312" w:cs="Times New Roman"/>
          <w:b/>
          <w:bCs/>
          <w:color w:val="auto"/>
          <w:kern w:val="0"/>
          <w:sz w:val="32"/>
          <w:szCs w:val="32"/>
          <w:highlight w:val="none"/>
          <w:shd w:val="clear" w:color="auto" w:fill="FFFFFF"/>
          <w:lang w:val="zh-CN"/>
        </w:rPr>
        <w:t>财政拨款收支情况。</w:t>
      </w:r>
    </w:p>
    <w:p w14:paraId="6C0645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财政拨款收入情况</w:t>
      </w:r>
    </w:p>
    <w:p w14:paraId="40E866D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2022年财政拨款收入6981.84万元，其中一般公共预算财政拨款1026.34万元，年初财政拨款结转结余5900.49万元。</w:t>
      </w:r>
    </w:p>
    <w:p w14:paraId="5B5B3D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财政拨款支出情况</w:t>
      </w:r>
    </w:p>
    <w:p w14:paraId="464DE0A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2022年财政拨款支出864.08万元，其中卫生健康支出864.08万元万元年末财政拨款结转结余6117.76万元</w:t>
      </w:r>
    </w:p>
    <w:p w14:paraId="642D9E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3.</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财政拨款结转结余情况</w:t>
      </w:r>
    </w:p>
    <w:p w14:paraId="111BB9F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2022年财政拨款结转结余6117.76万元，其中一般公共预算财政拨款650.28万元，政府性基金预算财政拨款5467.49万元。</w:t>
      </w:r>
    </w:p>
    <w:p w14:paraId="3D6B6B4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三、</w:t>
      </w:r>
      <w:r>
        <w:rPr>
          <w:rFonts w:hint="eastAsia" w:eastAsia="黑体" w:cs="Times New Roman"/>
          <w:color w:val="auto"/>
          <w:kern w:val="0"/>
          <w:sz w:val="32"/>
          <w:szCs w:val="32"/>
          <w:highlight w:val="none"/>
          <w:u w:val="none"/>
          <w:shd w:val="clear" w:color="auto" w:fill="FFFFFF"/>
          <w:lang w:eastAsia="zh-CN"/>
        </w:rPr>
        <w:t>单位</w:t>
      </w:r>
      <w:r>
        <w:rPr>
          <w:rFonts w:hint="default" w:ascii="Times New Roman" w:hAnsi="Times New Roman" w:eastAsia="黑体" w:cs="Times New Roman"/>
          <w:color w:val="auto"/>
          <w:kern w:val="0"/>
          <w:sz w:val="32"/>
          <w:szCs w:val="32"/>
          <w:highlight w:val="none"/>
          <w:u w:val="none"/>
          <w:shd w:val="clear" w:color="auto" w:fill="FFFFFF"/>
        </w:rPr>
        <w:t>整体绩效</w:t>
      </w:r>
      <w:r>
        <w:rPr>
          <w:rFonts w:hint="default" w:ascii="Times New Roman" w:hAnsi="Times New Roman" w:eastAsia="黑体" w:cs="Times New Roman"/>
          <w:color w:val="auto"/>
          <w:kern w:val="0"/>
          <w:sz w:val="32"/>
          <w:szCs w:val="32"/>
          <w:highlight w:val="none"/>
          <w:u w:val="none"/>
          <w:shd w:val="clear" w:color="auto" w:fill="FFFFFF"/>
          <w:lang w:eastAsia="zh-CN"/>
        </w:rPr>
        <w:t>分析</w:t>
      </w:r>
    </w:p>
    <w:p w14:paraId="187D168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eastAsia" w:eastAsia="楷体_GB2312" w:cs="Times New Roman"/>
          <w:b/>
          <w:bCs/>
          <w:color w:val="auto"/>
          <w:kern w:val="0"/>
          <w:sz w:val="32"/>
          <w:szCs w:val="32"/>
          <w:highlight w:val="none"/>
          <w:shd w:val="clear" w:color="auto" w:fill="FFFFFF"/>
          <w:lang w:val="zh-CN"/>
        </w:rPr>
        <w:t>单位</w:t>
      </w:r>
      <w:r>
        <w:rPr>
          <w:rFonts w:hint="default" w:ascii="Times New Roman" w:hAnsi="Times New Roman" w:eastAsia="楷体_GB2312" w:cs="Times New Roman"/>
          <w:b/>
          <w:bCs/>
          <w:color w:val="auto"/>
          <w:kern w:val="0"/>
          <w:sz w:val="32"/>
          <w:szCs w:val="32"/>
          <w:highlight w:val="none"/>
          <w:shd w:val="clear" w:color="auto" w:fill="FFFFFF"/>
          <w:lang w:val="zh-CN"/>
        </w:rPr>
        <w:t>预算项目绩效分析。</w:t>
      </w:r>
    </w:p>
    <w:p w14:paraId="727F9A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1.人员类项目绩效分析</w:t>
      </w:r>
    </w:p>
    <w:p w14:paraId="7F7D9C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为保障</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工作正常开展，保障职工工资待遇等经费顺利发放</w:t>
      </w:r>
      <w:r>
        <w:rPr>
          <w:rFonts w:hint="default" w:ascii="Times New Roman" w:hAnsi="Times New Roman" w:eastAsia="仿宋" w:cs="Times New Roman"/>
          <w:color w:val="000000"/>
          <w:kern w:val="2"/>
          <w:sz w:val="32"/>
          <w:szCs w:val="32"/>
          <w:lang w:val="zh-CN" w:eastAsia="zh-CN" w:bidi="ar-SA"/>
        </w:rPr>
        <w:t>包括</w:t>
      </w:r>
      <w:r>
        <w:rPr>
          <w:rFonts w:hint="eastAsia" w:eastAsia="仿宋" w:cs="Times New Roman"/>
          <w:color w:val="000000"/>
          <w:kern w:val="2"/>
          <w:sz w:val="32"/>
          <w:szCs w:val="32"/>
          <w:lang w:val="zh-CN" w:eastAsia="zh-CN" w:bidi="ar-SA"/>
        </w:rPr>
        <w:t>单位</w:t>
      </w:r>
      <w:r>
        <w:rPr>
          <w:rFonts w:hint="default" w:ascii="Times New Roman" w:hAnsi="Times New Roman" w:eastAsia="仿宋" w:cs="Times New Roman"/>
          <w:color w:val="000000"/>
          <w:kern w:val="2"/>
          <w:sz w:val="32"/>
          <w:szCs w:val="32"/>
          <w:lang w:val="zh-CN" w:eastAsia="zh-CN" w:bidi="ar-SA"/>
        </w:rPr>
        <w:t>绩效目</w:t>
      </w:r>
      <w:r>
        <w:rPr>
          <w:rFonts w:hint="eastAsia" w:ascii="Times New Roman" w:hAnsi="Times New Roman" w:eastAsia="仿宋" w:cs="Times New Roman"/>
          <w:color w:val="000000"/>
          <w:kern w:val="2"/>
          <w:sz w:val="32"/>
          <w:szCs w:val="32"/>
          <w:lang w:val="zh-CN" w:eastAsia="zh-CN" w:bidi="ar-SA"/>
        </w:rPr>
        <w:t>标</w:t>
      </w:r>
      <w:r>
        <w:rPr>
          <w:rFonts w:hint="eastAsia" w:ascii="Times New Roman" w:hAnsi="Times New Roman" w:eastAsia="仿宋" w:cs="Times New Roman"/>
          <w:color w:val="000000"/>
          <w:kern w:val="2"/>
          <w:sz w:val="32"/>
          <w:szCs w:val="32"/>
          <w:lang w:val="en-US" w:eastAsia="zh-CN" w:bidi="ar-SA"/>
        </w:rPr>
        <w:t>380.44万元，</w:t>
      </w:r>
      <w:r>
        <w:rPr>
          <w:rFonts w:hint="eastAsia" w:ascii="Times New Roman" w:hAnsi="Times New Roman" w:eastAsia="仿宋" w:cs="Times New Roman"/>
          <w:color w:val="000000"/>
          <w:kern w:val="2"/>
          <w:sz w:val="32"/>
          <w:szCs w:val="32"/>
          <w:lang w:val="zh-CN" w:eastAsia="zh-CN" w:bidi="ar-SA"/>
        </w:rPr>
        <w:t>预期绩效目标已全面实现，支出执行力度正常，支出严格控制在财政核拨经费之内，不存在违纪违规情况。</w:t>
      </w:r>
    </w:p>
    <w:p w14:paraId="60C1FA0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2.运转类项目绩效分析</w:t>
      </w:r>
    </w:p>
    <w:p w14:paraId="2C7DAB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zh-CN" w:eastAsia="zh-CN" w:bidi="ar-SA"/>
        </w:rPr>
        <w:t>根据</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性质，运转类项目为公用经费</w:t>
      </w:r>
      <w:r>
        <w:rPr>
          <w:rFonts w:hint="eastAsia" w:ascii="Times New Roman" w:hAnsi="Times New Roman" w:eastAsia="仿宋" w:cs="Times New Roman"/>
          <w:color w:val="000000"/>
          <w:kern w:val="2"/>
          <w:sz w:val="32"/>
          <w:szCs w:val="32"/>
          <w:lang w:val="en-US" w:eastAsia="zh-CN" w:bidi="ar-SA"/>
        </w:rPr>
        <w:t>50.64万元，</w:t>
      </w:r>
      <w:r>
        <w:rPr>
          <w:rFonts w:hint="eastAsia" w:ascii="Times New Roman" w:hAnsi="Times New Roman" w:eastAsia="仿宋" w:cs="Times New Roman"/>
          <w:color w:val="000000"/>
          <w:kern w:val="2"/>
          <w:sz w:val="32"/>
          <w:szCs w:val="32"/>
          <w:lang w:val="zh-CN" w:eastAsia="zh-CN" w:bidi="ar-SA"/>
        </w:rPr>
        <w:t>年末资金无结余。项目执行情况较好，预期目标已全面完成，无违规情况发生。</w:t>
      </w:r>
    </w:p>
    <w:p w14:paraId="1D1C6D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3.特定目标类项目绩效分析</w:t>
      </w:r>
    </w:p>
    <w:p w14:paraId="1EC202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zh-CN" w:eastAsia="zh-CN" w:bidi="ar-SA"/>
        </w:rPr>
        <w:t>根据工作安排，2022年初未安排特定目标内项目预算，年中根据工作实际调整预算数共计</w:t>
      </w:r>
      <w:r>
        <w:rPr>
          <w:rFonts w:hint="eastAsia" w:ascii="Times New Roman" w:hAnsi="Times New Roman" w:eastAsia="仿宋" w:cs="Times New Roman"/>
          <w:color w:val="000000"/>
          <w:kern w:val="2"/>
          <w:sz w:val="32"/>
          <w:szCs w:val="32"/>
          <w:lang w:val="en-US" w:eastAsia="zh-CN" w:bidi="ar-SA"/>
        </w:rPr>
        <w:t>22910.93</w:t>
      </w:r>
      <w:r>
        <w:rPr>
          <w:rFonts w:hint="eastAsia" w:ascii="Times New Roman" w:hAnsi="Times New Roman" w:eastAsia="仿宋" w:cs="Times New Roman"/>
          <w:color w:val="000000"/>
          <w:kern w:val="2"/>
          <w:sz w:val="32"/>
          <w:szCs w:val="32"/>
          <w:lang w:val="zh-CN" w:eastAsia="zh-CN" w:bidi="ar-SA"/>
        </w:rPr>
        <w:t>万元，实际执行共计</w:t>
      </w:r>
      <w:r>
        <w:rPr>
          <w:rFonts w:hint="eastAsia" w:ascii="Times New Roman" w:hAnsi="Times New Roman" w:eastAsia="仿宋" w:cs="Times New Roman"/>
          <w:color w:val="000000"/>
          <w:kern w:val="2"/>
          <w:sz w:val="32"/>
          <w:szCs w:val="32"/>
          <w:lang w:val="en-US" w:eastAsia="zh-CN" w:bidi="ar-SA"/>
        </w:rPr>
        <w:t>2430</w:t>
      </w:r>
      <w:r>
        <w:rPr>
          <w:rFonts w:hint="eastAsia" w:ascii="Times New Roman" w:hAnsi="Times New Roman" w:eastAsia="仿宋" w:cs="Times New Roman"/>
          <w:color w:val="000000"/>
          <w:kern w:val="2"/>
          <w:sz w:val="32"/>
          <w:szCs w:val="32"/>
          <w:lang w:val="zh-CN" w:eastAsia="zh-CN" w:bidi="ar-SA"/>
        </w:rPr>
        <w:t>万元，执行率</w:t>
      </w:r>
      <w:r>
        <w:rPr>
          <w:rFonts w:hint="eastAsia" w:ascii="Times New Roman" w:hAnsi="Times New Roman" w:eastAsia="仿宋" w:cs="Times New Roman"/>
          <w:color w:val="000000"/>
          <w:kern w:val="2"/>
          <w:sz w:val="32"/>
          <w:szCs w:val="32"/>
          <w:lang w:val="en-US" w:eastAsia="zh-CN" w:bidi="ar-SA"/>
        </w:rPr>
        <w:t>10.6</w:t>
      </w:r>
      <w:r>
        <w:rPr>
          <w:rFonts w:hint="eastAsia" w:ascii="Times New Roman" w:hAnsi="Times New Roman" w:eastAsia="仿宋" w:cs="Times New Roman"/>
          <w:color w:val="000000"/>
          <w:kern w:val="2"/>
          <w:sz w:val="32"/>
          <w:szCs w:val="32"/>
          <w:lang w:val="zh-CN" w:eastAsia="zh-CN" w:bidi="ar-SA"/>
        </w:rPr>
        <w:t>%，项目执行情况不达标，无违规情况发生</w:t>
      </w:r>
    </w:p>
    <w:p w14:paraId="668D3B9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w:t>
      </w:r>
      <w:r>
        <w:rPr>
          <w:rFonts w:hint="eastAsia" w:eastAsia="楷体_GB2312" w:cs="Times New Roman"/>
          <w:b/>
          <w:bCs/>
          <w:color w:val="auto"/>
          <w:kern w:val="0"/>
          <w:sz w:val="32"/>
          <w:szCs w:val="32"/>
          <w:highlight w:val="none"/>
          <w:shd w:val="clear" w:color="auto" w:fill="FFFFFF"/>
          <w:lang w:val="zh-CN"/>
        </w:rPr>
        <w:t>单位</w:t>
      </w:r>
      <w:r>
        <w:rPr>
          <w:rFonts w:hint="default" w:ascii="Times New Roman" w:hAnsi="Times New Roman" w:eastAsia="楷体_GB2312" w:cs="Times New Roman"/>
          <w:b/>
          <w:bCs/>
          <w:color w:val="auto"/>
          <w:kern w:val="0"/>
          <w:sz w:val="32"/>
          <w:szCs w:val="32"/>
          <w:highlight w:val="none"/>
          <w:shd w:val="clear" w:color="auto" w:fill="FFFFFF"/>
          <w:lang w:val="zh-CN"/>
        </w:rPr>
        <w:t>整体履职绩效分析。</w:t>
      </w:r>
    </w:p>
    <w:p w14:paraId="14DF4D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按照要求制定了整体支出绩效目标。邻水县中医医院在预算编制中坚持“量入为出，厉行节约”的原则，严格按照预算编制的有关要求，真实反映并准确、及时、合理编制并报送预算草案。注重内部控制建设工作，实施了项目支出动态监控，规范预算执行管理。</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整体支出绩效目标完成情况良好。</w:t>
      </w:r>
    </w:p>
    <w:p w14:paraId="7737B9BF">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结果应用情况。</w:t>
      </w:r>
    </w:p>
    <w:p w14:paraId="1DCEAD71">
      <w:pPr>
        <w:overflowPunct w:val="0"/>
        <w:spacing w:line="590" w:lineRule="exact"/>
        <w:ind w:firstLine="420" w:firstLineChars="200"/>
        <w:rPr>
          <w:rFonts w:hint="eastAsia" w:ascii="Times New Roman" w:hAnsi="Times New Roman" w:eastAsia="仿宋" w:cs="Times New Roman"/>
          <w:color w:val="000000"/>
          <w:kern w:val="2"/>
          <w:sz w:val="32"/>
          <w:szCs w:val="32"/>
          <w:lang w:val="en-US" w:eastAsia="zh-CN" w:bidi="ar-SA"/>
        </w:rPr>
      </w:pPr>
      <w:r>
        <w:rPr>
          <w:rFonts w:hint="eastAsia"/>
          <w:lang w:val="en-US" w:eastAsia="zh-CN"/>
        </w:rPr>
        <w:t xml:space="preserve">  </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预算、</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整体支出绩效目标以及自评包括</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自评情况均按要求及时在县政府门户网站进行了公开，自觉接受监督。针对评价报告中反应的问题，本</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认真开展自查自纠，不断加强学习，不断完善绩效评价指标体系，科学编制预算，严格预算执行，优化资源配置、控制节约成本、提高公共服务质量和财政资金使用效益，充分发挥本</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的职能作用。</w:t>
      </w:r>
    </w:p>
    <w:p w14:paraId="44B24F24">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自评质量。</w:t>
      </w:r>
    </w:p>
    <w:p w14:paraId="26CB06A1">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zh-CN" w:eastAsia="zh-CN" w:bidi="ar-SA"/>
        </w:rPr>
        <w:t>参照评价标准对</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自评进行抽查，执行率较高，自评质量较高。</w:t>
      </w:r>
    </w:p>
    <w:p w14:paraId="6240E2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14:paraId="196DB98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（一）评价结论。</w:t>
      </w:r>
    </w:p>
    <w:p w14:paraId="3BDB3757">
      <w:pPr>
        <w:overflowPunct w:val="0"/>
        <w:spacing w:line="590" w:lineRule="exact"/>
        <w:ind w:firstLine="640" w:firstLineChars="200"/>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2022年邻水县中医医院支出预算，保障</w:t>
      </w:r>
      <w:r>
        <w:rPr>
          <w:rFonts w:hint="eastAsia" w:eastAsia="仿宋" w:cs="Times New Roman"/>
          <w:color w:val="000000"/>
          <w:kern w:val="2"/>
          <w:sz w:val="32"/>
          <w:szCs w:val="32"/>
          <w:lang w:val="zh-CN" w:eastAsia="zh-CN" w:bidi="ar-SA"/>
        </w:rPr>
        <w:t>单位</w:t>
      </w:r>
      <w:r>
        <w:rPr>
          <w:rFonts w:hint="eastAsia" w:ascii="Times New Roman" w:hAnsi="Times New Roman" w:eastAsia="仿宋" w:cs="Times New Roman"/>
          <w:color w:val="000000"/>
          <w:kern w:val="2"/>
          <w:sz w:val="32"/>
          <w:szCs w:val="32"/>
          <w:lang w:val="zh-CN" w:eastAsia="zh-CN" w:bidi="ar-SA"/>
        </w:rPr>
        <w:t>日常正常运转，完善硬件配套设施。加强规范财务管理制度、预算制度与体制等制度体系，提高资金使用效益，确保工作正常有序运行，合理编制并严格执行经费收支预算，如实反映财务收支情况，开展财务活动分析，有力促进了邻水县中医医院正常运转作出了积极的贡献，自评得分9</w:t>
      </w:r>
      <w:r>
        <w:rPr>
          <w:rFonts w:hint="eastAsia" w:ascii="Times New Roman" w:hAnsi="Times New Roman" w:eastAsia="仿宋" w:cs="Times New Roman"/>
          <w:color w:val="000000"/>
          <w:kern w:val="2"/>
          <w:sz w:val="32"/>
          <w:szCs w:val="32"/>
          <w:lang w:val="en-US" w:eastAsia="zh-CN" w:bidi="ar-SA"/>
        </w:rPr>
        <w:t>0</w:t>
      </w:r>
      <w:r>
        <w:rPr>
          <w:rFonts w:hint="eastAsia" w:ascii="Times New Roman" w:hAnsi="Times New Roman" w:eastAsia="仿宋" w:cs="Times New Roman"/>
          <w:color w:val="000000"/>
          <w:kern w:val="2"/>
          <w:sz w:val="32"/>
          <w:szCs w:val="32"/>
          <w:lang w:val="zh-CN" w:eastAsia="zh-CN" w:bidi="ar-SA"/>
        </w:rPr>
        <w:t>分。</w:t>
      </w:r>
    </w:p>
    <w:p w14:paraId="0CF69819">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存在问题。</w:t>
      </w:r>
    </w:p>
    <w:p w14:paraId="37C62548">
      <w:pPr>
        <w:overflowPunct w:val="0"/>
        <w:spacing w:line="590" w:lineRule="exact"/>
        <w:ind w:firstLine="640" w:firstLineChars="200"/>
        <w:rPr>
          <w:rFonts w:hint="default"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2022年预算编制不够精准，存在预算调整情况，年初预算数与决算数存在偏差；预算编制重视不够。</w:t>
      </w:r>
    </w:p>
    <w:p w14:paraId="0B770AC3">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改进建议。</w:t>
      </w:r>
    </w:p>
    <w:p w14:paraId="6ECA5241">
      <w:pPr>
        <w:overflowPunct w:val="0"/>
        <w:spacing w:line="590" w:lineRule="exact"/>
        <w:ind w:firstLine="640" w:firstLineChars="200"/>
        <w:rPr>
          <w:rFonts w:hint="eastAsia"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1.细化预算编制工作，认真做好预算的编制。进一步提高预算管理水平，严格按照预算编制的相关制度和要求进行预算编制。</w:t>
      </w:r>
    </w:p>
    <w:p w14:paraId="0895E334">
      <w:pPr>
        <w:overflowPunct w:val="0"/>
        <w:spacing w:line="590" w:lineRule="exact"/>
        <w:ind w:firstLine="640" w:firstLineChars="200"/>
        <w:rPr>
          <w:rFonts w:hint="eastAsia" w:ascii="Times New Roman" w:hAnsi="Times New Roman" w:eastAsia="仿宋" w:cs="Times New Roman"/>
          <w:color w:val="000000"/>
          <w:kern w:val="2"/>
          <w:sz w:val="32"/>
          <w:szCs w:val="32"/>
          <w:lang w:val="zh-CN" w:eastAsia="zh-CN" w:bidi="ar-SA"/>
        </w:rPr>
      </w:pPr>
      <w:r>
        <w:rPr>
          <w:rFonts w:hint="eastAsia" w:ascii="Times New Roman" w:hAnsi="Times New Roman" w:eastAsia="仿宋" w:cs="Times New Roman"/>
          <w:color w:val="000000"/>
          <w:kern w:val="2"/>
          <w:sz w:val="32"/>
          <w:szCs w:val="32"/>
          <w:lang w:val="zh-CN" w:eastAsia="zh-CN" w:bidi="ar-SA"/>
        </w:rPr>
        <w:t>2.加强单位财务管理，健全单位财务管理制度体系，规范单位财务行为。</w:t>
      </w:r>
    </w:p>
    <w:p w14:paraId="2D1B37D9">
      <w:pPr>
        <w:overflowPunct w:val="0"/>
        <w:spacing w:line="590" w:lineRule="exact"/>
        <w:ind w:firstLine="640" w:firstLineChars="200"/>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7A0EBE34">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405F302F">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157213D2">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5C78DCCE">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15861D91">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25FE12FA">
      <w:pPr>
        <w:pStyle w:val="2"/>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14:paraId="7FF8F892">
      <w:pPr>
        <w:overflowPunct w:val="0"/>
        <w:spacing w:line="590" w:lineRule="exact"/>
        <w:jc w:val="left"/>
        <w:outlineLvl w:val="0"/>
        <w:rPr>
          <w:rFonts w:ascii="方正黑体_GBK" w:hAnsi="黑体" w:eastAsia="方正黑体_GBK" w:cs="黑体"/>
          <w:sz w:val="32"/>
          <w:szCs w:val="32"/>
        </w:rPr>
      </w:pPr>
      <w:r>
        <w:rPr>
          <w:rFonts w:hint="eastAsia" w:ascii="方正黑体_GBK" w:hAnsi="黑体" w:eastAsia="方正黑体_GBK" w:cs="黑体"/>
          <w:sz w:val="32"/>
          <w:szCs w:val="32"/>
        </w:rPr>
        <w:t>附件2</w:t>
      </w:r>
    </w:p>
    <w:p w14:paraId="4AC678B1">
      <w:pPr>
        <w:pStyle w:val="32"/>
        <w:overflowPunct w:val="0"/>
        <w:spacing w:line="700" w:lineRule="exact"/>
        <w:jc w:val="center"/>
        <w:rPr>
          <w:rFonts w:hint="default" w:ascii="Times New Roman" w:hAnsi="Times New Roman" w:eastAsia="仿宋_GB2312" w:cs="Times New Roman"/>
          <w:color w:val="auto"/>
          <w:sz w:val="32"/>
          <w:szCs w:val="32"/>
          <w:highlight w:val="yellow"/>
          <w:lang w:val="en-US" w:eastAsia="zh-CN"/>
        </w:rPr>
      </w:pPr>
      <w:r>
        <w:rPr>
          <w:rFonts w:hint="eastAsia" w:ascii="方正小标宋_GBK" w:hAnsi="方正小标宋简体" w:eastAsia="方正小标宋_GBK" w:cs="方正小标宋简体"/>
          <w:b/>
          <w:color w:val="auto"/>
          <w:kern w:val="2"/>
          <w:sz w:val="44"/>
          <w:szCs w:val="44"/>
          <w:lang w:val="en-US" w:eastAsia="zh-CN"/>
        </w:rPr>
        <w:t>电子病历系统</w:t>
      </w:r>
      <w:r>
        <w:rPr>
          <w:rFonts w:hint="eastAsia" w:ascii="方正小标宋_GBK" w:hAnsi="方正小标宋简体" w:eastAsia="方正小标宋_GBK" w:cs="方正小标宋简体"/>
          <w:b/>
          <w:color w:val="auto"/>
          <w:kern w:val="2"/>
          <w:sz w:val="44"/>
          <w:szCs w:val="44"/>
          <w:lang w:val="en-US"/>
        </w:rPr>
        <w:t>项目绩效自评报告</w:t>
      </w:r>
    </w:p>
    <w:p w14:paraId="29298EED">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shd w:val="clear" w:color="auto" w:fill="FFFFFF"/>
          <w:lang w:val="en-US" w:eastAsia="zh-CN" w:bidi="ar-SA"/>
        </w:rPr>
        <w:t>一、项目概况</w:t>
      </w:r>
    </w:p>
    <w:p w14:paraId="3435D7DD">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（一）项目基本情况</w:t>
      </w:r>
    </w:p>
    <w:p w14:paraId="69A4255F">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电子病历系统项目是为了</w:t>
      </w:r>
      <w:r>
        <w:rPr>
          <w:rFonts w:hint="default" w:ascii="Times New Roman" w:hAnsi="Times New Roman" w:eastAsia="仿宋" w:cs="Times New Roman"/>
          <w:color w:val="000000"/>
          <w:kern w:val="2"/>
          <w:sz w:val="32"/>
          <w:szCs w:val="32"/>
          <w:lang w:val="en-US" w:eastAsia="zh-CN" w:bidi="ar-SA"/>
        </w:rPr>
        <w:t>满足国家三级医院电子病历应用水平四级、互联互通五乙水平</w:t>
      </w:r>
      <w:r>
        <w:rPr>
          <w:rFonts w:hint="eastAsia" w:ascii="Times New Roman" w:hAnsi="Times New Roman" w:eastAsia="仿宋" w:cs="Times New Roman"/>
          <w:color w:val="000000"/>
          <w:kern w:val="2"/>
          <w:sz w:val="32"/>
          <w:szCs w:val="32"/>
          <w:lang w:val="en-US" w:eastAsia="zh-CN" w:bidi="ar-SA"/>
        </w:rPr>
        <w:t>，实现医院智慧化发展</w:t>
      </w:r>
    </w:p>
    <w:p w14:paraId="014D1DC3">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（二）项目绩效目标</w:t>
      </w:r>
    </w:p>
    <w:p w14:paraId="68EFA4B0">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1.项目主要内容</w:t>
      </w:r>
    </w:p>
    <w:p w14:paraId="3F0632FC">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督促项目建设进度、验收情况、审计情况，跟踪项目后期管护情况，确保项目持续发挥三大效益。</w:t>
      </w:r>
    </w:p>
    <w:p w14:paraId="1A21728C">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2.项目应实现的绩效目标</w:t>
      </w:r>
    </w:p>
    <w:p w14:paraId="585F9D60">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满足国家三级医院电子病历应用水平四级、互联互通五乙水平</w:t>
      </w:r>
      <w:r>
        <w:rPr>
          <w:rFonts w:hint="eastAsia" w:ascii="Times New Roman" w:hAnsi="Times New Roman" w:eastAsia="仿宋" w:cs="Times New Roman"/>
          <w:color w:val="000000"/>
          <w:kern w:val="2"/>
          <w:sz w:val="32"/>
          <w:szCs w:val="32"/>
          <w:lang w:val="en-US" w:eastAsia="zh-CN" w:bidi="ar-SA"/>
        </w:rPr>
        <w:t>，实现医院智慧化发展</w:t>
      </w:r>
    </w:p>
    <w:p w14:paraId="14F77B72">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3.项目申报内容是否与实际相符</w:t>
      </w:r>
    </w:p>
    <w:p w14:paraId="5C63CFFA">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申报内容与具体实施内容完全相符且申报目标合规合理可行。</w:t>
      </w:r>
    </w:p>
    <w:p w14:paraId="5B545464">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（三）项目自评步骤及方法</w:t>
      </w:r>
    </w:p>
    <w:p w14:paraId="33BEDA78">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项目绩效自评采用的组织实施步骤首先是自查自评，然后公开公示，接受相关</w:t>
      </w:r>
      <w:r>
        <w:rPr>
          <w:rFonts w:hint="eastAsia" w:eastAsia="仿宋" w:cs="Times New Roman"/>
          <w:color w:val="000000"/>
          <w:kern w:val="2"/>
          <w:sz w:val="32"/>
          <w:szCs w:val="32"/>
          <w:lang w:val="en-US" w:eastAsia="zh-CN" w:bidi="ar-SA"/>
        </w:rPr>
        <w:t>单位</w:t>
      </w:r>
      <w:r>
        <w:rPr>
          <w:rFonts w:hint="default" w:ascii="Times New Roman" w:hAnsi="Times New Roman" w:eastAsia="仿宋" w:cs="Times New Roman"/>
          <w:color w:val="000000"/>
          <w:kern w:val="2"/>
          <w:sz w:val="32"/>
          <w:szCs w:val="32"/>
          <w:lang w:val="en-US" w:eastAsia="zh-CN" w:bidi="ar-SA"/>
        </w:rPr>
        <w:t>的监督，采用正反判断指标法，分级评分法，比率分值法等综合指标进行自我分析和评价。</w:t>
      </w:r>
    </w:p>
    <w:p w14:paraId="1473AFD3">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shd w:val="clear" w:color="auto" w:fill="FFFFFF"/>
          <w:lang w:val="en-US" w:eastAsia="zh-CN" w:bidi="ar-SA"/>
        </w:rPr>
        <w:t>二、项目资金申报及使用情况</w:t>
      </w:r>
    </w:p>
    <w:p w14:paraId="66A8A447">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（一）项目资金申报及批复情况</w:t>
      </w:r>
    </w:p>
    <w:p w14:paraId="53A6863F">
      <w:pPr>
        <w:overflowPunct w:val="0"/>
        <w:spacing w:line="59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电子病历系统项目预算1400万</w:t>
      </w:r>
      <w:r>
        <w:rPr>
          <w:rFonts w:hint="default" w:ascii="Times New Roman" w:hAnsi="Times New Roman" w:eastAsia="仿宋" w:cs="Times New Roman"/>
          <w:color w:val="000000"/>
          <w:kern w:val="2"/>
          <w:sz w:val="32"/>
          <w:szCs w:val="32"/>
          <w:lang w:val="en-US" w:eastAsia="zh-CN" w:bidi="ar-SA"/>
        </w:rPr>
        <w:t>，批复</w:t>
      </w:r>
      <w:r>
        <w:rPr>
          <w:rFonts w:hint="eastAsia" w:ascii="Times New Roman" w:hAnsi="Times New Roman" w:eastAsia="仿宋" w:cs="Times New Roman"/>
          <w:color w:val="000000"/>
          <w:kern w:val="2"/>
          <w:sz w:val="32"/>
          <w:szCs w:val="32"/>
          <w:lang w:val="en-US" w:eastAsia="zh-CN" w:bidi="ar-SA"/>
        </w:rPr>
        <w:t>1400</w:t>
      </w:r>
      <w:r>
        <w:rPr>
          <w:rFonts w:hint="default" w:ascii="Times New Roman" w:hAnsi="Times New Roman" w:eastAsia="仿宋" w:cs="Times New Roman"/>
          <w:color w:val="000000"/>
          <w:kern w:val="2"/>
          <w:sz w:val="32"/>
          <w:szCs w:val="32"/>
          <w:lang w:val="en-US" w:eastAsia="zh-CN" w:bidi="ar-SA"/>
        </w:rPr>
        <w:t>万元。</w:t>
      </w:r>
    </w:p>
    <w:p w14:paraId="2F63F12F">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（二）资金计划、到位及使用情况</w:t>
      </w:r>
    </w:p>
    <w:p w14:paraId="49FBF603">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w:t>
      </w:r>
      <w:r>
        <w:rPr>
          <w:rFonts w:hint="eastAsia" w:ascii="Times New Roman" w:hAnsi="Times New Roman" w:eastAsia="楷体_GB2312" w:cs="Times New Roman"/>
          <w:b/>
          <w:bCs/>
          <w:color w:val="auto"/>
          <w:kern w:val="0"/>
          <w:sz w:val="32"/>
          <w:szCs w:val="32"/>
          <w:highlight w:val="none"/>
          <w:shd w:val="clear" w:color="auto" w:fill="FFFFFF"/>
          <w:lang w:val="en-US" w:eastAsia="zh-CN" w:bidi="ar-SA"/>
        </w:rPr>
        <w:t>1</w:t>
      </w: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）项目资金申报及批复情况</w:t>
      </w:r>
    </w:p>
    <w:p w14:paraId="4BF89679">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eastAsia="仿宋" w:cs="Times New Roman"/>
          <w:color w:val="000000"/>
          <w:kern w:val="2"/>
          <w:sz w:val="32"/>
          <w:szCs w:val="32"/>
          <w:lang w:val="en-US" w:eastAsia="zh-CN" w:bidi="ar-SA"/>
        </w:rPr>
        <w:t>邻水县中医医院电子病历项目经费</w:t>
      </w:r>
      <w:r>
        <w:rPr>
          <w:rFonts w:hint="default" w:ascii="Times New Roman" w:hAnsi="Times New Roman" w:eastAsia="仿宋" w:cs="Times New Roman"/>
          <w:color w:val="000000"/>
          <w:kern w:val="2"/>
          <w:sz w:val="32"/>
          <w:szCs w:val="32"/>
          <w:lang w:val="en-US" w:eastAsia="zh-CN" w:bidi="ar-SA"/>
        </w:rPr>
        <w:t>，通过县人民政府打报告批准后方上指标，申请后才能使用。</w:t>
      </w:r>
    </w:p>
    <w:p w14:paraId="3BCA2DDE">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w:t>
      </w:r>
      <w:r>
        <w:rPr>
          <w:rFonts w:hint="eastAsia" w:ascii="Times New Roman" w:hAnsi="Times New Roman" w:eastAsia="楷体_GB2312" w:cs="Times New Roman"/>
          <w:b/>
          <w:bCs/>
          <w:color w:val="auto"/>
          <w:kern w:val="0"/>
          <w:sz w:val="32"/>
          <w:szCs w:val="32"/>
          <w:highlight w:val="none"/>
          <w:shd w:val="clear" w:color="auto" w:fill="FFFFFF"/>
          <w:lang w:val="en-US" w:eastAsia="zh-CN" w:bidi="ar-SA"/>
        </w:rPr>
        <w:t>2</w:t>
      </w: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）资金计划、到位及使用情况</w:t>
      </w:r>
    </w:p>
    <w:p w14:paraId="5553F91E">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1.资金计划。</w:t>
      </w:r>
      <w:r>
        <w:rPr>
          <w:rFonts w:hint="eastAsia" w:ascii="Times New Roman" w:eastAsia="仿宋" w:cs="Times New Roman"/>
          <w:color w:val="000000"/>
          <w:kern w:val="2"/>
          <w:sz w:val="32"/>
          <w:szCs w:val="32"/>
          <w:lang w:val="en-US" w:eastAsia="zh-CN" w:bidi="ar-SA"/>
        </w:rPr>
        <w:t>1400</w:t>
      </w:r>
      <w:r>
        <w:rPr>
          <w:rFonts w:hint="default" w:ascii="Times New Roman" w:eastAsia="仿宋" w:cs="Times New Roman"/>
          <w:color w:val="000000"/>
          <w:kern w:val="2"/>
          <w:sz w:val="32"/>
          <w:szCs w:val="32"/>
          <w:lang w:val="en-US" w:eastAsia="zh-CN" w:bidi="ar-SA"/>
        </w:rPr>
        <w:t>万元。</w:t>
      </w:r>
    </w:p>
    <w:p w14:paraId="60F95F8E">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2.资金到位。按照县人民政府批准金额，工作经费于2022年</w:t>
      </w:r>
      <w:r>
        <w:rPr>
          <w:rFonts w:hint="eastAsia" w:ascii="Times New Roman" w:eastAsia="仿宋" w:cs="Times New Roman"/>
          <w:color w:val="000000"/>
          <w:kern w:val="2"/>
          <w:sz w:val="32"/>
          <w:szCs w:val="32"/>
          <w:lang w:val="en-US" w:eastAsia="zh-CN" w:bidi="ar-SA"/>
        </w:rPr>
        <w:t>3</w:t>
      </w:r>
      <w:r>
        <w:rPr>
          <w:rFonts w:hint="default" w:ascii="Times New Roman" w:eastAsia="仿宋" w:cs="Times New Roman"/>
          <w:color w:val="000000"/>
          <w:kern w:val="2"/>
          <w:sz w:val="32"/>
          <w:szCs w:val="32"/>
          <w:lang w:val="en-US" w:eastAsia="zh-CN" w:bidi="ar-SA"/>
        </w:rPr>
        <w:t>月</w:t>
      </w:r>
      <w:r>
        <w:rPr>
          <w:rFonts w:hint="eastAsia" w:ascii="Times New Roman" w:eastAsia="仿宋" w:cs="Times New Roman"/>
          <w:color w:val="000000"/>
          <w:kern w:val="2"/>
          <w:sz w:val="32"/>
          <w:szCs w:val="32"/>
          <w:lang w:val="en-US" w:eastAsia="zh-CN" w:bidi="ar-SA"/>
        </w:rPr>
        <w:t>1</w:t>
      </w:r>
      <w:r>
        <w:rPr>
          <w:rFonts w:hint="default" w:ascii="Times New Roman" w:eastAsia="仿宋" w:cs="Times New Roman"/>
          <w:color w:val="000000"/>
          <w:kern w:val="2"/>
          <w:sz w:val="32"/>
          <w:szCs w:val="32"/>
          <w:lang w:val="en-US" w:eastAsia="zh-CN" w:bidi="ar-SA"/>
        </w:rPr>
        <w:t>日全部到位。</w:t>
      </w:r>
    </w:p>
    <w:p w14:paraId="02855E7A">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3.资金使用。主要用于</w:t>
      </w:r>
      <w:r>
        <w:rPr>
          <w:rFonts w:hint="eastAsia" w:ascii="Times New Roman" w:eastAsia="仿宋" w:cs="Times New Roman"/>
          <w:color w:val="000000"/>
          <w:kern w:val="2"/>
          <w:sz w:val="32"/>
          <w:szCs w:val="32"/>
          <w:lang w:val="en-US" w:eastAsia="zh-CN" w:bidi="ar-SA"/>
        </w:rPr>
        <w:t>采购电子病历系统项目</w:t>
      </w:r>
      <w:r>
        <w:rPr>
          <w:rFonts w:hint="default" w:ascii="Times New Roman" w:eastAsia="仿宋" w:cs="Times New Roman"/>
          <w:color w:val="000000"/>
          <w:kern w:val="2"/>
          <w:sz w:val="32"/>
          <w:szCs w:val="32"/>
          <w:lang w:val="en-US" w:eastAsia="zh-CN" w:bidi="ar-SA"/>
        </w:rPr>
        <w:t>，资金使用规范。</w:t>
      </w:r>
    </w:p>
    <w:p w14:paraId="3AC0D834">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w:t>
      </w:r>
      <w:r>
        <w:rPr>
          <w:rFonts w:hint="eastAsia" w:ascii="Times New Roman" w:hAnsi="Times New Roman" w:eastAsia="楷体_GB2312" w:cs="Times New Roman"/>
          <w:b/>
          <w:bCs/>
          <w:color w:val="auto"/>
          <w:kern w:val="0"/>
          <w:sz w:val="32"/>
          <w:szCs w:val="32"/>
          <w:highlight w:val="none"/>
          <w:shd w:val="clear" w:color="auto" w:fill="FFFFFF"/>
          <w:lang w:val="en-US" w:eastAsia="zh-CN" w:bidi="ar-SA"/>
        </w:rPr>
        <w:t>3</w:t>
      </w: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）项目财务管理情况</w:t>
      </w:r>
    </w:p>
    <w:p w14:paraId="66436B48">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财务管理制度健全，严格执行财务管理制度。会计核算和账务处理规范，财务入账及时资料真实、完整。</w:t>
      </w:r>
    </w:p>
    <w:p w14:paraId="0DF14DF6">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shd w:val="clear" w:color="auto" w:fill="FFFFFF"/>
          <w:lang w:val="en-US" w:eastAsia="zh-CN" w:bidi="ar-SA"/>
        </w:rPr>
        <w:t>三、项目实施及管理情况</w:t>
      </w:r>
    </w:p>
    <w:p w14:paraId="382D4004">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（一）项目组织架构及实施流程</w:t>
      </w:r>
    </w:p>
    <w:p w14:paraId="62AB948D">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eastAsia" w:ascii="Times New Roman" w:eastAsia="仿宋" w:cs="Times New Roman"/>
          <w:color w:val="000000"/>
          <w:kern w:val="2"/>
          <w:sz w:val="32"/>
          <w:szCs w:val="32"/>
          <w:lang w:val="en-US" w:eastAsia="zh-CN" w:bidi="ar-SA"/>
        </w:rPr>
        <w:t>由信息科提出申请，财务科配合预算项目执行，采购办采购，全程纪委，审计部门参与。</w:t>
      </w:r>
    </w:p>
    <w:p w14:paraId="668272DA">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（二）项目管理情况</w:t>
      </w:r>
    </w:p>
    <w:p w14:paraId="6B17994A">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本项目采取项目</w:t>
      </w:r>
      <w:r>
        <w:rPr>
          <w:rFonts w:hint="eastAsia" w:ascii="Times New Roman" w:eastAsia="仿宋" w:cs="Times New Roman"/>
          <w:color w:val="000000"/>
          <w:kern w:val="2"/>
          <w:sz w:val="32"/>
          <w:szCs w:val="32"/>
          <w:lang w:val="en-US" w:eastAsia="zh-CN" w:bidi="ar-SA"/>
        </w:rPr>
        <w:t>由信息科提出申请，财务科配合预算项目执行，采购办采购，通力配合完成。</w:t>
      </w:r>
    </w:p>
    <w:p w14:paraId="452C1C11">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（三）项目监管情况</w:t>
      </w:r>
    </w:p>
    <w:p w14:paraId="64C58585">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项目资金由</w:t>
      </w:r>
      <w:r>
        <w:rPr>
          <w:rFonts w:hint="eastAsia" w:ascii="Times New Roman" w:eastAsia="仿宋" w:cs="Times New Roman"/>
          <w:color w:val="000000"/>
          <w:kern w:val="2"/>
          <w:sz w:val="32"/>
          <w:szCs w:val="32"/>
          <w:lang w:val="en-US" w:eastAsia="zh-CN" w:bidi="ar-SA"/>
        </w:rPr>
        <w:t>财务科监督执行</w:t>
      </w:r>
      <w:r>
        <w:rPr>
          <w:rFonts w:hint="default" w:ascii="Times New Roman" w:eastAsia="仿宋" w:cs="Times New Roman"/>
          <w:color w:val="000000"/>
          <w:kern w:val="2"/>
          <w:sz w:val="32"/>
          <w:szCs w:val="32"/>
          <w:lang w:val="en-US" w:eastAsia="zh-CN" w:bidi="ar-SA"/>
        </w:rPr>
        <w:t>，按资金计划，制定管理制度，实行“专款专用、专人管理”，不得挤占挪用项目资金。由</w:t>
      </w:r>
      <w:r>
        <w:rPr>
          <w:rFonts w:hint="eastAsia" w:ascii="Times New Roman" w:eastAsia="仿宋" w:cs="Times New Roman"/>
          <w:color w:val="000000"/>
          <w:kern w:val="2"/>
          <w:sz w:val="32"/>
          <w:szCs w:val="32"/>
          <w:lang w:val="en-US" w:eastAsia="zh-CN" w:bidi="ar-SA"/>
        </w:rPr>
        <w:t>医院纪委以及审计部门</w:t>
      </w:r>
      <w:r>
        <w:rPr>
          <w:rFonts w:hint="default" w:ascii="Times New Roman" w:eastAsia="仿宋" w:cs="Times New Roman"/>
          <w:color w:val="000000"/>
          <w:kern w:val="2"/>
          <w:sz w:val="32"/>
          <w:szCs w:val="32"/>
          <w:lang w:val="en-US" w:eastAsia="zh-CN" w:bidi="ar-SA"/>
        </w:rPr>
        <w:t>对项目的进度、资金支付等定期或不定期的进行检查和监督。</w:t>
      </w:r>
    </w:p>
    <w:p w14:paraId="4CFA2929">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shd w:val="clear" w:color="auto" w:fill="FFFFFF"/>
          <w:lang w:val="en-US" w:eastAsia="zh-CN" w:bidi="ar-SA"/>
        </w:rPr>
        <w:t>四、项目绩效情况</w:t>
      </w:r>
    </w:p>
    <w:p w14:paraId="1D600E5B">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（一）项目完成情况</w:t>
      </w:r>
    </w:p>
    <w:p w14:paraId="5CB90E82">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eastAsia="仿宋" w:cs="Times New Roman"/>
          <w:color w:val="000000"/>
          <w:kern w:val="2"/>
          <w:sz w:val="32"/>
          <w:szCs w:val="32"/>
          <w:lang w:val="en-US" w:eastAsia="zh-CN" w:bidi="ar-SA"/>
        </w:rPr>
        <w:t>电子病历系统采购成功项目全部完工并验收</w:t>
      </w:r>
      <w:r>
        <w:rPr>
          <w:rFonts w:hint="default" w:ascii="Times New Roman" w:hAnsi="Times New Roman" w:eastAsia="仿宋_GB2312" w:cs="Times New Roman"/>
          <w:color w:val="auto"/>
          <w:sz w:val="32"/>
          <w:szCs w:val="32"/>
          <w:highlight w:val="none"/>
          <w:lang w:val="en-US" w:eastAsia="zh-CN"/>
        </w:rPr>
        <w:t>。</w:t>
      </w:r>
    </w:p>
    <w:p w14:paraId="11C07F3A">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（二）项目效益情况</w:t>
      </w:r>
    </w:p>
    <w:p w14:paraId="55F29B24">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项目有效推动</w:t>
      </w:r>
      <w:r>
        <w:rPr>
          <w:rFonts w:hint="eastAsia" w:ascii="Times New Roman" w:eastAsia="仿宋" w:cs="Times New Roman"/>
          <w:color w:val="000000"/>
          <w:kern w:val="2"/>
          <w:sz w:val="32"/>
          <w:szCs w:val="32"/>
          <w:lang w:val="en-US" w:eastAsia="zh-CN" w:bidi="ar-SA"/>
        </w:rPr>
        <w:t>医院信息化水平的提升</w:t>
      </w:r>
      <w:r>
        <w:rPr>
          <w:rFonts w:hint="default" w:ascii="Times New Roman" w:eastAsia="仿宋" w:cs="Times New Roman"/>
          <w:color w:val="000000"/>
          <w:kern w:val="2"/>
          <w:sz w:val="32"/>
          <w:szCs w:val="32"/>
          <w:lang w:val="en-US" w:eastAsia="zh-CN" w:bidi="ar-SA"/>
        </w:rPr>
        <w:t>，生态效益、社会效益良好，项目周边满意度大于95%。</w:t>
      </w:r>
    </w:p>
    <w:p w14:paraId="79FF638F">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shd w:val="clear" w:color="auto" w:fill="FFFFFF"/>
          <w:lang w:val="en-US" w:eastAsia="zh-CN" w:bidi="ar-SA"/>
        </w:rPr>
        <w:t>五、评价结论及建议</w:t>
      </w:r>
    </w:p>
    <w:p w14:paraId="7F4DD3C5">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（一）评价结论</w:t>
      </w:r>
    </w:p>
    <w:p w14:paraId="093E04FA">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通过对</w:t>
      </w:r>
      <w:r>
        <w:rPr>
          <w:rFonts w:hint="eastAsia" w:ascii="Times New Roman" w:eastAsia="仿宋" w:cs="Times New Roman"/>
          <w:color w:val="000000"/>
          <w:kern w:val="2"/>
          <w:sz w:val="32"/>
          <w:szCs w:val="32"/>
          <w:lang w:val="en-US" w:eastAsia="zh-CN" w:bidi="ar-SA"/>
        </w:rPr>
        <w:t>电子病历系统项目经费</w:t>
      </w:r>
      <w:r>
        <w:rPr>
          <w:rFonts w:hint="default" w:ascii="Times New Roman" w:eastAsia="仿宋" w:cs="Times New Roman"/>
          <w:color w:val="000000"/>
          <w:kern w:val="2"/>
          <w:sz w:val="32"/>
          <w:szCs w:val="32"/>
          <w:lang w:val="en-US" w:eastAsia="zh-CN" w:bidi="ar-SA"/>
        </w:rPr>
        <w:t>的使用，实施绩效进行了指标评价，该项目经费为</w:t>
      </w:r>
      <w:r>
        <w:rPr>
          <w:rFonts w:hint="eastAsia" w:ascii="Times New Roman" w:eastAsia="仿宋" w:cs="Times New Roman"/>
          <w:color w:val="000000"/>
          <w:kern w:val="2"/>
          <w:sz w:val="32"/>
          <w:szCs w:val="32"/>
          <w:lang w:val="en-US" w:eastAsia="zh-CN" w:bidi="ar-SA"/>
        </w:rPr>
        <w:t>医院电子病历系统</w:t>
      </w:r>
      <w:r>
        <w:rPr>
          <w:rFonts w:hint="default" w:ascii="Times New Roman" w:eastAsia="仿宋" w:cs="Times New Roman"/>
          <w:color w:val="000000"/>
          <w:kern w:val="2"/>
          <w:sz w:val="32"/>
          <w:szCs w:val="32"/>
          <w:lang w:val="en-US" w:eastAsia="zh-CN" w:bidi="ar-SA"/>
        </w:rPr>
        <w:t>提供有效资金保障，受益群众满意度大于95%，评价结论为“好”。</w:t>
      </w:r>
    </w:p>
    <w:p w14:paraId="4783A877">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（二）存在的问题</w:t>
      </w:r>
    </w:p>
    <w:p w14:paraId="70C7D2D3">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经费预算管理有待加强，绩效目标编制有待进一步完善，项目绩效管理需进一步落实到位。</w:t>
      </w:r>
    </w:p>
    <w:p w14:paraId="4D2B5D89">
      <w:pPr>
        <w:pStyle w:val="1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en-US" w:eastAsia="zh-CN" w:bidi="ar-SA"/>
        </w:rPr>
        <w:t>（三）相关建议</w:t>
      </w:r>
    </w:p>
    <w:p w14:paraId="2818C1A9">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eastAsia="仿宋" w:cs="Times New Roman"/>
          <w:color w:val="000000"/>
          <w:kern w:val="2"/>
          <w:sz w:val="32"/>
          <w:szCs w:val="32"/>
          <w:lang w:val="en-US" w:eastAsia="zh-CN" w:bidi="ar-SA"/>
        </w:rPr>
      </w:pPr>
      <w:r>
        <w:rPr>
          <w:rFonts w:hint="default" w:ascii="Times New Roman" w:eastAsia="仿宋" w:cs="Times New Roman"/>
          <w:color w:val="000000"/>
          <w:kern w:val="2"/>
          <w:sz w:val="32"/>
          <w:szCs w:val="32"/>
          <w:lang w:val="en-US" w:eastAsia="zh-CN" w:bidi="ar-SA"/>
        </w:rPr>
        <w:t>加强</w:t>
      </w:r>
      <w:r>
        <w:rPr>
          <w:rFonts w:hint="eastAsia" w:ascii="Times New Roman" w:eastAsia="仿宋" w:cs="Times New Roman"/>
          <w:color w:val="000000"/>
          <w:kern w:val="2"/>
          <w:sz w:val="32"/>
          <w:szCs w:val="32"/>
          <w:lang w:val="en-US" w:eastAsia="zh-CN" w:bidi="ar-SA"/>
        </w:rPr>
        <w:t>单位</w:t>
      </w:r>
      <w:r>
        <w:rPr>
          <w:rFonts w:hint="default" w:ascii="Times New Roman" w:eastAsia="仿宋" w:cs="Times New Roman"/>
          <w:color w:val="000000"/>
          <w:kern w:val="2"/>
          <w:sz w:val="32"/>
          <w:szCs w:val="32"/>
          <w:lang w:val="en-US" w:eastAsia="zh-CN" w:bidi="ar-SA"/>
        </w:rPr>
        <w:t>预算绩效管理的指导和培训，增强提高绩效管理业务人员绩效管理能力、专业素质和思想水平。</w:t>
      </w:r>
    </w:p>
    <w:p w14:paraId="3FD66DEB">
      <w:pPr>
        <w:pStyle w:val="1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yellow"/>
          <w:lang w:val="zh-CN" w:eastAsia="zh-CN"/>
        </w:rPr>
      </w:pPr>
    </w:p>
    <w:p w14:paraId="43CAF877">
      <w:pPr>
        <w:pStyle w:val="1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yellow"/>
          <w:lang w:val="zh-CN" w:eastAsia="zh-CN"/>
        </w:rPr>
      </w:pPr>
    </w:p>
    <w:p w14:paraId="43831D08">
      <w:pPr>
        <w:widowControl/>
        <w:overflowPunct w:val="0"/>
        <w:rPr>
          <w:rFonts w:eastAsia="方正黑体_GBK"/>
        </w:rPr>
      </w:pPr>
    </w:p>
    <w:p w14:paraId="6A3668E3">
      <w:pPr>
        <w:pStyle w:val="2"/>
        <w:rPr>
          <w:rFonts w:eastAsia="方正黑体_GBK"/>
        </w:rPr>
      </w:pPr>
    </w:p>
    <w:p w14:paraId="03D9CCFC">
      <w:pPr>
        <w:pStyle w:val="2"/>
        <w:rPr>
          <w:rFonts w:eastAsia="方正黑体_GBK"/>
        </w:rPr>
      </w:pPr>
    </w:p>
    <w:p w14:paraId="2623C684">
      <w:pPr>
        <w:pStyle w:val="2"/>
        <w:rPr>
          <w:rFonts w:eastAsia="方正黑体_GBK"/>
        </w:rPr>
      </w:pPr>
    </w:p>
    <w:p w14:paraId="3916B043">
      <w:pPr>
        <w:pStyle w:val="2"/>
        <w:rPr>
          <w:rFonts w:eastAsia="方正黑体_GBK"/>
        </w:rPr>
      </w:pPr>
    </w:p>
    <w:p w14:paraId="39EDDC10">
      <w:pPr>
        <w:pStyle w:val="2"/>
        <w:rPr>
          <w:rFonts w:eastAsia="方正黑体_GBK"/>
        </w:rPr>
      </w:pPr>
    </w:p>
    <w:p w14:paraId="78B08BA8">
      <w:pPr>
        <w:pStyle w:val="2"/>
        <w:rPr>
          <w:rFonts w:eastAsia="方正黑体_GBK"/>
        </w:rPr>
      </w:pPr>
    </w:p>
    <w:p w14:paraId="45DF22D2">
      <w:pPr>
        <w:pStyle w:val="2"/>
        <w:rPr>
          <w:rFonts w:eastAsia="方正黑体_GBK"/>
        </w:rPr>
      </w:pPr>
    </w:p>
    <w:p w14:paraId="3A95695F">
      <w:pPr>
        <w:pStyle w:val="2"/>
        <w:rPr>
          <w:rFonts w:eastAsia="方正黑体_GBK"/>
        </w:rPr>
      </w:pPr>
    </w:p>
    <w:p w14:paraId="488615FE">
      <w:pPr>
        <w:pStyle w:val="2"/>
        <w:rPr>
          <w:rFonts w:eastAsia="方正黑体_GBK"/>
        </w:rPr>
      </w:pPr>
    </w:p>
    <w:p w14:paraId="2E18F4C5">
      <w:pPr>
        <w:pStyle w:val="2"/>
        <w:rPr>
          <w:rFonts w:eastAsia="方正黑体_GBK"/>
        </w:rPr>
      </w:pPr>
    </w:p>
    <w:p w14:paraId="4E182822">
      <w:pPr>
        <w:pStyle w:val="2"/>
        <w:rPr>
          <w:rFonts w:eastAsia="方正黑体_GBK"/>
        </w:rPr>
      </w:pPr>
    </w:p>
    <w:p w14:paraId="684ED0DD">
      <w:pPr>
        <w:pStyle w:val="2"/>
        <w:rPr>
          <w:rFonts w:eastAsia="方正黑体_GBK"/>
        </w:rPr>
      </w:pPr>
    </w:p>
    <w:p w14:paraId="1217DE22">
      <w:pPr>
        <w:pStyle w:val="2"/>
        <w:rPr>
          <w:rFonts w:eastAsia="方正黑体_GBK"/>
        </w:rPr>
      </w:pPr>
    </w:p>
    <w:p w14:paraId="056C8F37">
      <w:pPr>
        <w:pStyle w:val="2"/>
        <w:rPr>
          <w:rFonts w:eastAsia="方正黑体_GBK"/>
        </w:rPr>
      </w:pPr>
    </w:p>
    <w:p w14:paraId="7A4B2A0A">
      <w:pPr>
        <w:pStyle w:val="2"/>
        <w:rPr>
          <w:rFonts w:eastAsia="方正黑体_GBK"/>
        </w:rPr>
      </w:pPr>
    </w:p>
    <w:p w14:paraId="27369888">
      <w:pPr>
        <w:overflowPunct w:val="0"/>
        <w:spacing w:line="590" w:lineRule="exact"/>
        <w:jc w:val="left"/>
        <w:outlineLvl w:val="0"/>
        <w:rPr>
          <w:rFonts w:hint="eastAsia" w:ascii="方正黑体_GBK" w:hAnsi="黑体" w:eastAsia="方正黑体_GBK" w:cs="黑体"/>
          <w:sz w:val="32"/>
          <w:szCs w:val="32"/>
        </w:rPr>
      </w:pPr>
      <w:r>
        <w:rPr>
          <w:rFonts w:hint="eastAsia" w:ascii="方正黑体_GBK" w:hAnsi="黑体" w:eastAsia="方正黑体_GBK" w:cs="黑体"/>
          <w:sz w:val="32"/>
          <w:szCs w:val="32"/>
        </w:rPr>
        <w:t>附件3</w:t>
      </w:r>
    </w:p>
    <w:p w14:paraId="71A9BC44">
      <w:pPr>
        <w:widowControl/>
        <w:overflowPunct w:val="0"/>
        <w:spacing w:line="700" w:lineRule="exact"/>
        <w:jc w:val="center"/>
        <w:rPr>
          <w:rFonts w:ascii="方正小标宋_GBK" w:eastAsia="方正小标宋_GBK"/>
          <w:b/>
          <w:sz w:val="44"/>
          <w:szCs w:val="44"/>
        </w:rPr>
      </w:pPr>
      <w:r>
        <w:rPr>
          <w:rFonts w:hint="eastAsia" w:ascii="方正小标宋_GBK" w:eastAsia="方正小标宋_GBK"/>
          <w:b/>
          <w:sz w:val="44"/>
          <w:szCs w:val="44"/>
        </w:rPr>
        <w:t>2022年</w:t>
      </w:r>
      <w:r>
        <w:rPr>
          <w:rFonts w:hint="eastAsia" w:ascii="方正小标宋_GBK" w:eastAsia="方正小标宋_GBK"/>
          <w:b/>
          <w:sz w:val="44"/>
          <w:szCs w:val="44"/>
          <w:lang w:eastAsia="zh-CN"/>
        </w:rPr>
        <w:t>单位</w:t>
      </w:r>
      <w:r>
        <w:rPr>
          <w:rFonts w:hint="eastAsia" w:ascii="方正小标宋_GBK" w:eastAsia="方正小标宋_GBK"/>
          <w:b/>
          <w:sz w:val="44"/>
          <w:szCs w:val="44"/>
        </w:rPr>
        <w:t>预算项目绩效目标自评表</w:t>
      </w:r>
    </w:p>
    <w:p w14:paraId="10F60235">
      <w:pPr>
        <w:spacing w:line="600" w:lineRule="exact"/>
        <w:jc w:val="center"/>
        <w:outlineLvl w:val="0"/>
        <w:rPr>
          <w:rFonts w:hint="default" w:ascii="Times New Roman" w:hAnsi="Times New Roman" w:eastAsia="黑体" w:cs="Times New Roman"/>
          <w:color w:val="000000"/>
          <w:sz w:val="44"/>
          <w:szCs w:val="44"/>
        </w:rPr>
      </w:pPr>
    </w:p>
    <w:tbl>
      <w:tblPr>
        <w:tblStyle w:val="14"/>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635D2851">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F3C50">
            <w:pPr>
              <w:widowControl/>
              <w:overflowPunct w:val="0"/>
              <w:spacing w:line="300" w:lineRule="exact"/>
              <w:ind w:firstLine="480" w:firstLineChars="200"/>
              <w:rPr>
                <w:rFonts w:ascii="方正黑体_GBK" w:eastAsia="方正黑体_GBK"/>
                <w:bCs/>
                <w:sz w:val="24"/>
              </w:rPr>
            </w:pPr>
            <w:r>
              <w:rPr>
                <w:rFonts w:hint="eastAsia" w:ascii="方正黑体_GBK" w:eastAsia="方正黑体_GBK"/>
                <w:bCs/>
                <w:sz w:val="24"/>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5642A">
            <w:pPr>
              <w:widowControl/>
              <w:overflowPunct w:val="0"/>
              <w:spacing w:line="300" w:lineRule="exact"/>
              <w:rPr>
                <w:b/>
                <w:bCs/>
                <w:sz w:val="24"/>
              </w:rPr>
            </w:pPr>
            <w:r>
              <w:rPr>
                <w:rFonts w:hint="eastAsia"/>
                <w:b/>
                <w:bCs/>
                <w:sz w:val="24"/>
              </w:rPr>
              <w:t>电子病历系统</w:t>
            </w:r>
          </w:p>
        </w:tc>
      </w:tr>
      <w:tr w14:paraId="322AFFC7">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B817E">
            <w:pPr>
              <w:widowControl/>
              <w:overflowPunct w:val="0"/>
              <w:spacing w:line="300" w:lineRule="exact"/>
              <w:rPr>
                <w:rFonts w:ascii="方正黑体_GBK" w:eastAsia="方正黑体_GBK"/>
                <w:bCs/>
                <w:sz w:val="24"/>
              </w:rPr>
            </w:pPr>
            <w:r>
              <w:rPr>
                <w:rFonts w:hint="eastAsia" w:ascii="方正黑体_GBK" w:eastAsia="方正黑体_GBK"/>
                <w:bCs/>
                <w:sz w:val="24"/>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8F1D2">
            <w:pPr>
              <w:widowControl/>
              <w:overflowPunct w:val="0"/>
              <w:spacing w:line="300" w:lineRule="exact"/>
              <w:rPr>
                <w:sz w:val="24"/>
              </w:rPr>
            </w:pPr>
            <w:r>
              <w:rPr>
                <w:rFonts w:hint="eastAsia"/>
                <w:sz w:val="24"/>
              </w:rPr>
              <w:t>邻水县中医医院503005</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1AD2C">
            <w:pPr>
              <w:widowControl/>
              <w:overflowPunct w:val="0"/>
              <w:spacing w:line="300" w:lineRule="exact"/>
              <w:ind w:firstLine="480" w:firstLineChars="200"/>
              <w:rPr>
                <w:sz w:val="24"/>
              </w:rPr>
            </w:pPr>
            <w:r>
              <w:rPr>
                <w:rFonts w:hint="eastAsia"/>
                <w:sz w:val="24"/>
              </w:rPr>
              <w:t>实施单位</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42781">
            <w:pPr>
              <w:widowControl/>
              <w:overflowPunct w:val="0"/>
              <w:spacing w:line="300" w:lineRule="exact"/>
              <w:rPr>
                <w:sz w:val="24"/>
              </w:rPr>
            </w:pPr>
            <w:r>
              <w:rPr>
                <w:rFonts w:hint="eastAsia"/>
                <w:sz w:val="24"/>
              </w:rPr>
              <w:t>邻水县中医医院503005</w:t>
            </w:r>
          </w:p>
        </w:tc>
      </w:tr>
      <w:tr w14:paraId="320F1988">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0C4C1">
            <w:pPr>
              <w:widowControl/>
              <w:overflowPunct w:val="0"/>
              <w:spacing w:line="300" w:lineRule="exact"/>
              <w:jc w:val="center"/>
              <w:rPr>
                <w:rFonts w:ascii="方正黑体_GBK" w:eastAsia="方正黑体_GBK"/>
                <w:bCs/>
                <w:sz w:val="24"/>
              </w:rPr>
            </w:pPr>
            <w:r>
              <w:rPr>
                <w:rFonts w:hint="eastAsia" w:ascii="方正黑体_GBK" w:eastAsia="方正黑体_GBK"/>
                <w:bCs/>
                <w:sz w:val="24"/>
              </w:rPr>
              <w:t>项目预算</w:t>
            </w:r>
            <w:r>
              <w:rPr>
                <w:rFonts w:hint="eastAsia" w:ascii="方正黑体_GBK" w:eastAsia="方正黑体_GBK"/>
                <w:bCs/>
                <w:sz w:val="24"/>
              </w:rPr>
              <w:br w:type="textWrapping"/>
            </w:r>
            <w:r>
              <w:rPr>
                <w:rFonts w:hint="eastAsia" w:ascii="方正黑体_GBK" w:eastAsia="方正黑体_GBK"/>
                <w:bCs/>
                <w:sz w:val="24"/>
              </w:rPr>
              <w:t>执行情况</w:t>
            </w:r>
            <w:r>
              <w:rPr>
                <w:rFonts w:hint="eastAsia" w:ascii="方正黑体_GBK" w:eastAsia="方正黑体_GBK"/>
                <w:bCs/>
                <w:sz w:val="24"/>
              </w:rPr>
              <w:br w:type="textWrapping"/>
            </w:r>
            <w:r>
              <w:rPr>
                <w:rFonts w:hint="eastAsia" w:ascii="方正黑体_GBK" w:eastAsia="方正黑体_GBK"/>
                <w:bCs/>
                <w:sz w:val="24"/>
              </w:rPr>
              <w:t>（万元）</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D50E6">
            <w:pPr>
              <w:widowControl/>
              <w:overflowPunct w:val="0"/>
              <w:spacing w:line="300" w:lineRule="exact"/>
              <w:ind w:firstLine="480" w:firstLineChars="200"/>
              <w:rPr>
                <w:sz w:val="24"/>
              </w:rPr>
            </w:pPr>
            <w:r>
              <w:rPr>
                <w:rFonts w:hint="eastAsia"/>
                <w:sz w:val="24"/>
              </w:rPr>
              <w:t>预算数：</w:t>
            </w:r>
          </w:p>
        </w:tc>
        <w:tc>
          <w:tcPr>
            <w:tcW w:w="1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A6D40">
            <w:pPr>
              <w:widowControl/>
              <w:overflowPunct w:val="0"/>
              <w:spacing w:line="300" w:lineRule="exact"/>
              <w:ind w:firstLine="480" w:firstLineChars="200"/>
              <w:rPr>
                <w:rFonts w:hint="default" w:eastAsia="宋体"/>
                <w:sz w:val="24"/>
                <w:lang w:val="en-US" w:eastAsia="zh-CN"/>
              </w:rPr>
            </w:pPr>
            <w:r>
              <w:rPr>
                <w:rFonts w:hint="eastAsia"/>
                <w:sz w:val="24"/>
                <w:lang w:val="en-US" w:eastAsia="zh-CN"/>
              </w:rPr>
              <w:t>1400</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D3B52">
            <w:pPr>
              <w:widowControl/>
              <w:overflowPunct w:val="0"/>
              <w:spacing w:line="300" w:lineRule="exact"/>
              <w:ind w:firstLine="480" w:firstLineChars="200"/>
              <w:rPr>
                <w:sz w:val="24"/>
              </w:rPr>
            </w:pPr>
            <w:r>
              <w:rPr>
                <w:rFonts w:hint="eastAsia"/>
                <w:sz w:val="24"/>
              </w:rPr>
              <w:t>执行数：</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703A4">
            <w:pPr>
              <w:widowControl/>
              <w:overflowPunct w:val="0"/>
              <w:spacing w:line="300" w:lineRule="exact"/>
              <w:ind w:firstLine="480" w:firstLineChars="200"/>
              <w:rPr>
                <w:rFonts w:hint="default" w:eastAsia="宋体"/>
                <w:sz w:val="24"/>
                <w:lang w:val="en-US" w:eastAsia="zh-CN"/>
              </w:rPr>
            </w:pPr>
            <w:r>
              <w:rPr>
                <w:rFonts w:hint="eastAsia"/>
                <w:sz w:val="24"/>
                <w:lang w:val="en-US" w:eastAsia="zh-CN"/>
              </w:rPr>
              <w:t>1400</w:t>
            </w:r>
          </w:p>
        </w:tc>
      </w:tr>
      <w:tr w14:paraId="3728A54D">
        <w:tblPrEx>
          <w:tblCellMar>
            <w:top w:w="0" w:type="dxa"/>
            <w:left w:w="0" w:type="dxa"/>
            <w:bottom w:w="0" w:type="dxa"/>
            <w:right w:w="0" w:type="dxa"/>
          </w:tblCellMar>
        </w:tblPrEx>
        <w:trPr>
          <w:trHeight w:val="311"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5444C">
            <w:pPr>
              <w:widowControl/>
              <w:overflowPunct w:val="0"/>
              <w:spacing w:line="300" w:lineRule="exact"/>
              <w:ind w:firstLine="480" w:firstLineChars="200"/>
              <w:rPr>
                <w:sz w:val="24"/>
              </w:rPr>
            </w:pP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1F455">
            <w:pPr>
              <w:widowControl/>
              <w:overflowPunct w:val="0"/>
              <w:spacing w:line="300" w:lineRule="exact"/>
              <w:rPr>
                <w:sz w:val="24"/>
              </w:rPr>
            </w:pPr>
            <w:r>
              <w:rPr>
                <w:rFonts w:hint="eastAsia"/>
                <w:sz w:val="24"/>
              </w:rPr>
              <w:t>其中：财政拨款</w:t>
            </w:r>
          </w:p>
        </w:tc>
        <w:tc>
          <w:tcPr>
            <w:tcW w:w="1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24BAE">
            <w:pPr>
              <w:widowControl/>
              <w:overflowPunct w:val="0"/>
              <w:spacing w:line="300" w:lineRule="exact"/>
              <w:ind w:firstLine="480" w:firstLineChars="200"/>
              <w:rPr>
                <w:sz w:val="24"/>
              </w:rPr>
            </w:pP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13F92">
            <w:pPr>
              <w:widowControl/>
              <w:overflowPunct w:val="0"/>
              <w:spacing w:line="300" w:lineRule="exact"/>
              <w:rPr>
                <w:sz w:val="24"/>
              </w:rPr>
            </w:pPr>
            <w:r>
              <w:rPr>
                <w:rFonts w:hint="eastAsia"/>
                <w:sz w:val="24"/>
              </w:rPr>
              <w:t>其中：财政拨款</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E8203">
            <w:pPr>
              <w:widowControl/>
              <w:overflowPunct w:val="0"/>
              <w:spacing w:line="300" w:lineRule="exact"/>
              <w:ind w:firstLine="480" w:firstLineChars="200"/>
              <w:rPr>
                <w:sz w:val="24"/>
              </w:rPr>
            </w:pPr>
          </w:p>
        </w:tc>
      </w:tr>
      <w:tr w14:paraId="05F1B6E5">
        <w:tblPrEx>
          <w:tblCellMar>
            <w:top w:w="0" w:type="dxa"/>
            <w:left w:w="0" w:type="dxa"/>
            <w:bottom w:w="0" w:type="dxa"/>
            <w:right w:w="0" w:type="dxa"/>
          </w:tblCellMar>
        </w:tblPrEx>
        <w:trPr>
          <w:trHeight w:val="417"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21949">
            <w:pPr>
              <w:widowControl/>
              <w:overflowPunct w:val="0"/>
              <w:spacing w:line="300" w:lineRule="exact"/>
              <w:ind w:firstLine="480" w:firstLineChars="200"/>
              <w:rPr>
                <w:sz w:val="24"/>
              </w:rPr>
            </w:pP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00216">
            <w:pPr>
              <w:widowControl/>
              <w:overflowPunct w:val="0"/>
              <w:spacing w:line="300" w:lineRule="exact"/>
              <w:ind w:firstLine="480" w:firstLineChars="200"/>
              <w:rPr>
                <w:sz w:val="24"/>
              </w:rPr>
            </w:pPr>
            <w:r>
              <w:rPr>
                <w:rFonts w:hint="eastAsia"/>
                <w:sz w:val="24"/>
              </w:rPr>
              <w:t>其他资金</w:t>
            </w:r>
          </w:p>
        </w:tc>
        <w:tc>
          <w:tcPr>
            <w:tcW w:w="1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DC963">
            <w:pPr>
              <w:widowControl/>
              <w:overflowPunct w:val="0"/>
              <w:spacing w:line="300" w:lineRule="exact"/>
              <w:ind w:firstLine="480" w:firstLineChars="200"/>
              <w:rPr>
                <w:rFonts w:hint="default" w:eastAsia="宋体"/>
                <w:sz w:val="24"/>
                <w:lang w:val="en-US" w:eastAsia="zh-CN"/>
              </w:rPr>
            </w:pPr>
            <w:r>
              <w:rPr>
                <w:rFonts w:hint="eastAsia"/>
                <w:sz w:val="24"/>
                <w:lang w:val="en-US" w:eastAsia="zh-CN"/>
              </w:rPr>
              <w:t>1400</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45DCF">
            <w:pPr>
              <w:widowControl/>
              <w:overflowPunct w:val="0"/>
              <w:spacing w:line="300" w:lineRule="exact"/>
              <w:ind w:firstLine="480" w:firstLineChars="200"/>
              <w:rPr>
                <w:sz w:val="24"/>
              </w:rPr>
            </w:pPr>
            <w:r>
              <w:rPr>
                <w:rFonts w:hint="eastAsia"/>
                <w:sz w:val="24"/>
              </w:rPr>
              <w:t>其他资金</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0294E">
            <w:pPr>
              <w:widowControl/>
              <w:overflowPunct w:val="0"/>
              <w:spacing w:line="300" w:lineRule="exact"/>
              <w:ind w:firstLine="480" w:firstLineChars="200"/>
              <w:rPr>
                <w:rFonts w:hint="default" w:eastAsia="宋体"/>
                <w:sz w:val="24"/>
                <w:lang w:val="en-US" w:eastAsia="zh-CN"/>
              </w:rPr>
            </w:pPr>
            <w:r>
              <w:rPr>
                <w:rFonts w:hint="eastAsia"/>
                <w:sz w:val="24"/>
              </w:rPr>
              <w:t>1</w:t>
            </w:r>
            <w:r>
              <w:rPr>
                <w:rFonts w:hint="eastAsia"/>
                <w:sz w:val="24"/>
                <w:lang w:val="en-US" w:eastAsia="zh-CN"/>
              </w:rPr>
              <w:t>400</w:t>
            </w:r>
          </w:p>
        </w:tc>
      </w:tr>
      <w:tr w14:paraId="75B54C30">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ED94E">
            <w:pPr>
              <w:widowControl/>
              <w:overflowPunct w:val="0"/>
              <w:spacing w:line="300" w:lineRule="exact"/>
              <w:jc w:val="center"/>
              <w:rPr>
                <w:rFonts w:ascii="方正黑体_GBK" w:eastAsia="方正黑体_GBK"/>
                <w:bCs/>
                <w:sz w:val="24"/>
              </w:rPr>
            </w:pPr>
            <w:r>
              <w:rPr>
                <w:rFonts w:hint="eastAsia" w:ascii="方正黑体_GBK" w:eastAsia="方正黑体_GBK"/>
                <w:bCs/>
                <w:sz w:val="24"/>
              </w:rPr>
              <w:t>年度</w:t>
            </w:r>
          </w:p>
          <w:p w14:paraId="246ECF77">
            <w:pPr>
              <w:widowControl/>
              <w:overflowPunct w:val="0"/>
              <w:spacing w:line="300" w:lineRule="exact"/>
              <w:jc w:val="center"/>
              <w:rPr>
                <w:rFonts w:ascii="方正黑体_GBK" w:eastAsia="方正黑体_GBK"/>
                <w:bCs/>
                <w:sz w:val="24"/>
              </w:rPr>
            </w:pPr>
            <w:r>
              <w:rPr>
                <w:rFonts w:hint="eastAsia" w:ascii="方正黑体_GBK" w:eastAsia="方正黑体_GBK"/>
                <w:bCs/>
                <w:sz w:val="24"/>
              </w:rPr>
              <w:t>总体</w:t>
            </w:r>
          </w:p>
          <w:p w14:paraId="66318679">
            <w:pPr>
              <w:widowControl/>
              <w:overflowPunct w:val="0"/>
              <w:spacing w:line="300" w:lineRule="exact"/>
              <w:jc w:val="center"/>
              <w:rPr>
                <w:rFonts w:ascii="方正黑体_GBK" w:eastAsia="方正黑体_GBK"/>
                <w:bCs/>
                <w:sz w:val="24"/>
              </w:rPr>
            </w:pPr>
            <w:r>
              <w:rPr>
                <w:rFonts w:hint="eastAsia" w:ascii="方正黑体_GBK" w:eastAsia="方正黑体_GBK"/>
                <w:bCs/>
                <w:sz w:val="24"/>
              </w:rPr>
              <w:t>目标</w:t>
            </w:r>
          </w:p>
          <w:p w14:paraId="61AC8CB8">
            <w:pPr>
              <w:widowControl/>
              <w:overflowPunct w:val="0"/>
              <w:spacing w:line="300" w:lineRule="exact"/>
              <w:jc w:val="center"/>
              <w:rPr>
                <w:rFonts w:ascii="方正黑体_GBK" w:eastAsia="方正黑体_GBK"/>
                <w:bCs/>
                <w:sz w:val="24"/>
              </w:rPr>
            </w:pPr>
            <w:r>
              <w:rPr>
                <w:rFonts w:hint="eastAsia" w:ascii="方正黑体_GBK" w:eastAsia="方正黑体_GBK"/>
                <w:bCs/>
                <w:sz w:val="24"/>
              </w:rPr>
              <w:t>完成</w:t>
            </w:r>
          </w:p>
          <w:p w14:paraId="06205573">
            <w:pPr>
              <w:widowControl/>
              <w:overflowPunct w:val="0"/>
              <w:spacing w:line="300" w:lineRule="exact"/>
              <w:jc w:val="center"/>
              <w:rPr>
                <w:b/>
                <w:bCs/>
                <w:sz w:val="24"/>
              </w:rPr>
            </w:pPr>
            <w:r>
              <w:rPr>
                <w:rFonts w:hint="eastAsia" w:ascii="方正黑体_GBK" w:eastAsia="方正黑体_GBK"/>
                <w:bCs/>
                <w:sz w:val="24"/>
              </w:rPr>
              <w:t>情况</w:t>
            </w:r>
          </w:p>
        </w:tc>
        <w:tc>
          <w:tcPr>
            <w:tcW w:w="42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E1FCA">
            <w:pPr>
              <w:widowControl/>
              <w:overflowPunct w:val="0"/>
              <w:spacing w:line="300" w:lineRule="exact"/>
              <w:ind w:firstLine="480" w:firstLineChars="200"/>
              <w:rPr>
                <w:rFonts w:ascii="方正黑体_GBK" w:eastAsia="方正黑体_GBK"/>
                <w:bCs/>
                <w:sz w:val="24"/>
              </w:rPr>
            </w:pPr>
            <w:r>
              <w:rPr>
                <w:rFonts w:hint="eastAsia" w:ascii="方正黑体_GBK" w:eastAsia="方正黑体_GBK"/>
                <w:bCs/>
                <w:sz w:val="24"/>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07350">
            <w:pPr>
              <w:widowControl/>
              <w:overflowPunct w:val="0"/>
              <w:spacing w:line="300" w:lineRule="exact"/>
              <w:ind w:firstLine="480" w:firstLineChars="200"/>
              <w:rPr>
                <w:rFonts w:ascii="方正黑体_GBK" w:eastAsia="方正黑体_GBK"/>
                <w:bCs/>
                <w:sz w:val="24"/>
              </w:rPr>
            </w:pPr>
            <w:r>
              <w:rPr>
                <w:rFonts w:hint="eastAsia" w:ascii="方正黑体_GBK" w:eastAsia="方正黑体_GBK"/>
                <w:bCs/>
                <w:sz w:val="24"/>
              </w:rPr>
              <w:t>目标实际完成情况</w:t>
            </w:r>
          </w:p>
        </w:tc>
      </w:tr>
      <w:tr w14:paraId="4EC88EE9">
        <w:tblPrEx>
          <w:tblCellMar>
            <w:top w:w="0" w:type="dxa"/>
            <w:left w:w="0" w:type="dxa"/>
            <w:bottom w:w="0" w:type="dxa"/>
            <w:right w:w="0" w:type="dxa"/>
          </w:tblCellMar>
        </w:tblPrEx>
        <w:trPr>
          <w:trHeight w:val="1633" w:hRule="atLeast"/>
        </w:trPr>
        <w:tc>
          <w:tcPr>
            <w:tcW w:w="7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46ACF">
            <w:pPr>
              <w:widowControl/>
              <w:overflowPunct w:val="0"/>
              <w:spacing w:line="300" w:lineRule="exact"/>
              <w:ind w:firstLine="482" w:firstLineChars="200"/>
              <w:rPr>
                <w:b/>
                <w:bCs/>
                <w:sz w:val="24"/>
              </w:rPr>
            </w:pPr>
          </w:p>
        </w:tc>
        <w:tc>
          <w:tcPr>
            <w:tcW w:w="42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3129C">
            <w:pPr>
              <w:widowControl/>
              <w:overflowPunct w:val="0"/>
              <w:spacing w:line="300" w:lineRule="exact"/>
              <w:rPr>
                <w:sz w:val="24"/>
              </w:rPr>
            </w:pPr>
            <w:r>
              <w:rPr>
                <w:rFonts w:hint="eastAsia"/>
                <w:sz w:val="24"/>
              </w:rPr>
              <w:t>满足国家三级医院电子病历应用水平四级、互联互通五乙水平</w:t>
            </w:r>
          </w:p>
        </w:tc>
        <w:tc>
          <w:tcPr>
            <w:tcW w:w="3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380F">
            <w:pPr>
              <w:widowControl/>
              <w:overflowPunct w:val="0"/>
              <w:spacing w:line="300" w:lineRule="exact"/>
              <w:rPr>
                <w:sz w:val="24"/>
              </w:rPr>
            </w:pPr>
            <w:r>
              <w:rPr>
                <w:rFonts w:hint="eastAsia"/>
                <w:sz w:val="24"/>
              </w:rPr>
              <w:t>满足国家三级医院电子病历应用水平四级、互联互通五乙水平</w:t>
            </w:r>
          </w:p>
        </w:tc>
      </w:tr>
      <w:tr w14:paraId="46766DFB">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4E5612">
            <w:pPr>
              <w:widowControl/>
              <w:overflowPunct w:val="0"/>
              <w:adjustRightInd w:val="0"/>
              <w:snapToGrid w:val="0"/>
              <w:spacing w:line="300" w:lineRule="exact"/>
              <w:jc w:val="center"/>
              <w:rPr>
                <w:rFonts w:ascii="方正黑体_GBK" w:eastAsia="方正黑体_GBK"/>
                <w:bCs/>
                <w:kern w:val="0"/>
                <w:sz w:val="24"/>
              </w:rPr>
            </w:pPr>
            <w:r>
              <w:rPr>
                <w:rFonts w:hint="eastAsia" w:ascii="方正黑体_GBK" w:eastAsia="方正黑体_GBK"/>
                <w:bCs/>
                <w:kern w:val="0"/>
                <w:sz w:val="24"/>
              </w:rPr>
              <w:t>年度绩效指标完成情况</w:t>
            </w:r>
          </w:p>
        </w:tc>
        <w:tc>
          <w:tcPr>
            <w:tcW w:w="119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0AA37CC">
            <w:pPr>
              <w:widowControl/>
              <w:overflowPunct w:val="0"/>
              <w:spacing w:line="300" w:lineRule="exact"/>
              <w:jc w:val="center"/>
              <w:rPr>
                <w:rFonts w:ascii="方正黑体_GBK" w:eastAsia="方正黑体_GBK"/>
                <w:sz w:val="24"/>
              </w:rPr>
            </w:pPr>
            <w:r>
              <w:rPr>
                <w:rFonts w:hint="eastAsia" w:ascii="方正黑体_GBK" w:eastAsia="方正黑体_GBK"/>
                <w:bCs/>
                <w:sz w:val="24"/>
              </w:rPr>
              <w:t>一级指标</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59F34">
            <w:pPr>
              <w:widowControl/>
              <w:overflowPunct w:val="0"/>
              <w:spacing w:line="300" w:lineRule="exact"/>
              <w:jc w:val="center"/>
              <w:rPr>
                <w:sz w:val="24"/>
              </w:rPr>
            </w:pPr>
            <w:r>
              <w:rPr>
                <w:rFonts w:hint="eastAsia"/>
                <w:sz w:val="24"/>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A44CB">
            <w:pPr>
              <w:widowControl/>
              <w:overflowPunct w:val="0"/>
              <w:spacing w:line="300" w:lineRule="exact"/>
              <w:jc w:val="center"/>
              <w:rPr>
                <w:sz w:val="24"/>
              </w:rPr>
            </w:pPr>
            <w:r>
              <w:rPr>
                <w:rFonts w:hint="eastAsia"/>
                <w:sz w:val="24"/>
              </w:rPr>
              <w:t>三级指标</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E7C22">
            <w:pPr>
              <w:widowControl/>
              <w:overflowPunct w:val="0"/>
              <w:spacing w:line="300" w:lineRule="exact"/>
              <w:jc w:val="center"/>
              <w:rPr>
                <w:sz w:val="24"/>
              </w:rPr>
            </w:pPr>
            <w:r>
              <w:rPr>
                <w:rFonts w:hint="eastAsia"/>
                <w:sz w:val="24"/>
              </w:rPr>
              <w:t>预期指标值</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60B23">
            <w:pPr>
              <w:widowControl/>
              <w:overflowPunct w:val="0"/>
              <w:spacing w:line="300" w:lineRule="exact"/>
              <w:jc w:val="center"/>
              <w:rPr>
                <w:sz w:val="24"/>
              </w:rPr>
            </w:pPr>
            <w:r>
              <w:rPr>
                <w:rFonts w:hint="eastAsia"/>
                <w:sz w:val="24"/>
              </w:rPr>
              <w:t>实际完成指标值</w:t>
            </w:r>
          </w:p>
        </w:tc>
      </w:tr>
      <w:tr w14:paraId="544B9609">
        <w:tblPrEx>
          <w:tblCellMar>
            <w:top w:w="0" w:type="dxa"/>
            <w:left w:w="0" w:type="dxa"/>
            <w:bottom w:w="0" w:type="dxa"/>
            <w:right w:w="0" w:type="dxa"/>
          </w:tblCellMar>
        </w:tblPrEx>
        <w:trPr>
          <w:trHeight w:val="452"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5B386DDC">
            <w:pPr>
              <w:widowControl/>
              <w:overflowPunct w:val="0"/>
              <w:spacing w:line="300" w:lineRule="exact"/>
              <w:ind w:firstLine="480" w:firstLineChars="200"/>
              <w:rPr>
                <w:rFonts w:ascii="方正黑体_GBK" w:eastAsia="方正黑体_GBK"/>
                <w:sz w:val="24"/>
              </w:rPr>
            </w:pPr>
          </w:p>
        </w:tc>
        <w:tc>
          <w:tcPr>
            <w:tcW w:w="1193"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4EA09BE8">
            <w:pPr>
              <w:widowControl/>
              <w:overflowPunct w:val="0"/>
              <w:spacing w:line="300" w:lineRule="exact"/>
              <w:jc w:val="center"/>
              <w:rPr>
                <w:rFonts w:ascii="方正黑体_GBK" w:eastAsia="方正黑体_GBK"/>
                <w:bCs/>
                <w:sz w:val="24"/>
              </w:rPr>
            </w:pPr>
            <w:r>
              <w:rPr>
                <w:rFonts w:hint="eastAsia" w:ascii="方正黑体_GBK" w:eastAsia="方正黑体_GBK"/>
                <w:bCs/>
                <w:sz w:val="24"/>
              </w:rPr>
              <w:t>完</w:t>
            </w:r>
            <w:r>
              <w:rPr>
                <w:rFonts w:hint="eastAsia" w:ascii="方正黑体_GBK" w:eastAsia="方正黑体_GBK"/>
                <w:bCs/>
                <w:sz w:val="24"/>
              </w:rPr>
              <w:br w:type="textWrapping"/>
            </w:r>
            <w:r>
              <w:rPr>
                <w:rFonts w:hint="eastAsia" w:ascii="方正黑体_GBK" w:eastAsia="方正黑体_GBK"/>
                <w:bCs/>
                <w:sz w:val="24"/>
              </w:rPr>
              <w:t>成</w:t>
            </w:r>
            <w:r>
              <w:rPr>
                <w:rFonts w:hint="eastAsia" w:ascii="方正黑体_GBK" w:eastAsia="方正黑体_GBK"/>
                <w:bCs/>
                <w:sz w:val="24"/>
              </w:rPr>
              <w:br w:type="textWrapping"/>
            </w:r>
            <w:r>
              <w:rPr>
                <w:rFonts w:hint="eastAsia" w:ascii="方正黑体_GBK" w:eastAsia="方正黑体_GBK"/>
                <w:bCs/>
                <w:sz w:val="24"/>
              </w:rPr>
              <w:t>指</w:t>
            </w:r>
            <w:r>
              <w:rPr>
                <w:rFonts w:hint="eastAsia" w:ascii="方正黑体_GBK" w:eastAsia="方正黑体_GBK"/>
                <w:bCs/>
                <w:sz w:val="24"/>
              </w:rPr>
              <w:br w:type="textWrapping"/>
            </w:r>
            <w:r>
              <w:rPr>
                <w:rFonts w:hint="eastAsia" w:ascii="方正黑体_GBK" w:eastAsia="方正黑体_GBK"/>
                <w:bCs/>
                <w:sz w:val="24"/>
              </w:rPr>
              <w:t>标</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58C2A">
            <w:pPr>
              <w:widowControl/>
              <w:overflowPunct w:val="0"/>
              <w:spacing w:line="300" w:lineRule="exact"/>
              <w:rPr>
                <w:sz w:val="24"/>
              </w:rPr>
            </w:pPr>
            <w:r>
              <w:rPr>
                <w:sz w:val="24"/>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31DDB">
            <w:pPr>
              <w:widowControl/>
              <w:overflowPunct w:val="0"/>
              <w:spacing w:line="300" w:lineRule="exact"/>
              <w:jc w:val="center"/>
              <w:rPr>
                <w:sz w:val="24"/>
              </w:rPr>
            </w:pPr>
            <w:r>
              <w:rPr>
                <w:rFonts w:hint="eastAsia"/>
                <w:sz w:val="24"/>
              </w:rPr>
              <w:t>项目</w:t>
            </w:r>
            <w:r>
              <w:rPr>
                <w:sz w:val="24"/>
              </w:rPr>
              <w:t>督查次数</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13FEF">
            <w:pPr>
              <w:widowControl/>
              <w:overflowPunct w:val="0"/>
              <w:spacing w:line="300" w:lineRule="exact"/>
              <w:ind w:firstLine="480" w:firstLineChars="200"/>
              <w:rPr>
                <w:sz w:val="24"/>
              </w:rPr>
            </w:pPr>
            <w:r>
              <w:rPr>
                <w:rFonts w:hint="eastAsia"/>
                <w:sz w:val="24"/>
              </w:rPr>
              <w:t>20</w:t>
            </w:r>
            <w:r>
              <w:rPr>
                <w:sz w:val="24"/>
              </w:rPr>
              <w:t>余次</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BD493">
            <w:pPr>
              <w:widowControl/>
              <w:overflowPunct w:val="0"/>
              <w:spacing w:line="300" w:lineRule="exact"/>
              <w:ind w:firstLine="480" w:firstLineChars="200"/>
              <w:rPr>
                <w:sz w:val="24"/>
              </w:rPr>
            </w:pPr>
            <w:r>
              <w:rPr>
                <w:rFonts w:hint="eastAsia"/>
                <w:sz w:val="24"/>
              </w:rPr>
              <w:t>25次</w:t>
            </w:r>
          </w:p>
        </w:tc>
      </w:tr>
      <w:tr w14:paraId="0DAD833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CAFE271">
            <w:pPr>
              <w:widowControl/>
              <w:overflowPunct w:val="0"/>
              <w:spacing w:line="300" w:lineRule="exact"/>
              <w:ind w:firstLine="480" w:firstLineChars="200"/>
              <w:rPr>
                <w:rFonts w:ascii="方正黑体_GBK" w:eastAsia="方正黑体_GBK"/>
                <w:sz w:val="24"/>
              </w:rPr>
            </w:pPr>
          </w:p>
        </w:tc>
        <w:tc>
          <w:tcPr>
            <w:tcW w:w="1193"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D823D9C">
            <w:pPr>
              <w:widowControl/>
              <w:overflowPunct w:val="0"/>
              <w:spacing w:line="300" w:lineRule="exact"/>
              <w:ind w:firstLine="480" w:firstLineChars="200"/>
              <w:rPr>
                <w:rFonts w:ascii="方正黑体_GBK" w:eastAsia="方正黑体_GBK"/>
                <w:bCs/>
                <w:sz w:val="24"/>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DC547">
            <w:pPr>
              <w:widowControl/>
              <w:overflowPunct w:val="0"/>
              <w:spacing w:line="300" w:lineRule="exact"/>
              <w:rPr>
                <w:sz w:val="24"/>
              </w:rPr>
            </w:pPr>
            <w:r>
              <w:rPr>
                <w:sz w:val="24"/>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D3384">
            <w:pPr>
              <w:widowControl/>
              <w:overflowPunct w:val="0"/>
              <w:spacing w:line="300" w:lineRule="exact"/>
              <w:jc w:val="center"/>
              <w:rPr>
                <w:sz w:val="24"/>
              </w:rPr>
            </w:pPr>
            <w:r>
              <w:rPr>
                <w:rFonts w:hint="eastAsia"/>
                <w:sz w:val="24"/>
              </w:rPr>
              <w:t>1</w:t>
            </w:r>
            <w:r>
              <w:rPr>
                <w:rFonts w:hint="eastAsia"/>
                <w:sz w:val="24"/>
                <w:lang w:val="en-US" w:eastAsia="zh-CN"/>
              </w:rPr>
              <w:t>4</w:t>
            </w:r>
            <w:r>
              <w:rPr>
                <w:rFonts w:hint="eastAsia"/>
                <w:sz w:val="24"/>
              </w:rPr>
              <w:t>个项目全部完工</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E83E7">
            <w:pPr>
              <w:widowControl/>
              <w:overflowPunct w:val="0"/>
              <w:spacing w:line="300" w:lineRule="exact"/>
              <w:ind w:firstLine="480" w:firstLineChars="200"/>
              <w:rPr>
                <w:sz w:val="24"/>
              </w:rPr>
            </w:pPr>
            <w:r>
              <w:rPr>
                <w:rFonts w:hint="eastAsia"/>
                <w:sz w:val="24"/>
              </w:rPr>
              <w:t>已完工</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92F50">
            <w:pPr>
              <w:widowControl/>
              <w:overflowPunct w:val="0"/>
              <w:spacing w:line="300" w:lineRule="exact"/>
              <w:ind w:firstLine="480" w:firstLineChars="200"/>
              <w:rPr>
                <w:sz w:val="24"/>
              </w:rPr>
            </w:pPr>
            <w:r>
              <w:rPr>
                <w:rFonts w:hint="eastAsia"/>
                <w:sz w:val="24"/>
              </w:rPr>
              <w:t>已完工</w:t>
            </w:r>
          </w:p>
        </w:tc>
      </w:tr>
      <w:tr w14:paraId="081E3209">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77D51E01">
            <w:pPr>
              <w:widowControl/>
              <w:overflowPunct w:val="0"/>
              <w:spacing w:line="300" w:lineRule="exact"/>
              <w:ind w:firstLine="480" w:firstLineChars="200"/>
              <w:rPr>
                <w:rFonts w:ascii="方正黑体_GBK" w:eastAsia="方正黑体_GBK"/>
                <w:sz w:val="24"/>
              </w:rPr>
            </w:pPr>
          </w:p>
        </w:tc>
        <w:tc>
          <w:tcPr>
            <w:tcW w:w="1193"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CA251A4">
            <w:pPr>
              <w:widowControl/>
              <w:overflowPunct w:val="0"/>
              <w:spacing w:line="300" w:lineRule="exact"/>
              <w:ind w:firstLine="480" w:firstLineChars="200"/>
              <w:rPr>
                <w:rFonts w:ascii="方正黑体_GBK" w:eastAsia="方正黑体_GBK"/>
                <w:bCs/>
                <w:sz w:val="24"/>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6957B">
            <w:pPr>
              <w:widowControl/>
              <w:overflowPunct w:val="0"/>
              <w:spacing w:line="300" w:lineRule="exact"/>
              <w:rPr>
                <w:sz w:val="24"/>
              </w:rPr>
            </w:pPr>
            <w:r>
              <w:rPr>
                <w:sz w:val="24"/>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A17E5">
            <w:pPr>
              <w:widowControl/>
              <w:overflowPunct w:val="0"/>
              <w:spacing w:line="300" w:lineRule="exact"/>
              <w:jc w:val="center"/>
              <w:rPr>
                <w:sz w:val="24"/>
              </w:rPr>
            </w:pPr>
            <w:r>
              <w:rPr>
                <w:sz w:val="24"/>
              </w:rPr>
              <w:t>完成时间</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C0B80">
            <w:pPr>
              <w:widowControl/>
              <w:overflowPunct w:val="0"/>
              <w:spacing w:line="300" w:lineRule="exact"/>
              <w:rPr>
                <w:sz w:val="24"/>
              </w:rPr>
            </w:pPr>
            <w:r>
              <w:rPr>
                <w:sz w:val="24"/>
              </w:rPr>
              <w:t>202</w:t>
            </w:r>
            <w:r>
              <w:rPr>
                <w:rFonts w:hint="eastAsia"/>
                <w:sz w:val="24"/>
              </w:rPr>
              <w:t>2</w:t>
            </w:r>
            <w:r>
              <w:rPr>
                <w:sz w:val="24"/>
              </w:rPr>
              <w:t>年12月31日前</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27B1A">
            <w:pPr>
              <w:widowControl/>
              <w:overflowPunct w:val="0"/>
              <w:spacing w:line="300" w:lineRule="exact"/>
              <w:rPr>
                <w:sz w:val="24"/>
              </w:rPr>
            </w:pPr>
            <w:r>
              <w:rPr>
                <w:sz w:val="24"/>
              </w:rPr>
              <w:t>202</w:t>
            </w:r>
            <w:r>
              <w:rPr>
                <w:rFonts w:hint="eastAsia"/>
                <w:sz w:val="24"/>
              </w:rPr>
              <w:t>2</w:t>
            </w:r>
            <w:r>
              <w:rPr>
                <w:sz w:val="24"/>
              </w:rPr>
              <w:t>年12月31日前</w:t>
            </w:r>
          </w:p>
        </w:tc>
      </w:tr>
      <w:tr w14:paraId="571C09FF">
        <w:tblPrEx>
          <w:tblCellMar>
            <w:top w:w="0" w:type="dxa"/>
            <w:left w:w="0" w:type="dxa"/>
            <w:bottom w:w="0" w:type="dxa"/>
            <w:right w:w="0" w:type="dxa"/>
          </w:tblCellMar>
        </w:tblPrEx>
        <w:trPr>
          <w:trHeight w:val="996"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9E2D69C">
            <w:pPr>
              <w:widowControl/>
              <w:overflowPunct w:val="0"/>
              <w:spacing w:line="300" w:lineRule="exact"/>
              <w:ind w:firstLine="480" w:firstLineChars="200"/>
              <w:rPr>
                <w:rFonts w:ascii="方正黑体_GBK" w:eastAsia="方正黑体_GBK"/>
                <w:sz w:val="24"/>
              </w:rPr>
            </w:pPr>
          </w:p>
        </w:tc>
        <w:tc>
          <w:tcPr>
            <w:tcW w:w="1193" w:type="dxa"/>
            <w:vMerge w:val="continue"/>
            <w:tcBorders>
              <w:left w:val="single" w:color="000000" w:sz="4" w:space="0"/>
              <w:right w:val="single" w:color="000000" w:sz="4" w:space="0"/>
            </w:tcBorders>
            <w:noWrap/>
            <w:tcMar>
              <w:top w:w="15" w:type="dxa"/>
              <w:left w:w="15" w:type="dxa"/>
              <w:right w:w="15" w:type="dxa"/>
            </w:tcMar>
            <w:vAlign w:val="center"/>
          </w:tcPr>
          <w:p w14:paraId="250DA542">
            <w:pPr>
              <w:widowControl/>
              <w:overflowPunct w:val="0"/>
              <w:spacing w:line="300" w:lineRule="exact"/>
              <w:ind w:firstLine="480" w:firstLineChars="200"/>
              <w:rPr>
                <w:rFonts w:ascii="方正黑体_GBK" w:eastAsia="方正黑体_GBK"/>
                <w:bCs/>
                <w:sz w:val="24"/>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C1EAF">
            <w:pPr>
              <w:widowControl/>
              <w:overflowPunct w:val="0"/>
              <w:spacing w:line="300" w:lineRule="exact"/>
              <w:rPr>
                <w:sz w:val="24"/>
              </w:rPr>
            </w:pPr>
            <w:r>
              <w:rPr>
                <w:sz w:val="24"/>
              </w:rPr>
              <w:t>社会效益指标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D3628">
            <w:pPr>
              <w:widowControl/>
              <w:overflowPunct w:val="0"/>
              <w:spacing w:line="300" w:lineRule="exact"/>
              <w:jc w:val="center"/>
              <w:rPr>
                <w:sz w:val="24"/>
              </w:rPr>
            </w:pPr>
            <w:r>
              <w:rPr>
                <w:sz w:val="24"/>
              </w:rPr>
              <w:t>对工作的促进作用</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BB2BB">
            <w:pPr>
              <w:widowControl/>
              <w:overflowPunct w:val="0"/>
              <w:spacing w:line="300" w:lineRule="exact"/>
              <w:rPr>
                <w:sz w:val="24"/>
              </w:rPr>
            </w:pPr>
            <w:r>
              <w:rPr>
                <w:rFonts w:hint="eastAsia"/>
                <w:sz w:val="24"/>
              </w:rPr>
              <w:t>有效提升了群众就医体验</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E6343">
            <w:pPr>
              <w:widowControl/>
              <w:overflowPunct w:val="0"/>
              <w:spacing w:line="300" w:lineRule="exact"/>
              <w:rPr>
                <w:sz w:val="24"/>
              </w:rPr>
            </w:pPr>
            <w:r>
              <w:rPr>
                <w:rFonts w:hint="eastAsia"/>
                <w:sz w:val="24"/>
              </w:rPr>
              <w:t>有效提升了群众就医体验</w:t>
            </w:r>
          </w:p>
        </w:tc>
      </w:tr>
      <w:tr w14:paraId="33690069">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3E4C712">
            <w:pPr>
              <w:widowControl/>
              <w:overflowPunct w:val="0"/>
              <w:spacing w:line="300" w:lineRule="exact"/>
              <w:ind w:firstLine="480" w:firstLineChars="200"/>
              <w:rPr>
                <w:rFonts w:ascii="方正黑体_GBK" w:eastAsia="方正黑体_GBK"/>
                <w:sz w:val="24"/>
              </w:rPr>
            </w:pPr>
          </w:p>
        </w:tc>
        <w:tc>
          <w:tcPr>
            <w:tcW w:w="1193" w:type="dxa"/>
            <w:vMerge w:val="continue"/>
            <w:tcBorders>
              <w:left w:val="single" w:color="000000" w:sz="4" w:space="0"/>
              <w:right w:val="single" w:color="000000" w:sz="4" w:space="0"/>
            </w:tcBorders>
            <w:noWrap/>
            <w:tcMar>
              <w:top w:w="15" w:type="dxa"/>
              <w:left w:w="15" w:type="dxa"/>
              <w:right w:w="15" w:type="dxa"/>
            </w:tcMar>
            <w:vAlign w:val="center"/>
          </w:tcPr>
          <w:p w14:paraId="67946D3A">
            <w:pPr>
              <w:widowControl/>
              <w:overflowPunct w:val="0"/>
              <w:spacing w:line="300" w:lineRule="exact"/>
              <w:ind w:firstLine="480" w:firstLineChars="200"/>
              <w:rPr>
                <w:rFonts w:ascii="方正黑体_GBK" w:eastAsia="方正黑体_GBK"/>
                <w:bCs/>
                <w:sz w:val="24"/>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8A7C6">
            <w:pPr>
              <w:widowControl/>
              <w:overflowPunct w:val="0"/>
              <w:spacing w:line="300" w:lineRule="exact"/>
              <w:rPr>
                <w:sz w:val="24"/>
              </w:rPr>
            </w:pPr>
            <w:r>
              <w:rPr>
                <w:rFonts w:hint="eastAsia"/>
                <w:sz w:val="24"/>
              </w:rPr>
              <w:t>生态</w:t>
            </w:r>
            <w:r>
              <w:rPr>
                <w:sz w:val="24"/>
              </w:rPr>
              <w:t>效益指标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E1645">
            <w:pPr>
              <w:widowControl/>
              <w:overflowPunct w:val="0"/>
              <w:spacing w:line="300" w:lineRule="exact"/>
              <w:jc w:val="center"/>
              <w:rPr>
                <w:sz w:val="24"/>
              </w:rPr>
            </w:pPr>
            <w:r>
              <w:rPr>
                <w:rFonts w:hint="eastAsia"/>
                <w:sz w:val="24"/>
              </w:rPr>
              <w:t>生态效益</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E6380">
            <w:pPr>
              <w:widowControl/>
              <w:overflowPunct w:val="0"/>
              <w:spacing w:line="300" w:lineRule="exact"/>
              <w:rPr>
                <w:sz w:val="24"/>
              </w:rPr>
            </w:pPr>
            <w:r>
              <w:rPr>
                <w:rFonts w:hint="eastAsia"/>
                <w:sz w:val="24"/>
              </w:rPr>
              <w:t>打造绿色人居环境，共建生态文明社会</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268F1">
            <w:pPr>
              <w:widowControl/>
              <w:overflowPunct w:val="0"/>
              <w:spacing w:line="300" w:lineRule="exact"/>
              <w:rPr>
                <w:sz w:val="24"/>
              </w:rPr>
            </w:pPr>
            <w:r>
              <w:rPr>
                <w:rFonts w:hint="eastAsia"/>
                <w:sz w:val="24"/>
              </w:rPr>
              <w:t>打造绿色人居环境，共建生态文明社会</w:t>
            </w:r>
          </w:p>
        </w:tc>
      </w:tr>
      <w:tr w14:paraId="4C7B80BC">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31F90439">
            <w:pPr>
              <w:widowControl/>
              <w:overflowPunct w:val="0"/>
              <w:spacing w:line="300" w:lineRule="exact"/>
              <w:ind w:firstLine="480" w:firstLineChars="200"/>
              <w:rPr>
                <w:rFonts w:ascii="方正黑体_GBK" w:eastAsia="方正黑体_GBK"/>
                <w:sz w:val="24"/>
              </w:rPr>
            </w:pPr>
          </w:p>
        </w:tc>
        <w:tc>
          <w:tcPr>
            <w:tcW w:w="119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63C7FFB">
            <w:pPr>
              <w:widowControl/>
              <w:overflowPunct w:val="0"/>
              <w:spacing w:line="300" w:lineRule="exact"/>
              <w:ind w:firstLine="480" w:firstLineChars="200"/>
              <w:rPr>
                <w:rFonts w:ascii="方正黑体_GBK" w:eastAsia="方正黑体_GBK"/>
                <w:bCs/>
                <w:sz w:val="24"/>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84986">
            <w:pPr>
              <w:widowControl/>
              <w:overflowPunct w:val="0"/>
              <w:spacing w:line="300" w:lineRule="exact"/>
              <w:rPr>
                <w:sz w:val="24"/>
              </w:rPr>
            </w:pPr>
            <w:r>
              <w:rPr>
                <w:sz w:val="24"/>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C11D7">
            <w:pPr>
              <w:widowControl/>
              <w:overflowPunct w:val="0"/>
              <w:spacing w:line="300" w:lineRule="exact"/>
              <w:jc w:val="center"/>
              <w:rPr>
                <w:sz w:val="24"/>
              </w:rPr>
            </w:pPr>
            <w:r>
              <w:rPr>
                <w:sz w:val="24"/>
              </w:rPr>
              <w:t>持续影响年限</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13D24">
            <w:pPr>
              <w:widowControl/>
              <w:overflowPunct w:val="0"/>
              <w:spacing w:line="300" w:lineRule="exact"/>
              <w:ind w:firstLine="480" w:firstLineChars="200"/>
              <w:rPr>
                <w:sz w:val="24"/>
              </w:rPr>
            </w:pPr>
            <w:r>
              <w:rPr>
                <w:sz w:val="24"/>
              </w:rPr>
              <w:t>1年</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D89EB">
            <w:pPr>
              <w:widowControl/>
              <w:overflowPunct w:val="0"/>
              <w:spacing w:line="300" w:lineRule="exact"/>
              <w:ind w:firstLine="480" w:firstLineChars="200"/>
              <w:rPr>
                <w:sz w:val="24"/>
              </w:rPr>
            </w:pPr>
            <w:r>
              <w:rPr>
                <w:sz w:val="24"/>
              </w:rPr>
              <w:t>1年</w:t>
            </w:r>
          </w:p>
        </w:tc>
      </w:tr>
      <w:tr w14:paraId="6E6C77C4">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5CE1EECE">
            <w:pPr>
              <w:widowControl/>
              <w:overflowPunct w:val="0"/>
              <w:spacing w:line="300" w:lineRule="exact"/>
              <w:ind w:firstLine="480" w:firstLineChars="200"/>
              <w:rPr>
                <w:rFonts w:ascii="方正黑体_GBK" w:eastAsia="方正黑体_GBK"/>
                <w:sz w:val="24"/>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A3F5D">
            <w:pPr>
              <w:widowControl/>
              <w:overflowPunct w:val="0"/>
              <w:spacing w:line="300" w:lineRule="exact"/>
              <w:jc w:val="center"/>
              <w:rPr>
                <w:rFonts w:ascii="方正黑体_GBK" w:eastAsia="方正黑体_GBK"/>
                <w:bCs/>
                <w:sz w:val="24"/>
              </w:rPr>
            </w:pPr>
            <w:r>
              <w:rPr>
                <w:rFonts w:hint="eastAsia" w:ascii="方正黑体_GBK" w:eastAsia="方正黑体_GBK"/>
                <w:bCs/>
                <w:sz w:val="24"/>
              </w:rPr>
              <w:t>满意</w:t>
            </w:r>
            <w:r>
              <w:rPr>
                <w:rFonts w:hint="eastAsia" w:ascii="方正黑体_GBK" w:eastAsia="方正黑体_GBK"/>
                <w:bCs/>
                <w:sz w:val="24"/>
              </w:rPr>
              <w:br w:type="textWrapping"/>
            </w:r>
            <w:r>
              <w:rPr>
                <w:rFonts w:hint="eastAsia" w:ascii="方正黑体_GBK" w:eastAsia="方正黑体_GBK"/>
                <w:bCs/>
                <w:sz w:val="24"/>
              </w:rPr>
              <w:t>度指</w:t>
            </w:r>
            <w:r>
              <w:rPr>
                <w:rFonts w:hint="eastAsia" w:ascii="方正黑体_GBK" w:eastAsia="方正黑体_GBK"/>
                <w:bCs/>
                <w:sz w:val="24"/>
              </w:rPr>
              <w:br w:type="textWrapping"/>
            </w:r>
            <w:r>
              <w:rPr>
                <w:rFonts w:hint="eastAsia" w:ascii="方正黑体_GBK" w:eastAsia="方正黑体_GBK"/>
                <w:bCs/>
                <w:sz w:val="24"/>
              </w:rPr>
              <w:t>标</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B85E3">
            <w:pPr>
              <w:widowControl/>
              <w:overflowPunct w:val="0"/>
              <w:spacing w:line="300" w:lineRule="exact"/>
              <w:rPr>
                <w:sz w:val="24"/>
              </w:rPr>
            </w:pPr>
            <w:r>
              <w:rPr>
                <w:sz w:val="24"/>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40B8C">
            <w:pPr>
              <w:widowControl/>
              <w:overflowPunct w:val="0"/>
              <w:spacing w:line="300" w:lineRule="exact"/>
              <w:jc w:val="center"/>
              <w:rPr>
                <w:sz w:val="24"/>
              </w:rPr>
            </w:pPr>
            <w:r>
              <w:rPr>
                <w:rFonts w:hint="eastAsia"/>
                <w:sz w:val="24"/>
              </w:rPr>
              <w:t>项目</w:t>
            </w:r>
            <w:r>
              <w:rPr>
                <w:sz w:val="24"/>
              </w:rPr>
              <w:t>实施周边居民满意度</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81942">
            <w:pPr>
              <w:widowControl/>
              <w:overflowPunct w:val="0"/>
              <w:spacing w:line="300" w:lineRule="exact"/>
              <w:ind w:firstLine="480" w:firstLineChars="200"/>
              <w:rPr>
                <w:sz w:val="24"/>
              </w:rPr>
            </w:pPr>
            <w:r>
              <w:rPr>
                <w:sz w:val="24"/>
              </w:rPr>
              <w:t>&gt;95%</w:t>
            </w:r>
          </w:p>
        </w:tc>
        <w:tc>
          <w:tcPr>
            <w:tcW w:w="1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D1D1F">
            <w:pPr>
              <w:widowControl/>
              <w:overflowPunct w:val="0"/>
              <w:spacing w:line="300" w:lineRule="exact"/>
              <w:ind w:firstLine="480" w:firstLineChars="200"/>
              <w:rPr>
                <w:sz w:val="24"/>
              </w:rPr>
            </w:pPr>
            <w:r>
              <w:rPr>
                <w:sz w:val="24"/>
              </w:rPr>
              <w:t>&gt;95%</w:t>
            </w:r>
          </w:p>
        </w:tc>
      </w:tr>
    </w:tbl>
    <w:p w14:paraId="527BC963">
      <w:pPr>
        <w:spacing w:line="600" w:lineRule="exact"/>
        <w:jc w:val="center"/>
        <w:outlineLvl w:val="0"/>
        <w:rPr>
          <w:rFonts w:hint="default" w:ascii="Times New Roman" w:hAnsi="Times New Roman" w:eastAsia="黑体" w:cs="Times New Roman"/>
          <w:color w:val="000000"/>
          <w:sz w:val="44"/>
          <w:szCs w:val="44"/>
        </w:rPr>
      </w:pPr>
    </w:p>
    <w:p w14:paraId="51E440ED">
      <w:pPr>
        <w:spacing w:line="600" w:lineRule="exact"/>
        <w:jc w:val="center"/>
        <w:outlineLvl w:val="0"/>
        <w:rPr>
          <w:rFonts w:hint="default" w:ascii="Times New Roman" w:hAnsi="Times New Roman" w:eastAsia="黑体" w:cs="Times New Roman"/>
          <w:color w:val="000000"/>
          <w:sz w:val="44"/>
          <w:szCs w:val="44"/>
        </w:rPr>
      </w:pPr>
    </w:p>
    <w:p w14:paraId="056F810F">
      <w:pPr>
        <w:spacing w:line="600" w:lineRule="exact"/>
        <w:jc w:val="center"/>
        <w:outlineLvl w:val="0"/>
        <w:rPr>
          <w:rStyle w:val="26"/>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6"/>
          <w:rFonts w:hint="default" w:ascii="Times New Roman" w:hAnsi="Times New Roman" w:eastAsia="黑体" w:cs="Times New Roman"/>
          <w:b w:val="0"/>
        </w:rPr>
        <w:t>五部分 附表</w:t>
      </w:r>
      <w:bookmarkEnd w:id="61"/>
      <w:bookmarkEnd w:id="62"/>
    </w:p>
    <w:p w14:paraId="2F65D36D">
      <w:pPr>
        <w:pStyle w:val="4"/>
        <w:rPr>
          <w:rFonts w:hint="default" w:ascii="Times New Roman" w:hAnsi="Times New Roman" w:eastAsia="仿宋" w:cs="Times New Roman"/>
          <w:color w:val="000000"/>
        </w:rPr>
      </w:pPr>
      <w:bookmarkStart w:id="63" w:name="_Toc15396619"/>
      <w:r>
        <w:rPr>
          <w:rFonts w:hint="default" w:ascii="Times New Roman" w:hAnsi="Times New Roman" w:eastAsia="仿宋" w:cs="Times New Roman"/>
          <w:b w:val="0"/>
          <w:color w:val="000000"/>
        </w:rPr>
        <w:t>一、收</w:t>
      </w:r>
      <w:r>
        <w:rPr>
          <w:rStyle w:val="27"/>
          <w:rFonts w:hint="default" w:ascii="Times New Roman" w:hAnsi="Times New Roman" w:eastAsia="仿宋" w:cs="Times New Roman"/>
          <w:b w:val="0"/>
          <w:bCs w:val="0"/>
        </w:rPr>
        <w:t>入支出决算总表</w:t>
      </w:r>
      <w:bookmarkEnd w:id="63"/>
    </w:p>
    <w:p w14:paraId="5BC697C3">
      <w:pPr>
        <w:pStyle w:val="4"/>
        <w:rPr>
          <w:rFonts w:hint="default" w:ascii="Times New Roman" w:hAnsi="Times New Roman" w:eastAsia="仿宋" w:cs="Times New Roman"/>
          <w:color w:val="000000"/>
        </w:rPr>
      </w:pPr>
      <w:bookmarkStart w:id="64" w:name="_Toc15396620"/>
      <w:r>
        <w:rPr>
          <w:rFonts w:hint="default" w:ascii="Times New Roman" w:hAnsi="Times New Roman" w:eastAsia="仿宋" w:cs="Times New Roman"/>
          <w:b w:val="0"/>
          <w:color w:val="000000"/>
        </w:rPr>
        <w:t>二、收</w:t>
      </w:r>
      <w:r>
        <w:rPr>
          <w:rStyle w:val="27"/>
          <w:rFonts w:hint="default" w:ascii="Times New Roman" w:hAnsi="Times New Roman" w:eastAsia="仿宋" w:cs="Times New Roman"/>
          <w:b w:val="0"/>
          <w:bCs w:val="0"/>
        </w:rPr>
        <w:t>入决算表</w:t>
      </w:r>
      <w:bookmarkEnd w:id="64"/>
    </w:p>
    <w:p w14:paraId="6300B5CB">
      <w:pPr>
        <w:pStyle w:val="4"/>
        <w:rPr>
          <w:rFonts w:hint="default" w:ascii="Times New Roman" w:hAnsi="Times New Roman" w:eastAsia="仿宋" w:cs="Times New Roman"/>
          <w:color w:val="000000"/>
        </w:rPr>
      </w:pPr>
      <w:bookmarkStart w:id="65" w:name="_Toc15396621"/>
      <w:r>
        <w:rPr>
          <w:rStyle w:val="27"/>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7"/>
          <w:rFonts w:hint="default" w:ascii="Times New Roman" w:hAnsi="Times New Roman" w:eastAsia="仿宋" w:cs="Times New Roman"/>
          <w:b w:val="0"/>
          <w:bCs w:val="0"/>
        </w:rPr>
        <w:t>出决算表</w:t>
      </w:r>
      <w:bookmarkEnd w:id="65"/>
    </w:p>
    <w:p w14:paraId="6DB6F3A6">
      <w:pPr>
        <w:pStyle w:val="4"/>
        <w:rPr>
          <w:rFonts w:hint="default" w:ascii="Times New Roman" w:hAnsi="Times New Roman" w:eastAsia="仿宋" w:cs="Times New Roman"/>
          <w:b w:val="0"/>
          <w:color w:val="000000"/>
        </w:rPr>
      </w:pPr>
      <w:bookmarkStart w:id="66" w:name="_Toc15396622"/>
      <w:r>
        <w:rPr>
          <w:rStyle w:val="27"/>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7"/>
          <w:rFonts w:hint="default" w:ascii="Times New Roman" w:hAnsi="Times New Roman" w:eastAsia="仿宋" w:cs="Times New Roman"/>
          <w:b w:val="0"/>
          <w:bCs w:val="0"/>
        </w:rPr>
        <w:t>政拨款收入支出决算总表</w:t>
      </w:r>
      <w:bookmarkEnd w:id="66"/>
    </w:p>
    <w:p w14:paraId="27021FA0">
      <w:pPr>
        <w:pStyle w:val="4"/>
        <w:rPr>
          <w:rStyle w:val="27"/>
          <w:rFonts w:hint="default" w:ascii="Times New Roman" w:hAnsi="Times New Roman" w:eastAsia="仿宋" w:cs="Times New Roman"/>
          <w:b w:val="0"/>
          <w:bCs w:val="0"/>
        </w:rPr>
      </w:pPr>
      <w:bookmarkStart w:id="67" w:name="_Toc15396623"/>
      <w:r>
        <w:rPr>
          <w:rStyle w:val="27"/>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7"/>
          <w:rFonts w:hint="default" w:ascii="Times New Roman" w:hAnsi="Times New Roman" w:eastAsia="仿宋" w:cs="Times New Roman"/>
          <w:b w:val="0"/>
          <w:bCs w:val="0"/>
        </w:rPr>
        <w:t>政拨款支出决算明细表</w:t>
      </w:r>
      <w:bookmarkEnd w:id="67"/>
      <w:bookmarkStart w:id="68" w:name="_Toc15396624"/>
    </w:p>
    <w:p w14:paraId="22898E3A">
      <w:pPr>
        <w:pStyle w:val="4"/>
        <w:rPr>
          <w:rFonts w:hint="default" w:ascii="Times New Roman" w:hAnsi="Times New Roman" w:eastAsia="仿宋" w:cs="Times New Roman"/>
          <w:color w:val="000000"/>
        </w:rPr>
      </w:pPr>
      <w:r>
        <w:rPr>
          <w:rStyle w:val="27"/>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般公共预算财政拨款支出决算表</w:t>
      </w:r>
      <w:bookmarkEnd w:id="68"/>
    </w:p>
    <w:p w14:paraId="7D6391E0">
      <w:pPr>
        <w:pStyle w:val="4"/>
        <w:rPr>
          <w:rFonts w:hint="default" w:ascii="Times New Roman" w:hAnsi="Times New Roman" w:eastAsia="仿宋" w:cs="Times New Roman"/>
          <w:color w:val="000000"/>
        </w:rPr>
      </w:pPr>
      <w:bookmarkStart w:id="69" w:name="_Toc15396625"/>
      <w:r>
        <w:rPr>
          <w:rStyle w:val="27"/>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般公共预算财政拨款支出决算明细表</w:t>
      </w:r>
      <w:bookmarkEnd w:id="69"/>
    </w:p>
    <w:p w14:paraId="1CF354A4">
      <w:pPr>
        <w:pStyle w:val="4"/>
        <w:rPr>
          <w:rFonts w:hint="default" w:ascii="Times New Roman" w:hAnsi="Times New Roman" w:eastAsia="仿宋" w:cs="Times New Roman"/>
          <w:color w:val="000000"/>
        </w:rPr>
      </w:pPr>
      <w:bookmarkStart w:id="70" w:name="_Toc15396626"/>
      <w:r>
        <w:rPr>
          <w:rStyle w:val="27"/>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般公共预算财政拨款基本支出决算表</w:t>
      </w:r>
      <w:bookmarkEnd w:id="70"/>
    </w:p>
    <w:p w14:paraId="3EEA023D">
      <w:pPr>
        <w:pStyle w:val="4"/>
        <w:rPr>
          <w:rFonts w:hint="default" w:ascii="Times New Roman" w:hAnsi="Times New Roman" w:eastAsia="仿宋" w:cs="Times New Roman"/>
          <w:color w:val="000000"/>
        </w:rPr>
      </w:pPr>
      <w:bookmarkStart w:id="71" w:name="_Toc15396627"/>
      <w:r>
        <w:rPr>
          <w:rStyle w:val="27"/>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般公共预算财政拨款项目支出决算表</w:t>
      </w:r>
      <w:bookmarkEnd w:id="71"/>
    </w:p>
    <w:p w14:paraId="5DF49C09">
      <w:pPr>
        <w:pStyle w:val="4"/>
        <w:rPr>
          <w:rFonts w:hint="default" w:ascii="Times New Roman" w:hAnsi="Times New Roman" w:eastAsia="仿宋" w:cs="Times New Roman"/>
          <w:color w:val="000000"/>
        </w:rPr>
      </w:pPr>
      <w:bookmarkStart w:id="72" w:name="_Toc15396629"/>
      <w:r>
        <w:rPr>
          <w:rStyle w:val="27"/>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27"/>
          <w:rFonts w:hint="default" w:ascii="Times New Roman" w:hAnsi="Times New Roman" w:eastAsia="仿宋" w:cs="Times New Roman"/>
          <w:b w:val="0"/>
          <w:bCs w:val="0"/>
        </w:rPr>
        <w:t>府性基金预算财政拨款收入支出决算表</w:t>
      </w:r>
      <w:bookmarkEnd w:id="72"/>
    </w:p>
    <w:p w14:paraId="2641C65F">
      <w:pPr>
        <w:pStyle w:val="4"/>
        <w:rPr>
          <w:rStyle w:val="27"/>
          <w:rFonts w:hint="default" w:ascii="Times New Roman" w:hAnsi="Times New Roman" w:eastAsia="仿宋" w:cs="Times New Roman"/>
          <w:b w:val="0"/>
          <w:bCs w:val="0"/>
        </w:rPr>
      </w:pPr>
      <w:bookmarkStart w:id="73" w:name="_Toc15396631"/>
      <w:r>
        <w:rPr>
          <w:rStyle w:val="27"/>
          <w:rFonts w:hint="default" w:ascii="Times New Roman" w:hAnsi="Times New Roman" w:eastAsia="仿宋" w:cs="Times New Roman"/>
          <w:b w:val="0"/>
          <w:bCs w:val="0"/>
        </w:rPr>
        <w:t>十</w:t>
      </w:r>
      <w:r>
        <w:rPr>
          <w:rStyle w:val="27"/>
          <w:rFonts w:hint="default" w:ascii="Times New Roman" w:hAnsi="Times New Roman" w:eastAsia="仿宋" w:cs="Times New Roman"/>
          <w:b w:val="0"/>
          <w:bCs w:val="0"/>
          <w:lang w:eastAsia="zh-CN"/>
        </w:rPr>
        <w:t>一</w:t>
      </w:r>
      <w:r>
        <w:rPr>
          <w:rStyle w:val="27"/>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14:paraId="608E17D9">
      <w:pPr>
        <w:pStyle w:val="4"/>
        <w:rPr>
          <w:rStyle w:val="27"/>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27"/>
          <w:rFonts w:hint="default" w:ascii="Times New Roman" w:hAnsi="Times New Roman" w:eastAsia="仿宋" w:cs="Times New Roman"/>
          <w:b w:val="0"/>
          <w:bCs w:val="0"/>
        </w:rPr>
        <w:t>有资本经营预算财政拨款支出决算表</w:t>
      </w:r>
      <w:bookmarkEnd w:id="73"/>
    </w:p>
    <w:p w14:paraId="22F3C1F5">
      <w:pPr>
        <w:pStyle w:val="4"/>
        <w:rPr>
          <w:rStyle w:val="27"/>
          <w:rFonts w:hint="default" w:ascii="Times New Roman" w:hAnsi="Times New Roman" w:eastAsia="仿宋" w:cs="Times New Roman"/>
          <w:b w:val="0"/>
          <w:bCs w:val="0"/>
          <w:color w:val="000000" w:themeColor="text1"/>
          <w14:textFill>
            <w14:solidFill>
              <w14:schemeClr w14:val="tx1"/>
            </w14:solidFill>
          </w14:textFill>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27"/>
          <w:rFonts w:hint="default" w:ascii="Times New Roman" w:hAnsi="Times New Roman" w:eastAsia="仿宋" w:cs="Times New Roman"/>
          <w:b w:val="0"/>
          <w:bCs w:val="0"/>
        </w:rPr>
        <w:t>财政拨款“三公”经费支出决算表</w:t>
      </w:r>
    </w:p>
    <w:p w14:paraId="7DD9C4AC">
      <w:pPr>
        <w:rPr>
          <w:rFonts w:hint="default" w:ascii="Times New Roman" w:hAnsi="Times New Roman" w:cs="Times New Roman"/>
        </w:rPr>
      </w:pPr>
    </w:p>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21981-0B31-4F12-A811-92F9AF581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180B138-ABCE-4AB6-97F3-25F9341F76C7}"/>
  </w:font>
  <w:font w:name="仿宋">
    <w:panose1 w:val="02010609060101010101"/>
    <w:charset w:val="86"/>
    <w:family w:val="modern"/>
    <w:pitch w:val="default"/>
    <w:sig w:usb0="800002BF" w:usb1="38CF7CFA" w:usb2="00000016" w:usb3="00000000" w:csb0="00040001" w:csb1="00000000"/>
    <w:embedRegular r:id="rId3" w:fontKey="{CA7F20F1-55A8-490A-B123-98214F0BD76B}"/>
  </w:font>
  <w:font w:name="??">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embedRegular r:id="rId4" w:fontKey="{5383D09F-D56D-4FA3-B95E-8BAB93A27625}"/>
  </w:font>
  <w:font w:name="方正仿宋_GBK">
    <w:panose1 w:val="03000509000000000000"/>
    <w:charset w:val="86"/>
    <w:family w:val="script"/>
    <w:pitch w:val="default"/>
    <w:sig w:usb0="00000001" w:usb1="080E0000" w:usb2="00000000" w:usb3="00000000" w:csb0="00040000" w:csb1="00000000"/>
    <w:embedRegular r:id="rId5" w:fontKey="{19A05C08-11B2-4591-889F-5EA9BA3A8049}"/>
  </w:font>
  <w:font w:name="方正小标宋简体">
    <w:panose1 w:val="02000000000000000000"/>
    <w:charset w:val="86"/>
    <w:family w:val="script"/>
    <w:pitch w:val="default"/>
    <w:sig w:usb0="00000001" w:usb1="08000000" w:usb2="00000000" w:usb3="00000000" w:csb0="00040000" w:csb1="00000000"/>
    <w:embedRegular r:id="rId6" w:fontKey="{95E0A1FB-60FF-4571-83AC-ADDFC04B895F}"/>
  </w:font>
  <w:font w:name="楷体_GB2312">
    <w:altName w:val="楷体"/>
    <w:panose1 w:val="02010609030101010101"/>
    <w:charset w:val="86"/>
    <w:family w:val="auto"/>
    <w:pitch w:val="default"/>
    <w:sig w:usb0="00000000" w:usb1="00000000" w:usb2="00000000" w:usb3="00000000" w:csb0="00040000" w:csb1="00000000"/>
    <w:embedRegular r:id="rId7" w:fontKey="{67E45345-B421-40E7-8440-B194FE304A64}"/>
  </w:font>
  <w:font w:name="方正小标宋_GBK">
    <w:panose1 w:val="03000509000000000000"/>
    <w:charset w:val="86"/>
    <w:family w:val="script"/>
    <w:pitch w:val="default"/>
    <w:sig w:usb0="00000001" w:usb1="080E0000" w:usb2="00000000" w:usb3="00000000" w:csb0="00040000" w:csb1="00000000"/>
    <w:embedRegular r:id="rId8" w:fontKey="{4BECEE8B-89BC-453A-8B37-D7E9A026676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2313">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AC144">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BAC144">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9DE289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510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85E4C">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F85E4C">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19ED">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6D0DE">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86D0DE">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p w14:paraId="1F67E30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0100">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1D15F">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41D15F">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129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435E82D"/>
    <w:multiLevelType w:val="singleLevel"/>
    <w:tmpl w:val="F435E82D"/>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B4A3CCB"/>
    <w:multiLevelType w:val="singleLevel"/>
    <w:tmpl w:val="1B4A3CCB"/>
    <w:lvl w:ilvl="0" w:tentative="0">
      <w:start w:val="3"/>
      <w:numFmt w:val="decimal"/>
      <w:lvlText w:val="%1."/>
      <w:lvlJc w:val="left"/>
      <w:pPr>
        <w:tabs>
          <w:tab w:val="left" w:pos="312"/>
        </w:tabs>
      </w:pPr>
    </w:lvl>
  </w:abstractNum>
  <w:abstractNum w:abstractNumId="6">
    <w:nsid w:val="1CF1EFC0"/>
    <w:multiLevelType w:val="singleLevel"/>
    <w:tmpl w:val="1CF1EFC0"/>
    <w:lvl w:ilvl="0" w:tentative="0">
      <w:start w:val="2"/>
      <w:numFmt w:val="chineseCounting"/>
      <w:suff w:val="nothing"/>
      <w:lvlText w:val="（%1）"/>
      <w:lvlJc w:val="left"/>
      <w:rPr>
        <w:rFonts w:hint="eastAsia"/>
      </w:rPr>
    </w:lvl>
  </w:abstractNum>
  <w:abstractNum w:abstractNumId="7">
    <w:nsid w:val="6FE73096"/>
    <w:multiLevelType w:val="singleLevel"/>
    <w:tmpl w:val="6FE73096"/>
    <w:lvl w:ilvl="0" w:tentative="0">
      <w:start w:val="3"/>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TI0OWUyYzVkZmFjYWQ1YTgxZjBmNDM3YzMyZTYifQ=="/>
  </w:docVars>
  <w:rsids>
    <w:rsidRoot w:val="00F1361C"/>
    <w:rsid w:val="000222C6"/>
    <w:rsid w:val="0002549F"/>
    <w:rsid w:val="000468DB"/>
    <w:rsid w:val="00055A8A"/>
    <w:rsid w:val="0006487A"/>
    <w:rsid w:val="00065F8F"/>
    <w:rsid w:val="00070A43"/>
    <w:rsid w:val="000749E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1D229B"/>
    <w:rsid w:val="05654685"/>
    <w:rsid w:val="05DF0C00"/>
    <w:rsid w:val="063A78C0"/>
    <w:rsid w:val="0669648E"/>
    <w:rsid w:val="06B801E1"/>
    <w:rsid w:val="09B3669D"/>
    <w:rsid w:val="0A2032A3"/>
    <w:rsid w:val="0ACB72E5"/>
    <w:rsid w:val="0BD1285F"/>
    <w:rsid w:val="0DE21480"/>
    <w:rsid w:val="0FEFF10E"/>
    <w:rsid w:val="10C055FF"/>
    <w:rsid w:val="118107EC"/>
    <w:rsid w:val="140B24E1"/>
    <w:rsid w:val="14EB7FD7"/>
    <w:rsid w:val="152D07A5"/>
    <w:rsid w:val="15430298"/>
    <w:rsid w:val="15DF74D1"/>
    <w:rsid w:val="16BB723D"/>
    <w:rsid w:val="1793097A"/>
    <w:rsid w:val="17FFB366"/>
    <w:rsid w:val="18534BA8"/>
    <w:rsid w:val="19375FF7"/>
    <w:rsid w:val="1CDC6B1E"/>
    <w:rsid w:val="1D155CEE"/>
    <w:rsid w:val="1DA13929"/>
    <w:rsid w:val="1DC54782"/>
    <w:rsid w:val="1E8B5456"/>
    <w:rsid w:val="22792042"/>
    <w:rsid w:val="240371BF"/>
    <w:rsid w:val="24270C66"/>
    <w:rsid w:val="26172211"/>
    <w:rsid w:val="29567CDE"/>
    <w:rsid w:val="29FD04D3"/>
    <w:rsid w:val="2ACB6489"/>
    <w:rsid w:val="2B0A0D5F"/>
    <w:rsid w:val="2BD58DEE"/>
    <w:rsid w:val="2BDC73E3"/>
    <w:rsid w:val="2BF11F1F"/>
    <w:rsid w:val="2CF92D3D"/>
    <w:rsid w:val="30B97C74"/>
    <w:rsid w:val="31981078"/>
    <w:rsid w:val="319F7F4E"/>
    <w:rsid w:val="31C06AA2"/>
    <w:rsid w:val="332350B4"/>
    <w:rsid w:val="340F73E6"/>
    <w:rsid w:val="34D66C80"/>
    <w:rsid w:val="37826121"/>
    <w:rsid w:val="384F1DA4"/>
    <w:rsid w:val="387E5813"/>
    <w:rsid w:val="39643D30"/>
    <w:rsid w:val="39812C7D"/>
    <w:rsid w:val="39B90593"/>
    <w:rsid w:val="3A8B515E"/>
    <w:rsid w:val="3C66733D"/>
    <w:rsid w:val="3C94492D"/>
    <w:rsid w:val="3D065BAF"/>
    <w:rsid w:val="3D3F73AB"/>
    <w:rsid w:val="3E5B2E3F"/>
    <w:rsid w:val="3EF754C1"/>
    <w:rsid w:val="3F3B389C"/>
    <w:rsid w:val="3F7F6DE7"/>
    <w:rsid w:val="3FFA232E"/>
    <w:rsid w:val="40A13ABC"/>
    <w:rsid w:val="4194777E"/>
    <w:rsid w:val="420936C7"/>
    <w:rsid w:val="421666B2"/>
    <w:rsid w:val="44911E35"/>
    <w:rsid w:val="4574072F"/>
    <w:rsid w:val="47346FF8"/>
    <w:rsid w:val="47B01E42"/>
    <w:rsid w:val="47DF4DEE"/>
    <w:rsid w:val="482A15FB"/>
    <w:rsid w:val="493144F7"/>
    <w:rsid w:val="49697141"/>
    <w:rsid w:val="49A30776"/>
    <w:rsid w:val="4B5D76B0"/>
    <w:rsid w:val="4DFE0068"/>
    <w:rsid w:val="4ECE2238"/>
    <w:rsid w:val="50667B86"/>
    <w:rsid w:val="529F5629"/>
    <w:rsid w:val="54F46A3E"/>
    <w:rsid w:val="555C4981"/>
    <w:rsid w:val="55637013"/>
    <w:rsid w:val="55C04EA2"/>
    <w:rsid w:val="56C9FFDE"/>
    <w:rsid w:val="5B795474"/>
    <w:rsid w:val="5F98156A"/>
    <w:rsid w:val="618C17C7"/>
    <w:rsid w:val="61F12D74"/>
    <w:rsid w:val="623E30BC"/>
    <w:rsid w:val="631122C9"/>
    <w:rsid w:val="65E676F8"/>
    <w:rsid w:val="67704F2B"/>
    <w:rsid w:val="6C4A05C8"/>
    <w:rsid w:val="6CEE2D6F"/>
    <w:rsid w:val="6D2A6A64"/>
    <w:rsid w:val="6D3D2D32"/>
    <w:rsid w:val="6D4D6A44"/>
    <w:rsid w:val="6ED36BA4"/>
    <w:rsid w:val="6F072F89"/>
    <w:rsid w:val="6FD44A65"/>
    <w:rsid w:val="706D6DED"/>
    <w:rsid w:val="70C075D3"/>
    <w:rsid w:val="72734D90"/>
    <w:rsid w:val="73236401"/>
    <w:rsid w:val="74FB2A94"/>
    <w:rsid w:val="75585ABA"/>
    <w:rsid w:val="758F699C"/>
    <w:rsid w:val="759B6318"/>
    <w:rsid w:val="75DFF505"/>
    <w:rsid w:val="76950A1B"/>
    <w:rsid w:val="76BB24DB"/>
    <w:rsid w:val="774F572B"/>
    <w:rsid w:val="77BBB4F9"/>
    <w:rsid w:val="77F34DF1"/>
    <w:rsid w:val="7908556B"/>
    <w:rsid w:val="7B6BF4D3"/>
    <w:rsid w:val="7BBE1B47"/>
    <w:rsid w:val="7BFE17E7"/>
    <w:rsid w:val="7CDC7CD3"/>
    <w:rsid w:val="7CEF2EDE"/>
    <w:rsid w:val="7EB63B17"/>
    <w:rsid w:val="7F453289"/>
    <w:rsid w:val="7FAF5630"/>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99"/>
    <w:pPr>
      <w:spacing w:beforeLines="30"/>
    </w:pPr>
    <w:rPr>
      <w:rFonts w:ascii="仿宋_GB2312" w:eastAsia="仿宋_GB2312"/>
      <w:kern w:val="0"/>
      <w:sz w:val="30"/>
    </w:rPr>
  </w:style>
  <w:style w:type="paragraph" w:styleId="6">
    <w:name w:val="Body Text Indent"/>
    <w:basedOn w:val="1"/>
    <w:autoRedefine/>
    <w:qFormat/>
    <w:uiPriority w:val="0"/>
    <w:pPr>
      <w:spacing w:after="120"/>
      <w:ind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29"/>
    <w:autoRedefine/>
    <w:unhideWhenUsed/>
    <w:qFormat/>
    <w:uiPriority w:val="99"/>
    <w:rPr>
      <w:sz w:val="18"/>
      <w:szCs w:val="18"/>
    </w:rPr>
  </w:style>
  <w:style w:type="paragraph" w:styleId="9">
    <w:name w:val="footer"/>
    <w:basedOn w:val="1"/>
    <w:next w:val="1"/>
    <w:link w:val="21"/>
    <w:autoRedefine/>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6"/>
    <w:autoRedefine/>
    <w:unhideWhenUsed/>
    <w:qFormat/>
    <w:uiPriority w:val="99"/>
    <w:pPr>
      <w:ind w:firstLine="420" w:firstLineChars="200"/>
    </w:pPr>
  </w:style>
  <w:style w:type="character" w:styleId="16">
    <w:name w:val="Strong"/>
    <w:basedOn w:val="15"/>
    <w:autoRedefine/>
    <w:qFormat/>
    <w:uiPriority w:val="99"/>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8">
    <w:name w:val="Header Char"/>
    <w:basedOn w:val="15"/>
    <w:autoRedefine/>
    <w:semiHidden/>
    <w:qFormat/>
    <w:uiPriority w:val="99"/>
    <w:rPr>
      <w:rFonts w:ascii="Times New Roman" w:hAnsi="Times New Roman"/>
      <w:sz w:val="18"/>
      <w:szCs w:val="18"/>
    </w:rPr>
  </w:style>
  <w:style w:type="character" w:customStyle="1" w:styleId="19">
    <w:name w:val="页眉 Char"/>
    <w:link w:val="10"/>
    <w:autoRedefine/>
    <w:semiHidden/>
    <w:qFormat/>
    <w:locked/>
    <w:uiPriority w:val="99"/>
    <w:rPr>
      <w:sz w:val="18"/>
    </w:rPr>
  </w:style>
  <w:style w:type="character" w:customStyle="1" w:styleId="20">
    <w:name w:val="Footer Char"/>
    <w:basedOn w:val="15"/>
    <w:autoRedefine/>
    <w:semiHidden/>
    <w:qFormat/>
    <w:uiPriority w:val="99"/>
    <w:rPr>
      <w:rFonts w:ascii="Times New Roman" w:hAnsi="Times New Roman"/>
      <w:sz w:val="18"/>
      <w:szCs w:val="18"/>
    </w:rPr>
  </w:style>
  <w:style w:type="character" w:customStyle="1" w:styleId="21">
    <w:name w:val="页脚 Char"/>
    <w:link w:val="9"/>
    <w:autoRedefine/>
    <w:qFormat/>
    <w:locked/>
    <w:uiPriority w:val="99"/>
    <w:rPr>
      <w:sz w:val="18"/>
    </w:rPr>
  </w:style>
  <w:style w:type="character" w:customStyle="1" w:styleId="22">
    <w:name w:val="Body Text Char"/>
    <w:basedOn w:val="15"/>
    <w:autoRedefine/>
    <w:semiHidden/>
    <w:qFormat/>
    <w:uiPriority w:val="99"/>
    <w:rPr>
      <w:rFonts w:ascii="Times New Roman" w:hAnsi="Times New Roman"/>
      <w:szCs w:val="24"/>
    </w:rPr>
  </w:style>
  <w:style w:type="character" w:customStyle="1" w:styleId="23">
    <w:name w:val="正文文本 Char"/>
    <w:link w:val="2"/>
    <w:autoRedefine/>
    <w:qFormat/>
    <w:locked/>
    <w:uiPriority w:val="99"/>
    <w:rPr>
      <w:rFonts w:ascii="仿宋_GB2312" w:hAnsi="Times New Roman" w:eastAsia="仿宋_GB2312"/>
      <w:sz w:val="24"/>
    </w:rPr>
  </w:style>
  <w:style w:type="paragraph" w:customStyle="1" w:styleId="24">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autoRedefine/>
    <w:qFormat/>
    <w:uiPriority w:val="34"/>
    <w:pPr>
      <w:ind w:firstLine="420" w:firstLineChars="200"/>
    </w:pPr>
  </w:style>
  <w:style w:type="character" w:customStyle="1" w:styleId="26">
    <w:name w:val="标题 1 Char"/>
    <w:basedOn w:val="15"/>
    <w:link w:val="3"/>
    <w:autoRedefine/>
    <w:qFormat/>
    <w:uiPriority w:val="9"/>
    <w:rPr>
      <w:rFonts w:ascii="Times New Roman" w:hAnsi="Times New Roman"/>
      <w:b/>
      <w:bCs/>
      <w:kern w:val="44"/>
      <w:sz w:val="44"/>
      <w:szCs w:val="44"/>
    </w:rPr>
  </w:style>
  <w:style w:type="character" w:customStyle="1" w:styleId="27">
    <w:name w:val="标题 2 Char"/>
    <w:basedOn w:val="15"/>
    <w:link w:val="4"/>
    <w:autoRedefine/>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autoRedefine/>
    <w:semiHidden/>
    <w:qFormat/>
    <w:uiPriority w:val="99"/>
    <w:rPr>
      <w:rFonts w:ascii="Times New Roman" w:hAnsi="Times New Roman"/>
      <w:kern w:val="2"/>
      <w:sz w:val="18"/>
      <w:szCs w:val="18"/>
    </w:rPr>
  </w:style>
  <w:style w:type="character" w:customStyle="1" w:styleId="30">
    <w:name w:val="标题 3 Char"/>
    <w:basedOn w:val="15"/>
    <w:link w:val="5"/>
    <w:autoRedefine/>
    <w:qFormat/>
    <w:uiPriority w:val="9"/>
    <w:rPr>
      <w:rFonts w:ascii="Times New Roman" w:hAnsi="Times New Roman"/>
      <w:b/>
      <w:bCs/>
      <w:kern w:val="2"/>
      <w:sz w:val="32"/>
      <w:szCs w:val="32"/>
    </w:rPr>
  </w:style>
  <w:style w:type="paragraph" w:customStyle="1" w:styleId="31">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33">
    <w:name w:val="font11"/>
    <w:basedOn w:val="15"/>
    <w:autoRedefine/>
    <w:qFormat/>
    <w:uiPriority w:val="0"/>
    <w:rPr>
      <w:rFonts w:hint="eastAsia" w:ascii="方正黑体_GBK" w:hAnsi="方正黑体_GBK" w:eastAsia="方正黑体_GBK" w:cs="方正黑体_GBK"/>
      <w:color w:val="000000"/>
      <w:sz w:val="24"/>
      <w:szCs w:val="24"/>
      <w:u w:val="none"/>
    </w:rPr>
  </w:style>
  <w:style w:type="character" w:customStyle="1" w:styleId="34">
    <w:name w:val="font31"/>
    <w:basedOn w:val="15"/>
    <w:autoRedefine/>
    <w:qFormat/>
    <w:uiPriority w:val="0"/>
    <w:rPr>
      <w:rFonts w:hint="eastAsia" w:ascii="方正仿宋_GBK" w:hAnsi="方正仿宋_GBK" w:eastAsia="方正仿宋_GBK" w:cs="方正仿宋_GBK"/>
      <w:color w:val="000000"/>
      <w:sz w:val="24"/>
      <w:szCs w:val="24"/>
      <w:u w:val="none"/>
    </w:rPr>
  </w:style>
  <w:style w:type="character" w:customStyle="1" w:styleId="35">
    <w:name w:val="font61"/>
    <w:basedOn w:val="15"/>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收支决算变动总图</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24495.9</c:v>
                </c:pt>
                <c:pt idx="1">
                  <c:v>24496.9</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General</c:formatCode>
                <c:ptCount val="2"/>
                <c:pt idx="0">
                  <c:v>23811.15</c:v>
                </c:pt>
                <c:pt idx="1">
                  <c:v>17693.39</c:v>
                </c:pt>
              </c:numCache>
            </c:numRef>
          </c:val>
        </c:ser>
        <c:dLbls>
          <c:showLegendKey val="0"/>
          <c:showVal val="1"/>
          <c:showCatName val="0"/>
          <c:showSerName val="0"/>
          <c:showPercent val="0"/>
          <c:showBubbleSize val="0"/>
        </c:dLbls>
        <c:gapWidth val="246"/>
        <c:overlap val="-28"/>
        <c:axId val="125165677"/>
        <c:axId val="726289414"/>
      </c:barChart>
      <c:catAx>
        <c:axId val="125165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289414"/>
        <c:crosses val="autoZero"/>
        <c:auto val="1"/>
        <c:lblAlgn val="ctr"/>
        <c:lblOffset val="100"/>
        <c:noMultiLvlLbl val="0"/>
      </c:catAx>
      <c:valAx>
        <c:axId val="7262894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16567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963d42-3869-4177-83e0-ad584dc0c9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explosion val="1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Lbls>
            <c:dLbl>
              <c:idx val="0"/>
              <c:layout/>
              <c:numFmt formatCode="General" sourceLinked="1"/>
              <c:spPr>
                <a:solidFill>
                  <a:srgbClr val="FFFFFF"/>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FFFFFF"/>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solidFill>
                  <a:srgbClr val="FFFFFF"/>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w="12700">
                <a:solidFill>
                  <a:srgbClr val="000000">
                    <a:lumMod val="25000"/>
                    <a:lumOff val="75000"/>
                  </a:srgbClr>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dk1">
                        <a:lumMod val="65000"/>
                        <a:lumOff val="3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[工作簿1]Sheet1!$A$1:$A$3</c:f>
              <c:strCache>
                <c:ptCount val="3"/>
                <c:pt idx="0">
                  <c:v>一般公共预算财政拨款收入</c:v>
                </c:pt>
                <c:pt idx="1">
                  <c:v>事业收入</c:v>
                </c:pt>
                <c:pt idx="2">
                  <c:v>其他收入</c:v>
                </c:pt>
              </c:strCache>
            </c:strRef>
          </c:cat>
          <c:val>
            <c:numRef>
              <c:f>[工作簿1]Sheet1!$B$1:$B$3</c:f>
              <c:numCache>
                <c:formatCode>General</c:formatCode>
                <c:ptCount val="3"/>
                <c:pt idx="0">
                  <c:v>1026.34</c:v>
                </c:pt>
                <c:pt idx="1">
                  <c:v>16753.81</c:v>
                </c:pt>
                <c:pt idx="2">
                  <c:v>75.5</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7cedb8-d157-493f-b2a9-24b1f8299336}"/>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支出决算结构图</a:t>
            </a:r>
          </a:p>
        </c:rich>
      </c:tx>
      <c:layout/>
      <c:overlay val="0"/>
      <c:spPr>
        <a:noFill/>
        <a:ln>
          <a:noFill/>
        </a:ln>
        <a:effectLst/>
      </c:spPr>
    </c:title>
    <c:autoTitleDeleted val="0"/>
    <c:view3D>
      <c:rotX val="25"/>
      <c:rotY val="0"/>
      <c:depthPercent val="100"/>
      <c:rAngAx val="0"/>
      <c:perspective val="2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585619918699187"/>
          <c:y val="0.16"/>
          <c:w val="0.80005081300813"/>
          <c:h val="0.775418994413408"/>
        </c:manualLayout>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0"/>
            <c:explosion val="22"/>
            <c:spPr>
              <a:gradFill>
                <a:gsLst>
                  <a:gs pos="0">
                    <a:schemeClr val="accent2">
                      <a:lumMod val="60000"/>
                      <a:lumOff val="40000"/>
                    </a:schemeClr>
                  </a:gs>
                  <a:gs pos="94000">
                    <a:schemeClr val="accent2"/>
                  </a:gs>
                </a:gsLst>
                <a:lin ang="13500000" scaled="0"/>
              </a:gradFill>
              <a:ln w="15875" cmpd="sng">
                <a:solidFill>
                  <a:schemeClr val="accent2">
                    <a:lumMod val="75000"/>
                  </a:schemeClr>
                </a:solidFill>
                <a:prstDash val="solid"/>
              </a:ln>
              <a:effectLst/>
              <a:scene3d>
                <a:camera prst="orthographicFront"/>
                <a:lightRig rig="threePt" dir="t"/>
              </a:scene3d>
              <a:sp3d contourW="15875" prstMaterial="fla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[工作簿1]Sheet1!$A$6:$A$7</c:f>
              <c:strCache>
                <c:ptCount val="2"/>
                <c:pt idx="0">
                  <c:v>基本支出</c:v>
                </c:pt>
                <c:pt idx="1">
                  <c:v>项目支出</c:v>
                </c:pt>
              </c:strCache>
            </c:strRef>
          </c:cat>
          <c:val>
            <c:numRef>
              <c:f>[工作簿1]Sheet1!$B$6:$B$7</c:f>
              <c:numCache>
                <c:formatCode>General</c:formatCode>
                <c:ptCount val="2"/>
                <c:pt idx="0">
                  <c:v>17209.75</c:v>
                </c:pt>
                <c:pt idx="1">
                  <c:v>483.64</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ca1ab9cd-b333-4e09-8950-1c7a34bfe652}"/>
      </c:ext>
    </c:extLst>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财政拨款收、支决算变动图</a:t>
            </a:r>
          </a:p>
        </c:rich>
      </c:tx>
      <c:layout>
        <c:manualLayout>
          <c:xMode val="edge"/>
          <c:yMode val="edge"/>
          <c:x val="0.297777777777778"/>
          <c:y val="0.0243055555555556"/>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7163.45</c:v>
                </c:pt>
                <c:pt idx="1">
                  <c:v>1207.95</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General</c:formatCode>
                <c:ptCount val="2"/>
                <c:pt idx="0">
                  <c:v>6981.84</c:v>
                </c:pt>
                <c:pt idx="1">
                  <c:v>864.08</c:v>
                </c:pt>
              </c:numCache>
            </c:numRef>
          </c:val>
        </c:ser>
        <c:dLbls>
          <c:showLegendKey val="0"/>
          <c:showVal val="1"/>
          <c:showCatName val="0"/>
          <c:showSerName val="0"/>
          <c:showPercent val="0"/>
          <c:showBubbleSize val="0"/>
        </c:dLbls>
        <c:gapWidth val="219"/>
        <c:overlap val="-27"/>
        <c:axId val="720996556"/>
        <c:axId val="949556598"/>
      </c:barChart>
      <c:catAx>
        <c:axId val="720996556"/>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556598"/>
        <c:crosses val="autoZero"/>
        <c:auto val="1"/>
        <c:lblAlgn val="ctr"/>
        <c:lblOffset val="100"/>
        <c:noMultiLvlLbl val="0"/>
      </c:catAx>
      <c:valAx>
        <c:axId val="94955659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9965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0272f90-ecf9-4e55-b2a8-babfc39960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一般公共预算财政拨款支出决算变动图</a:t>
            </a:r>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2021年</c:v>
                </c:pt>
                <c:pt idx="1">
                  <c:v>2022年</c:v>
                </c:pt>
              </c:strCache>
            </c:strRef>
          </c:cat>
          <c:val>
            <c:numRef>
              <c:f>[工作簿1]Sheet1!$B$2:$B$3</c:f>
              <c:numCache>
                <c:formatCode>General</c:formatCode>
                <c:ptCount val="2"/>
                <c:pt idx="0">
                  <c:v>467.16</c:v>
                </c:pt>
                <c:pt idx="1">
                  <c:v>431.08</c:v>
                </c:pt>
              </c:numCache>
            </c:numRef>
          </c:val>
        </c:ser>
        <c:dLbls>
          <c:showLegendKey val="0"/>
          <c:showVal val="1"/>
          <c:showCatName val="0"/>
          <c:showSerName val="0"/>
          <c:showPercent val="0"/>
          <c:showBubbleSize val="0"/>
        </c:dLbls>
        <c:gapWidth val="219"/>
        <c:overlap val="-27"/>
        <c:axId val="423281592"/>
        <c:axId val="903448467"/>
      </c:barChart>
      <c:catAx>
        <c:axId val="4232815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3448467"/>
        <c:crosses val="autoZero"/>
        <c:auto val="1"/>
        <c:lblAlgn val="ctr"/>
        <c:lblOffset val="100"/>
        <c:noMultiLvlLbl val="0"/>
      </c:catAx>
      <c:valAx>
        <c:axId val="903448467"/>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281592"/>
        <c:crosses val="autoZero"/>
        <c:crossBetween val="between"/>
      </c:valAx>
      <c:spPr>
        <a:noFill/>
        <a:ln>
          <a:noFill/>
        </a:ln>
        <a:effectLst/>
      </c:spPr>
    </c:plotArea>
    <c:plotVisOnly val="1"/>
    <c:dispBlanksAs val="gap"/>
    <c:showDLblsOverMax val="0"/>
    <c:extLst>
      <c:ext uri="{0b15fc19-7d7d-44ad-8c2d-2c3a37ce22c3}">
        <chartProps xmlns="https://web.wps.cn/et/2018/main" chartId="{742c30dd-88ae-4017-b91f-210a7c9c6e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[工作簿1]Sheet1!$C$12</c:f>
              <c:strCache>
                <c:ptCount val="1"/>
                <c:pt idx="0">
                  <c:v>卫生健康支出</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[工作簿1]Sheet1!$D$11</c:f>
              <c:strCache>
                <c:ptCount val="1"/>
                <c:pt idx="0">
                  <c:v>卫生健康支出</c:v>
                </c:pt>
              </c:strCache>
            </c:strRef>
          </c:cat>
          <c:val>
            <c:numRef>
              <c:f>[工作簿1]Sheet1!$D$12</c:f>
              <c:numCache>
                <c:formatCode>General</c:formatCode>
                <c:ptCount val="1"/>
                <c:pt idx="0">
                  <c:v>431.08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255a2f-3780-49b8-805c-1ad4a09c27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11】">
    <a:dk1>
      <a:srgbClr val="000000"/>
    </a:dk1>
    <a:lt1>
      <a:srgbClr val="FFFFFF"/>
    </a:lt1>
    <a:dk2>
      <a:srgbClr val="0C0E1F"/>
    </a:dk2>
    <a:lt2>
      <a:srgbClr val="FEFFFF"/>
    </a:lt2>
    <a:accent1>
      <a:srgbClr val="FE961C"/>
    </a:accent1>
    <a:accent2>
      <a:srgbClr val="E15441"/>
    </a:accent2>
    <a:accent3>
      <a:srgbClr val="77D1E8"/>
    </a:accent3>
    <a:accent4>
      <a:srgbClr val="3CB8EC"/>
    </a:accent4>
    <a:accent5>
      <a:srgbClr val="17A6E9"/>
    </a:accent5>
    <a:accent6>
      <a:srgbClr val="FFC619"/>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8937</Words>
  <Characters>9719</Characters>
  <Lines>61</Lines>
  <Paragraphs>17</Paragraphs>
  <TotalTime>74</TotalTime>
  <ScaleCrop>false</ScaleCrop>
  <LinksUpToDate>false</LinksUpToDate>
  <CharactersWithSpaces>9771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Eleven</cp:lastModifiedBy>
  <cp:lastPrinted>2021-08-02T03:56:00Z</cp:lastPrinted>
  <dcterms:modified xsi:type="dcterms:W3CDTF">2024-10-23T11:10:25Z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CADD006A22F64D8FA14A52244435A6CD_12</vt:lpwstr>
  </property>
</Properties>
</file>