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8441"/>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77194"/>
      <w:bookmarkStart w:id="7" w:name="_Toc15378442"/>
      <w:bookmarkStart w:id="8" w:name="_Toc15396476"/>
      <w:bookmarkStart w:id="9" w:name="_Toc1537742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医疗保险管理局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公开时间：2019年8月29日</w:t>
      </w:r>
    </w:p>
    <w:p/>
    <w:p>
      <w:pPr>
        <w:pStyle w:val="10"/>
        <w:rPr>
          <w:rFonts w:cs="黑体"/>
        </w:rPr>
      </w:pPr>
      <w:r>
        <w:fldChar w:fldCharType="begin"/>
      </w:r>
      <w:r>
        <w:instrText xml:space="preserve">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fldChar w:fldCharType="end"/>
      </w:r>
    </w:p>
    <w:p>
      <w:pPr>
        <w:pStyle w:val="11"/>
        <w:rPr>
          <w:rFonts w:ascii="仿宋" w:hAnsi="仿宋" w:eastAsia="仿宋" w:cs="黑体"/>
          <w:sz w:val="28"/>
          <w:szCs w:val="28"/>
        </w:rPr>
      </w:pPr>
      <w:r>
        <w:fldChar w:fldCharType="begin"/>
      </w:r>
      <w:r>
        <w:instrText xml:space="preserve">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fldChar w:fldCharType="end"/>
      </w:r>
    </w:p>
    <w:p>
      <w:pPr>
        <w:pStyle w:val="11"/>
        <w:rPr>
          <w:rFonts w:ascii="仿宋" w:hAnsi="仿宋" w:eastAsia="仿宋" w:cs="黑体"/>
          <w:sz w:val="28"/>
          <w:szCs w:val="28"/>
        </w:rPr>
      </w:pPr>
      <w:r>
        <w:fldChar w:fldCharType="begin"/>
      </w:r>
      <w:r>
        <w:instrText xml:space="preserve">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fldChar w:fldCharType="end"/>
      </w:r>
    </w:p>
    <w:p>
      <w:pPr>
        <w:pStyle w:val="10"/>
      </w:pPr>
      <w:r>
        <w:fldChar w:fldCharType="begin"/>
      </w:r>
      <w:r>
        <w:instrText xml:space="preserve">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黑体"/>
          <w:sz w:val="28"/>
          <w:szCs w:val="28"/>
        </w:rPr>
      </w:pPr>
      <w:r>
        <w:fldChar w:fldCharType="begin"/>
      </w:r>
      <w:r>
        <w:instrText xml:space="preserve">HYPERLINK  \l "_Toc15396603" </w:instrText>
      </w:r>
      <w:r>
        <w:fldChar w:fldCharType="separate"/>
      </w:r>
      <w:r>
        <w:rPr>
          <w:rStyle w:val="16"/>
          <w:rFonts w:hint="eastAsia" w:ascii="仿宋" w:hAnsi="仿宋" w:eastAsia="仿宋" w:cs="黑体"/>
          <w:bCs/>
          <w:sz w:val="28"/>
          <w:szCs w:val="28"/>
        </w:rPr>
        <w:t>一、</w:t>
      </w:r>
      <w:r>
        <w:rPr>
          <w:rStyle w:val="16"/>
          <w:rFonts w:hint="eastAsia" w:ascii="仿宋" w:hAnsi="仿宋" w:eastAsia="仿宋"/>
          <w:sz w:val="28"/>
          <w:szCs w:val="28"/>
        </w:rPr>
        <w:t>收</w:t>
      </w:r>
      <w:r>
        <w:rPr>
          <w:rStyle w:val="16"/>
          <w:rFonts w:hint="eastAsia" w:ascii="仿宋" w:hAnsi="仿宋" w:eastAsia="仿宋" w:cs="黑体"/>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"_Toc15396604" </w:instrText>
      </w:r>
      <w:r>
        <w:fldChar w:fldCharType="separate"/>
      </w:r>
      <w:r>
        <w:rPr>
          <w:rStyle w:val="16"/>
          <w:rFonts w:hint="eastAsia" w:ascii="仿宋" w:hAnsi="仿宋" w:eastAsia="仿宋" w:cs="黑体"/>
          <w:bCs/>
          <w:sz w:val="28"/>
          <w:szCs w:val="28"/>
        </w:rPr>
        <w:t>二、</w:t>
      </w:r>
      <w:r>
        <w:rPr>
          <w:rStyle w:val="16"/>
          <w:rFonts w:hint="eastAsia" w:ascii="仿宋" w:hAnsi="仿宋" w:eastAsia="仿宋"/>
          <w:sz w:val="28"/>
          <w:szCs w:val="28"/>
        </w:rPr>
        <w:t>收</w:t>
      </w:r>
      <w:r>
        <w:rPr>
          <w:rStyle w:val="16"/>
          <w:rFonts w:hint="eastAsia" w:ascii="仿宋" w:hAnsi="仿宋" w:eastAsia="仿宋" w:cs="黑体"/>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"_Toc15396605" </w:instrText>
      </w:r>
      <w:r>
        <w:fldChar w:fldCharType="separate"/>
      </w:r>
      <w:r>
        <w:rPr>
          <w:rStyle w:val="16"/>
          <w:rFonts w:hint="eastAsia" w:ascii="仿宋" w:hAnsi="仿宋" w:eastAsia="仿宋" w:cs="黑体"/>
          <w:bCs/>
          <w:sz w:val="28"/>
          <w:szCs w:val="28"/>
        </w:rPr>
        <w:t>三、</w:t>
      </w:r>
      <w:r>
        <w:rPr>
          <w:rStyle w:val="16"/>
          <w:rFonts w:hint="eastAsia" w:ascii="仿宋" w:hAnsi="仿宋" w:eastAsia="仿宋"/>
          <w:sz w:val="28"/>
          <w:szCs w:val="28"/>
        </w:rPr>
        <w:t>支</w:t>
      </w:r>
      <w:r>
        <w:rPr>
          <w:rStyle w:val="16"/>
          <w:rFonts w:hint="eastAsia" w:ascii="仿宋" w:hAnsi="仿宋" w:eastAsia="仿宋" w:cs="黑体"/>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黑体"/>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黑体"/>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黑体"/>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黑体"/>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黑体"/>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"_Toc15396611" </w:instrText>
      </w:r>
      <w:r>
        <w:fldChar w:fldCharType="separate"/>
      </w:r>
      <w:r>
        <w:rPr>
          <w:rStyle w:val="16"/>
          <w:rFonts w:hint="eastAsia" w:ascii="仿宋" w:hAnsi="仿宋" w:eastAsia="仿宋" w:cs="黑体"/>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黑体"/>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黑体"/>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fldChar w:fldCharType="end"/>
      </w:r>
    </w:p>
    <w:p>
      <w:pPr>
        <w:pStyle w:val="10"/>
        <w:rPr>
          <w:rFonts w:cs="黑体"/>
        </w:rPr>
      </w:pPr>
      <w:r>
        <w:fldChar w:fldCharType="begin"/>
      </w:r>
      <w:r>
        <w:instrText xml:space="preserve">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黑体"/>
        </w:rPr>
      </w:pPr>
      <w:r>
        <w:fldChar w:fldCharType="begin"/>
      </w:r>
      <w:r>
        <w:instrText xml:space="preserve">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黑体"/>
          <w:sz w:val="28"/>
          <w:szCs w:val="28"/>
        </w:rPr>
      </w:pPr>
      <w:r>
        <w:fldChar w:fldCharType="begin"/>
      </w:r>
      <w:r>
        <w:instrText xml:space="preserve">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fldChar w:fldCharType="end"/>
      </w:r>
    </w:p>
    <w:p>
      <w:pPr>
        <w:pStyle w:val="10"/>
        <w:rPr>
          <w:rFonts w:cs="黑体"/>
        </w:rPr>
      </w:pPr>
      <w:r>
        <w:fldChar w:fldCharType="begin"/>
      </w:r>
      <w:r>
        <w:instrText xml:space="preserve">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一、</w:t>
      </w:r>
      <w:r>
        <w:fldChar w:fldCharType="begin"/>
      </w:r>
      <w:r>
        <w:instrText xml:space="preserve">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二、</w:t>
      </w:r>
      <w:r>
        <w:fldChar w:fldCharType="begin"/>
      </w:r>
      <w:r>
        <w:instrText xml:space="preserve">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三、</w:t>
      </w:r>
      <w:r>
        <w:fldChar w:fldCharType="begin"/>
      </w:r>
      <w:r>
        <w:instrText xml:space="preserve">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四、</w:t>
      </w:r>
      <w:r>
        <w:fldChar w:fldCharType="begin"/>
      </w:r>
      <w:r>
        <w:instrText xml:space="preserve">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六、</w:t>
      </w:r>
      <w:r>
        <w:fldChar w:fldCharType="begin"/>
      </w:r>
      <w:r>
        <w:instrText xml:space="preserve">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七、</w:t>
      </w:r>
      <w:r>
        <w:fldChar w:fldCharType="begin"/>
      </w:r>
      <w:r>
        <w:instrText xml:space="preserve">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八、</w:t>
      </w:r>
      <w:r>
        <w:fldChar w:fldCharType="begin"/>
      </w:r>
      <w:r>
        <w:instrText xml:space="preserve">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九、</w:t>
      </w:r>
      <w:r>
        <w:fldChar w:fldCharType="begin"/>
      </w:r>
      <w:r>
        <w:instrText xml:space="preserve">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十、</w:t>
      </w:r>
      <w:r>
        <w:fldChar w:fldCharType="begin"/>
      </w:r>
      <w:r>
        <w:instrText xml:space="preserve">HYPERLINK  \l "_Toc15396628" </w:instrText>
      </w:r>
      <w:r>
        <w:fldChar w:fldCharType="separate"/>
      </w:r>
      <w:r>
        <w:rPr>
          <w:rStyle w:val="16"/>
          <w:rFonts w:hint="eastAsia" w:ascii="仿宋" w:hAnsi="仿宋" w:eastAsia="仿宋"/>
          <w:sz w:val="28"/>
          <w:szCs w:val="28"/>
        </w:rPr>
        <w:t>一般公共预算财政拨款“</w:t>
      </w:r>
      <w:bookmarkStart w:id="75" w:name="_GoBack"/>
      <w:r>
        <w:rPr>
          <w:rStyle w:val="16"/>
          <w:rFonts w:hint="eastAsia" w:ascii="仿宋" w:hAnsi="仿宋" w:eastAsia="仿宋"/>
          <w:sz w:val="28"/>
          <w:szCs w:val="28"/>
        </w:rPr>
        <w:t>三公</w:t>
      </w:r>
      <w:bookmarkEnd w:id="75"/>
      <w:r>
        <w:rPr>
          <w:rStyle w:val="16"/>
          <w:rFonts w:hint="eastAsia" w:ascii="仿宋" w:hAnsi="仿宋" w:eastAsia="仿宋"/>
          <w:sz w:val="28"/>
          <w:szCs w:val="28"/>
        </w:rPr>
        <w:t>”经费支出决算表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十一、</w:t>
      </w:r>
      <w:r>
        <w:fldChar w:fldCharType="begin"/>
      </w:r>
      <w:r>
        <w:instrText xml:space="preserve">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十二、</w:t>
      </w:r>
      <w:r>
        <w:fldChar w:fldCharType="begin"/>
      </w:r>
      <w:r>
        <w:instrText xml:space="preserve">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4"/>
        </w:rPr>
      </w:pPr>
      <w:r>
        <w:rPr>
          <w:rFonts w:hint="eastAsia" w:ascii="仿宋" w:hAnsi="仿宋" w:eastAsia="仿宋"/>
          <w:sz w:val="28"/>
          <w:szCs w:val="28"/>
        </w:rPr>
        <w:t>十三、</w:t>
      </w:r>
      <w:r>
        <w:fldChar w:fldCharType="begin"/>
      </w:r>
      <w:r>
        <w:instrText xml:space="preserve">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3"/>
        <w:jc w:val="center"/>
        <w:rPr>
          <w:rStyle w:val="17"/>
          <w:rFonts w:ascii="黑体" w:hAnsi="黑体" w:eastAsia="黑体"/>
          <w:b/>
          <w:bCs w:val="0"/>
        </w:rPr>
      </w:pPr>
      <w:r>
        <w:rPr>
          <w:rFonts w:hint="eastAsia" w:ascii="黑体" w:hAnsi="黑体" w:eastAsia="黑体"/>
          <w:b w:val="0"/>
        </w:rPr>
        <w:t xml:space="preserve">第一部分 </w:t>
      </w:r>
      <w:r>
        <w:rPr>
          <w:rStyle w:val="1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1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4"/>
      <w:bookmarkEnd w:id="15"/>
    </w:p>
    <w:p>
      <w:pPr>
        <w:pStyle w:val="6"/>
        <w:adjustRightInd w:val="0"/>
        <w:snapToGrid w:val="0"/>
        <w:spacing w:line="600" w:lineRule="exact"/>
        <w:ind w:firstLine="672" w:firstLineChars="210"/>
        <w:rPr>
          <w:rFonts w:hint="eastAsia"/>
          <w:bCs/>
          <w:color w:val="000000"/>
          <w:sz w:val="32"/>
          <w:szCs w:val="32"/>
          <w:lang w:eastAsia="zh-CN"/>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r>
        <w:rPr>
          <w:rFonts w:hint="eastAsia"/>
          <w:bCs/>
          <w:color w:val="000000"/>
          <w:sz w:val="32"/>
          <w:szCs w:val="32"/>
          <w:lang w:eastAsia="zh-CN"/>
        </w:rPr>
        <w:t>按照全市统一政策规范办理和管理城镇医疗保险业务。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outlineLvl w:val="9"/>
        <w:rPr>
          <w:rFonts w:hint="eastAsia" w:ascii="方正黑体_GBK" w:hAnsi="方正黑体_GBK" w:eastAsia="方正黑体_GBK" w:cs="方正黑体_GBK"/>
          <w:color w:val="auto"/>
          <w:sz w:val="32"/>
          <w:szCs w:val="32"/>
          <w:lang w:eastAsia="zh-CN"/>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3" w:firstLineChars="200"/>
        <w:textAlignment w:val="baseline"/>
        <w:rPr>
          <w:rFonts w:hint="eastAsia" w:ascii="仿宋" w:hAnsi="仿宋" w:eastAsia="仿宋" w:cs="仿宋"/>
          <w:color w:val="auto"/>
          <w:sz w:val="32"/>
          <w:szCs w:val="32"/>
          <w:lang w:eastAsia="zh-CN"/>
        </w:rPr>
      </w:pPr>
      <w:r>
        <w:rPr>
          <w:rFonts w:hint="eastAsia" w:ascii="仿宋_GB2312" w:eastAsia="仿宋_GB2312"/>
          <w:b/>
          <w:color w:val="auto"/>
          <w:sz w:val="32"/>
          <w:szCs w:val="32"/>
          <w:lang w:eastAsia="zh-CN"/>
        </w:rPr>
        <w:t>一是</w:t>
      </w:r>
      <w:r>
        <w:rPr>
          <w:rFonts w:hint="eastAsia" w:ascii="仿宋_GB2312" w:eastAsia="仿宋_GB2312"/>
          <w:b w:val="0"/>
          <w:bCs/>
          <w:color w:val="auto"/>
          <w:sz w:val="32"/>
          <w:szCs w:val="32"/>
          <w:lang w:eastAsia="zh-CN"/>
        </w:rPr>
        <w:t>资助贫困人口全部参加城乡居民基本医疗保险。</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实施</w:t>
      </w:r>
      <w:r>
        <w:rPr>
          <w:rFonts w:hint="eastAsia" w:ascii="仿宋_GB2312" w:eastAsia="仿宋_GB2312"/>
          <w:color w:val="auto"/>
          <w:sz w:val="32"/>
          <w:szCs w:val="32"/>
          <w:lang w:val="en-US" w:eastAsia="zh-CN"/>
        </w:rPr>
        <w:t>贫困人口住院精细化管理</w:t>
      </w:r>
      <w:r>
        <w:rPr>
          <w:rFonts w:hint="eastAsia" w:ascii="仿宋_GB2312" w:eastAsia="仿宋_GB2312"/>
          <w:b w:val="0"/>
          <w:bCs/>
          <w:color w:val="auto"/>
          <w:sz w:val="32"/>
          <w:szCs w:val="32"/>
          <w:lang w:val="en-US" w:eastAsia="zh-CN"/>
        </w:rPr>
        <w:t>。严把就医关和审核关，杜绝冒名住院等违规治疗报销行为。</w:t>
      </w:r>
      <w:r>
        <w:rPr>
          <w:rFonts w:hint="eastAsia" w:ascii="仿宋" w:hAnsi="仿宋" w:eastAsia="仿宋" w:cs="仿宋"/>
          <w:b/>
          <w:bCs/>
          <w:color w:val="auto"/>
          <w:sz w:val="32"/>
          <w:szCs w:val="32"/>
          <w:lang w:eastAsia="zh-CN"/>
        </w:rPr>
        <w:t>三是</w:t>
      </w:r>
      <w:r>
        <w:rPr>
          <w:rFonts w:hint="eastAsia" w:ascii="仿宋" w:hAnsi="仿宋" w:eastAsia="仿宋" w:cs="仿宋"/>
          <w:color w:val="auto"/>
          <w:sz w:val="32"/>
          <w:szCs w:val="32"/>
          <w:lang w:eastAsia="zh-CN"/>
        </w:rPr>
        <w:t>强化重特大疾病政策落实，2018年以来，全县重特大疾病(含癌症、恶性肿瘤、白血病、尿毒症、器官移植、再生障碍性贫血、地中海贫血、红斑狼疮等）住院3312人次，发生医疗总费用4185.1万元，医保支付2816.98万元，有效防止群众因病致贫。</w:t>
      </w:r>
    </w:p>
    <w:p>
      <w:pPr>
        <w:pStyle w:val="4"/>
        <w:rPr>
          <w:rStyle w:val="18"/>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20"/>
      <w:bookmarkEnd w:id="21"/>
    </w:p>
    <w:p>
      <w:pPr>
        <w:widowControl/>
        <w:ind w:firstLine="640" w:firstLineChars="20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邻水县医疗保险管理局设有10股室，即：办公室、计划财务股、基金征缴股、城镇职工医疗股、城乡居民医疗股、审计稽核股、医疗管理股、网络信息股、异地就医结算股、资料管理股。共有编制22人，设局长1人，副局长2人，在编人员共19人，借调17人，临聘1人。</w:t>
      </w:r>
    </w:p>
    <w:p>
      <w:pPr>
        <w:pStyle w:val="3"/>
        <w:ind w:right="440"/>
        <w:jc w:val="right"/>
        <w:rPr>
          <w:rStyle w:val="17"/>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17"/>
          <w:rFonts w:hint="eastAsia" w:ascii="黑体" w:hAnsi="黑体" w:eastAsia="黑体"/>
          <w:b w:val="0"/>
          <w:bCs w:val="0"/>
        </w:rPr>
        <w:t>2018年度部门决算情况说明</w:t>
      </w:r>
      <w:bookmarkEnd w:id="22"/>
      <w:bookmarkEnd w:id="23"/>
    </w:p>
    <w:p/>
    <w:p>
      <w:pPr>
        <w:pStyle w:val="26"/>
        <w:numPr>
          <w:ilvl w:val="0"/>
          <w:numId w:val="1"/>
        </w:numPr>
        <w:spacing w:line="600" w:lineRule="exact"/>
        <w:ind w:firstLineChars="0"/>
        <w:outlineLvl w:val="1"/>
        <w:rPr>
          <w:rStyle w:val="1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4"/>
      <w:bookmarkEnd w:id="25"/>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年度财政拨款收、支总计</w:t>
      </w:r>
      <w:r>
        <w:rPr>
          <w:rFonts w:hint="eastAsia" w:ascii="仿宋_GB2312" w:eastAsia="仿宋_GB2312"/>
          <w:color w:val="000000"/>
          <w:sz w:val="32"/>
          <w:szCs w:val="32"/>
          <w:lang w:val="en-US" w:eastAsia="zh-CN"/>
        </w:rPr>
        <w:t>7556</w:t>
      </w:r>
      <w:r>
        <w:rPr>
          <w:rFonts w:hint="eastAsia" w:ascii="仿宋_GB2312" w:eastAsia="仿宋_GB2312"/>
          <w:color w:val="000000"/>
          <w:sz w:val="32"/>
          <w:szCs w:val="32"/>
        </w:rPr>
        <w:t>万元。与201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年相比，财政拨款收、支总计各</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6767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857.54</w:t>
      </w:r>
      <w:r>
        <w:rPr>
          <w:rFonts w:hint="eastAsia" w:ascii="仿宋_GB2312" w:eastAsia="仿宋_GB2312"/>
          <w:color w:val="000000"/>
          <w:sz w:val="32"/>
          <w:szCs w:val="32"/>
        </w:rPr>
        <w:t>%。</w:t>
      </w:r>
    </w:p>
    <w:p>
      <w:pPr>
        <w:spacing w:line="600" w:lineRule="exact"/>
        <w:rPr>
          <w:rFonts w:ascii="仿宋" w:hAnsi="仿宋" w:eastAsia="仿宋"/>
          <w:color w:val="000000"/>
          <w:sz w:val="32"/>
          <w:szCs w:val="32"/>
        </w:rPr>
      </w:pP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机构改革，原新农合整体划转到医保所至。</w:t>
      </w:r>
    </w:p>
    <w:p>
      <w:pPr>
        <w:pStyle w:val="26"/>
        <w:numPr>
          <w:ilvl w:val="0"/>
          <w:numId w:val="1"/>
        </w:numPr>
        <w:spacing w:line="600" w:lineRule="exact"/>
        <w:ind w:firstLineChars="0"/>
        <w:outlineLvl w:val="1"/>
        <w:rPr>
          <w:rStyle w:val="1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18"/>
          <w:rFonts w:hint="eastAsia" w:ascii="黑体" w:hAnsi="黑体" w:eastAsia="黑体"/>
          <w:b w:val="0"/>
        </w:rPr>
        <w:t>入决算情况说明</w:t>
      </w:r>
      <w:bookmarkEnd w:id="26"/>
      <w:bookmarkEnd w:id="27"/>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邻水县医疗保险管理局</w:t>
      </w:r>
      <w:r>
        <w:rPr>
          <w:rFonts w:hint="eastAsia" w:ascii="仿宋_GB2312" w:eastAsia="仿宋_GB2312"/>
          <w:color w:val="000000"/>
          <w:sz w:val="32"/>
          <w:szCs w:val="32"/>
        </w:rPr>
        <w:t>本年收入合计</w:t>
      </w:r>
      <w:r>
        <w:rPr>
          <w:rFonts w:hint="eastAsia" w:ascii="仿宋_GB2312" w:eastAsia="仿宋_GB2312"/>
          <w:color w:val="000000"/>
          <w:sz w:val="32"/>
          <w:szCs w:val="32"/>
          <w:lang w:val="en-US" w:eastAsia="zh-CN"/>
        </w:rPr>
        <w:t>7556</w:t>
      </w:r>
      <w:r>
        <w:rPr>
          <w:rFonts w:hint="eastAsia" w:ascii="仿宋_GB2312" w:eastAsia="仿宋_GB2312"/>
          <w:color w:val="000000"/>
          <w:sz w:val="32"/>
          <w:szCs w:val="32"/>
        </w:rPr>
        <w:t>万元，其中：一般公共预算财政拨款收入</w:t>
      </w:r>
      <w:r>
        <w:rPr>
          <w:rFonts w:hint="eastAsia" w:ascii="仿宋_GB2312" w:eastAsia="仿宋_GB2312"/>
          <w:color w:val="000000"/>
          <w:sz w:val="32"/>
          <w:szCs w:val="32"/>
          <w:lang w:val="en-US" w:eastAsia="zh-CN"/>
        </w:rPr>
        <w:t>7220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95</w:t>
      </w:r>
      <w:r>
        <w:rPr>
          <w:rFonts w:hint="eastAsia" w:ascii="仿宋_GB2312" w:eastAsia="仿宋_GB2312"/>
          <w:color w:val="000000"/>
          <w:sz w:val="32"/>
          <w:szCs w:val="32"/>
        </w:rPr>
        <w:t>%；政府性基金预算财政拨款收入</w:t>
      </w:r>
      <w:r>
        <w:rPr>
          <w:rFonts w:hint="eastAsia" w:ascii="仿宋_GB2312" w:eastAsia="仿宋_GB2312"/>
          <w:color w:val="000000"/>
          <w:sz w:val="32"/>
          <w:szCs w:val="32"/>
          <w:lang w:val="en-US" w:eastAsia="zh-CN"/>
        </w:rPr>
        <w:t>335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%；国有资本经营预算财政拨款收入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%；事业收入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%；经营收入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%；附属单位上缴收入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%；其他收入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p>
    <w:p>
      <w:pPr>
        <w:pStyle w:val="2"/>
        <w:rPr>
          <w:rFonts w:hint="eastAsia"/>
        </w:rPr>
      </w:pPr>
    </w:p>
    <w:p>
      <w:pPr>
        <w:pStyle w:val="26"/>
        <w:numPr>
          <w:ilvl w:val="0"/>
          <w:numId w:val="1"/>
        </w:numPr>
        <w:spacing w:line="600" w:lineRule="exact"/>
        <w:ind w:firstLineChars="0"/>
        <w:outlineLvl w:val="1"/>
        <w:rPr>
          <w:rStyle w:val="18"/>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18"/>
          <w:rFonts w:hint="eastAsia" w:ascii="黑体" w:hAnsi="黑体" w:eastAsia="黑体"/>
          <w:b w:val="0"/>
        </w:rPr>
        <w:t>出决算情况说明</w:t>
      </w:r>
      <w:bookmarkEnd w:id="28"/>
      <w:bookmarkEnd w:id="29"/>
    </w:p>
    <w:p>
      <w:pPr>
        <w:spacing w:line="60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邻水县医疗保险管理局</w:t>
      </w:r>
      <w:r>
        <w:rPr>
          <w:rFonts w:hint="eastAsia" w:ascii="仿宋_GB2312" w:eastAsia="仿宋_GB2312"/>
          <w:color w:val="000000"/>
          <w:sz w:val="32"/>
          <w:szCs w:val="32"/>
        </w:rPr>
        <w:t>本年支出合计</w:t>
      </w:r>
      <w:r>
        <w:rPr>
          <w:rFonts w:hint="eastAsia" w:ascii="仿宋_GB2312" w:eastAsia="仿宋_GB2312"/>
          <w:color w:val="000000"/>
          <w:sz w:val="32"/>
          <w:szCs w:val="32"/>
          <w:lang w:val="en-US" w:eastAsia="zh-CN"/>
        </w:rPr>
        <w:t>6389</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val="en-US" w:eastAsia="zh-CN"/>
        </w:rPr>
        <w:t>388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6.07</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6001</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93.93</w:t>
      </w:r>
      <w:r>
        <w:rPr>
          <w:rFonts w:hint="eastAsia" w:ascii="仿宋_GB2312" w:eastAsia="仿宋_GB2312"/>
          <w:color w:val="000000"/>
          <w:sz w:val="32"/>
          <w:szCs w:val="32"/>
        </w:rPr>
        <w:t>%；上缴上级支出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%；经营支出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%；对附属单位补助支出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p>
    <w:p>
      <w:pPr>
        <w:spacing w:line="600" w:lineRule="exact"/>
        <w:ind w:firstLine="640" w:firstLineChars="200"/>
        <w:outlineLvl w:val="1"/>
        <w:rPr>
          <w:rStyle w:val="18"/>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_GB2312"/>
          <w:color w:val="000000"/>
          <w:sz w:val="32"/>
          <w:szCs w:val="32"/>
          <w:lang w:eastAsia="zh-CN"/>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年度财政拨款收、支总计</w:t>
      </w:r>
      <w:r>
        <w:rPr>
          <w:rFonts w:hint="eastAsia" w:ascii="仿宋_GB2312" w:eastAsia="仿宋_GB2312"/>
          <w:color w:val="000000"/>
          <w:sz w:val="32"/>
          <w:szCs w:val="32"/>
          <w:lang w:val="en-US" w:eastAsia="zh-CN"/>
        </w:rPr>
        <w:t>7556</w:t>
      </w:r>
      <w:r>
        <w:rPr>
          <w:rFonts w:hint="eastAsia" w:ascii="仿宋_GB2312" w:eastAsia="仿宋_GB2312"/>
          <w:color w:val="000000"/>
          <w:sz w:val="32"/>
          <w:szCs w:val="32"/>
        </w:rPr>
        <w:t>万元。与201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年相比，财政拨款收、支总计各</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6767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857.54</w:t>
      </w:r>
      <w:r>
        <w:rPr>
          <w:rFonts w:hint="eastAsia" w:ascii="仿宋_GB2312" w:eastAsia="仿宋_GB2312"/>
          <w:color w:val="000000"/>
          <w:sz w:val="32"/>
          <w:szCs w:val="32"/>
        </w:rPr>
        <w:t>%。</w:t>
      </w:r>
      <w:r>
        <w:rPr>
          <w:rFonts w:hint="eastAsia" w:ascii="仿宋" w:hAnsi="仿宋" w:eastAsia="仿宋"/>
          <w:color w:val="000000"/>
          <w:sz w:val="32"/>
          <w:szCs w:val="32"/>
          <w:lang w:eastAsia="zh-CN"/>
        </w:rPr>
        <w:t>主要原因为机构改革，原新农合整体划转到医保所至。</w:t>
      </w:r>
    </w:p>
    <w:p>
      <w:pPr>
        <w:spacing w:line="600" w:lineRule="exact"/>
        <w:ind w:firstLine="640" w:firstLineChars="200"/>
        <w:outlineLvl w:val="1"/>
        <w:rPr>
          <w:rStyle w:val="18"/>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_GB2312" w:eastAsia="仿宋_GB2312"/>
          <w:color w:val="000000"/>
          <w:sz w:val="32"/>
          <w:szCs w:val="32"/>
        </w:rPr>
      </w:pPr>
      <w:bookmarkStart w:id="35" w:name="_Toc15377211"/>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年度一般公共预算财政拨款支出</w:t>
      </w:r>
      <w:r>
        <w:rPr>
          <w:rFonts w:hint="eastAsia" w:ascii="仿宋_GB2312" w:eastAsia="仿宋_GB2312"/>
          <w:color w:val="000000"/>
          <w:sz w:val="32"/>
          <w:szCs w:val="32"/>
          <w:lang w:val="en-US" w:eastAsia="zh-CN"/>
        </w:rPr>
        <w:t>7220</w:t>
      </w:r>
      <w:r>
        <w:rPr>
          <w:rFonts w:hint="eastAsia" w:ascii="仿宋_GB2312" w:eastAsia="仿宋_GB2312"/>
          <w:color w:val="000000"/>
          <w:sz w:val="32"/>
          <w:szCs w:val="32"/>
        </w:rPr>
        <w:t>万元，占本年支出合计的</w:t>
      </w:r>
      <w:r>
        <w:rPr>
          <w:rFonts w:hint="eastAsia" w:ascii="仿宋_GB2312" w:eastAsia="仿宋_GB2312"/>
          <w:color w:val="000000"/>
          <w:sz w:val="32"/>
          <w:szCs w:val="32"/>
          <w:lang w:val="en-US" w:eastAsia="zh-CN"/>
        </w:rPr>
        <w:t>95.55</w:t>
      </w:r>
      <w:r>
        <w:rPr>
          <w:rFonts w:hint="eastAsia" w:ascii="仿宋_GB2312" w:eastAsia="仿宋_GB2312"/>
          <w:color w:val="000000"/>
          <w:sz w:val="32"/>
          <w:szCs w:val="32"/>
        </w:rPr>
        <w:t>%。与201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年相比，一般公共预算财政拨款</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6488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886.54</w:t>
      </w:r>
      <w:r>
        <w:rPr>
          <w:rFonts w:hint="eastAsia" w:ascii="仿宋_GB2312" w:eastAsia="仿宋_GB2312"/>
          <w:color w:val="000000"/>
          <w:sz w:val="32"/>
          <w:szCs w:val="32"/>
        </w:rPr>
        <w:t>%。</w:t>
      </w:r>
      <w:r>
        <w:rPr>
          <w:rFonts w:hint="eastAsia" w:ascii="仿宋" w:hAnsi="仿宋" w:eastAsia="仿宋"/>
          <w:color w:val="000000"/>
          <w:sz w:val="32"/>
          <w:szCs w:val="32"/>
          <w:lang w:eastAsia="zh-CN"/>
        </w:rPr>
        <w:t>主要原因为机构改革，原新农合整体划转到医保所至。</w:t>
      </w: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hint="eastAsia" w:ascii="仿宋_GB2312" w:eastAsia="仿宋_GB2312"/>
          <w:color w:val="000000"/>
          <w:sz w:val="32"/>
          <w:szCs w:val="32"/>
          <w:highlight w:val="yellow"/>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年一般公共预算财政拨款支出</w:t>
      </w:r>
      <w:r>
        <w:rPr>
          <w:rFonts w:hint="eastAsia" w:ascii="仿宋_GB2312" w:eastAsia="仿宋_GB2312"/>
          <w:color w:val="000000"/>
          <w:sz w:val="32"/>
          <w:szCs w:val="32"/>
          <w:lang w:val="en-US" w:eastAsia="zh-CN"/>
        </w:rPr>
        <w:t>7220</w:t>
      </w:r>
      <w:r>
        <w:rPr>
          <w:rFonts w:hint="eastAsia" w:ascii="仿宋_GB2312" w:eastAsia="仿宋_GB2312"/>
          <w:color w:val="000000"/>
          <w:sz w:val="32"/>
          <w:szCs w:val="32"/>
        </w:rPr>
        <w:t>万元，主要用于以下方面:一般公共服务支出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%；教育支出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%；社会保障和就业支出</w:t>
      </w:r>
      <w:r>
        <w:rPr>
          <w:rFonts w:hint="eastAsia" w:ascii="仿宋_GB2312" w:eastAsia="仿宋_GB2312"/>
          <w:color w:val="000000"/>
          <w:sz w:val="32"/>
          <w:szCs w:val="32"/>
          <w:lang w:val="en-US" w:eastAsia="zh-CN"/>
        </w:rPr>
        <w:t>369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5.11</w:t>
      </w:r>
      <w:r>
        <w:rPr>
          <w:rFonts w:hint="eastAsia" w:ascii="仿宋_GB2312" w:eastAsia="仿宋_GB2312"/>
          <w:color w:val="000000"/>
          <w:sz w:val="32"/>
          <w:szCs w:val="32"/>
        </w:rPr>
        <w:t>%；医疗卫生支出</w:t>
      </w:r>
      <w:r>
        <w:rPr>
          <w:rFonts w:hint="eastAsia" w:ascii="仿宋_GB2312" w:eastAsia="仿宋_GB2312"/>
          <w:color w:val="000000"/>
          <w:sz w:val="32"/>
          <w:szCs w:val="32"/>
          <w:lang w:val="en-US" w:eastAsia="zh-CN"/>
        </w:rPr>
        <w:t>5505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76.24</w:t>
      </w:r>
      <w:r>
        <w:rPr>
          <w:rFonts w:hint="eastAsia" w:ascii="仿宋_GB2312" w:eastAsia="仿宋_GB2312"/>
          <w:color w:val="000000"/>
          <w:sz w:val="32"/>
          <w:szCs w:val="32"/>
        </w:rPr>
        <w:t>%；住房保障支出</w:t>
      </w:r>
      <w:r>
        <w:rPr>
          <w:rFonts w:hint="eastAsia" w:ascii="仿宋_GB2312" w:eastAsia="仿宋_GB2312"/>
          <w:color w:val="000000"/>
          <w:sz w:val="32"/>
          <w:szCs w:val="32"/>
          <w:lang w:val="en-US" w:eastAsia="zh-CN"/>
        </w:rPr>
        <w:t>12.63</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0.17</w:t>
      </w:r>
      <w:r>
        <w:rPr>
          <w:rFonts w:hint="eastAsia" w:ascii="仿宋_GB2312" w:eastAsia="仿宋_GB2312"/>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sz w:val="32"/>
          <w:szCs w:val="32"/>
        </w:rPr>
        <w:t>2018年般公共预算支出决算数为</w:t>
      </w:r>
      <w:r>
        <w:rPr>
          <w:rFonts w:hint="eastAsia" w:ascii="仿宋" w:hAnsi="仿宋" w:eastAsia="仿宋"/>
          <w:b/>
          <w:color w:val="000000"/>
          <w:sz w:val="32"/>
          <w:szCs w:val="32"/>
          <w:lang w:val="en-US" w:eastAsia="zh-CN"/>
        </w:rPr>
        <w:t>6389.59</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w:t>
      </w:r>
      <w:r>
        <w:rPr>
          <w:rStyle w:val="15"/>
          <w:rFonts w:hint="eastAsia" w:ascii="仿宋" w:hAnsi="仿宋" w:eastAsia="仿宋"/>
          <w:bCs/>
          <w:color w:val="000000"/>
          <w:sz w:val="32"/>
          <w:szCs w:val="32"/>
          <w:lang w:val="en-US" w:eastAsia="zh-CN"/>
        </w:rPr>
        <w:t>120.48</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hint="default" w:ascii="仿宋" w:hAnsi="仿宋" w:eastAsia="仿宋"/>
          <w:b/>
          <w:color w:val="000000"/>
          <w:sz w:val="32"/>
          <w:szCs w:val="32"/>
          <w:lang w:val="en-US" w:eastAsia="zh-CN"/>
        </w:rPr>
      </w:pPr>
      <w:r>
        <w:rPr>
          <w:rStyle w:val="15"/>
          <w:rFonts w:hint="eastAsia" w:ascii="仿宋" w:hAnsi="仿宋" w:eastAsia="仿宋"/>
          <w:bCs/>
          <w:color w:val="000000"/>
          <w:sz w:val="32"/>
          <w:szCs w:val="32"/>
          <w:lang w:val="en-US" w:eastAsia="zh-CN"/>
        </w:rPr>
        <w:t>1</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住房保障</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12.63</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，完成预算</w:t>
      </w:r>
      <w:r>
        <w:rPr>
          <w:rStyle w:val="15"/>
          <w:rFonts w:hint="eastAsia" w:ascii="仿宋" w:hAnsi="仿宋" w:eastAsia="仿宋"/>
          <w:b w:val="0"/>
          <w:bCs/>
          <w:color w:val="000000"/>
          <w:sz w:val="32"/>
          <w:szCs w:val="32"/>
          <w:lang w:val="en-US" w:eastAsia="zh-CN"/>
        </w:rPr>
        <w:t>92.59%，决算数略小于预算数的主要原因人员减少。</w:t>
      </w:r>
    </w:p>
    <w:p>
      <w:pPr>
        <w:spacing w:line="600" w:lineRule="exact"/>
        <w:ind w:firstLine="643" w:firstLineChars="200"/>
        <w:rPr>
          <w:rFonts w:hint="eastAsia" w:ascii="仿宋" w:hAnsi="仿宋" w:eastAsia="仿宋"/>
          <w:b/>
          <w:color w:val="000000"/>
          <w:sz w:val="32"/>
          <w:szCs w:val="32"/>
          <w:lang w:eastAsia="zh-CN"/>
        </w:rPr>
      </w:pPr>
      <w:r>
        <w:rPr>
          <w:rStyle w:val="15"/>
          <w:rFonts w:hint="eastAsia" w:ascii="仿宋" w:hAnsi="仿宋" w:eastAsia="仿宋"/>
          <w:bCs/>
          <w:color w:val="000000"/>
          <w:sz w:val="32"/>
          <w:szCs w:val="32"/>
          <w:lang w:val="en-US" w:eastAsia="zh-CN"/>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农林水支出</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166.25</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，年初未预算，全部安排到医疗卫生与计划生育项目中。</w:t>
      </w:r>
    </w:p>
    <w:p>
      <w:pPr>
        <w:spacing w:line="600" w:lineRule="exact"/>
        <w:ind w:firstLine="643" w:firstLineChars="200"/>
        <w:rPr>
          <w:rFonts w:hint="eastAsia" w:ascii="仿宋" w:hAnsi="仿宋" w:eastAsia="仿宋"/>
          <w:b/>
          <w:color w:val="000000"/>
          <w:sz w:val="32"/>
          <w:szCs w:val="32"/>
          <w:lang w:eastAsia="zh-CN"/>
        </w:rPr>
      </w:pPr>
      <w:r>
        <w:rPr>
          <w:rStyle w:val="15"/>
          <w:rFonts w:hint="eastAsia" w:ascii="仿宋" w:hAnsi="仿宋" w:eastAsia="仿宋"/>
          <w:bCs/>
          <w:color w:val="000000"/>
          <w:sz w:val="32"/>
          <w:szCs w:val="32"/>
          <w:lang w:val="en-US" w:eastAsia="zh-CN"/>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城乡社区支出</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335.65</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，年初未预算，全部安排到社会保障和就业支出项目中。</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4</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369.48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6.99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小于</w:t>
      </w:r>
      <w:r>
        <w:rPr>
          <w:rStyle w:val="15"/>
          <w:rFonts w:hint="eastAsia" w:ascii="仿宋" w:hAnsi="仿宋" w:eastAsia="仿宋"/>
          <w:b w:val="0"/>
          <w:bCs/>
          <w:color w:val="000000"/>
          <w:sz w:val="32"/>
          <w:szCs w:val="32"/>
        </w:rPr>
        <w:t>预算数的主要原因是</w:t>
      </w:r>
      <w:r>
        <w:rPr>
          <w:rStyle w:val="15"/>
          <w:rFonts w:hint="eastAsia" w:ascii="仿宋" w:hAnsi="仿宋" w:eastAsia="仿宋"/>
          <w:b w:val="0"/>
          <w:bCs/>
          <w:color w:val="000000"/>
          <w:sz w:val="32"/>
          <w:szCs w:val="32"/>
          <w:lang w:eastAsia="zh-CN"/>
        </w:rPr>
        <w:t>年初安排此项经费列支到医疗卫生与计划生育项目中</w:t>
      </w:r>
      <w:r>
        <w:rPr>
          <w:rStyle w:val="15"/>
          <w:rFonts w:hint="eastAsia" w:ascii="仿宋" w:hAnsi="仿宋" w:eastAsia="仿宋"/>
          <w:b w:val="0"/>
          <w:bCs/>
          <w:color w:val="000000"/>
          <w:sz w:val="32"/>
          <w:szCs w:val="32"/>
        </w:rPr>
        <w:t>。</w:t>
      </w:r>
    </w:p>
    <w:p>
      <w:pPr>
        <w:spacing w:line="600" w:lineRule="exact"/>
        <w:ind w:firstLine="643" w:firstLineChars="200"/>
        <w:rPr>
          <w:rStyle w:val="15"/>
          <w:rFonts w:hint="default" w:ascii="仿宋" w:hAnsi="仿宋" w:eastAsia="仿宋"/>
          <w:b w:val="0"/>
          <w:bCs/>
          <w:color w:val="000000"/>
          <w:sz w:val="32"/>
          <w:szCs w:val="32"/>
          <w:lang w:val="en-US" w:eastAsia="zh-CN"/>
        </w:rPr>
      </w:pPr>
      <w:r>
        <w:rPr>
          <w:rStyle w:val="15"/>
          <w:rFonts w:hint="eastAsia" w:ascii="仿宋" w:hAnsi="仿宋" w:eastAsia="仿宋"/>
          <w:bCs/>
          <w:color w:val="000000"/>
          <w:sz w:val="32"/>
          <w:szCs w:val="32"/>
          <w:lang w:val="en-US" w:eastAsia="zh-CN"/>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5505.58</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，完成预算的</w:t>
      </w:r>
      <w:r>
        <w:rPr>
          <w:rStyle w:val="15"/>
          <w:rFonts w:hint="eastAsia" w:ascii="仿宋" w:hAnsi="仿宋" w:eastAsia="仿宋"/>
          <w:b w:val="0"/>
          <w:bCs/>
          <w:color w:val="000000"/>
          <w:sz w:val="32"/>
          <w:szCs w:val="32"/>
          <w:lang w:val="en-US" w:eastAsia="zh-CN"/>
        </w:rPr>
        <w:t>74897%，支出数大于预算数的主要原因是年初安排此项经费死去到了社会保障和就业支出中。</w:t>
      </w:r>
    </w:p>
    <w:p>
      <w:pPr>
        <w:pStyle w:val="2"/>
        <w:ind w:left="0" w:leftChars="0" w:firstLine="0" w:firstLineChars="0"/>
      </w:pPr>
    </w:p>
    <w:p>
      <w:pPr>
        <w:tabs>
          <w:tab w:val="right" w:pos="8306"/>
        </w:tabs>
        <w:spacing w:line="600" w:lineRule="exact"/>
        <w:ind w:firstLine="640"/>
        <w:outlineLvl w:val="1"/>
        <w:rPr>
          <w:rStyle w:val="18"/>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40"/>
      <w:bookmarkEnd w:id="41"/>
      <w:r>
        <w:rPr>
          <w:rStyle w:val="18"/>
          <w:rFonts w:ascii="黑体" w:hAnsi="黑体" w:eastAsia="黑体"/>
          <w:b w:val="0"/>
        </w:rPr>
        <w:tab/>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年度一般公共预算财政拨款基本支出</w:t>
      </w:r>
      <w:r>
        <w:rPr>
          <w:rFonts w:hint="eastAsia" w:ascii="仿宋_GB2312" w:eastAsia="仿宋_GB2312"/>
          <w:color w:val="000000"/>
          <w:sz w:val="32"/>
          <w:szCs w:val="32"/>
          <w:lang w:val="en-US" w:eastAsia="zh-CN"/>
        </w:rPr>
        <w:t>388</w:t>
      </w:r>
      <w:r>
        <w:rPr>
          <w:rFonts w:hint="eastAsia" w:ascii="仿宋_GB2312" w:eastAsia="仿宋_GB2312"/>
          <w:color w:val="000000"/>
          <w:sz w:val="32"/>
          <w:szCs w:val="32"/>
        </w:rPr>
        <w:t>万元，其中：</w:t>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264</w:t>
      </w:r>
      <w:r>
        <w:rPr>
          <w:rFonts w:hint="eastAsia" w:ascii="仿宋_GB2312" w:eastAsia="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eastAsia="仿宋_GB2312"/>
          <w:color w:val="000000"/>
          <w:sz w:val="32"/>
          <w:szCs w:val="32"/>
        </w:rPr>
        <w:br w:type="textWrapping"/>
      </w:r>
      <w:r>
        <w:rPr>
          <w:rFonts w:hint="eastAsia" w:ascii="仿宋_GB2312" w:eastAsia="仿宋_GB2312"/>
          <w:color w:val="000000"/>
          <w:sz w:val="32"/>
          <w:szCs w:val="32"/>
        </w:rPr>
        <w:t>　　公用经费</w:t>
      </w:r>
      <w:r>
        <w:rPr>
          <w:rFonts w:hint="eastAsia" w:ascii="仿宋_GB2312" w:eastAsia="仿宋_GB2312"/>
          <w:color w:val="000000"/>
          <w:sz w:val="32"/>
          <w:szCs w:val="32"/>
          <w:lang w:val="en-US" w:eastAsia="zh-CN"/>
        </w:rPr>
        <w:t>124</w:t>
      </w:r>
      <w:r>
        <w:rPr>
          <w:rFonts w:hint="eastAsia" w:ascii="仿宋_GB2312" w:eastAsia="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18"/>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年度“三公”经费财政拨款支出决算为</w:t>
      </w:r>
      <w:r>
        <w:rPr>
          <w:rFonts w:hint="eastAsia" w:ascii="仿宋_GB2312" w:eastAsia="仿宋_GB2312"/>
          <w:color w:val="000000"/>
          <w:sz w:val="32"/>
          <w:szCs w:val="32"/>
          <w:lang w:val="en-US" w:eastAsia="zh-CN"/>
        </w:rPr>
        <w:t>9.69</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96.8</w:t>
      </w:r>
      <w:r>
        <w:rPr>
          <w:rFonts w:hint="eastAsia" w:ascii="仿宋_GB2312" w:eastAsia="仿宋_GB2312"/>
          <w:color w:val="000000"/>
          <w:sz w:val="32"/>
          <w:szCs w:val="32"/>
        </w:rPr>
        <w:t>%，决算数小于预算数的主要原因是</w:t>
      </w:r>
      <w:r>
        <w:rPr>
          <w:rFonts w:hint="eastAsia" w:ascii="仿宋_GB2312" w:eastAsia="仿宋_GB2312"/>
          <w:color w:val="000000"/>
          <w:sz w:val="32"/>
          <w:szCs w:val="32"/>
          <w:lang w:eastAsia="zh-CN"/>
        </w:rPr>
        <w:t>单位严格按照公务接待标准执行</w:t>
      </w:r>
      <w:r>
        <w:rPr>
          <w:rFonts w:hint="eastAsia" w:ascii="仿宋_GB2312" w:eastAsia="仿宋_GB2312"/>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_GB2312" w:eastAsia="仿宋_GB2312"/>
          <w:color w:val="000000"/>
          <w:sz w:val="32"/>
          <w:szCs w:val="32"/>
        </w:rPr>
      </w:pPr>
      <w:bookmarkStart w:id="46" w:name="_Toc15377218"/>
      <w:bookmarkStart w:id="47" w:name="_Toc15396610"/>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年度“三公”经费财政拨款支出决算中，因公出国（境）费支出决算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%；公务用车购置及运行维护支出决算</w:t>
      </w:r>
      <w:r>
        <w:rPr>
          <w:rFonts w:hint="eastAsia" w:ascii="仿宋_GB2312" w:eastAsia="仿宋_GB2312"/>
          <w:color w:val="000000"/>
          <w:sz w:val="32"/>
          <w:szCs w:val="32"/>
          <w:lang w:val="en-US" w:eastAsia="zh-CN"/>
        </w:rPr>
        <w:t>7.94</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82.03</w:t>
      </w:r>
      <w:r>
        <w:rPr>
          <w:rFonts w:hint="eastAsia" w:ascii="仿宋_GB2312" w:eastAsia="仿宋_GB2312"/>
          <w:color w:val="000000"/>
          <w:sz w:val="32"/>
          <w:szCs w:val="32"/>
        </w:rPr>
        <w:t>%；公务接待费支出决算元</w:t>
      </w:r>
      <w:r>
        <w:rPr>
          <w:rFonts w:hint="eastAsia" w:ascii="仿宋_GB2312" w:eastAsia="仿宋_GB2312"/>
          <w:color w:val="000000"/>
          <w:sz w:val="32"/>
          <w:szCs w:val="32"/>
          <w:lang w:val="en-US" w:eastAsia="zh-CN"/>
        </w:rPr>
        <w:t>1.74</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17.97</w:t>
      </w:r>
      <w:r>
        <w:rPr>
          <w:rFonts w:hint="eastAsia" w:ascii="仿宋_GB2312" w:eastAsia="仿宋_GB2312"/>
          <w:color w:val="000000"/>
          <w:sz w:val="32"/>
          <w:szCs w:val="32"/>
        </w:rPr>
        <w:t>占%。具体情况如下：</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1.因公出国（境）经费支出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lang w:val="en-US" w:eastAsia="zh-CN"/>
        </w:rPr>
        <w:t>7.94</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99.2</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0.03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0.3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严格控制“三公”经费支出</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7.94</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监督检查全县协议医药机构医疗报销</w:t>
      </w:r>
      <w:r>
        <w:rPr>
          <w:rFonts w:hint="eastAsia" w:ascii="仿宋_GB2312" w:eastAsia="仿宋_GB2312"/>
          <w:color w:val="000000"/>
          <w:sz w:val="32"/>
          <w:szCs w:val="32"/>
        </w:rPr>
        <w:t>等所需的公务用车燃料费、维修费、过路过桥费、保险费等支出。</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color w:val="000000"/>
          <w:sz w:val="32"/>
          <w:szCs w:val="32"/>
          <w:lang w:val="en-US" w:eastAsia="zh-CN"/>
        </w:rPr>
        <w:t>1.74</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35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140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1.74</w:t>
      </w:r>
      <w:r>
        <w:rPr>
          <w:rFonts w:hint="eastAsia" w:ascii="仿宋_GB2312" w:eastAsia="仿宋_GB2312"/>
          <w:color w:val="000000"/>
          <w:sz w:val="32"/>
          <w:szCs w:val="32"/>
        </w:rPr>
        <w:t>万元。其中：外事接待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outlineLvl w:val="1"/>
        <w:rPr>
          <w:rFonts w:hint="eastAsia" w:ascii="黑体" w:eastAsia="黑体"/>
          <w:color w:val="000000"/>
          <w:sz w:val="32"/>
          <w:szCs w:val="32"/>
        </w:rPr>
      </w:pPr>
      <w:r>
        <w:rPr>
          <w:rFonts w:hint="eastAsia" w:ascii="仿宋_GB2312" w:eastAsia="仿宋_GB2312"/>
          <w:color w:val="000000"/>
          <w:sz w:val="32"/>
          <w:szCs w:val="32"/>
        </w:rPr>
        <w:t>公务接待费支出决算比201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0.27</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15.52</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市上各级专项检查增加</w:t>
      </w:r>
      <w:r>
        <w:rPr>
          <w:rFonts w:hint="eastAsia" w:ascii="仿宋_GB2312" w:eastAsia="仿宋_GB2312"/>
          <w:color w:val="000000"/>
          <w:sz w:val="32"/>
          <w:szCs w:val="32"/>
        </w:rPr>
        <w:t>。</w:t>
      </w:r>
    </w:p>
    <w:p>
      <w:pPr>
        <w:spacing w:line="600" w:lineRule="exact"/>
        <w:ind w:firstLine="640"/>
        <w:outlineLvl w:val="1"/>
        <w:rPr>
          <w:rStyle w:val="18"/>
          <w:rFonts w:ascii="黑体" w:hAnsi="黑体" w:eastAsia="黑体"/>
        </w:rPr>
      </w:pPr>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年度政府性基金预算拨款支出</w:t>
      </w:r>
      <w:r>
        <w:rPr>
          <w:rFonts w:hint="eastAsia" w:ascii="仿宋_GB2312" w:eastAsia="仿宋_GB2312"/>
          <w:color w:val="000000"/>
          <w:sz w:val="32"/>
          <w:szCs w:val="32"/>
          <w:lang w:val="en-US" w:eastAsia="zh-CN"/>
        </w:rPr>
        <w:t>335.65</w:t>
      </w:r>
      <w:r>
        <w:rPr>
          <w:rFonts w:hint="eastAsia" w:ascii="仿宋_GB2312" w:eastAsia="仿宋_GB2312"/>
          <w:color w:val="000000"/>
          <w:sz w:val="32"/>
          <w:szCs w:val="32"/>
        </w:rPr>
        <w:t>万元。。</w:t>
      </w:r>
    </w:p>
    <w:p>
      <w:pPr>
        <w:numPr>
          <w:ilvl w:val="0"/>
          <w:numId w:val="2"/>
        </w:numPr>
        <w:spacing w:line="600" w:lineRule="exact"/>
        <w:ind w:firstLine="640"/>
        <w:outlineLvl w:val="1"/>
        <w:rPr>
          <w:rStyle w:val="18"/>
          <w:rFonts w:ascii="黑体" w:hAnsi="黑体" w:eastAsia="黑体"/>
          <w:b w:val="0"/>
        </w:rPr>
      </w:pPr>
      <w:bookmarkStart w:id="48" w:name="_Toc15377219"/>
      <w:bookmarkStart w:id="49" w:name="_Toc15396611"/>
      <w:r>
        <w:rPr>
          <w:rStyle w:val="18"/>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6"/>
        <w:numPr>
          <w:ilvl w:val="0"/>
          <w:numId w:val="3"/>
        </w:numPr>
        <w:spacing w:line="580" w:lineRule="exact"/>
        <w:ind w:firstLineChars="0"/>
        <w:rPr>
          <w:rStyle w:val="18"/>
          <w:rFonts w:ascii="黑体" w:hAnsi="黑体" w:eastAsia="黑体"/>
          <w:b w:val="0"/>
        </w:rPr>
      </w:pPr>
      <w:r>
        <w:rPr>
          <w:rStyle w:val="18"/>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 2018年城乡居民医疗保险参保筹资工作经费项目开展了预算事前绩效评估，对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2018年县医保局整体支出绩效自评情况较好，严格按照相关要求进行绩效目标公开和自评公开，评价结果整改和应用结果反馈情况良好</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按期推动相应项目的落实，确保预算编制准确，严格按项目进度进行执行，预算完成情况较好</w:t>
      </w:r>
      <w:r>
        <w:rPr>
          <w:rFonts w:hint="eastAsia" w:ascii="仿宋_GB2312" w:hAnsi="仿宋_GB2312" w:eastAsia="仿宋_GB2312" w:cs="仿宋_GB2312"/>
          <w:sz w:val="32"/>
          <w:szCs w:val="32"/>
        </w:rPr>
        <w:t>。</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年城乡居民医疗保险参保县级匹配资金项目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年城乡居民医疗保险参保乡镇筹资工作经费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“城乡居民县内外外伤病人实地核查”</w:t>
      </w:r>
      <w:r>
        <w:rPr>
          <w:rFonts w:hint="eastAsia" w:ascii="仿宋_GB2312" w:hAnsi="仿宋_GB2312" w:eastAsia="仿宋_GB2312" w:cs="仿宋_GB2312"/>
          <w:sz w:val="32"/>
          <w:szCs w:val="32"/>
          <w:lang w:eastAsia="zh-CN"/>
        </w:rPr>
        <w:t>“定点医疗机构日常监管”“协议药店管理”</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年城乡居民医疗保险参保县级匹配资金项目绩效目标完成情况综述。项目全年预算数</w:t>
      </w:r>
      <w:r>
        <w:rPr>
          <w:rFonts w:hint="eastAsia" w:ascii="仿宋_GB2312" w:hAnsi="仿宋_GB2312" w:eastAsia="仿宋_GB2312" w:cs="仿宋_GB2312"/>
          <w:sz w:val="32"/>
          <w:szCs w:val="32"/>
          <w:lang w:val="en-US" w:eastAsia="zh-CN"/>
        </w:rPr>
        <w:t>4934.25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4720.51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95.67</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zh-CN" w:eastAsia="zh-CN"/>
        </w:rPr>
        <w:t>县医保局每年根据当年城乡居民参保人数，按照当年筹资标准，向县级财政申请解决此项民生配套资金，县财政局收到申请后，核实参保人数和标准，向县人民政府递交项目实际情况，获得项目批复，程序完全符合资金管理办法。</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2018年城乡居民医疗保险参保乡镇筹资工作经费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18.4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18.4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zh-CN"/>
        </w:rPr>
        <w:t>县医保局每年纳入年初预算，按进度实施，县财政局收到申请后，根据各乡镇完成征收情况，进行项目批复，程序完全符合资金管理办法</w:t>
      </w:r>
    </w:p>
    <w:p>
      <w:pPr>
        <w:numPr>
          <w:ilvl w:val="0"/>
          <w:numId w:val="5"/>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城乡居民县内外外伤病人实地核查</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zh-CN"/>
        </w:rPr>
        <w:t>资金开支范围主要用于下乡核实城乡居民医保定点医药机构病人真实性和合理性产生相关差旅费、燃油费，标准据实结算，支付依据合规合法，资金支付与预算相符。</w:t>
      </w:r>
    </w:p>
    <w:p>
      <w:pPr>
        <w:numPr>
          <w:ilvl w:val="0"/>
          <w:numId w:val="5"/>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定点医疗机构日常监管</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zh-CN"/>
        </w:rPr>
        <w:t>全县职工及城乡居民生病住院及门诊报帐病人的真实性和准确性进行实地核查，计划实现的具体绩效目标保证季度内全部协议医药机构全覆盖检查，保障全县职工及城乡居民医保基金的安全平稳运行</w:t>
      </w:r>
      <w:r>
        <w:rPr>
          <w:rFonts w:hint="eastAsia" w:ascii="仿宋_GB2312" w:hAnsi="仿宋_GB2312" w:eastAsia="仿宋_GB2312" w:cs="仿宋_GB2312"/>
          <w:sz w:val="32"/>
          <w:szCs w:val="32"/>
          <w:lang w:val="zh-CN" w:eastAsia="zh-CN"/>
        </w:rPr>
        <w:t>。</w:t>
      </w:r>
    </w:p>
    <w:p>
      <w:pPr>
        <w:numPr>
          <w:ilvl w:val="0"/>
          <w:numId w:val="5"/>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协议药店管理</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zh-CN"/>
        </w:rPr>
        <w:t>针对职员医保病人的真实性和准确性进行实地核查，计划实现的具体绩效目标保证季度内全部协议医药机构全覆盖检查，保障职工医保门诊医保基金的安全平稳运行。</w:t>
      </w:r>
    </w:p>
    <w:p>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2018年城乡居民医疗保险参保县级匹配资金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邻水县医疗保险管理局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4934.25万元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4720.51万元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4934.25万元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4"/>
              </w:rPr>
            </w:pPr>
            <w:r>
              <w:rPr>
                <w:rFonts w:hint="eastAsia" w:ascii="宋体" w:hAnsi="宋体" w:cs="宋体"/>
                <w:color w:val="000000"/>
                <w:sz w:val="24"/>
                <w:lang w:val="en-US" w:eastAsia="zh-CN"/>
              </w:rPr>
              <w:t>4720.51万元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城乡居民县级匹配资金达到</w:t>
            </w:r>
            <w:r>
              <w:rPr>
                <w:rFonts w:hint="eastAsia" w:ascii="宋体" w:hAnsi="宋体" w:cs="宋体"/>
                <w:color w:val="000000"/>
                <w:sz w:val="24"/>
                <w:lang w:val="en-US" w:eastAsia="zh-CN"/>
              </w:rPr>
              <w:t>4934.25万元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城乡居民县级匹配资金达到</w:t>
            </w:r>
            <w:r>
              <w:rPr>
                <w:rFonts w:hint="eastAsia" w:ascii="宋体" w:hAnsi="宋体" w:cs="宋体"/>
                <w:color w:val="000000"/>
                <w:sz w:val="24"/>
                <w:lang w:val="en-US" w:eastAsia="zh-CN"/>
              </w:rPr>
              <w:t>4720.51万元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资金数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4934.25万元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4934.25万元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提高城乡居民报销比例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报销比提高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报销比提高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基金安全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减少基金损失</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减少基金损失，保障基金安全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sz w:val="24"/>
                <w:lang w:eastAsia="zh-CN"/>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城乡居民满意度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城乡居民医保参保人员满意度提升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城乡居民医保参保人员满意度提升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城乡居民满意度调查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满意度提升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满意度提升</w:t>
            </w: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医保局</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城乡居民医疗保险参保县级匹配资金</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城乡居民医疗保险参保乡镇筹资工作经费</w:t>
      </w:r>
      <w:r>
        <w:rPr>
          <w:rFonts w:hint="eastAsia" w:ascii="仿宋_GB2312" w:hAnsi="仿宋_GB2312" w:eastAsia="仿宋_GB2312" w:cs="仿宋_GB2312"/>
          <w:sz w:val="32"/>
          <w:szCs w:val="32"/>
        </w:rPr>
        <w:t>项目开展了绩效评价，《城乡居民医疗保险参保县级匹配资金项目2018年绩效评价报告》见附件。（非涉密部门均需公开部门整体支出评价报告，部门自行组织的绩效评价情况根据部门实际公开）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18"/>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18"/>
          <w:rFonts w:hint="eastAsia" w:ascii="黑体" w:hAnsi="黑体" w:eastAsia="黑体"/>
        </w:rPr>
        <w:t>一、</w:t>
      </w:r>
      <w:r>
        <w:rPr>
          <w:rStyle w:val="18"/>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w:t>
      </w:r>
      <w:r>
        <w:rPr>
          <w:rFonts w:hint="eastAsia" w:ascii="仿宋_GB2312" w:eastAsia="仿宋_GB2312"/>
          <w:color w:val="000000"/>
          <w:sz w:val="32"/>
          <w:szCs w:val="32"/>
          <w:lang w:eastAsia="zh-CN"/>
        </w:rPr>
        <w:t>邻水县医疗保险管理局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124.10</w:t>
      </w:r>
      <w:r>
        <w:rPr>
          <w:rFonts w:hint="eastAsia" w:ascii="仿宋_GB2312" w:eastAsia="仿宋_GB2312"/>
          <w:color w:val="000000"/>
          <w:sz w:val="32"/>
          <w:szCs w:val="32"/>
        </w:rPr>
        <w:t>万元，比201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24.24</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19.53</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因机构整合，人员及办公设备增加所至。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w:t>
      </w:r>
      <w:r>
        <w:rPr>
          <w:rFonts w:hint="eastAsia" w:ascii="仿宋_GB2312" w:hAnsi="Times New Roman" w:eastAsia="仿宋_GB2312" w:cs="Times New Roman"/>
          <w:color w:val="000000"/>
          <w:sz w:val="32"/>
          <w:szCs w:val="32"/>
        </w:rPr>
        <w:t>支出</w:t>
      </w:r>
      <w:r>
        <w:rPr>
          <w:rFonts w:hint="eastAsia" w:ascii="仿宋" w:hAnsi="仿宋" w:eastAsia="仿宋"/>
          <w:b/>
          <w:color w:val="000000"/>
          <w:sz w:val="32"/>
          <w:szCs w:val="32"/>
        </w:rPr>
        <w:t>情况</w:t>
      </w:r>
      <w:bookmarkEnd w:id="53"/>
    </w:p>
    <w:p>
      <w:pPr>
        <w:spacing w:line="600" w:lineRule="exact"/>
        <w:ind w:firstLine="640" w:firstLineChars="200"/>
        <w:rPr>
          <w:rFonts w:ascii="仿宋" w:hAnsi="仿宋" w:eastAsia="仿宋"/>
          <w:b/>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w:t>
      </w:r>
      <w:r>
        <w:rPr>
          <w:rFonts w:hint="eastAsia" w:ascii="仿宋_GB2312" w:eastAsia="仿宋_GB2312"/>
          <w:color w:val="000000"/>
          <w:sz w:val="32"/>
          <w:szCs w:val="32"/>
          <w:lang w:eastAsia="zh-CN"/>
        </w:rPr>
        <w:t>邻水县医疗保险管理局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25.42</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9.3</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16.12</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政策宣传资料印刷及医疗证工本费</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县医保局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17"/>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17"/>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5"/>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7"/>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17"/>
          <w:rFonts w:hint="eastAsia" w:ascii="黑体" w:hAnsi="黑体" w:eastAsia="黑体"/>
          <w:b w:val="0"/>
        </w:rPr>
        <w:t>四部分 附件</w:t>
      </w:r>
      <w:bookmarkEnd w:id="58"/>
    </w:p>
    <w:p>
      <w:pPr>
        <w:spacing w:line="600" w:lineRule="exact"/>
        <w:jc w:val="center"/>
        <w:outlineLvl w:val="0"/>
        <w:rPr>
          <w:rStyle w:val="17"/>
        </w:rPr>
      </w:pPr>
    </w:p>
    <w:p>
      <w:pPr>
        <w:pStyle w:val="4"/>
        <w:rPr>
          <w:rStyle w:val="17"/>
          <w:rFonts w:ascii="仿宋" w:hAnsi="仿宋" w:eastAsia="仿宋"/>
          <w:b w:val="0"/>
          <w:bCs w:val="0"/>
          <w:sz w:val="32"/>
          <w:szCs w:val="32"/>
        </w:rPr>
      </w:pPr>
      <w:bookmarkStart w:id="59" w:name="_Toc15396615"/>
      <w:r>
        <w:rPr>
          <w:rStyle w:val="17"/>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邻水县医疗保险管理局</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hAnsi="仿宋_GB2312" w:eastAsia="仿宋_GB2312" w:cs="仿宋_GB2312"/>
          <w:sz w:val="32"/>
          <w:szCs w:val="32"/>
          <w:lang w:eastAsia="zh-CN"/>
        </w:rPr>
        <w:t>邻水县医疗保险管理局录属于县人力资源社会保障局下二级参公事业单位。</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numPr>
          <w:ilvl w:val="0"/>
          <w:numId w:val="0"/>
        </w:numPr>
        <w:spacing w:line="580" w:lineRule="exact"/>
        <w:ind w:firstLine="640" w:firstLineChars="200"/>
      </w:pPr>
      <w:r>
        <w:rPr>
          <w:rFonts w:hint="eastAsia" w:hAnsi="仿宋_GB2312" w:eastAsia="仿宋_GB2312" w:cs="仿宋_GB2312"/>
          <w:sz w:val="32"/>
          <w:szCs w:val="32"/>
          <w:lang w:eastAsia="zh-CN"/>
        </w:rPr>
        <w:t>负责全县城乡居民基本医疗保险的登记、审定、稽核、转移、法律法规、制度和管理办法；负责制定全县医疗保险具体业务流程和操作规范并组织实施。</w:t>
      </w:r>
    </w:p>
    <w:p>
      <w:pPr>
        <w:numPr>
          <w:ilvl w:val="0"/>
          <w:numId w:val="7"/>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pPr>
        <w:numPr>
          <w:ilvl w:val="0"/>
          <w:numId w:val="0"/>
        </w:numPr>
        <w:spacing w:line="580" w:lineRule="exact"/>
        <w:ind w:firstLine="640" w:firstLineChars="200"/>
        <w:rPr>
          <w:rFonts w:hint="eastAsia" w:ascii="Times New Roman" w:hAnsi="仿宋_GB2312" w:eastAsia="仿宋_GB2312" w:cs="仿宋_GB2312"/>
          <w:sz w:val="32"/>
          <w:szCs w:val="32"/>
          <w:lang w:eastAsia="zh-CN"/>
        </w:rPr>
      </w:pPr>
      <w:r>
        <w:rPr>
          <w:rFonts w:hint="eastAsia" w:ascii="Times New Roman" w:hAnsi="仿宋_GB2312" w:eastAsia="仿宋_GB2312" w:cs="仿宋_GB2312"/>
          <w:sz w:val="32"/>
          <w:szCs w:val="32"/>
          <w:lang w:eastAsia="zh-CN"/>
        </w:rPr>
        <w:t>邻水县医疗保险管理局属于参公管理单位，内设股室</w:t>
      </w:r>
      <w:r>
        <w:rPr>
          <w:rFonts w:hint="eastAsia" w:ascii="Times New Roman" w:hAnsi="仿宋_GB2312" w:eastAsia="仿宋_GB2312" w:cs="仿宋_GB2312"/>
          <w:sz w:val="32"/>
          <w:szCs w:val="32"/>
          <w:lang w:val="en-US" w:eastAsia="zh-CN"/>
        </w:rPr>
        <w:t>10</w:t>
      </w:r>
      <w:r>
        <w:rPr>
          <w:rFonts w:hint="eastAsia" w:ascii="Times New Roman" w:hAnsi="仿宋_GB2312" w:eastAsia="仿宋_GB2312" w:cs="仿宋_GB2312"/>
          <w:sz w:val="32"/>
          <w:szCs w:val="32"/>
          <w:lang w:eastAsia="zh-CN"/>
        </w:rPr>
        <w:t>个，编制</w:t>
      </w:r>
      <w:r>
        <w:rPr>
          <w:rFonts w:hint="eastAsia" w:ascii="Times New Roman" w:hAnsi="仿宋_GB2312" w:eastAsia="仿宋_GB2312" w:cs="仿宋_GB2312"/>
          <w:sz w:val="32"/>
          <w:szCs w:val="32"/>
          <w:lang w:val="en-US" w:eastAsia="zh-CN"/>
        </w:rPr>
        <w:t>22</w:t>
      </w:r>
      <w:r>
        <w:rPr>
          <w:rFonts w:hint="eastAsia" w:ascii="Times New Roman" w:hAnsi="仿宋_GB2312" w:eastAsia="仿宋_GB2312" w:cs="仿宋_GB2312"/>
          <w:sz w:val="32"/>
          <w:szCs w:val="32"/>
          <w:lang w:eastAsia="zh-CN"/>
        </w:rPr>
        <w:t>个，在职实有人员</w:t>
      </w:r>
      <w:r>
        <w:rPr>
          <w:rFonts w:hint="eastAsia" w:ascii="Times New Roman" w:hAnsi="仿宋_GB2312" w:eastAsia="仿宋_GB2312" w:cs="仿宋_GB2312"/>
          <w:sz w:val="32"/>
          <w:szCs w:val="32"/>
          <w:lang w:val="en-US" w:eastAsia="zh-CN"/>
        </w:rPr>
        <w:t>19</w:t>
      </w:r>
      <w:r>
        <w:rPr>
          <w:rFonts w:hint="eastAsia" w:ascii="Times New Roman" w:hAnsi="仿宋_GB2312" w:eastAsia="仿宋_GB2312" w:cs="仿宋_GB2312"/>
          <w:sz w:val="32"/>
          <w:szCs w:val="32"/>
          <w:lang w:eastAsia="zh-CN"/>
        </w:rPr>
        <w:t>人，离退休人员</w:t>
      </w:r>
      <w:r>
        <w:rPr>
          <w:rFonts w:hint="eastAsia" w:ascii="Times New Roman" w:hAnsi="仿宋_GB2312" w:eastAsia="仿宋_GB2312" w:cs="仿宋_GB2312"/>
          <w:sz w:val="32"/>
          <w:szCs w:val="32"/>
          <w:lang w:val="en-US" w:eastAsia="zh-CN"/>
        </w:rPr>
        <w:t>2</w:t>
      </w:r>
      <w:r>
        <w:rPr>
          <w:rFonts w:hint="eastAsia" w:ascii="Times New Roman" w:hAnsi="仿宋_GB2312" w:eastAsia="仿宋_GB2312" w:cs="仿宋_GB2312"/>
          <w:sz w:val="32"/>
          <w:szCs w:val="32"/>
          <w:lang w:eastAsia="zh-CN"/>
        </w:rPr>
        <w:t>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rPr>
          <w:rFonts w:hint="eastAsia" w:ascii="仿宋_GB2312" w:eastAsia="仿宋_GB2312"/>
          <w:color w:val="000000"/>
          <w:sz w:val="32"/>
          <w:szCs w:val="32"/>
        </w:rPr>
      </w:pPr>
      <w:r>
        <w:rPr>
          <w:rFonts w:ascii="仿宋" w:hAnsi="仿宋" w:eastAsia="仿宋" w:cs="仿宋_GB2312"/>
          <w:sz w:val="32"/>
          <w:szCs w:val="32"/>
        </w:rPr>
        <w:t>（一）部门财政资金收入情况。</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邻水县医疗保险管理局</w:t>
      </w:r>
      <w:r>
        <w:rPr>
          <w:rFonts w:hint="eastAsia" w:ascii="仿宋_GB2312" w:eastAsia="仿宋_GB2312"/>
          <w:color w:val="000000"/>
          <w:sz w:val="32"/>
          <w:szCs w:val="32"/>
        </w:rPr>
        <w:t>本年收入合计</w:t>
      </w:r>
      <w:r>
        <w:rPr>
          <w:rFonts w:hint="eastAsia" w:ascii="仿宋_GB2312" w:eastAsia="仿宋_GB2312"/>
          <w:color w:val="000000"/>
          <w:sz w:val="32"/>
          <w:szCs w:val="32"/>
          <w:lang w:val="en-US" w:eastAsia="zh-CN"/>
        </w:rPr>
        <w:t>7556</w:t>
      </w:r>
      <w:r>
        <w:rPr>
          <w:rFonts w:hint="eastAsia" w:ascii="仿宋_GB2312" w:eastAsia="仿宋_GB2312"/>
          <w:color w:val="000000"/>
          <w:sz w:val="32"/>
          <w:szCs w:val="32"/>
        </w:rPr>
        <w:t>万元，其中：一般公共预算财政拨款收入</w:t>
      </w:r>
      <w:r>
        <w:rPr>
          <w:rFonts w:hint="eastAsia" w:ascii="仿宋_GB2312" w:eastAsia="仿宋_GB2312"/>
          <w:color w:val="000000"/>
          <w:sz w:val="32"/>
          <w:szCs w:val="32"/>
          <w:lang w:val="en-US" w:eastAsia="zh-CN"/>
        </w:rPr>
        <w:t>7220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95</w:t>
      </w:r>
      <w:r>
        <w:rPr>
          <w:rFonts w:hint="eastAsia" w:ascii="仿宋_GB2312" w:eastAsia="仿宋_GB2312"/>
          <w:color w:val="000000"/>
          <w:sz w:val="32"/>
          <w:szCs w:val="32"/>
        </w:rPr>
        <w:t>%；政府性基金预算财政拨款收入</w:t>
      </w:r>
      <w:r>
        <w:rPr>
          <w:rFonts w:hint="eastAsia" w:ascii="仿宋_GB2312" w:eastAsia="仿宋_GB2312"/>
          <w:color w:val="000000"/>
          <w:sz w:val="32"/>
          <w:szCs w:val="32"/>
          <w:lang w:val="en-US" w:eastAsia="zh-CN"/>
        </w:rPr>
        <w:t>335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%；国有资本经营预算财政拨款收入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%；事业收入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%；经营收入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%；附属单位上缴收入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%；其他收入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r>
        <w:rPr>
          <w:rFonts w:hint="eastAsia" w:ascii="仿宋_GB2312" w:hAnsi="仿宋_GB2312" w:eastAsia="仿宋_GB2312" w:cs="仿宋_GB2312"/>
          <w:color w:val="000000"/>
          <w:sz w:val="32"/>
          <w:szCs w:val="32"/>
        </w:rPr>
        <w:t>财政拨款支出主要用于保障机构正常运转、完成日常工作任务以及承担全县事业发展相关工作。其中：基本支出用于保障单位正常运转的日常支出，主要包括基本工资、津贴补贴等人员经费以及办公费、印刷费、水电费、差旅费等日常公用经费；项目支出用于保障完成特定的行政工作任务或事业发展目标，主要用于</w:t>
      </w:r>
      <w:r>
        <w:rPr>
          <w:rFonts w:hint="eastAsia" w:ascii="仿宋_GB2312" w:hAnsi="仿宋_GB2312" w:eastAsia="仿宋_GB2312" w:cs="仿宋_GB2312"/>
          <w:sz w:val="32"/>
          <w:szCs w:val="32"/>
          <w:lang w:eastAsia="zh-CN"/>
        </w:rPr>
        <w:t>全县城乡居民</w:t>
      </w:r>
      <w:r>
        <w:rPr>
          <w:rFonts w:hint="eastAsia" w:ascii="仿宋_GB2312" w:eastAsia="仿宋_GB2312"/>
          <w:sz w:val="32"/>
          <w:szCs w:val="32"/>
          <w:lang w:eastAsia="zh-CN"/>
        </w:rPr>
        <w:t>县级匹配资金</w:t>
      </w:r>
      <w:r>
        <w:rPr>
          <w:rFonts w:hint="eastAsia" w:ascii="仿宋_GB2312" w:hAnsi="仿宋_GB2312" w:eastAsia="仿宋_GB2312" w:cs="仿宋_GB2312"/>
          <w:color w:val="000000"/>
          <w:sz w:val="32"/>
          <w:szCs w:val="32"/>
        </w:rPr>
        <w:t>等专项业务工作支出。</w:t>
      </w:r>
      <w:r>
        <w:rPr>
          <w:rFonts w:hint="eastAsia" w:ascii="仿宋_GB2312" w:hAnsi="仿宋_GB2312" w:eastAsia="仿宋_GB2312" w:cs="仿宋_GB2312"/>
          <w:color w:val="000000"/>
          <w:sz w:val="32"/>
          <w:szCs w:val="32"/>
        </w:rPr>
        <w:br w:type="textWrapping"/>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年初制定了部门整体绩效目标和相应的项目支出绩效目标，执行过程中，严格按照既定目标执行，无违规记录。</w:t>
      </w:r>
      <w:r>
        <w:rPr>
          <w:rFonts w:hint="eastAsia" w:ascii="仿宋" w:hAnsi="仿宋" w:eastAsia="仿宋" w:cs="仿宋_GB2312"/>
          <w:sz w:val="32"/>
          <w:szCs w:val="32"/>
          <w:lang w:val="en-US" w:eastAsia="zh-CN"/>
        </w:rPr>
        <w:t xml:space="preserve"> </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2018年项目绩效</w:t>
      </w:r>
      <w:r>
        <w:rPr>
          <w:rFonts w:ascii="仿宋" w:hAnsi="仿宋" w:eastAsia="仿宋" w:cs="仿宋_GB2312"/>
          <w:sz w:val="32"/>
          <w:szCs w:val="32"/>
        </w:rPr>
        <w:t>专项预算项目程序严密、规划合理、结果符合、分配科学、分配及时、专项预算绩效目标完成</w:t>
      </w:r>
      <w:r>
        <w:rPr>
          <w:rFonts w:hint="eastAsia" w:ascii="仿宋" w:hAnsi="仿宋" w:eastAsia="仿宋" w:cs="仿宋_GB2312"/>
          <w:sz w:val="32"/>
          <w:szCs w:val="32"/>
          <w:lang w:eastAsia="zh-CN"/>
        </w:rPr>
        <w:t>良好</w:t>
      </w:r>
      <w:r>
        <w:rPr>
          <w:rFonts w:ascii="仿宋" w:hAnsi="仿宋" w:eastAsia="仿宋" w:cs="仿宋_GB2312"/>
          <w:sz w:val="32"/>
          <w:szCs w:val="32"/>
        </w:rPr>
        <w:t>、</w:t>
      </w:r>
      <w:r>
        <w:rPr>
          <w:rFonts w:hint="eastAsia" w:ascii="仿宋" w:hAnsi="仿宋" w:eastAsia="仿宋" w:cs="仿宋_GB2312"/>
          <w:sz w:val="32"/>
          <w:szCs w:val="32"/>
          <w:lang w:eastAsia="zh-CN"/>
        </w:rPr>
        <w:t>无</w:t>
      </w:r>
      <w:r>
        <w:rPr>
          <w:rFonts w:ascii="仿宋" w:hAnsi="仿宋" w:eastAsia="仿宋" w:cs="仿宋_GB2312"/>
          <w:sz w:val="32"/>
          <w:szCs w:val="32"/>
        </w:rPr>
        <w:t>违规记录等。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部门自评质量</w:t>
      </w:r>
      <w:r>
        <w:rPr>
          <w:rFonts w:hint="eastAsia" w:ascii="仿宋" w:hAnsi="仿宋" w:eastAsia="仿宋" w:cs="仿宋_GB2312"/>
          <w:sz w:val="32"/>
          <w:szCs w:val="32"/>
          <w:lang w:eastAsia="zh-CN"/>
        </w:rPr>
        <w:t>取得不错成绩</w:t>
      </w:r>
      <w:r>
        <w:rPr>
          <w:rFonts w:ascii="仿宋" w:hAnsi="仿宋" w:eastAsia="仿宋" w:cs="仿宋_GB2312"/>
          <w:sz w:val="32"/>
          <w:szCs w:val="32"/>
        </w:rPr>
        <w:t>、</w:t>
      </w:r>
      <w:r>
        <w:rPr>
          <w:rFonts w:hint="eastAsia" w:ascii="仿宋" w:hAnsi="仿宋" w:eastAsia="仿宋" w:cs="仿宋_GB2312"/>
          <w:sz w:val="32"/>
          <w:szCs w:val="32"/>
          <w:lang w:eastAsia="zh-CN"/>
        </w:rPr>
        <w:t>严格按照</w:t>
      </w:r>
      <w:r>
        <w:rPr>
          <w:rFonts w:ascii="仿宋" w:hAnsi="仿宋" w:eastAsia="仿宋" w:cs="仿宋_GB2312"/>
          <w:sz w:val="32"/>
          <w:szCs w:val="32"/>
        </w:rPr>
        <w:t>绩效目标公开和自评公开、评价结果整改和应用结果反馈等。</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（一）评价结论。</w:t>
      </w:r>
      <w:r>
        <w:rPr>
          <w:rFonts w:hint="eastAsia" w:ascii="仿宋" w:hAnsi="仿宋" w:eastAsia="仿宋" w:cs="仿宋_GB2312"/>
          <w:sz w:val="32"/>
          <w:szCs w:val="32"/>
          <w:lang w:val="en-US" w:eastAsia="zh-CN"/>
        </w:rPr>
        <w:t>2018年项目整体绩效目标按照年初预定的方案稳步执行。执行过程中，严格按照项目绩效目标的各项指标对照检查，整体取得不错的成绩。</w:t>
      </w:r>
    </w:p>
    <w:p>
      <w:pPr>
        <w:spacing w:line="580" w:lineRule="exact"/>
        <w:ind w:firstLine="640" w:firstLineChars="200"/>
        <w:rPr>
          <w:rFonts w:ascii="仿宋" w:hAnsi="仿宋" w:eastAsia="仿宋"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17"/>
          <w:rFonts w:ascii="黑体" w:hAnsi="黑体" w:eastAsia="黑体"/>
          <w:b w:val="0"/>
        </w:rPr>
      </w:pPr>
      <w:bookmarkStart w:id="61" w:name="_Toc15396618"/>
      <w:r>
        <w:rPr>
          <w:rFonts w:hint="eastAsia" w:ascii="黑体" w:hAnsi="黑体" w:eastAsia="黑体"/>
          <w:color w:val="000000"/>
          <w:sz w:val="44"/>
          <w:szCs w:val="44"/>
        </w:rPr>
        <w:t>第</w:t>
      </w:r>
      <w:r>
        <w:rPr>
          <w:rStyle w:val="17"/>
          <w:rFonts w:hint="eastAsia" w:ascii="黑体" w:hAnsi="黑体" w:eastAsia="黑体"/>
          <w:b w:val="0"/>
        </w:rPr>
        <w:t>五部分 附表</w:t>
      </w:r>
      <w:bookmarkEnd w:id="57"/>
      <w:bookmarkEnd w:id="61"/>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2"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2"/>
    </w:p>
    <w:p>
      <w:pPr>
        <w:pStyle w:val="4"/>
        <w:rPr>
          <w:rFonts w:ascii="仿宋" w:hAnsi="仿宋" w:eastAsia="仿宋"/>
          <w:color w:val="000000"/>
        </w:rPr>
      </w:pPr>
      <w:bookmarkStart w:id="63" w:name="_Toc15396620"/>
      <w:r>
        <w:rPr>
          <w:rFonts w:hint="eastAsia" w:ascii="仿宋" w:hAnsi="仿宋" w:eastAsia="仿宋"/>
          <w:b w:val="0"/>
          <w:color w:val="000000"/>
        </w:rPr>
        <w:t>二、收</w:t>
      </w:r>
      <w:r>
        <w:rPr>
          <w:rStyle w:val="18"/>
          <w:rFonts w:hint="eastAsia" w:ascii="仿宋" w:hAnsi="仿宋" w:eastAsia="仿宋"/>
          <w:b w:val="0"/>
          <w:bCs w:val="0"/>
        </w:rPr>
        <w:t>入总表</w:t>
      </w:r>
      <w:bookmarkEnd w:id="63"/>
    </w:p>
    <w:p>
      <w:pPr>
        <w:pStyle w:val="4"/>
        <w:rPr>
          <w:rFonts w:ascii="仿宋" w:hAnsi="仿宋" w:eastAsia="仿宋"/>
          <w:color w:val="000000"/>
        </w:rPr>
      </w:pPr>
      <w:bookmarkStart w:id="64"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出总表</w:t>
      </w:r>
      <w:bookmarkEnd w:id="64"/>
    </w:p>
    <w:p>
      <w:pPr>
        <w:pStyle w:val="4"/>
        <w:rPr>
          <w:rFonts w:ascii="仿宋" w:hAnsi="仿宋" w:eastAsia="仿宋"/>
          <w:b w:val="0"/>
          <w:color w:val="000000"/>
        </w:rPr>
      </w:pPr>
      <w:bookmarkStart w:id="65"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5"/>
    </w:p>
    <w:p>
      <w:pPr>
        <w:pStyle w:val="4"/>
        <w:rPr>
          <w:rFonts w:ascii="仿宋" w:hAnsi="仿宋" w:eastAsia="仿宋"/>
          <w:color w:val="000000"/>
        </w:rPr>
      </w:pPr>
      <w:bookmarkStart w:id="66"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政拨款支出决算明细表（政府经济分类科目）</w:t>
      </w:r>
      <w:bookmarkEnd w:id="66"/>
    </w:p>
    <w:p>
      <w:pPr>
        <w:pStyle w:val="4"/>
        <w:rPr>
          <w:rFonts w:ascii="仿宋" w:hAnsi="仿宋" w:eastAsia="仿宋"/>
          <w:color w:val="000000"/>
        </w:rPr>
      </w:pPr>
      <w:bookmarkStart w:id="67" w:name="_Toc15396624"/>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7"/>
    </w:p>
    <w:p>
      <w:pPr>
        <w:pStyle w:val="4"/>
        <w:rPr>
          <w:rFonts w:ascii="仿宋" w:hAnsi="仿宋" w:eastAsia="仿宋"/>
          <w:color w:val="000000"/>
        </w:rPr>
      </w:pPr>
      <w:bookmarkStart w:id="68"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8"/>
    </w:p>
    <w:p>
      <w:pPr>
        <w:pStyle w:val="4"/>
        <w:rPr>
          <w:rFonts w:ascii="仿宋" w:hAnsi="仿宋" w:eastAsia="仿宋"/>
          <w:color w:val="000000"/>
        </w:rPr>
      </w:pPr>
      <w:bookmarkStart w:id="69"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9"/>
    </w:p>
    <w:p>
      <w:pPr>
        <w:pStyle w:val="4"/>
        <w:rPr>
          <w:rFonts w:ascii="仿宋" w:hAnsi="仿宋" w:eastAsia="仿宋"/>
          <w:color w:val="000000"/>
        </w:rPr>
      </w:pPr>
      <w:bookmarkStart w:id="70"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70"/>
    </w:p>
    <w:p>
      <w:pPr>
        <w:pStyle w:val="4"/>
        <w:rPr>
          <w:rFonts w:ascii="仿宋" w:hAnsi="仿宋" w:eastAsia="仿宋"/>
          <w:color w:val="000000"/>
        </w:rPr>
      </w:pPr>
      <w:bookmarkStart w:id="71"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71"/>
    </w:p>
    <w:p>
      <w:pPr>
        <w:pStyle w:val="4"/>
        <w:rPr>
          <w:rFonts w:ascii="仿宋" w:hAnsi="仿宋" w:eastAsia="仿宋"/>
          <w:color w:val="000000"/>
        </w:rPr>
      </w:pPr>
      <w:bookmarkStart w:id="72"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72"/>
    </w:p>
    <w:p>
      <w:pPr>
        <w:pStyle w:val="4"/>
        <w:rPr>
          <w:rFonts w:ascii="仿宋" w:hAnsi="仿宋" w:eastAsia="仿宋"/>
          <w:color w:val="000000"/>
        </w:rPr>
      </w:pPr>
      <w:bookmarkStart w:id="73"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73"/>
    </w:p>
    <w:p>
      <w:pPr>
        <w:pStyle w:val="4"/>
        <w:rPr>
          <w:rFonts w:ascii="仿宋" w:hAnsi="仿宋" w:eastAsia="仿宋"/>
          <w:color w:val="000000"/>
        </w:rPr>
      </w:pPr>
      <w:bookmarkStart w:id="74"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10</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B1AE675F"/>
    <w:multiLevelType w:val="singleLevel"/>
    <w:tmpl w:val="B1AE675F"/>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5"/>
  </w:num>
  <w:num w:numId="2">
    <w:abstractNumId w:val="2"/>
  </w:num>
  <w:num w:numId="3">
    <w:abstractNumId w:val="6"/>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U2NzQ5ZWI3Mjk0ZmM4MTNhOTdkMDZjMWFmOGVhYmUifQ=="/>
  </w:docVars>
  <w:rsids>
    <w:rsidRoot w:val="00000000"/>
    <w:rsid w:val="01292B47"/>
    <w:rsid w:val="01436986"/>
    <w:rsid w:val="019B40F9"/>
    <w:rsid w:val="01ED4A1F"/>
    <w:rsid w:val="023C2067"/>
    <w:rsid w:val="026723DA"/>
    <w:rsid w:val="03C34E85"/>
    <w:rsid w:val="03F2419C"/>
    <w:rsid w:val="04053023"/>
    <w:rsid w:val="04330DD9"/>
    <w:rsid w:val="044B76BC"/>
    <w:rsid w:val="0505596C"/>
    <w:rsid w:val="05717E0A"/>
    <w:rsid w:val="06B04C17"/>
    <w:rsid w:val="06F96B9B"/>
    <w:rsid w:val="07AC5F22"/>
    <w:rsid w:val="07C41C19"/>
    <w:rsid w:val="08491200"/>
    <w:rsid w:val="088E293E"/>
    <w:rsid w:val="09156FA1"/>
    <w:rsid w:val="09463149"/>
    <w:rsid w:val="098245C8"/>
    <w:rsid w:val="0A9A2989"/>
    <w:rsid w:val="0B3A68C7"/>
    <w:rsid w:val="0B7102E3"/>
    <w:rsid w:val="0D3067B9"/>
    <w:rsid w:val="0E0651AA"/>
    <w:rsid w:val="0E1D3A76"/>
    <w:rsid w:val="0F0E6AB9"/>
    <w:rsid w:val="0F9E67E2"/>
    <w:rsid w:val="0FE25A65"/>
    <w:rsid w:val="101B6179"/>
    <w:rsid w:val="108C586F"/>
    <w:rsid w:val="10A14195"/>
    <w:rsid w:val="10BA3A37"/>
    <w:rsid w:val="10E55D5A"/>
    <w:rsid w:val="115D478F"/>
    <w:rsid w:val="11950F2B"/>
    <w:rsid w:val="12D86F23"/>
    <w:rsid w:val="13850A3F"/>
    <w:rsid w:val="13A86933"/>
    <w:rsid w:val="145A6553"/>
    <w:rsid w:val="14804045"/>
    <w:rsid w:val="14E377A7"/>
    <w:rsid w:val="154F60EC"/>
    <w:rsid w:val="155B17F0"/>
    <w:rsid w:val="157A4503"/>
    <w:rsid w:val="15E4528C"/>
    <w:rsid w:val="161A6746"/>
    <w:rsid w:val="17406908"/>
    <w:rsid w:val="176C476A"/>
    <w:rsid w:val="17E872F7"/>
    <w:rsid w:val="183F4FE9"/>
    <w:rsid w:val="18DE549C"/>
    <w:rsid w:val="19760E6C"/>
    <w:rsid w:val="1AA101DB"/>
    <w:rsid w:val="1B4C7832"/>
    <w:rsid w:val="1BB46BC0"/>
    <w:rsid w:val="1BE3526D"/>
    <w:rsid w:val="1C475769"/>
    <w:rsid w:val="1CB23E13"/>
    <w:rsid w:val="1D9130DA"/>
    <w:rsid w:val="1E91461B"/>
    <w:rsid w:val="1ECE2CD3"/>
    <w:rsid w:val="1ECF68FA"/>
    <w:rsid w:val="1EFC6428"/>
    <w:rsid w:val="1FA45019"/>
    <w:rsid w:val="200B73BC"/>
    <w:rsid w:val="204D0038"/>
    <w:rsid w:val="208D3A07"/>
    <w:rsid w:val="20E851A9"/>
    <w:rsid w:val="218E21DE"/>
    <w:rsid w:val="21BB0B86"/>
    <w:rsid w:val="21FE7A64"/>
    <w:rsid w:val="22C71137"/>
    <w:rsid w:val="22DB4034"/>
    <w:rsid w:val="23010E8B"/>
    <w:rsid w:val="23BE3907"/>
    <w:rsid w:val="23D91573"/>
    <w:rsid w:val="23F744F3"/>
    <w:rsid w:val="24B42AD5"/>
    <w:rsid w:val="24CE77F6"/>
    <w:rsid w:val="24E74422"/>
    <w:rsid w:val="25724B31"/>
    <w:rsid w:val="26552362"/>
    <w:rsid w:val="270667F1"/>
    <w:rsid w:val="27170682"/>
    <w:rsid w:val="272B551B"/>
    <w:rsid w:val="27807E51"/>
    <w:rsid w:val="27FF4C4F"/>
    <w:rsid w:val="289E12C0"/>
    <w:rsid w:val="289E4134"/>
    <w:rsid w:val="28B44077"/>
    <w:rsid w:val="29006DCF"/>
    <w:rsid w:val="291C6283"/>
    <w:rsid w:val="29B10AA9"/>
    <w:rsid w:val="2ADD6B1D"/>
    <w:rsid w:val="2B5F7B5C"/>
    <w:rsid w:val="2B922872"/>
    <w:rsid w:val="2C4A6048"/>
    <w:rsid w:val="2D0253FA"/>
    <w:rsid w:val="2D6F6338"/>
    <w:rsid w:val="2E012456"/>
    <w:rsid w:val="2E0202C8"/>
    <w:rsid w:val="2F586352"/>
    <w:rsid w:val="2FA14657"/>
    <w:rsid w:val="2FD5427B"/>
    <w:rsid w:val="304F7690"/>
    <w:rsid w:val="30632048"/>
    <w:rsid w:val="315B2033"/>
    <w:rsid w:val="31623235"/>
    <w:rsid w:val="32F678C7"/>
    <w:rsid w:val="347F2015"/>
    <w:rsid w:val="34FB0B9C"/>
    <w:rsid w:val="35181571"/>
    <w:rsid w:val="355B2593"/>
    <w:rsid w:val="359B5873"/>
    <w:rsid w:val="35D34505"/>
    <w:rsid w:val="35F13EBC"/>
    <w:rsid w:val="35FB0437"/>
    <w:rsid w:val="362B2178"/>
    <w:rsid w:val="37651312"/>
    <w:rsid w:val="376E7FBE"/>
    <w:rsid w:val="37BC6444"/>
    <w:rsid w:val="37BE7526"/>
    <w:rsid w:val="37E80792"/>
    <w:rsid w:val="37FC1003"/>
    <w:rsid w:val="39A428D7"/>
    <w:rsid w:val="39C3506F"/>
    <w:rsid w:val="3B39746B"/>
    <w:rsid w:val="3B5F118F"/>
    <w:rsid w:val="3B642C10"/>
    <w:rsid w:val="3C8600BE"/>
    <w:rsid w:val="3C873A66"/>
    <w:rsid w:val="3CA94412"/>
    <w:rsid w:val="3CFB55D3"/>
    <w:rsid w:val="3DD9305A"/>
    <w:rsid w:val="3E8A6326"/>
    <w:rsid w:val="3EC05B1E"/>
    <w:rsid w:val="3F6819D8"/>
    <w:rsid w:val="3FA6583E"/>
    <w:rsid w:val="40067092"/>
    <w:rsid w:val="40357ABC"/>
    <w:rsid w:val="40633234"/>
    <w:rsid w:val="407630B1"/>
    <w:rsid w:val="40C67CBC"/>
    <w:rsid w:val="417B5F6B"/>
    <w:rsid w:val="423A7606"/>
    <w:rsid w:val="427C0CD3"/>
    <w:rsid w:val="42F25F5B"/>
    <w:rsid w:val="43031A1E"/>
    <w:rsid w:val="43155016"/>
    <w:rsid w:val="434B676A"/>
    <w:rsid w:val="436C7522"/>
    <w:rsid w:val="443059AE"/>
    <w:rsid w:val="445D11F2"/>
    <w:rsid w:val="44CC0FFC"/>
    <w:rsid w:val="4577775A"/>
    <w:rsid w:val="45792204"/>
    <w:rsid w:val="45812FF1"/>
    <w:rsid w:val="45CC6833"/>
    <w:rsid w:val="45FC3EB0"/>
    <w:rsid w:val="460C5486"/>
    <w:rsid w:val="46115FEF"/>
    <w:rsid w:val="46244211"/>
    <w:rsid w:val="46E57A07"/>
    <w:rsid w:val="47134B08"/>
    <w:rsid w:val="47241630"/>
    <w:rsid w:val="47375454"/>
    <w:rsid w:val="48194BF7"/>
    <w:rsid w:val="486237FB"/>
    <w:rsid w:val="489B78AC"/>
    <w:rsid w:val="4ADF6896"/>
    <w:rsid w:val="4AE50868"/>
    <w:rsid w:val="4AFC53E7"/>
    <w:rsid w:val="4BBD1F73"/>
    <w:rsid w:val="4BC85655"/>
    <w:rsid w:val="4CEF4B57"/>
    <w:rsid w:val="4D0079E1"/>
    <w:rsid w:val="4DA9228F"/>
    <w:rsid w:val="4DD3549B"/>
    <w:rsid w:val="4DDB7193"/>
    <w:rsid w:val="4E215789"/>
    <w:rsid w:val="4F8F3825"/>
    <w:rsid w:val="4F9D37FF"/>
    <w:rsid w:val="4FCA3F71"/>
    <w:rsid w:val="4FE02751"/>
    <w:rsid w:val="50434264"/>
    <w:rsid w:val="505711A9"/>
    <w:rsid w:val="505E1332"/>
    <w:rsid w:val="50800F1F"/>
    <w:rsid w:val="508406F8"/>
    <w:rsid w:val="50FB51F0"/>
    <w:rsid w:val="514F0450"/>
    <w:rsid w:val="52AF76AC"/>
    <w:rsid w:val="52E830C5"/>
    <w:rsid w:val="533104A3"/>
    <w:rsid w:val="53EC4F4E"/>
    <w:rsid w:val="54165717"/>
    <w:rsid w:val="549720D5"/>
    <w:rsid w:val="55D00851"/>
    <w:rsid w:val="55E90B49"/>
    <w:rsid w:val="56FC67AA"/>
    <w:rsid w:val="57192C57"/>
    <w:rsid w:val="5730034C"/>
    <w:rsid w:val="577A360D"/>
    <w:rsid w:val="57AF7B73"/>
    <w:rsid w:val="57E73F5C"/>
    <w:rsid w:val="57EE518B"/>
    <w:rsid w:val="580D0FDA"/>
    <w:rsid w:val="583A7738"/>
    <w:rsid w:val="58F30BB6"/>
    <w:rsid w:val="59AC1467"/>
    <w:rsid w:val="59D162B9"/>
    <w:rsid w:val="5AB80D3B"/>
    <w:rsid w:val="5ABA4730"/>
    <w:rsid w:val="5B6D239E"/>
    <w:rsid w:val="5D0A4022"/>
    <w:rsid w:val="5D4B055E"/>
    <w:rsid w:val="5D6E727A"/>
    <w:rsid w:val="5DB62A43"/>
    <w:rsid w:val="5DE031BD"/>
    <w:rsid w:val="5ECF2F90"/>
    <w:rsid w:val="5F370879"/>
    <w:rsid w:val="5FB332AD"/>
    <w:rsid w:val="5FEF40B0"/>
    <w:rsid w:val="614D63C0"/>
    <w:rsid w:val="614E25DA"/>
    <w:rsid w:val="617A0001"/>
    <w:rsid w:val="617E5C9F"/>
    <w:rsid w:val="61C37E33"/>
    <w:rsid w:val="61E8240C"/>
    <w:rsid w:val="623E70EE"/>
    <w:rsid w:val="627A7C43"/>
    <w:rsid w:val="62BA6B96"/>
    <w:rsid w:val="634D1730"/>
    <w:rsid w:val="63B37F11"/>
    <w:rsid w:val="63BB11DF"/>
    <w:rsid w:val="63BD727A"/>
    <w:rsid w:val="63C90FBB"/>
    <w:rsid w:val="644A7EC8"/>
    <w:rsid w:val="64D736A9"/>
    <w:rsid w:val="6561436D"/>
    <w:rsid w:val="65A45989"/>
    <w:rsid w:val="668D197F"/>
    <w:rsid w:val="67BA5332"/>
    <w:rsid w:val="67D66937"/>
    <w:rsid w:val="685D25F3"/>
    <w:rsid w:val="686162E3"/>
    <w:rsid w:val="68A75C5F"/>
    <w:rsid w:val="68B35283"/>
    <w:rsid w:val="697C6E67"/>
    <w:rsid w:val="69D27B8D"/>
    <w:rsid w:val="6B6D79D2"/>
    <w:rsid w:val="6B844FE8"/>
    <w:rsid w:val="6BE11740"/>
    <w:rsid w:val="6C287262"/>
    <w:rsid w:val="6CB00A3F"/>
    <w:rsid w:val="6D066985"/>
    <w:rsid w:val="6D0F5174"/>
    <w:rsid w:val="6D3C19F9"/>
    <w:rsid w:val="6D875922"/>
    <w:rsid w:val="6DBF4B4A"/>
    <w:rsid w:val="6E0F33B7"/>
    <w:rsid w:val="6FE113FC"/>
    <w:rsid w:val="70FF719E"/>
    <w:rsid w:val="71640CAE"/>
    <w:rsid w:val="71A93309"/>
    <w:rsid w:val="71D56B1F"/>
    <w:rsid w:val="72714F4C"/>
    <w:rsid w:val="729A642E"/>
    <w:rsid w:val="72B02C07"/>
    <w:rsid w:val="72F5680A"/>
    <w:rsid w:val="73AF1B3B"/>
    <w:rsid w:val="74D101A2"/>
    <w:rsid w:val="754F3470"/>
    <w:rsid w:val="75B42DA4"/>
    <w:rsid w:val="77984C2E"/>
    <w:rsid w:val="77CA553F"/>
    <w:rsid w:val="78571DE9"/>
    <w:rsid w:val="78B1603A"/>
    <w:rsid w:val="78F43B6E"/>
    <w:rsid w:val="79275D81"/>
    <w:rsid w:val="79635C4C"/>
    <w:rsid w:val="7995500F"/>
    <w:rsid w:val="79EC1285"/>
    <w:rsid w:val="7A013C20"/>
    <w:rsid w:val="7AEF39D3"/>
    <w:rsid w:val="7B911128"/>
    <w:rsid w:val="7CB55E6F"/>
    <w:rsid w:val="7DE34F6C"/>
    <w:rsid w:val="7EBC2C5F"/>
    <w:rsid w:val="7EBF3D27"/>
    <w:rsid w:val="7FE7520B"/>
    <w:rsid w:val="7FF334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18"/>
    <w:uiPriority w:val="0"/>
    <w:pPr>
      <w:keepNext/>
      <w:keepLines/>
      <w:spacing w:before="260" w:after="260" w:line="416" w:lineRule="auto"/>
      <w:outlineLvl w:val="1"/>
    </w:pPr>
    <w:rPr>
      <w:rFonts w:ascii="Cambria" w:hAnsi="Cambria" w:eastAsia="宋体" w:cs="黑体"/>
      <w:b/>
      <w:bCs/>
      <w:kern w:val="2"/>
      <w:sz w:val="32"/>
      <w:szCs w:val="32"/>
    </w:rPr>
  </w:style>
  <w:style w:type="paragraph" w:styleId="5">
    <w:name w:val="heading 3"/>
    <w:basedOn w:val="1"/>
    <w:next w:val="1"/>
    <w:link w:val="19"/>
    <w:autoRedefine/>
    <w:qFormat/>
    <w:uiPriority w:val="0"/>
    <w:pPr>
      <w:keepNext/>
      <w:keepLines/>
      <w:spacing w:before="260" w:after="260" w:line="416" w:lineRule="auto"/>
      <w:outlineLvl w:val="2"/>
    </w:pPr>
    <w:rPr>
      <w:rFonts w:ascii="Times New Roman" w:hAnsi="Times New Roman"/>
      <w:b/>
      <w:bCs/>
      <w:kern w:val="2"/>
      <w:sz w:val="32"/>
      <w:szCs w:val="32"/>
    </w:rPr>
  </w:style>
  <w:style w:type="character" w:default="1" w:styleId="14">
    <w:name w:val="Default Paragraph Font"/>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lock Text"/>
    <w:basedOn w:val="1"/>
    <w:autoRedefine/>
    <w:qFormat/>
    <w:uiPriority w:val="99"/>
    <w:pPr>
      <w:ind w:left="1440" w:leftChars="700" w:right="700" w:rightChars="700"/>
    </w:pPr>
  </w:style>
  <w:style w:type="paragraph" w:styleId="6">
    <w:name w:val="Body Text"/>
    <w:basedOn w:val="1"/>
    <w:link w:val="20"/>
    <w:autoRedefine/>
    <w:qFormat/>
    <w:uiPriority w:val="0"/>
    <w:pPr>
      <w:spacing w:beforeLines="30"/>
    </w:pPr>
    <w:rPr>
      <w:rFonts w:ascii="仿宋_GB2312" w:hAnsi="Times New Roman" w:eastAsia="仿宋_GB2312"/>
      <w:sz w:val="24"/>
    </w:rPr>
  </w:style>
  <w:style w:type="paragraph" w:styleId="7">
    <w:name w:val="toc 3"/>
    <w:basedOn w:val="1"/>
    <w:next w:val="1"/>
    <w:autoRedefine/>
    <w:qFormat/>
    <w:uiPriority w:val="0"/>
    <w:pPr>
      <w:tabs>
        <w:tab w:val="right" w:leader="dot" w:pos="8296"/>
      </w:tabs>
      <w:ind w:left="840" w:leftChars="400"/>
    </w:pPr>
  </w:style>
  <w:style w:type="paragraph" w:styleId="8">
    <w:name w:val="footer"/>
    <w:basedOn w:val="1"/>
    <w:link w:val="23"/>
    <w:qFormat/>
    <w:uiPriority w:val="0"/>
    <w:pPr>
      <w:tabs>
        <w:tab w:val="center" w:pos="4153"/>
        <w:tab w:val="right" w:pos="8306"/>
      </w:tabs>
      <w:snapToGrid w:val="0"/>
      <w:jc w:val="left"/>
    </w:pPr>
    <w:rPr>
      <w:sz w:val="18"/>
    </w:rPr>
  </w:style>
  <w:style w:type="paragraph" w:styleId="9">
    <w:name w:val="header"/>
    <w:basedOn w:val="1"/>
    <w:link w:val="24"/>
    <w:autoRedefine/>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autoRedefine/>
    <w:qFormat/>
    <w:uiPriority w:val="0"/>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0"/>
    <w:pPr>
      <w:tabs>
        <w:tab w:val="right" w:leader="dot" w:pos="8296"/>
      </w:tabs>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Strong"/>
    <w:basedOn w:val="14"/>
    <w:autoRedefine/>
    <w:qFormat/>
    <w:uiPriority w:val="0"/>
    <w:rPr>
      <w:b/>
    </w:rPr>
  </w:style>
  <w:style w:type="character" w:styleId="16">
    <w:name w:val="Hyperlink"/>
    <w:basedOn w:val="14"/>
    <w:autoRedefine/>
    <w:qFormat/>
    <w:uiPriority w:val="0"/>
    <w:rPr>
      <w:color w:val="0000FF"/>
      <w:u w:val="single"/>
    </w:rPr>
  </w:style>
  <w:style w:type="character" w:customStyle="1" w:styleId="17">
    <w:name w:val="标题 1 Char"/>
    <w:basedOn w:val="14"/>
    <w:link w:val="3"/>
    <w:autoRedefine/>
    <w:semiHidden/>
    <w:qFormat/>
    <w:uiPriority w:val="0"/>
    <w:rPr>
      <w:rFonts w:ascii="Times New Roman" w:hAnsi="Times New Roman"/>
      <w:b/>
      <w:bCs/>
      <w:kern w:val="44"/>
      <w:sz w:val="44"/>
      <w:szCs w:val="44"/>
    </w:rPr>
  </w:style>
  <w:style w:type="character" w:customStyle="1" w:styleId="18">
    <w:name w:val="标题 2 Char"/>
    <w:basedOn w:val="14"/>
    <w:link w:val="4"/>
    <w:autoRedefine/>
    <w:semiHidden/>
    <w:qFormat/>
    <w:uiPriority w:val="0"/>
    <w:rPr>
      <w:rFonts w:ascii="Cambria" w:hAnsi="Cambria" w:eastAsia="宋体" w:cs="黑体"/>
      <w:b/>
      <w:bCs/>
      <w:kern w:val="2"/>
      <w:sz w:val="32"/>
      <w:szCs w:val="32"/>
    </w:rPr>
  </w:style>
  <w:style w:type="character" w:customStyle="1" w:styleId="19">
    <w:name w:val="标题 3 Char"/>
    <w:basedOn w:val="14"/>
    <w:link w:val="5"/>
    <w:autoRedefine/>
    <w:semiHidden/>
    <w:qFormat/>
    <w:uiPriority w:val="0"/>
    <w:rPr>
      <w:rFonts w:ascii="Times New Roman" w:hAnsi="Times New Roman"/>
      <w:b/>
      <w:bCs/>
      <w:kern w:val="2"/>
      <w:sz w:val="32"/>
      <w:szCs w:val="32"/>
    </w:rPr>
  </w:style>
  <w:style w:type="character" w:customStyle="1" w:styleId="20">
    <w:name w:val="正文文本 Char"/>
    <w:link w:val="6"/>
    <w:autoRedefine/>
    <w:semiHidden/>
    <w:qFormat/>
    <w:uiPriority w:val="0"/>
    <w:rPr>
      <w:rFonts w:ascii="仿宋_GB2312" w:hAnsi="Times New Roman" w:eastAsia="仿宋_GB2312"/>
      <w:sz w:val="24"/>
    </w:rPr>
  </w:style>
  <w:style w:type="paragraph" w:customStyle="1" w:styleId="21">
    <w:name w:val="批注框文本1"/>
    <w:basedOn w:val="1"/>
    <w:link w:val="22"/>
    <w:autoRedefine/>
    <w:qFormat/>
    <w:uiPriority w:val="0"/>
    <w:rPr>
      <w:rFonts w:ascii="Times New Roman" w:hAnsi="Times New Roman"/>
      <w:kern w:val="2"/>
      <w:sz w:val="18"/>
      <w:szCs w:val="18"/>
    </w:rPr>
  </w:style>
  <w:style w:type="character" w:customStyle="1" w:styleId="22">
    <w:name w:val="批注框文本 Char"/>
    <w:basedOn w:val="14"/>
    <w:link w:val="21"/>
    <w:autoRedefine/>
    <w:semiHidden/>
    <w:qFormat/>
    <w:uiPriority w:val="0"/>
    <w:rPr>
      <w:rFonts w:ascii="Times New Roman" w:hAnsi="Times New Roman"/>
      <w:kern w:val="2"/>
      <w:sz w:val="18"/>
      <w:szCs w:val="18"/>
    </w:rPr>
  </w:style>
  <w:style w:type="character" w:customStyle="1" w:styleId="23">
    <w:name w:val="页脚 Char"/>
    <w:link w:val="8"/>
    <w:autoRedefine/>
    <w:semiHidden/>
    <w:qFormat/>
    <w:uiPriority w:val="0"/>
    <w:rPr>
      <w:sz w:val="18"/>
    </w:rPr>
  </w:style>
  <w:style w:type="character" w:customStyle="1" w:styleId="24">
    <w:name w:val="页眉 Char"/>
    <w:link w:val="9"/>
    <w:autoRedefine/>
    <w:semiHidden/>
    <w:qFormat/>
    <w:uiPriority w:val="0"/>
    <w:rPr>
      <w:sz w:val="18"/>
    </w:rPr>
  </w:style>
  <w:style w:type="paragraph" w:customStyle="1" w:styleId="25">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List Paragraph"/>
    <w:basedOn w:val="1"/>
    <w:autoRedefine/>
    <w:qFormat/>
    <w:uiPriority w:val="0"/>
    <w:pPr>
      <w:ind w:firstLine="420" w:firstLineChars="200"/>
    </w:pPr>
  </w:style>
  <w:style w:type="paragraph" w:customStyle="1" w:styleId="27">
    <w:name w:val="TOC Heading"/>
    <w:basedOn w:val="3"/>
    <w:next w:val="1"/>
    <w:autoRedefine/>
    <w:qFormat/>
    <w:uiPriority w:val="0"/>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28">
    <w:name w:val="Header Char"/>
    <w:basedOn w:val="14"/>
    <w:autoRedefine/>
    <w:qFormat/>
    <w:uiPriority w:val="0"/>
    <w:rPr>
      <w:rFonts w:ascii="Times New Roman" w:hAnsi="Times New Roman"/>
      <w:sz w:val="18"/>
      <w:szCs w:val="18"/>
    </w:rPr>
  </w:style>
  <w:style w:type="character" w:customStyle="1" w:styleId="29">
    <w:name w:val="Footer Char"/>
    <w:basedOn w:val="14"/>
    <w:autoRedefine/>
    <w:qFormat/>
    <w:uiPriority w:val="0"/>
    <w:rPr>
      <w:rFonts w:ascii="Times New Roman" w:hAnsi="Times New Roman"/>
      <w:sz w:val="18"/>
      <w:szCs w:val="18"/>
    </w:rPr>
  </w:style>
  <w:style w:type="character" w:customStyle="1" w:styleId="30">
    <w:name w:val="Body Text Char"/>
    <w:basedOn w:val="14"/>
    <w:autoRedefine/>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1441</Words>
  <Characters>8219</Characters>
  <Lines>68</Lines>
  <Paragraphs>19</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2025-02-12T08:47:01Z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E9BB8F4643F04D82A6B012FCEB0E735B</vt:lpwstr>
  </property>
</Properties>
</file>