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D6B99">
      <w:pPr>
        <w:spacing w:line="600" w:lineRule="exact"/>
        <w:jc w:val="center"/>
        <w:outlineLvl w:val="0"/>
        <w:rPr>
          <w:rFonts w:ascii="方正小标宋简体" w:hAnsi="宋体" w:eastAsia="方正小标宋简体"/>
          <w:color w:val="000000"/>
          <w:sz w:val="72"/>
          <w:szCs w:val="72"/>
        </w:rPr>
      </w:pPr>
      <w:bookmarkStart w:id="0" w:name="_Toc15306267"/>
    </w:p>
    <w:p w14:paraId="532D51D1">
      <w:pPr>
        <w:spacing w:line="600" w:lineRule="exact"/>
        <w:jc w:val="center"/>
        <w:outlineLvl w:val="0"/>
        <w:rPr>
          <w:rFonts w:ascii="方正小标宋简体" w:hAnsi="宋体" w:eastAsia="方正小标宋简体"/>
          <w:color w:val="000000"/>
          <w:sz w:val="72"/>
          <w:szCs w:val="72"/>
        </w:rPr>
      </w:pPr>
      <w:bookmarkStart w:id="69" w:name="_GoBack"/>
      <w:bookmarkEnd w:id="69"/>
    </w:p>
    <w:p w14:paraId="268B85CF">
      <w:pPr>
        <w:spacing w:line="600" w:lineRule="exact"/>
        <w:jc w:val="center"/>
        <w:outlineLvl w:val="0"/>
        <w:rPr>
          <w:rFonts w:ascii="方正小标宋简体" w:hAnsi="宋体" w:eastAsia="方正小标宋简体"/>
          <w:color w:val="000000"/>
          <w:sz w:val="72"/>
          <w:szCs w:val="72"/>
        </w:rPr>
      </w:pPr>
    </w:p>
    <w:p w14:paraId="413BE75D">
      <w:pPr>
        <w:spacing w:line="600" w:lineRule="exact"/>
        <w:jc w:val="center"/>
        <w:outlineLvl w:val="0"/>
        <w:rPr>
          <w:rFonts w:ascii="方正小标宋简体" w:hAnsi="宋体" w:eastAsia="方正小标宋简体"/>
          <w:color w:val="000000"/>
          <w:sz w:val="72"/>
          <w:szCs w:val="72"/>
        </w:rPr>
      </w:pPr>
    </w:p>
    <w:p w14:paraId="02B2753A">
      <w:pPr>
        <w:adjustRightInd w:val="0"/>
        <w:snapToGrid w:val="0"/>
        <w:spacing w:line="360" w:lineRule="auto"/>
        <w:jc w:val="center"/>
        <w:outlineLvl w:val="0"/>
        <w:rPr>
          <w:rFonts w:asciiTheme="majorEastAsia" w:hAnsiTheme="majorEastAsia" w:eastAsiaTheme="majorEastAsia"/>
          <w:color w:val="000000"/>
          <w:sz w:val="72"/>
          <w:szCs w:val="72"/>
        </w:rPr>
      </w:pPr>
      <w:bookmarkStart w:id="1" w:name="_Toc15396475"/>
      <w:bookmarkStart w:id="2" w:name="_Toc15396597"/>
      <w:bookmarkStart w:id="3" w:name="_Toc15378441"/>
      <w:bookmarkStart w:id="4" w:name="_Toc15377425"/>
      <w:bookmarkStart w:id="5" w:name="_Toc15377193"/>
      <w:r>
        <w:rPr>
          <w:rFonts w:asciiTheme="majorEastAsia" w:hAnsiTheme="majorEastAsia" w:eastAsiaTheme="majorEastAsia"/>
          <w:color w:val="000000"/>
          <w:sz w:val="72"/>
          <w:szCs w:val="72"/>
        </w:rPr>
        <w:t>2019</w:t>
      </w:r>
      <w:r>
        <w:rPr>
          <w:rFonts w:hint="eastAsia" w:asciiTheme="majorEastAsia" w:hAnsiTheme="majorEastAsia" w:eastAsiaTheme="majorEastAsia"/>
          <w:color w:val="000000"/>
          <w:sz w:val="72"/>
          <w:szCs w:val="72"/>
        </w:rPr>
        <w:t>年度</w:t>
      </w:r>
      <w:bookmarkEnd w:id="1"/>
      <w:bookmarkEnd w:id="2"/>
      <w:bookmarkEnd w:id="3"/>
      <w:bookmarkEnd w:id="4"/>
      <w:bookmarkEnd w:id="5"/>
    </w:p>
    <w:bookmarkEnd w:id="0"/>
    <w:p w14:paraId="642012BB">
      <w:pPr>
        <w:adjustRightInd w:val="0"/>
        <w:snapToGrid w:val="0"/>
        <w:spacing w:line="360" w:lineRule="auto"/>
        <w:jc w:val="center"/>
        <w:outlineLvl w:val="0"/>
        <w:rPr>
          <w:rFonts w:asciiTheme="majorEastAsia" w:hAnsiTheme="majorEastAsia" w:eastAsiaTheme="majorEastAsia"/>
          <w:color w:val="000000"/>
          <w:sz w:val="72"/>
          <w:szCs w:val="72"/>
        </w:rPr>
      </w:pPr>
      <w:bookmarkStart w:id="6" w:name="_Toc15377426"/>
      <w:bookmarkStart w:id="7" w:name="_Toc15396598"/>
      <w:bookmarkStart w:id="8" w:name="_Toc15396476"/>
      <w:bookmarkStart w:id="9" w:name="_Toc15378442"/>
      <w:bookmarkStart w:id="10" w:name="_Toc15377194"/>
      <w:bookmarkStart w:id="11" w:name="_Toc15306268"/>
      <w:r>
        <w:rPr>
          <w:rFonts w:hint="eastAsia" w:asciiTheme="majorEastAsia" w:hAnsiTheme="majorEastAsia" w:eastAsiaTheme="majorEastAsia"/>
          <w:color w:val="000000"/>
          <w:sz w:val="72"/>
          <w:szCs w:val="72"/>
        </w:rPr>
        <w:t>邻水县城乡居民社会养老保险局部门决算</w:t>
      </w:r>
      <w:bookmarkEnd w:id="6"/>
      <w:bookmarkEnd w:id="7"/>
      <w:bookmarkEnd w:id="8"/>
      <w:bookmarkEnd w:id="9"/>
      <w:bookmarkEnd w:id="10"/>
      <w:bookmarkEnd w:id="11"/>
    </w:p>
    <w:p w14:paraId="072C0002">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  录</w:t>
      </w:r>
    </w:p>
    <w:p w14:paraId="294A1FE4">
      <w:pPr>
        <w:widowControl/>
        <w:jc w:val="center"/>
        <w:rPr>
          <w:rFonts w:ascii="黑体" w:hAnsi="黑体" w:eastAsia="黑体" w:cs="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477C689D">
      <w:pPr>
        <w:pStyle w:val="10"/>
      </w:pPr>
      <w:r>
        <w:rPr>
          <w:rFonts w:hint="eastAsia"/>
        </w:rPr>
        <w:t>公开时间：2020年8月25日</w:t>
      </w:r>
    </w:p>
    <w:p w14:paraId="20409A84"/>
    <w:p w14:paraId="126BAA72">
      <w:pPr>
        <w:pStyle w:val="10"/>
        <w:rPr>
          <w:rFonts w:cs="黑体"/>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14:paraId="17E00185">
      <w:pPr>
        <w:pStyle w:val="11"/>
        <w:rPr>
          <w:rFonts w:ascii="仿宋" w:hAnsi="仿宋" w:eastAsia="仿宋" w:cs="黑体"/>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36DFA9DD">
      <w:pPr>
        <w:pStyle w:val="11"/>
        <w:rPr>
          <w:rFonts w:ascii="仿宋" w:hAnsi="仿宋" w:eastAsia="仿宋" w:cs="黑体"/>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end"/>
      </w:r>
      <w:r>
        <w:rPr>
          <w:rFonts w:ascii="仿宋" w:hAnsi="仿宋" w:eastAsia="仿宋"/>
          <w:sz w:val="28"/>
          <w:szCs w:val="28"/>
        </w:rPr>
        <w:fldChar w:fldCharType="end"/>
      </w:r>
      <w:r>
        <w:rPr>
          <w:rFonts w:hint="eastAsia"/>
        </w:rPr>
        <w:t>.4</w:t>
      </w:r>
    </w:p>
    <w:p w14:paraId="5988CBA1">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2019</w:t>
      </w:r>
      <w:r>
        <w:rPr>
          <w:rStyle w:val="15"/>
          <w:rFonts w:hint="eastAsia"/>
        </w:rPr>
        <w:t>年度部门决算情况说明</w:t>
      </w:r>
      <w:r>
        <w:tab/>
      </w:r>
      <w:r>
        <w:rPr>
          <w:rFonts w:hint="eastAsia"/>
        </w:rPr>
        <w:t>.5</w:t>
      </w:r>
      <w:r>
        <w:rPr>
          <w:rFonts w:hint="eastAsia"/>
        </w:rPr>
        <w:fldChar w:fldCharType="end"/>
      </w:r>
    </w:p>
    <w:p w14:paraId="4AFD54F0">
      <w:pPr>
        <w:pStyle w:val="11"/>
        <w:rPr>
          <w:rFonts w:ascii="仿宋" w:hAnsi="仿宋" w:eastAsia="仿宋" w:cs="黑体"/>
          <w:sz w:val="28"/>
          <w:szCs w:val="28"/>
        </w:rPr>
      </w:pPr>
      <w:r>
        <w:fldChar w:fldCharType="begin"/>
      </w:r>
      <w:r>
        <w:instrText xml:space="preserve"> HYPERLINK \l "_Toc15396603" </w:instrText>
      </w:r>
      <w:r>
        <w:fldChar w:fldCharType="separate"/>
      </w:r>
      <w:r>
        <w:rPr>
          <w:rStyle w:val="15"/>
          <w:rFonts w:hint="eastAsia" w:ascii="仿宋" w:hAnsi="仿宋" w:eastAsia="仿宋" w:cs="黑体"/>
          <w:bCs/>
          <w:sz w:val="28"/>
          <w:szCs w:val="28"/>
        </w:rPr>
        <w:t>一、</w:t>
      </w:r>
      <w:r>
        <w:rPr>
          <w:rStyle w:val="15"/>
          <w:rFonts w:hint="eastAsia" w:ascii="仿宋" w:hAnsi="仿宋" w:eastAsia="仿宋"/>
          <w:sz w:val="28"/>
          <w:szCs w:val="28"/>
        </w:rPr>
        <w:t>收</w:t>
      </w:r>
      <w:r>
        <w:rPr>
          <w:rStyle w:val="15"/>
          <w:rFonts w:hint="eastAsia" w:ascii="仿宋" w:hAnsi="仿宋" w:eastAsia="仿宋" w:cs="黑体"/>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5C32AB37">
      <w:pPr>
        <w:pStyle w:val="11"/>
        <w:rPr>
          <w:rFonts w:ascii="仿宋" w:hAnsi="仿宋" w:eastAsia="仿宋" w:cs="黑体"/>
          <w:sz w:val="28"/>
          <w:szCs w:val="28"/>
        </w:rPr>
      </w:pPr>
      <w:r>
        <w:fldChar w:fldCharType="begin"/>
      </w:r>
      <w:r>
        <w:instrText xml:space="preserve"> HYPERLINK \l "_Toc15396604" </w:instrText>
      </w:r>
      <w:r>
        <w:fldChar w:fldCharType="separate"/>
      </w:r>
      <w:r>
        <w:rPr>
          <w:rStyle w:val="15"/>
          <w:rFonts w:hint="eastAsia" w:ascii="仿宋" w:hAnsi="仿宋" w:eastAsia="仿宋" w:cs="黑体"/>
          <w:bCs/>
          <w:sz w:val="28"/>
          <w:szCs w:val="28"/>
        </w:rPr>
        <w:t>二、</w:t>
      </w:r>
      <w:r>
        <w:rPr>
          <w:rStyle w:val="15"/>
          <w:rFonts w:hint="eastAsia" w:ascii="仿宋" w:hAnsi="仿宋" w:eastAsia="仿宋"/>
          <w:sz w:val="28"/>
          <w:szCs w:val="28"/>
        </w:rPr>
        <w:t>收</w:t>
      </w:r>
      <w:r>
        <w:rPr>
          <w:rStyle w:val="15"/>
          <w:rFonts w:hint="eastAsia" w:ascii="仿宋" w:hAnsi="仿宋" w:eastAsia="仿宋" w:cs="黑体"/>
          <w:bCs/>
          <w:sz w:val="28"/>
          <w:szCs w:val="28"/>
        </w:rPr>
        <w:t>入决算情况说明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14:paraId="4178B35B">
      <w:pPr>
        <w:pStyle w:val="11"/>
        <w:rPr>
          <w:rFonts w:ascii="仿宋" w:hAnsi="仿宋" w:eastAsia="仿宋" w:cs="黑体"/>
          <w:sz w:val="28"/>
          <w:szCs w:val="28"/>
        </w:rPr>
      </w:pPr>
      <w:r>
        <w:fldChar w:fldCharType="begin"/>
      </w:r>
      <w:r>
        <w:instrText xml:space="preserve"> HYPERLINK \l "_Toc15396605" </w:instrText>
      </w:r>
      <w:r>
        <w:fldChar w:fldCharType="separate"/>
      </w:r>
      <w:r>
        <w:rPr>
          <w:rStyle w:val="15"/>
          <w:rFonts w:hint="eastAsia" w:ascii="仿宋" w:hAnsi="仿宋" w:eastAsia="仿宋" w:cs="黑体"/>
          <w:bCs/>
          <w:sz w:val="28"/>
          <w:szCs w:val="28"/>
        </w:rPr>
        <w:t>三、</w:t>
      </w:r>
      <w:r>
        <w:rPr>
          <w:rStyle w:val="15"/>
          <w:rFonts w:hint="eastAsia" w:ascii="仿宋" w:hAnsi="仿宋" w:eastAsia="仿宋"/>
          <w:sz w:val="28"/>
          <w:szCs w:val="28"/>
        </w:rPr>
        <w:t>支</w:t>
      </w:r>
      <w:r>
        <w:rPr>
          <w:rStyle w:val="15"/>
          <w:rFonts w:hint="eastAsia" w:ascii="仿宋" w:hAnsi="仿宋" w:eastAsia="仿宋" w:cs="黑体"/>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7C5A5288">
      <w:pPr>
        <w:pStyle w:val="11"/>
        <w:rPr>
          <w:rFonts w:ascii="仿宋" w:hAnsi="仿宋" w:eastAsia="仿宋" w:cs="黑体"/>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黑体"/>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14:paraId="630702EB">
      <w:pPr>
        <w:pStyle w:val="11"/>
        <w:rPr>
          <w:rFonts w:ascii="仿宋" w:hAnsi="仿宋" w:eastAsia="仿宋" w:cs="黑体"/>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黑体"/>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8</w:t>
      </w:r>
      <w:r>
        <w:rPr>
          <w:rFonts w:hint="eastAsia" w:ascii="仿宋" w:hAnsi="仿宋" w:eastAsia="仿宋"/>
          <w:sz w:val="28"/>
          <w:szCs w:val="28"/>
        </w:rPr>
        <w:fldChar w:fldCharType="end"/>
      </w:r>
    </w:p>
    <w:p w14:paraId="5FECC3C9">
      <w:pPr>
        <w:pStyle w:val="11"/>
        <w:rPr>
          <w:rFonts w:ascii="仿宋" w:hAnsi="仿宋" w:eastAsia="仿宋" w:cs="黑体"/>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黑体"/>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11</w:t>
      </w:r>
      <w:r>
        <w:rPr>
          <w:rFonts w:hint="eastAsia" w:ascii="仿宋" w:hAnsi="仿宋" w:eastAsia="仿宋"/>
          <w:sz w:val="28"/>
          <w:szCs w:val="28"/>
        </w:rPr>
        <w:fldChar w:fldCharType="end"/>
      </w:r>
    </w:p>
    <w:p w14:paraId="11DA7DA0">
      <w:pPr>
        <w:pStyle w:val="11"/>
        <w:rPr>
          <w:rFonts w:ascii="仿宋" w:hAnsi="仿宋" w:eastAsia="仿宋" w:cs="黑体"/>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黑体"/>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11</w:t>
      </w:r>
      <w:r>
        <w:rPr>
          <w:rFonts w:hint="eastAsia" w:ascii="仿宋" w:hAnsi="仿宋" w:eastAsia="仿宋"/>
          <w:sz w:val="28"/>
          <w:szCs w:val="28"/>
        </w:rPr>
        <w:fldChar w:fldCharType="end"/>
      </w:r>
    </w:p>
    <w:p w14:paraId="5576C49A">
      <w:pPr>
        <w:pStyle w:val="11"/>
        <w:rPr>
          <w:rFonts w:ascii="仿宋" w:hAnsi="仿宋" w:eastAsia="仿宋" w:cs="黑体"/>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黑体"/>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rPr>
        <w:t>12</w:t>
      </w:r>
      <w:r>
        <w:rPr>
          <w:rFonts w:hint="eastAsia" w:ascii="仿宋" w:hAnsi="仿宋" w:eastAsia="仿宋"/>
          <w:sz w:val="28"/>
          <w:szCs w:val="28"/>
        </w:rPr>
        <w:fldChar w:fldCharType="end"/>
      </w:r>
    </w:p>
    <w:p w14:paraId="757D044A">
      <w:pPr>
        <w:pStyle w:val="11"/>
        <w:rPr>
          <w:rFonts w:ascii="仿宋" w:hAnsi="仿宋" w:eastAsia="仿宋" w:cs="黑体"/>
          <w:sz w:val="28"/>
          <w:szCs w:val="28"/>
        </w:rPr>
      </w:pPr>
      <w:r>
        <w:fldChar w:fldCharType="begin"/>
      </w:r>
      <w:r>
        <w:instrText xml:space="preserve"> HYPERLINK \l "_Toc15396611" </w:instrText>
      </w:r>
      <w:r>
        <w:fldChar w:fldCharType="separate"/>
      </w:r>
      <w:r>
        <w:rPr>
          <w:rStyle w:val="15"/>
          <w:rFonts w:hint="eastAsia" w:ascii="仿宋" w:hAnsi="仿宋" w:eastAsia="仿宋" w:cs="黑体"/>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黑体"/>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rPr>
        <w:t>12</w:t>
      </w:r>
      <w:r>
        <w:rPr>
          <w:rFonts w:hint="eastAsia" w:ascii="仿宋" w:hAnsi="仿宋" w:eastAsia="仿宋"/>
          <w:sz w:val="28"/>
          <w:szCs w:val="28"/>
        </w:rPr>
        <w:fldChar w:fldCharType="end"/>
      </w:r>
    </w:p>
    <w:p w14:paraId="62B70BD7">
      <w:pPr>
        <w:pStyle w:val="11"/>
        <w:rPr>
          <w:rFonts w:ascii="仿宋" w:hAnsi="仿宋" w:eastAsia="仿宋"/>
          <w:sz w:val="28"/>
          <w:szCs w:val="28"/>
        </w:rPr>
      </w:pPr>
      <w:r>
        <w:rPr>
          <w:rFonts w:hint="eastAsia" w:ascii="仿宋" w:hAnsi="仿宋" w:eastAsia="仿宋"/>
          <w:sz w:val="28"/>
          <w:szCs w:val="28"/>
        </w:rPr>
        <w:t>十、预算绩效情况说明</w:t>
      </w:r>
      <w:r>
        <w:rPr>
          <w:rFonts w:ascii="仿宋" w:hAnsi="仿宋" w:eastAsia="仿宋"/>
          <w:sz w:val="28"/>
          <w:szCs w:val="28"/>
        </w:rPr>
        <w:t>…………………………………………</w:t>
      </w:r>
      <w:r>
        <w:rPr>
          <w:rFonts w:hint="eastAsia" w:ascii="仿宋" w:hAnsi="仿宋" w:eastAsia="仿宋"/>
          <w:sz w:val="28"/>
          <w:szCs w:val="28"/>
        </w:rPr>
        <w:t>. 12</w:t>
      </w:r>
    </w:p>
    <w:p w14:paraId="7400D7E3">
      <w:pPr>
        <w:pStyle w:val="11"/>
        <w:rPr>
          <w:rFonts w:ascii="仿宋" w:hAnsi="仿宋" w:eastAsia="仿宋" w:cs="黑体"/>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黑体"/>
          <w:bCs/>
          <w:sz w:val="28"/>
          <w:szCs w:val="28"/>
        </w:rPr>
        <w:t>一、其他重要事项的情况说明</w:t>
      </w:r>
      <w:r>
        <w:rPr>
          <w:rFonts w:ascii="仿宋" w:hAnsi="仿宋" w:eastAsia="仿宋"/>
          <w:sz w:val="28"/>
          <w:szCs w:val="28"/>
        </w:rPr>
        <w:tab/>
      </w:r>
      <w:r>
        <w:rPr>
          <w:rFonts w:hint="eastAsia" w:ascii="仿宋" w:hAnsi="仿宋" w:eastAsia="仿宋"/>
          <w:sz w:val="28"/>
          <w:szCs w:val="28"/>
        </w:rPr>
        <w:t>17</w:t>
      </w:r>
      <w:r>
        <w:rPr>
          <w:rFonts w:hint="eastAsia" w:ascii="仿宋" w:hAnsi="仿宋" w:eastAsia="仿宋"/>
          <w:sz w:val="28"/>
          <w:szCs w:val="28"/>
        </w:rPr>
        <w:fldChar w:fldCharType="end"/>
      </w:r>
    </w:p>
    <w:p w14:paraId="2B6E69DC">
      <w:pPr>
        <w:pStyle w:val="10"/>
        <w:rPr>
          <w:rFonts w:cs="黑体"/>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rPr>
        <w:t>18</w:t>
      </w:r>
      <w:r>
        <w:rPr>
          <w:rFonts w:hint="eastAsia"/>
        </w:rPr>
        <w:fldChar w:fldCharType="end"/>
      </w:r>
    </w:p>
    <w:p w14:paraId="0F763347">
      <w:pPr>
        <w:pStyle w:val="10"/>
        <w:rPr>
          <w:rFonts w:cs="黑体"/>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rPr>
          <w:rFonts w:hint="eastAsia"/>
        </w:rPr>
        <w:t>20</w:t>
      </w:r>
      <w:r>
        <w:fldChar w:fldCharType="end"/>
      </w:r>
      <w:r>
        <w:fldChar w:fldCharType="end"/>
      </w:r>
    </w:p>
    <w:p w14:paraId="1D715E38">
      <w:pPr>
        <w:pStyle w:val="10"/>
        <w:rPr>
          <w:rFonts w:cs="黑体"/>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rPr>
          <w:rFonts w:hint="eastAsia"/>
        </w:rPr>
        <w:t>25</w:t>
      </w:r>
      <w:r>
        <w:rPr>
          <w:rFonts w:hint="eastAsia"/>
        </w:rPr>
        <w:fldChar w:fldCharType="end"/>
      </w:r>
    </w:p>
    <w:p w14:paraId="0536C452">
      <w:pPr>
        <w:pStyle w:val="11"/>
        <w:rPr>
          <w:rFonts w:ascii="仿宋" w:hAnsi="仿宋" w:eastAsia="仿宋" w:cs="黑体"/>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789B115A">
      <w:pPr>
        <w:pStyle w:val="11"/>
        <w:rPr>
          <w:rFonts w:ascii="仿宋" w:hAnsi="仿宋" w:eastAsia="仿宋" w:cs="黑体"/>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252BB3D9">
      <w:pPr>
        <w:pStyle w:val="11"/>
        <w:rPr>
          <w:rFonts w:ascii="仿宋" w:hAnsi="仿宋" w:eastAsia="仿宋" w:cs="黑体"/>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24E14AC6">
      <w:pPr>
        <w:pStyle w:val="11"/>
        <w:rPr>
          <w:rFonts w:ascii="仿宋" w:hAnsi="仿宋" w:eastAsia="仿宋" w:cs="黑体"/>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4D968E2B">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end"/>
      </w:r>
      <w:r>
        <w:rPr>
          <w:rFonts w:hint="eastAsia"/>
          <w:sz w:val="28"/>
          <w:szCs w:val="28"/>
        </w:rPr>
        <w:t>23</w:t>
      </w:r>
    </w:p>
    <w:p w14:paraId="7CFCF269">
      <w:pPr>
        <w:pStyle w:val="11"/>
        <w:rPr>
          <w:rFonts w:ascii="仿宋" w:hAnsi="仿宋" w:eastAsia="仿宋" w:cs="黑体"/>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305AD421">
      <w:pPr>
        <w:pStyle w:val="11"/>
        <w:rPr>
          <w:rFonts w:ascii="仿宋" w:hAnsi="仿宋" w:eastAsia="仿宋" w:cs="黑体"/>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7E384C0F">
      <w:pPr>
        <w:pStyle w:val="11"/>
        <w:rPr>
          <w:rFonts w:ascii="仿宋" w:hAnsi="仿宋" w:eastAsia="仿宋" w:cs="黑体"/>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5B6D0BFE">
      <w:pPr>
        <w:pStyle w:val="11"/>
        <w:rPr>
          <w:rFonts w:ascii="仿宋" w:hAnsi="仿宋" w:eastAsia="仿宋" w:cs="黑体"/>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1C1E5B5C">
      <w:pPr>
        <w:pStyle w:val="11"/>
        <w:rPr>
          <w:rFonts w:ascii="仿宋" w:hAnsi="仿宋" w:eastAsia="仿宋" w:cs="黑体"/>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23</w:t>
      </w:r>
      <w:r>
        <w:rPr>
          <w:rFonts w:hint="eastAsia" w:ascii="仿宋" w:hAnsi="仿宋" w:eastAsia="仿宋"/>
          <w:sz w:val="28"/>
          <w:szCs w:val="28"/>
        </w:rPr>
        <w:fldChar w:fldCharType="end"/>
      </w:r>
    </w:p>
    <w:p w14:paraId="0EF77522">
      <w:pPr>
        <w:pStyle w:val="11"/>
        <w:rPr>
          <w:rFonts w:ascii="仿宋" w:hAnsi="仿宋" w:eastAsia="仿宋" w:cs="黑体"/>
          <w:sz w:val="28"/>
          <w:szCs w:val="28"/>
        </w:rPr>
      </w:pPr>
      <w:r>
        <w:rPr>
          <w:rFonts w:ascii="仿宋" w:hAnsi="仿宋" w:eastAsia="仿宋"/>
          <w:color w:val="000000"/>
          <w:sz w:val="24"/>
        </w:rPr>
        <w:fldChar w:fldCharType="end"/>
      </w:r>
      <w:bookmarkStart w:id="12" w:name="_Toc15377196"/>
      <w:bookmarkStart w:id="13" w:name="_Toc15396599"/>
      <w:r>
        <w:rPr>
          <w:rFonts w:hint="eastAsia" w:ascii="仿宋" w:hAnsi="仿宋" w:eastAsia="仿宋"/>
          <w:sz w:val="28"/>
          <w:szCs w:val="28"/>
        </w:rPr>
        <w:t>十一、</w:t>
      </w:r>
      <w:r>
        <w:fldChar w:fldCharType="begin"/>
      </w:r>
      <w:r>
        <w:instrText xml:space="preserve"> HYPERLINK "file:///F:\\决算东东\\2018\\2018年部门决算\\居保局-2018年决算公开资料\\邻水县城乡居民社会养老保险局--2018年部门决算编制说明.docx" \l "_Toc15396628" </w:instrText>
      </w:r>
      <w:r>
        <w:fldChar w:fldCharType="separate"/>
      </w:r>
      <w:r>
        <w:rPr>
          <w:rStyle w:val="15"/>
          <w:rFonts w:hint="eastAsia" w:ascii="仿宋" w:hAnsi="仿宋" w:eastAsia="仿宋"/>
          <w:color w:val="auto"/>
          <w:sz w:val="28"/>
          <w:szCs w:val="28"/>
          <w:u w:val="none"/>
        </w:rPr>
        <w:t>政府性基金预算财政拨款收入支出决算表</w:t>
      </w:r>
      <w:r>
        <w:rPr>
          <w:rStyle w:val="15"/>
          <w:rFonts w:hint="eastAsia" w:ascii="仿宋" w:hAnsi="仿宋" w:eastAsia="仿宋"/>
          <w:color w:val="auto"/>
          <w:sz w:val="28"/>
          <w:szCs w:val="28"/>
          <w:u w:val="none"/>
        </w:rPr>
        <w:tab/>
      </w:r>
      <w:r>
        <w:rPr>
          <w:rStyle w:val="15"/>
          <w:rFonts w:hint="eastAsia" w:ascii="仿宋" w:hAnsi="仿宋" w:eastAsia="仿宋"/>
          <w:color w:val="auto"/>
          <w:sz w:val="28"/>
          <w:szCs w:val="28"/>
          <w:u w:val="none"/>
        </w:rPr>
        <w:t>24</w:t>
      </w:r>
      <w:r>
        <w:rPr>
          <w:rStyle w:val="15"/>
          <w:rFonts w:hint="eastAsia" w:ascii="仿宋" w:hAnsi="仿宋" w:eastAsia="仿宋"/>
          <w:color w:val="auto"/>
          <w:sz w:val="28"/>
          <w:szCs w:val="28"/>
          <w:u w:val="none"/>
        </w:rPr>
        <w:fldChar w:fldCharType="end"/>
      </w:r>
    </w:p>
    <w:p w14:paraId="60CE8C98">
      <w:pPr>
        <w:pStyle w:val="11"/>
        <w:rPr>
          <w:rFonts w:ascii="仿宋" w:hAnsi="仿宋" w:eastAsia="仿宋" w:cs="黑体"/>
          <w:sz w:val="28"/>
          <w:szCs w:val="28"/>
        </w:rPr>
      </w:pPr>
      <w:r>
        <w:rPr>
          <w:rFonts w:hint="eastAsia" w:ascii="仿宋" w:hAnsi="仿宋" w:eastAsia="仿宋"/>
          <w:sz w:val="28"/>
          <w:szCs w:val="28"/>
        </w:rPr>
        <w:t>十二、</w:t>
      </w:r>
      <w:r>
        <w:fldChar w:fldCharType="begin"/>
      </w:r>
      <w:r>
        <w:instrText xml:space="preserve"> HYPERLINK "file:///F:\\决算东东\\2018\\2018年部门决算\\居保局-2018年决算公开资料\\邻水县城乡居民社会养老保险局--2018年部门决算编制说明.docx" \l "_Toc15396628" </w:instrText>
      </w:r>
      <w:r>
        <w:fldChar w:fldCharType="separate"/>
      </w:r>
      <w:r>
        <w:rPr>
          <w:rStyle w:val="15"/>
          <w:rFonts w:hint="eastAsia" w:ascii="仿宋" w:hAnsi="仿宋" w:eastAsia="仿宋"/>
          <w:color w:val="auto"/>
          <w:sz w:val="28"/>
          <w:szCs w:val="28"/>
          <w:u w:val="none"/>
        </w:rPr>
        <w:t>政府性基金预算财政拨款“三公”经费支出决算表</w:t>
      </w:r>
      <w:r>
        <w:rPr>
          <w:rStyle w:val="15"/>
          <w:rFonts w:hint="eastAsia" w:ascii="仿宋" w:hAnsi="仿宋" w:eastAsia="仿宋"/>
          <w:color w:val="auto"/>
          <w:sz w:val="28"/>
          <w:szCs w:val="28"/>
          <w:u w:val="none"/>
        </w:rPr>
        <w:tab/>
      </w:r>
      <w:r>
        <w:rPr>
          <w:rStyle w:val="15"/>
          <w:rFonts w:hint="eastAsia" w:ascii="仿宋" w:hAnsi="仿宋" w:eastAsia="仿宋"/>
          <w:color w:val="auto"/>
          <w:sz w:val="28"/>
          <w:szCs w:val="28"/>
          <w:u w:val="none"/>
        </w:rPr>
        <w:t>24</w:t>
      </w:r>
      <w:r>
        <w:rPr>
          <w:rStyle w:val="15"/>
          <w:rFonts w:hint="eastAsia" w:ascii="仿宋" w:hAnsi="仿宋" w:eastAsia="仿宋"/>
          <w:color w:val="auto"/>
          <w:sz w:val="28"/>
          <w:szCs w:val="28"/>
          <w:u w:val="none"/>
        </w:rPr>
        <w:fldChar w:fldCharType="end"/>
      </w:r>
    </w:p>
    <w:p w14:paraId="1F55F8D7">
      <w:pPr>
        <w:pStyle w:val="11"/>
        <w:rPr>
          <w:rFonts w:ascii="仿宋" w:hAnsi="仿宋" w:eastAsia="仿宋" w:cs="黑体"/>
          <w:sz w:val="28"/>
          <w:szCs w:val="28"/>
        </w:rPr>
      </w:pPr>
      <w:r>
        <w:rPr>
          <w:rFonts w:hint="eastAsia" w:ascii="仿宋" w:hAnsi="仿宋" w:eastAsia="仿宋"/>
          <w:sz w:val="28"/>
          <w:szCs w:val="28"/>
        </w:rPr>
        <w:t>十三、</w:t>
      </w:r>
      <w:r>
        <w:fldChar w:fldCharType="begin"/>
      </w:r>
      <w:r>
        <w:instrText xml:space="preserve"> HYPERLINK "file:///F:\\决算东东\\2018\\2018年部门决算\\居保局-2018年决算公开资料\\邻水县城乡居民社会养老保险局--2018年部门决算编制说明.docx" \l "_Toc15396628" </w:instrText>
      </w:r>
      <w:r>
        <w:fldChar w:fldCharType="separate"/>
      </w:r>
      <w:r>
        <w:rPr>
          <w:rStyle w:val="15"/>
          <w:rFonts w:hint="eastAsia" w:ascii="仿宋" w:hAnsi="仿宋" w:eastAsia="仿宋"/>
          <w:color w:val="auto"/>
          <w:sz w:val="28"/>
          <w:szCs w:val="28"/>
          <w:u w:val="none"/>
        </w:rPr>
        <w:t>国有资本经营预算支出决算表</w:t>
      </w:r>
      <w:r>
        <w:rPr>
          <w:rStyle w:val="15"/>
          <w:rFonts w:hint="eastAsia" w:ascii="仿宋" w:hAnsi="仿宋" w:eastAsia="仿宋"/>
          <w:color w:val="auto"/>
          <w:sz w:val="28"/>
          <w:szCs w:val="28"/>
          <w:u w:val="none"/>
        </w:rPr>
        <w:tab/>
      </w:r>
      <w:r>
        <w:rPr>
          <w:rStyle w:val="15"/>
          <w:rFonts w:hint="eastAsia" w:ascii="仿宋" w:hAnsi="仿宋" w:eastAsia="仿宋"/>
          <w:color w:val="auto"/>
          <w:sz w:val="28"/>
          <w:szCs w:val="28"/>
          <w:u w:val="none"/>
        </w:rPr>
        <w:t>24</w:t>
      </w:r>
      <w:r>
        <w:rPr>
          <w:rStyle w:val="15"/>
          <w:rFonts w:hint="eastAsia" w:ascii="仿宋" w:hAnsi="仿宋" w:eastAsia="仿宋"/>
          <w:color w:val="auto"/>
          <w:sz w:val="28"/>
          <w:szCs w:val="28"/>
          <w:u w:val="none"/>
        </w:rPr>
        <w:fldChar w:fldCharType="end"/>
      </w:r>
    </w:p>
    <w:p w14:paraId="647821DB">
      <w:pPr>
        <w:widowControl/>
        <w:jc w:val="center"/>
        <w:rPr>
          <w:rStyle w:val="16"/>
          <w:rFonts w:ascii="仿宋" w:hAnsi="仿宋" w:eastAsia="仿宋"/>
          <w:b w:val="0"/>
          <w:bCs w:val="0"/>
          <w:color w:val="000000"/>
        </w:rPr>
      </w:pPr>
      <w:r>
        <w:rPr>
          <w:rFonts w:ascii="黑体" w:hAnsi="黑体" w:eastAsia="黑体"/>
        </w:rPr>
        <w:br w:type="page"/>
      </w:r>
      <w:bookmarkEnd w:id="12"/>
      <w:bookmarkEnd w:id="13"/>
      <w:bookmarkStart w:id="14" w:name="_Toc15377197"/>
      <w:bookmarkStart w:id="15" w:name="_Toc15396600"/>
      <w:r>
        <w:rPr>
          <w:rFonts w:hint="eastAsia" w:ascii="仿宋" w:hAnsi="仿宋" w:eastAsia="仿宋"/>
          <w:sz w:val="44"/>
          <w:szCs w:val="44"/>
        </w:rPr>
        <w:t xml:space="preserve">第一部分 </w:t>
      </w:r>
      <w:r>
        <w:rPr>
          <w:rStyle w:val="16"/>
          <w:rFonts w:hint="eastAsia" w:ascii="仿宋" w:hAnsi="仿宋" w:eastAsia="仿宋"/>
        </w:rPr>
        <w:t>部门概况</w:t>
      </w:r>
    </w:p>
    <w:p w14:paraId="409AB3F4">
      <w:pPr>
        <w:widowControl/>
        <w:jc w:val="left"/>
        <w:rPr>
          <w:rFonts w:ascii="仿宋" w:hAnsi="仿宋" w:eastAsia="仿宋"/>
          <w:b/>
        </w:rPr>
      </w:pPr>
    </w:p>
    <w:p w14:paraId="61B15415">
      <w:pPr>
        <w:widowControl/>
        <w:ind w:firstLine="643" w:firstLineChars="200"/>
        <w:jc w:val="left"/>
        <w:rPr>
          <w:rStyle w:val="17"/>
          <w:rFonts w:ascii="仿宋" w:hAnsi="仿宋" w:eastAsia="仿宋"/>
          <w:b w:val="0"/>
          <w:kern w:val="44"/>
          <w:sz w:val="44"/>
          <w:szCs w:val="44"/>
        </w:rPr>
      </w:pPr>
      <w:r>
        <w:rPr>
          <w:rStyle w:val="17"/>
          <w:rFonts w:hint="eastAsia" w:ascii="仿宋" w:hAnsi="仿宋" w:eastAsia="仿宋"/>
        </w:rPr>
        <w:t>一、基本职能及主要工作</w:t>
      </w:r>
      <w:bookmarkEnd w:id="14"/>
      <w:bookmarkEnd w:id="15"/>
    </w:p>
    <w:p w14:paraId="4391B5B3">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14:paraId="043A1CC0">
      <w:pPr>
        <w:pStyle w:val="5"/>
        <w:adjustRightInd w:val="0"/>
        <w:snapToGrid w:val="0"/>
        <w:spacing w:before="93" w:line="580" w:lineRule="exact"/>
        <w:ind w:firstLine="672" w:firstLineChars="210"/>
        <w:rPr>
          <w:rFonts w:ascii="仿宋" w:hAnsi="仿宋" w:eastAsia="仿宋"/>
          <w:bCs/>
          <w:sz w:val="32"/>
          <w:szCs w:val="32"/>
        </w:rPr>
      </w:pPr>
      <w:r>
        <w:rPr>
          <w:rFonts w:hint="eastAsia" w:ascii="仿宋" w:hAnsi="仿宋" w:eastAsia="仿宋"/>
          <w:sz w:val="32"/>
          <w:szCs w:val="32"/>
        </w:rPr>
        <w:t>城乡居民社会养老保险局是按照全省统一的业务规范具体办理和管理各项新型农村养老保险经办业务，除办理少数零星缴费业务外，主要承担后台管理，并对乡镇服务中心进行业务管理和监督考核，对乡镇</w:t>
      </w:r>
      <w:r>
        <w:rPr>
          <w:rFonts w:hint="eastAsia" w:ascii="仿宋" w:hAnsi="仿宋" w:eastAsia="仿宋"/>
          <w:sz w:val="32"/>
          <w:szCs w:val="32"/>
          <w:lang w:eastAsia="zh-CN"/>
        </w:rPr>
        <w:t>服务</w:t>
      </w:r>
      <w:r>
        <w:rPr>
          <w:rFonts w:hint="eastAsia" w:ascii="仿宋" w:hAnsi="仿宋" w:eastAsia="仿宋"/>
          <w:sz w:val="32"/>
          <w:szCs w:val="32"/>
        </w:rPr>
        <w:t>中心经办人员和村协办员进行业务培训。</w:t>
      </w:r>
    </w:p>
    <w:p w14:paraId="18F3DBBE">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2019</w:t>
      </w:r>
      <w:r>
        <w:rPr>
          <w:rFonts w:hint="eastAsia" w:ascii="仿宋" w:hAnsi="仿宋" w:eastAsia="仿宋"/>
          <w:bCs/>
          <w:color w:val="000000"/>
          <w:sz w:val="32"/>
          <w:szCs w:val="32"/>
        </w:rPr>
        <w:t>年重点工作完成情况。</w:t>
      </w:r>
      <w:bookmarkEnd w:id="18"/>
      <w:bookmarkEnd w:id="19"/>
    </w:p>
    <w:p w14:paraId="1BA4008A">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cs="宋体"/>
          <w:color w:val="000000"/>
          <w:sz w:val="32"/>
          <w:szCs w:val="32"/>
        </w:rPr>
        <w:t>2019年，我县城乡居民社会养老保险工作在省财政厅、省人社厅的关心指导下，在县委县政府的正确领导下，完成</w:t>
      </w:r>
      <w:r>
        <w:rPr>
          <w:rFonts w:hint="eastAsia" w:ascii="仿宋" w:hAnsi="仿宋" w:eastAsia="仿宋" w:cs="宋体"/>
          <w:sz w:val="32"/>
          <w:szCs w:val="32"/>
        </w:rPr>
        <w:t>参保人数为395007人，其中退休人员138468人，60岁以下参保人数为256539人，收取保费</w:t>
      </w:r>
      <w:r>
        <w:rPr>
          <w:rFonts w:hint="eastAsia" w:ascii="仿宋" w:hAnsi="仿宋" w:eastAsia="仿宋"/>
          <w:sz w:val="32"/>
          <w:szCs w:val="32"/>
        </w:rPr>
        <w:t>4797.79万元，发放基础养老金16887.49万元。超额完成市县下达 的各项目标任务。</w:t>
      </w:r>
    </w:p>
    <w:p w14:paraId="2A7DEE87">
      <w:pPr>
        <w:pStyle w:val="5"/>
        <w:adjustRightInd w:val="0"/>
        <w:snapToGrid w:val="0"/>
        <w:spacing w:before="93" w:line="600" w:lineRule="exact"/>
        <w:ind w:firstLine="640" w:firstLineChars="200"/>
        <w:outlineLvl w:val="2"/>
        <w:rPr>
          <w:rFonts w:ascii="仿宋" w:hAnsi="仿宋" w:eastAsia="仿宋"/>
          <w:bCs/>
          <w:color w:val="000000"/>
          <w:sz w:val="32"/>
          <w:szCs w:val="32"/>
        </w:rPr>
      </w:pPr>
      <w:r>
        <w:rPr>
          <w:rFonts w:hint="eastAsia" w:ascii="仿宋" w:hAnsi="仿宋" w:eastAsia="仿宋"/>
          <w:sz w:val="32"/>
          <w:szCs w:val="32"/>
        </w:rPr>
        <w:t>二、机构设置</w:t>
      </w:r>
    </w:p>
    <w:p w14:paraId="5383B398">
      <w:pPr>
        <w:pStyle w:val="5"/>
        <w:adjustRightInd w:val="0"/>
        <w:snapToGrid w:val="0"/>
        <w:spacing w:before="93" w:line="580" w:lineRule="exact"/>
        <w:ind w:firstLine="672" w:firstLineChars="210"/>
        <w:rPr>
          <w:rFonts w:ascii="仿宋" w:hAnsi="仿宋" w:eastAsia="仿宋"/>
          <w:color w:val="000000"/>
          <w:sz w:val="32"/>
          <w:szCs w:val="32"/>
        </w:rPr>
      </w:pPr>
      <w:r>
        <w:rPr>
          <w:rFonts w:hint="eastAsia" w:ascii="仿宋" w:hAnsi="仿宋" w:eastAsia="仿宋"/>
          <w:sz w:val="32"/>
          <w:szCs w:val="32"/>
        </w:rPr>
        <w:t>城乡居民社会养老保险局</w:t>
      </w:r>
      <w:r>
        <w:rPr>
          <w:rFonts w:hint="eastAsia" w:ascii="仿宋" w:hAnsi="仿宋" w:eastAsia="仿宋"/>
          <w:color w:val="000000"/>
          <w:sz w:val="32"/>
          <w:szCs w:val="32"/>
        </w:rPr>
        <w:t>属于事业单位，内设4个股室和1个办公室，编制16个，在职实有人员16人。</w:t>
      </w:r>
    </w:p>
    <w:p w14:paraId="0842C7F5">
      <w:pPr>
        <w:widowControl/>
        <w:jc w:val="left"/>
        <w:rPr>
          <w:rFonts w:ascii="仿宋" w:hAnsi="仿宋" w:eastAsia="仿宋"/>
          <w:color w:val="000000"/>
          <w:kern w:val="0"/>
          <w:sz w:val="32"/>
          <w:szCs w:val="32"/>
        </w:rPr>
      </w:pPr>
    </w:p>
    <w:p w14:paraId="2DEB88EA">
      <w:pPr>
        <w:rPr>
          <w:rFonts w:ascii="仿宋" w:hAnsi="仿宋" w:eastAsia="仿宋"/>
        </w:rPr>
      </w:pPr>
    </w:p>
    <w:p w14:paraId="32C04876">
      <w:pPr>
        <w:rPr>
          <w:rFonts w:ascii="仿宋" w:hAnsi="仿宋" w:eastAsia="仿宋"/>
        </w:rPr>
      </w:pPr>
    </w:p>
    <w:p w14:paraId="4F7B5F87">
      <w:pPr>
        <w:rPr>
          <w:rFonts w:ascii="仿宋" w:hAnsi="仿宋" w:eastAsia="仿宋"/>
        </w:rPr>
      </w:pPr>
    </w:p>
    <w:p w14:paraId="54C6B0B3">
      <w:pPr>
        <w:jc w:val="right"/>
        <w:rPr>
          <w:rFonts w:ascii="仿宋" w:hAnsi="仿宋" w:eastAsia="仿宋"/>
          <w:sz w:val="44"/>
          <w:szCs w:val="44"/>
        </w:rPr>
      </w:pPr>
    </w:p>
    <w:p w14:paraId="7E3F49FB">
      <w:pPr>
        <w:jc w:val="right"/>
        <w:rPr>
          <w:rFonts w:ascii="仿宋" w:hAnsi="仿宋" w:eastAsia="仿宋"/>
          <w:sz w:val="44"/>
          <w:szCs w:val="44"/>
        </w:rPr>
      </w:pPr>
      <w:r>
        <w:rPr>
          <w:rFonts w:hint="eastAsia" w:ascii="仿宋" w:hAnsi="仿宋" w:eastAsia="仿宋"/>
          <w:sz w:val="44"/>
          <w:szCs w:val="44"/>
        </w:rPr>
        <w:t>第二部分  2019年度部门决算情况说明</w:t>
      </w:r>
    </w:p>
    <w:p w14:paraId="760F4E69">
      <w:pPr>
        <w:pStyle w:val="24"/>
        <w:spacing w:line="600" w:lineRule="exact"/>
        <w:ind w:left="143" w:leftChars="68" w:firstLine="640"/>
        <w:outlineLvl w:val="1"/>
        <w:rPr>
          <w:rFonts w:ascii="仿宋" w:hAnsi="仿宋" w:eastAsia="仿宋"/>
          <w:color w:val="000000"/>
          <w:sz w:val="32"/>
          <w:szCs w:val="32"/>
        </w:rPr>
      </w:pPr>
    </w:p>
    <w:p w14:paraId="53B8A7E8">
      <w:pPr>
        <w:pStyle w:val="24"/>
        <w:spacing w:line="600" w:lineRule="exact"/>
        <w:ind w:left="143" w:leftChars="68" w:firstLine="640"/>
        <w:outlineLvl w:val="1"/>
        <w:rPr>
          <w:rStyle w:val="17"/>
          <w:rFonts w:ascii="仿宋" w:hAnsi="仿宋" w:eastAsia="仿宋"/>
          <w:b w:val="0"/>
        </w:rPr>
      </w:pPr>
      <w:r>
        <w:rPr>
          <w:rFonts w:hint="eastAsia" w:ascii="仿宋" w:hAnsi="仿宋" w:eastAsia="仿宋"/>
          <w:color w:val="000000"/>
          <w:sz w:val="32"/>
          <w:szCs w:val="32"/>
        </w:rPr>
        <w:t>一、</w:t>
      </w:r>
      <w:bookmarkStart w:id="20" w:name="_Toc15396603"/>
      <w:bookmarkStart w:id="21" w:name="_Toc15377205"/>
      <w:r>
        <w:rPr>
          <w:rFonts w:hint="eastAsia" w:ascii="仿宋" w:hAnsi="仿宋" w:eastAsia="仿宋"/>
          <w:color w:val="000000"/>
          <w:sz w:val="32"/>
          <w:szCs w:val="32"/>
        </w:rPr>
        <w:t>收</w:t>
      </w:r>
      <w:r>
        <w:rPr>
          <w:rStyle w:val="17"/>
          <w:rFonts w:hint="eastAsia" w:ascii="仿宋" w:hAnsi="仿宋" w:eastAsia="仿宋"/>
        </w:rPr>
        <w:t>入支出决算总体情况说明</w:t>
      </w:r>
      <w:bookmarkEnd w:id="20"/>
      <w:bookmarkEnd w:id="21"/>
    </w:p>
    <w:p w14:paraId="6B717858">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2019年居保局收入决算总额为31168.13万元，其中：当年财政拨款收入16213.97万元，占52.02%；上年结转结余14954.16万元，占47.98%。与2018年相比，增加4193.65万元，其中当年财政拨款及上年结转都有不同程度的增加。</w:t>
      </w:r>
    </w:p>
    <w:p w14:paraId="5F264DA1">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居保局支出决算总额为12162.06万元。其中：基本支出156.19万元，占1.28%；项目支出12005.87万元，占98.72%。与2018年相比，增加支出141.73万元，主要中项目支出增加，是由于发放基础养老金增加及增加职工而引起的基本支出增加。</w:t>
      </w:r>
    </w:p>
    <w:p w14:paraId="501D87F8">
      <w:pPr>
        <w:spacing w:line="600" w:lineRule="exact"/>
        <w:ind w:firstLine="640" w:firstLineChars="200"/>
        <w:rPr>
          <w:rFonts w:ascii="仿宋" w:hAnsi="仿宋" w:eastAsia="仿宋" w:cs="仿宋_GB2312"/>
          <w:sz w:val="32"/>
          <w:szCs w:val="32"/>
        </w:rPr>
      </w:pPr>
    </w:p>
    <w:p w14:paraId="30C3F290">
      <w:pPr>
        <w:spacing w:line="5600" w:lineRule="exact"/>
        <w:ind w:firstLine="420" w:firstLineChars="200"/>
        <w:rPr>
          <w:rFonts w:ascii="仿宋" w:hAnsi="仿宋" w:eastAsia="仿宋"/>
          <w:color w:val="000000"/>
          <w:sz w:val="32"/>
          <w:szCs w:val="32"/>
        </w:rPr>
      </w:pPr>
      <w:r>
        <w:rPr>
          <w:rFonts w:ascii="仿宋" w:hAnsi="仿宋" w:eastAsia="仿宋"/>
        </w:rPr>
        <w:drawing>
          <wp:inline distT="0" distB="0" distL="114300" distR="114300">
            <wp:extent cx="4572635" cy="2746375"/>
            <wp:effectExtent l="6350" t="6350" r="12065" b="9525"/>
            <wp:docPr id="1"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CF94DF1">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w:t>
      </w:r>
      <w:r>
        <w:rPr>
          <w:rFonts w:hint="eastAsia" w:ascii="仿宋" w:hAnsi="仿宋" w:eastAsia="仿宋"/>
          <w:color w:val="FF0000"/>
          <w:sz w:val="32"/>
          <w:szCs w:val="32"/>
        </w:rPr>
        <w:t>图</w:t>
      </w:r>
      <w:r>
        <w:rPr>
          <w:rFonts w:ascii="仿宋" w:hAnsi="仿宋" w:eastAsia="仿宋"/>
          <w:color w:val="FF0000"/>
          <w:sz w:val="32"/>
          <w:szCs w:val="32"/>
        </w:rPr>
        <w:t>1</w:t>
      </w:r>
      <w:r>
        <w:rPr>
          <w:rFonts w:hint="eastAsia" w:ascii="仿宋" w:hAnsi="仿宋" w:eastAsia="仿宋"/>
          <w:color w:val="FF0000"/>
          <w:sz w:val="32"/>
          <w:szCs w:val="32"/>
        </w:rPr>
        <w:t>：收、支决算总计变动情况图）（柱状图）</w:t>
      </w:r>
    </w:p>
    <w:p w14:paraId="1D7D628F">
      <w:pPr>
        <w:pStyle w:val="24"/>
        <w:spacing w:line="600" w:lineRule="exact"/>
        <w:ind w:firstLine="579" w:firstLineChars="181"/>
        <w:outlineLvl w:val="1"/>
        <w:rPr>
          <w:rStyle w:val="17"/>
          <w:rFonts w:ascii="仿宋" w:hAnsi="仿宋" w:eastAsia="仿宋"/>
          <w:b w:val="0"/>
        </w:rPr>
      </w:pPr>
      <w:bookmarkStart w:id="22" w:name="_Toc15377206"/>
      <w:bookmarkStart w:id="23" w:name="_Toc15396604"/>
      <w:r>
        <w:rPr>
          <w:rFonts w:hint="eastAsia" w:ascii="仿宋" w:hAnsi="仿宋" w:eastAsia="仿宋"/>
          <w:color w:val="000000"/>
          <w:sz w:val="32"/>
          <w:szCs w:val="32"/>
        </w:rPr>
        <w:t>二、收</w:t>
      </w:r>
      <w:r>
        <w:rPr>
          <w:rStyle w:val="17"/>
          <w:rFonts w:hint="eastAsia" w:ascii="仿宋" w:hAnsi="仿宋" w:eastAsia="仿宋"/>
        </w:rPr>
        <w:t>入决算情况说明</w:t>
      </w:r>
      <w:bookmarkEnd w:id="22"/>
      <w:bookmarkEnd w:id="23"/>
    </w:p>
    <w:p w14:paraId="2C937CB9">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年本年收入合计</w:t>
      </w:r>
      <w:r>
        <w:rPr>
          <w:rFonts w:hint="eastAsia" w:ascii="仿宋" w:hAnsi="仿宋" w:eastAsia="仿宋" w:cs="仿宋_GB2312"/>
          <w:sz w:val="32"/>
          <w:szCs w:val="32"/>
        </w:rPr>
        <w:t>16213.97</w:t>
      </w:r>
      <w:r>
        <w:rPr>
          <w:rFonts w:hint="eastAsia" w:ascii="仿宋" w:hAnsi="仿宋" w:eastAsia="仿宋"/>
          <w:color w:val="000000"/>
          <w:sz w:val="32"/>
          <w:szCs w:val="32"/>
        </w:rPr>
        <w:t>万元，全部为一般公共预算财政拨款收入</w:t>
      </w:r>
      <w:r>
        <w:rPr>
          <w:rFonts w:hint="eastAsia" w:ascii="仿宋" w:hAnsi="仿宋" w:eastAsia="仿宋" w:cs="仿宋_GB2312"/>
          <w:sz w:val="32"/>
          <w:szCs w:val="32"/>
        </w:rPr>
        <w:t>16213.97</w:t>
      </w:r>
      <w:r>
        <w:rPr>
          <w:rFonts w:hint="eastAsia" w:ascii="仿宋" w:hAnsi="仿宋" w:eastAsia="仿宋"/>
          <w:color w:val="000000"/>
          <w:sz w:val="32"/>
          <w:szCs w:val="32"/>
        </w:rPr>
        <w:t>万元。</w:t>
      </w:r>
    </w:p>
    <w:p w14:paraId="52F878AD">
      <w:pPr>
        <w:spacing w:line="5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573270" cy="2743200"/>
            <wp:effectExtent l="4445" t="4445" r="13335" b="14605"/>
            <wp:docPr id="2"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EF0C40">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（图2：收入决算结构图）（饼状图）</w:t>
      </w:r>
    </w:p>
    <w:p w14:paraId="349AFC2F">
      <w:pPr>
        <w:pStyle w:val="24"/>
        <w:spacing w:line="600" w:lineRule="exact"/>
        <w:ind w:firstLine="579" w:firstLineChars="181"/>
        <w:outlineLvl w:val="1"/>
        <w:rPr>
          <w:rStyle w:val="17"/>
          <w:rFonts w:ascii="仿宋" w:hAnsi="仿宋" w:eastAsia="仿宋"/>
          <w:b w:val="0"/>
        </w:rPr>
      </w:pPr>
      <w:r>
        <w:rPr>
          <w:rFonts w:hint="eastAsia" w:ascii="仿宋" w:hAnsi="仿宋" w:eastAsia="仿宋"/>
          <w:sz w:val="32"/>
          <w:szCs w:val="32"/>
        </w:rPr>
        <w:t>三、</w:t>
      </w:r>
      <w:bookmarkStart w:id="24" w:name="_Toc15377207"/>
      <w:bookmarkStart w:id="25" w:name="_Toc15396605"/>
      <w:r>
        <w:rPr>
          <w:rFonts w:hint="eastAsia" w:ascii="仿宋" w:hAnsi="仿宋" w:eastAsia="仿宋"/>
          <w:sz w:val="32"/>
          <w:szCs w:val="32"/>
        </w:rPr>
        <w:t>支</w:t>
      </w:r>
      <w:r>
        <w:rPr>
          <w:rStyle w:val="17"/>
          <w:rFonts w:hint="eastAsia" w:ascii="仿宋" w:hAnsi="仿宋" w:eastAsia="仿宋"/>
        </w:rPr>
        <w:t>出决算情况说明</w:t>
      </w:r>
      <w:bookmarkEnd w:id="24"/>
      <w:bookmarkEnd w:id="25"/>
    </w:p>
    <w:p w14:paraId="4C45693A">
      <w:pPr>
        <w:spacing w:line="600" w:lineRule="exact"/>
        <w:ind w:firstLine="640"/>
        <w:rPr>
          <w:rFonts w:ascii="仿宋" w:hAnsi="仿宋" w:eastAsia="仿宋" w:cs="仿宋_GB2312"/>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年本年支出合计</w:t>
      </w:r>
      <w:r>
        <w:rPr>
          <w:rFonts w:hint="eastAsia" w:ascii="仿宋" w:hAnsi="仿宋" w:eastAsia="仿宋" w:cs="仿宋_GB2312"/>
          <w:sz w:val="32"/>
          <w:szCs w:val="32"/>
        </w:rPr>
        <w:t>12162.06</w:t>
      </w:r>
      <w:r>
        <w:rPr>
          <w:rFonts w:hint="eastAsia" w:ascii="仿宋" w:hAnsi="仿宋" w:eastAsia="仿宋"/>
          <w:color w:val="000000"/>
          <w:sz w:val="32"/>
          <w:szCs w:val="32"/>
        </w:rPr>
        <w:t>万元，其中：基本支出</w:t>
      </w:r>
      <w:r>
        <w:rPr>
          <w:rFonts w:hint="eastAsia" w:ascii="仿宋" w:hAnsi="仿宋" w:eastAsia="仿宋" w:cs="仿宋_GB2312"/>
          <w:sz w:val="32"/>
          <w:szCs w:val="32"/>
        </w:rPr>
        <w:t>156.19</w:t>
      </w:r>
      <w:r>
        <w:rPr>
          <w:rFonts w:hint="eastAsia" w:ascii="仿宋" w:hAnsi="仿宋" w:eastAsia="仿宋"/>
          <w:color w:val="000000"/>
          <w:sz w:val="32"/>
          <w:szCs w:val="32"/>
        </w:rPr>
        <w:t>万元，</w:t>
      </w:r>
      <w:r>
        <w:rPr>
          <w:rFonts w:hint="eastAsia" w:ascii="仿宋" w:hAnsi="仿宋" w:eastAsia="仿宋" w:cs="仿宋_GB2312"/>
          <w:sz w:val="32"/>
          <w:szCs w:val="32"/>
        </w:rPr>
        <w:t>占1.28%；项目支出12005.87万元，占98.72%。</w:t>
      </w:r>
    </w:p>
    <w:p w14:paraId="4AF4408A">
      <w:pPr>
        <w:spacing w:line="5600" w:lineRule="exact"/>
        <w:ind w:firstLine="641"/>
        <w:rPr>
          <w:rFonts w:ascii="仿宋" w:hAnsi="仿宋" w:eastAsia="仿宋"/>
          <w:color w:val="000000"/>
          <w:sz w:val="32"/>
          <w:szCs w:val="32"/>
          <w:shd w:val="pct10" w:color="auto" w:fill="FFFFFF"/>
        </w:rPr>
      </w:pPr>
      <w:r>
        <w:rPr>
          <w:rFonts w:ascii="仿宋" w:hAnsi="仿宋" w:eastAsia="仿宋"/>
        </w:rPr>
        <w:drawing>
          <wp:inline distT="0" distB="0" distL="114300" distR="114300">
            <wp:extent cx="4572635" cy="2746375"/>
            <wp:effectExtent l="4445" t="4445" r="13970"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B1EDA4">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（图3：支出决算结构图）（饼状图）</w:t>
      </w:r>
    </w:p>
    <w:p w14:paraId="5CC4EE22">
      <w:pPr>
        <w:spacing w:line="600" w:lineRule="exact"/>
        <w:ind w:firstLine="640" w:firstLineChars="200"/>
        <w:outlineLvl w:val="1"/>
        <w:rPr>
          <w:rStyle w:val="17"/>
          <w:rFonts w:ascii="仿宋" w:hAnsi="仿宋" w:eastAsia="仿宋"/>
          <w:b w:val="0"/>
        </w:rPr>
      </w:pPr>
      <w:bookmarkStart w:id="26" w:name="_Toc15377208"/>
      <w:bookmarkStart w:id="27" w:name="_Toc15396606"/>
      <w:r>
        <w:rPr>
          <w:rFonts w:hint="eastAsia" w:ascii="仿宋" w:hAnsi="仿宋" w:eastAsia="仿宋"/>
          <w:color w:val="000000"/>
          <w:sz w:val="32"/>
          <w:szCs w:val="32"/>
        </w:rPr>
        <w:t>四、财</w:t>
      </w:r>
      <w:r>
        <w:rPr>
          <w:rStyle w:val="17"/>
          <w:rFonts w:hint="eastAsia" w:ascii="仿宋" w:hAnsi="仿宋" w:eastAsia="仿宋"/>
        </w:rPr>
        <w:t>政拨款收入支出决算总体情况说明</w:t>
      </w:r>
      <w:bookmarkEnd w:id="26"/>
      <w:bookmarkEnd w:id="27"/>
    </w:p>
    <w:p w14:paraId="53C5943D">
      <w:pPr>
        <w:spacing w:line="600" w:lineRule="exact"/>
        <w:ind w:firstLine="640" w:firstLineChars="200"/>
        <w:rPr>
          <w:rFonts w:ascii="仿宋" w:hAnsi="仿宋" w:eastAsia="仿宋" w:cs="仿宋_GB2312"/>
          <w:sz w:val="32"/>
          <w:szCs w:val="32"/>
        </w:rPr>
      </w:pPr>
      <w:r>
        <w:rPr>
          <w:rFonts w:hint="eastAsia" w:ascii="仿宋" w:hAnsi="仿宋" w:eastAsia="仿宋"/>
          <w:color w:val="000000"/>
          <w:sz w:val="32"/>
          <w:szCs w:val="32"/>
        </w:rPr>
        <w:t>2019年度财政拨款收入总决算</w:t>
      </w:r>
      <w:r>
        <w:rPr>
          <w:rFonts w:hint="eastAsia" w:ascii="仿宋" w:hAnsi="仿宋" w:eastAsia="仿宋" w:cs="仿宋_GB2312"/>
          <w:sz w:val="32"/>
          <w:szCs w:val="32"/>
        </w:rPr>
        <w:t>16213.97</w:t>
      </w:r>
      <w:r>
        <w:rPr>
          <w:rFonts w:hint="eastAsia" w:ascii="仿宋" w:hAnsi="仿宋" w:eastAsia="仿宋"/>
          <w:color w:val="000000"/>
          <w:sz w:val="32"/>
          <w:szCs w:val="32"/>
        </w:rPr>
        <w:t>万元，支出总决算</w:t>
      </w:r>
      <w:r>
        <w:rPr>
          <w:rFonts w:hint="eastAsia" w:ascii="仿宋" w:hAnsi="仿宋" w:eastAsia="仿宋" w:cs="仿宋_GB2312"/>
          <w:sz w:val="32"/>
          <w:szCs w:val="32"/>
        </w:rPr>
        <w:t>12162.06</w:t>
      </w:r>
      <w:r>
        <w:rPr>
          <w:rFonts w:hint="eastAsia" w:ascii="仿宋" w:hAnsi="仿宋" w:eastAsia="仿宋"/>
          <w:color w:val="000000"/>
          <w:sz w:val="32"/>
          <w:szCs w:val="32"/>
        </w:rPr>
        <w:t>万元。与2018年相比较，收入增加</w:t>
      </w:r>
      <w:r>
        <w:rPr>
          <w:rFonts w:hint="eastAsia" w:ascii="仿宋" w:hAnsi="仿宋" w:eastAsia="仿宋" w:cs="仿宋_GB2312"/>
          <w:sz w:val="32"/>
          <w:szCs w:val="32"/>
        </w:rPr>
        <w:t>4193.65</w:t>
      </w:r>
      <w:r>
        <w:rPr>
          <w:rFonts w:hint="eastAsia" w:ascii="仿宋" w:hAnsi="仿宋" w:eastAsia="仿宋"/>
          <w:color w:val="000000"/>
          <w:sz w:val="32"/>
          <w:szCs w:val="32"/>
        </w:rPr>
        <w:t>万元，增加15.55%，其主要原因是居民基础养老金调查标及职工人数增加，从而导致中省基础养老金及经费拨款收入相应增加；支出增加</w:t>
      </w:r>
      <w:r>
        <w:rPr>
          <w:rFonts w:hint="eastAsia" w:ascii="仿宋" w:hAnsi="仿宋" w:eastAsia="仿宋" w:cs="仿宋_GB2312"/>
          <w:sz w:val="32"/>
          <w:szCs w:val="32"/>
        </w:rPr>
        <w:t>141.73</w:t>
      </w:r>
      <w:r>
        <w:rPr>
          <w:rFonts w:hint="eastAsia" w:ascii="仿宋" w:hAnsi="仿宋" w:eastAsia="仿宋"/>
          <w:color w:val="000000"/>
          <w:sz w:val="32"/>
          <w:szCs w:val="32"/>
        </w:rPr>
        <w:t>万元，增加1.89%，</w:t>
      </w:r>
      <w:r>
        <w:rPr>
          <w:rFonts w:hint="eastAsia" w:ascii="仿宋" w:hAnsi="仿宋" w:eastAsia="仿宋" w:cs="仿宋_GB2312"/>
          <w:sz w:val="32"/>
          <w:szCs w:val="32"/>
        </w:rPr>
        <w:t>主要中项目支出增加，是由于发放居民基础养老金及人员经费增加。</w:t>
      </w:r>
    </w:p>
    <w:p w14:paraId="01706291">
      <w:pPr>
        <w:spacing w:line="5600" w:lineRule="exact"/>
        <w:ind w:firstLine="420" w:firstLineChars="200"/>
        <w:rPr>
          <w:rFonts w:ascii="仿宋" w:hAnsi="仿宋" w:eastAsia="仿宋"/>
          <w:color w:val="000000"/>
          <w:sz w:val="32"/>
          <w:szCs w:val="32"/>
        </w:rPr>
      </w:pPr>
      <w:r>
        <w:rPr>
          <w:rFonts w:ascii="仿宋" w:hAnsi="仿宋" w:eastAsia="仿宋"/>
        </w:rPr>
        <w:drawing>
          <wp:inline distT="0" distB="0" distL="114300" distR="114300">
            <wp:extent cx="4572635" cy="2746375"/>
            <wp:effectExtent l="6350" t="6350" r="12065" b="9525"/>
            <wp:docPr id="4" name="图片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7CDE24">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（图4：财政拨款收、支决算总计变动情况）（柱状图）</w:t>
      </w:r>
    </w:p>
    <w:p w14:paraId="0908698B">
      <w:pPr>
        <w:spacing w:line="600" w:lineRule="exact"/>
        <w:ind w:firstLine="640" w:firstLineChars="200"/>
        <w:outlineLvl w:val="1"/>
        <w:rPr>
          <w:rStyle w:val="17"/>
          <w:rFonts w:ascii="仿宋" w:hAnsi="仿宋" w:eastAsia="仿宋"/>
          <w:b w:val="0"/>
        </w:rPr>
      </w:pPr>
      <w:bookmarkStart w:id="28" w:name="_Toc15396607"/>
      <w:bookmarkStart w:id="29" w:name="_Toc15377209"/>
      <w:r>
        <w:rPr>
          <w:rFonts w:hint="eastAsia" w:ascii="仿宋" w:hAnsi="仿宋" w:eastAsia="仿宋"/>
          <w:color w:val="000000"/>
          <w:sz w:val="32"/>
          <w:szCs w:val="32"/>
        </w:rPr>
        <w:t>五、</w:t>
      </w:r>
      <w:r>
        <w:rPr>
          <w:rFonts w:hint="eastAsia" w:ascii="仿宋" w:hAnsi="仿宋" w:eastAsia="仿宋"/>
          <w:b/>
          <w:color w:val="000000"/>
          <w:sz w:val="32"/>
          <w:szCs w:val="32"/>
        </w:rPr>
        <w:t>一</w:t>
      </w:r>
      <w:r>
        <w:rPr>
          <w:rStyle w:val="17"/>
          <w:rFonts w:hint="eastAsia" w:ascii="仿宋" w:hAnsi="仿宋" w:eastAsia="仿宋"/>
        </w:rPr>
        <w:t>般公共预算财政拨款支出决算情况说明</w:t>
      </w:r>
      <w:bookmarkEnd w:id="28"/>
      <w:bookmarkEnd w:id="29"/>
    </w:p>
    <w:p w14:paraId="3CE966AA">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79487EF4">
      <w:pPr>
        <w:spacing w:line="600" w:lineRule="exact"/>
        <w:ind w:firstLine="640" w:firstLineChars="200"/>
        <w:rPr>
          <w:rFonts w:ascii="仿宋" w:hAnsi="仿宋" w:eastAsia="仿宋" w:cs="仿宋_GB2312"/>
          <w:sz w:val="32"/>
          <w:szCs w:val="32"/>
        </w:rPr>
      </w:pPr>
      <w:r>
        <w:rPr>
          <w:rFonts w:hint="eastAsia" w:ascii="仿宋" w:hAnsi="仿宋" w:eastAsia="仿宋"/>
          <w:color w:val="000000"/>
          <w:sz w:val="32"/>
          <w:szCs w:val="32"/>
        </w:rPr>
        <w:t>2019年度一般公共预算财政拨款支出</w:t>
      </w:r>
      <w:r>
        <w:rPr>
          <w:rFonts w:hint="eastAsia" w:ascii="仿宋" w:hAnsi="仿宋" w:eastAsia="仿宋" w:cs="仿宋_GB2312"/>
          <w:sz w:val="32"/>
          <w:szCs w:val="32"/>
        </w:rPr>
        <w:t>12162.06</w:t>
      </w:r>
      <w:r>
        <w:rPr>
          <w:rFonts w:hint="eastAsia" w:ascii="仿宋" w:hAnsi="仿宋" w:eastAsia="仿宋"/>
          <w:color w:val="000000"/>
          <w:sz w:val="32"/>
          <w:szCs w:val="32"/>
        </w:rPr>
        <w:t>万元，占本年支出合计的100%。与2018年相比，一般公共预算财政拨款支出增加141.73万元，增加1.89%。</w:t>
      </w:r>
      <w:r>
        <w:rPr>
          <w:rFonts w:hint="eastAsia" w:ascii="仿宋" w:hAnsi="仿宋" w:eastAsia="仿宋" w:cs="仿宋_GB2312"/>
          <w:sz w:val="32"/>
          <w:szCs w:val="32"/>
        </w:rPr>
        <w:t>主要中项目支出增加，是由于发放居民基础养老金及人员经费增加。</w:t>
      </w:r>
    </w:p>
    <w:p w14:paraId="5D2903CF">
      <w:pPr>
        <w:spacing w:line="600" w:lineRule="exact"/>
        <w:ind w:firstLine="640" w:firstLineChars="200"/>
        <w:rPr>
          <w:rFonts w:ascii="仿宋" w:hAnsi="仿宋" w:eastAsia="仿宋" w:cs="仿宋_GB2312"/>
          <w:sz w:val="32"/>
          <w:szCs w:val="32"/>
        </w:rPr>
      </w:pPr>
    </w:p>
    <w:p w14:paraId="1FF8E7DC">
      <w:pPr>
        <w:spacing w:line="5600" w:lineRule="exact"/>
        <w:ind w:firstLine="420" w:firstLineChars="200"/>
        <w:rPr>
          <w:rFonts w:ascii="仿宋" w:hAnsi="仿宋" w:eastAsia="仿宋" w:cs="仿宋_GB2312"/>
          <w:sz w:val="32"/>
          <w:szCs w:val="32"/>
        </w:rPr>
      </w:pPr>
      <w:r>
        <w:rPr>
          <w:rFonts w:ascii="仿宋" w:hAnsi="仿宋" w:eastAsia="仿宋"/>
        </w:rPr>
        <w:drawing>
          <wp:inline distT="0" distB="0" distL="114300" distR="114300">
            <wp:extent cx="4572635" cy="2746375"/>
            <wp:effectExtent l="6350" t="6350" r="12065" b="9525"/>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CA9462">
      <w:pPr>
        <w:spacing w:line="600" w:lineRule="exact"/>
        <w:ind w:firstLine="640" w:firstLineChars="200"/>
        <w:rPr>
          <w:rFonts w:ascii="仿宋" w:hAnsi="仿宋" w:eastAsia="仿宋"/>
          <w:color w:val="000000"/>
          <w:sz w:val="32"/>
          <w:szCs w:val="32"/>
        </w:rPr>
      </w:pPr>
    </w:p>
    <w:p w14:paraId="4F4D9E12">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（图5：一般公共预算财政拨款支出决算变动情况）（柱状图）</w:t>
      </w:r>
    </w:p>
    <w:p w14:paraId="0D658F1B">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6230408F">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2019年一般公共预算财政拨款支出</w:t>
      </w:r>
      <w:r>
        <w:rPr>
          <w:rFonts w:hint="eastAsia" w:ascii="仿宋" w:hAnsi="仿宋" w:eastAsia="仿宋" w:cs="仿宋_GB2312"/>
          <w:sz w:val="32"/>
          <w:szCs w:val="32"/>
        </w:rPr>
        <w:t>12162.06</w:t>
      </w:r>
      <w:r>
        <w:rPr>
          <w:rFonts w:hint="eastAsia" w:ascii="仿宋" w:hAnsi="仿宋" w:eastAsia="仿宋"/>
          <w:color w:val="000000"/>
          <w:sz w:val="32"/>
          <w:szCs w:val="32"/>
        </w:rPr>
        <w:t>万元，主要用于以下方面:社会保障和就业支出11822.01万元，占97.2%；医疗卫生支出248.95万元，占2.05%；住房保障支出11.19万元，占0.09%，农林水支出79.91万元，占0.66%。</w:t>
      </w:r>
    </w:p>
    <w:p w14:paraId="48142089">
      <w:pPr>
        <w:spacing w:line="600" w:lineRule="exact"/>
        <w:ind w:firstLine="640" w:firstLineChars="200"/>
        <w:rPr>
          <w:rFonts w:ascii="仿宋" w:hAnsi="仿宋" w:eastAsia="仿宋"/>
          <w:color w:val="000000"/>
          <w:sz w:val="32"/>
          <w:szCs w:val="32"/>
        </w:rPr>
      </w:pPr>
    </w:p>
    <w:p w14:paraId="0E87480D">
      <w:pPr>
        <w:spacing w:line="600" w:lineRule="exact"/>
        <w:ind w:firstLine="640" w:firstLineChars="200"/>
        <w:rPr>
          <w:rFonts w:ascii="仿宋" w:hAnsi="仿宋" w:eastAsia="仿宋"/>
          <w:color w:val="000000"/>
          <w:sz w:val="32"/>
          <w:szCs w:val="32"/>
        </w:rPr>
      </w:pPr>
    </w:p>
    <w:p w14:paraId="7C26C0A7">
      <w:pPr>
        <w:spacing w:line="5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572635" cy="2746375"/>
            <wp:effectExtent l="4445" t="4445" r="13970" b="11430"/>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A7B3B4">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（图6：一般公共预算财政拨款支出决算结构）（饼状图）</w:t>
      </w:r>
    </w:p>
    <w:p w14:paraId="58D9F229">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14:paraId="08C14BF6">
      <w:pPr>
        <w:spacing w:line="600" w:lineRule="exact"/>
        <w:ind w:firstLine="640" w:firstLineChars="200"/>
        <w:outlineLvl w:val="2"/>
        <w:rPr>
          <w:rStyle w:val="14"/>
          <w:rFonts w:ascii="仿宋" w:hAnsi="仿宋" w:eastAsia="仿宋"/>
          <w:b w:val="0"/>
          <w:bCs/>
          <w:color w:val="000000"/>
          <w:sz w:val="32"/>
          <w:szCs w:val="32"/>
        </w:rPr>
      </w:pPr>
      <w:bookmarkStart w:id="33" w:name="_Toc15378460"/>
      <w:bookmarkStart w:id="34" w:name="_Toc15377444"/>
      <w:bookmarkStart w:id="35" w:name="_Toc15377213"/>
      <w:r>
        <w:rPr>
          <w:rFonts w:hint="eastAsia" w:ascii="仿宋" w:hAnsi="仿宋" w:eastAsia="仿宋"/>
          <w:color w:val="000000"/>
          <w:sz w:val="32"/>
          <w:szCs w:val="32"/>
        </w:rPr>
        <w:t>2019年一般公共预算支出决算数为</w:t>
      </w:r>
      <w:r>
        <w:rPr>
          <w:rFonts w:hint="eastAsia" w:ascii="仿宋" w:hAnsi="仿宋" w:eastAsia="仿宋" w:cs="仿宋_GB2312"/>
          <w:sz w:val="32"/>
          <w:szCs w:val="32"/>
        </w:rPr>
        <w:t>12162.06</w:t>
      </w:r>
      <w:r>
        <w:rPr>
          <w:rFonts w:hint="eastAsia" w:ascii="仿宋" w:hAnsi="仿宋" w:eastAsia="仿宋"/>
          <w:color w:val="000000"/>
          <w:sz w:val="32"/>
          <w:szCs w:val="32"/>
        </w:rPr>
        <w:t>万元，</w:t>
      </w:r>
      <w:r>
        <w:rPr>
          <w:rStyle w:val="14"/>
          <w:rFonts w:hint="eastAsia" w:ascii="仿宋" w:hAnsi="仿宋" w:eastAsia="仿宋"/>
          <w:bCs/>
          <w:color w:val="000000"/>
          <w:sz w:val="32"/>
          <w:szCs w:val="32"/>
        </w:rPr>
        <w:t>完成预算75.01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p>
    <w:p w14:paraId="2D164C6E">
      <w:pPr>
        <w:spacing w:line="600" w:lineRule="exact"/>
        <w:ind w:firstLine="643" w:firstLineChars="200"/>
        <w:outlineLvl w:val="2"/>
        <w:rPr>
          <w:rFonts w:ascii="仿宋" w:hAnsi="仿宋" w:eastAsia="仿宋"/>
          <w:color w:val="000000"/>
          <w:sz w:val="32"/>
          <w:szCs w:val="32"/>
        </w:rPr>
      </w:pPr>
      <w:r>
        <w:rPr>
          <w:rStyle w:val="14"/>
          <w:rFonts w:hint="eastAsia" w:ascii="仿宋" w:hAnsi="仿宋" w:eastAsia="仿宋"/>
          <w:color w:val="000000"/>
          <w:sz w:val="32"/>
          <w:szCs w:val="32"/>
        </w:rPr>
        <w:t xml:space="preserve"> 1.社会保障和就业:</w:t>
      </w:r>
      <w:r>
        <w:rPr>
          <w:rFonts w:hint="eastAsia" w:ascii="仿宋" w:hAnsi="仿宋" w:eastAsia="仿宋"/>
          <w:color w:val="000000"/>
          <w:sz w:val="32"/>
          <w:szCs w:val="32"/>
        </w:rPr>
        <w:t>2019年决算数为11822.01万元，完成预算74.5%。一是因为困难群体代缴部分收入是不直接支付到参保人手中，是作为保费收入存入财政专户；二是养老金当年没有支付完的作为了结余。</w:t>
      </w:r>
    </w:p>
    <w:p w14:paraId="34C789A3">
      <w:pPr>
        <w:spacing w:line="600" w:lineRule="exact"/>
        <w:ind w:firstLine="643" w:firstLineChars="200"/>
        <w:outlineLvl w:val="2"/>
        <w:rPr>
          <w:rFonts w:ascii="仿宋" w:hAnsi="仿宋" w:eastAsia="仿宋"/>
          <w:b/>
          <w:color w:val="000000"/>
          <w:sz w:val="32"/>
          <w:szCs w:val="32"/>
        </w:rPr>
      </w:pPr>
      <w:r>
        <w:rPr>
          <w:rStyle w:val="14"/>
          <w:rFonts w:hint="eastAsia" w:ascii="仿宋" w:hAnsi="仿宋" w:eastAsia="仿宋"/>
          <w:color w:val="000000"/>
          <w:sz w:val="32"/>
          <w:szCs w:val="32"/>
        </w:rPr>
        <w:t>2.医疗卫生与计划生育:</w:t>
      </w:r>
      <w:r>
        <w:rPr>
          <w:rFonts w:hint="eastAsia" w:ascii="仿宋" w:hAnsi="仿宋" w:eastAsia="仿宋"/>
          <w:color w:val="000000"/>
          <w:sz w:val="32"/>
          <w:szCs w:val="32"/>
        </w:rPr>
        <w:t>2019年决算数为248.95万元，完成预算100%。</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w:t>
      </w:r>
      <w:r>
        <w:rPr>
          <w:rStyle w:val="14"/>
          <w:rFonts w:hint="eastAsia" w:ascii="仿宋" w:hAnsi="仿宋" w:eastAsia="仿宋"/>
          <w:color w:val="000000"/>
          <w:sz w:val="32"/>
          <w:szCs w:val="32"/>
        </w:rPr>
        <w:t>3.住房保障支出:</w:t>
      </w:r>
      <w:r>
        <w:rPr>
          <w:rFonts w:hint="eastAsia" w:ascii="仿宋" w:hAnsi="仿宋" w:eastAsia="仿宋"/>
          <w:color w:val="000000"/>
          <w:sz w:val="32"/>
          <w:szCs w:val="32"/>
        </w:rPr>
        <w:t>2019年决算数为15.97万元，完成预算70.06%，因为目标考核奖计算的住房公积金年底才拨入，还没来得及划入公积金中心。</w:t>
      </w:r>
    </w:p>
    <w:bookmarkEnd w:id="33"/>
    <w:bookmarkEnd w:id="34"/>
    <w:bookmarkEnd w:id="35"/>
    <w:p w14:paraId="1099C4F6">
      <w:pPr>
        <w:tabs>
          <w:tab w:val="right" w:pos="8306"/>
        </w:tabs>
        <w:spacing w:line="600" w:lineRule="exact"/>
        <w:ind w:firstLine="640"/>
        <w:outlineLvl w:val="1"/>
        <w:rPr>
          <w:rStyle w:val="17"/>
          <w:rFonts w:ascii="仿宋" w:hAnsi="仿宋" w:eastAsia="仿宋"/>
        </w:rPr>
      </w:pPr>
      <w:bookmarkStart w:id="36" w:name="_Toc15377214"/>
      <w:bookmarkStart w:id="37" w:name="_Toc15396608"/>
      <w:r>
        <w:rPr>
          <w:rFonts w:hint="eastAsia" w:ascii="仿宋" w:hAnsi="仿宋" w:eastAsia="仿宋"/>
          <w:color w:val="000000"/>
          <w:sz w:val="32"/>
          <w:szCs w:val="32"/>
        </w:rPr>
        <w:t>六</w:t>
      </w:r>
      <w:r>
        <w:rPr>
          <w:rFonts w:hint="eastAsia" w:ascii="仿宋" w:hAnsi="仿宋" w:eastAsia="仿宋"/>
          <w:b/>
          <w:color w:val="000000"/>
          <w:sz w:val="32"/>
          <w:szCs w:val="32"/>
        </w:rPr>
        <w:t>、一</w:t>
      </w:r>
      <w:r>
        <w:rPr>
          <w:rStyle w:val="17"/>
          <w:rFonts w:hint="eastAsia" w:ascii="仿宋" w:hAnsi="仿宋" w:eastAsia="仿宋"/>
        </w:rPr>
        <w:t>般公共预算财政拨款基本支出决算情况说明</w:t>
      </w:r>
      <w:bookmarkEnd w:id="36"/>
      <w:bookmarkEnd w:id="37"/>
      <w:r>
        <w:rPr>
          <w:rStyle w:val="17"/>
          <w:rFonts w:ascii="仿宋" w:hAnsi="仿宋" w:eastAsia="仿宋"/>
        </w:rPr>
        <w:tab/>
      </w:r>
    </w:p>
    <w:p w14:paraId="1C345FD2">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2019年一般公共预算财政拨款基本支出156.19万元，其中：</w:t>
      </w:r>
    </w:p>
    <w:p w14:paraId="0248A555">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人员经费141.19万元，主要包括：基本工资、津贴补贴、奖金、绩效工资、机关事业单位基本养老保险缴费、其他社会保障缴费、住房公积金。</w:t>
      </w:r>
    </w:p>
    <w:p w14:paraId="5C3BC3F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公用经费15万元，主要包括：办公费、印刷费、水费、电费、邮电费、物业管理费、差旅费、、会议费、培训费、公务接待费、劳务费、工会经费、其他商品和服务支出。</w:t>
      </w:r>
    </w:p>
    <w:p w14:paraId="062DDD90">
      <w:pPr>
        <w:spacing w:line="600" w:lineRule="exact"/>
        <w:ind w:firstLine="640"/>
        <w:outlineLvl w:val="1"/>
        <w:rPr>
          <w:rStyle w:val="17"/>
          <w:rFonts w:ascii="仿宋" w:hAnsi="仿宋" w:eastAsia="仿宋"/>
          <w:b w:val="0"/>
        </w:rPr>
      </w:pPr>
      <w:bookmarkStart w:id="38" w:name="_Toc15396609"/>
      <w:bookmarkStart w:id="39" w:name="_Toc15377215"/>
      <w:r>
        <w:rPr>
          <w:rFonts w:hint="eastAsia" w:ascii="仿宋" w:hAnsi="仿宋" w:eastAsia="仿宋"/>
          <w:color w:val="000000"/>
          <w:sz w:val="32"/>
          <w:szCs w:val="32"/>
        </w:rPr>
        <w:t>七、</w:t>
      </w:r>
      <w:r>
        <w:rPr>
          <w:rStyle w:val="17"/>
          <w:rFonts w:hint="eastAsia" w:ascii="仿宋" w:hAnsi="仿宋" w:eastAsia="仿宋"/>
        </w:rPr>
        <w:t>“三公”经费财政拨款支出决算情况说明</w:t>
      </w:r>
      <w:bookmarkEnd w:id="38"/>
      <w:bookmarkEnd w:id="39"/>
    </w:p>
    <w:p w14:paraId="02BA2688">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0E747A0E">
      <w:pPr>
        <w:spacing w:line="600" w:lineRule="exact"/>
        <w:ind w:firstLine="640"/>
        <w:rPr>
          <w:rFonts w:ascii="仿宋" w:hAnsi="仿宋" w:eastAsia="仿宋"/>
          <w:color w:val="333333"/>
          <w:sz w:val="32"/>
          <w:szCs w:val="32"/>
        </w:rPr>
      </w:pPr>
      <w:r>
        <w:rPr>
          <w:rFonts w:hint="eastAsia" w:ascii="仿宋" w:hAnsi="仿宋" w:eastAsia="仿宋"/>
          <w:color w:val="333333"/>
          <w:sz w:val="32"/>
          <w:szCs w:val="32"/>
        </w:rPr>
        <w:t>2019年度“三公”经费财政拨款支出决算为3541元，完成预算88.53%，主要是公务接待费支出决算为3541元，完成预算88.83%。2019年度“三公”经费支出决算数小于预算数的主要原因是厉行节约。</w:t>
      </w:r>
    </w:p>
    <w:p w14:paraId="02011860">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14:paraId="120C8DB7">
      <w:pPr>
        <w:spacing w:line="600" w:lineRule="exact"/>
        <w:ind w:firstLine="640"/>
        <w:rPr>
          <w:rFonts w:ascii="仿宋" w:hAnsi="仿宋" w:eastAsia="仿宋"/>
          <w:color w:val="000000"/>
          <w:sz w:val="32"/>
          <w:szCs w:val="32"/>
        </w:rPr>
      </w:pPr>
      <w:r>
        <w:rPr>
          <w:rFonts w:hint="eastAsia" w:ascii="仿宋" w:hAnsi="仿宋" w:eastAsia="仿宋"/>
          <w:color w:val="333333"/>
          <w:sz w:val="32"/>
          <w:szCs w:val="32"/>
        </w:rPr>
        <w:t xml:space="preserve">2019年度“三公”经费财政拨款支出决算中，因公出国（境）费支出决算0万元, </w:t>
      </w:r>
      <w:r>
        <w:rPr>
          <w:rFonts w:hint="eastAsia" w:ascii="仿宋" w:hAnsi="仿宋" w:eastAsia="仿宋"/>
          <w:color w:val="000000"/>
          <w:sz w:val="32"/>
          <w:szCs w:val="32"/>
        </w:rPr>
        <w:t>占0%，</w:t>
      </w:r>
      <w:r>
        <w:rPr>
          <w:rFonts w:hint="eastAsia" w:ascii="仿宋" w:hAnsi="仿宋" w:eastAsia="仿宋"/>
          <w:color w:val="333333"/>
          <w:sz w:val="32"/>
          <w:szCs w:val="32"/>
        </w:rPr>
        <w:t>因公出国（境）0人次</w:t>
      </w:r>
      <w:r>
        <w:rPr>
          <w:rFonts w:hint="eastAsia" w:ascii="仿宋" w:hAnsi="仿宋" w:eastAsia="仿宋"/>
          <w:color w:val="000000"/>
          <w:sz w:val="32"/>
          <w:szCs w:val="32"/>
        </w:rPr>
        <w:t>年初预算0万元</w:t>
      </w:r>
      <w:r>
        <w:rPr>
          <w:rFonts w:hint="eastAsia" w:ascii="仿宋" w:hAnsi="仿宋" w:eastAsia="仿宋"/>
          <w:color w:val="333333"/>
          <w:sz w:val="32"/>
          <w:szCs w:val="32"/>
        </w:rPr>
        <w:t>；公务用车购置及运行维护费支出决算0万元，公务车0辆，</w:t>
      </w:r>
      <w:r>
        <w:rPr>
          <w:rFonts w:hint="eastAsia" w:ascii="仿宋" w:hAnsi="仿宋" w:eastAsia="仿宋"/>
          <w:color w:val="000000"/>
          <w:sz w:val="32"/>
          <w:szCs w:val="32"/>
        </w:rPr>
        <w:t>占0%，年初预算0万元</w:t>
      </w:r>
      <w:r>
        <w:rPr>
          <w:rFonts w:hint="eastAsia" w:ascii="仿宋" w:hAnsi="仿宋" w:eastAsia="仿宋"/>
          <w:color w:val="333333"/>
          <w:sz w:val="32"/>
          <w:szCs w:val="32"/>
        </w:rPr>
        <w:t>；公务接待费支出决算3541元，</w:t>
      </w:r>
      <w:r>
        <w:rPr>
          <w:rFonts w:hint="eastAsia" w:ascii="仿宋" w:hAnsi="仿宋" w:eastAsia="仿宋"/>
          <w:color w:val="000000"/>
          <w:sz w:val="32"/>
          <w:szCs w:val="32"/>
        </w:rPr>
        <w:t>占100%,共接待4次，接待100人</w:t>
      </w:r>
    </w:p>
    <w:p w14:paraId="4BE519B4">
      <w:pPr>
        <w:spacing w:line="6400" w:lineRule="exact"/>
        <w:ind w:firstLine="641"/>
        <w:rPr>
          <w:rFonts w:ascii="仿宋" w:hAnsi="仿宋" w:eastAsia="仿宋"/>
          <w:b/>
          <w:color w:val="000000"/>
          <w:sz w:val="32"/>
          <w:szCs w:val="32"/>
        </w:rPr>
      </w:pPr>
      <w:r>
        <w:rPr>
          <w:rFonts w:ascii="仿宋" w:hAnsi="仿宋" w:eastAsia="仿宋"/>
          <w:b/>
          <w:color w:val="000000"/>
          <w:sz w:val="32"/>
          <w:szCs w:val="32"/>
        </w:rPr>
        <w:drawing>
          <wp:inline distT="0" distB="0" distL="114300" distR="114300">
            <wp:extent cx="4573270" cy="3068320"/>
            <wp:effectExtent l="4445" t="4445" r="13335" b="13335"/>
            <wp:docPr id="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E756D4">
      <w:pPr>
        <w:spacing w:line="600" w:lineRule="exact"/>
        <w:ind w:firstLine="640"/>
        <w:rPr>
          <w:rFonts w:ascii="仿宋" w:hAnsi="仿宋" w:eastAsia="仿宋"/>
          <w:color w:val="FF0000"/>
          <w:sz w:val="32"/>
          <w:szCs w:val="32"/>
        </w:rPr>
      </w:pPr>
      <w:r>
        <w:rPr>
          <w:rFonts w:hint="eastAsia" w:ascii="仿宋" w:hAnsi="仿宋" w:eastAsia="仿宋"/>
          <w:color w:val="FF0000"/>
          <w:sz w:val="32"/>
          <w:szCs w:val="32"/>
        </w:rPr>
        <w:t>（图7：“三公”经费财政拨款支出结构）（饼状图）</w:t>
      </w:r>
    </w:p>
    <w:p w14:paraId="37809D38">
      <w:pPr>
        <w:spacing w:line="600" w:lineRule="exact"/>
        <w:ind w:firstLine="640"/>
        <w:rPr>
          <w:rFonts w:ascii="仿宋_GB2312" w:eastAsia="仿宋_GB2312"/>
          <w:color w:val="333333"/>
          <w:sz w:val="32"/>
          <w:szCs w:val="32"/>
        </w:rPr>
      </w:pPr>
      <w:bookmarkStart w:id="42" w:name="_Toc15396610"/>
      <w:bookmarkStart w:id="43" w:name="_Toc15377218"/>
      <w:r>
        <w:rPr>
          <w:rFonts w:hint="eastAsia" w:ascii="仿宋" w:hAnsi="仿宋" w:eastAsia="仿宋"/>
          <w:color w:val="333333"/>
          <w:sz w:val="32"/>
          <w:szCs w:val="32"/>
        </w:rPr>
        <w:t>2019年度“三公”经费财政拨款支出决算数比2018年</w:t>
      </w:r>
      <w:r>
        <w:rPr>
          <w:rFonts w:hint="eastAsia" w:ascii="仿宋" w:hAnsi="仿宋" w:eastAsia="仿宋"/>
          <w:color w:val="000000"/>
          <w:sz w:val="32"/>
          <w:szCs w:val="32"/>
        </w:rPr>
        <w:t>增加</w:t>
      </w:r>
      <w:r>
        <w:rPr>
          <w:rFonts w:hint="eastAsia" w:ascii="仿宋" w:hAnsi="仿宋" w:eastAsia="仿宋"/>
          <w:color w:val="333333"/>
          <w:sz w:val="32"/>
          <w:szCs w:val="32"/>
        </w:rPr>
        <w:t>1822元，</w:t>
      </w:r>
      <w:r>
        <w:rPr>
          <w:rFonts w:hint="eastAsia" w:ascii="仿宋" w:hAnsi="仿宋" w:eastAsia="仿宋"/>
          <w:color w:val="000000"/>
          <w:sz w:val="32"/>
          <w:szCs w:val="32"/>
        </w:rPr>
        <w:t>增加105.99%，即：</w:t>
      </w:r>
      <w:r>
        <w:rPr>
          <w:rFonts w:hint="eastAsia" w:ascii="仿宋" w:hAnsi="仿宋" w:eastAsia="仿宋"/>
          <w:color w:val="333333"/>
          <w:sz w:val="32"/>
          <w:szCs w:val="32"/>
        </w:rPr>
        <w:t>公务接待费支出决算</w:t>
      </w:r>
      <w:r>
        <w:rPr>
          <w:rFonts w:hint="eastAsia" w:ascii="仿宋" w:hAnsi="仿宋" w:eastAsia="仿宋"/>
          <w:color w:val="000000"/>
          <w:sz w:val="32"/>
          <w:szCs w:val="32"/>
        </w:rPr>
        <w:t>增加</w:t>
      </w:r>
      <w:r>
        <w:rPr>
          <w:rFonts w:hint="eastAsia" w:ascii="仿宋" w:hAnsi="仿宋" w:eastAsia="仿宋"/>
          <w:color w:val="333333"/>
          <w:sz w:val="32"/>
          <w:szCs w:val="32"/>
        </w:rPr>
        <w:t>1822元，</w:t>
      </w:r>
      <w:r>
        <w:rPr>
          <w:rFonts w:hint="eastAsia" w:ascii="仿宋" w:hAnsi="仿宋" w:eastAsia="仿宋"/>
          <w:color w:val="000000"/>
          <w:sz w:val="32"/>
          <w:szCs w:val="32"/>
        </w:rPr>
        <w:t>增加105.99%</w:t>
      </w:r>
      <w:r>
        <w:rPr>
          <w:rFonts w:hint="eastAsia" w:ascii="仿宋" w:hAnsi="仿宋" w:eastAsia="仿宋"/>
          <w:color w:val="333333"/>
          <w:sz w:val="32"/>
          <w:szCs w:val="32"/>
        </w:rPr>
        <w:t>。增长主要原因基金专项检查，使接待次数和人次增加。因公出国（境）</w:t>
      </w:r>
      <w:r>
        <w:rPr>
          <w:rFonts w:hint="eastAsia" w:ascii="仿宋" w:hAnsi="仿宋" w:eastAsia="仿宋"/>
          <w:color w:val="000000"/>
          <w:sz w:val="32"/>
          <w:szCs w:val="32"/>
        </w:rPr>
        <w:t>与上年同比增长0%；</w:t>
      </w:r>
      <w:r>
        <w:rPr>
          <w:rFonts w:hint="eastAsia" w:ascii="仿宋" w:hAnsi="仿宋" w:eastAsia="仿宋"/>
          <w:color w:val="333333"/>
          <w:sz w:val="32"/>
          <w:szCs w:val="32"/>
        </w:rPr>
        <w:t>公务用车购置及运行维护费</w:t>
      </w:r>
      <w:r>
        <w:rPr>
          <w:rFonts w:hint="eastAsia" w:ascii="仿宋" w:hAnsi="仿宋" w:eastAsia="仿宋"/>
          <w:color w:val="000000"/>
          <w:sz w:val="32"/>
          <w:szCs w:val="32"/>
        </w:rPr>
        <w:t>与上年同比增长0%。</w:t>
      </w:r>
    </w:p>
    <w:p w14:paraId="0BB18679">
      <w:pPr>
        <w:spacing w:line="600" w:lineRule="exact"/>
        <w:ind w:firstLine="640"/>
        <w:outlineLvl w:val="1"/>
        <w:rPr>
          <w:rStyle w:val="17"/>
          <w:rFonts w:ascii="仿宋" w:hAnsi="仿宋" w:eastAsia="仿宋"/>
        </w:rPr>
      </w:pPr>
      <w:r>
        <w:rPr>
          <w:rFonts w:hint="eastAsia" w:ascii="仿宋" w:hAnsi="仿宋" w:eastAsia="仿宋"/>
          <w:color w:val="000000"/>
          <w:sz w:val="32"/>
          <w:szCs w:val="32"/>
        </w:rPr>
        <w:t>八、</w:t>
      </w:r>
      <w:r>
        <w:rPr>
          <w:rStyle w:val="17"/>
          <w:rFonts w:hint="eastAsia" w:ascii="仿宋" w:hAnsi="仿宋" w:eastAsia="仿宋"/>
        </w:rPr>
        <w:t>政府性基金预算支出决算情况说明</w:t>
      </w:r>
      <w:bookmarkEnd w:id="42"/>
      <w:bookmarkEnd w:id="43"/>
    </w:p>
    <w:p w14:paraId="569453D0">
      <w:pPr>
        <w:spacing w:line="600" w:lineRule="exact"/>
        <w:ind w:left="640"/>
        <w:rPr>
          <w:rFonts w:ascii="仿宋" w:hAnsi="仿宋" w:eastAsia="仿宋"/>
          <w:color w:val="000000"/>
          <w:sz w:val="32"/>
          <w:szCs w:val="32"/>
        </w:rPr>
      </w:pPr>
      <w:bookmarkStart w:id="44" w:name="_Toc15377219"/>
      <w:bookmarkStart w:id="45" w:name="_Toc15396611"/>
      <w:r>
        <w:rPr>
          <w:rFonts w:hint="eastAsia" w:ascii="仿宋" w:hAnsi="仿宋" w:eastAsia="仿宋"/>
          <w:color w:val="000000"/>
          <w:sz w:val="32"/>
          <w:szCs w:val="32"/>
        </w:rPr>
        <w:t>2019年使用政府性基金预算财政拨款支出：无。</w:t>
      </w:r>
    </w:p>
    <w:p w14:paraId="00CAC771">
      <w:pPr>
        <w:numPr>
          <w:ilvl w:val="0"/>
          <w:numId w:val="1"/>
        </w:numPr>
        <w:spacing w:line="600" w:lineRule="exact"/>
        <w:ind w:firstLine="640"/>
        <w:outlineLvl w:val="1"/>
        <w:rPr>
          <w:rStyle w:val="17"/>
          <w:rFonts w:ascii="仿宋" w:hAnsi="仿宋" w:eastAsia="仿宋"/>
          <w:b w:val="0"/>
        </w:rPr>
      </w:pPr>
      <w:r>
        <w:rPr>
          <w:rStyle w:val="17"/>
          <w:rFonts w:hint="eastAsia" w:ascii="仿宋" w:hAnsi="仿宋" w:eastAsia="仿宋"/>
        </w:rPr>
        <w:t>国有资本经营预算支出决算情况说明</w:t>
      </w:r>
      <w:bookmarkEnd w:id="44"/>
      <w:bookmarkEnd w:id="45"/>
    </w:p>
    <w:p w14:paraId="6208BA27">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年国有资本经营预算拨款支出：无。</w:t>
      </w:r>
    </w:p>
    <w:p w14:paraId="15B5BEC3">
      <w:pPr>
        <w:pStyle w:val="24"/>
        <w:numPr>
          <w:ilvl w:val="0"/>
          <w:numId w:val="2"/>
        </w:numPr>
        <w:spacing w:line="580" w:lineRule="exact"/>
        <w:ind w:firstLineChars="0"/>
        <w:rPr>
          <w:rStyle w:val="17"/>
          <w:rFonts w:ascii="仿宋" w:hAnsi="仿宋" w:eastAsia="仿宋"/>
          <w:b w:val="0"/>
        </w:rPr>
      </w:pPr>
      <w:r>
        <w:rPr>
          <w:rStyle w:val="17"/>
          <w:rFonts w:hint="eastAsia" w:ascii="仿宋" w:hAnsi="仿宋" w:eastAsia="仿宋"/>
        </w:rPr>
        <w:t>预算绩效情况说明</w:t>
      </w:r>
    </w:p>
    <w:p w14:paraId="559C6A1C">
      <w:pPr>
        <w:spacing w:line="580" w:lineRule="exact"/>
        <w:ind w:left="709"/>
        <w:rPr>
          <w:rFonts w:ascii="仿宋" w:hAnsi="仿宋" w:eastAsia="仿宋" w:cs="楷体_GB2312"/>
          <w:b/>
          <w:bCs/>
          <w:sz w:val="32"/>
          <w:szCs w:val="32"/>
        </w:rPr>
      </w:pPr>
      <w:r>
        <w:rPr>
          <w:rFonts w:hint="eastAsia" w:ascii="仿宋" w:hAnsi="仿宋" w:eastAsia="仿宋" w:cs="楷体_GB2312"/>
          <w:b/>
          <w:bCs/>
          <w:sz w:val="32"/>
          <w:szCs w:val="32"/>
        </w:rPr>
        <w:t>（一）预算绩效管理工作开展情况。</w:t>
      </w:r>
    </w:p>
    <w:p w14:paraId="093F82DA">
      <w:pPr>
        <w:widowControl/>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居保局在年初预算编制阶段，对基金稽核、基金征收、金保网络运行及维护、退管工作、乡镇生存认证经费、养老保险缴费补贴项目开展了预算事前绩效评估，并编制了绩效目标，预算执行过程中，对所有项目开展绩效监控，年终执行完毕后，对养老保险缴费补贴项目开展了绩效目标完成情况梳理填报。</w:t>
      </w:r>
    </w:p>
    <w:p w14:paraId="41E42A09">
      <w:pPr>
        <w:widowControl/>
        <w:spacing w:line="360" w:lineRule="auto"/>
        <w:ind w:firstLine="640" w:firstLineChars="200"/>
        <w:rPr>
          <w:rFonts w:ascii="仿宋" w:hAnsi="仿宋" w:eastAsia="仿宋" w:cs="宋体"/>
          <w:color w:val="000000"/>
          <w:kern w:val="0"/>
          <w:sz w:val="32"/>
          <w:szCs w:val="32"/>
          <w:shd w:val="clear" w:color="auto" w:fill="FFFFFF"/>
        </w:rPr>
      </w:pPr>
      <w:r>
        <w:rPr>
          <w:rFonts w:hint="eastAsia" w:ascii="仿宋" w:hAnsi="仿宋" w:eastAsia="仿宋" w:cs="仿宋_GB2312"/>
          <w:sz w:val="32"/>
          <w:szCs w:val="32"/>
        </w:rPr>
        <w:t>居保局按要求对2019年部门整体支出开展绩效自评，</w:t>
      </w:r>
      <w:r>
        <w:rPr>
          <w:rFonts w:hint="eastAsia" w:ascii="仿宋" w:hAnsi="仿宋" w:eastAsia="仿宋" w:cs="宋体"/>
          <w:kern w:val="0"/>
          <w:sz w:val="32"/>
          <w:szCs w:val="32"/>
        </w:rPr>
        <w:t>从整体情况来看，我局严格按照年初预算进行部门整体支出，自评分93分。在支出过程中，能严格遵守各项规章制度，“三公”经费明显下降。所有项目都详细制定了方案，严格按方案组织实施，并加强了监督。尤其是在项目经费及基金支出上，我们严格专款专用，按项目实施计划的进度情况进行资金拨付，无截留、无挪用等现象。实行了先有预算、后有执行、“用钱必问效、无效必问责”的常态。</w:t>
      </w:r>
    </w:p>
    <w:p w14:paraId="3F65F0BF">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居保局按要求对2019年部门整体支出绩效评价情况开展自评，《</w:t>
      </w:r>
      <w:r>
        <w:rPr>
          <w:rFonts w:hint="eastAsia" w:ascii="仿宋" w:hAnsi="仿宋" w:eastAsia="仿宋"/>
          <w:sz w:val="32"/>
          <w:szCs w:val="32"/>
          <w:shd w:val="clear" w:color="auto" w:fill="FFFFFF"/>
        </w:rPr>
        <w:t>邻水县城乡居民社会养老保险局</w:t>
      </w:r>
      <w:r>
        <w:rPr>
          <w:rFonts w:hint="eastAsia" w:ascii="仿宋" w:hAnsi="仿宋" w:eastAsia="仿宋" w:cs="仿宋_GB2312"/>
          <w:sz w:val="32"/>
          <w:szCs w:val="32"/>
        </w:rPr>
        <w:t>2019年部门整体支出绩效评价报告》见附件。</w:t>
      </w:r>
    </w:p>
    <w:p w14:paraId="4C7D3F03">
      <w:pPr>
        <w:spacing w:line="580" w:lineRule="exact"/>
        <w:ind w:firstLine="640"/>
        <w:rPr>
          <w:rFonts w:ascii="仿宋" w:hAnsi="仿宋" w:eastAsia="仿宋" w:cs="仿宋_GB2312"/>
          <w:sz w:val="32"/>
          <w:szCs w:val="32"/>
        </w:rPr>
      </w:pPr>
      <w:bookmarkStart w:id="46" w:name="_Toc15377221"/>
      <w:bookmarkStart w:id="47" w:name="_Toc15396612"/>
      <w:r>
        <w:rPr>
          <w:rFonts w:hint="eastAsia" w:ascii="仿宋" w:hAnsi="仿宋" w:eastAsia="仿宋" w:cs="楷体_GB2312"/>
          <w:b/>
          <w:bCs/>
          <w:sz w:val="32"/>
          <w:szCs w:val="32"/>
        </w:rPr>
        <w:t>（二）项目绩效目标完成情况。</w:t>
      </w:r>
    </w:p>
    <w:p w14:paraId="3806F92B">
      <w:pPr>
        <w:spacing w:line="580" w:lineRule="exact"/>
        <w:rPr>
          <w:rFonts w:ascii="仿宋" w:hAnsi="仿宋" w:eastAsia="仿宋" w:cs="仿宋_GB2312"/>
          <w:sz w:val="32"/>
          <w:szCs w:val="32"/>
        </w:rPr>
      </w:pPr>
      <w:r>
        <w:rPr>
          <w:rFonts w:hint="eastAsia" w:ascii="仿宋" w:hAnsi="仿宋" w:eastAsia="仿宋" w:cs="仿宋_GB2312"/>
          <w:sz w:val="32"/>
          <w:szCs w:val="32"/>
        </w:rPr>
        <w:t xml:space="preserve">    1. 基金稽核项目绩效目标完成情况综述。项目全年预算数8万元，执行数为8万元，完成预算的100%。通过对待遇领取人员资格认证、生存认证、死亡认证及重复领取待遇的稽核，保障社保资金的安全。发现的主要问题：少部分乡镇对死亡人员月报不认真，导致还存在死亡人员重复领取待遇，致使重复领待遇追回难度大。下一步改进措施：进一步加大稽核力度，加大对乡镇生存认证考核力度，力保社保资金的安全。</w:t>
      </w:r>
    </w:p>
    <w:p w14:paraId="51CC8F9E">
      <w:pPr>
        <w:spacing w:line="580" w:lineRule="exact"/>
        <w:ind w:firstLine="630"/>
        <w:rPr>
          <w:rFonts w:ascii="仿宋" w:hAnsi="仿宋" w:eastAsia="仿宋" w:cs="仿宋_GB2312"/>
          <w:sz w:val="32"/>
          <w:szCs w:val="32"/>
        </w:rPr>
      </w:pPr>
      <w:r>
        <w:rPr>
          <w:rFonts w:hint="eastAsia" w:ascii="仿宋" w:hAnsi="仿宋" w:eastAsia="仿宋" w:cs="仿宋_GB2312"/>
          <w:sz w:val="32"/>
          <w:szCs w:val="32"/>
        </w:rPr>
        <w:t>2. 基金征收项目绩效目标完成情况综述。项目全年预算数3万元，执行数为3万元，完成预算的100%。该项目主要是扩面征缴，政策宣传，资料收集，信息录入，业务培训，让各乡镇城乡居民应保尽保，全面完成2019年目标任务，发现的主要问题：部分城乡居民对政策一知半解。下一步改进措施：加大宣传力度，让全县人民全面了解城乡居保政策。</w:t>
      </w:r>
    </w:p>
    <w:p w14:paraId="23990781">
      <w:pPr>
        <w:spacing w:line="580" w:lineRule="exact"/>
        <w:ind w:firstLine="630"/>
        <w:rPr>
          <w:rFonts w:ascii="仿宋" w:hAnsi="仿宋" w:eastAsia="仿宋" w:cs="仿宋_GB2312"/>
          <w:sz w:val="32"/>
          <w:szCs w:val="32"/>
        </w:rPr>
      </w:pPr>
      <w:r>
        <w:rPr>
          <w:rFonts w:hint="eastAsia" w:ascii="仿宋" w:hAnsi="仿宋" w:eastAsia="仿宋" w:cs="仿宋_GB2312"/>
          <w:sz w:val="32"/>
          <w:szCs w:val="32"/>
        </w:rPr>
        <w:t>3. 退管工作项目绩效目标完成情况综述。项目全年预算数6万元，执行数为6万元，完成预算的100%。该项目主要是退休人员生存认证、公示及系统录入以及100岁以上待遇领取人员慰问等保障，发现的主要问题：通过慰问发现：部分乡镇的村级代办员对高龄老人的认证工作不认真，个别已死亡人员仍然在领取养老金。下一步改进措施：加大对乡镇生存认证考核力度，力保社保资金的安全。</w:t>
      </w:r>
    </w:p>
    <w:p w14:paraId="72B895A1">
      <w:pPr>
        <w:spacing w:line="580" w:lineRule="exact"/>
        <w:ind w:firstLine="630"/>
        <w:rPr>
          <w:rFonts w:ascii="仿宋" w:hAnsi="仿宋" w:eastAsia="仿宋" w:cs="仿宋_GB2312"/>
          <w:sz w:val="32"/>
          <w:szCs w:val="32"/>
        </w:rPr>
      </w:pPr>
      <w:r>
        <w:rPr>
          <w:rFonts w:hint="eastAsia" w:ascii="仿宋" w:hAnsi="仿宋" w:eastAsia="仿宋" w:cs="仿宋_GB2312"/>
          <w:sz w:val="32"/>
          <w:szCs w:val="32"/>
        </w:rPr>
        <w:t>4. 乡镇生存认证项目绩效目标完成情况综述。项目全年预算数10万元，执行数为10万元，完成预算的100%。根据邻府办发[2013]182号文件，当月在规定时间内上报注销人员无错漏并按时进行公示，按上报人数给予乡镇及村社每人30元生存认证经费，错报、漏报倒扣30元/人。通过项目实施，保障社保资金的安全运行，发现的主要问题：部分乡镇报表不及时、不认真。下一步改进措施：加大对乡镇生存认证考核力度，力保社保资金的安全。</w:t>
      </w:r>
    </w:p>
    <w:p w14:paraId="3F1CADA2">
      <w:pPr>
        <w:spacing w:line="580" w:lineRule="exact"/>
        <w:ind w:firstLine="630"/>
        <w:rPr>
          <w:rFonts w:ascii="仿宋" w:hAnsi="仿宋" w:eastAsia="仿宋" w:cs="仿宋_GB2312"/>
          <w:sz w:val="32"/>
          <w:szCs w:val="32"/>
        </w:rPr>
      </w:pPr>
      <w:r>
        <w:rPr>
          <w:rFonts w:hint="eastAsia" w:ascii="仿宋" w:hAnsi="仿宋" w:eastAsia="仿宋" w:cs="仿宋_GB2312"/>
          <w:sz w:val="32"/>
          <w:szCs w:val="32"/>
        </w:rPr>
        <w:t>5、养老保险缴费补贴项目绩效目标完成情况综述。项目全年预算数240万元，执行数为240万元，完成预算的100%。通过项目实施，保障全县参保缴费居民的正当权益，提高缴费人员的缴费积极性，发现的主要问题：低档次人员较多。下一步改进措施：进一步加大宣传力度，让参保人员体会多缴多得的好处。</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5B0EA0E0">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0660BBA7">
            <w:pPr>
              <w:pStyle w:val="30"/>
              <w:widowControl/>
              <w:ind w:left="4173" w:leftChars="1310" w:hanging="1422" w:hangingChars="395"/>
              <w:textAlignment w:val="center"/>
              <w:rPr>
                <w:rFonts w:ascii="仿宋" w:hAnsi="仿宋" w:eastAsia="仿宋" w:cs="宋体"/>
                <w:color w:val="000000"/>
                <w:sz w:val="32"/>
                <w:szCs w:val="32"/>
              </w:rPr>
            </w:pPr>
            <w:r>
              <w:rPr>
                <w:rFonts w:hint="eastAsia" w:ascii="仿宋" w:hAnsi="仿宋" w:eastAsia="仿宋" w:cs="宋体"/>
                <w:bCs/>
                <w:color w:val="000000"/>
                <w:kern w:val="0"/>
                <w:sz w:val="36"/>
                <w:szCs w:val="36"/>
              </w:rPr>
              <w:t>项目支出绩效目标完成情况表</w:t>
            </w:r>
            <w:r>
              <w:rPr>
                <w:rFonts w:hint="eastAsia" w:ascii="仿宋" w:hAnsi="仿宋" w:eastAsia="仿宋" w:cs="宋体"/>
                <w:b/>
                <w:bCs/>
                <w:color w:val="000000"/>
                <w:kern w:val="0"/>
                <w:sz w:val="36"/>
                <w:szCs w:val="36"/>
              </w:rPr>
              <w:br w:type="textWrapping"/>
            </w:r>
            <w:r>
              <w:rPr>
                <w:rFonts w:hint="eastAsia" w:ascii="仿宋" w:hAnsi="仿宋" w:eastAsia="仿宋" w:cs="宋体"/>
                <w:color w:val="000000"/>
                <w:kern w:val="0"/>
                <w:sz w:val="36"/>
                <w:szCs w:val="36"/>
              </w:rPr>
              <w:t>(2019 年度)</w:t>
            </w:r>
          </w:p>
        </w:tc>
      </w:tr>
      <w:tr w14:paraId="35560A47">
        <w:tblPrEx>
          <w:tblCellMar>
            <w:top w:w="0" w:type="dxa"/>
            <w:left w:w="0" w:type="dxa"/>
            <w:bottom w:w="0" w:type="dxa"/>
            <w:right w:w="0" w:type="dxa"/>
          </w:tblCellMar>
        </w:tblPrEx>
        <w:trPr>
          <w:trHeight w:val="437"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AFD879">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6E6E78">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养老保险缴费补贴</w:t>
            </w:r>
          </w:p>
        </w:tc>
      </w:tr>
      <w:tr w14:paraId="1C0F7330">
        <w:tblPrEx>
          <w:tblCellMar>
            <w:top w:w="0" w:type="dxa"/>
            <w:left w:w="0" w:type="dxa"/>
            <w:bottom w:w="0" w:type="dxa"/>
            <w:right w:w="0" w:type="dxa"/>
          </w:tblCellMar>
        </w:tblPrEx>
        <w:trPr>
          <w:trHeight w:val="682"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239C4C">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6D86B">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邻水县居民社会养老保险局</w:t>
            </w:r>
          </w:p>
        </w:tc>
      </w:tr>
      <w:tr w14:paraId="00A4AE2E">
        <w:tblPrEx>
          <w:tblCellMar>
            <w:top w:w="0" w:type="dxa"/>
            <w:left w:w="0" w:type="dxa"/>
            <w:bottom w:w="0" w:type="dxa"/>
            <w:right w:w="0" w:type="dxa"/>
          </w:tblCellMar>
        </w:tblPrEx>
        <w:trPr>
          <w:trHeight w:val="78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E79FC6">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605C09">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CD3C75">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240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D00D72">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0A9DFF">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240</w:t>
            </w:r>
          </w:p>
        </w:tc>
      </w:tr>
      <w:tr w14:paraId="2F4C53AA">
        <w:tblPrEx>
          <w:tblCellMar>
            <w:top w:w="0" w:type="dxa"/>
            <w:left w:w="0" w:type="dxa"/>
            <w:bottom w:w="0" w:type="dxa"/>
            <w:right w:w="0" w:type="dxa"/>
          </w:tblCellMar>
        </w:tblPrEx>
        <w:trPr>
          <w:trHeight w:val="9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D89F08F">
            <w:pPr>
              <w:widowControl/>
              <w:jc w:val="left"/>
              <w:rPr>
                <w:rFonts w:ascii="仿宋" w:hAnsi="仿宋" w:eastAsia="仿宋" w:cs="宋体"/>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8B3A79">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EA3FC6">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240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E13794">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DAC439">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240</w:t>
            </w:r>
          </w:p>
        </w:tc>
      </w:tr>
      <w:tr w14:paraId="5FE42266">
        <w:tblPrEx>
          <w:tblCellMar>
            <w:top w:w="0" w:type="dxa"/>
            <w:left w:w="0" w:type="dxa"/>
            <w:bottom w:w="0" w:type="dxa"/>
            <w:right w:w="0" w:type="dxa"/>
          </w:tblCellMar>
        </w:tblPrEx>
        <w:trPr>
          <w:trHeight w:val="7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AC1C5FB">
            <w:pPr>
              <w:widowControl/>
              <w:jc w:val="left"/>
              <w:rPr>
                <w:rFonts w:ascii="仿宋" w:hAnsi="仿宋" w:eastAsia="仿宋" w:cs="宋体"/>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E30CA1">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EFA0E0">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51E3B7">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AC220F">
            <w:pPr>
              <w:jc w:val="center"/>
              <w:rPr>
                <w:rFonts w:ascii="仿宋" w:hAnsi="仿宋" w:eastAsia="仿宋" w:cs="宋体"/>
                <w:color w:val="000000"/>
                <w:sz w:val="22"/>
                <w:szCs w:val="22"/>
              </w:rPr>
            </w:pPr>
          </w:p>
        </w:tc>
      </w:tr>
      <w:tr w14:paraId="5BF56565">
        <w:tblPrEx>
          <w:tblCellMar>
            <w:top w:w="0" w:type="dxa"/>
            <w:left w:w="0" w:type="dxa"/>
            <w:bottom w:w="0" w:type="dxa"/>
            <w:right w:w="0" w:type="dxa"/>
          </w:tblCellMar>
        </w:tblPrEx>
        <w:trPr>
          <w:trHeight w:val="49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1804CF">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658694">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4D6756">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实际完成目标</w:t>
            </w:r>
          </w:p>
        </w:tc>
      </w:tr>
      <w:tr w14:paraId="50CA3CCE">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0859C2">
            <w:pPr>
              <w:widowControl/>
              <w:jc w:val="left"/>
              <w:rPr>
                <w:rFonts w:ascii="仿宋" w:hAnsi="仿宋" w:eastAsia="仿宋" w:cs="宋体"/>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27A17">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1、为缴费成功的参保居民13.17万人，按照平均每人41元的标准进行个人缴费补贴，共计540.12万元，县级负担36.4%，即：200万元。2、为非贫困重度一、二级残疾4000人，每人代缴养老保险费100元，计40万元。两项合计240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50A64E">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1、为缴费成功的参保居民13.45人，按照各档次补贴标准进行个人缴费补贴，共计597.82元，县级负担36.4%，即：217.61万元。2、为非贫困重度一、二级残疾662人，每人代缴养老保险费100元，计6.62万元。两项合计224.23万元。</w:t>
            </w:r>
          </w:p>
        </w:tc>
      </w:tr>
      <w:tr w14:paraId="4D860C95">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250966">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70FE3A">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0DC90D">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02D861">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699212">
            <w:pPr>
              <w:widowControl/>
              <w:jc w:val="center"/>
              <w:textAlignment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预期指标值</w:t>
            </w:r>
          </w:p>
          <w:p w14:paraId="572AB69A">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F71CF1">
            <w:pPr>
              <w:widowControl/>
              <w:jc w:val="center"/>
              <w:textAlignment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实际完成指标值</w:t>
            </w:r>
          </w:p>
          <w:p w14:paraId="706781C5">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(包含数字及文字描述)</w:t>
            </w:r>
          </w:p>
        </w:tc>
      </w:tr>
      <w:tr w14:paraId="55C77C36">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1B0C26">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A4EA5C">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755088">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ED3A73">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参保人数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AE8635">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32万人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03A0DA">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39.5万人</w:t>
            </w:r>
          </w:p>
        </w:tc>
      </w:tr>
      <w:tr w14:paraId="0439D6B7">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A4DE5C9">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4E93C2">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2E33F">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084335">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缴费人数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82DD3E">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131738</w:t>
            </w:r>
            <w:r>
              <w:rPr>
                <w:rFonts w:hint="eastAsia" w:ascii="仿宋" w:hAnsi="仿宋" w:eastAsia="仿宋" w:cs="宋体"/>
                <w:color w:val="000000"/>
                <w:sz w:val="22"/>
                <w:szCs w:val="22"/>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0814E">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13</w:t>
            </w:r>
            <w:r>
              <w:rPr>
                <w:rFonts w:hint="eastAsia" w:ascii="仿宋" w:hAnsi="仿宋" w:eastAsia="仿宋" w:cs="宋体"/>
                <w:color w:val="000000"/>
                <w:sz w:val="22"/>
                <w:szCs w:val="22"/>
              </w:rPr>
              <w:t>4523人</w:t>
            </w:r>
          </w:p>
        </w:tc>
      </w:tr>
      <w:tr w14:paraId="3A04AB6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94F3C98">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F1A8EB">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0305E">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5B78AC">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补贴人数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12ED4">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131738</w:t>
            </w:r>
            <w:r>
              <w:rPr>
                <w:rFonts w:hint="eastAsia" w:ascii="仿宋" w:hAnsi="仿宋" w:eastAsia="仿宋" w:cs="宋体"/>
                <w:color w:val="000000"/>
                <w:sz w:val="22"/>
                <w:szCs w:val="22"/>
              </w:rPr>
              <w:t>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2A80BC">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13</w:t>
            </w:r>
            <w:r>
              <w:rPr>
                <w:rFonts w:hint="eastAsia" w:ascii="仿宋" w:hAnsi="仿宋" w:eastAsia="仿宋" w:cs="宋体"/>
                <w:color w:val="000000"/>
                <w:sz w:val="22"/>
                <w:szCs w:val="22"/>
              </w:rPr>
              <w:t>4523人</w:t>
            </w:r>
          </w:p>
        </w:tc>
      </w:tr>
      <w:tr w14:paraId="1E1A8641">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1D837C9">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BD96A7">
            <w:pPr>
              <w:widowControl/>
              <w:jc w:val="center"/>
              <w:textAlignment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FD6E81">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2053F4">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城乡居民参保覆盖率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37D99C">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D31BBA">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98%</w:t>
            </w:r>
          </w:p>
        </w:tc>
      </w:tr>
      <w:tr w14:paraId="338DCCC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0652511">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4850D6">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62EFDB">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AC2E9">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缴费补贴率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E00E8C">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742A64">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100%</w:t>
            </w:r>
          </w:p>
        </w:tc>
      </w:tr>
      <w:tr w14:paraId="34CB2F3A">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ABDCBBB">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B6A144">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E901AC">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B6F790">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待遇领取人员公示率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9E41C3">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6075CA">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100%</w:t>
            </w:r>
          </w:p>
        </w:tc>
      </w:tr>
      <w:tr w14:paraId="03968F6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10EC2DD">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BE5A5">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16B328">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C72F84">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养老保险待遇按月发放率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42E0C">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396FFE">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100%</w:t>
            </w:r>
          </w:p>
        </w:tc>
      </w:tr>
      <w:tr w14:paraId="0996912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D61FDA0">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B2EB19">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B99635">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A97A09">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个人缴费补贴标准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528F23">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40-160元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80033C">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40-160元</w:t>
            </w:r>
          </w:p>
        </w:tc>
      </w:tr>
      <w:tr w14:paraId="3D20500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CF853B6">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FE9035">
            <w:pPr>
              <w:widowControl/>
              <w:jc w:val="center"/>
              <w:textAlignment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16416D">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51472F">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基础养老金标准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B2A69B">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100元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86524">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100元</w:t>
            </w:r>
          </w:p>
        </w:tc>
      </w:tr>
      <w:tr w14:paraId="30389B8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C2A8692">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E46A6D">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A6BF10">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965AB">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待遇领取人员增长率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0F618">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6%</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5D44B">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6</w:t>
            </w:r>
            <w:r>
              <w:rPr>
                <w:rFonts w:ascii="仿宋" w:hAnsi="仿宋" w:eastAsia="仿宋" w:cs="宋体"/>
                <w:color w:val="000000"/>
                <w:sz w:val="22"/>
                <w:szCs w:val="22"/>
              </w:rPr>
              <w:t>%</w:t>
            </w:r>
          </w:p>
        </w:tc>
      </w:tr>
      <w:tr w14:paraId="653CB534">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8F909A">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6A9611">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13549A">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1EE783">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参保缴费增长率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289964">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0A22D2">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8%</w:t>
            </w:r>
          </w:p>
        </w:tc>
      </w:tr>
      <w:tr w14:paraId="4D4EDEED">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65B229">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9A350C">
            <w:pPr>
              <w:widowControl/>
              <w:jc w:val="center"/>
              <w:textAlignment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58BB5B">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793C75">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领取待遇人员生活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E36ED6">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改善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47644">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改善</w:t>
            </w:r>
          </w:p>
        </w:tc>
      </w:tr>
      <w:tr w14:paraId="482E6A24">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122C699">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8BEF5D">
            <w:pPr>
              <w:widowControl/>
              <w:jc w:val="center"/>
              <w:textAlignment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362B73">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5672AD">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政策宣传及执行率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EA8EF2">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822582">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90%</w:t>
            </w:r>
          </w:p>
        </w:tc>
      </w:tr>
      <w:tr w14:paraId="41FEA052">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FEA4D6E">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EF5E8A">
            <w:pPr>
              <w:widowControl/>
              <w:jc w:val="center"/>
              <w:textAlignment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ABDF67">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FD5E91">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满60周岁并符合待遇领取</w:t>
            </w:r>
            <w:r>
              <w:rPr>
                <w:rFonts w:hint="eastAsia" w:ascii="仿宋" w:hAnsi="仿宋" w:eastAsia="仿宋" w:cs="宋体"/>
                <w:color w:val="000000"/>
                <w:sz w:val="22"/>
                <w:szCs w:val="22"/>
                <w:lang w:eastAsia="zh-CN"/>
              </w:rPr>
              <w:t>人员终身保障</w:t>
            </w:r>
            <w:r>
              <w:rPr>
                <w:rFonts w:hint="eastAsia" w:ascii="仿宋" w:hAnsi="仿宋" w:eastAsia="仿宋" w:cs="宋体"/>
                <w:color w:val="000000"/>
                <w:sz w:val="22"/>
                <w:szCs w:val="22"/>
              </w:rPr>
              <w:t>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E3CB06">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F17C95">
            <w:pPr>
              <w:widowControl/>
              <w:jc w:val="center"/>
              <w:textAlignment w:val="center"/>
              <w:rPr>
                <w:rFonts w:ascii="仿宋" w:hAnsi="仿宋" w:eastAsia="仿宋" w:cs="宋体"/>
                <w:color w:val="000000"/>
                <w:sz w:val="22"/>
                <w:szCs w:val="22"/>
              </w:rPr>
            </w:pPr>
            <w:r>
              <w:rPr>
                <w:rFonts w:ascii="仿宋" w:hAnsi="仿宋" w:eastAsia="仿宋" w:cs="宋体"/>
                <w:color w:val="000000"/>
                <w:sz w:val="22"/>
                <w:szCs w:val="22"/>
              </w:rPr>
              <w:t>100%</w:t>
            </w:r>
          </w:p>
        </w:tc>
      </w:tr>
      <w:tr w14:paraId="470C5EA5">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6DDE7F1">
            <w:pPr>
              <w:widowControl/>
              <w:jc w:val="left"/>
              <w:rPr>
                <w:rFonts w:ascii="仿宋" w:hAnsi="仿宋" w:eastAsia="仿宋"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9CC2D">
            <w:pPr>
              <w:widowControl/>
              <w:jc w:val="center"/>
              <w:textAlignment w:val="center"/>
              <w:rPr>
                <w:rFonts w:ascii="仿宋" w:hAnsi="仿宋" w:eastAsia="仿宋" w:cs="宋体"/>
                <w:color w:val="000000"/>
                <w:sz w:val="22"/>
                <w:szCs w:val="22"/>
              </w:rPr>
            </w:pPr>
            <w:r>
              <w:rPr>
                <w:rFonts w:hint="eastAsia" w:ascii="仿宋" w:hAnsi="仿宋" w:eastAsia="仿宋" w:cs="宋体"/>
                <w:color w:val="000000"/>
                <w:kern w:val="0"/>
                <w:sz w:val="22"/>
                <w:szCs w:val="22"/>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84903D">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137814">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参保人员满意度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814EA">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大于等于90%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7AD67">
            <w:pPr>
              <w:widowControl/>
              <w:jc w:val="center"/>
              <w:textAlignment w:val="center"/>
              <w:rPr>
                <w:rFonts w:ascii="仿宋" w:hAnsi="仿宋" w:eastAsia="仿宋" w:cs="宋体"/>
                <w:color w:val="000000"/>
                <w:sz w:val="22"/>
                <w:szCs w:val="22"/>
              </w:rPr>
            </w:pPr>
            <w:r>
              <w:rPr>
                <w:rFonts w:hint="eastAsia" w:ascii="仿宋" w:hAnsi="仿宋" w:eastAsia="仿宋" w:cs="宋体"/>
                <w:color w:val="000000"/>
                <w:sz w:val="22"/>
                <w:szCs w:val="22"/>
              </w:rPr>
              <w:t>大于等于90%</w:t>
            </w:r>
          </w:p>
        </w:tc>
      </w:tr>
    </w:tbl>
    <w:p w14:paraId="43249ACD">
      <w:pPr>
        <w:spacing w:line="580" w:lineRule="exact"/>
        <w:rPr>
          <w:rFonts w:ascii="仿宋" w:hAnsi="仿宋" w:eastAsia="仿宋" w:cs="仿宋_GB2312"/>
          <w:sz w:val="32"/>
          <w:szCs w:val="32"/>
        </w:rPr>
      </w:pPr>
      <w:r>
        <w:rPr>
          <w:rFonts w:hint="eastAsia" w:ascii="仿宋" w:hAnsi="仿宋" w:eastAsia="仿宋" w:cs="楷体_GB2312"/>
          <w:b/>
          <w:bCs/>
          <w:sz w:val="32"/>
          <w:szCs w:val="32"/>
        </w:rPr>
        <w:t>（三）部门开展绩效评价结果。</w:t>
      </w:r>
    </w:p>
    <w:p w14:paraId="250E46F7">
      <w:pPr>
        <w:widowControl/>
        <w:spacing w:line="360" w:lineRule="auto"/>
        <w:contextualSpacing/>
        <w:jc w:val="left"/>
        <w:rPr>
          <w:rFonts w:ascii="仿宋" w:hAnsi="仿宋" w:eastAsia="仿宋" w:cs="仿宋_GB2312"/>
          <w:sz w:val="32"/>
          <w:szCs w:val="32"/>
        </w:rPr>
      </w:pPr>
      <w:r>
        <w:rPr>
          <w:rFonts w:hint="eastAsia" w:ascii="仿宋" w:hAnsi="仿宋" w:eastAsia="仿宋" w:cs="仿宋_GB2312"/>
          <w:sz w:val="32"/>
          <w:szCs w:val="32"/>
        </w:rPr>
        <w:t>本部门按要求对2019年部门整体支出绩效评价情况开展自评，《</w:t>
      </w:r>
      <w:r>
        <w:rPr>
          <w:rFonts w:hint="eastAsia" w:ascii="仿宋" w:hAnsi="仿宋" w:eastAsia="仿宋"/>
          <w:sz w:val="32"/>
          <w:szCs w:val="32"/>
          <w:shd w:val="clear" w:color="auto" w:fill="FFFFFF"/>
        </w:rPr>
        <w:t>邻水县城乡居民社会养老保险局</w:t>
      </w:r>
      <w:r>
        <w:rPr>
          <w:rFonts w:hint="eastAsia" w:ascii="仿宋" w:hAnsi="仿宋" w:eastAsia="仿宋" w:cs="仿宋_GB2312"/>
          <w:sz w:val="32"/>
          <w:szCs w:val="32"/>
        </w:rPr>
        <w:t>2019年部门整体支出绩效评价报告》见附件。</w:t>
      </w:r>
    </w:p>
    <w:p w14:paraId="31FC5DE8">
      <w:pPr>
        <w:widowControl/>
        <w:spacing w:line="360" w:lineRule="auto"/>
        <w:contextualSpacing/>
        <w:jc w:val="left"/>
        <w:rPr>
          <w:rStyle w:val="17"/>
          <w:rFonts w:ascii="仿宋" w:hAnsi="仿宋" w:eastAsia="仿宋"/>
        </w:rPr>
      </w:pPr>
      <w:r>
        <w:rPr>
          <w:rFonts w:hint="eastAsia" w:ascii="仿宋" w:hAnsi="仿宋" w:eastAsia="仿宋"/>
          <w:color w:val="000000"/>
          <w:sz w:val="32"/>
          <w:szCs w:val="32"/>
        </w:rPr>
        <w:t>十</w:t>
      </w:r>
      <w:r>
        <w:rPr>
          <w:rStyle w:val="17"/>
          <w:rFonts w:hint="eastAsia" w:ascii="仿宋" w:hAnsi="仿宋" w:eastAsia="仿宋"/>
        </w:rPr>
        <w:t>一、其他重要事项的情况说明</w:t>
      </w:r>
      <w:bookmarkEnd w:id="46"/>
      <w:bookmarkEnd w:id="47"/>
    </w:p>
    <w:p w14:paraId="61EA061D">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0214971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2019年度，机关运行经费支出15万元，比2018年增加3万元，增长25%，主要是人员的增加，使得运行经费相应增长。</w:t>
      </w:r>
    </w:p>
    <w:p w14:paraId="5A3D03A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788A05D2">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2019年度，政府采购支出总额5.303万元，其中：政府采购货物支出5.303万元。主要用于</w:t>
      </w:r>
      <w:r>
        <w:rPr>
          <w:rFonts w:hint="eastAsia" w:ascii="仿宋" w:hAnsi="仿宋" w:eastAsia="仿宋"/>
          <w:sz w:val="32"/>
          <w:szCs w:val="32"/>
        </w:rPr>
        <w:t>个人档案袋、参保登记表、</w:t>
      </w:r>
      <w:r>
        <w:rPr>
          <w:rFonts w:hint="eastAsia" w:ascii="仿宋" w:hAnsi="仿宋" w:eastAsia="仿宋"/>
          <w:color w:val="000000"/>
          <w:sz w:val="32"/>
          <w:szCs w:val="32"/>
        </w:rPr>
        <w:t>待遇领取通知书及政策宣传单等印刷资料3.473元，办公电脑1.83万元。</w:t>
      </w:r>
    </w:p>
    <w:p w14:paraId="62A3AE5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19D501D2">
      <w:pPr>
        <w:pStyle w:val="5"/>
        <w:adjustRightInd w:val="0"/>
        <w:snapToGrid w:val="0"/>
        <w:spacing w:before="93"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本单位所在房屋权属人社局，在人员到位之前的电脑及空调已由人社局购买</w:t>
      </w:r>
      <w:r>
        <w:rPr>
          <w:rFonts w:hint="eastAsia" w:ascii="仿宋" w:hAnsi="仿宋" w:eastAsia="仿宋"/>
          <w:color w:val="000000"/>
          <w:sz w:val="32"/>
          <w:szCs w:val="32"/>
          <w:lang w:eastAsia="zh-CN"/>
        </w:rPr>
        <w:t>并入账</w:t>
      </w:r>
      <w:r>
        <w:rPr>
          <w:rFonts w:hint="eastAsia" w:ascii="仿宋" w:hAnsi="仿宋" w:eastAsia="仿宋"/>
          <w:color w:val="000000"/>
          <w:sz w:val="32"/>
          <w:szCs w:val="32"/>
        </w:rPr>
        <w:t>。人员到位至今，购买档案室设备：密集架一套，消毒柜一台、扫描仪一台、除湿机一台、空调机一台、档案室装订机，和其他办公设备：财务装订机各一台、台式电脑</w:t>
      </w: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台、手提电脑一台、打印机一台、</w:t>
      </w:r>
      <w:r>
        <w:rPr>
          <w:rFonts w:hint="eastAsia" w:ascii="仿宋" w:hAnsi="仿宋" w:eastAsia="仿宋"/>
          <w:color w:val="000000"/>
          <w:sz w:val="32"/>
          <w:szCs w:val="32"/>
          <w:lang w:eastAsia="zh-CN"/>
        </w:rPr>
        <w:t>针孔打印机一台，</w:t>
      </w:r>
      <w:r>
        <w:rPr>
          <w:rFonts w:hint="eastAsia" w:ascii="仿宋" w:hAnsi="仿宋" w:eastAsia="仿宋"/>
          <w:color w:val="000000"/>
          <w:sz w:val="32"/>
          <w:szCs w:val="32"/>
        </w:rPr>
        <w:t>相机一部、政府财务软件一套，桌椅及文柜各一套，现在正常使用中，无报废和其他处理情况。</w:t>
      </w:r>
    </w:p>
    <w:p w14:paraId="7ECA99ED">
      <w:pPr>
        <w:spacing w:line="600" w:lineRule="atLeast"/>
        <w:ind w:firstLine="643" w:firstLineChars="200"/>
        <w:rPr>
          <w:rFonts w:ascii="仿宋" w:hAnsi="仿宋" w:eastAsia="仿宋"/>
          <w:b/>
          <w:color w:val="000000"/>
          <w:sz w:val="32"/>
          <w:szCs w:val="32"/>
        </w:rPr>
      </w:pPr>
    </w:p>
    <w:p w14:paraId="06BD2920">
      <w:pPr>
        <w:widowControl/>
        <w:jc w:val="left"/>
        <w:rPr>
          <w:rFonts w:ascii="仿宋" w:hAnsi="仿宋" w:eastAsia="仿宋"/>
          <w:b/>
          <w:color w:val="000000"/>
          <w:sz w:val="32"/>
          <w:szCs w:val="32"/>
        </w:rPr>
      </w:pPr>
    </w:p>
    <w:p w14:paraId="0A88F350">
      <w:pPr>
        <w:numPr>
          <w:ilvl w:val="0"/>
          <w:numId w:val="3"/>
        </w:numPr>
        <w:spacing w:line="600" w:lineRule="exact"/>
        <w:ind w:firstLine="663" w:firstLineChars="150"/>
        <w:jc w:val="center"/>
        <w:outlineLvl w:val="0"/>
        <w:rPr>
          <w:rStyle w:val="16"/>
          <w:rFonts w:ascii="仿宋" w:hAnsi="仿宋" w:eastAsia="仿宋"/>
          <w:b w:val="0"/>
        </w:rPr>
      </w:pPr>
      <w:bookmarkStart w:id="51" w:name="_Toc15377225"/>
      <w:bookmarkStart w:id="52" w:name="_Toc15396613"/>
      <w:r>
        <w:rPr>
          <w:rFonts w:hint="eastAsia" w:ascii="仿宋" w:hAnsi="仿宋" w:eastAsia="仿宋"/>
          <w:b/>
          <w:color w:val="000000"/>
          <w:sz w:val="44"/>
          <w:szCs w:val="44"/>
        </w:rPr>
        <w:t>名</w:t>
      </w:r>
      <w:r>
        <w:rPr>
          <w:rStyle w:val="16"/>
          <w:rFonts w:hint="eastAsia" w:ascii="仿宋" w:hAnsi="仿宋" w:eastAsia="仿宋"/>
        </w:rPr>
        <w:t>词解释</w:t>
      </w:r>
      <w:bookmarkEnd w:id="51"/>
      <w:bookmarkEnd w:id="52"/>
    </w:p>
    <w:p w14:paraId="3B7F1CAE">
      <w:pPr>
        <w:spacing w:line="600" w:lineRule="exact"/>
        <w:jc w:val="left"/>
        <w:rPr>
          <w:rFonts w:ascii="仿宋" w:hAnsi="仿宋" w:eastAsia="仿宋"/>
          <w:b/>
          <w:color w:val="000000"/>
          <w:sz w:val="44"/>
          <w:szCs w:val="44"/>
        </w:rPr>
      </w:pPr>
    </w:p>
    <w:p w14:paraId="25C9A18C">
      <w:pPr>
        <w:pStyle w:val="23"/>
        <w:spacing w:before="93" w:line="560" w:lineRule="exact"/>
        <w:ind w:firstLine="640" w:firstLineChars="200"/>
        <w:rPr>
          <w:rFonts w:hAnsi="仿宋"/>
          <w:sz w:val="32"/>
          <w:szCs w:val="32"/>
        </w:rPr>
      </w:pPr>
      <w:r>
        <w:rPr>
          <w:rFonts w:hint="eastAsia" w:hAnsi="仿宋"/>
          <w:sz w:val="32"/>
          <w:szCs w:val="32"/>
        </w:rPr>
        <w:t xml:space="preserve">1.财政拨款收入：指县级财政当年拨付的资金。 </w:t>
      </w:r>
    </w:p>
    <w:p w14:paraId="380D46BC">
      <w:pPr>
        <w:pStyle w:val="23"/>
        <w:spacing w:line="560" w:lineRule="exact"/>
        <w:ind w:firstLine="640" w:firstLineChars="200"/>
        <w:rPr>
          <w:rFonts w:hAnsi="仿宋"/>
          <w:sz w:val="32"/>
          <w:szCs w:val="32"/>
        </w:rPr>
      </w:pPr>
      <w:r>
        <w:rPr>
          <w:rFonts w:hint="eastAsia" w:hAnsi="仿宋"/>
          <w:sz w:val="32"/>
          <w:szCs w:val="32"/>
        </w:rPr>
        <w:t xml:space="preserve">2. 年初结转和结余：指2019年度尚未完成、结转到本年按有关规定继续使用的资金。 </w:t>
      </w:r>
    </w:p>
    <w:p w14:paraId="3DF5625D">
      <w:pPr>
        <w:ind w:firstLine="640" w:firstLineChars="200"/>
        <w:rPr>
          <w:rFonts w:ascii="仿宋" w:hAnsi="仿宋" w:eastAsia="仿宋"/>
          <w:color w:val="000000"/>
          <w:sz w:val="32"/>
          <w:szCs w:val="32"/>
        </w:rPr>
      </w:pPr>
      <w:r>
        <w:rPr>
          <w:rFonts w:hint="eastAsia" w:ascii="仿宋" w:hAnsi="仿宋" w:eastAsia="仿宋"/>
          <w:color w:val="000000"/>
          <w:sz w:val="32"/>
          <w:szCs w:val="32"/>
        </w:rPr>
        <w:t>3.社会保障和就业支出：具体包括</w:t>
      </w:r>
      <w:r>
        <w:rPr>
          <w:rFonts w:hint="eastAsia" w:ascii="仿宋" w:hAnsi="仿宋" w:eastAsia="仿宋"/>
          <w:color w:val="000000"/>
          <w:sz w:val="32"/>
          <w:szCs w:val="32"/>
          <w:lang w:eastAsia="zh-CN"/>
        </w:rPr>
        <w:t>社会保障和就业</w:t>
      </w:r>
      <w:r>
        <w:rPr>
          <w:rFonts w:hint="eastAsia" w:ascii="仿宋" w:hAnsi="仿宋" w:eastAsia="仿宋"/>
          <w:color w:val="000000"/>
          <w:sz w:val="32"/>
          <w:szCs w:val="32"/>
        </w:rPr>
        <w:t>管理障事务、民政管理事务、财政对社保基金的补助、行政事业单位离退休、就业补助、抚恤、退役安置等支出。</w:t>
      </w:r>
    </w:p>
    <w:p w14:paraId="57167896">
      <w:pPr>
        <w:spacing w:line="600" w:lineRule="exact"/>
        <w:ind w:firstLine="640"/>
        <w:rPr>
          <w:rStyle w:val="14"/>
          <w:rFonts w:ascii="仿宋" w:hAnsi="仿宋" w:eastAsia="仿宋" w:cs="仿宋_GB2312"/>
          <w:b w:val="0"/>
          <w:color w:val="000000"/>
          <w:sz w:val="32"/>
          <w:szCs w:val="32"/>
        </w:rPr>
      </w:pPr>
      <w:r>
        <w:rPr>
          <w:rFonts w:hint="eastAsia" w:ascii="仿宋" w:hAnsi="仿宋" w:eastAsia="仿宋" w:cs="仿宋_GB2312"/>
          <w:bCs/>
          <w:i/>
          <w:color w:val="404040"/>
          <w:sz w:val="32"/>
          <w:szCs w:val="32"/>
        </w:rPr>
        <w:t>4、</w:t>
      </w:r>
      <w:r>
        <w:rPr>
          <w:rStyle w:val="14"/>
          <w:rFonts w:hint="eastAsia" w:ascii="仿宋" w:hAnsi="仿宋" w:eastAsia="仿宋" w:cs="仿宋_GB2312"/>
          <w:color w:val="000000"/>
          <w:sz w:val="32"/>
          <w:szCs w:val="32"/>
        </w:rPr>
        <w:t>医疗卫生与计划生育支出：反映政府用于医疗卫生方面的支出，包括医疗卫生管理事务、医疗保障等。</w:t>
      </w:r>
    </w:p>
    <w:p w14:paraId="7ACE2911">
      <w:pPr>
        <w:spacing w:line="600" w:lineRule="exact"/>
        <w:ind w:firstLine="640"/>
        <w:rPr>
          <w:rFonts w:ascii="仿宋" w:hAnsi="仿宋" w:eastAsia="仿宋" w:cs="仿宋_GB2312"/>
          <w:bCs/>
          <w:iCs/>
          <w:color w:val="404040"/>
          <w:sz w:val="32"/>
          <w:szCs w:val="32"/>
        </w:rPr>
      </w:pPr>
      <w:r>
        <w:rPr>
          <w:rFonts w:hint="eastAsia" w:ascii="仿宋" w:hAnsi="仿宋" w:eastAsia="仿宋" w:cs="仿宋_GB2312"/>
          <w:bCs/>
          <w:iCs/>
          <w:color w:val="404040"/>
          <w:sz w:val="32"/>
          <w:szCs w:val="32"/>
        </w:rPr>
        <w:t>5、住房保障支出：</w:t>
      </w:r>
      <w:r>
        <w:rPr>
          <w:rStyle w:val="14"/>
          <w:rFonts w:hint="eastAsia" w:ascii="仿宋" w:hAnsi="仿宋" w:eastAsia="仿宋" w:cs="仿宋_GB2312"/>
          <w:color w:val="000000"/>
          <w:sz w:val="32"/>
          <w:szCs w:val="32"/>
        </w:rPr>
        <w:t>反映政府用于</w:t>
      </w:r>
      <w:r>
        <w:rPr>
          <w:rFonts w:hint="eastAsia" w:ascii="仿宋" w:hAnsi="仿宋" w:eastAsia="仿宋" w:cs="仿宋_GB2312"/>
          <w:bCs/>
          <w:iCs/>
          <w:color w:val="404040"/>
          <w:sz w:val="32"/>
          <w:szCs w:val="32"/>
        </w:rPr>
        <w:t>住房保障</w:t>
      </w:r>
      <w:r>
        <w:rPr>
          <w:rStyle w:val="14"/>
          <w:rFonts w:hint="eastAsia" w:ascii="仿宋" w:hAnsi="仿宋" w:eastAsia="仿宋" w:cs="仿宋_GB2312"/>
          <w:color w:val="000000"/>
          <w:sz w:val="32"/>
          <w:szCs w:val="32"/>
        </w:rPr>
        <w:t>方面的支出，包括保障性住房支出、住房改革支出和城乡社区住宅支出等。</w:t>
      </w:r>
    </w:p>
    <w:p w14:paraId="57A2F52F">
      <w:pPr>
        <w:ind w:firstLine="640" w:firstLineChars="200"/>
        <w:rPr>
          <w:rFonts w:ascii="仿宋" w:hAnsi="仿宋" w:eastAsia="仿宋"/>
          <w:color w:val="000000"/>
          <w:sz w:val="32"/>
          <w:szCs w:val="32"/>
        </w:rPr>
      </w:pPr>
      <w:r>
        <w:rPr>
          <w:rFonts w:hint="eastAsia" w:ascii="仿宋" w:hAnsi="仿宋" w:eastAsia="仿宋"/>
          <w:color w:val="000000"/>
          <w:sz w:val="32"/>
          <w:szCs w:val="32"/>
        </w:rPr>
        <w:t>6.年末结转和结余：指本年度或以前年度预算安排、因客观条件发生变化无法按原计划实施，需延迟到以后年度按有关规定继续使用的资金。</w:t>
      </w:r>
    </w:p>
    <w:p w14:paraId="02A4C274">
      <w:pPr>
        <w:ind w:firstLine="640" w:firstLineChars="200"/>
        <w:rPr>
          <w:rFonts w:ascii="仿宋" w:hAnsi="仿宋" w:eastAsia="仿宋"/>
          <w:color w:val="000000"/>
          <w:sz w:val="32"/>
          <w:szCs w:val="32"/>
        </w:rPr>
      </w:pPr>
      <w:r>
        <w:rPr>
          <w:rFonts w:hint="eastAsia" w:ascii="仿宋" w:hAnsi="仿宋" w:eastAsia="仿宋"/>
          <w:color w:val="000000"/>
          <w:sz w:val="32"/>
          <w:szCs w:val="32"/>
        </w:rPr>
        <w:t>7.基本支出：指为保障机构正常运转、完成日常工作任务而发生的人员支出和公用支出。</w:t>
      </w:r>
    </w:p>
    <w:p w14:paraId="7FB3AD6A">
      <w:pPr>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8.项目支出：指在基本支出之外为完成特定行政任务和事业发展目标所发生的支出。 </w:t>
      </w:r>
    </w:p>
    <w:p w14:paraId="7FC905CA">
      <w:pPr>
        <w:pStyle w:val="23"/>
        <w:spacing w:line="560" w:lineRule="exact"/>
        <w:ind w:firstLine="640" w:firstLineChars="200"/>
        <w:rPr>
          <w:rFonts w:hAnsi="仿宋"/>
          <w:sz w:val="32"/>
          <w:szCs w:val="32"/>
        </w:rPr>
      </w:pPr>
      <w:r>
        <w:rPr>
          <w:rFonts w:hint="eastAsia" w:hAnsi="仿宋"/>
          <w:sz w:val="32"/>
          <w:szCs w:val="32"/>
        </w:rPr>
        <w:t>9.“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2DD79C0">
      <w:pPr>
        <w:pStyle w:val="23"/>
        <w:spacing w:line="560" w:lineRule="exact"/>
        <w:ind w:firstLine="640" w:firstLineChars="200"/>
        <w:rPr>
          <w:rFonts w:hAnsi="仿宋"/>
          <w:sz w:val="32"/>
          <w:szCs w:val="32"/>
        </w:rPr>
      </w:pPr>
      <w:r>
        <w:rPr>
          <w:rFonts w:hint="eastAsia" w:hAnsi="仿宋"/>
          <w:sz w:val="32"/>
          <w:szCs w:val="32"/>
        </w:rPr>
        <w:t>10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D1CD6D">
      <w:pPr>
        <w:rPr>
          <w:rFonts w:ascii="仿宋" w:hAnsi="仿宋" w:eastAsia="仿宋"/>
          <w:color w:val="000000"/>
          <w:sz w:val="32"/>
          <w:szCs w:val="32"/>
        </w:rPr>
      </w:pPr>
      <w:r>
        <w:rPr>
          <w:rFonts w:hint="eastAsia" w:ascii="仿宋" w:hAnsi="仿宋" w:eastAsia="仿宋"/>
          <w:color w:val="000000"/>
          <w:sz w:val="32"/>
          <w:szCs w:val="32"/>
        </w:rPr>
        <w:t xml:space="preserve">    ......</w:t>
      </w:r>
    </w:p>
    <w:p w14:paraId="377941E7">
      <w:pPr>
        <w:spacing w:line="600" w:lineRule="exact"/>
        <w:jc w:val="center"/>
        <w:outlineLvl w:val="0"/>
        <w:rPr>
          <w:rFonts w:ascii="仿宋" w:hAnsi="仿宋" w:eastAsia="仿宋"/>
          <w:color w:val="000000"/>
          <w:sz w:val="44"/>
          <w:szCs w:val="44"/>
        </w:rPr>
      </w:pPr>
      <w:bookmarkStart w:id="53" w:name="_Toc15396614"/>
      <w:bookmarkStart w:id="54" w:name="_Toc15377226"/>
    </w:p>
    <w:p w14:paraId="13259295">
      <w:pPr>
        <w:spacing w:line="600" w:lineRule="exact"/>
        <w:jc w:val="center"/>
        <w:outlineLvl w:val="0"/>
        <w:rPr>
          <w:rFonts w:ascii="仿宋" w:hAnsi="仿宋" w:eastAsia="仿宋"/>
          <w:color w:val="000000"/>
          <w:sz w:val="44"/>
          <w:szCs w:val="44"/>
        </w:rPr>
      </w:pPr>
    </w:p>
    <w:p w14:paraId="7671D423">
      <w:pPr>
        <w:spacing w:line="600" w:lineRule="exact"/>
        <w:jc w:val="center"/>
        <w:outlineLvl w:val="0"/>
        <w:rPr>
          <w:rFonts w:ascii="仿宋" w:hAnsi="仿宋" w:eastAsia="仿宋"/>
          <w:color w:val="000000"/>
          <w:sz w:val="44"/>
          <w:szCs w:val="44"/>
        </w:rPr>
      </w:pPr>
    </w:p>
    <w:p w14:paraId="549A89DA">
      <w:pPr>
        <w:spacing w:line="600" w:lineRule="exact"/>
        <w:jc w:val="center"/>
        <w:outlineLvl w:val="0"/>
        <w:rPr>
          <w:rFonts w:ascii="仿宋" w:hAnsi="仿宋" w:eastAsia="仿宋"/>
          <w:color w:val="000000"/>
          <w:sz w:val="44"/>
          <w:szCs w:val="44"/>
        </w:rPr>
      </w:pPr>
    </w:p>
    <w:p w14:paraId="72EE447C">
      <w:pPr>
        <w:spacing w:line="600" w:lineRule="exact"/>
        <w:jc w:val="center"/>
        <w:outlineLvl w:val="0"/>
        <w:rPr>
          <w:rFonts w:ascii="仿宋" w:hAnsi="仿宋" w:eastAsia="仿宋"/>
          <w:color w:val="000000"/>
          <w:sz w:val="44"/>
          <w:szCs w:val="44"/>
        </w:rPr>
      </w:pPr>
    </w:p>
    <w:p w14:paraId="0AE43530">
      <w:pPr>
        <w:spacing w:line="600" w:lineRule="exact"/>
        <w:jc w:val="center"/>
        <w:outlineLvl w:val="0"/>
        <w:rPr>
          <w:rFonts w:ascii="仿宋" w:hAnsi="仿宋" w:eastAsia="仿宋"/>
          <w:color w:val="000000"/>
          <w:sz w:val="44"/>
          <w:szCs w:val="44"/>
        </w:rPr>
      </w:pPr>
    </w:p>
    <w:p w14:paraId="7365996B">
      <w:pPr>
        <w:spacing w:line="600" w:lineRule="exact"/>
        <w:jc w:val="center"/>
        <w:outlineLvl w:val="0"/>
        <w:rPr>
          <w:rFonts w:ascii="仿宋" w:hAnsi="仿宋" w:eastAsia="仿宋"/>
          <w:color w:val="000000"/>
          <w:sz w:val="44"/>
          <w:szCs w:val="44"/>
        </w:rPr>
      </w:pPr>
    </w:p>
    <w:p w14:paraId="6D1C95CE">
      <w:pPr>
        <w:spacing w:line="600" w:lineRule="exact"/>
        <w:jc w:val="center"/>
        <w:outlineLvl w:val="0"/>
        <w:rPr>
          <w:rStyle w:val="16"/>
          <w:rFonts w:ascii="仿宋" w:hAnsi="仿宋" w:eastAsia="仿宋"/>
          <w:b w:val="0"/>
        </w:rPr>
      </w:pPr>
      <w:r>
        <w:rPr>
          <w:rFonts w:hint="eastAsia" w:ascii="仿宋" w:hAnsi="仿宋" w:eastAsia="仿宋"/>
          <w:color w:val="000000"/>
          <w:sz w:val="44"/>
          <w:szCs w:val="44"/>
        </w:rPr>
        <w:t>第</w:t>
      </w:r>
      <w:r>
        <w:rPr>
          <w:rStyle w:val="16"/>
          <w:rFonts w:hint="eastAsia" w:ascii="仿宋" w:hAnsi="仿宋" w:eastAsia="仿宋"/>
        </w:rPr>
        <w:t>四部分 附件</w:t>
      </w:r>
      <w:bookmarkEnd w:id="53"/>
    </w:p>
    <w:p w14:paraId="01F8FDA4">
      <w:pPr>
        <w:widowControl/>
        <w:spacing w:line="360" w:lineRule="auto"/>
        <w:contextualSpacing/>
        <w:jc w:val="left"/>
        <w:rPr>
          <w:rFonts w:ascii="仿宋" w:hAnsi="仿宋" w:eastAsia="仿宋"/>
          <w:sz w:val="32"/>
          <w:szCs w:val="32"/>
          <w:shd w:val="clear" w:color="auto" w:fill="FFFFFF"/>
        </w:rPr>
      </w:pPr>
    </w:p>
    <w:p w14:paraId="04FD77C0">
      <w:pPr>
        <w:widowControl/>
        <w:spacing w:line="360" w:lineRule="auto"/>
        <w:contextualSpacing/>
        <w:jc w:val="center"/>
        <w:rPr>
          <w:rFonts w:ascii="仿宋" w:hAnsi="仿宋" w:eastAsia="仿宋"/>
          <w:b/>
          <w:sz w:val="44"/>
          <w:szCs w:val="44"/>
          <w:shd w:val="clear" w:color="auto" w:fill="FFFFFF"/>
        </w:rPr>
      </w:pPr>
      <w:r>
        <w:rPr>
          <w:rFonts w:hint="eastAsia" w:ascii="仿宋" w:hAnsi="仿宋" w:eastAsia="仿宋"/>
          <w:b/>
          <w:sz w:val="44"/>
          <w:szCs w:val="44"/>
          <w:shd w:val="clear" w:color="auto" w:fill="FFFFFF"/>
        </w:rPr>
        <w:t>邻水县城乡居民社会养老保险局</w:t>
      </w:r>
    </w:p>
    <w:p w14:paraId="1A1F1322">
      <w:pPr>
        <w:widowControl/>
        <w:spacing w:line="360" w:lineRule="auto"/>
        <w:contextualSpacing/>
        <w:jc w:val="center"/>
        <w:rPr>
          <w:rFonts w:ascii="仿宋" w:hAnsi="仿宋" w:eastAsia="仿宋"/>
          <w:b/>
          <w:sz w:val="44"/>
          <w:szCs w:val="44"/>
          <w:shd w:val="clear" w:color="auto" w:fill="FFFFFF"/>
        </w:rPr>
      </w:pPr>
      <w:r>
        <w:rPr>
          <w:rFonts w:hint="eastAsia" w:ascii="仿宋" w:hAnsi="仿宋" w:eastAsia="仿宋"/>
          <w:b/>
          <w:sz w:val="44"/>
          <w:szCs w:val="44"/>
          <w:shd w:val="clear" w:color="auto" w:fill="FFFFFF"/>
        </w:rPr>
        <w:t>2019年度部门整体支出绩效评价报告</w:t>
      </w:r>
    </w:p>
    <w:p w14:paraId="0473E4DC">
      <w:pPr>
        <w:widowControl/>
        <w:adjustRightInd w:val="0"/>
        <w:snapToGrid w:val="0"/>
        <w:spacing w:line="360" w:lineRule="auto"/>
        <w:ind w:firstLine="420" w:firstLineChars="200"/>
        <w:contextualSpacing/>
        <w:jc w:val="left"/>
        <w:rPr>
          <w:rFonts w:ascii="仿宋" w:hAnsi="仿宋" w:eastAsia="仿宋" w:cs="宋体"/>
          <w:color w:val="000000"/>
          <w:kern w:val="0"/>
          <w:szCs w:val="32"/>
          <w:shd w:val="clear" w:color="auto" w:fill="FFFFFF"/>
        </w:rPr>
      </w:pPr>
    </w:p>
    <w:p w14:paraId="07110C65">
      <w:pPr>
        <w:widowControl/>
        <w:spacing w:line="360" w:lineRule="auto"/>
        <w:rPr>
          <w:rFonts w:ascii="仿宋" w:hAnsi="仿宋" w:eastAsia="仿宋" w:cs="宋体"/>
          <w:kern w:val="0"/>
          <w:sz w:val="32"/>
          <w:szCs w:val="32"/>
        </w:rPr>
      </w:pPr>
      <w:r>
        <w:rPr>
          <w:rFonts w:hint="eastAsia" w:ascii="仿宋" w:hAnsi="仿宋" w:eastAsia="仿宋" w:cs="宋体"/>
          <w:kern w:val="0"/>
          <w:sz w:val="32"/>
          <w:szCs w:val="32"/>
        </w:rPr>
        <w:t>县财政局：</w:t>
      </w:r>
    </w:p>
    <w:p w14:paraId="65CF04EA">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为进一步规范财政资金管理，牢固树立预算绩效理念，强化支出责任，提高财政资金使用效益，根据《邻水县财政局关于开展2019年财政支出绩效评价工作的通知》（邻财预[2019]6号），结合我局的具体情况，认真组织开展了2019年度部门预算绩效自评工作，现将我局2019年度部门整体支出绩效评价情况报告如下</w:t>
      </w:r>
    </w:p>
    <w:p w14:paraId="59844DB6">
      <w:pPr>
        <w:widowControl/>
        <w:adjustRightInd w:val="0"/>
        <w:snapToGrid w:val="0"/>
        <w:spacing w:line="360" w:lineRule="auto"/>
        <w:ind w:firstLine="643" w:firstLineChars="200"/>
        <w:contextualSpacing/>
        <w:jc w:val="left"/>
        <w:rPr>
          <w:rFonts w:ascii="仿宋" w:hAnsi="仿宋" w:eastAsia="仿宋" w:cs="宋体"/>
          <w:b/>
          <w:color w:val="000000"/>
          <w:kern w:val="0"/>
          <w:sz w:val="32"/>
          <w:szCs w:val="32"/>
          <w:shd w:val="clear" w:color="auto" w:fill="FFFFFF"/>
          <w:lang w:val="zh-CN"/>
        </w:rPr>
      </w:pPr>
      <w:r>
        <w:rPr>
          <w:rFonts w:hint="eastAsia" w:ascii="仿宋" w:hAnsi="仿宋" w:eastAsia="仿宋" w:cs="宋体"/>
          <w:b/>
          <w:color w:val="000000"/>
          <w:kern w:val="0"/>
          <w:sz w:val="32"/>
          <w:szCs w:val="32"/>
          <w:shd w:val="clear" w:color="auto" w:fill="FFFFFF"/>
        </w:rPr>
        <w:t>一、</w:t>
      </w:r>
      <w:r>
        <w:rPr>
          <w:rFonts w:hint="eastAsia" w:ascii="仿宋" w:hAnsi="仿宋" w:eastAsia="仿宋" w:cs="宋体"/>
          <w:b/>
          <w:color w:val="000000"/>
          <w:kern w:val="0"/>
          <w:sz w:val="32"/>
          <w:szCs w:val="32"/>
          <w:shd w:val="clear" w:color="auto" w:fill="FFFFFF"/>
          <w:lang w:val="zh-CN"/>
        </w:rPr>
        <w:t>单位基本概况</w:t>
      </w:r>
    </w:p>
    <w:p w14:paraId="15469AE3">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（一）机构组成。</w:t>
      </w:r>
    </w:p>
    <w:p w14:paraId="1B1B72FE">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sz w:val="32"/>
          <w:szCs w:val="32"/>
        </w:rPr>
        <w:t>城乡居民社会养老保险局</w:t>
      </w:r>
      <w:r>
        <w:rPr>
          <w:rFonts w:hint="eastAsia" w:ascii="仿宋" w:hAnsi="仿宋" w:eastAsia="仿宋"/>
          <w:color w:val="000000"/>
          <w:sz w:val="32"/>
          <w:szCs w:val="32"/>
        </w:rPr>
        <w:t>属于财政全额拨款的事业单位，内设4个股室和1个办公室，即：征集股、退管股、稽核股、财务股和办公室。</w:t>
      </w:r>
    </w:p>
    <w:p w14:paraId="47C0CD48">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（二）机构职能。</w:t>
      </w:r>
    </w:p>
    <w:p w14:paraId="370AA976">
      <w:pPr>
        <w:spacing w:line="360" w:lineRule="auto"/>
        <w:ind w:firstLine="640" w:firstLineChars="200"/>
        <w:rPr>
          <w:rFonts w:ascii="仿宋" w:hAnsi="仿宋" w:eastAsia="仿宋"/>
          <w:sz w:val="32"/>
          <w:szCs w:val="32"/>
        </w:rPr>
      </w:pPr>
      <w:r>
        <w:rPr>
          <w:rFonts w:hint="eastAsia" w:ascii="仿宋" w:hAnsi="仿宋" w:eastAsia="仿宋"/>
          <w:sz w:val="32"/>
          <w:szCs w:val="32"/>
        </w:rPr>
        <w:t>城乡居民社会养老保险局的主要职责：是按照全省统一的业务规范具体办理和管理各项新型农村养老保险经办业务，除办理少数零星缴费业务、居保转移工作外，主要承担后台管理，并对乡镇服务中心进行业务复核和监督考核，对乡镇</w:t>
      </w:r>
      <w:r>
        <w:rPr>
          <w:rFonts w:hint="eastAsia" w:ascii="仿宋" w:hAnsi="仿宋" w:eastAsia="仿宋"/>
          <w:sz w:val="32"/>
          <w:szCs w:val="32"/>
          <w:lang w:eastAsia="zh-CN"/>
        </w:rPr>
        <w:t>服务</w:t>
      </w:r>
      <w:r>
        <w:rPr>
          <w:rFonts w:hint="eastAsia" w:ascii="仿宋" w:hAnsi="仿宋" w:eastAsia="仿宋"/>
          <w:sz w:val="32"/>
          <w:szCs w:val="32"/>
        </w:rPr>
        <w:t>中心经办人员和村协办员进行业务培训。</w:t>
      </w:r>
    </w:p>
    <w:p w14:paraId="6723021B">
      <w:pPr>
        <w:spacing w:line="360" w:lineRule="auto"/>
        <w:ind w:firstLine="640" w:firstLineChars="200"/>
        <w:rPr>
          <w:rFonts w:ascii="仿宋" w:hAnsi="仿宋" w:eastAsia="仿宋"/>
          <w:kern w:val="0"/>
          <w:sz w:val="32"/>
          <w:szCs w:val="32"/>
          <w:shd w:val="clear" w:color="auto" w:fill="FFFFFF"/>
          <w:lang w:val="zh-CN"/>
        </w:rPr>
      </w:pPr>
      <w:r>
        <w:rPr>
          <w:rFonts w:hint="eastAsia" w:ascii="仿宋" w:hAnsi="仿宋" w:eastAsia="仿宋"/>
          <w:kern w:val="0"/>
          <w:sz w:val="32"/>
          <w:szCs w:val="32"/>
          <w:shd w:val="clear" w:color="auto" w:fill="FFFFFF"/>
          <w:lang w:val="zh-CN"/>
        </w:rPr>
        <w:t>（三）人员概况。</w:t>
      </w:r>
    </w:p>
    <w:p w14:paraId="6D70D494">
      <w:pPr>
        <w:spacing w:line="360" w:lineRule="auto"/>
        <w:ind w:firstLine="640" w:firstLineChars="200"/>
        <w:rPr>
          <w:rStyle w:val="29"/>
          <w:rFonts w:ascii="仿宋" w:hAnsi="仿宋" w:eastAsia="仿宋"/>
          <w:sz w:val="32"/>
          <w:szCs w:val="32"/>
        </w:rPr>
      </w:pPr>
      <w:r>
        <w:rPr>
          <w:rFonts w:hint="eastAsia" w:ascii="仿宋" w:hAnsi="仿宋" w:eastAsia="仿宋"/>
          <w:color w:val="000000"/>
          <w:sz w:val="32"/>
          <w:szCs w:val="32"/>
        </w:rPr>
        <w:t>本单位编制16个，在职实有人员15人。大学本科10人，专科5人，中专1人。无退休人员。</w:t>
      </w:r>
    </w:p>
    <w:p w14:paraId="245B453F">
      <w:pPr>
        <w:widowControl/>
        <w:adjustRightInd w:val="0"/>
        <w:snapToGrid w:val="0"/>
        <w:spacing w:line="360" w:lineRule="auto"/>
        <w:ind w:firstLine="643" w:firstLineChars="200"/>
        <w:contextualSpacing/>
        <w:jc w:val="left"/>
        <w:rPr>
          <w:rFonts w:ascii="仿宋" w:hAnsi="仿宋" w:eastAsia="仿宋" w:cs="宋体"/>
          <w:b/>
          <w:color w:val="000000"/>
          <w:kern w:val="0"/>
          <w:sz w:val="32"/>
          <w:szCs w:val="32"/>
          <w:shd w:val="clear" w:color="auto" w:fill="FFFFFF"/>
        </w:rPr>
      </w:pPr>
      <w:r>
        <w:rPr>
          <w:rFonts w:hint="eastAsia" w:ascii="仿宋" w:hAnsi="仿宋" w:eastAsia="仿宋" w:cs="宋体"/>
          <w:b/>
          <w:color w:val="000000"/>
          <w:kern w:val="0"/>
          <w:sz w:val="32"/>
          <w:szCs w:val="32"/>
          <w:shd w:val="clear" w:color="auto" w:fill="FFFFFF"/>
        </w:rPr>
        <w:t>二、部门财政资金收支情况</w:t>
      </w:r>
    </w:p>
    <w:p w14:paraId="0E7B91B8">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（一）部门财政资金收入情况。</w:t>
      </w:r>
    </w:p>
    <w:p w14:paraId="78402CBC">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仿宋_GB2312"/>
          <w:sz w:val="32"/>
          <w:szCs w:val="32"/>
        </w:rPr>
        <w:t>2019年居保局财政拨款收入16213.97万元。</w:t>
      </w:r>
    </w:p>
    <w:p w14:paraId="254F6A91">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（二）部门财政资金支出情况。</w:t>
      </w:r>
    </w:p>
    <w:p w14:paraId="0E35F005">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2019年居保局支出决算总额为12162.06万元。其中：基本支出156.19万元，占1.28%；项目支出12005.87万元，占98.72%。</w:t>
      </w:r>
    </w:p>
    <w:p w14:paraId="1E6D4C70">
      <w:pPr>
        <w:widowControl/>
        <w:adjustRightInd w:val="0"/>
        <w:snapToGrid w:val="0"/>
        <w:spacing w:line="360" w:lineRule="auto"/>
        <w:ind w:firstLine="643" w:firstLineChars="200"/>
        <w:contextualSpacing/>
        <w:jc w:val="left"/>
        <w:rPr>
          <w:rFonts w:ascii="仿宋" w:hAnsi="仿宋" w:eastAsia="仿宋" w:cs="宋体"/>
          <w:b/>
          <w:color w:val="FF0000"/>
          <w:kern w:val="0"/>
          <w:sz w:val="32"/>
          <w:szCs w:val="32"/>
          <w:shd w:val="clear" w:color="auto" w:fill="FFFFFF"/>
        </w:rPr>
      </w:pPr>
      <w:r>
        <w:rPr>
          <w:rFonts w:hint="eastAsia" w:ascii="仿宋" w:hAnsi="仿宋" w:eastAsia="仿宋" w:cs="宋体"/>
          <w:b/>
          <w:color w:val="000000"/>
          <w:kern w:val="0"/>
          <w:sz w:val="32"/>
          <w:szCs w:val="32"/>
          <w:shd w:val="clear" w:color="auto" w:fill="FFFFFF"/>
        </w:rPr>
        <w:t>三、部门整体预算绩效管理情况</w:t>
      </w:r>
    </w:p>
    <w:p w14:paraId="3891FAEB">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（一）部门预算管理。</w:t>
      </w:r>
    </w:p>
    <w:p w14:paraId="39BB7ECA">
      <w:pPr>
        <w:spacing w:line="360" w:lineRule="auto"/>
        <w:ind w:firstLine="640" w:firstLineChars="200"/>
        <w:rPr>
          <w:rFonts w:ascii="仿宋" w:hAnsi="仿宋" w:eastAsia="仿宋"/>
          <w:color w:val="333333"/>
          <w:sz w:val="32"/>
          <w:szCs w:val="32"/>
        </w:rPr>
      </w:pPr>
      <w:r>
        <w:rPr>
          <w:rFonts w:hint="eastAsia" w:ascii="仿宋" w:hAnsi="仿宋" w:eastAsia="仿宋"/>
          <w:color w:val="333333"/>
          <w:sz w:val="32"/>
          <w:szCs w:val="32"/>
        </w:rPr>
        <w:t>“三公”经费：2019年度“三公”经费预算为0.4万元，支出决算为0.3541万元，完成预算88.53%，主要原因是厉行节约。</w:t>
      </w:r>
    </w:p>
    <w:p w14:paraId="34E242B2">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基金： 2019年10月对2019年的年初预算进行了调整：2019年全县征收保费13.2万人，金额4333.02万元，待遇领取人员13.76万人，养老金支出17027.75万元。2019年年末基金决算时，全县征收保费人数13.45万人，金额4797.79万元，待遇领取人数13.46人，支出养老金：16887.49万元。参保缴费人数完成预算的101.89%，待遇领取人数完成预算的97.82%，参保缴费人数完成人数比率均在合理的范围内，但待遇领取人数完成较低，主要是本年新增待遇人数比死亡及暂停人数少；缴费金额完成预算合理；领取金额完成预算的99.17%，在合理的范围内。全年无任何违规操作记录。</w:t>
      </w:r>
    </w:p>
    <w:p w14:paraId="489D6225">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（二）结果应用情况。</w:t>
      </w:r>
    </w:p>
    <w:p w14:paraId="2E2E3983">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从整体情况来看，我局严格按照年初预算进行部门整体支出。在支出过程中，能严格遵守各项规章制度，“三公”经费明显下降。所有项目都详细制定了方案，严格按方案组织实施，并加强了监督。尤其是在项目经费及基金支出上，我们严格专款专用，按项目实施计划的进度情况进行资金拨付，无截留、无挪用等现象。实行了先有预算、后有执行、“用钱必问效、无效必问责”的常态。</w:t>
      </w:r>
    </w:p>
    <w:p w14:paraId="30B126C1">
      <w:pPr>
        <w:widowControl/>
        <w:adjustRightInd w:val="0"/>
        <w:snapToGrid w:val="0"/>
        <w:spacing w:line="360" w:lineRule="auto"/>
        <w:ind w:firstLine="643" w:firstLineChars="200"/>
        <w:contextualSpacing/>
        <w:jc w:val="left"/>
        <w:rPr>
          <w:rFonts w:ascii="仿宋" w:hAnsi="仿宋" w:eastAsia="仿宋" w:cs="宋体"/>
          <w:b/>
          <w:color w:val="000000"/>
          <w:kern w:val="0"/>
          <w:sz w:val="32"/>
          <w:szCs w:val="32"/>
          <w:shd w:val="clear" w:color="auto" w:fill="FFFFFF"/>
        </w:rPr>
      </w:pPr>
      <w:r>
        <w:rPr>
          <w:rFonts w:hint="eastAsia" w:ascii="仿宋" w:hAnsi="仿宋" w:eastAsia="仿宋" w:cs="宋体"/>
          <w:b/>
          <w:color w:val="000000"/>
          <w:kern w:val="0"/>
          <w:sz w:val="32"/>
          <w:szCs w:val="32"/>
          <w:shd w:val="clear" w:color="auto" w:fill="FFFFFF"/>
        </w:rPr>
        <w:t>四、评价结论及建议</w:t>
      </w:r>
    </w:p>
    <w:p w14:paraId="7102974A">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p>
    <w:p w14:paraId="109ED352">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此次绩效评价是严格落实《中华人民共和国预算法》及省、市、县绩效管理工作的有关规定，进一步规范财政资金的管理，强化财政支出绩效理念，提升部门责任意识，提高资金使用效益，促进城乡居民养老保险事业的发展。</w:t>
      </w:r>
    </w:p>
    <w:p w14:paraId="1C40E334">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2019年，在县委县政府、局党组和省市主管部门的正确领导下，我们紧紧围绕年度目标任务，团结拼搏，全面完成了各项工作任务。</w:t>
      </w:r>
    </w:p>
    <w:p w14:paraId="05B06E94">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1、积极加强经办能力建设</w:t>
      </w:r>
    </w:p>
    <w:p w14:paraId="6D1C0DD0">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（1）建立经办业务培训制度，积极组织下乡入村业务培训活动，扎实做好乡镇人社工作人员集中培训。</w:t>
      </w:r>
    </w:p>
    <w:p w14:paraId="6E7E3FA7">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（2）、扎实做好档案管理工作，按要求配备了电脑、空调、阅档柜、消防器材等相关基础设施。</w:t>
      </w:r>
    </w:p>
    <w:p w14:paraId="221D1965">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（3）、开展城乡居保组合宣传。建立城乡居民社保短信平台和微信公众平台，即时受理和处理群众查询，及时处理举报情况，合理解决乡村两级在城乡居保工作中遇到的难题和问题。</w:t>
      </w:r>
    </w:p>
    <w:p w14:paraId="639B3230">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2、确保待遇发放“三过百”</w:t>
      </w:r>
    </w:p>
    <w:p w14:paraId="5EA7E335">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（1）、严格执行基金支付政策，按时足额支付城乡居保待遇，养老金社会化发放率达到100%，发放时间及时率100%，发放金额准确率100%。2019年全县待遇发放人数13.46万人，累计发放金额16887.49万元。</w:t>
      </w:r>
    </w:p>
    <w:p w14:paraId="1F842460">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及时核实暂停发放待遇人员和待遇发放失败人员的信息。建立养老金领取待遇资格认证办法和稽核制度。积极开展领取待遇人员信息数据比对工作，在行政村范围内对待遇领取资格进行公示，及时核实、处理重复领取待遇人员信息和举报情况，及时稽核追回多领冒领的养老金。</w:t>
      </w:r>
    </w:p>
    <w:p w14:paraId="2F03E536">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3、扎实完成参保缴费工作</w:t>
      </w:r>
    </w:p>
    <w:p w14:paraId="483B2277">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完成全年基金征缴目标任务，2019年全县征缴保费13.45万人，金额4797.79万元，缴费金额完成预算目标任务107.26%。</w:t>
      </w:r>
    </w:p>
    <w:p w14:paraId="0BD8C2EC">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4、紧守红线落实基金管理</w:t>
      </w:r>
    </w:p>
    <w:p w14:paraId="11ADF729">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建立财务人员岗位责任、内部审核、财务收支审批等制度。城乡居保基金执行收支两条线，按规定开设收入户、支出户和财政专户。基金会计账务处理准确、及时。严格执行基金对账制度，按时与基金开户银行、财政和乡镇经办机构等单位进行基金对账，定期进行财务与业务对账。</w:t>
      </w:r>
    </w:p>
    <w:p w14:paraId="07FF54BA">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（2）、定期在行政村（社区）范围内对缴费情况、待遇发放情况进行公示，及时受理和处理举报情况。</w:t>
      </w:r>
    </w:p>
    <w:p w14:paraId="18C4D917">
      <w:pPr>
        <w:widowControl/>
        <w:adjustRightInd w:val="0"/>
        <w:snapToGrid w:val="0"/>
        <w:spacing w:line="360" w:lineRule="auto"/>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w:t>
      </w:r>
    </w:p>
    <w:p w14:paraId="43F7D62C">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1、任务完成率和自主缴费率的矛盾。受参保养老意识、参保人员经济条件以及当地财政补贴等诸多因素影响，再加之我县集山区、库区于一体，交通不便利，群众居住分散，信息闭塞，我县的参保缴费工作仍需依靠村干部集中催缴，从而导致了现阶段确保任务完成和提高参保自主缴费率之间的两难矛盾。</w:t>
      </w:r>
    </w:p>
    <w:p w14:paraId="10FE8858">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2、财政经费紧张制约了基层平台建设的推进。我县农村地域广阔，农民居住分散，而乡、村两级面临着缺经费、缺设备等突出问题，特别是村级经办人员因待遇低、工作量大等问题导致队伍极不稳定。</w:t>
      </w:r>
    </w:p>
    <w:p w14:paraId="0EF955FF">
      <w:pPr>
        <w:widowControl/>
        <w:spacing w:line="360" w:lineRule="auto"/>
        <w:ind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w:t>
      </w:r>
    </w:p>
    <w:p w14:paraId="3E52A8D0">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请财政根据城乡居保发展的要求和实际情况，提高年初部门预算额度，将常规项目支出纳入年度预算，并增加相关项目支出预算。</w:t>
      </w:r>
    </w:p>
    <w:p w14:paraId="341453FA">
      <w:pPr>
        <w:widowControl/>
        <w:spacing w:line="360" w:lineRule="auto"/>
        <w:ind w:firstLine="640" w:firstLineChars="200"/>
        <w:rPr>
          <w:rFonts w:ascii="仿宋" w:hAnsi="仿宋" w:eastAsia="仿宋" w:cs="宋体"/>
          <w:kern w:val="0"/>
          <w:sz w:val="32"/>
          <w:szCs w:val="32"/>
        </w:rPr>
      </w:pPr>
    </w:p>
    <w:p w14:paraId="764DF6C9">
      <w:pPr>
        <w:widowControl/>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 xml:space="preserve">                                2020年8月20日</w:t>
      </w:r>
    </w:p>
    <w:bookmarkEnd w:id="54"/>
    <w:p w14:paraId="0CD485C0">
      <w:pPr>
        <w:widowControl/>
        <w:jc w:val="left"/>
        <w:rPr>
          <w:rFonts w:ascii="仿宋" w:hAnsi="仿宋" w:eastAsia="仿宋" w:cs="仿宋_GB2312"/>
          <w:sz w:val="32"/>
          <w:szCs w:val="32"/>
        </w:rPr>
      </w:pPr>
    </w:p>
    <w:p w14:paraId="408744DD">
      <w:pPr>
        <w:spacing w:line="600" w:lineRule="exact"/>
        <w:jc w:val="center"/>
        <w:outlineLvl w:val="0"/>
        <w:rPr>
          <w:rStyle w:val="16"/>
          <w:rFonts w:ascii="仿宋" w:hAnsi="仿宋" w:eastAsia="仿宋"/>
          <w:b w:val="0"/>
        </w:rPr>
      </w:pPr>
      <w:bookmarkStart w:id="55" w:name="_Toc15396618"/>
      <w:r>
        <w:rPr>
          <w:rFonts w:hint="eastAsia" w:ascii="仿宋" w:hAnsi="仿宋" w:eastAsia="仿宋"/>
          <w:color w:val="000000"/>
          <w:sz w:val="44"/>
          <w:szCs w:val="44"/>
        </w:rPr>
        <w:t>第</w:t>
      </w:r>
      <w:r>
        <w:rPr>
          <w:rStyle w:val="16"/>
          <w:rFonts w:hint="eastAsia" w:ascii="仿宋" w:hAnsi="仿宋" w:eastAsia="仿宋"/>
        </w:rPr>
        <w:t>五部分 附表</w:t>
      </w:r>
      <w:bookmarkEnd w:id="55"/>
    </w:p>
    <w:p w14:paraId="021D04F4">
      <w:pPr>
        <w:spacing w:line="600" w:lineRule="exact"/>
        <w:jc w:val="center"/>
        <w:outlineLvl w:val="0"/>
        <w:rPr>
          <w:rFonts w:ascii="仿宋" w:hAnsi="仿宋" w:eastAsia="仿宋"/>
          <w:b/>
          <w:color w:val="000000"/>
          <w:sz w:val="44"/>
          <w:szCs w:val="44"/>
        </w:rPr>
      </w:pPr>
    </w:p>
    <w:p w14:paraId="04491056">
      <w:pPr>
        <w:pStyle w:val="3"/>
        <w:rPr>
          <w:rFonts w:ascii="仿宋" w:hAnsi="仿宋" w:eastAsia="仿宋"/>
          <w:color w:val="000000"/>
        </w:rPr>
      </w:pPr>
      <w:bookmarkStart w:id="56" w:name="_Toc15396619"/>
      <w:r>
        <w:rPr>
          <w:rFonts w:hint="eastAsia" w:ascii="仿宋" w:hAnsi="仿宋" w:eastAsia="仿宋"/>
          <w:b w:val="0"/>
          <w:color w:val="000000"/>
        </w:rPr>
        <w:t>一、收</w:t>
      </w:r>
      <w:r>
        <w:rPr>
          <w:rStyle w:val="17"/>
          <w:rFonts w:hint="eastAsia" w:ascii="仿宋" w:hAnsi="仿宋" w:eastAsia="仿宋"/>
          <w:b w:val="0"/>
          <w:bCs/>
        </w:rPr>
        <w:t>入支出决算总表</w:t>
      </w:r>
      <w:bookmarkEnd w:id="56"/>
    </w:p>
    <w:p w14:paraId="6B61F1E5">
      <w:pPr>
        <w:pStyle w:val="3"/>
        <w:rPr>
          <w:rFonts w:ascii="仿宋" w:hAnsi="仿宋" w:eastAsia="仿宋"/>
          <w:color w:val="000000"/>
        </w:rPr>
      </w:pPr>
      <w:bookmarkStart w:id="57" w:name="_Toc15396620"/>
      <w:r>
        <w:rPr>
          <w:rFonts w:hint="eastAsia" w:ascii="仿宋" w:hAnsi="仿宋" w:eastAsia="仿宋"/>
          <w:b w:val="0"/>
          <w:color w:val="000000"/>
        </w:rPr>
        <w:t>二、</w:t>
      </w:r>
      <w:bookmarkEnd w:id="57"/>
      <w:r>
        <w:rPr>
          <w:rFonts w:hint="eastAsia" w:ascii="仿宋" w:hAnsi="仿宋" w:eastAsia="仿宋"/>
          <w:b w:val="0"/>
          <w:color w:val="000000"/>
        </w:rPr>
        <w:t>收入决算表</w:t>
      </w:r>
    </w:p>
    <w:p w14:paraId="78BB1AA0">
      <w:pPr>
        <w:pStyle w:val="3"/>
        <w:rPr>
          <w:rFonts w:ascii="仿宋" w:hAnsi="仿宋" w:eastAsia="仿宋"/>
          <w:color w:val="000000"/>
        </w:rPr>
      </w:pPr>
      <w:bookmarkStart w:id="58" w:name="_Toc15396621"/>
      <w:r>
        <w:rPr>
          <w:rStyle w:val="17"/>
          <w:rFonts w:hint="eastAsia" w:ascii="仿宋" w:hAnsi="仿宋" w:eastAsia="仿宋"/>
          <w:b/>
          <w:bCs/>
        </w:rPr>
        <w:t>三、</w:t>
      </w:r>
      <w:r>
        <w:rPr>
          <w:rFonts w:hint="eastAsia" w:ascii="仿宋" w:hAnsi="仿宋" w:eastAsia="仿宋"/>
          <w:b w:val="0"/>
          <w:color w:val="000000"/>
        </w:rPr>
        <w:t>支</w:t>
      </w:r>
      <w:r>
        <w:rPr>
          <w:rStyle w:val="17"/>
          <w:rFonts w:hint="eastAsia" w:ascii="仿宋" w:hAnsi="仿宋" w:eastAsia="仿宋"/>
          <w:b w:val="0"/>
          <w:bCs/>
        </w:rPr>
        <w:t>出总表</w:t>
      </w:r>
      <w:bookmarkEnd w:id="58"/>
    </w:p>
    <w:p w14:paraId="11F8C94A">
      <w:pPr>
        <w:pStyle w:val="3"/>
        <w:rPr>
          <w:rFonts w:ascii="仿宋" w:hAnsi="仿宋" w:eastAsia="仿宋"/>
          <w:color w:val="000000"/>
        </w:rPr>
      </w:pPr>
      <w:bookmarkStart w:id="59" w:name="_Toc15396622"/>
      <w:r>
        <w:rPr>
          <w:rStyle w:val="17"/>
          <w:rFonts w:hint="eastAsia" w:ascii="仿宋" w:hAnsi="仿宋" w:eastAsia="仿宋"/>
          <w:b w:val="0"/>
          <w:bCs/>
        </w:rPr>
        <w:t>四、</w:t>
      </w:r>
      <w:r>
        <w:rPr>
          <w:rFonts w:hint="eastAsia" w:ascii="仿宋" w:hAnsi="仿宋" w:eastAsia="仿宋"/>
          <w:b w:val="0"/>
          <w:color w:val="000000"/>
        </w:rPr>
        <w:t>财</w:t>
      </w:r>
      <w:r>
        <w:rPr>
          <w:rStyle w:val="17"/>
          <w:rFonts w:hint="eastAsia" w:ascii="仿宋" w:hAnsi="仿宋" w:eastAsia="仿宋"/>
          <w:b w:val="0"/>
          <w:bCs/>
        </w:rPr>
        <w:t>政拨款收入支出决算总表</w:t>
      </w:r>
      <w:bookmarkEnd w:id="59"/>
    </w:p>
    <w:p w14:paraId="20E69131">
      <w:pPr>
        <w:pStyle w:val="3"/>
        <w:rPr>
          <w:rFonts w:ascii="仿宋" w:hAnsi="仿宋" w:eastAsia="仿宋"/>
          <w:b w:val="0"/>
          <w:color w:val="000000"/>
        </w:rPr>
      </w:pPr>
      <w:bookmarkStart w:id="60" w:name="_Toc15396623"/>
      <w:r>
        <w:rPr>
          <w:rStyle w:val="17"/>
          <w:rFonts w:hint="eastAsia" w:ascii="仿宋" w:hAnsi="仿宋" w:eastAsia="仿宋"/>
          <w:b w:val="0"/>
          <w:bCs/>
        </w:rPr>
        <w:t>五</w:t>
      </w:r>
      <w:r>
        <w:rPr>
          <w:rStyle w:val="17"/>
          <w:rFonts w:hint="eastAsia" w:ascii="仿宋" w:hAnsi="仿宋" w:eastAsia="仿宋"/>
          <w:b/>
          <w:bCs/>
        </w:rPr>
        <w:t>、</w:t>
      </w:r>
      <w:r>
        <w:rPr>
          <w:rFonts w:hint="eastAsia" w:ascii="仿宋" w:hAnsi="仿宋" w:eastAsia="仿宋"/>
          <w:b w:val="0"/>
          <w:color w:val="000000"/>
        </w:rPr>
        <w:t>财</w:t>
      </w:r>
      <w:r>
        <w:rPr>
          <w:rStyle w:val="17"/>
          <w:rFonts w:hint="eastAsia" w:ascii="仿宋" w:hAnsi="仿宋" w:eastAsia="仿宋"/>
          <w:b w:val="0"/>
          <w:bCs/>
        </w:rPr>
        <w:t>政拨款支出决算明细表（政府经济分类科目）</w:t>
      </w:r>
      <w:bookmarkEnd w:id="60"/>
    </w:p>
    <w:p w14:paraId="35D07776">
      <w:pPr>
        <w:pStyle w:val="3"/>
        <w:rPr>
          <w:rFonts w:ascii="仿宋" w:hAnsi="仿宋" w:eastAsia="仿宋"/>
          <w:color w:val="000000"/>
        </w:rPr>
      </w:pPr>
      <w:bookmarkStart w:id="61" w:name="_Toc15396624"/>
      <w:r>
        <w:rPr>
          <w:rStyle w:val="17"/>
          <w:rFonts w:hint="eastAsia" w:ascii="仿宋" w:hAnsi="仿宋" w:eastAsia="仿宋"/>
          <w:b w:val="0"/>
          <w:bCs/>
        </w:rPr>
        <w:t>六、</w:t>
      </w:r>
      <w:r>
        <w:rPr>
          <w:rFonts w:hint="eastAsia" w:ascii="仿宋" w:hAnsi="仿宋" w:eastAsia="仿宋"/>
          <w:color w:val="000000"/>
        </w:rPr>
        <w:t>一</w:t>
      </w:r>
      <w:r>
        <w:rPr>
          <w:rStyle w:val="17"/>
          <w:rFonts w:hint="eastAsia" w:ascii="仿宋" w:hAnsi="仿宋" w:eastAsia="仿宋"/>
          <w:b w:val="0"/>
          <w:bCs/>
        </w:rPr>
        <w:t>般公共预算财政拨款支出决算表</w:t>
      </w:r>
      <w:bookmarkEnd w:id="61"/>
    </w:p>
    <w:p w14:paraId="4A075DE4">
      <w:pPr>
        <w:pStyle w:val="3"/>
        <w:rPr>
          <w:rFonts w:ascii="仿宋" w:hAnsi="仿宋" w:eastAsia="仿宋"/>
          <w:color w:val="000000"/>
        </w:rPr>
      </w:pPr>
      <w:bookmarkStart w:id="62" w:name="_Toc15396625"/>
      <w:r>
        <w:rPr>
          <w:rStyle w:val="17"/>
          <w:rFonts w:hint="eastAsia" w:ascii="仿宋" w:hAnsi="仿宋" w:eastAsia="仿宋"/>
          <w:b w:val="0"/>
          <w:bCs/>
        </w:rPr>
        <w:t>七、</w:t>
      </w:r>
      <w:r>
        <w:rPr>
          <w:rFonts w:hint="eastAsia" w:ascii="仿宋" w:hAnsi="仿宋" w:eastAsia="仿宋"/>
          <w:color w:val="000000"/>
        </w:rPr>
        <w:t>一</w:t>
      </w:r>
      <w:r>
        <w:rPr>
          <w:rStyle w:val="17"/>
          <w:rFonts w:hint="eastAsia" w:ascii="仿宋" w:hAnsi="仿宋" w:eastAsia="仿宋"/>
          <w:b w:val="0"/>
          <w:bCs/>
        </w:rPr>
        <w:t>般公共预算财政拨款支出决算明细表</w:t>
      </w:r>
      <w:bookmarkEnd w:id="62"/>
    </w:p>
    <w:p w14:paraId="07BF142E">
      <w:pPr>
        <w:pStyle w:val="3"/>
        <w:rPr>
          <w:rFonts w:ascii="仿宋" w:hAnsi="仿宋" w:eastAsia="仿宋"/>
          <w:color w:val="000000"/>
        </w:rPr>
      </w:pPr>
      <w:bookmarkStart w:id="63" w:name="_Toc15396626"/>
      <w:r>
        <w:rPr>
          <w:rStyle w:val="17"/>
          <w:rFonts w:hint="eastAsia" w:ascii="仿宋" w:hAnsi="仿宋" w:eastAsia="仿宋"/>
          <w:b w:val="0"/>
          <w:bCs/>
        </w:rPr>
        <w:t>八、</w:t>
      </w:r>
      <w:r>
        <w:rPr>
          <w:rFonts w:hint="eastAsia" w:ascii="仿宋" w:hAnsi="仿宋" w:eastAsia="仿宋"/>
          <w:color w:val="000000"/>
        </w:rPr>
        <w:t>一</w:t>
      </w:r>
      <w:r>
        <w:rPr>
          <w:rStyle w:val="17"/>
          <w:rFonts w:hint="eastAsia" w:ascii="仿宋" w:hAnsi="仿宋" w:eastAsia="仿宋"/>
          <w:b w:val="0"/>
          <w:bCs/>
        </w:rPr>
        <w:t>般公共预算财政拨款基本支出决算表</w:t>
      </w:r>
      <w:bookmarkEnd w:id="63"/>
    </w:p>
    <w:p w14:paraId="1FCA7BD7">
      <w:pPr>
        <w:pStyle w:val="3"/>
        <w:rPr>
          <w:rFonts w:ascii="仿宋" w:hAnsi="仿宋" w:eastAsia="仿宋"/>
          <w:color w:val="000000"/>
        </w:rPr>
      </w:pPr>
      <w:bookmarkStart w:id="64" w:name="_Toc15396627"/>
      <w:r>
        <w:rPr>
          <w:rStyle w:val="17"/>
          <w:rFonts w:hint="eastAsia" w:ascii="仿宋" w:hAnsi="仿宋" w:eastAsia="仿宋"/>
          <w:b w:val="0"/>
          <w:bCs/>
        </w:rPr>
        <w:t>九、</w:t>
      </w:r>
      <w:r>
        <w:rPr>
          <w:rFonts w:hint="eastAsia" w:ascii="仿宋" w:hAnsi="仿宋" w:eastAsia="仿宋"/>
          <w:color w:val="000000"/>
        </w:rPr>
        <w:t>一</w:t>
      </w:r>
      <w:r>
        <w:rPr>
          <w:rStyle w:val="17"/>
          <w:rFonts w:hint="eastAsia" w:ascii="仿宋" w:hAnsi="仿宋" w:eastAsia="仿宋"/>
          <w:b w:val="0"/>
          <w:bCs/>
        </w:rPr>
        <w:t>般公共预算财政拨款项目支出决算表</w:t>
      </w:r>
      <w:bookmarkEnd w:id="64"/>
    </w:p>
    <w:p w14:paraId="3AB22F78">
      <w:pPr>
        <w:pStyle w:val="3"/>
        <w:rPr>
          <w:rFonts w:ascii="仿宋" w:hAnsi="仿宋" w:eastAsia="仿宋"/>
          <w:color w:val="000000"/>
        </w:rPr>
      </w:pPr>
      <w:bookmarkStart w:id="65" w:name="_Toc15396628"/>
      <w:r>
        <w:rPr>
          <w:rStyle w:val="17"/>
          <w:rFonts w:hint="eastAsia" w:ascii="仿宋" w:hAnsi="仿宋" w:eastAsia="仿宋"/>
          <w:b w:val="0"/>
          <w:bCs/>
        </w:rPr>
        <w:t>十、</w:t>
      </w:r>
      <w:r>
        <w:rPr>
          <w:rFonts w:hint="eastAsia" w:ascii="仿宋" w:hAnsi="仿宋" w:eastAsia="仿宋"/>
          <w:color w:val="000000"/>
        </w:rPr>
        <w:t>一</w:t>
      </w:r>
      <w:r>
        <w:rPr>
          <w:rStyle w:val="17"/>
          <w:rFonts w:hint="eastAsia" w:ascii="仿宋" w:hAnsi="仿宋" w:eastAsia="仿宋"/>
          <w:b w:val="0"/>
          <w:bCs/>
        </w:rPr>
        <w:t>般公共预算财政拨款“三公”经费支出决算表</w:t>
      </w:r>
      <w:bookmarkEnd w:id="65"/>
    </w:p>
    <w:p w14:paraId="36E39E86">
      <w:pPr>
        <w:pStyle w:val="3"/>
        <w:rPr>
          <w:rFonts w:ascii="仿宋" w:hAnsi="仿宋" w:eastAsia="仿宋"/>
          <w:color w:val="000000"/>
        </w:rPr>
      </w:pPr>
      <w:bookmarkStart w:id="66" w:name="_Toc15396629"/>
      <w:r>
        <w:rPr>
          <w:rStyle w:val="17"/>
          <w:rFonts w:hint="eastAsia" w:ascii="仿宋" w:hAnsi="仿宋" w:eastAsia="仿宋"/>
          <w:b w:val="0"/>
          <w:bCs/>
        </w:rPr>
        <w:t>十一、</w:t>
      </w:r>
      <w:r>
        <w:rPr>
          <w:rFonts w:hint="eastAsia" w:ascii="仿宋" w:hAnsi="仿宋" w:eastAsia="仿宋"/>
          <w:b w:val="0"/>
          <w:color w:val="000000"/>
        </w:rPr>
        <w:t>政</w:t>
      </w:r>
      <w:r>
        <w:rPr>
          <w:rStyle w:val="17"/>
          <w:rFonts w:hint="eastAsia" w:ascii="仿宋" w:hAnsi="仿宋" w:eastAsia="仿宋"/>
          <w:b w:val="0"/>
          <w:bCs/>
        </w:rPr>
        <w:t>府性基金预算财政拨款收入支出决算表</w:t>
      </w:r>
      <w:bookmarkEnd w:id="66"/>
    </w:p>
    <w:p w14:paraId="2D35251F">
      <w:pPr>
        <w:pStyle w:val="3"/>
        <w:rPr>
          <w:rFonts w:ascii="仿宋" w:hAnsi="仿宋" w:eastAsia="仿宋"/>
          <w:color w:val="000000"/>
        </w:rPr>
      </w:pPr>
      <w:bookmarkStart w:id="67" w:name="_Toc15396630"/>
      <w:r>
        <w:rPr>
          <w:rStyle w:val="17"/>
          <w:rFonts w:hint="eastAsia" w:ascii="仿宋" w:hAnsi="仿宋" w:eastAsia="仿宋"/>
          <w:b w:val="0"/>
          <w:bCs/>
        </w:rPr>
        <w:t>十二、</w:t>
      </w:r>
      <w:r>
        <w:rPr>
          <w:rFonts w:hint="eastAsia" w:ascii="仿宋" w:hAnsi="仿宋" w:eastAsia="仿宋"/>
          <w:b w:val="0"/>
          <w:color w:val="000000"/>
        </w:rPr>
        <w:t>政</w:t>
      </w:r>
      <w:r>
        <w:rPr>
          <w:rStyle w:val="17"/>
          <w:rFonts w:hint="eastAsia" w:ascii="仿宋" w:hAnsi="仿宋" w:eastAsia="仿宋"/>
          <w:b w:val="0"/>
          <w:bCs/>
        </w:rPr>
        <w:t>府性基金预算财政拨款“三公”经费支出决算表</w:t>
      </w:r>
      <w:bookmarkEnd w:id="67"/>
    </w:p>
    <w:p w14:paraId="5FC4BFAB">
      <w:pPr>
        <w:pStyle w:val="3"/>
        <w:rPr>
          <w:rFonts w:ascii="仿宋" w:hAnsi="仿宋" w:eastAsia="仿宋"/>
          <w:color w:val="000000" w:themeColor="text1"/>
        </w:rPr>
      </w:pPr>
      <w:bookmarkStart w:id="68" w:name="_Toc15396631"/>
      <w:r>
        <w:rPr>
          <w:rStyle w:val="17"/>
          <w:rFonts w:hint="eastAsia" w:ascii="仿宋" w:hAnsi="仿宋" w:eastAsia="仿宋"/>
          <w:b w:val="0"/>
          <w:bCs/>
        </w:rPr>
        <w:t>十三、</w:t>
      </w:r>
      <w:r>
        <w:rPr>
          <w:rFonts w:hint="eastAsia" w:ascii="仿宋" w:hAnsi="仿宋" w:eastAsia="仿宋"/>
          <w:b w:val="0"/>
          <w:color w:val="000000"/>
        </w:rPr>
        <w:t>国</w:t>
      </w:r>
      <w:r>
        <w:rPr>
          <w:rStyle w:val="17"/>
          <w:rFonts w:hint="eastAsia" w:ascii="仿宋" w:hAnsi="仿宋" w:eastAsia="仿宋"/>
          <w:b w:val="0"/>
          <w:bCs/>
        </w:rPr>
        <w:t>有资本经营预算支出决算表</w:t>
      </w:r>
      <w:bookmarkEnd w:id="68"/>
    </w:p>
    <w:p w14:paraId="7B2634D6">
      <w:pPr>
        <w:spacing w:line="600" w:lineRule="exact"/>
        <w:jc w:val="left"/>
        <w:outlineLvl w:val="0"/>
        <w:rPr>
          <w:rStyle w:val="16"/>
          <w:rFonts w:ascii="仿宋" w:hAnsi="仿宋" w:eastAsia="仿宋"/>
        </w:rPr>
      </w:pPr>
    </w:p>
    <w:p w14:paraId="21BC2745">
      <w:pPr>
        <w:spacing w:line="600" w:lineRule="exact"/>
        <w:jc w:val="left"/>
        <w:outlineLvl w:val="0"/>
        <w:rPr>
          <w:rStyle w:val="16"/>
          <w:rFonts w:ascii="仿宋" w:hAnsi="仿宋" w:eastAsia="仿宋"/>
          <w:b w:val="0"/>
        </w:rPr>
      </w:pPr>
    </w:p>
    <w:p w14:paraId="121AB928">
      <w:pPr>
        <w:widowControl/>
        <w:jc w:val="center"/>
        <w:rPr>
          <w:rFonts w:ascii="仿宋" w:hAnsi="仿宋" w:eastAsia="仿宋"/>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A645">
    <w:pPr>
      <w:pStyle w:val="8"/>
      <w:jc w:val="center"/>
    </w:pPr>
    <w:r>
      <w:fldChar w:fldCharType="begin"/>
    </w:r>
    <w:r>
      <w:instrText xml:space="preserve">PAGE   \* MERGEFORMAT</w:instrText>
    </w:r>
    <w:r>
      <w:fldChar w:fldCharType="separate"/>
    </w:r>
    <w:r>
      <w:rPr>
        <w:lang w:val="zh-CN"/>
      </w:rPr>
      <w:t>7</w:t>
    </w:r>
    <w:r>
      <w:fldChar w:fldCharType="end"/>
    </w:r>
  </w:p>
  <w:p w14:paraId="7CF02F5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E00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F6"/>
    <w:rsid w:val="00011593"/>
    <w:rsid w:val="0002353A"/>
    <w:rsid w:val="00035B72"/>
    <w:rsid w:val="00044146"/>
    <w:rsid w:val="00047DBC"/>
    <w:rsid w:val="000A2724"/>
    <w:rsid w:val="000B14A4"/>
    <w:rsid w:val="000C3035"/>
    <w:rsid w:val="000C53C0"/>
    <w:rsid w:val="000C5E04"/>
    <w:rsid w:val="000E409C"/>
    <w:rsid w:val="000F3369"/>
    <w:rsid w:val="001007F4"/>
    <w:rsid w:val="0010117C"/>
    <w:rsid w:val="00103130"/>
    <w:rsid w:val="00104F83"/>
    <w:rsid w:val="00111346"/>
    <w:rsid w:val="00113CEC"/>
    <w:rsid w:val="001272E8"/>
    <w:rsid w:val="00146BA0"/>
    <w:rsid w:val="00152E28"/>
    <w:rsid w:val="0015649A"/>
    <w:rsid w:val="00156A69"/>
    <w:rsid w:val="00176C14"/>
    <w:rsid w:val="00184AD4"/>
    <w:rsid w:val="00184BD2"/>
    <w:rsid w:val="00192491"/>
    <w:rsid w:val="00195228"/>
    <w:rsid w:val="001A40D6"/>
    <w:rsid w:val="001A7DBC"/>
    <w:rsid w:val="001D0C19"/>
    <w:rsid w:val="001D2D39"/>
    <w:rsid w:val="001D3D9F"/>
    <w:rsid w:val="001E2AA6"/>
    <w:rsid w:val="002027CB"/>
    <w:rsid w:val="00204721"/>
    <w:rsid w:val="00207CB1"/>
    <w:rsid w:val="0021626D"/>
    <w:rsid w:val="00243983"/>
    <w:rsid w:val="00246A40"/>
    <w:rsid w:val="00250DD1"/>
    <w:rsid w:val="002610FA"/>
    <w:rsid w:val="00263D1E"/>
    <w:rsid w:val="00270C88"/>
    <w:rsid w:val="00283BD8"/>
    <w:rsid w:val="002C12FF"/>
    <w:rsid w:val="002C282C"/>
    <w:rsid w:val="002D74E7"/>
    <w:rsid w:val="002E6C51"/>
    <w:rsid w:val="002E7F98"/>
    <w:rsid w:val="002F52C2"/>
    <w:rsid w:val="00300F5C"/>
    <w:rsid w:val="00306B0E"/>
    <w:rsid w:val="00326744"/>
    <w:rsid w:val="00362D19"/>
    <w:rsid w:val="00366FA9"/>
    <w:rsid w:val="0036788A"/>
    <w:rsid w:val="00371116"/>
    <w:rsid w:val="00373602"/>
    <w:rsid w:val="00373B1A"/>
    <w:rsid w:val="00377C8A"/>
    <w:rsid w:val="00380190"/>
    <w:rsid w:val="003B04D7"/>
    <w:rsid w:val="003D11D6"/>
    <w:rsid w:val="003D6E61"/>
    <w:rsid w:val="00403622"/>
    <w:rsid w:val="00404E91"/>
    <w:rsid w:val="00406509"/>
    <w:rsid w:val="00413FAB"/>
    <w:rsid w:val="00421046"/>
    <w:rsid w:val="00424C29"/>
    <w:rsid w:val="00434018"/>
    <w:rsid w:val="0045740C"/>
    <w:rsid w:val="00467908"/>
    <w:rsid w:val="00472711"/>
    <w:rsid w:val="004754FE"/>
    <w:rsid w:val="00475CBB"/>
    <w:rsid w:val="004844DF"/>
    <w:rsid w:val="0048722E"/>
    <w:rsid w:val="004D35C4"/>
    <w:rsid w:val="004D43D1"/>
    <w:rsid w:val="004F2068"/>
    <w:rsid w:val="005024E0"/>
    <w:rsid w:val="00521103"/>
    <w:rsid w:val="00525E40"/>
    <w:rsid w:val="00526BDF"/>
    <w:rsid w:val="005368BB"/>
    <w:rsid w:val="00540E61"/>
    <w:rsid w:val="005621A2"/>
    <w:rsid w:val="00575FFA"/>
    <w:rsid w:val="00583A24"/>
    <w:rsid w:val="00586133"/>
    <w:rsid w:val="005A0184"/>
    <w:rsid w:val="005D2E47"/>
    <w:rsid w:val="005D359E"/>
    <w:rsid w:val="005D37B5"/>
    <w:rsid w:val="005D4F68"/>
    <w:rsid w:val="005E0BC3"/>
    <w:rsid w:val="005F335E"/>
    <w:rsid w:val="005F78E3"/>
    <w:rsid w:val="00602D2F"/>
    <w:rsid w:val="00612D5B"/>
    <w:rsid w:val="00613722"/>
    <w:rsid w:val="00636A40"/>
    <w:rsid w:val="006621D8"/>
    <w:rsid w:val="00674FED"/>
    <w:rsid w:val="0067663A"/>
    <w:rsid w:val="00687FF8"/>
    <w:rsid w:val="00694410"/>
    <w:rsid w:val="00695786"/>
    <w:rsid w:val="006A6B13"/>
    <w:rsid w:val="006B38B1"/>
    <w:rsid w:val="006B546C"/>
    <w:rsid w:val="006C065F"/>
    <w:rsid w:val="006C2FDA"/>
    <w:rsid w:val="006C6712"/>
    <w:rsid w:val="006E1A63"/>
    <w:rsid w:val="006F1AE8"/>
    <w:rsid w:val="006F2F2A"/>
    <w:rsid w:val="006F653F"/>
    <w:rsid w:val="0074470E"/>
    <w:rsid w:val="00782EAE"/>
    <w:rsid w:val="00793DA0"/>
    <w:rsid w:val="007A3B90"/>
    <w:rsid w:val="007A3D14"/>
    <w:rsid w:val="007A5268"/>
    <w:rsid w:val="007A6EA1"/>
    <w:rsid w:val="007B73AE"/>
    <w:rsid w:val="007B74E0"/>
    <w:rsid w:val="007C00A6"/>
    <w:rsid w:val="007C3A5E"/>
    <w:rsid w:val="007C6E56"/>
    <w:rsid w:val="007E6657"/>
    <w:rsid w:val="007E6C24"/>
    <w:rsid w:val="007E7060"/>
    <w:rsid w:val="007F48AB"/>
    <w:rsid w:val="008043C0"/>
    <w:rsid w:val="00810231"/>
    <w:rsid w:val="00815FE7"/>
    <w:rsid w:val="00817966"/>
    <w:rsid w:val="00822276"/>
    <w:rsid w:val="00824EFE"/>
    <w:rsid w:val="00827A04"/>
    <w:rsid w:val="00827E4B"/>
    <w:rsid w:val="00832B92"/>
    <w:rsid w:val="00840C1D"/>
    <w:rsid w:val="00842DDB"/>
    <w:rsid w:val="00846E2A"/>
    <w:rsid w:val="008539AD"/>
    <w:rsid w:val="008571D6"/>
    <w:rsid w:val="00862FCB"/>
    <w:rsid w:val="00864821"/>
    <w:rsid w:val="00865F90"/>
    <w:rsid w:val="00872E51"/>
    <w:rsid w:val="00882579"/>
    <w:rsid w:val="00897CF6"/>
    <w:rsid w:val="008B3FDB"/>
    <w:rsid w:val="008D15C3"/>
    <w:rsid w:val="008D66E6"/>
    <w:rsid w:val="008D7061"/>
    <w:rsid w:val="00904055"/>
    <w:rsid w:val="009105C2"/>
    <w:rsid w:val="00911334"/>
    <w:rsid w:val="0092388D"/>
    <w:rsid w:val="00923D6E"/>
    <w:rsid w:val="0093030C"/>
    <w:rsid w:val="009312A2"/>
    <w:rsid w:val="0095211F"/>
    <w:rsid w:val="00957A55"/>
    <w:rsid w:val="00961911"/>
    <w:rsid w:val="0096701D"/>
    <w:rsid w:val="009B1BFB"/>
    <w:rsid w:val="009B39A5"/>
    <w:rsid w:val="009E3E9B"/>
    <w:rsid w:val="009E52B9"/>
    <w:rsid w:val="009E5B75"/>
    <w:rsid w:val="009F1BA7"/>
    <w:rsid w:val="00A01586"/>
    <w:rsid w:val="00A2126D"/>
    <w:rsid w:val="00A27D6A"/>
    <w:rsid w:val="00A35931"/>
    <w:rsid w:val="00A37D7C"/>
    <w:rsid w:val="00A535E9"/>
    <w:rsid w:val="00A55123"/>
    <w:rsid w:val="00AA3B97"/>
    <w:rsid w:val="00AC0A32"/>
    <w:rsid w:val="00AC0CF6"/>
    <w:rsid w:val="00AD7DA2"/>
    <w:rsid w:val="00AF172B"/>
    <w:rsid w:val="00B0028B"/>
    <w:rsid w:val="00B21A5A"/>
    <w:rsid w:val="00B258C9"/>
    <w:rsid w:val="00B270F3"/>
    <w:rsid w:val="00B27147"/>
    <w:rsid w:val="00B54420"/>
    <w:rsid w:val="00B612A0"/>
    <w:rsid w:val="00B61EEE"/>
    <w:rsid w:val="00B64DBA"/>
    <w:rsid w:val="00B93E0E"/>
    <w:rsid w:val="00BB29D8"/>
    <w:rsid w:val="00BB6E84"/>
    <w:rsid w:val="00C04578"/>
    <w:rsid w:val="00C20935"/>
    <w:rsid w:val="00C213B5"/>
    <w:rsid w:val="00C358A8"/>
    <w:rsid w:val="00C369FE"/>
    <w:rsid w:val="00C45B46"/>
    <w:rsid w:val="00C466F9"/>
    <w:rsid w:val="00C57A26"/>
    <w:rsid w:val="00C75FC2"/>
    <w:rsid w:val="00C7645D"/>
    <w:rsid w:val="00C86A8E"/>
    <w:rsid w:val="00C942F0"/>
    <w:rsid w:val="00C94D35"/>
    <w:rsid w:val="00CB2B01"/>
    <w:rsid w:val="00CC7899"/>
    <w:rsid w:val="00CC7B0D"/>
    <w:rsid w:val="00CE04EB"/>
    <w:rsid w:val="00D015FF"/>
    <w:rsid w:val="00D0636C"/>
    <w:rsid w:val="00D2042A"/>
    <w:rsid w:val="00D22D1D"/>
    <w:rsid w:val="00D23CD8"/>
    <w:rsid w:val="00D3647D"/>
    <w:rsid w:val="00D36681"/>
    <w:rsid w:val="00D47992"/>
    <w:rsid w:val="00D61149"/>
    <w:rsid w:val="00D62716"/>
    <w:rsid w:val="00D77BCA"/>
    <w:rsid w:val="00D91849"/>
    <w:rsid w:val="00DB480F"/>
    <w:rsid w:val="00DB61F3"/>
    <w:rsid w:val="00DE1C0E"/>
    <w:rsid w:val="00DF5495"/>
    <w:rsid w:val="00DF5F63"/>
    <w:rsid w:val="00E25563"/>
    <w:rsid w:val="00E26925"/>
    <w:rsid w:val="00E31FC8"/>
    <w:rsid w:val="00E35DFB"/>
    <w:rsid w:val="00E84A68"/>
    <w:rsid w:val="00E96331"/>
    <w:rsid w:val="00EA16AF"/>
    <w:rsid w:val="00EB6684"/>
    <w:rsid w:val="00EB6A04"/>
    <w:rsid w:val="00EC0B14"/>
    <w:rsid w:val="00ED3125"/>
    <w:rsid w:val="00ED46BB"/>
    <w:rsid w:val="00EE0662"/>
    <w:rsid w:val="00F02D41"/>
    <w:rsid w:val="00F044CD"/>
    <w:rsid w:val="00F34355"/>
    <w:rsid w:val="00F44B59"/>
    <w:rsid w:val="00F603A5"/>
    <w:rsid w:val="00F64E00"/>
    <w:rsid w:val="00F72F0F"/>
    <w:rsid w:val="00F8019A"/>
    <w:rsid w:val="00F80FA5"/>
    <w:rsid w:val="00F94385"/>
    <w:rsid w:val="00F94D31"/>
    <w:rsid w:val="00FA3428"/>
    <w:rsid w:val="00FD4AF4"/>
    <w:rsid w:val="3E97720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18"/>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9"/>
    <w:uiPriority w:val="0"/>
    <w:pPr>
      <w:spacing w:beforeLines="30"/>
    </w:pPr>
    <w:rPr>
      <w:rFonts w:ascii="仿宋_GB2312" w:eastAsia="仿宋_GB2312"/>
      <w:kern w:val="0"/>
      <w:sz w:val="24"/>
      <w:szCs w:val="20"/>
    </w:rPr>
  </w:style>
  <w:style w:type="paragraph" w:styleId="6">
    <w:name w:val="toc 3"/>
    <w:basedOn w:val="1"/>
    <w:next w:val="1"/>
    <w:uiPriority w:val="0"/>
    <w:pPr>
      <w:tabs>
        <w:tab w:val="right" w:leader="dot" w:pos="8296"/>
      </w:tabs>
      <w:ind w:left="840" w:leftChars="400"/>
    </w:pPr>
  </w:style>
  <w:style w:type="paragraph" w:styleId="7">
    <w:name w:val="Balloon Text"/>
    <w:basedOn w:val="1"/>
    <w:link w:val="20"/>
    <w:uiPriority w:val="0"/>
    <w:rPr>
      <w:sz w:val="18"/>
      <w:szCs w:val="18"/>
    </w:rPr>
  </w:style>
  <w:style w:type="paragraph" w:styleId="8">
    <w:name w:val="footer"/>
    <w:basedOn w:val="1"/>
    <w:link w:val="21"/>
    <w:uiPriority w:val="0"/>
    <w:pPr>
      <w:tabs>
        <w:tab w:val="center" w:pos="4153"/>
        <w:tab w:val="right" w:pos="8306"/>
      </w:tabs>
      <w:snapToGrid w:val="0"/>
      <w:jc w:val="left"/>
    </w:pPr>
    <w:rPr>
      <w:rFonts w:ascii="Calibri" w:hAnsi="Calibri"/>
      <w:kern w:val="0"/>
      <w:sz w:val="18"/>
      <w:szCs w:val="20"/>
    </w:rPr>
  </w:style>
  <w:style w:type="paragraph" w:styleId="9">
    <w:name w:val="header"/>
    <w:basedOn w:val="1"/>
    <w:link w:val="22"/>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0"/>
    <w:pPr>
      <w:tabs>
        <w:tab w:val="right" w:leader="dot" w:pos="8296"/>
      </w:tabs>
      <w:spacing w:before="93"/>
      <w:jc w:val="center"/>
    </w:pPr>
    <w:rPr>
      <w:rFonts w:ascii="仿宋" w:hAnsi="仿宋" w:eastAsia="仿宋"/>
      <w:sz w:val="28"/>
      <w:szCs w:val="28"/>
    </w:rPr>
  </w:style>
  <w:style w:type="paragraph" w:styleId="11">
    <w:name w:val="toc 2"/>
    <w:basedOn w:val="1"/>
    <w:next w:val="1"/>
    <w:uiPriority w:val="0"/>
    <w:pPr>
      <w:tabs>
        <w:tab w:val="right" w:leader="dot" w:pos="8296"/>
      </w:tabs>
      <w:ind w:left="420" w:leftChars="200"/>
    </w:pPr>
  </w:style>
  <w:style w:type="character" w:styleId="14">
    <w:name w:val="Strong"/>
    <w:basedOn w:val="13"/>
    <w:qFormat/>
    <w:uiPriority w:val="0"/>
    <w:rPr>
      <w:b/>
    </w:rPr>
  </w:style>
  <w:style w:type="character" w:styleId="15">
    <w:name w:val="Hyperlink"/>
    <w:basedOn w:val="13"/>
    <w:uiPriority w:val="0"/>
    <w:rPr>
      <w:color w:val="0000FF"/>
      <w:u w:val="single"/>
    </w:rPr>
  </w:style>
  <w:style w:type="character" w:customStyle="1" w:styleId="16">
    <w:name w:val="标题 1 Char"/>
    <w:basedOn w:val="13"/>
    <w:link w:val="2"/>
    <w:qFormat/>
    <w:uiPriority w:val="9"/>
    <w:rPr>
      <w:rFonts w:ascii="Times New Roman" w:hAnsi="Times New Roman"/>
      <w:b/>
      <w:bCs/>
      <w:kern w:val="44"/>
      <w:sz w:val="44"/>
      <w:szCs w:val="44"/>
    </w:rPr>
  </w:style>
  <w:style w:type="character" w:customStyle="1" w:styleId="17">
    <w:name w:val="标题 2 Char"/>
    <w:basedOn w:val="13"/>
    <w:link w:val="3"/>
    <w:qFormat/>
    <w:uiPriority w:val="9"/>
    <w:rPr>
      <w:rFonts w:ascii="Cambria" w:hAnsi="Cambria" w:eastAsia="宋体" w:cs="黑体"/>
      <w:b/>
      <w:bCs/>
      <w:kern w:val="2"/>
      <w:sz w:val="32"/>
      <w:szCs w:val="32"/>
    </w:rPr>
  </w:style>
  <w:style w:type="character" w:customStyle="1" w:styleId="18">
    <w:name w:val="标题 3 Char"/>
    <w:basedOn w:val="13"/>
    <w:link w:val="4"/>
    <w:semiHidden/>
    <w:uiPriority w:val="0"/>
    <w:rPr>
      <w:rFonts w:ascii="Times New Roman" w:hAnsi="Times New Roman"/>
      <w:b/>
      <w:bCs/>
      <w:kern w:val="2"/>
      <w:sz w:val="32"/>
      <w:szCs w:val="32"/>
    </w:rPr>
  </w:style>
  <w:style w:type="character" w:customStyle="1" w:styleId="19">
    <w:name w:val="正文文本 Char"/>
    <w:link w:val="5"/>
    <w:semiHidden/>
    <w:uiPriority w:val="0"/>
    <w:rPr>
      <w:rFonts w:ascii="仿宋_GB2312" w:hAnsi="Times New Roman" w:eastAsia="仿宋_GB2312"/>
      <w:sz w:val="24"/>
    </w:rPr>
  </w:style>
  <w:style w:type="character" w:customStyle="1" w:styleId="20">
    <w:name w:val="批注框文本 Char"/>
    <w:basedOn w:val="13"/>
    <w:link w:val="7"/>
    <w:semiHidden/>
    <w:uiPriority w:val="0"/>
    <w:rPr>
      <w:rFonts w:ascii="Times New Roman" w:hAnsi="Times New Roman"/>
      <w:kern w:val="2"/>
      <w:sz w:val="18"/>
      <w:szCs w:val="18"/>
    </w:rPr>
  </w:style>
  <w:style w:type="character" w:customStyle="1" w:styleId="21">
    <w:name w:val="页脚 Char"/>
    <w:link w:val="8"/>
    <w:semiHidden/>
    <w:uiPriority w:val="0"/>
    <w:rPr>
      <w:sz w:val="18"/>
    </w:rPr>
  </w:style>
  <w:style w:type="character" w:customStyle="1" w:styleId="22">
    <w:name w:val="页眉 Char"/>
    <w:link w:val="9"/>
    <w:semiHidden/>
    <w:uiPriority w:val="0"/>
    <w:rPr>
      <w:sz w:val="18"/>
    </w:rPr>
  </w:style>
  <w:style w:type="paragraph" w:customStyle="1" w:styleId="23">
    <w:name w:val="Defaul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uiPriority w:val="0"/>
    <w:pPr>
      <w:ind w:firstLine="420" w:firstLineChars="200"/>
    </w:pPr>
  </w:style>
  <w:style w:type="paragraph" w:customStyle="1" w:styleId="25">
    <w:name w:val="TOC 标题1"/>
    <w:basedOn w:val="2"/>
    <w:next w:val="1"/>
    <w:uiPriority w:val="0"/>
    <w:pPr>
      <w:widowControl/>
      <w:spacing w:before="480" w:after="0" w:line="276" w:lineRule="auto"/>
      <w:jc w:val="left"/>
      <w:outlineLvl w:val="9"/>
    </w:pPr>
    <w:rPr>
      <w:rFonts w:ascii="Cambria" w:hAnsi="Cambria" w:cs="黑体"/>
      <w:color w:val="365F90"/>
      <w:kern w:val="0"/>
      <w:sz w:val="28"/>
      <w:szCs w:val="28"/>
    </w:rPr>
  </w:style>
  <w:style w:type="character" w:customStyle="1" w:styleId="26">
    <w:name w:val="Header Char"/>
    <w:basedOn w:val="13"/>
    <w:uiPriority w:val="0"/>
    <w:rPr>
      <w:rFonts w:ascii="Times New Roman" w:hAnsi="Times New Roman"/>
      <w:sz w:val="18"/>
      <w:szCs w:val="18"/>
    </w:rPr>
  </w:style>
  <w:style w:type="character" w:customStyle="1" w:styleId="27">
    <w:name w:val="Footer Char"/>
    <w:basedOn w:val="13"/>
    <w:uiPriority w:val="0"/>
    <w:rPr>
      <w:rFonts w:ascii="Times New Roman" w:hAnsi="Times New Roman"/>
      <w:sz w:val="18"/>
      <w:szCs w:val="18"/>
    </w:rPr>
  </w:style>
  <w:style w:type="character" w:customStyle="1" w:styleId="28">
    <w:name w:val="Body Text Char"/>
    <w:basedOn w:val="13"/>
    <w:uiPriority w:val="0"/>
    <w:rPr>
      <w:rFonts w:ascii="Times New Roman" w:hAnsi="Times New Roman"/>
      <w:szCs w:val="24"/>
    </w:rPr>
  </w:style>
  <w:style w:type="character" w:customStyle="1" w:styleId="29">
    <w:name w:val="不明显强调1"/>
    <w:basedOn w:val="13"/>
    <w:qFormat/>
    <w:uiPriority w:val="19"/>
    <w:rPr>
      <w:i/>
      <w:iCs/>
      <w:color w:val="808080"/>
    </w:rPr>
  </w:style>
  <w:style w:type="paragraph" w:customStyle="1" w:styleId="30">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5"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26700;&#38754;\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4037;&#20316;&#31807;5"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4037;&#20316;&#31807;5"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4037;&#20316;&#31807;5"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2013-20191217FZ\Desktop\&#26032;&#24314;%20Microsoft%20Office%20Excel%202007%20&#24037;&#20316;&#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Administrator\&#26700;&#38754;\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67916666666667"/>
          <c:y val="0.079861111111111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0425"/>
          <c:y val="0.176388888888889"/>
          <c:w val="0.869361111111111"/>
          <c:h val="0.454027777777778"/>
        </c:manualLayout>
      </c:layout>
      <c:barChart>
        <c:barDir val="col"/>
        <c:grouping val="clustered"/>
        <c:varyColors val="0"/>
        <c:ser>
          <c:idx val="0"/>
          <c:order val="0"/>
          <c:tx>
            <c:strRef>
              <c:f>[工作簿5]Sheet1!$C$1</c:f>
              <c:strCache>
                <c:ptCount val="1"/>
                <c:pt idx="0">
                  <c:v>单位：万元</c:v>
                </c:pt>
              </c:strCache>
            </c:strRef>
          </c:tx>
          <c:spPr>
            <a:solidFill>
              <a:schemeClr val="accent1"/>
            </a:solidFill>
            <a:ln>
              <a:noFill/>
            </a:ln>
            <a:effectLst/>
          </c:spPr>
          <c:invertIfNegative val="0"/>
          <c:dLbls>
            <c:dLbl>
              <c:idx val="3"/>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12162.06</a:t>
                    </a:r>
                    <a:endParaRPr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[工作簿5]Sheet1!$B$2:$B$5</c:f>
              <c:strCache>
                <c:ptCount val="4"/>
                <c:pt idx="0">
                  <c:v>2018年收入决算总额</c:v>
                </c:pt>
                <c:pt idx="1">
                  <c:v>2019年收入决算总额</c:v>
                </c:pt>
                <c:pt idx="2">
                  <c:v>2018年支出决算总额</c:v>
                </c:pt>
                <c:pt idx="3">
                  <c:v>2019年支出决算总额</c:v>
                </c:pt>
              </c:strCache>
            </c:strRef>
          </c:cat>
          <c:val>
            <c:numRef>
              <c:f>[工作簿5]Sheet1!$C$2:$C$5</c:f>
              <c:numCache>
                <c:formatCode>General</c:formatCode>
                <c:ptCount val="4"/>
                <c:pt idx="0">
                  <c:v>26974.48</c:v>
                </c:pt>
                <c:pt idx="1">
                  <c:v>31168.13</c:v>
                </c:pt>
                <c:pt idx="2">
                  <c:v>12020.33</c:v>
                </c:pt>
                <c:pt idx="3">
                  <c:v>12249.06</c:v>
                </c:pt>
              </c:numCache>
            </c:numRef>
          </c:val>
        </c:ser>
        <c:dLbls>
          <c:showLegendKey val="0"/>
          <c:showVal val="1"/>
          <c:showCatName val="0"/>
          <c:showSerName val="0"/>
          <c:showPercent val="0"/>
          <c:showBubbleSize val="0"/>
        </c:dLbls>
        <c:gapWidth val="219"/>
        <c:overlap val="-27"/>
        <c:axId val="115299456"/>
        <c:axId val="115300992"/>
      </c:barChart>
      <c:catAx>
        <c:axId val="115299456"/>
        <c:scaling>
          <c:orientation val="minMax"/>
        </c:scaling>
        <c:delete val="0"/>
        <c:axPos val="b"/>
        <c:majorTickMark val="none"/>
        <c:minorTickMark val="none"/>
        <c:tickLblPos val="nextTo"/>
        <c:spPr>
          <a:noFill/>
          <a:ln w="9525" cap="flat" cmpd="sng" algn="ctr">
            <a:solidFill>
              <a:schemeClr val="bg2">
                <a:lumMod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300992"/>
        <c:crosses val="autoZero"/>
        <c:auto val="1"/>
        <c:lblAlgn val="ctr"/>
        <c:lblOffset val="100"/>
        <c:noMultiLvlLbl val="0"/>
      </c:catAx>
      <c:valAx>
        <c:axId val="115300992"/>
        <c:scaling>
          <c:orientation val="minMax"/>
        </c:scaling>
        <c:delete val="0"/>
        <c:axPos val="l"/>
        <c:majorGridlines>
          <c:spPr>
            <a:ln w="9525" cap="flat" cmpd="sng" algn="ctr">
              <a:solidFill>
                <a:schemeClr val="bg2">
                  <a:lumMod val="75000"/>
                </a:schemeClr>
              </a:solidFill>
              <a:prstDash val="solid"/>
              <a:round/>
            </a:ln>
            <a:effectLst/>
          </c:spPr>
        </c:majorGridlines>
        <c:numFmt formatCode="General" sourceLinked="1"/>
        <c:majorTickMark val="none"/>
        <c:minorTickMark val="none"/>
        <c:tickLblPos val="nextTo"/>
        <c:spPr>
          <a:noFill/>
          <a:ln w="9525" cap="flat" cmpd="sng" algn="ctr">
            <a:solidFill>
              <a:schemeClr val="bg2">
                <a:lumMod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5299456"/>
        <c:crosses val="autoZero"/>
        <c:crossBetween val="between"/>
      </c:valAx>
      <c:spPr>
        <a:noFill/>
        <a:ln>
          <a:noFill/>
        </a:ln>
        <a:effectLst/>
      </c:spPr>
    </c:plotArea>
    <c:plotVisOnly val="1"/>
    <c:dispBlanksAs val="gap"/>
    <c:showDLblsOverMax val="0"/>
    <c:extLst>
      <c:ext uri="{0b15fc19-7d7d-44ad-8c2d-2c3a37ce22c3}">
        <chartProps xmlns="https://web.wps.cn/et/2018/main" chartId="{58410b33-8338-4d46-87ab-ada71cc0f654}"/>
      </c:ext>
    </c:extLst>
  </c:chart>
  <c:spPr>
    <a:solidFill>
      <a:schemeClr val="bg1"/>
    </a:solidFill>
    <a:ln w="12700" cap="flat" cmpd="sng" algn="ctr">
      <a:solidFill>
        <a:schemeClr val="tx1"/>
      </a:solidFill>
      <a:prstDash val="solid"/>
      <a:bevel/>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plotArea>
      <c:layout/>
      <c:pieChart>
        <c:varyColors val="1"/>
        <c:ser>
          <c:idx val="0"/>
          <c:order val="0"/>
          <c:tx>
            <c:strRef>
              <c:f>Sheet1!$A$25</c:f>
              <c:strCache>
                <c:ptCount val="1"/>
                <c:pt idx="0">
                  <c:v>一般公共预算财政拨款收入</c:v>
                </c:pt>
              </c:strCache>
            </c:strRef>
          </c:tx>
          <c:explosion val="0"/>
          <c:dPt>
            <c:idx val="0"/>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一般公共预算财政拨款收入</a:t>
                    </a:r>
                    <a:r>
                      <a:rPr lang="en-US" altLang="zh-CN"/>
                      <a:t>
100%</a:t>
                    </a:r>
                    <a:endParaRPr lang="en-US" altLang="zh-CN"/>
                  </a:p>
                </c:rich>
              </c:tx>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val>
            <c:numRef>
              <c:f>Sheet1!$B$25</c:f>
              <c:numCache>
                <c:formatCode>General</c:formatCode>
                <c:ptCount val="1"/>
                <c:pt idx="0">
                  <c:v>15504.94</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9f8bab64-a79b-4732-a0f0-4e4578fa29a2}"/>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a:solidFill>
              <a:schemeClr val="accent1">
                <a:lumMod val="75000"/>
              </a:schemeClr>
            </a:solidFill>
          </c:spPr>
          <c:explosion val="0"/>
          <c:dPt>
            <c:idx val="0"/>
            <c:bubble3D val="0"/>
            <c:spPr>
              <a:solidFill>
                <a:schemeClr val="accent1">
                  <a:lumMod val="75000"/>
                </a:schemeClr>
              </a:solidFill>
              <a:ln w="19050">
                <a:solidFill>
                  <a:schemeClr val="lt1"/>
                </a:solidFill>
              </a:ln>
              <a:effectLst/>
            </c:spPr>
          </c:dPt>
          <c:dPt>
            <c:idx val="1"/>
            <c:bubble3D val="0"/>
            <c:spPr>
              <a:solidFill>
                <a:schemeClr val="accent1">
                  <a:lumMod val="75000"/>
                </a:schemeClr>
              </a:solidFill>
              <a:ln w="19050">
                <a:solidFill>
                  <a:schemeClr val="lt1"/>
                </a:solidFill>
              </a:ln>
              <a:effectLst/>
            </c:spPr>
          </c:dPt>
          <c:dPt>
            <c:idx val="2"/>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[工作簿5]Sheet1!$B$1:$B$3</c:f>
              <c:strCache>
                <c:ptCount val="3"/>
                <c:pt idx="1">
                  <c:v>基本支出</c:v>
                </c:pt>
                <c:pt idx="2">
                  <c:v>项目支出</c:v>
                </c:pt>
              </c:strCache>
            </c:strRef>
          </c:cat>
          <c:val>
            <c:numRef>
              <c:f>[工作簿5]Sheet1!$C$1:$C$3</c:f>
              <c:numCache>
                <c:formatCode>General</c:formatCode>
                <c:ptCount val="3"/>
                <c:pt idx="1" c:formatCode="0.00%">
                  <c:v>0.0128</c:v>
                </c:pt>
                <c:pt idx="2" c:formatCode="0.00%">
                  <c:v>0.9872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7ff0dad-a2f0-49b5-9063-cfcb223a2b74}"/>
      </c:ext>
    </c:extLst>
  </c:chart>
  <c:spPr>
    <a:solidFill>
      <a:schemeClr val="bg1"/>
    </a:solidFill>
    <a:ln w="9525" cap="flat" cmpd="sng" algn="ctr">
      <a:solidFill>
        <a:schemeClr val="tx1"/>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67916666666667"/>
          <c:y val="0.079861111111111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0425"/>
          <c:y val="0.176388888888889"/>
          <c:w val="0.869361111111111"/>
          <c:h val="0.454027777777778"/>
        </c:manualLayout>
      </c:layout>
      <c:barChart>
        <c:barDir val="col"/>
        <c:grouping val="clustered"/>
        <c:varyColors val="0"/>
        <c:ser>
          <c:idx val="0"/>
          <c:order val="0"/>
          <c:tx>
            <c:strRef>
              <c:f>[工作簿5]Sheet1!$C$1</c:f>
              <c:strCache>
                <c:ptCount val="1"/>
                <c:pt idx="0">
                  <c:v>单位：万元</c:v>
                </c:pt>
              </c:strCache>
            </c:strRef>
          </c:tx>
          <c:spPr>
            <a:solidFill>
              <a:schemeClr val="accent1"/>
            </a:solidFill>
            <a:ln>
              <a:noFill/>
            </a:ln>
            <a:effectLst/>
          </c:spPr>
          <c:invertIfNegative val="0"/>
          <c:dLbls>
            <c:dLbl>
              <c:idx val="3"/>
              <c:layout>
                <c:manualLayout>
                  <c:x val="0.0305555555555556"/>
                  <c:y val="0.0046296296296296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en-US"/>
                      <a:t>12162.06</a:t>
                    </a:r>
                    <a:endParaRPr altLang="en-US"/>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[工作簿5]Sheet1!$B$2:$B$5</c:f>
              <c:strCache>
                <c:ptCount val="4"/>
                <c:pt idx="0">
                  <c:v>2018年财政拨款收入</c:v>
                </c:pt>
                <c:pt idx="1">
                  <c:v>2019年财政拨款收入</c:v>
                </c:pt>
                <c:pt idx="2">
                  <c:v>2018年财政拨款支出</c:v>
                </c:pt>
                <c:pt idx="3">
                  <c:v>2019年财政拨款支出</c:v>
                </c:pt>
              </c:strCache>
            </c:strRef>
          </c:cat>
          <c:val>
            <c:numRef>
              <c:f>[工作簿5]Sheet1!$C$2:$C$5</c:f>
              <c:numCache>
                <c:formatCode>General</c:formatCode>
                <c:ptCount val="4"/>
                <c:pt idx="0">
                  <c:v>12020.32</c:v>
                </c:pt>
                <c:pt idx="1">
                  <c:v>16213.97</c:v>
                </c:pt>
                <c:pt idx="2">
                  <c:v>12021.33</c:v>
                </c:pt>
                <c:pt idx="3">
                  <c:v>12249.06</c:v>
                </c:pt>
              </c:numCache>
            </c:numRef>
          </c:val>
        </c:ser>
        <c:dLbls>
          <c:showLegendKey val="0"/>
          <c:showVal val="1"/>
          <c:showCatName val="0"/>
          <c:showSerName val="0"/>
          <c:showPercent val="0"/>
          <c:showBubbleSize val="0"/>
        </c:dLbls>
        <c:gapWidth val="219"/>
        <c:overlap val="-27"/>
        <c:axId val="126128512"/>
        <c:axId val="126130048"/>
      </c:barChart>
      <c:catAx>
        <c:axId val="126128512"/>
        <c:scaling>
          <c:orientation val="minMax"/>
        </c:scaling>
        <c:delete val="0"/>
        <c:axPos val="b"/>
        <c:majorTickMark val="none"/>
        <c:minorTickMark val="none"/>
        <c:tickLblPos val="nextTo"/>
        <c:spPr>
          <a:noFill/>
          <a:ln w="9525" cap="flat" cmpd="sng" algn="ctr">
            <a:solidFill>
              <a:schemeClr val="bg2">
                <a:lumMod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130048"/>
        <c:crosses val="autoZero"/>
        <c:auto val="1"/>
        <c:lblAlgn val="ctr"/>
        <c:lblOffset val="100"/>
        <c:noMultiLvlLbl val="0"/>
      </c:catAx>
      <c:valAx>
        <c:axId val="126130048"/>
        <c:scaling>
          <c:orientation val="minMax"/>
        </c:scaling>
        <c:delete val="0"/>
        <c:axPos val="l"/>
        <c:majorGridlines>
          <c:spPr>
            <a:ln w="9525" cap="flat" cmpd="sng" algn="ctr">
              <a:solidFill>
                <a:schemeClr val="bg2">
                  <a:lumMod val="75000"/>
                </a:schemeClr>
              </a:solidFill>
              <a:prstDash val="solid"/>
              <a:round/>
            </a:ln>
            <a:effectLst/>
          </c:spPr>
        </c:majorGridlines>
        <c:numFmt formatCode="General" sourceLinked="1"/>
        <c:majorTickMark val="none"/>
        <c:minorTickMark val="none"/>
        <c:tickLblPos val="nextTo"/>
        <c:spPr>
          <a:noFill/>
          <a:ln w="9525" cap="flat" cmpd="sng" algn="ctr">
            <a:solidFill>
              <a:schemeClr val="bg2">
                <a:lumMod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128512"/>
        <c:crosses val="autoZero"/>
        <c:crossBetween val="between"/>
      </c:valAx>
      <c:spPr>
        <a:noFill/>
        <a:ln>
          <a:noFill/>
        </a:ln>
        <a:effectLst/>
      </c:spPr>
    </c:plotArea>
    <c:plotVisOnly val="1"/>
    <c:dispBlanksAs val="gap"/>
    <c:showDLblsOverMax val="0"/>
    <c:extLst>
      <c:ext uri="{0b15fc19-7d7d-44ad-8c2d-2c3a37ce22c3}">
        <chartProps xmlns="https://web.wps.cn/et/2018/main" chartId="{77b34b62-79cc-462a-b223-324b5297954a}"/>
      </c:ext>
    </c:extLst>
  </c:chart>
  <c:spPr>
    <a:solidFill>
      <a:schemeClr val="bg1"/>
    </a:solidFill>
    <a:ln w="12700" cap="flat" cmpd="sng" algn="ctr">
      <a:solidFill>
        <a:schemeClr val="tx1"/>
      </a:solidFill>
      <a:prstDash val="solid"/>
      <a:bevel/>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767916666666667"/>
          <c:y val="0.079861111111111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0425"/>
          <c:y val="0.176388888888889"/>
          <c:w val="0.869361111111111"/>
          <c:h val="0.454027777777778"/>
        </c:manualLayout>
      </c:layout>
      <c:barChart>
        <c:barDir val="col"/>
        <c:grouping val="clustered"/>
        <c:varyColors val="0"/>
        <c:ser>
          <c:idx val="0"/>
          <c:order val="0"/>
          <c:tx>
            <c:strRef>
              <c:f>[工作簿5]Sheet1!$C$1</c:f>
              <c:strCache>
                <c:ptCount val="1"/>
                <c:pt idx="0">
                  <c:v>单位：万元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[工作簿5]Sheet1!$B$2:$B$3</c:f>
              <c:strCache>
                <c:ptCount val="2"/>
                <c:pt idx="0">
                  <c:v>2018年一般公共预算财政拨款收入</c:v>
                </c:pt>
                <c:pt idx="1">
                  <c:v>2019年一般公共预算财政拨款收入</c:v>
                </c:pt>
              </c:strCache>
            </c:strRef>
          </c:cat>
          <c:val>
            <c:numRef>
              <c:f>[工作簿5]Sheet1!$C$2:$C$3</c:f>
              <c:numCache>
                <c:formatCode>General</c:formatCode>
                <c:ptCount val="2"/>
                <c:pt idx="0">
                  <c:v>12020.32</c:v>
                </c:pt>
                <c:pt idx="1">
                  <c:v>16213.97</c:v>
                </c:pt>
              </c:numCache>
            </c:numRef>
          </c:val>
        </c:ser>
        <c:dLbls>
          <c:showLegendKey val="0"/>
          <c:showVal val="1"/>
          <c:showCatName val="0"/>
          <c:showSerName val="0"/>
          <c:showPercent val="0"/>
          <c:showBubbleSize val="0"/>
        </c:dLbls>
        <c:gapWidth val="219"/>
        <c:overlap val="-27"/>
        <c:axId val="126154240"/>
        <c:axId val="126155776"/>
      </c:barChart>
      <c:catAx>
        <c:axId val="126154240"/>
        <c:scaling>
          <c:orientation val="minMax"/>
        </c:scaling>
        <c:delete val="0"/>
        <c:axPos val="b"/>
        <c:majorTickMark val="none"/>
        <c:minorTickMark val="none"/>
        <c:tickLblPos val="nextTo"/>
        <c:spPr>
          <a:noFill/>
          <a:ln w="9525" cap="flat" cmpd="sng" algn="ctr">
            <a:solidFill>
              <a:schemeClr val="bg2">
                <a:lumMod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155776"/>
        <c:crosses val="autoZero"/>
        <c:auto val="1"/>
        <c:lblAlgn val="ctr"/>
        <c:lblOffset val="100"/>
        <c:noMultiLvlLbl val="0"/>
      </c:catAx>
      <c:valAx>
        <c:axId val="126155776"/>
        <c:scaling>
          <c:orientation val="minMax"/>
        </c:scaling>
        <c:delete val="0"/>
        <c:axPos val="l"/>
        <c:majorGridlines>
          <c:spPr>
            <a:ln w="9525" cap="flat" cmpd="sng" algn="ctr">
              <a:solidFill>
                <a:schemeClr val="bg2">
                  <a:lumMod val="75000"/>
                </a:schemeClr>
              </a:solidFill>
              <a:prstDash val="solid"/>
              <a:round/>
            </a:ln>
            <a:effectLst/>
          </c:spPr>
        </c:majorGridlines>
        <c:numFmt formatCode="General" sourceLinked="1"/>
        <c:majorTickMark val="none"/>
        <c:minorTickMark val="none"/>
        <c:tickLblPos val="nextTo"/>
        <c:spPr>
          <a:noFill/>
          <a:ln w="9525" cap="flat" cmpd="sng" algn="ctr">
            <a:solidFill>
              <a:schemeClr val="bg2">
                <a:lumMod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154240"/>
        <c:crosses val="autoZero"/>
        <c:crossBetween val="between"/>
      </c:valAx>
      <c:spPr>
        <a:noFill/>
        <a:ln>
          <a:noFill/>
        </a:ln>
        <a:effectLst/>
      </c:spPr>
    </c:plotArea>
    <c:plotVisOnly val="1"/>
    <c:dispBlanksAs val="gap"/>
    <c:showDLblsOverMax val="0"/>
    <c:extLst>
      <c:ext uri="{0b15fc19-7d7d-44ad-8c2d-2c3a37ce22c3}">
        <chartProps xmlns="https://web.wps.cn/et/2018/main" chartId="{48510527-c209-4073-b012-f64a2047e798}"/>
      </c:ext>
    </c:extLst>
  </c:chart>
  <c:spPr>
    <a:solidFill>
      <a:schemeClr val="bg1"/>
    </a:solidFill>
    <a:ln w="12700" cap="flat" cmpd="sng" algn="ctr">
      <a:solidFill>
        <a:schemeClr val="tx1"/>
      </a:solidFill>
      <a:prstDash val="solid"/>
      <a:bevel/>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Lbls>
            <c:dLbl>
              <c:idx val="1"/>
              <c:layout>
                <c:manualLayout>
                  <c:x val="0.101178368328959"/>
                  <c:y val="-0.028909667541557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212925743657043"/>
                  <c:y val="0.00097149314668999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226155511811024"/>
                  <c:y val="-0.027655657626130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社会保障和就业支出</c:v>
                </c:pt>
                <c:pt idx="1">
                  <c:v>医疗卫生支出</c:v>
                </c:pt>
                <c:pt idx="2">
                  <c:v>住房保障支出</c:v>
                </c:pt>
                <c:pt idx="3">
                  <c:v>农林水支出</c:v>
                </c:pt>
              </c:strCache>
            </c:strRef>
          </c:cat>
          <c:val>
            <c:numRef>
              <c:f>Sheet1!$B$2:$B$5</c:f>
              <c:numCache>
                <c:formatCode>0.00%</c:formatCode>
                <c:ptCount val="4"/>
                <c:pt idx="0">
                  <c:v>0.972</c:v>
                </c:pt>
                <c:pt idx="1">
                  <c:v>0.0205</c:v>
                </c:pt>
                <c:pt idx="2">
                  <c:v>0.0009</c:v>
                </c:pt>
                <c:pt idx="3">
                  <c:v>0.0066</c:v>
                </c:pt>
              </c:numCache>
            </c:numRef>
          </c:val>
        </c:ser>
        <c:dLbls>
          <c:showLegendKey val="0"/>
          <c:showVal val="1"/>
          <c:showCatName val="1"/>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935fe71-9730-4566-9c64-ee9633841848}"/>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1" i="0" u="none" strike="noStrike" baseline="0"/>
              <a:t>三公”经费财政拨款支出结构</a:t>
            </a:r>
            <a:r>
              <a:rPr lang="zh-CN" altLang="en-US" sz="1400"/>
              <a:t>图</a:t>
            </a:r>
            <a:endParaRPr lang="zh-CN" altLang="en-US" sz="1400"/>
          </a:p>
        </c:rich>
      </c:tx>
      <c:layout/>
      <c:overlay val="0"/>
    </c:title>
    <c:autoTitleDeleted val="0"/>
    <c:plotArea>
      <c:layout/>
      <c:pieChart>
        <c:varyColors val="1"/>
        <c:ser>
          <c:idx val="0"/>
          <c:order val="0"/>
          <c:explosion val="0"/>
          <c:dPt>
            <c:idx val="0"/>
            <c:bubble3D val="0"/>
          </c:dPt>
          <c:dPt>
            <c:idx val="1"/>
            <c:bubble3D val="0"/>
          </c:dPt>
          <c:dPt>
            <c:idx val="2"/>
            <c:bubble3D val="0"/>
          </c:dPt>
          <c:dLbls>
            <c:dLbl>
              <c:idx val="0"/>
              <c:layout>
                <c:manualLayout>
                  <c:x val="-0.393056649168856"/>
                  <c:y val="0.0590062111801245"/>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dLbl>
              <c:idx val="1"/>
              <c:layout>
                <c:manualLayout>
                  <c:x val="0.391665573053369"/>
                  <c:y val="0.0755693581780538"/>
                </c:manualLayout>
              </c:layout>
              <c:dLblPos val="bestFi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Sheet1!$A$115:$A$117</c:f>
              <c:strCache>
                <c:ptCount val="3"/>
                <c:pt idx="0">
                  <c:v>因公出国（境）费支出</c:v>
                </c:pt>
                <c:pt idx="1">
                  <c:v>公务用车购置及运行维护费支出</c:v>
                </c:pt>
                <c:pt idx="2">
                  <c:v>公务接待费支出决算</c:v>
                </c:pt>
              </c:strCache>
            </c:strRef>
          </c:cat>
          <c:val>
            <c:numRef>
              <c:f>Sheet1!$B$115:$B$117</c:f>
              <c:numCache>
                <c:formatCode>General</c:formatCode>
                <c:ptCount val="3"/>
                <c:pt idx="0">
                  <c:v>0</c:v>
                </c:pt>
                <c:pt idx="1">
                  <c:v>0</c:v>
                </c:pt>
                <c:pt idx="2">
                  <c:v>0.1719</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57b752ac-e2a9-447a-a7d6-cbcd2715ea47}"/>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7970</Words>
  <Characters>8867</Characters>
  <Lines>75</Lines>
  <Paragraphs>21</Paragraphs>
  <TotalTime>510</TotalTime>
  <ScaleCrop>false</ScaleCrop>
  <LinksUpToDate>false</LinksUpToDate>
  <CharactersWithSpaces>8969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半城繁華半城傷づ</cp:lastModifiedBy>
  <cp:lastPrinted>2019-08-26T08:34:00Z</cp:lastPrinted>
  <dcterms:modified xsi:type="dcterms:W3CDTF">2025-07-21T01:11:35Z</dcterms:modified>
  <dc:title>四川省***</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eyJoZGlkIjoiZjQ0ZjJhYzMyN2U5NjMzMmY5Y2RjODQ4OGU5ZWMxZGQiLCJ1c2VySWQiOiIxMDQ1Mzk0NTAzIn0=</vt:lpwstr>
  </property>
  <property fmtid="{D5CDD505-2E9C-101B-9397-08002B2CF9AE}" pid="4" name="ICV">
    <vt:lpwstr>9D8E0F46DA984EFE880611BD11523624_12</vt:lpwstr>
  </property>
</Properties>
</file>