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b/>
          <w:bCs/>
          <w:color w:val="000000"/>
          <w:sz w:val="72"/>
          <w:szCs w:val="72"/>
        </w:rPr>
      </w:pPr>
      <w:bookmarkStart w:id="1" w:name="_Toc15378441"/>
      <w:bookmarkStart w:id="2" w:name="_Toc15377425"/>
      <w:bookmarkStart w:id="3" w:name="_Toc15377193"/>
      <w:bookmarkStart w:id="4" w:name="_Toc15396475"/>
      <w:bookmarkStart w:id="5" w:name="_Toc15396597"/>
      <w:r>
        <w:rPr>
          <w:rFonts w:hint="eastAsia" w:ascii="方正小标宋_GBK" w:hAnsi="方正小标宋_GBK" w:eastAsia="方正小标宋_GBK" w:cs="方正小标宋_GBK"/>
          <w:b/>
          <w:bCs/>
          <w:color w:val="000000"/>
          <w:sz w:val="72"/>
          <w:szCs w:val="72"/>
        </w:rPr>
        <w:t>202</w:t>
      </w:r>
      <w:r>
        <w:rPr>
          <w:rFonts w:hint="eastAsia" w:ascii="方正小标宋_GBK" w:hAnsi="方正小标宋_GBK" w:eastAsia="方正小标宋_GBK" w:cs="方正小标宋_GBK"/>
          <w:b/>
          <w:bCs/>
          <w:color w:val="000000"/>
          <w:sz w:val="72"/>
          <w:szCs w:val="72"/>
          <w:lang w:val="en-US" w:eastAsia="zh-CN"/>
        </w:rPr>
        <w:t>2</w:t>
      </w:r>
      <w:r>
        <w:rPr>
          <w:rFonts w:hint="eastAsia" w:ascii="方正小标宋_GBK" w:hAnsi="方正小标宋_GBK" w:eastAsia="方正小标宋_GBK" w:cs="方正小标宋_GBK"/>
          <w:b/>
          <w:bCs/>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b/>
          <w:bCs/>
          <w:color w:val="000000"/>
          <w:sz w:val="72"/>
          <w:szCs w:val="72"/>
        </w:rPr>
      </w:pPr>
      <w:bookmarkStart w:id="6" w:name="_Toc15396476"/>
      <w:bookmarkStart w:id="7" w:name="_Toc15396598"/>
      <w:bookmarkStart w:id="8" w:name="_Toc15306268"/>
      <w:bookmarkStart w:id="9" w:name="_Toc15377426"/>
      <w:bookmarkStart w:id="10" w:name="_Toc15378442"/>
      <w:bookmarkStart w:id="11" w:name="_Toc15377194"/>
      <w:r>
        <w:rPr>
          <w:rFonts w:hint="eastAsia" w:ascii="方正小标宋_GBK" w:hAnsi="方正小标宋_GBK" w:eastAsia="方正小标宋_GBK" w:cs="方正小标宋_GBK"/>
          <w:b/>
          <w:bCs/>
          <w:color w:val="000000"/>
          <w:sz w:val="72"/>
          <w:szCs w:val="72"/>
          <w:lang w:val="en-US" w:eastAsia="zh-CN"/>
        </w:rPr>
        <w:t>邻水县粮食和物资储备中心</w:t>
      </w:r>
      <w:r>
        <w:rPr>
          <w:rFonts w:hint="eastAsia" w:ascii="方正小标宋_GBK" w:hAnsi="方正小标宋_GBK" w:eastAsia="方正小标宋_GBK" w:cs="方正小标宋_GBK"/>
          <w:b/>
          <w:bCs/>
          <w:color w:val="000000"/>
          <w:sz w:val="72"/>
          <w:szCs w:val="72"/>
        </w:rPr>
        <w:t>部门决算</w:t>
      </w:r>
      <w:bookmarkEnd w:id="6"/>
      <w:bookmarkEnd w:id="7"/>
      <w:bookmarkEnd w:id="8"/>
      <w:bookmarkEnd w:id="9"/>
      <w:bookmarkEnd w:id="10"/>
      <w:bookmarkEnd w:id="11"/>
      <w:r>
        <w:rPr>
          <w:rFonts w:hint="eastAsia" w:ascii="方正小标宋_GBK" w:hAnsi="方正小标宋_GBK" w:eastAsia="方正小标宋_GBK" w:cs="方正小标宋_GBK"/>
          <w:b/>
          <w:bCs/>
          <w:color w:val="000000"/>
          <w:sz w:val="72"/>
          <w:szCs w:val="72"/>
        </w:rPr>
        <w:t>编制说明</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both"/>
        <w:rPr>
          <w:rFonts w:hint="eastAsia" w:ascii="黑体" w:hAnsi="黑体" w:eastAsia="黑体"/>
          <w:color w:val="000000"/>
          <w:sz w:val="48"/>
          <w:szCs w:val="48"/>
        </w:rPr>
      </w:pPr>
    </w:p>
    <w:p>
      <w:pPr>
        <w:widowControl/>
        <w:jc w:val="center"/>
        <w:rPr>
          <w:rFonts w:hint="eastAsia" w:ascii="黑体" w:hAnsi="黑体" w:eastAsia="黑体" w:cs="黑体"/>
          <w:color w:val="000000"/>
          <w:sz w:val="48"/>
          <w:szCs w:val="48"/>
        </w:rPr>
      </w:pPr>
    </w:p>
    <w:p>
      <w:pPr>
        <w:widowControl/>
        <w:jc w:val="center"/>
        <w:rPr>
          <w:rFonts w:hint="eastAsia" w:ascii="黑体" w:hAnsi="黑体" w:eastAsia="黑体" w:cs="黑体"/>
          <w:color w:val="000000"/>
          <w:sz w:val="48"/>
          <w:szCs w:val="48"/>
        </w:rPr>
      </w:pPr>
    </w:p>
    <w:p>
      <w:pPr>
        <w:widowControl/>
        <w:jc w:val="center"/>
        <w:rPr>
          <w:rFonts w:hint="eastAsia" w:ascii="黑体" w:hAnsi="黑体" w:eastAsia="黑体" w:cs="黑体"/>
          <w:color w:val="000000"/>
          <w:sz w:val="48"/>
          <w:szCs w:val="48"/>
        </w:rPr>
      </w:pPr>
    </w:p>
    <w:p>
      <w:pPr>
        <w:widowControl/>
        <w:jc w:val="center"/>
        <w:rPr>
          <w:rFonts w:hint="eastAsia" w:ascii="黑体" w:hAnsi="黑体" w:eastAsia="黑体" w:cs="黑体"/>
          <w:color w:val="000000"/>
          <w:sz w:val="48"/>
          <w:szCs w:val="48"/>
        </w:rPr>
      </w:pPr>
      <w:bookmarkStart w:id="71" w:name="_GoBack"/>
      <w:bookmarkEnd w:id="71"/>
      <w:r>
        <w:rPr>
          <w:rFonts w:hint="eastAsia" w:ascii="黑体" w:hAnsi="黑体" w:eastAsia="黑体" w:cs="黑体"/>
          <w:color w:val="000000"/>
          <w:sz w:val="48"/>
          <w:szCs w:val="48"/>
        </w:rPr>
        <w:t>目录</w:t>
      </w:r>
    </w:p>
    <w:p>
      <w:pPr>
        <w:widowControl/>
        <w:jc w:val="center"/>
        <w:rPr>
          <w:rFonts w:hint="default" w:ascii="Times New Roman" w:hAnsi="Times New Roman" w:eastAsia="方正仿宋_GBK" w:cs="Times New Roman"/>
          <w:b w:val="0"/>
          <w:bCs w:val="0"/>
          <w:sz w:val="33"/>
          <w:szCs w:val="33"/>
          <w:lang w:val="en-US" w:eastAsia="zh-CN"/>
        </w:rPr>
      </w:pPr>
    </w:p>
    <w:p>
      <w:pPr>
        <w:widowControl/>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highlight w:val="none"/>
        </w:rPr>
        <w:t>公开时间：</w:t>
      </w:r>
      <w:r>
        <w:rPr>
          <w:rFonts w:hint="default" w:ascii="Times New Roman" w:hAnsi="Times New Roman" w:eastAsia="方正仿宋_GBK" w:cs="Times New Roman"/>
          <w:b w:val="0"/>
          <w:bCs w:val="0"/>
          <w:sz w:val="28"/>
          <w:szCs w:val="28"/>
          <w:lang w:val="en-US" w:eastAsia="zh-CN"/>
        </w:rPr>
        <w:t>202</w:t>
      </w:r>
      <w:r>
        <w:rPr>
          <w:rFonts w:hint="default"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年8月</w:t>
      </w:r>
      <w:r>
        <w:rPr>
          <w:rFonts w:hint="default" w:eastAsia="方正仿宋_GBK" w:cs="Times New Roman"/>
          <w:b w:val="0"/>
          <w:bCs w:val="0"/>
          <w:sz w:val="28"/>
          <w:szCs w:val="28"/>
          <w:lang w:val="en-US" w:eastAsia="zh-CN"/>
        </w:rPr>
        <w:t>31</w:t>
      </w:r>
      <w:r>
        <w:rPr>
          <w:rFonts w:hint="default" w:ascii="Times New Roman" w:hAnsi="Times New Roman" w:eastAsia="方正仿宋_GBK" w:cs="Times New Roman"/>
          <w:b w:val="0"/>
          <w:bCs w:val="0"/>
          <w:sz w:val="28"/>
          <w:szCs w:val="28"/>
          <w:lang w:val="en-US" w:eastAsia="zh-CN"/>
        </w:rPr>
        <w:t>日</w:t>
      </w:r>
    </w:p>
    <w:p>
      <w:pPr>
        <w:rPr>
          <w:rFonts w:hint="default" w:ascii="Times New Roman" w:hAnsi="Times New Roman" w:eastAsia="方正仿宋_GBK" w:cs="Times New Roman"/>
          <w:sz w:val="24"/>
          <w:szCs w:val="24"/>
        </w:rPr>
      </w:pP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第一部分 部门概况</w:t>
      </w:r>
      <w:r>
        <w:rPr>
          <w:rFonts w:hint="default" w:ascii="Times New Roman" w:hAnsi="Times New Roman" w:cs="Times New Roman"/>
          <w:color w:val="auto"/>
          <w:sz w:val="24"/>
          <w:highlight w:val="none"/>
          <w:lang w:val="en-US" w:eastAsia="zh-CN"/>
        </w:rPr>
        <w:t>.............................................................................................................</w:t>
      </w:r>
      <w:r>
        <w:rPr>
          <w:rFonts w:hint="eastAsia" w:ascii="Times New Roman" w:hAnsi="Times New Roman" w:eastAsia="方正仿宋_GBK" w:cs="Times New Roman"/>
          <w:sz w:val="24"/>
          <w:szCs w:val="24"/>
          <w:lang w:val="en-US" w:eastAsia="zh-CN"/>
        </w:rPr>
        <w:t>01</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一、基本职能及主要工作</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01</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二、机构设置</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04</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第二部分</w:t>
      </w:r>
      <w:r>
        <w:rPr>
          <w:rFonts w:hint="default"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2022年度</w:t>
      </w:r>
      <w:r>
        <w:rPr>
          <w:rFonts w:hint="default" w:ascii="Times New Roman" w:hAnsi="Times New Roman" w:eastAsia="方正仿宋_GBK" w:cs="Times New Roman"/>
          <w:sz w:val="24"/>
          <w:szCs w:val="24"/>
        </w:rPr>
        <w:t>部门决算情况说明</w:t>
      </w:r>
      <w:r>
        <w:rPr>
          <w:rFonts w:hint="default" w:ascii="Times New Roman" w:hAnsi="Times New Roman" w:cs="Times New Roman"/>
          <w:color w:val="auto"/>
          <w:sz w:val="24"/>
          <w:highlight w:val="none"/>
          <w:lang w:val="en-US" w:eastAsia="zh-CN"/>
        </w:rPr>
        <w:t>............................................................................</w:t>
      </w:r>
      <w:r>
        <w:rPr>
          <w:rFonts w:hint="eastAsia" w:ascii="Times New Roman" w:hAnsi="Times New Roman"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一、收入支出决算总体情况说明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二、收入决算情况说明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四、财政拨款收入支出决算总体情况说明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五、一般公共预算财政拨款支出决算情况说明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六、一般公共预算财政拨款基本支出决算情况说明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09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七</w:t>
      </w:r>
      <w:r>
        <w:rPr>
          <w:rFonts w:hint="default" w:ascii="Times New Roman" w:hAnsi="Times New Roman" w:eastAsia="方正仿宋_GBK" w:cs="Times New Roman"/>
          <w:sz w:val="24"/>
          <w:szCs w:val="24"/>
        </w:rPr>
        <w:t>、一般公共预算财政拨款</w:t>
      </w:r>
      <w:r>
        <w:rPr>
          <w:rFonts w:hint="default" w:ascii="Times New Roman" w:hAnsi="Times New Roman" w:eastAsia="方正仿宋_GBK" w:cs="Times New Roman"/>
          <w:sz w:val="24"/>
          <w:szCs w:val="24"/>
          <w:lang w:eastAsia="zh-CN"/>
        </w:rPr>
        <w:t>项目</w:t>
      </w:r>
      <w:r>
        <w:rPr>
          <w:rFonts w:hint="default" w:ascii="Times New Roman" w:hAnsi="Times New Roman" w:eastAsia="方正仿宋_GBK" w:cs="Times New Roman"/>
          <w:sz w:val="24"/>
          <w:szCs w:val="24"/>
        </w:rPr>
        <w:t>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10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八</w:t>
      </w:r>
      <w:r>
        <w:rPr>
          <w:rFonts w:hint="default" w:ascii="Times New Roman" w:hAnsi="Times New Roman" w:eastAsia="方正仿宋_GBK" w:cs="Times New Roman"/>
          <w:sz w:val="24"/>
          <w:szCs w:val="24"/>
        </w:rPr>
        <w:t>、财政拨款“三公”经费支出决算情况说明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10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九</w:t>
      </w:r>
      <w:r>
        <w:rPr>
          <w:rFonts w:hint="default" w:ascii="Times New Roman" w:hAnsi="Times New Roman" w:eastAsia="方正仿宋_GBK" w:cs="Times New Roman"/>
          <w:sz w:val="24"/>
          <w:szCs w:val="24"/>
        </w:rPr>
        <w:t>、政府性基金预算支出决算情况说明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12</w:t>
      </w:r>
    </w:p>
    <w:p>
      <w:pPr>
        <w:pStyle w:val="9"/>
        <w:adjustRightInd w:val="0"/>
        <w:snapToGrid w:val="0"/>
        <w:spacing w:line="440" w:lineRule="exact"/>
        <w:ind w:leftChars="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十</w:t>
      </w:r>
      <w:r>
        <w:rPr>
          <w:rFonts w:hint="default" w:ascii="Times New Roman" w:hAnsi="Times New Roman" w:eastAsia="方正仿宋_GBK" w:cs="Times New Roman"/>
          <w:sz w:val="24"/>
          <w:szCs w:val="24"/>
        </w:rPr>
        <w:t>、 国有资本经营预算支出决算情况说明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12</w:t>
      </w:r>
    </w:p>
    <w:p>
      <w:pPr>
        <w:pStyle w:val="9"/>
        <w:adjustRightInd w:val="0"/>
        <w:snapToGrid w:val="0"/>
        <w:spacing w:line="440" w:lineRule="exact"/>
        <w:ind w:leftChars="0"/>
        <w:jc w:val="left"/>
        <w:rPr>
          <w:rFonts w:hint="default" w:ascii="Times New Roman" w:hAnsi="Times New Roman" w:eastAsia="方正仿宋_GBK" w:cs="Times New Roman"/>
          <w:sz w:val="24"/>
          <w:szCs w:val="24"/>
          <w:lang w:val="en-US" w:eastAsia="zh-CN"/>
        </w:rPr>
      </w:pPr>
      <w:r>
        <w:rPr>
          <w:rStyle w:val="13"/>
          <w:rFonts w:hint="default" w:ascii="Times New Roman" w:hAnsi="Times New Roman" w:eastAsia="方正仿宋_GBK" w:cs="Times New Roman"/>
          <w:color w:val="000000" w:themeColor="text1"/>
          <w:sz w:val="24"/>
          <w:szCs w:val="24"/>
          <w:u w:val="none"/>
          <w:lang w:eastAsia="zh-CN"/>
          <w14:textFill>
            <w14:solidFill>
              <w14:schemeClr w14:val="tx1"/>
            </w14:solidFill>
          </w14:textFill>
        </w:rPr>
        <w:t>十一</w:t>
      </w:r>
      <w:r>
        <w:rPr>
          <w:rStyle w:val="13"/>
          <w:rFonts w:hint="default" w:ascii="Times New Roman" w:hAnsi="Times New Roman" w:eastAsia="方正仿宋_GBK" w:cs="Times New Roman"/>
          <w:color w:val="000000" w:themeColor="text1"/>
          <w:sz w:val="24"/>
          <w:szCs w:val="24"/>
          <w:u w:val="none"/>
          <w14:textFill>
            <w14:solidFill>
              <w14:schemeClr w14:val="tx1"/>
            </w14:solidFill>
          </w14:textFill>
        </w:rPr>
        <w:t>、</w:t>
      </w:r>
      <w:r>
        <w:rPr>
          <w:rFonts w:hint="default" w:ascii="Times New Roman" w:hAnsi="Times New Roman" w:eastAsia="方正仿宋_GBK" w:cs="Times New Roman"/>
          <w:sz w:val="24"/>
          <w:szCs w:val="24"/>
        </w:rPr>
        <w:t>其他重要事项的情况说明</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12</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第三部分 名词解释</w:t>
      </w:r>
      <w:r>
        <w:rPr>
          <w:rFonts w:hint="default" w:ascii="Times New Roman" w:hAnsi="Times New Roman" w:cs="Times New Roman"/>
          <w:color w:val="auto"/>
          <w:sz w:val="24"/>
          <w:highlight w:val="none"/>
          <w:lang w:val="en-US" w:eastAsia="zh-CN"/>
        </w:rPr>
        <w:t>.............................................................................................................</w:t>
      </w:r>
      <w:r>
        <w:rPr>
          <w:rFonts w:hint="eastAsia" w:ascii="Times New Roman" w:hAnsi="Times New Roman" w:eastAsia="方正仿宋_GBK" w:cs="Times New Roman"/>
          <w:sz w:val="24"/>
          <w:szCs w:val="24"/>
          <w:lang w:val="en-US" w:eastAsia="zh-CN"/>
        </w:rPr>
        <w:t>16</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w:t>
      </w:r>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szCs w:val="24"/>
        </w:rPr>
        <w:t xml:space="preserve">部分 </w:t>
      </w:r>
      <w:r>
        <w:rPr>
          <w:rFonts w:hint="eastAsia" w:ascii="Times New Roman" w:hAnsi="Times New Roman" w:eastAsia="方正仿宋_GBK" w:cs="Times New Roman"/>
          <w:sz w:val="24"/>
          <w:szCs w:val="24"/>
          <w:lang w:val="en-US" w:eastAsia="zh-CN"/>
        </w:rPr>
        <w:t>附件</w:t>
      </w:r>
      <w:r>
        <w:rPr>
          <w:rFonts w:hint="default" w:ascii="Times New Roman" w:hAnsi="Times New Roman" w:cs="Times New Roman"/>
          <w:color w:val="auto"/>
          <w:sz w:val="24"/>
          <w:highlight w:val="none"/>
          <w:lang w:val="en-US" w:eastAsia="zh-CN"/>
        </w:rPr>
        <w:t>.....................................................................................................................</w:t>
      </w:r>
      <w:r>
        <w:rPr>
          <w:rFonts w:hint="eastAsia" w:ascii="Times New Roman" w:hAnsi="Times New Roman" w:eastAsia="方正仿宋_GBK" w:cs="Times New Roman"/>
          <w:sz w:val="24"/>
          <w:szCs w:val="24"/>
          <w:lang w:val="en-US" w:eastAsia="zh-CN"/>
        </w:rPr>
        <w:t>19</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w:t>
      </w:r>
      <w:r>
        <w:rPr>
          <w:rFonts w:hint="eastAsia" w:ascii="Times New Roman" w:hAnsi="Times New Roman" w:eastAsia="方正仿宋_GBK" w:cs="Times New Roman"/>
          <w:sz w:val="24"/>
          <w:szCs w:val="24"/>
          <w:lang w:val="en-US" w:eastAsia="zh-CN"/>
        </w:rPr>
        <w:t>五</w:t>
      </w:r>
      <w:r>
        <w:rPr>
          <w:rFonts w:hint="default" w:ascii="Times New Roman" w:hAnsi="Times New Roman" w:eastAsia="方正仿宋_GBK" w:cs="Times New Roman"/>
          <w:sz w:val="24"/>
          <w:szCs w:val="24"/>
        </w:rPr>
        <w:t>部分 附表</w:t>
      </w:r>
      <w:r>
        <w:rPr>
          <w:rFonts w:hint="default" w:ascii="Times New Roman" w:hAnsi="Times New Roman" w:cs="Times New Roman"/>
          <w:color w:val="auto"/>
          <w:sz w:val="24"/>
          <w:highlight w:val="none"/>
          <w:lang w:val="en-US" w:eastAsia="zh-CN"/>
        </w:rPr>
        <w:t>.....................................................................................................................</w:t>
      </w:r>
      <w:r>
        <w:rPr>
          <w:rFonts w:hint="eastAsia" w:ascii="Times New Roman" w:hAnsi="Times New Roman"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一、收入支出决算总表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二、收入决算表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r>
        <w:rPr>
          <w:rFonts w:hint="default" w:ascii="Times New Roman" w:hAnsi="Times New Roman" w:eastAsia="方正仿宋_GBK" w:cs="Times New Roman"/>
          <w:sz w:val="24"/>
          <w:szCs w:val="24"/>
        </w:rPr>
        <w:t>四、财政拨款收入支出决算总表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r>
        <w:rPr>
          <w:rFonts w:hint="default" w:ascii="Times New Roman" w:hAnsi="Times New Roman" w:eastAsia="方正仿宋_GBK" w:cs="Times New Roman"/>
          <w:sz w:val="24"/>
          <w:szCs w:val="24"/>
        </w:rPr>
        <w:t>五、财政拨款支出决算明细表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r>
        <w:rPr>
          <w:rFonts w:hint="default" w:ascii="Times New Roman" w:hAnsi="Times New Roman" w:eastAsia="方正仿宋_GBK" w:cs="Times New Roman"/>
          <w:sz w:val="24"/>
          <w:szCs w:val="24"/>
        </w:rPr>
        <w:t>六、一般公共预算财政拨款支出决算表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七、一般公共预算财政拨款支出决算明细表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八、一般公共预算财政拨款基本支出决算表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九、一般公共预算财政拨款项目支出决算表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十、政府性基金预算财政拨款收入支出决算表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r>
        <w:rPr>
          <w:rFonts w:hint="default" w:ascii="Times New Roman" w:hAnsi="Times New Roman" w:eastAsia="方正仿宋_GBK" w:cs="Times New Roman"/>
          <w:color w:val="auto"/>
          <w:sz w:val="24"/>
          <w:szCs w:val="24"/>
          <w:highlight w:val="none"/>
        </w:rPr>
        <w:t>十</w:t>
      </w:r>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、国有资本经营预算财政拨款收入支出决算表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十</w:t>
      </w: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rPr>
        <w:t>、国有资本经营预算财政拨款支出决算表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pStyle w:val="9"/>
        <w:adjustRightInd w:val="0"/>
        <w:snapToGrid w:val="0"/>
        <w:spacing w:line="440" w:lineRule="exact"/>
        <w:jc w:val="left"/>
        <w:rPr>
          <w:rFonts w:hint="default" w:ascii="Times New Roman" w:hAnsi="Times New Roman" w:eastAsia="方正仿宋_GBK" w:cs="Times New Roman"/>
          <w:color w:val="auto"/>
          <w:sz w:val="24"/>
          <w:szCs w:val="24"/>
          <w:highlight w:val="none"/>
          <w:lang w:val="en-US" w:eastAsia="zh-CN"/>
        </w:rPr>
      </w:pPr>
      <w:bookmarkStart w:id="12" w:name="_Toc15377196"/>
      <w:bookmarkStart w:id="13" w:name="_Toc15396599"/>
      <w:r>
        <w:rPr>
          <w:rFonts w:hint="default" w:ascii="Times New Roman" w:hAnsi="Times New Roman" w:eastAsia="方正仿宋_GBK" w:cs="Times New Roman"/>
          <w:color w:val="auto"/>
          <w:sz w:val="24"/>
          <w:szCs w:val="24"/>
          <w:highlight w:val="none"/>
        </w:rPr>
        <w:t>十</w:t>
      </w:r>
      <w:r>
        <w:rPr>
          <w:rFonts w:hint="eastAsia"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w:t>
      </w:r>
      <w:r>
        <w:rPr>
          <w:rFonts w:hint="default" w:eastAsia="方正仿宋_GBK"/>
          <w:color w:val="auto"/>
          <w:sz w:val="24"/>
          <w:highlight w:val="none"/>
        </w:rPr>
        <w:t>财政拨款“三公”经费支出决算表</w:t>
      </w:r>
      <w:r>
        <w:rPr>
          <w:rFonts w:hint="default" w:ascii="Times New Roman" w:hAnsi="Times New Roman" w:cs="Times New Roman"/>
          <w:color w:val="auto"/>
          <w:sz w:val="24"/>
          <w:highlight w:val="none"/>
          <w:lang w:val="en-US" w:eastAsia="zh-CN"/>
        </w:rPr>
        <w:t>......................................................................</w:t>
      </w:r>
      <w:r>
        <w:rPr>
          <w:rFonts w:hint="eastAsia" w:eastAsia="方正仿宋_GBK" w:cs="Times New Roman"/>
          <w:sz w:val="24"/>
          <w:szCs w:val="24"/>
          <w:lang w:val="en-US" w:eastAsia="zh-CN"/>
        </w:rPr>
        <w:t>35</w:t>
      </w:r>
    </w:p>
    <w:p>
      <w:pPr>
        <w:widowControl/>
        <w:adjustRightInd w:val="0"/>
        <w:snapToGrid w:val="0"/>
        <w:spacing w:line="440" w:lineRule="exact"/>
        <w:jc w:val="left"/>
        <w:rPr>
          <w:rFonts w:hint="eastAsia" w:ascii="Times New Roman" w:hAnsi="Times New Roman" w:eastAsia="方正仿宋_GBK" w:cs="Times New Roman"/>
          <w:color w:val="FF0000"/>
          <w:sz w:val="33"/>
          <w:szCs w:val="33"/>
          <w:highlight w:val="none"/>
          <w:lang w:val="en-US" w:eastAsia="zh-CN"/>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tabs>
          <w:tab w:val="left" w:pos="445"/>
        </w:tabs>
        <w:bidi w:val="0"/>
        <w:jc w:val="left"/>
        <w:rPr>
          <w:rFonts w:hint="eastAsia" w:eastAsia="宋体"/>
          <w:lang w:eastAsia="zh-CN"/>
        </w:rPr>
        <w:sectPr>
          <w:headerReference r:id="rId3" w:type="default"/>
          <w:pgSz w:w="11906" w:h="16838"/>
          <w:pgMar w:top="2041" w:right="1531" w:bottom="1701" w:left="1531" w:header="851" w:footer="992" w:gutter="0"/>
          <w:pgNumType w:fmt="decimal" w:start="1"/>
          <w:cols w:space="425" w:num="1"/>
          <w:titlePg/>
          <w:docGrid w:type="lines" w:linePitch="312" w:charSpace="0"/>
        </w:sectPr>
      </w:pPr>
    </w:p>
    <w:p>
      <w:pPr>
        <w:pStyle w:val="3"/>
        <w:pageBreakBefore w:val="0"/>
        <w:kinsoku/>
        <w:wordWrap/>
        <w:overflowPunct/>
        <w:topLinePunct w:val="0"/>
        <w:bidi w:val="0"/>
        <w:spacing w:line="590" w:lineRule="exact"/>
        <w:jc w:val="center"/>
        <w:rPr>
          <w:rStyle w:val="14"/>
          <w:rFonts w:hint="eastAsia" w:ascii="黑体" w:hAnsi="黑体" w:eastAsia="黑体" w:cs="黑体"/>
          <w:b/>
          <w:bCs w:val="0"/>
          <w:sz w:val="44"/>
          <w:szCs w:val="44"/>
        </w:rPr>
      </w:pPr>
      <w:r>
        <w:rPr>
          <w:rFonts w:hint="eastAsia" w:ascii="黑体" w:hAnsi="黑体" w:eastAsia="黑体" w:cs="黑体"/>
          <w:b w:val="0"/>
          <w:sz w:val="44"/>
          <w:szCs w:val="44"/>
        </w:rPr>
        <w:t xml:space="preserve">第一部分 </w:t>
      </w:r>
      <w:r>
        <w:rPr>
          <w:rStyle w:val="14"/>
          <w:rFonts w:hint="eastAsia" w:ascii="黑体" w:hAnsi="黑体" w:eastAsia="黑体" w:cs="黑体"/>
          <w:b w:val="0"/>
          <w:bCs w:val="0"/>
          <w:sz w:val="44"/>
          <w:szCs w:val="44"/>
        </w:rPr>
        <w:t>部门概况</w:t>
      </w:r>
      <w:bookmarkEnd w:id="12"/>
      <w:bookmarkEnd w:id="13"/>
    </w:p>
    <w:p>
      <w:pPr>
        <w:pageBreakBefore w:val="0"/>
        <w:widowControl/>
        <w:kinsoku/>
        <w:wordWrap/>
        <w:overflowPunct/>
        <w:topLinePunct w:val="0"/>
        <w:bidi w:val="0"/>
        <w:spacing w:line="590" w:lineRule="exact"/>
        <w:jc w:val="left"/>
        <w:rPr>
          <w:rFonts w:hint="default" w:ascii="Times New Roman" w:hAnsi="Times New Roman" w:eastAsia="方正仿宋_GBK" w:cs="Times New Roman"/>
          <w:color w:val="000000"/>
          <w:sz w:val="33"/>
          <w:szCs w:val="33"/>
        </w:rPr>
      </w:pPr>
    </w:p>
    <w:p>
      <w:pPr>
        <w:pStyle w:val="4"/>
        <w:pageBreakBefore w:val="0"/>
        <w:kinsoku/>
        <w:wordWrap/>
        <w:overflowPunct/>
        <w:topLinePunct w:val="0"/>
        <w:bidi w:val="0"/>
        <w:spacing w:before="0" w:after="0" w:line="590" w:lineRule="exact"/>
        <w:ind w:left="0" w:right="0"/>
        <w:rPr>
          <w:rStyle w:val="15"/>
          <w:rFonts w:hint="eastAsia" w:ascii="黑体" w:hAnsi="黑体" w:eastAsia="黑体" w:cs="黑体"/>
          <w:b w:val="0"/>
          <w:bCs w:val="0"/>
          <w:sz w:val="33"/>
          <w:szCs w:val="33"/>
        </w:rPr>
      </w:pPr>
      <w:bookmarkStart w:id="14" w:name="_Toc15396600"/>
      <w:bookmarkStart w:id="15" w:name="_Toc15377197"/>
      <w:r>
        <w:rPr>
          <w:rFonts w:hint="eastAsia" w:ascii="黑体" w:hAnsi="黑体" w:eastAsia="黑体" w:cs="黑体"/>
          <w:b w:val="0"/>
          <w:color w:val="000000"/>
          <w:sz w:val="33"/>
          <w:szCs w:val="33"/>
          <w:lang w:val="en-US" w:eastAsia="zh-CN"/>
        </w:rPr>
        <w:t xml:space="preserve">    </w:t>
      </w:r>
      <w:r>
        <w:rPr>
          <w:rFonts w:hint="eastAsia" w:ascii="黑体" w:hAnsi="黑体" w:eastAsia="黑体" w:cs="黑体"/>
          <w:b w:val="0"/>
          <w:color w:val="000000"/>
          <w:sz w:val="33"/>
          <w:szCs w:val="33"/>
        </w:rPr>
        <w:t>一、基</w:t>
      </w:r>
      <w:r>
        <w:rPr>
          <w:rStyle w:val="15"/>
          <w:rFonts w:hint="eastAsia" w:ascii="黑体" w:hAnsi="黑体" w:eastAsia="黑体" w:cs="黑体"/>
          <w:b w:val="0"/>
          <w:bCs w:val="0"/>
          <w:sz w:val="33"/>
          <w:szCs w:val="33"/>
        </w:rPr>
        <w:t>本职能及主要工作</w:t>
      </w:r>
      <w:bookmarkEnd w:id="14"/>
      <w:bookmarkEnd w:id="15"/>
    </w:p>
    <w:p>
      <w:pPr>
        <w:pStyle w:val="5"/>
        <w:keepNext w:val="0"/>
        <w:keepLines w:val="0"/>
        <w:pageBreakBefore w:val="0"/>
        <w:widowControl w:val="0"/>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ascii="方正楷体_GBK" w:hAnsi="方正楷体_GBK" w:eastAsia="方正楷体_GBK" w:cs="方正楷体_GBK"/>
          <w:b/>
          <w:bCs w:val="0"/>
          <w:color w:val="000000"/>
          <w:sz w:val="33"/>
          <w:szCs w:val="33"/>
        </w:rPr>
      </w:pPr>
      <w:bookmarkStart w:id="16" w:name="_Toc15378445"/>
      <w:bookmarkStart w:id="17" w:name="_Toc15377198"/>
      <w:r>
        <w:rPr>
          <w:rFonts w:hint="eastAsia" w:ascii="方正楷体_GBK" w:hAnsi="方正楷体_GBK" w:eastAsia="方正楷体_GBK" w:cs="方正楷体_GBK"/>
          <w:b/>
          <w:bCs w:val="0"/>
          <w:color w:val="000000"/>
          <w:sz w:val="33"/>
          <w:szCs w:val="33"/>
        </w:rPr>
        <w:t>（一）主要职能</w:t>
      </w:r>
      <w:bookmarkEnd w:id="16"/>
      <w:bookmarkEnd w:id="17"/>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（1）</w:t>
      </w:r>
      <w:r>
        <w:rPr>
          <w:rFonts w:hint="default" w:ascii="Times New Roman" w:hAnsi="Times New Roman" w:eastAsia="方正仿宋_GBK" w:cs="Times New Roman"/>
          <w:color w:val="000000"/>
          <w:kern w:val="0"/>
          <w:sz w:val="33"/>
          <w:szCs w:val="33"/>
          <w:shd w:val="clear" w:color="auto" w:fill="FFFFFF"/>
          <w:lang w:val="en-US" w:eastAsia="zh-CN"/>
        </w:rPr>
        <w:t>贯彻执行党中央关于粮食流通和储备粮油、物资储备管理的方针政策和省委、市委、县委的决策部署；负责全县粮食流通产业发展战略规划的实施。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en-US" w:eastAsia="zh-CN"/>
        </w:rPr>
        <w:t>负责全县粮食宏观调控、粮油流通和加工统计工作；指导粮食企业落实全县粮食最低收购价执行预案；承担全县市场粮油供应、保障军人等政策粮食的供应服务工作；负责全县粮食余缺调剂服务工作；组织和协调县内粮食产销衔接和对外经济技术合作交流，建立</w:t>
      </w:r>
      <w:r>
        <w:rPr>
          <w:rFonts w:hint="eastAsia" w:eastAsia="方正仿宋_GBK" w:cs="Times New Roman"/>
          <w:color w:val="000000"/>
          <w:kern w:val="0"/>
          <w:sz w:val="33"/>
          <w:szCs w:val="33"/>
          <w:shd w:val="clear" w:color="auto" w:fill="FFFFFF"/>
          <w:lang w:val="en-US" w:eastAsia="zh-CN"/>
        </w:rPr>
        <w:t>县级</w:t>
      </w:r>
      <w:r>
        <w:rPr>
          <w:rFonts w:hint="default" w:ascii="Times New Roman" w:hAnsi="Times New Roman" w:eastAsia="方正仿宋_GBK" w:cs="Times New Roman"/>
          <w:color w:val="000000"/>
          <w:kern w:val="0"/>
          <w:sz w:val="33"/>
          <w:szCs w:val="33"/>
          <w:shd w:val="clear" w:color="auto" w:fill="FFFFFF"/>
          <w:lang w:val="en-US" w:eastAsia="zh-CN"/>
        </w:rPr>
        <w:t>粮食产销合作关系，粮食进出邻水等工作。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color w:val="000000"/>
          <w:kern w:val="0"/>
          <w:sz w:val="33"/>
          <w:szCs w:val="33"/>
          <w:shd w:val="clear" w:color="auto" w:fill="FFFFFF"/>
          <w:lang w:val="en-US" w:eastAsia="zh-CN"/>
        </w:rPr>
        <w:t>协助全县粮食储备体系建设，提出地方储备粮油和物资总体规模、县级储备粮油和物资的总体布局和收储、轮换、动用计划等建议；开展全县储备粮油和物资库存数量、质量和储存安全检查（即清仓查库工作）；负责在邻水的中央储备粮油及国家其他政策性临时储存粮油和物资管理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（4）</w:t>
      </w:r>
      <w:r>
        <w:rPr>
          <w:rFonts w:hint="default" w:ascii="Times New Roman" w:hAnsi="Times New Roman" w:eastAsia="方正仿宋_GBK" w:cs="Times New Roman"/>
          <w:color w:val="000000"/>
          <w:kern w:val="0"/>
          <w:sz w:val="33"/>
          <w:szCs w:val="33"/>
          <w:shd w:val="clear" w:color="auto" w:fill="FFFFFF"/>
          <w:lang w:val="en-US" w:eastAsia="zh-CN"/>
        </w:rPr>
        <w:t>提出促进粮食产业化经营的政策措施并组织实施；配合有关部门发展粮食订单生产、发展优质专用粮油、培育粮食龙头企业、扶持粮食专业合作经济组织，促进粮食生产稳定发展，保障全县城乡粮食市场和粮食转化产业的粮食供应；拟定农村粮食流通服务体系发展规划，指导粮油收购网点和乡村粮油超市连锁店建设。</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（5）</w:t>
      </w:r>
      <w:r>
        <w:rPr>
          <w:rFonts w:hint="default" w:ascii="Times New Roman" w:hAnsi="Times New Roman" w:eastAsia="方正仿宋_GBK" w:cs="Times New Roman"/>
          <w:color w:val="000000"/>
          <w:kern w:val="0"/>
          <w:sz w:val="33"/>
          <w:szCs w:val="33"/>
          <w:shd w:val="clear" w:color="auto" w:fill="FFFFFF"/>
          <w:lang w:val="en-US" w:eastAsia="zh-CN"/>
        </w:rPr>
        <w:t>负责组织实施全县粮食和物资储备基础设施建设、粮食流通设施及全县粮食市场体系建设、粮食现代物流体系建设、粮食质量监测体系建设工作；指导国有粮食和物资仓储物流设施保护工作，负责有关储备基础设施、粮食流通设施各级投资项目；指导粮油批发市场和城乡购销网络建设；配合全县农村科学储粮和农户小粮仓建设。</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（6）</w:t>
      </w:r>
      <w:r>
        <w:rPr>
          <w:rFonts w:hint="default" w:ascii="Times New Roman" w:hAnsi="Times New Roman" w:eastAsia="方正仿宋_GBK" w:cs="Times New Roman"/>
          <w:color w:val="000000"/>
          <w:kern w:val="0"/>
          <w:sz w:val="33"/>
          <w:szCs w:val="33"/>
          <w:shd w:val="clear" w:color="auto" w:fill="FFFFFF"/>
          <w:lang w:val="en-US" w:eastAsia="zh-CN"/>
        </w:rPr>
        <w:t>负责全县粮食流通行业指导，参与拟订粮食行业发展规划、政策，贯彻实施国家粮食质量标准和粮食储存、运输技术规范，指导粮食流通科技进步、技术改造和新技术推广应用；负责县属国有及国有控股粮食企业的业务指导；负责对全县粮食收购、储存环节及政策性用粮的质量安全和原粮卫生的抽查和监测。</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（6）</w:t>
      </w:r>
      <w:r>
        <w:rPr>
          <w:rFonts w:hint="default" w:ascii="Times New Roman" w:hAnsi="Times New Roman" w:eastAsia="方正仿宋_GBK" w:cs="Times New Roman"/>
          <w:color w:val="000000"/>
          <w:kern w:val="0"/>
          <w:sz w:val="33"/>
          <w:szCs w:val="33"/>
          <w:shd w:val="clear" w:color="auto" w:fill="FFFFFF"/>
          <w:lang w:val="en-US" w:eastAsia="zh-CN"/>
        </w:rPr>
        <w:t>拟订粮食和物资储备系统人才发展规划，指导全县粮食和物资储备行业的职工职业教育。</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（7）</w:t>
      </w:r>
      <w:r>
        <w:rPr>
          <w:rFonts w:hint="default" w:ascii="Times New Roman" w:hAnsi="Times New Roman" w:eastAsia="方正仿宋_GBK" w:cs="Times New Roman"/>
          <w:color w:val="000000"/>
          <w:kern w:val="0"/>
          <w:sz w:val="33"/>
          <w:szCs w:val="33"/>
          <w:shd w:val="clear" w:color="auto" w:fill="FFFFFF"/>
          <w:lang w:val="en-US" w:eastAsia="zh-CN"/>
        </w:rPr>
        <w:t>配合相关部门对管理地方储备、企业储备以及储备资产落实情况进行监督检查。</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（8）</w:t>
      </w:r>
      <w:r>
        <w:rPr>
          <w:rFonts w:hint="default" w:ascii="Times New Roman" w:hAnsi="Times New Roman" w:eastAsia="方正仿宋_GBK" w:cs="Times New Roman"/>
          <w:color w:val="000000"/>
          <w:kern w:val="0"/>
          <w:sz w:val="33"/>
          <w:szCs w:val="33"/>
          <w:shd w:val="clear" w:color="auto" w:fill="FFFFFF"/>
          <w:lang w:val="en-US" w:eastAsia="zh-CN"/>
        </w:rPr>
        <w:t>负责职责范围内的安全生产、职业健康、生态环境保护、便民化服务等工作。</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bCs/>
          <w:color w:val="000000"/>
          <w:sz w:val="33"/>
          <w:szCs w:val="33"/>
        </w:rPr>
      </w:pPr>
      <w:r>
        <w:rPr>
          <w:rFonts w:hint="eastAsia" w:eastAsia="方正仿宋_GBK" w:cs="Times New Roman"/>
          <w:color w:val="000000"/>
          <w:kern w:val="0"/>
          <w:sz w:val="33"/>
          <w:szCs w:val="33"/>
          <w:shd w:val="clear" w:color="auto" w:fill="FFFFFF"/>
          <w:lang w:val="en-US" w:eastAsia="zh-CN"/>
        </w:rPr>
        <w:t>（10）</w:t>
      </w:r>
      <w:r>
        <w:rPr>
          <w:rFonts w:hint="default" w:ascii="Times New Roman" w:hAnsi="Times New Roman" w:eastAsia="方正仿宋_GBK" w:cs="Times New Roman"/>
          <w:color w:val="000000"/>
          <w:kern w:val="0"/>
          <w:sz w:val="33"/>
          <w:szCs w:val="33"/>
          <w:shd w:val="clear" w:color="auto" w:fill="FFFFFF"/>
          <w:lang w:val="en-US" w:eastAsia="zh-CN"/>
        </w:rPr>
        <w:t>完成县委、县政府交办的其他工作。</w:t>
      </w:r>
    </w:p>
    <w:p>
      <w:pPr>
        <w:pStyle w:val="5"/>
        <w:keepNext w:val="0"/>
        <w:keepLines w:val="0"/>
        <w:pageBreakBefore w:val="0"/>
        <w:widowControl w:val="0"/>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ascii="方正楷体_GBK" w:hAnsi="方正楷体_GBK" w:eastAsia="方正楷体_GBK" w:cs="方正楷体_GBK"/>
          <w:b/>
          <w:bCs w:val="0"/>
          <w:color w:val="000000"/>
          <w:sz w:val="33"/>
          <w:szCs w:val="33"/>
        </w:rPr>
      </w:pPr>
      <w:bookmarkStart w:id="18" w:name="_Toc15377199"/>
      <w:bookmarkStart w:id="19" w:name="_Toc15378446"/>
      <w:r>
        <w:rPr>
          <w:rFonts w:hint="eastAsia" w:ascii="方正楷体_GBK" w:hAnsi="方正楷体_GBK" w:eastAsia="方正楷体_GBK" w:cs="方正楷体_GBK"/>
          <w:b/>
          <w:bCs w:val="0"/>
          <w:color w:val="000000"/>
          <w:sz w:val="33"/>
          <w:szCs w:val="33"/>
        </w:rPr>
        <w:t>（二）202</w:t>
      </w:r>
      <w:r>
        <w:rPr>
          <w:rFonts w:hint="eastAsia" w:ascii="方正楷体_GBK" w:hAnsi="方正楷体_GBK" w:eastAsia="方正楷体_GBK" w:cs="方正楷体_GBK"/>
          <w:b/>
          <w:bCs w:val="0"/>
          <w:color w:val="000000"/>
          <w:sz w:val="33"/>
          <w:szCs w:val="33"/>
          <w:lang w:val="en-US" w:eastAsia="zh-CN"/>
        </w:rPr>
        <w:t>2</w:t>
      </w:r>
      <w:r>
        <w:rPr>
          <w:rFonts w:hint="eastAsia" w:ascii="方正楷体_GBK" w:hAnsi="方正楷体_GBK" w:eastAsia="方正楷体_GBK" w:cs="方正楷体_GBK"/>
          <w:b/>
          <w:bCs w:val="0"/>
          <w:color w:val="000000"/>
          <w:sz w:val="33"/>
          <w:szCs w:val="33"/>
        </w:rPr>
        <w:t>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textAlignment w:val="auto"/>
        <w:rPr>
          <w:rFonts w:hint="eastAsia" w:eastAsia="方正仿宋_GBK" w:cs="Times New Roman"/>
          <w:color w:val="auto"/>
          <w:sz w:val="33"/>
          <w:szCs w:val="33"/>
          <w:lang w:val="en-US" w:eastAsia="zh-CN"/>
        </w:rPr>
      </w:pPr>
      <w:bookmarkStart w:id="20" w:name="_Toc15377200"/>
      <w:bookmarkStart w:id="21" w:name="_Toc15396601"/>
      <w:r>
        <w:rPr>
          <w:rFonts w:hint="eastAsia" w:eastAsia="方正仿宋_GBK" w:cs="Times New Roman"/>
          <w:color w:val="auto"/>
          <w:sz w:val="33"/>
          <w:szCs w:val="33"/>
          <w:lang w:val="en-US" w:eastAsia="zh-CN"/>
        </w:rPr>
        <w:t>1.</w:t>
      </w:r>
      <w:r>
        <w:rPr>
          <w:rFonts w:hint="default" w:ascii="Times New Roman" w:hAnsi="Times New Roman" w:eastAsia="方正仿宋_GBK" w:cs="Times New Roman"/>
          <w:b w:val="0"/>
          <w:bCs w:val="0"/>
          <w:sz w:val="33"/>
          <w:szCs w:val="33"/>
          <w:lang w:val="en-US" w:eastAsia="zh-CN"/>
        </w:rPr>
        <w:t>建立中央储备粮（稻谷）5100吨，省级储备粮18000吨（稻谷6500吨，小麦11500吨），县级储备粮</w:t>
      </w:r>
      <w:r>
        <w:rPr>
          <w:rFonts w:hint="eastAsia" w:ascii="Times New Roman" w:hAnsi="Times New Roman" w:eastAsia="方正仿宋_GBK" w:cs="Times New Roman"/>
          <w:b w:val="0"/>
          <w:bCs w:val="0"/>
          <w:sz w:val="33"/>
          <w:szCs w:val="33"/>
          <w:lang w:val="en-US" w:eastAsia="zh-CN"/>
        </w:rPr>
        <w:t>油</w:t>
      </w:r>
      <w:r>
        <w:rPr>
          <w:rFonts w:hint="default" w:ascii="Times New Roman" w:hAnsi="Times New Roman" w:eastAsia="方正仿宋_GBK" w:cs="Times New Roman"/>
          <w:b w:val="0"/>
          <w:bCs w:val="0"/>
          <w:sz w:val="33"/>
          <w:szCs w:val="33"/>
          <w:lang w:val="en-US" w:eastAsia="zh-CN"/>
        </w:rPr>
        <w:t>8300吨（稻谷5000吨，小麦2000吨，面粉470吨，面条30吨，小包装大米250吨，菜油550吨其中小包装菜油50吨），总计31400吨，完成计划的100%。</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b w:val="0"/>
          <w:bCs w:val="0"/>
          <w:sz w:val="33"/>
          <w:szCs w:val="33"/>
          <w:lang w:val="en-US" w:eastAsia="zh-CN"/>
        </w:rPr>
      </w:pPr>
      <w:r>
        <w:rPr>
          <w:rFonts w:hint="eastAsia" w:eastAsia="方正仿宋_GBK" w:cs="Times New Roman"/>
          <w:color w:val="auto"/>
          <w:sz w:val="33"/>
          <w:szCs w:val="33"/>
          <w:lang w:val="en-US" w:eastAsia="zh-CN"/>
        </w:rPr>
        <w:t>2.</w:t>
      </w:r>
      <w:r>
        <w:rPr>
          <w:rFonts w:hint="default" w:ascii="Times New Roman" w:hAnsi="Times New Roman" w:eastAsia="方正仿宋_GBK" w:cs="Times New Roman"/>
          <w:b w:val="0"/>
          <w:bCs w:val="0"/>
          <w:sz w:val="33"/>
          <w:szCs w:val="33"/>
          <w:lang w:val="en-US" w:eastAsia="zh-CN"/>
        </w:rPr>
        <w:t>完成轮换省级储备稻谷3522吨，县级储备小包装菜油50吨，占计划的100%。</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b w:val="0"/>
          <w:bCs w:val="0"/>
          <w:sz w:val="33"/>
          <w:szCs w:val="33"/>
          <w:lang w:val="en-US" w:eastAsia="zh-CN"/>
        </w:rPr>
      </w:pPr>
      <w:r>
        <w:rPr>
          <w:rFonts w:hint="eastAsia" w:eastAsia="方正仿宋_GBK" w:cs="Times New Roman"/>
          <w:color w:val="auto"/>
          <w:sz w:val="33"/>
          <w:szCs w:val="33"/>
          <w:lang w:val="en-US" w:eastAsia="zh-CN"/>
        </w:rPr>
        <w:t>3.</w:t>
      </w:r>
      <w:r>
        <w:rPr>
          <w:rFonts w:hint="default" w:ascii="Times New Roman" w:hAnsi="Times New Roman" w:eastAsia="方正仿宋_GBK" w:cs="Times New Roman"/>
          <w:b w:val="0"/>
          <w:bCs w:val="0"/>
          <w:sz w:val="33"/>
          <w:szCs w:val="33"/>
          <w:lang w:val="en-US" w:eastAsia="zh-CN"/>
        </w:rPr>
        <w:t>建立应急加工企业2户，应急配送中心1个，应急供应网点26个，邻水</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5.09</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新冠抗疫战中共投放市场成品粮油1800吨，其中大米1160吨、面粉面条580吨、菜油60吨，确保了战疫需要和社会政治稳定。</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4.</w:t>
      </w:r>
      <w:r>
        <w:rPr>
          <w:rFonts w:hint="default" w:ascii="Times New Roman" w:hAnsi="Times New Roman" w:eastAsia="方正仿宋_GBK" w:cs="Times New Roman"/>
          <w:b w:val="0"/>
          <w:bCs w:val="0"/>
          <w:sz w:val="33"/>
          <w:szCs w:val="33"/>
          <w:lang w:val="en-US" w:eastAsia="zh-CN"/>
        </w:rPr>
        <w:t>积极推广机械通风、准低</w:t>
      </w:r>
      <w:r>
        <w:rPr>
          <w:rFonts w:hint="eastAsia" w:ascii="Times New Roman" w:hAnsi="Times New Roman" w:eastAsia="方正仿宋_GBK" w:cs="Times New Roman"/>
          <w:b w:val="0"/>
          <w:bCs w:val="0"/>
          <w:sz w:val="33"/>
          <w:szCs w:val="33"/>
          <w:lang w:val="en-US" w:eastAsia="zh-CN"/>
        </w:rPr>
        <w:t>温</w:t>
      </w:r>
      <w:r>
        <w:rPr>
          <w:rFonts w:hint="default" w:ascii="Times New Roman" w:hAnsi="Times New Roman" w:eastAsia="方正仿宋_GBK" w:cs="Times New Roman"/>
          <w:b w:val="0"/>
          <w:bCs w:val="0"/>
          <w:sz w:val="33"/>
          <w:szCs w:val="33"/>
          <w:lang w:val="en-US" w:eastAsia="zh-CN"/>
        </w:rPr>
        <w:t>储粮、环流熏蒸、信息化监控等科技手段，把好储粮安全关，严防品质恶化和储粮事故，科技储粮</w:t>
      </w:r>
      <w:r>
        <w:rPr>
          <w:rFonts w:hint="eastAsia" w:ascii="Times New Roman" w:hAnsi="Times New Roman" w:eastAsia="方正仿宋_GBK" w:cs="Times New Roman"/>
          <w:b w:val="0"/>
          <w:bCs w:val="0"/>
          <w:sz w:val="33"/>
          <w:szCs w:val="33"/>
          <w:lang w:val="en-US" w:eastAsia="zh-CN"/>
        </w:rPr>
        <w:t>率</w:t>
      </w:r>
      <w:r>
        <w:rPr>
          <w:rFonts w:hint="default" w:ascii="Times New Roman" w:hAnsi="Times New Roman" w:eastAsia="方正仿宋_GBK" w:cs="Times New Roman"/>
          <w:b w:val="0"/>
          <w:bCs w:val="0"/>
          <w:sz w:val="33"/>
          <w:szCs w:val="33"/>
          <w:lang w:val="en-US" w:eastAsia="zh-CN"/>
        </w:rPr>
        <w:t>达85%，储粮安全事故为零。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textAlignment w:val="auto"/>
        <w:rPr>
          <w:rFonts w:hint="default" w:ascii="Times New Roman" w:hAnsi="Times New Roman" w:cs="Times New Roman"/>
          <w:lang w:val="en-US" w:eastAsia="zh-CN"/>
        </w:rPr>
      </w:pPr>
      <w:r>
        <w:rPr>
          <w:rFonts w:hint="eastAsia" w:eastAsia="方正仿宋_GBK" w:cs="Times New Roman"/>
          <w:color w:val="auto"/>
          <w:sz w:val="33"/>
          <w:szCs w:val="33"/>
          <w:lang w:val="en-US" w:eastAsia="zh-CN"/>
        </w:rPr>
        <w:t>5.</w:t>
      </w:r>
      <w:r>
        <w:rPr>
          <w:rFonts w:hint="default" w:ascii="Times New Roman" w:hAnsi="Times New Roman" w:eastAsia="方正仿宋_GBK" w:cs="Times New Roman"/>
          <w:b w:val="0"/>
          <w:bCs w:val="0"/>
          <w:sz w:val="33"/>
          <w:szCs w:val="33"/>
          <w:lang w:val="en-US" w:eastAsia="zh-CN"/>
        </w:rPr>
        <w:t>推进项目建设</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邻水县渝邻粮食物流（产业）园二期项目筹集资金4500万元，已完成实物工程量70%，年内完成主体工程建设</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仓顶阳光</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项目年内可竣工投产</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天府菜油</w:t>
      </w:r>
      <w:r>
        <w:rPr>
          <w:rFonts w:hint="eastAsia"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sz w:val="33"/>
          <w:szCs w:val="33"/>
          <w:lang w:val="en-US" w:eastAsia="zh-CN"/>
        </w:rPr>
        <w:t>项目按计划推进，2023年完成首期建设。</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b w:val="0"/>
          <w:bCs w:val="0"/>
          <w:sz w:val="33"/>
          <w:szCs w:val="33"/>
          <w:lang w:val="en-US" w:eastAsia="zh-CN"/>
        </w:rPr>
      </w:pPr>
      <w:r>
        <w:rPr>
          <w:rFonts w:hint="eastAsia" w:eastAsia="方正仿宋_GBK" w:cs="Times New Roman"/>
          <w:color w:val="auto"/>
          <w:sz w:val="33"/>
          <w:szCs w:val="33"/>
          <w:lang w:val="en-US" w:eastAsia="zh-CN"/>
        </w:rPr>
        <w:t>6.</w:t>
      </w:r>
      <w:r>
        <w:rPr>
          <w:rFonts w:hint="default" w:ascii="Times New Roman" w:hAnsi="Times New Roman" w:eastAsia="方正仿宋_GBK" w:cs="Times New Roman"/>
          <w:b w:val="0"/>
          <w:bCs w:val="0"/>
          <w:sz w:val="33"/>
          <w:szCs w:val="33"/>
          <w:lang w:val="en-US" w:eastAsia="zh-CN"/>
        </w:rPr>
        <w:t>完成社会粮油供需平衡调查，推广农户科学储粮示范户200户，推广使用低毒储粮药剂300公斤。</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ascii="黑体" w:hAnsi="黑体" w:eastAsia="黑体" w:cs="黑体"/>
          <w:b w:val="0"/>
          <w:color w:val="000000"/>
          <w:sz w:val="33"/>
          <w:szCs w:val="33"/>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Style w:val="15"/>
          <w:rFonts w:hint="eastAsia" w:ascii="黑体" w:hAnsi="黑体" w:eastAsia="黑体" w:cs="黑体"/>
          <w:b w:val="0"/>
          <w:bCs w:val="0"/>
          <w:sz w:val="33"/>
          <w:szCs w:val="33"/>
        </w:rPr>
      </w:pPr>
      <w:r>
        <w:rPr>
          <w:rFonts w:hint="eastAsia" w:ascii="黑体" w:hAnsi="黑体" w:eastAsia="黑体" w:cs="黑体"/>
          <w:b w:val="0"/>
          <w:color w:val="000000"/>
          <w:sz w:val="33"/>
          <w:szCs w:val="33"/>
        </w:rPr>
        <w:t>二、机</w:t>
      </w:r>
      <w:r>
        <w:rPr>
          <w:rStyle w:val="15"/>
          <w:rFonts w:hint="eastAsia" w:ascii="黑体" w:hAnsi="黑体" w:eastAsia="黑体" w:cs="黑体"/>
          <w:b w:val="0"/>
          <w:bCs w:val="0"/>
          <w:sz w:val="33"/>
          <w:szCs w:val="33"/>
        </w:rPr>
        <w:t>构设置</w:t>
      </w:r>
      <w:bookmarkEnd w:id="20"/>
      <w:bookmarkEnd w:id="21"/>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根据《邻水县机构改革方案》（邻委发</w:t>
      </w:r>
      <w:r>
        <w:rPr>
          <w:rFonts w:hint="eastAsia" w:eastAsia="方正仿宋_GBK" w:cs="Times New Roman"/>
          <w:color w:val="000000"/>
          <w:kern w:val="0"/>
          <w:sz w:val="33"/>
          <w:szCs w:val="33"/>
          <w:shd w:val="clear" w:color="auto" w:fill="FFFFFF"/>
          <w:lang w:val="en-US" w:eastAsia="zh-CN"/>
        </w:rPr>
        <w:t>〔</w:t>
      </w:r>
      <w:r>
        <w:rPr>
          <w:rFonts w:hint="default" w:ascii="Times New Roman" w:hAnsi="Times New Roman" w:eastAsia="方正仿宋_GBK" w:cs="Times New Roman"/>
          <w:color w:val="000000"/>
          <w:kern w:val="0"/>
          <w:sz w:val="33"/>
          <w:szCs w:val="33"/>
          <w:shd w:val="clear" w:color="auto" w:fill="FFFFFF"/>
          <w:lang w:val="en-US" w:eastAsia="zh-CN"/>
        </w:rPr>
        <w:t>2019</w:t>
      </w:r>
      <w:r>
        <w:rPr>
          <w:rFonts w:hint="eastAsia" w:eastAsia="方正仿宋_GBK" w:cs="Times New Roman"/>
          <w:color w:val="000000"/>
          <w:kern w:val="0"/>
          <w:sz w:val="33"/>
          <w:szCs w:val="33"/>
          <w:shd w:val="clear" w:color="auto" w:fill="FFFFFF"/>
          <w:lang w:val="en-US" w:eastAsia="zh-CN"/>
        </w:rPr>
        <w:t>〕</w:t>
      </w:r>
      <w:r>
        <w:rPr>
          <w:rFonts w:hint="default" w:ascii="Times New Roman" w:hAnsi="Times New Roman" w:eastAsia="方正仿宋_GBK" w:cs="Times New Roman"/>
          <w:color w:val="000000"/>
          <w:kern w:val="0"/>
          <w:sz w:val="33"/>
          <w:szCs w:val="33"/>
          <w:shd w:val="clear" w:color="auto" w:fill="FFFFFF"/>
          <w:lang w:val="en-US" w:eastAsia="zh-CN"/>
        </w:rPr>
        <w:t>11号）和《邻水县机构方案的实施意见》（邻机改[2019]1号）文件要求，邻水县粮食和物资储备中心由邻水县粮食局更名而来，为县政府直属正科级公益类事业单位，保留参公管理，由县发展和改革局代管，</w:t>
      </w:r>
      <w:r>
        <w:rPr>
          <w:rFonts w:hint="eastAsia" w:ascii="Times New Roman" w:eastAsia="方正仿宋_GBK" w:cs="Times New Roman"/>
          <w:color w:val="000000"/>
          <w:sz w:val="33"/>
          <w:szCs w:val="33"/>
          <w:lang w:eastAsia="zh-CN"/>
        </w:rPr>
        <w:t>无下属单位</w:t>
      </w:r>
      <w:r>
        <w:rPr>
          <w:rFonts w:hint="eastAsia" w:eastAsia="方正仿宋_GBK" w:cs="Times New Roman"/>
          <w:color w:val="000000"/>
          <w:sz w:val="33"/>
          <w:szCs w:val="33"/>
          <w:lang w:eastAsia="zh-CN"/>
        </w:rPr>
        <w:t>，</w:t>
      </w:r>
      <w:r>
        <w:rPr>
          <w:rFonts w:hint="default" w:ascii="Times New Roman" w:hAnsi="Times New Roman" w:eastAsia="方正仿宋_GBK" w:cs="Times New Roman"/>
          <w:color w:val="000000"/>
          <w:kern w:val="0"/>
          <w:sz w:val="33"/>
          <w:szCs w:val="33"/>
          <w:shd w:val="clear" w:color="auto" w:fill="FFFFFF"/>
          <w:lang w:val="en-US" w:eastAsia="zh-CN"/>
        </w:rPr>
        <w:t>设下列内设机构：办公室（增挂内部审计股牌子）、党建股、粮食与物资储备服务股、安全仓储与科技服务股、粮油质量管理服务股5个股室。</w:t>
      </w: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年在编</w:t>
      </w:r>
      <w:r>
        <w:rPr>
          <w:rFonts w:hint="eastAsia" w:eastAsia="方正仿宋_GBK" w:cs="Times New Roman"/>
          <w:sz w:val="33"/>
          <w:szCs w:val="33"/>
          <w:lang w:val="en-US" w:eastAsia="zh-CN"/>
        </w:rPr>
        <w:t>18</w:t>
      </w:r>
      <w:r>
        <w:rPr>
          <w:rFonts w:hint="default" w:ascii="Times New Roman" w:hAnsi="Times New Roman" w:eastAsia="方正仿宋_GBK" w:cs="Times New Roman"/>
          <w:sz w:val="33"/>
          <w:szCs w:val="33"/>
          <w:lang w:val="en-US" w:eastAsia="zh-CN"/>
        </w:rPr>
        <w:t>人，在职</w:t>
      </w:r>
      <w:r>
        <w:rPr>
          <w:rFonts w:hint="eastAsia" w:eastAsia="方正仿宋_GBK" w:cs="Times New Roman"/>
          <w:sz w:val="33"/>
          <w:szCs w:val="33"/>
          <w:lang w:val="en-US" w:eastAsia="zh-CN"/>
        </w:rPr>
        <w:t>18</w:t>
      </w:r>
      <w:r>
        <w:rPr>
          <w:rFonts w:hint="default" w:ascii="Times New Roman" w:hAnsi="Times New Roman" w:eastAsia="方正仿宋_GBK" w:cs="Times New Roman"/>
          <w:sz w:val="33"/>
          <w:szCs w:val="33"/>
          <w:lang w:val="en-US" w:eastAsia="zh-CN"/>
        </w:rPr>
        <w:t>人，离休人员1人。</w:t>
      </w:r>
      <w:bookmarkStart w:id="22" w:name="_Toc15377204"/>
      <w:bookmarkStart w:id="23" w:name="_Toc15396602"/>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sz w:val="33"/>
          <w:szCs w:val="33"/>
          <w:lang w:val="en-US" w:eastAsia="zh-CN"/>
        </w:rPr>
      </w:pPr>
    </w:p>
    <w:p>
      <w:pPr>
        <w:pStyle w:val="5"/>
        <w:rPr>
          <w:rFonts w:hint="default"/>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Style w:val="5"/>
        <w:rPr>
          <w:rFonts w:hint="default" w:ascii="Times New Roman" w:hAnsi="Times New Roman" w:eastAsia="方正仿宋_GBK" w:cs="Times New Roman"/>
          <w:sz w:val="33"/>
          <w:szCs w:val="33"/>
          <w:lang w:val="en-US" w:eastAsia="zh-CN"/>
        </w:rPr>
      </w:pPr>
    </w:p>
    <w:p>
      <w:pPr>
        <w:pageBreakBefore w:val="0"/>
        <w:widowControl/>
        <w:numPr>
          <w:ilvl w:val="0"/>
          <w:numId w:val="0"/>
        </w:numPr>
        <w:kinsoku/>
        <w:wordWrap/>
        <w:overflowPunct/>
        <w:topLinePunct w:val="0"/>
        <w:bidi w:val="0"/>
        <w:adjustRightInd w:val="0"/>
        <w:snapToGrid w:val="0"/>
        <w:spacing w:line="590" w:lineRule="exact"/>
        <w:ind w:right="0"/>
        <w:contextualSpacing/>
        <w:jc w:val="left"/>
        <w:rPr>
          <w:rFonts w:hint="default" w:ascii="Times New Roman" w:hAnsi="Times New Roman" w:eastAsia="方正仿宋_GBK" w:cs="Times New Roman"/>
          <w:sz w:val="33"/>
          <w:szCs w:val="33"/>
          <w:lang w:val="en-US" w:eastAsia="zh-CN"/>
        </w:rPr>
      </w:pPr>
    </w:p>
    <w:p>
      <w:pPr>
        <w:pageBreakBefore w:val="0"/>
        <w:widowControl/>
        <w:numPr>
          <w:ilvl w:val="0"/>
          <w:numId w:val="0"/>
        </w:numPr>
        <w:kinsoku/>
        <w:wordWrap/>
        <w:overflowPunct/>
        <w:topLinePunct w:val="0"/>
        <w:bidi w:val="0"/>
        <w:adjustRightInd w:val="0"/>
        <w:snapToGrid w:val="0"/>
        <w:spacing w:line="590" w:lineRule="exact"/>
        <w:ind w:left="0" w:right="0" w:firstLine="880" w:firstLineChars="200"/>
        <w:contextualSpacing/>
        <w:jc w:val="left"/>
        <w:rPr>
          <w:rStyle w:val="14"/>
          <w:rFonts w:hint="eastAsia" w:ascii="黑体" w:hAnsi="黑体" w:eastAsia="黑体" w:cs="黑体"/>
          <w:b w:val="0"/>
          <w:bCs w:val="0"/>
          <w:sz w:val="44"/>
          <w:szCs w:val="44"/>
        </w:rPr>
      </w:pPr>
      <w:r>
        <w:rPr>
          <w:rFonts w:hint="eastAsia" w:ascii="黑体" w:hAnsi="黑体" w:eastAsia="黑体" w:cs="黑体"/>
          <w:b w:val="0"/>
          <w:color w:val="000000"/>
          <w:sz w:val="44"/>
          <w:szCs w:val="44"/>
        </w:rPr>
        <w:t>第二部分</w:t>
      </w:r>
      <w:r>
        <w:rPr>
          <w:rFonts w:hint="eastAsia" w:ascii="黑体" w:hAnsi="黑体" w:eastAsia="黑体" w:cs="黑体"/>
          <w:color w:val="000000"/>
          <w:sz w:val="44"/>
          <w:szCs w:val="44"/>
        </w:rPr>
        <w:t xml:space="preserve"> </w:t>
      </w:r>
      <w:r>
        <w:rPr>
          <w:rStyle w:val="14"/>
          <w:rFonts w:hint="eastAsia" w:ascii="黑体" w:hAnsi="黑体" w:eastAsia="黑体" w:cs="黑体"/>
          <w:b w:val="0"/>
          <w:bCs w:val="0"/>
          <w:sz w:val="44"/>
          <w:szCs w:val="44"/>
        </w:rPr>
        <w:t>202</w:t>
      </w:r>
      <w:r>
        <w:rPr>
          <w:rStyle w:val="14"/>
          <w:rFonts w:hint="eastAsia" w:ascii="黑体" w:hAnsi="黑体" w:eastAsia="黑体" w:cs="黑体"/>
          <w:b w:val="0"/>
          <w:bCs w:val="0"/>
          <w:sz w:val="44"/>
          <w:szCs w:val="44"/>
          <w:lang w:val="en-US" w:eastAsia="zh-CN"/>
        </w:rPr>
        <w:t>2</w:t>
      </w:r>
      <w:r>
        <w:rPr>
          <w:rStyle w:val="14"/>
          <w:rFonts w:hint="eastAsia" w:ascii="黑体" w:hAnsi="黑体" w:eastAsia="黑体" w:cs="黑体"/>
          <w:b w:val="0"/>
          <w:bCs w:val="0"/>
          <w:sz w:val="44"/>
          <w:szCs w:val="44"/>
        </w:rPr>
        <w:t>年度部门决算情况说明</w:t>
      </w:r>
      <w:bookmarkEnd w:id="22"/>
      <w:bookmarkEnd w:id="23"/>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Style w:val="15"/>
          <w:rFonts w:hint="eastAsia" w:ascii="黑体" w:hAnsi="黑体" w:eastAsia="黑体" w:cs="黑体"/>
          <w:b w:val="0"/>
          <w:sz w:val="33"/>
          <w:szCs w:val="33"/>
        </w:rPr>
      </w:pPr>
      <w:bookmarkStart w:id="24" w:name="_Toc15377205"/>
      <w:bookmarkStart w:id="25" w:name="_Toc15396603"/>
      <w:r>
        <w:rPr>
          <w:rFonts w:hint="eastAsia" w:ascii="黑体" w:hAnsi="黑体" w:eastAsia="黑体" w:cs="黑体"/>
          <w:color w:val="000000"/>
          <w:sz w:val="33"/>
          <w:szCs w:val="33"/>
          <w:lang w:eastAsia="zh-CN"/>
        </w:rPr>
        <w:t>一、</w:t>
      </w:r>
      <w:r>
        <w:rPr>
          <w:rFonts w:hint="eastAsia" w:ascii="黑体" w:hAnsi="黑体" w:eastAsia="黑体" w:cs="黑体"/>
          <w:color w:val="000000"/>
          <w:sz w:val="33"/>
          <w:szCs w:val="33"/>
        </w:rPr>
        <w:t>收</w:t>
      </w:r>
      <w:r>
        <w:rPr>
          <w:rStyle w:val="15"/>
          <w:rFonts w:hint="eastAsia" w:ascii="黑体" w:hAnsi="黑体" w:eastAsia="黑体" w:cs="黑体"/>
          <w:b w:val="0"/>
          <w:sz w:val="33"/>
          <w:szCs w:val="33"/>
        </w:rPr>
        <w:t>入支出决算总体情况说明</w:t>
      </w:r>
      <w:bookmarkEnd w:id="24"/>
      <w:bookmarkEnd w:id="25"/>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年度收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val="en-US" w:eastAsia="zh-CN"/>
        </w:rPr>
        <w:t>5323.04</w:t>
      </w:r>
      <w:r>
        <w:rPr>
          <w:rFonts w:hint="default" w:ascii="Times New Roman" w:hAnsi="Times New Roman" w:eastAsia="方正仿宋_GBK" w:cs="Times New Roman"/>
          <w:color w:val="000000"/>
          <w:sz w:val="33"/>
          <w:szCs w:val="33"/>
          <w:lang w:eastAsia="zh-CN"/>
        </w:rPr>
        <w:t>万元，支出总计</w:t>
      </w:r>
      <w:r>
        <w:rPr>
          <w:rFonts w:hint="eastAsia" w:eastAsia="方正仿宋_GBK" w:cs="Times New Roman"/>
          <w:color w:val="000000"/>
          <w:sz w:val="33"/>
          <w:szCs w:val="33"/>
          <w:lang w:val="en-US" w:eastAsia="zh-CN"/>
        </w:rPr>
        <w:t>5323.04</w:t>
      </w:r>
      <w:r>
        <w:rPr>
          <w:rFonts w:hint="default" w:ascii="Times New Roman" w:hAnsi="Times New Roman" w:eastAsia="方正仿宋_GBK" w:cs="Times New Roman"/>
          <w:color w:val="000000"/>
          <w:sz w:val="33"/>
          <w:szCs w:val="33"/>
        </w:rPr>
        <w:t>万元。与20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年相比，收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4725.86</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val="en-US" w:eastAsia="zh-CN"/>
        </w:rPr>
        <w:t>增长791.36</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sz w:val="33"/>
          <w:szCs w:val="33"/>
          <w:lang w:eastAsia="zh-CN"/>
        </w:rPr>
        <w:t>，支出总计</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4725.85</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val="en-US" w:eastAsia="zh-CN"/>
        </w:rPr>
        <w:t>增长791.36</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sz w:val="33"/>
          <w:szCs w:val="33"/>
        </w:rPr>
        <w:t>主要变动原因是</w:t>
      </w:r>
      <w:r>
        <w:rPr>
          <w:rFonts w:hint="eastAsia" w:eastAsia="方正仿宋_GBK" w:cs="Times New Roman"/>
          <w:color w:val="000000"/>
          <w:sz w:val="33"/>
          <w:szCs w:val="33"/>
          <w:lang w:val="en-US" w:eastAsia="zh-CN"/>
        </w:rPr>
        <w:t>新增债券资金4500万元</w:t>
      </w:r>
      <w:r>
        <w:rPr>
          <w:rFonts w:hint="default" w:ascii="Times New Roman" w:hAnsi="Times New Roman" w:eastAsia="方正仿宋_GBK" w:cs="Times New Roman"/>
          <w:color w:val="000000"/>
          <w:sz w:val="33"/>
          <w:szCs w:val="33"/>
          <w:lang w:val="en-US" w:eastAsia="zh-CN"/>
        </w:rPr>
        <w:t>。</w:t>
      </w:r>
    </w:p>
    <w:p>
      <w:pPr>
        <w:pageBreakBefore w:val="0"/>
        <w:kinsoku/>
        <w:wordWrap/>
        <w:overflowPunct/>
        <w:topLinePunct w:val="0"/>
        <w:bidi w:val="0"/>
        <w:spacing w:line="590" w:lineRule="exact"/>
        <w:ind w:left="0" w:right="0" w:firstLine="420" w:firstLineChars="200"/>
        <w:rPr>
          <w:rFonts w:hint="default" w:ascii="Times New Roman" w:hAnsi="Times New Roman" w:eastAsia="方正仿宋_GBK" w:cs="Times New Roman"/>
          <w:color w:val="000000"/>
          <w:sz w:val="33"/>
          <w:szCs w:val="33"/>
        </w:rPr>
      </w:pPr>
      <w:r>
        <w:drawing>
          <wp:anchor distT="0" distB="0" distL="114300" distR="114300" simplePos="0" relativeHeight="251661312" behindDoc="0" locked="0" layoutInCell="1" allowOverlap="1">
            <wp:simplePos x="0" y="0"/>
            <wp:positionH relativeFrom="column">
              <wp:posOffset>446405</wp:posOffset>
            </wp:positionH>
            <wp:positionV relativeFrom="paragraph">
              <wp:posOffset>149225</wp:posOffset>
            </wp:positionV>
            <wp:extent cx="4572000" cy="1525270"/>
            <wp:effectExtent l="4445" t="4445" r="10795" b="952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right="0"/>
        <w:rPr>
          <w:rFonts w:hint="default" w:ascii="Times New Roman" w:hAnsi="Times New Roman" w:eastAsia="方正仿宋_GBK" w:cs="Times New Roman"/>
          <w:color w:val="000000"/>
          <w:sz w:val="33"/>
          <w:szCs w:val="33"/>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Style w:val="15"/>
          <w:rFonts w:hint="eastAsia" w:ascii="黑体" w:hAnsi="黑体" w:eastAsia="黑体" w:cs="黑体"/>
          <w:b w:val="0"/>
          <w:sz w:val="33"/>
          <w:szCs w:val="33"/>
        </w:rPr>
      </w:pPr>
      <w:bookmarkStart w:id="26" w:name="_Toc15377206"/>
      <w:bookmarkStart w:id="27" w:name="_Toc15396604"/>
      <w:r>
        <w:rPr>
          <w:rFonts w:hint="eastAsia" w:ascii="黑体" w:hAnsi="黑体" w:eastAsia="黑体" w:cs="黑体"/>
          <w:color w:val="000000"/>
          <w:sz w:val="33"/>
          <w:szCs w:val="33"/>
          <w:lang w:eastAsia="zh-CN"/>
        </w:rPr>
        <w:t>二、</w:t>
      </w:r>
      <w:r>
        <w:rPr>
          <w:rFonts w:hint="eastAsia" w:ascii="黑体" w:hAnsi="黑体" w:eastAsia="黑体" w:cs="黑体"/>
          <w:color w:val="000000"/>
          <w:sz w:val="33"/>
          <w:szCs w:val="33"/>
        </w:rPr>
        <w:t>收</w:t>
      </w:r>
      <w:r>
        <w:rPr>
          <w:rStyle w:val="15"/>
          <w:rFonts w:hint="eastAsia" w:ascii="黑体" w:hAnsi="黑体" w:eastAsia="黑体" w:cs="黑体"/>
          <w:b w:val="0"/>
          <w:sz w:val="33"/>
          <w:szCs w:val="33"/>
        </w:rPr>
        <w:t>入决算情况说明</w:t>
      </w:r>
      <w:bookmarkEnd w:id="26"/>
      <w:bookmarkEnd w:id="27"/>
    </w:p>
    <w:p>
      <w:pPr>
        <w:pageBreakBefore w:val="0"/>
        <w:kinsoku/>
        <w:wordWrap/>
        <w:overflowPunct/>
        <w:topLinePunct w:val="0"/>
        <w:bidi w:val="0"/>
        <w:snapToGrid w:val="0"/>
        <w:spacing w:line="590" w:lineRule="exact"/>
        <w:ind w:left="0" w:right="0" w:firstLine="660" w:firstLineChars="200"/>
        <w:rPr>
          <w:rFonts w:hint="default" w:ascii="Times New Roman" w:hAnsi="Times New Roman" w:eastAsia="方正仿宋_GBK" w:cs="Times New Roman"/>
          <w:color w:val="000000"/>
          <w:sz w:val="33"/>
          <w:szCs w:val="33"/>
          <w:highlight w:val="none"/>
        </w:rPr>
      </w:pPr>
      <w:r>
        <w:rPr>
          <w:rFonts w:hint="default" w:ascii="Times New Roman" w:hAnsi="Times New Roman" w:eastAsia="方正仿宋_GBK" w:cs="Times New Roman"/>
          <w:color w:val="000000"/>
          <w:sz w:val="33"/>
          <w:szCs w:val="33"/>
          <w:highlight w:val="none"/>
        </w:rPr>
        <w:t>202</w:t>
      </w:r>
      <w:r>
        <w:rPr>
          <w:rFonts w:hint="eastAsia" w:eastAsia="方正仿宋_GBK" w:cs="Times New Roman"/>
          <w:color w:val="000000"/>
          <w:sz w:val="33"/>
          <w:szCs w:val="33"/>
          <w:highlight w:val="none"/>
          <w:lang w:val="en-US" w:eastAsia="zh-CN"/>
        </w:rPr>
        <w:t>2</w:t>
      </w:r>
      <w:r>
        <w:rPr>
          <w:rFonts w:hint="default" w:ascii="Times New Roman" w:hAnsi="Times New Roman" w:eastAsia="方正仿宋_GBK" w:cs="Times New Roman"/>
          <w:color w:val="000000"/>
          <w:sz w:val="33"/>
          <w:szCs w:val="33"/>
          <w:highlight w:val="none"/>
        </w:rPr>
        <w:t>年本年收入合计</w:t>
      </w:r>
      <w:r>
        <w:rPr>
          <w:rFonts w:hint="eastAsia" w:eastAsia="方正仿宋_GBK" w:cs="Times New Roman"/>
          <w:color w:val="000000"/>
          <w:sz w:val="33"/>
          <w:szCs w:val="33"/>
          <w:highlight w:val="none"/>
          <w:lang w:val="en-US" w:eastAsia="zh-CN"/>
        </w:rPr>
        <w:t>5323.04</w:t>
      </w:r>
      <w:r>
        <w:rPr>
          <w:rFonts w:hint="default" w:ascii="Times New Roman" w:hAnsi="Times New Roman" w:eastAsia="方正仿宋_GBK" w:cs="Times New Roman"/>
          <w:color w:val="000000"/>
          <w:sz w:val="33"/>
          <w:szCs w:val="33"/>
          <w:highlight w:val="none"/>
        </w:rPr>
        <w:t>万元，其中：一般公共预算财政拨款收入</w:t>
      </w:r>
      <w:r>
        <w:rPr>
          <w:rFonts w:hint="eastAsia" w:eastAsia="方正仿宋_GBK" w:cs="Times New Roman"/>
          <w:color w:val="000000"/>
          <w:sz w:val="33"/>
          <w:szCs w:val="33"/>
          <w:highlight w:val="none"/>
          <w:lang w:val="en-US" w:eastAsia="zh-CN"/>
        </w:rPr>
        <w:t>823.04</w:t>
      </w:r>
      <w:r>
        <w:rPr>
          <w:rFonts w:hint="default" w:ascii="Times New Roman" w:hAnsi="Times New Roman" w:eastAsia="方正仿宋_GBK" w:cs="Times New Roman"/>
          <w:color w:val="000000"/>
          <w:sz w:val="33"/>
          <w:szCs w:val="33"/>
          <w:highlight w:val="none"/>
        </w:rPr>
        <w:t>万元，占</w:t>
      </w:r>
      <w:r>
        <w:rPr>
          <w:rFonts w:hint="eastAsia" w:eastAsia="方正仿宋_GBK" w:cs="Times New Roman"/>
          <w:color w:val="000000"/>
          <w:sz w:val="33"/>
          <w:szCs w:val="33"/>
          <w:highlight w:val="none"/>
          <w:lang w:val="en-US" w:eastAsia="zh-CN"/>
        </w:rPr>
        <w:t>15</w:t>
      </w:r>
      <w:r>
        <w:rPr>
          <w:rFonts w:hint="eastAsia" w:eastAsia="方正仿宋_GBK" w:cs="Times New Roman"/>
          <w:color w:val="000000"/>
          <w:sz w:val="33"/>
          <w:szCs w:val="33"/>
          <w:highlight w:val="none"/>
          <w:lang w:val="en-US" w:eastAsia="zh-CN"/>
        </w:rPr>
        <w:t>.46</w:t>
      </w:r>
      <w:r>
        <w:rPr>
          <w:rFonts w:hint="default" w:ascii="Times New Roman" w:hAnsi="Times New Roman" w:eastAsia="方正仿宋_GBK" w:cs="Times New Roman"/>
          <w:color w:val="000000"/>
          <w:sz w:val="33"/>
          <w:szCs w:val="33"/>
          <w:highlight w:val="none"/>
        </w:rPr>
        <w:t>%；政府性基金预算财政拨款收入</w:t>
      </w:r>
      <w:r>
        <w:rPr>
          <w:rFonts w:hint="eastAsia" w:eastAsia="方正仿宋_GBK" w:cs="Times New Roman"/>
          <w:color w:val="000000"/>
          <w:sz w:val="33"/>
          <w:szCs w:val="33"/>
          <w:highlight w:val="none"/>
          <w:lang w:val="en-US" w:eastAsia="zh-CN"/>
        </w:rPr>
        <w:t>4500万元</w:t>
      </w:r>
      <w:r>
        <w:rPr>
          <w:rFonts w:hint="eastAsia" w:eastAsia="方正仿宋_GBK" w:cs="Times New Roman"/>
          <w:color w:val="000000"/>
          <w:sz w:val="33"/>
          <w:szCs w:val="33"/>
          <w:highlight w:val="none"/>
          <w:lang w:val="en-US" w:eastAsia="zh-CN"/>
        </w:rPr>
        <w:t>，占84.54%</w:t>
      </w:r>
      <w:r>
        <w:rPr>
          <w:rFonts w:hint="default" w:ascii="Times New Roman" w:hAnsi="Times New Roman" w:eastAsia="方正仿宋_GBK" w:cs="Times New Roman"/>
          <w:color w:val="000000"/>
          <w:sz w:val="33"/>
          <w:szCs w:val="33"/>
          <w:highlight w:val="none"/>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textAlignment w:val="auto"/>
        <w:outlineLvl w:val="1"/>
        <w:rPr>
          <w:rFonts w:hint="eastAsia" w:ascii="黑体" w:hAnsi="黑体" w:eastAsia="黑体" w:cs="黑体"/>
          <w:color w:val="000000"/>
          <w:sz w:val="33"/>
          <w:szCs w:val="33"/>
          <w:lang w:eastAsia="zh-CN"/>
        </w:rPr>
      </w:pPr>
      <w:bookmarkStart w:id="28" w:name="_Toc15396605"/>
      <w:bookmarkStart w:id="29" w:name="_Toc15377207"/>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eastAsia" w:ascii="黑体" w:hAnsi="黑体" w:eastAsia="黑体" w:cs="黑体"/>
          <w:color w:val="000000"/>
          <w:sz w:val="33"/>
          <w:szCs w:val="33"/>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eastAsia" w:ascii="黑体" w:hAnsi="黑体" w:eastAsia="黑体" w:cs="黑体"/>
          <w:color w:val="000000"/>
          <w:sz w:val="33"/>
          <w:szCs w:val="33"/>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eastAsia" w:ascii="黑体" w:hAnsi="黑体" w:eastAsia="黑体" w:cs="黑体"/>
          <w:color w:val="000000"/>
          <w:sz w:val="33"/>
          <w:szCs w:val="33"/>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420" w:firstLineChars="200"/>
        <w:textAlignment w:val="auto"/>
        <w:outlineLvl w:val="1"/>
        <w:rPr>
          <w:rFonts w:hint="eastAsia" w:ascii="黑体" w:hAnsi="黑体" w:eastAsia="黑体" w:cs="黑体"/>
          <w:color w:val="000000"/>
          <w:sz w:val="33"/>
          <w:szCs w:val="33"/>
          <w:lang w:eastAsia="zh-CN"/>
        </w:rPr>
      </w:pPr>
      <w:r>
        <w:rPr>
          <w:rFonts w:hint="eastAsia" w:eastAsiaTheme="minorEastAsia"/>
          <w:lang w:eastAsia="zh-CN"/>
        </w:rPr>
        <w:drawing>
          <wp:anchor distT="0" distB="0" distL="114300" distR="114300" simplePos="0" relativeHeight="251667456" behindDoc="0" locked="0" layoutInCell="1" allowOverlap="1">
            <wp:simplePos x="0" y="0"/>
            <wp:positionH relativeFrom="column">
              <wp:posOffset>271145</wp:posOffset>
            </wp:positionH>
            <wp:positionV relativeFrom="paragraph">
              <wp:posOffset>-1174115</wp:posOffset>
            </wp:positionV>
            <wp:extent cx="3909695" cy="1454150"/>
            <wp:effectExtent l="4445" t="4445" r="17780" b="1968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default" w:ascii="Times New Roman" w:hAnsi="Times New Roman" w:eastAsia="方正仿宋_GBK" w:cs="Times New Roman"/>
          <w:color w:val="000000"/>
          <w:sz w:val="33"/>
          <w:szCs w:val="33"/>
        </w:rPr>
      </w:pPr>
      <w:r>
        <w:rPr>
          <w:rFonts w:hint="eastAsia" w:ascii="黑体" w:hAnsi="黑体" w:eastAsia="黑体" w:cs="黑体"/>
          <w:color w:val="000000"/>
          <w:sz w:val="33"/>
          <w:szCs w:val="33"/>
          <w:lang w:eastAsia="zh-CN"/>
        </w:rPr>
        <w:t>三、</w:t>
      </w:r>
      <w:r>
        <w:rPr>
          <w:rFonts w:hint="eastAsia" w:ascii="黑体" w:hAnsi="黑体" w:eastAsia="黑体" w:cs="黑体"/>
          <w:color w:val="000000"/>
          <w:sz w:val="33"/>
          <w:szCs w:val="33"/>
        </w:rPr>
        <w:t>支</w:t>
      </w:r>
      <w:r>
        <w:rPr>
          <w:rStyle w:val="15"/>
          <w:rFonts w:hint="eastAsia" w:ascii="黑体" w:hAnsi="黑体" w:eastAsia="黑体" w:cs="黑体"/>
          <w:b w:val="0"/>
          <w:sz w:val="33"/>
          <w:szCs w:val="33"/>
        </w:rPr>
        <w:t>出决算情况说明</w:t>
      </w:r>
      <w:bookmarkEnd w:id="28"/>
      <w:bookmarkEnd w:id="29"/>
    </w:p>
    <w:p>
      <w:pPr>
        <w:pageBreakBefore w:val="0"/>
        <w:kinsoku/>
        <w:wordWrap/>
        <w:overflowPunct/>
        <w:topLinePunct w:val="0"/>
        <w:bidi w:val="0"/>
        <w:spacing w:line="590" w:lineRule="exact"/>
        <w:ind w:left="0" w:right="0" w:firstLine="420" w:firstLineChars="200"/>
        <w:outlineLvl w:val="1"/>
        <w:rPr>
          <w:rFonts w:hint="default" w:ascii="Times New Roman" w:hAnsi="Times New Roman" w:eastAsia="方正仿宋_GBK" w:cs="Times New Roman"/>
          <w:color w:val="000000"/>
          <w:sz w:val="33"/>
          <w:szCs w:val="33"/>
        </w:rPr>
      </w:pPr>
      <w:r>
        <w:rPr>
          <w:rFonts w:hint="eastAsia" w:eastAsiaTheme="minorEastAsia"/>
          <w:lang w:eastAsia="zh-CN"/>
        </w:rPr>
        <w:drawing>
          <wp:anchor distT="0" distB="0" distL="114300" distR="114300" simplePos="0" relativeHeight="251668480" behindDoc="1" locked="0" layoutInCell="1" allowOverlap="1">
            <wp:simplePos x="0" y="0"/>
            <wp:positionH relativeFrom="column">
              <wp:posOffset>271780</wp:posOffset>
            </wp:positionH>
            <wp:positionV relativeFrom="paragraph">
              <wp:posOffset>1082040</wp:posOffset>
            </wp:positionV>
            <wp:extent cx="4761865" cy="1824990"/>
            <wp:effectExtent l="4445" t="5080" r="19050" b="1397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2年</w:t>
      </w:r>
      <w:r>
        <w:rPr>
          <w:rFonts w:hint="default" w:ascii="Times New Roman" w:hAnsi="Times New Roman" w:eastAsia="方正仿宋_GBK" w:cs="Times New Roman"/>
          <w:color w:val="000000"/>
          <w:sz w:val="33"/>
          <w:szCs w:val="33"/>
        </w:rPr>
        <w:t>本年支出合计</w:t>
      </w:r>
      <w:r>
        <w:rPr>
          <w:rFonts w:hint="eastAsia" w:eastAsia="方正仿宋_GBK" w:cs="Times New Roman"/>
          <w:color w:val="000000"/>
          <w:sz w:val="33"/>
          <w:szCs w:val="33"/>
          <w:lang w:val="en-US" w:eastAsia="zh-CN"/>
        </w:rPr>
        <w:t>5323.04</w:t>
      </w:r>
      <w:r>
        <w:rPr>
          <w:rFonts w:hint="default" w:ascii="Times New Roman" w:hAnsi="Times New Roman" w:eastAsia="方正仿宋_GBK" w:cs="Times New Roman"/>
          <w:color w:val="000000"/>
          <w:sz w:val="33"/>
          <w:szCs w:val="33"/>
        </w:rPr>
        <w:t>万元，其中：基本支出</w:t>
      </w:r>
      <w:r>
        <w:rPr>
          <w:rFonts w:hint="eastAsia" w:eastAsia="方正仿宋_GBK" w:cs="Times New Roman"/>
          <w:color w:val="000000"/>
          <w:sz w:val="33"/>
          <w:szCs w:val="33"/>
          <w:lang w:val="en-US" w:eastAsia="zh-CN"/>
        </w:rPr>
        <w:t>518.04</w:t>
      </w:r>
      <w:r>
        <w:rPr>
          <w:rFonts w:hint="default"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9.73</w:t>
      </w:r>
      <w:r>
        <w:rPr>
          <w:rFonts w:hint="default" w:ascii="Times New Roman" w:hAnsi="Times New Roman" w:eastAsia="方正仿宋_GBK" w:cs="Times New Roman"/>
          <w:color w:val="000000"/>
          <w:sz w:val="33"/>
          <w:szCs w:val="33"/>
        </w:rPr>
        <w:t>%；项目支出</w:t>
      </w:r>
      <w:r>
        <w:rPr>
          <w:rFonts w:hint="eastAsia" w:eastAsia="方正仿宋_GBK" w:cs="Times New Roman"/>
          <w:color w:val="000000"/>
          <w:sz w:val="33"/>
          <w:szCs w:val="33"/>
          <w:lang w:val="en-US" w:eastAsia="zh-CN"/>
        </w:rPr>
        <w:t>4805</w:t>
      </w:r>
      <w:r>
        <w:rPr>
          <w:rFonts w:hint="default"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90.27</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上缴上级支出；</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经营支出；</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对附属单位补助支出。</w:t>
      </w: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right="0" w:firstLine="660" w:firstLineChars="200"/>
        <w:textAlignment w:val="auto"/>
        <w:outlineLvl w:val="1"/>
        <w:rPr>
          <w:rStyle w:val="15"/>
          <w:rFonts w:hint="eastAsia" w:ascii="黑体" w:hAnsi="黑体" w:eastAsia="黑体" w:cs="黑体"/>
          <w:b w:val="0"/>
          <w:sz w:val="33"/>
          <w:szCs w:val="33"/>
        </w:rPr>
      </w:pPr>
      <w:bookmarkStart w:id="30" w:name="_Toc15377208"/>
      <w:bookmarkStart w:id="31" w:name="_Toc15396606"/>
      <w:r>
        <w:rPr>
          <w:rFonts w:hint="eastAsia" w:ascii="黑体" w:hAnsi="黑体" w:eastAsia="黑体" w:cs="黑体"/>
          <w:color w:val="000000"/>
          <w:sz w:val="33"/>
          <w:szCs w:val="33"/>
        </w:rPr>
        <w:t>四、财</w:t>
      </w:r>
      <w:r>
        <w:rPr>
          <w:rStyle w:val="15"/>
          <w:rFonts w:hint="eastAsia" w:ascii="黑体" w:hAnsi="黑体" w:eastAsia="黑体" w:cs="黑体"/>
          <w:b w:val="0"/>
          <w:sz w:val="33"/>
          <w:szCs w:val="33"/>
        </w:rPr>
        <w:t>政拨款收入支出决算总体情况说明</w:t>
      </w:r>
      <w:bookmarkEnd w:id="30"/>
      <w:bookmarkEnd w:id="31"/>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年财政拨款收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val="en-US" w:eastAsia="zh-CN"/>
        </w:rPr>
        <w:t>5323.04</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财政拨款</w:t>
      </w:r>
      <w:r>
        <w:rPr>
          <w:rFonts w:hint="default" w:ascii="Times New Roman" w:hAnsi="Times New Roman" w:eastAsia="方正仿宋_GBK" w:cs="Times New Roman"/>
          <w:color w:val="000000"/>
          <w:sz w:val="33"/>
          <w:szCs w:val="33"/>
          <w:lang w:eastAsia="zh-CN"/>
        </w:rPr>
        <w:t>支出总计</w:t>
      </w:r>
      <w:r>
        <w:rPr>
          <w:rFonts w:hint="eastAsia" w:eastAsia="方正仿宋_GBK" w:cs="Times New Roman"/>
          <w:color w:val="000000"/>
          <w:sz w:val="33"/>
          <w:szCs w:val="33"/>
          <w:lang w:val="en-US" w:eastAsia="zh-CN"/>
        </w:rPr>
        <w:t>5323.04</w:t>
      </w:r>
      <w:r>
        <w:rPr>
          <w:rFonts w:hint="default" w:ascii="Times New Roman" w:hAnsi="Times New Roman" w:eastAsia="方正仿宋_GBK" w:cs="Times New Roman"/>
          <w:color w:val="000000"/>
          <w:sz w:val="33"/>
          <w:szCs w:val="33"/>
        </w:rPr>
        <w:t>万元。与20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年相比，财政拨款收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总计增加</w:t>
      </w:r>
      <w:r>
        <w:rPr>
          <w:rFonts w:hint="eastAsia" w:eastAsia="方正仿宋_GBK" w:cs="Times New Roman"/>
          <w:color w:val="000000"/>
          <w:sz w:val="33"/>
          <w:szCs w:val="33"/>
          <w:lang w:val="en-US" w:eastAsia="zh-CN"/>
        </w:rPr>
        <w:t>4725.86</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val="en-US" w:eastAsia="zh-CN"/>
        </w:rPr>
        <w:t>增长791.36</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财政拨款</w:t>
      </w:r>
      <w:r>
        <w:rPr>
          <w:rFonts w:hint="default" w:ascii="Times New Roman" w:hAnsi="Times New Roman" w:eastAsia="方正仿宋_GBK" w:cs="Times New Roman"/>
          <w:color w:val="000000"/>
          <w:sz w:val="33"/>
          <w:szCs w:val="33"/>
          <w:lang w:eastAsia="zh-CN"/>
        </w:rPr>
        <w:t>支出总计</w:t>
      </w:r>
      <w:r>
        <w:rPr>
          <w:rFonts w:hint="default" w:ascii="Times New Roman" w:hAnsi="Times New Roman" w:eastAsia="方正仿宋_GBK" w:cs="Times New Roman"/>
          <w:color w:val="000000"/>
          <w:sz w:val="33"/>
          <w:szCs w:val="33"/>
        </w:rPr>
        <w:t>增加</w:t>
      </w:r>
      <w:r>
        <w:rPr>
          <w:rFonts w:hint="eastAsia" w:eastAsia="方正仿宋_GBK" w:cs="Times New Roman"/>
          <w:color w:val="000000"/>
          <w:sz w:val="33"/>
          <w:szCs w:val="33"/>
          <w:lang w:val="en-US" w:eastAsia="zh-CN"/>
        </w:rPr>
        <w:t>4725.86</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val="en-US" w:eastAsia="zh-CN"/>
        </w:rPr>
        <w:t>增长791.36</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主要变动原因是</w:t>
      </w:r>
      <w:r>
        <w:rPr>
          <w:rFonts w:hint="eastAsia" w:eastAsia="方正仿宋_GBK" w:cs="Times New Roman"/>
          <w:color w:val="000000"/>
          <w:sz w:val="33"/>
          <w:szCs w:val="33"/>
          <w:lang w:val="en-US" w:eastAsia="zh-CN"/>
        </w:rPr>
        <w:t>新增债券资金4500万元</w:t>
      </w:r>
      <w:r>
        <w:rPr>
          <w:rFonts w:hint="default" w:ascii="Times New Roman" w:hAnsi="Times New Roman" w:eastAsia="方正仿宋_GBK" w:cs="Times New Roman"/>
          <w:color w:val="000000"/>
          <w:sz w:val="33"/>
          <w:szCs w:val="33"/>
          <w:lang w:val="en-US" w:eastAsia="zh-CN"/>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r>
        <w:drawing>
          <wp:anchor distT="0" distB="0" distL="114300" distR="114300" simplePos="0" relativeHeight="251664384" behindDoc="0" locked="0" layoutInCell="1" allowOverlap="1">
            <wp:simplePos x="0" y="0"/>
            <wp:positionH relativeFrom="column">
              <wp:posOffset>502285</wp:posOffset>
            </wp:positionH>
            <wp:positionV relativeFrom="paragraph">
              <wp:posOffset>92075</wp:posOffset>
            </wp:positionV>
            <wp:extent cx="4572000" cy="1638300"/>
            <wp:effectExtent l="4445" t="4445" r="10795" b="18415"/>
            <wp:wrapNone/>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outlineLvl w:val="1"/>
        <w:rPr>
          <w:rStyle w:val="15"/>
          <w:rFonts w:hint="eastAsia" w:ascii="黑体" w:hAnsi="黑体" w:eastAsia="黑体" w:cs="黑体"/>
          <w:b w:val="0"/>
          <w:sz w:val="33"/>
          <w:szCs w:val="33"/>
        </w:rPr>
      </w:pPr>
      <w:bookmarkStart w:id="32" w:name="_Toc15396607"/>
      <w:bookmarkStart w:id="33" w:name="_Toc15377209"/>
      <w:r>
        <w:rPr>
          <w:rFonts w:hint="eastAsia" w:ascii="黑体" w:hAnsi="黑体" w:eastAsia="黑体" w:cs="黑体"/>
          <w:color w:val="000000"/>
          <w:sz w:val="33"/>
          <w:szCs w:val="33"/>
        </w:rPr>
        <w:t>五、</w:t>
      </w:r>
      <w:r>
        <w:rPr>
          <w:rFonts w:hint="eastAsia" w:ascii="黑体" w:hAnsi="黑体" w:eastAsia="黑体" w:cs="黑体"/>
          <w:b/>
          <w:color w:val="000000"/>
          <w:sz w:val="33"/>
          <w:szCs w:val="33"/>
        </w:rPr>
        <w:t>一</w:t>
      </w:r>
      <w:r>
        <w:rPr>
          <w:rStyle w:val="15"/>
          <w:rFonts w:hint="eastAsia" w:ascii="黑体" w:hAnsi="黑体" w:eastAsia="黑体" w:cs="黑体"/>
          <w:b w:val="0"/>
          <w:sz w:val="33"/>
          <w:szCs w:val="33"/>
        </w:rPr>
        <w:t>般公共预算财政拨款支出决算情况说明</w:t>
      </w:r>
      <w:bookmarkEnd w:id="32"/>
      <w:bookmarkEnd w:id="33"/>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b/>
          <w:color w:val="000000"/>
          <w:sz w:val="33"/>
          <w:szCs w:val="33"/>
        </w:rPr>
      </w:pPr>
      <w:bookmarkStart w:id="34" w:name="_Toc15377210"/>
      <w:r>
        <w:rPr>
          <w:rFonts w:hint="eastAsia" w:ascii="方正楷体_GBK" w:hAnsi="方正楷体_GBK" w:eastAsia="方正楷体_GBK" w:cs="方正楷体_GBK"/>
          <w:b/>
          <w:color w:val="000000"/>
          <w:sz w:val="33"/>
          <w:szCs w:val="33"/>
        </w:rPr>
        <w:t>（一）一般公共预算财政拨款支出决算总体情况</w:t>
      </w:r>
      <w:bookmarkEnd w:id="34"/>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年一般公共预算财政拨款支出</w:t>
      </w:r>
      <w:r>
        <w:rPr>
          <w:rFonts w:hint="eastAsia" w:eastAsia="方正仿宋_GBK" w:cs="Times New Roman"/>
          <w:color w:val="000000"/>
          <w:sz w:val="33"/>
          <w:szCs w:val="33"/>
          <w:lang w:val="en-US" w:eastAsia="zh-CN"/>
        </w:rPr>
        <w:t>823.04</w:t>
      </w:r>
      <w:r>
        <w:rPr>
          <w:rFonts w:hint="default" w:ascii="Times New Roman" w:hAnsi="Times New Roman" w:eastAsia="方正仿宋_GBK" w:cs="Times New Roman"/>
          <w:color w:val="000000"/>
          <w:sz w:val="33"/>
          <w:szCs w:val="33"/>
        </w:rPr>
        <w:t>万元，占本年支出合计的</w:t>
      </w:r>
      <w:r>
        <w:rPr>
          <w:rFonts w:hint="eastAsia" w:eastAsia="方正仿宋_GBK" w:cs="Times New Roman"/>
          <w:color w:val="000000"/>
          <w:sz w:val="33"/>
          <w:szCs w:val="33"/>
          <w:lang w:val="en-US" w:eastAsia="zh-CN"/>
        </w:rPr>
        <w:t>15.46</w:t>
      </w:r>
      <w:r>
        <w:rPr>
          <w:rFonts w:hint="default" w:ascii="Times New Roman" w:hAnsi="Times New Roman" w:eastAsia="方正仿宋_GBK" w:cs="Times New Roman"/>
          <w:color w:val="000000"/>
          <w:sz w:val="33"/>
          <w:szCs w:val="33"/>
        </w:rPr>
        <w:t>%。与20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年相比，一般公共预算财政拨款</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225.86</w:t>
      </w:r>
      <w:r>
        <w:rPr>
          <w:rFonts w:hint="default"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增</w:t>
      </w:r>
      <w:r>
        <w:rPr>
          <w:rFonts w:hint="eastAsia" w:eastAsia="方正仿宋_GBK" w:cs="Times New Roman"/>
          <w:color w:val="000000"/>
          <w:sz w:val="33"/>
          <w:szCs w:val="33"/>
          <w:lang w:val="en-US" w:eastAsia="zh-CN"/>
        </w:rPr>
        <w:t>长37.82</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主要变动原因是</w:t>
      </w:r>
      <w:r>
        <w:rPr>
          <w:rFonts w:hint="eastAsia" w:eastAsia="方正仿宋_GBK" w:cs="Times New Roman"/>
          <w:color w:val="000000"/>
          <w:sz w:val="33"/>
          <w:szCs w:val="33"/>
          <w:lang w:eastAsia="zh-CN"/>
        </w:rPr>
        <w:t>新增</w:t>
      </w:r>
      <w:r>
        <w:rPr>
          <w:rFonts w:hint="eastAsia" w:eastAsia="方正仿宋_GBK" w:cs="Times New Roman"/>
          <w:color w:val="000000"/>
          <w:sz w:val="33"/>
          <w:szCs w:val="33"/>
          <w:lang w:val="en-US" w:eastAsia="zh-CN"/>
        </w:rPr>
        <w:t>职工2022年基本绩效工资等支出</w:t>
      </w:r>
      <w:r>
        <w:rPr>
          <w:rFonts w:hint="default" w:ascii="Times New Roman" w:hAnsi="Times New Roman" w:eastAsia="方正仿宋_GBK" w:cs="Times New Roman"/>
          <w:color w:val="000000"/>
          <w:sz w:val="33"/>
          <w:szCs w:val="33"/>
          <w:lang w:val="en-US" w:eastAsia="zh-CN"/>
        </w:rPr>
        <w:t>。</w:t>
      </w:r>
    </w:p>
    <w:p>
      <w:pPr>
        <w:pageBreakBefore w:val="0"/>
        <w:kinsoku/>
        <w:wordWrap/>
        <w:overflowPunct/>
        <w:topLinePunct w:val="0"/>
        <w:bidi w:val="0"/>
        <w:spacing w:line="590" w:lineRule="exact"/>
        <w:ind w:left="0" w:right="0" w:firstLine="420" w:firstLineChars="200"/>
        <w:rPr>
          <w:rFonts w:hint="default" w:ascii="Times New Roman" w:hAnsi="Times New Roman" w:eastAsia="方正仿宋_GBK" w:cs="Times New Roman"/>
          <w:color w:val="000000"/>
          <w:sz w:val="33"/>
          <w:szCs w:val="33"/>
          <w:lang w:val="en-US" w:eastAsia="zh-CN"/>
        </w:rPr>
      </w:pPr>
      <w:r>
        <w:drawing>
          <wp:anchor distT="0" distB="0" distL="114300" distR="114300" simplePos="0" relativeHeight="251665408" behindDoc="0" locked="0" layoutInCell="1" allowOverlap="1">
            <wp:simplePos x="0" y="0"/>
            <wp:positionH relativeFrom="column">
              <wp:posOffset>583565</wp:posOffset>
            </wp:positionH>
            <wp:positionV relativeFrom="paragraph">
              <wp:posOffset>118745</wp:posOffset>
            </wp:positionV>
            <wp:extent cx="4572000" cy="1965960"/>
            <wp:effectExtent l="4445" t="4445" r="10795" b="1079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right="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b/>
          <w:color w:val="000000"/>
          <w:sz w:val="33"/>
          <w:szCs w:val="33"/>
        </w:rPr>
      </w:pPr>
      <w:bookmarkStart w:id="35" w:name="_Toc15377211"/>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（二）一般公共预算财政拨款支出决算结构情况</w:t>
      </w:r>
      <w:bookmarkEnd w:id="35"/>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年一般公共预算财</w:t>
      </w:r>
      <w:r>
        <w:rPr>
          <w:rFonts w:hint="default" w:ascii="Times New Roman" w:hAnsi="Times New Roman" w:eastAsia="方正仿宋_GBK" w:cs="Times New Roman"/>
          <w:color w:val="000000" w:themeColor="text1"/>
          <w:sz w:val="33"/>
          <w:szCs w:val="33"/>
          <w14:textFill>
            <w14:solidFill>
              <w14:schemeClr w14:val="tx1"/>
            </w14:solidFill>
          </w14:textFill>
        </w:rPr>
        <w:t>政拨款支出</w:t>
      </w:r>
      <w:r>
        <w:rPr>
          <w:rFonts w:hint="eastAsia" w:eastAsia="方正仿宋_GBK" w:cs="Times New Roman"/>
          <w:color w:val="000000" w:themeColor="text1"/>
          <w:sz w:val="33"/>
          <w:szCs w:val="33"/>
          <w:lang w:val="en-US" w:eastAsia="zh-CN"/>
          <w14:textFill>
            <w14:solidFill>
              <w14:schemeClr w14:val="tx1"/>
            </w14:solidFill>
          </w14:textFill>
        </w:rPr>
        <w:t>823.04</w:t>
      </w:r>
      <w:r>
        <w:rPr>
          <w:rFonts w:hint="default" w:ascii="Times New Roman" w:hAnsi="Times New Roman" w:eastAsia="方正仿宋_GBK" w:cs="Times New Roman"/>
          <w:color w:val="000000" w:themeColor="text1"/>
          <w:sz w:val="33"/>
          <w:szCs w:val="33"/>
          <w14:textFill>
            <w14:solidFill>
              <w14:schemeClr w14:val="tx1"/>
            </w14:solidFill>
          </w14:textFill>
        </w:rPr>
        <w:t>万元，主要用于以下方面</w:t>
      </w:r>
      <w:r>
        <w:rPr>
          <w:rFonts w:hint="eastAsia"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社会保障和就业（类）支出</w:t>
      </w:r>
      <w:r>
        <w:rPr>
          <w:rFonts w:hint="eastAsia" w:eastAsia="方正仿宋_GBK" w:cs="Times New Roman"/>
          <w:b w:val="0"/>
          <w:bCs/>
          <w:color w:val="000000" w:themeColor="text1"/>
          <w:sz w:val="33"/>
          <w:szCs w:val="33"/>
          <w:lang w:val="en-US" w:eastAsia="zh-CN"/>
          <w14:textFill>
            <w14:solidFill>
              <w14:schemeClr w14:val="tx1"/>
            </w14:solidFill>
          </w14:textFill>
        </w:rPr>
        <w:t>173.50</w:t>
      </w:r>
      <w:r>
        <w:rPr>
          <w:rFonts w:hint="default" w:ascii="Times New Roman" w:hAnsi="Times New Roman" w:eastAsia="方正仿宋_GBK" w:cs="Times New Roman"/>
          <w:b w:val="0"/>
          <w:bCs/>
          <w:color w:val="000000" w:themeColor="text1"/>
          <w:sz w:val="33"/>
          <w:szCs w:val="33"/>
          <w14:textFill>
            <w14:solidFill>
              <w14:schemeClr w14:val="tx1"/>
            </w14:solidFill>
          </w14:textFill>
        </w:rPr>
        <w:t>万元，占</w:t>
      </w:r>
      <w:r>
        <w:rPr>
          <w:rFonts w:hint="eastAsia" w:eastAsia="方正仿宋_GBK" w:cs="Times New Roman"/>
          <w:b w:val="0"/>
          <w:bCs/>
          <w:color w:val="000000" w:themeColor="text1"/>
          <w:sz w:val="33"/>
          <w:szCs w:val="33"/>
          <w:lang w:val="en-US" w:eastAsia="zh-CN"/>
          <w14:textFill>
            <w14:solidFill>
              <w14:schemeClr w14:val="tx1"/>
            </w14:solidFill>
          </w14:textFill>
        </w:rPr>
        <w:t>21.08</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13.54</w:t>
      </w:r>
      <w:r>
        <w:rPr>
          <w:rFonts w:hint="default" w:ascii="Times New Roman" w:hAnsi="Times New Roman" w:eastAsia="方正仿宋_GBK" w:cs="Times New Roman"/>
          <w:color w:val="000000" w:themeColor="text1"/>
          <w:sz w:val="33"/>
          <w:szCs w:val="33"/>
          <w14:textFill>
            <w14:solidFill>
              <w14:schemeClr w14:val="tx1"/>
            </w14:solidFill>
          </w14:textFill>
        </w:rPr>
        <w:t>万元，</w:t>
      </w:r>
      <w:r>
        <w:rPr>
          <w:rFonts w:hint="eastAsia" w:eastAsia="方正仿宋_GBK" w:cs="Times New Roman"/>
          <w:color w:val="000000" w:themeColor="text1"/>
          <w:sz w:val="33"/>
          <w:szCs w:val="33"/>
          <w:lang w:val="en-US" w:eastAsia="zh-CN"/>
          <w14:textFill>
            <w14:solidFill>
              <w14:schemeClr w14:val="tx1"/>
            </w14:solidFill>
          </w14:textFill>
        </w:rPr>
        <w:t>1.65</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31.16</w:t>
      </w:r>
      <w:r>
        <w:rPr>
          <w:rFonts w:hint="default" w:ascii="Times New Roman" w:hAnsi="Times New Roman" w:eastAsia="方正仿宋_GBK" w:cs="Times New Roman"/>
          <w:color w:val="000000" w:themeColor="text1"/>
          <w:sz w:val="33"/>
          <w:szCs w:val="33"/>
          <w14:textFill>
            <w14:solidFill>
              <w14:schemeClr w14:val="tx1"/>
            </w14:solidFill>
          </w14:textFill>
        </w:rPr>
        <w:t>万元，占</w:t>
      </w:r>
      <w:r>
        <w:rPr>
          <w:rFonts w:hint="eastAsia" w:eastAsia="方正仿宋_GBK" w:cs="Times New Roman"/>
          <w:color w:val="000000" w:themeColor="text1"/>
          <w:sz w:val="33"/>
          <w:szCs w:val="33"/>
          <w:lang w:val="en-US" w:eastAsia="zh-CN"/>
          <w14:textFill>
            <w14:solidFill>
              <w14:schemeClr w14:val="tx1"/>
            </w14:solidFill>
          </w14:textFill>
        </w:rPr>
        <w:t>3.78</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粮油物资储备支出（类）</w:t>
      </w:r>
      <w:r>
        <w:rPr>
          <w:rFonts w:hint="eastAsia" w:eastAsia="方正仿宋_GBK" w:cs="Times New Roman"/>
          <w:color w:val="000000" w:themeColor="text1"/>
          <w:sz w:val="33"/>
          <w:szCs w:val="33"/>
          <w:lang w:val="en-US" w:eastAsia="zh-CN"/>
          <w14:textFill>
            <w14:solidFill>
              <w14:schemeClr w14:val="tx1"/>
            </w14:solidFill>
          </w14:textFill>
        </w:rPr>
        <w:t>604.83</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3"/>
          <w:szCs w:val="33"/>
          <w14:textFill>
            <w14:solidFill>
              <w14:schemeClr w14:val="tx1"/>
            </w14:solidFill>
          </w14:textFill>
        </w:rPr>
        <w:t>占</w:t>
      </w:r>
      <w:r>
        <w:rPr>
          <w:rFonts w:hint="eastAsia" w:eastAsia="方正仿宋_GBK" w:cs="Times New Roman"/>
          <w:color w:val="000000" w:themeColor="text1"/>
          <w:sz w:val="33"/>
          <w:szCs w:val="33"/>
          <w:lang w:val="en-US" w:eastAsia="zh-CN"/>
          <w14:textFill>
            <w14:solidFill>
              <w14:schemeClr w14:val="tx1"/>
            </w14:solidFill>
          </w14:textFill>
        </w:rPr>
        <w:t>73.49</w:t>
      </w:r>
      <w:r>
        <w:rPr>
          <w:rFonts w:hint="default" w:ascii="Times New Roman" w:hAnsi="Times New Roman" w:eastAsia="方正仿宋_GBK" w:cs="Times New Roman"/>
          <w:color w:val="000000" w:themeColor="text1"/>
          <w:sz w:val="33"/>
          <w:szCs w:val="33"/>
          <w14:textFill>
            <w14:solidFill>
              <w14:schemeClr w14:val="tx1"/>
            </w14:solidFill>
          </w14:textFill>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right="0"/>
        <w:outlineLvl w:val="2"/>
        <w:rPr>
          <w:rFonts w:hint="eastAsia" w:ascii="方正楷体_GBK" w:hAnsi="方正楷体_GBK" w:eastAsia="方正楷体_GBK" w:cs="方正楷体_GBK"/>
          <w:b/>
          <w:color w:val="000000"/>
          <w:sz w:val="33"/>
          <w:szCs w:val="33"/>
        </w:rPr>
      </w:pPr>
      <w:bookmarkStart w:id="36" w:name="_Toc15377212"/>
      <w:r>
        <w:rPr>
          <w:rFonts w:hint="eastAsia" w:eastAsiaTheme="minorEastAsia"/>
          <w:lang w:eastAsia="zh-CN"/>
        </w:rPr>
        <w:drawing>
          <wp:anchor distT="0" distB="0" distL="114300" distR="114300" simplePos="0" relativeHeight="251668480" behindDoc="1" locked="0" layoutInCell="1" allowOverlap="1">
            <wp:simplePos x="0" y="0"/>
            <wp:positionH relativeFrom="column">
              <wp:posOffset>4445</wp:posOffset>
            </wp:positionH>
            <wp:positionV relativeFrom="paragraph">
              <wp:posOffset>-1448435</wp:posOffset>
            </wp:positionV>
            <wp:extent cx="5043170" cy="1738630"/>
            <wp:effectExtent l="4445" t="4445" r="12065" b="952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b/>
          <w:color w:val="000000"/>
          <w:sz w:val="33"/>
          <w:szCs w:val="33"/>
        </w:rPr>
      </w:pPr>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（三）一般公共预算财政拨款支出决算具体情况</w:t>
      </w:r>
      <w:bookmarkEnd w:id="36"/>
    </w:p>
    <w:p>
      <w:pPr>
        <w:pageBreakBefore w:val="0"/>
        <w:kinsoku/>
        <w:wordWrap/>
        <w:overflowPunct/>
        <w:topLinePunct w:val="0"/>
        <w:bidi w:val="0"/>
        <w:spacing w:line="590" w:lineRule="exact"/>
        <w:ind w:left="0" w:right="0" w:firstLine="660" w:firstLineChars="200"/>
        <w:outlineLvl w:val="2"/>
        <w:rPr>
          <w:rStyle w:val="12"/>
          <w:rFonts w:hint="default" w:ascii="Times New Roman" w:hAnsi="Times New Roman" w:eastAsia="方正仿宋_GBK" w:cs="Times New Roman"/>
          <w:bCs/>
          <w:color w:val="000000"/>
          <w:sz w:val="33"/>
          <w:szCs w:val="33"/>
        </w:rPr>
      </w:pPr>
      <w:bookmarkStart w:id="37" w:name="_Toc15377213"/>
      <w:bookmarkStart w:id="38" w:name="_Toc15378460"/>
      <w:bookmarkStart w:id="39" w:name="_Toc15377444"/>
      <w:r>
        <w:rPr>
          <w:rFonts w:hint="default" w:ascii="Times New Roman" w:hAnsi="Times New Roman" w:eastAsia="方正仿宋_GBK" w:cs="Times New Roman"/>
          <w:b/>
          <w:color w:val="000000" w:themeColor="text1"/>
          <w:sz w:val="33"/>
          <w:szCs w:val="33"/>
          <w14:textFill>
            <w14:solidFill>
              <w14:schemeClr w14:val="tx1"/>
            </w14:solidFill>
          </w14:textFill>
        </w:rPr>
        <w:t>202</w:t>
      </w:r>
      <w:r>
        <w:rPr>
          <w:rFonts w:hint="eastAsia" w:eastAsia="方正仿宋_GBK" w:cs="Times New Roman"/>
          <w:b/>
          <w:color w:val="000000" w:themeColor="text1"/>
          <w:sz w:val="33"/>
          <w:szCs w:val="33"/>
          <w:lang w:val="en-US" w:eastAsia="zh-CN"/>
          <w14:textFill>
            <w14:solidFill>
              <w14:schemeClr w14:val="tx1"/>
            </w14:solidFill>
          </w14:textFill>
        </w:rPr>
        <w:t xml:space="preserve">2 </w:t>
      </w:r>
      <w:r>
        <w:rPr>
          <w:rFonts w:hint="default" w:ascii="Times New Roman" w:hAnsi="Times New Roman" w:eastAsia="方正仿宋_GBK" w:cs="Times New Roman"/>
          <w:b/>
          <w:color w:val="000000" w:themeColor="text1"/>
          <w:sz w:val="33"/>
          <w:szCs w:val="33"/>
          <w14:textFill>
            <w14:solidFill>
              <w14:schemeClr w14:val="tx1"/>
            </w14:solidFill>
          </w14:textFill>
        </w:rPr>
        <w:t>年</w:t>
      </w:r>
      <w:r>
        <w:rPr>
          <w:rFonts w:hint="default" w:ascii="Times New Roman" w:hAnsi="Times New Roman" w:eastAsia="方正仿宋_GBK" w:cs="Times New Roman"/>
          <w:b/>
          <w:color w:val="000000" w:themeColor="text1"/>
          <w:sz w:val="33"/>
          <w:szCs w:val="33"/>
          <w:lang w:eastAsia="zh-CN"/>
          <w14:textFill>
            <w14:solidFill>
              <w14:schemeClr w14:val="tx1"/>
            </w14:solidFill>
          </w14:textFill>
        </w:rPr>
        <w:t>一</w:t>
      </w:r>
      <w:r>
        <w:rPr>
          <w:rFonts w:hint="default" w:ascii="Times New Roman" w:hAnsi="Times New Roman" w:eastAsia="方正仿宋_GBK" w:cs="Times New Roman"/>
          <w:b/>
          <w:color w:val="000000" w:themeColor="text1"/>
          <w:sz w:val="33"/>
          <w:szCs w:val="33"/>
          <w14:textFill>
            <w14:solidFill>
              <w14:schemeClr w14:val="tx1"/>
            </w14:solidFill>
          </w14:textFill>
        </w:rPr>
        <w:t>般公共预算支出决算数为</w:t>
      </w:r>
      <w:r>
        <w:rPr>
          <w:rFonts w:hint="eastAsia" w:eastAsia="方正仿宋_GBK" w:cs="Times New Roman"/>
          <w:b w:val="0"/>
          <w:bCs/>
          <w:color w:val="000000" w:themeColor="text1"/>
          <w:sz w:val="33"/>
          <w:szCs w:val="33"/>
          <w:lang w:val="en-US" w:eastAsia="zh-CN"/>
          <w14:textFill>
            <w14:solidFill>
              <w14:schemeClr w14:val="tx1"/>
            </w14:solidFill>
          </w14:textFill>
        </w:rPr>
        <w:t>823.04</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3"/>
          <w:szCs w:val="33"/>
          <w14:textFill>
            <w14:solidFill>
              <w14:schemeClr w14:val="tx1"/>
            </w14:solidFill>
          </w14:textFill>
        </w:rPr>
        <w:t>，</w:t>
      </w:r>
      <w:r>
        <w:rPr>
          <w:rStyle w:val="12"/>
          <w:rFonts w:hint="default" w:ascii="Times New Roman" w:hAnsi="Times New Roman" w:eastAsia="方正仿宋_GBK" w:cs="Times New Roman"/>
          <w:bCs/>
          <w:color w:val="000000" w:themeColor="text1"/>
          <w:sz w:val="33"/>
          <w:szCs w:val="33"/>
          <w14:textFill>
            <w14:solidFill>
              <w14:schemeClr w14:val="tx1"/>
            </w14:solidFill>
          </w14:textFill>
        </w:rPr>
        <w:t>完成</w:t>
      </w:r>
      <w:r>
        <w:rPr>
          <w:rStyle w:val="12"/>
          <w:rFonts w:hint="default" w:ascii="Times New Roman" w:hAnsi="Times New Roman" w:eastAsia="方正仿宋_GBK" w:cs="Times New Roman"/>
          <w:bCs/>
          <w:color w:val="000000"/>
          <w:sz w:val="33"/>
          <w:szCs w:val="33"/>
        </w:rPr>
        <w:t>预算</w:t>
      </w:r>
      <w:r>
        <w:rPr>
          <w:rStyle w:val="12"/>
          <w:rFonts w:hint="default" w:ascii="Times New Roman" w:hAnsi="Times New Roman" w:eastAsia="方正仿宋_GBK" w:cs="Times New Roman"/>
          <w:bCs/>
          <w:color w:val="000000"/>
          <w:sz w:val="33"/>
          <w:szCs w:val="33"/>
          <w:lang w:val="en-US" w:eastAsia="zh-CN"/>
        </w:rPr>
        <w:t>100</w:t>
      </w:r>
      <w:r>
        <w:rPr>
          <w:rStyle w:val="12"/>
          <w:rFonts w:hint="default" w:ascii="Times New Roman" w:hAnsi="Times New Roman" w:eastAsia="方正仿宋_GBK" w:cs="Times New Roman"/>
          <w:bCs/>
          <w:color w:val="000000"/>
          <w:sz w:val="33"/>
          <w:szCs w:val="33"/>
        </w:rPr>
        <w:t>%。其中：</w:t>
      </w:r>
      <w:bookmarkEnd w:id="37"/>
      <w:bookmarkEnd w:id="38"/>
      <w:bookmarkEnd w:id="39"/>
    </w:p>
    <w:p>
      <w:pPr>
        <w:pageBreakBefore w:val="0"/>
        <w:kinsoku/>
        <w:wordWrap/>
        <w:overflowPunct/>
        <w:topLinePunct w:val="0"/>
        <w:bidi w:val="0"/>
        <w:spacing w:line="590" w:lineRule="exact"/>
        <w:ind w:left="0" w:right="0" w:firstLine="660" w:firstLineChars="200"/>
        <w:outlineLvl w:val="2"/>
        <w:rPr>
          <w:rFonts w:hint="eastAsia" w:eastAsia="方正仿宋_GBK" w:cs="Times New Roman"/>
          <w:b w:val="0"/>
          <w:bCs/>
          <w:color w:val="000000" w:themeColor="text1"/>
          <w:sz w:val="33"/>
          <w:szCs w:val="33"/>
          <w:lang w:val="en-US" w:eastAsia="zh-CN"/>
          <w14:textFill>
            <w14:solidFill>
              <w14:schemeClr w14:val="tx1"/>
            </w14:solidFill>
          </w14:textFill>
        </w:rPr>
      </w:pPr>
      <w:r>
        <w:rPr>
          <w:rFonts w:hint="eastAsia" w:eastAsia="方正仿宋_GBK" w:cs="Times New Roman"/>
          <w:b w:val="0"/>
          <w:bCs/>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行政单位离退休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eastAsia" w:eastAsia="方正仿宋_GBK" w:cs="Times New Roman"/>
          <w:b w:val="0"/>
          <w:bCs/>
          <w:color w:val="000000"/>
          <w:sz w:val="33"/>
          <w:szCs w:val="33"/>
          <w:lang w:val="en-US" w:eastAsia="zh-CN"/>
        </w:rPr>
        <w:t>8.94</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eastAsia" w:eastAsia="方正仿宋_GBK" w:cs="Times New Roman"/>
          <w:b w:val="0"/>
          <w:bCs w:val="0"/>
          <w:color w:val="000000"/>
          <w:sz w:val="33"/>
          <w:szCs w:val="33"/>
          <w:lang w:val="en-US" w:eastAsia="zh-CN"/>
        </w:rPr>
        <w:t>事业</w:t>
      </w:r>
      <w:r>
        <w:rPr>
          <w:rStyle w:val="12"/>
          <w:rFonts w:hint="default" w:ascii="Times New Roman" w:hAnsi="Times New Roman" w:eastAsia="方正仿宋_GBK" w:cs="Times New Roman"/>
          <w:b w:val="0"/>
          <w:bCs w:val="0"/>
          <w:color w:val="000000"/>
          <w:sz w:val="33"/>
          <w:szCs w:val="33"/>
          <w:lang w:val="en-US" w:eastAsia="zh-CN"/>
        </w:rPr>
        <w:t>单位离退休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eastAsia" w:eastAsia="方正仿宋_GBK" w:cs="Times New Roman"/>
          <w:b w:val="0"/>
          <w:bCs/>
          <w:color w:val="000000"/>
          <w:sz w:val="33"/>
          <w:szCs w:val="33"/>
          <w:lang w:val="en-US" w:eastAsia="zh-CN"/>
        </w:rPr>
        <w:t>96.92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eastAsia"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机关事业单位基本养老保险缴费支出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25.77</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机关事业单位职业年金缴费支出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5.20</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eastAsia"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其他行政事业单位养老支出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4.32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Fonts w:hint="default" w:ascii="Times New Roman" w:hAnsi="Times New Roman" w:eastAsia="方正仿宋_GBK" w:cs="Times New Roman"/>
          <w:b/>
          <w:color w:val="000000"/>
          <w:sz w:val="33"/>
          <w:szCs w:val="33"/>
          <w:lang w:val="en-US"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死亡</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24.51</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val="en-US" w:eastAsia="zh-CN"/>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eastAsia="方正仿宋_GBK" w:cs="Times New Roman"/>
          <w:b w:val="0"/>
          <w:bCs w:val="0"/>
          <w:color w:val="000000"/>
          <w:sz w:val="33"/>
          <w:szCs w:val="33"/>
          <w:lang w:val="en-US" w:eastAsia="zh-CN"/>
        </w:rPr>
      </w:pPr>
      <w:r>
        <w:rPr>
          <w:rStyle w:val="12"/>
          <w:rFonts w:hint="eastAsia" w:eastAsia="方正仿宋_GBK" w:cs="Times New Roman"/>
          <w:b w:val="0"/>
          <w:bCs w:val="0"/>
          <w:color w:val="000000"/>
          <w:sz w:val="33"/>
          <w:szCs w:val="33"/>
          <w:lang w:val="en-US" w:eastAsia="zh-CN"/>
        </w:rPr>
        <w:t>7.</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（款）</w:t>
      </w:r>
      <w:r>
        <w:rPr>
          <w:rStyle w:val="12"/>
          <w:rFonts w:hint="eastAsia" w:eastAsia="方正仿宋_GBK" w:cs="Times New Roman"/>
          <w:b w:val="0"/>
          <w:bCs w:val="0"/>
          <w:color w:val="000000"/>
          <w:sz w:val="33"/>
          <w:szCs w:val="33"/>
          <w:lang w:val="en-US" w:eastAsia="zh-CN"/>
        </w:rPr>
        <w:t>伤残</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7.01</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val="en-US" w:eastAsia="zh-CN"/>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eastAsia="方正仿宋_GBK" w:cs="Times New Roman"/>
          <w:b w:val="0"/>
          <w:bCs w:val="0"/>
          <w:color w:val="000000"/>
          <w:sz w:val="33"/>
          <w:szCs w:val="33"/>
          <w:lang w:val="en-US" w:eastAsia="zh-CN"/>
        </w:rPr>
      </w:pPr>
      <w:r>
        <w:rPr>
          <w:rStyle w:val="12"/>
          <w:rFonts w:hint="eastAsia" w:eastAsia="方正仿宋_GBK" w:cs="Times New Roman"/>
          <w:b w:val="0"/>
          <w:bCs w:val="0"/>
          <w:color w:val="000000"/>
          <w:sz w:val="33"/>
          <w:szCs w:val="33"/>
          <w:lang w:val="en-US" w:eastAsia="zh-CN"/>
        </w:rPr>
        <w:t>8.</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w:t>
      </w:r>
      <w:r>
        <w:rPr>
          <w:rFonts w:hint="eastAsia" w:eastAsia="方正仿宋_GBK" w:cs="Times New Roman"/>
          <w:b w:val="0"/>
          <w:bCs/>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val="0"/>
          <w:bCs/>
          <w:color w:val="000000" w:themeColor="text1"/>
          <w:sz w:val="33"/>
          <w:szCs w:val="33"/>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其他社会保障和就业支出</w:t>
      </w:r>
      <w:r>
        <w:rPr>
          <w:rStyle w:val="12"/>
          <w:rFonts w:hint="default" w:ascii="Times New Roman" w:hAnsi="Times New Roman" w:eastAsia="方正仿宋_GBK" w:cs="Times New Roman"/>
          <w:b w:val="0"/>
          <w:bCs w:val="0"/>
          <w:color w:val="000000"/>
          <w:sz w:val="33"/>
          <w:szCs w:val="33"/>
        </w:rPr>
        <w:t>（款）</w:t>
      </w:r>
      <w:r>
        <w:rPr>
          <w:rStyle w:val="12"/>
          <w:rFonts w:hint="eastAsia" w:eastAsia="方正仿宋_GBK" w:cs="Times New Roman"/>
          <w:b w:val="0"/>
          <w:bCs w:val="0"/>
          <w:color w:val="000000"/>
          <w:sz w:val="33"/>
          <w:szCs w:val="33"/>
          <w:lang w:val="en-US" w:eastAsia="zh-CN"/>
        </w:rPr>
        <w:t>其他社会保障和就业支出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0.83</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val="en-US" w:eastAsia="zh-CN"/>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Style w:val="12"/>
          <w:rFonts w:hint="eastAsia" w:eastAsia="方正仿宋_GBK" w:cs="Times New Roman"/>
          <w:b w:val="0"/>
          <w:bCs w:val="0"/>
          <w:color w:val="000000"/>
          <w:sz w:val="33"/>
          <w:szCs w:val="33"/>
          <w:lang w:val="en-US" w:eastAsia="zh-CN"/>
        </w:rPr>
        <w:t>9.</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行政事业单位医疗</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行政单位医疗</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eastAsia" w:eastAsia="方正仿宋_GBK" w:cs="Times New Roman"/>
          <w:b w:val="0"/>
          <w:bCs/>
          <w:color w:val="000000"/>
          <w:sz w:val="33"/>
          <w:szCs w:val="33"/>
          <w:lang w:val="en-US" w:eastAsia="zh-CN"/>
        </w:rPr>
        <w:t>10.3</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eastAsia="方正仿宋_GBK" w:cs="Times New Roman"/>
          <w:b w:val="0"/>
          <w:bCs w:val="0"/>
          <w:color w:val="000000"/>
          <w:sz w:val="33"/>
          <w:szCs w:val="33"/>
          <w:lang w:val="en-US" w:eastAsia="zh-CN"/>
        </w:rPr>
      </w:pPr>
      <w:r>
        <w:rPr>
          <w:rStyle w:val="12"/>
          <w:rFonts w:hint="eastAsia" w:eastAsia="方正仿宋_GBK" w:cs="Times New Roman"/>
          <w:b w:val="0"/>
          <w:bCs w:val="0"/>
          <w:color w:val="000000"/>
          <w:sz w:val="33"/>
          <w:szCs w:val="33"/>
          <w:lang w:val="en-US" w:eastAsia="zh-CN"/>
        </w:rPr>
        <w:t>10.</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行政事业单位医疗</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公务员医疗补助</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eastAsia" w:eastAsia="方正仿宋_GBK" w:cs="Times New Roman"/>
          <w:b w:val="0"/>
          <w:bCs/>
          <w:color w:val="000000"/>
          <w:sz w:val="33"/>
          <w:szCs w:val="33"/>
          <w:lang w:val="en-US" w:eastAsia="zh-CN"/>
        </w:rPr>
        <w:t>3.24</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Style w:val="12"/>
          <w:rFonts w:hint="eastAsia" w:eastAsia="方正仿宋_GBK" w:cs="Times New Roman"/>
          <w:b w:val="0"/>
          <w:bCs w:val="0"/>
          <w:color w:val="000000"/>
          <w:sz w:val="33"/>
          <w:szCs w:val="33"/>
          <w:lang w:val="en-US" w:eastAsia="zh-CN"/>
        </w:rPr>
        <w:t>11.</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住房改革支出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住房公积金</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Cs/>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31.16</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color w:val="000000"/>
          <w:sz w:val="33"/>
          <w:szCs w:val="33"/>
          <w:lang w:eastAsia="zh-CN"/>
        </w:rPr>
      </w:pPr>
      <w:r>
        <w:rPr>
          <w:rStyle w:val="12"/>
          <w:rFonts w:hint="eastAsia" w:eastAsia="方正仿宋_GBK" w:cs="Times New Roman"/>
          <w:b w:val="0"/>
          <w:bCs w:val="0"/>
          <w:color w:val="000000"/>
          <w:sz w:val="33"/>
          <w:szCs w:val="33"/>
          <w:lang w:val="en-US" w:eastAsia="zh-CN"/>
        </w:rPr>
        <w:t>12.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行政运行</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color w:val="000000"/>
          <w:sz w:val="33"/>
          <w:szCs w:val="33"/>
        </w:rPr>
        <w:t xml:space="preserve"> 支出决算为</w:t>
      </w:r>
      <w:r>
        <w:rPr>
          <w:rStyle w:val="12"/>
          <w:rFonts w:hint="eastAsia" w:eastAsia="方正仿宋_GBK" w:cs="Times New Roman"/>
          <w:b w:val="0"/>
          <w:bCs/>
          <w:color w:val="000000"/>
          <w:sz w:val="33"/>
          <w:szCs w:val="33"/>
          <w:lang w:val="en-US" w:eastAsia="zh-CN"/>
        </w:rPr>
        <w:t>299.83</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其他粮油物资事务支出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eastAsia" w:eastAsia="方正仿宋_GBK" w:cs="Times New Roman"/>
          <w:b w:val="0"/>
          <w:bCs/>
          <w:color w:val="000000"/>
          <w:sz w:val="33"/>
          <w:szCs w:val="33"/>
          <w:lang w:val="en-US" w:eastAsia="zh-CN"/>
        </w:rPr>
        <w:t>305</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tabs>
          <w:tab w:val="right" w:pos="8306"/>
        </w:tabs>
        <w:kinsoku/>
        <w:wordWrap/>
        <w:overflowPunct/>
        <w:topLinePunct w:val="0"/>
        <w:bidi w:val="0"/>
        <w:spacing w:line="590" w:lineRule="exact"/>
        <w:ind w:left="0" w:right="0" w:firstLine="640"/>
        <w:outlineLvl w:val="1"/>
        <w:rPr>
          <w:rStyle w:val="15"/>
          <w:rFonts w:hint="default" w:ascii="Times New Roman" w:hAnsi="Times New Roman" w:eastAsia="方正仿宋_GBK" w:cs="Times New Roman"/>
          <w:sz w:val="33"/>
          <w:szCs w:val="33"/>
        </w:rPr>
      </w:pPr>
      <w:bookmarkStart w:id="40" w:name="_Toc15396608"/>
      <w:bookmarkStart w:id="41" w:name="_Toc15377214"/>
      <w:r>
        <w:rPr>
          <w:rFonts w:hint="eastAsia" w:ascii="黑体" w:hAnsi="黑体" w:eastAsia="黑体" w:cs="黑体"/>
          <w:color w:val="000000"/>
          <w:sz w:val="33"/>
          <w:szCs w:val="33"/>
        </w:rPr>
        <w:t>六</w:t>
      </w:r>
      <w:r>
        <w:rPr>
          <w:rFonts w:hint="eastAsia" w:ascii="黑体" w:hAnsi="黑体" w:eastAsia="黑体" w:cs="黑体"/>
          <w:b/>
          <w:color w:val="000000"/>
          <w:sz w:val="33"/>
          <w:szCs w:val="33"/>
        </w:rPr>
        <w:t>、一</w:t>
      </w:r>
      <w:r>
        <w:rPr>
          <w:rStyle w:val="15"/>
          <w:rFonts w:hint="eastAsia" w:ascii="黑体" w:hAnsi="黑体" w:eastAsia="黑体" w:cs="黑体"/>
          <w:b w:val="0"/>
          <w:sz w:val="33"/>
          <w:szCs w:val="33"/>
        </w:rPr>
        <w:t>般公共预算财政拨款基本支出决算情况说明</w:t>
      </w:r>
      <w:bookmarkEnd w:id="40"/>
      <w:bookmarkEnd w:id="41"/>
      <w:r>
        <w:rPr>
          <w:rStyle w:val="15"/>
          <w:rFonts w:hint="default" w:ascii="Times New Roman" w:hAnsi="Times New Roman" w:eastAsia="方正仿宋_GBK" w:cs="Times New Roman"/>
          <w:b w:val="0"/>
          <w:sz w:val="33"/>
          <w:szCs w:val="33"/>
        </w:rPr>
        <w:tab/>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年一般公共预算财政拨款基本支出</w:t>
      </w:r>
      <w:r>
        <w:rPr>
          <w:rFonts w:hint="eastAsia" w:eastAsia="方正仿宋_GBK" w:cs="Times New Roman"/>
          <w:color w:val="000000"/>
          <w:sz w:val="33"/>
          <w:szCs w:val="33"/>
          <w:lang w:val="en-US" w:eastAsia="zh-CN"/>
        </w:rPr>
        <w:t>518.04</w:t>
      </w:r>
      <w:r>
        <w:rPr>
          <w:rFonts w:hint="default" w:ascii="Times New Roman" w:hAnsi="Times New Roman" w:eastAsia="方正仿宋_GBK" w:cs="Times New Roman"/>
          <w:color w:val="000000"/>
          <w:sz w:val="33"/>
          <w:szCs w:val="33"/>
        </w:rPr>
        <w:t>万元，其中：</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rPr>
        <w:t>人员经费</w:t>
      </w:r>
      <w:r>
        <w:rPr>
          <w:rFonts w:hint="eastAsia" w:eastAsia="方正仿宋_GBK" w:cs="Times New Roman"/>
          <w:color w:val="000000"/>
          <w:sz w:val="33"/>
          <w:szCs w:val="33"/>
          <w:lang w:val="en-US" w:eastAsia="zh-CN"/>
        </w:rPr>
        <w:t>483.98</w:t>
      </w:r>
      <w:r>
        <w:rPr>
          <w:rFonts w:hint="default" w:ascii="Times New Roman" w:hAnsi="Times New Roman" w:eastAsia="方正仿宋_GBK" w:cs="Times New Roman"/>
          <w:color w:val="000000"/>
          <w:sz w:val="33"/>
          <w:szCs w:val="33"/>
        </w:rPr>
        <w:t>万元，主要包括：基本工资、津贴补贴、奖金、机关事业单位基本养老保险缴费、职业年金缴费、</w:t>
      </w:r>
      <w:r>
        <w:rPr>
          <w:rFonts w:hint="default" w:ascii="Times New Roman" w:hAnsi="Times New Roman" w:eastAsia="方正仿宋_GBK" w:cs="Times New Roman"/>
          <w:color w:val="000000"/>
          <w:sz w:val="33"/>
          <w:szCs w:val="33"/>
          <w:lang w:val="en-US" w:eastAsia="zh-CN"/>
        </w:rPr>
        <w:t>职工基本医疗保险缴费、公务员医疗补助缴费</w:t>
      </w:r>
      <w:r>
        <w:rPr>
          <w:rFonts w:hint="eastAsia" w:eastAsia="方正仿宋_GBK" w:cs="Times New Roman"/>
          <w:color w:val="000000"/>
          <w:sz w:val="33"/>
          <w:szCs w:val="33"/>
          <w:lang w:val="en-US" w:eastAsia="zh-CN"/>
        </w:rPr>
        <w:t>、</w:t>
      </w:r>
      <w:r>
        <w:rPr>
          <w:rFonts w:hint="default" w:ascii="Times New Roman" w:hAnsi="Times New Roman" w:eastAsia="方正仿宋_GBK" w:cs="Times New Roman"/>
          <w:color w:val="000000"/>
          <w:sz w:val="33"/>
          <w:szCs w:val="33"/>
        </w:rPr>
        <w:t>住房公积金</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离休费、抚恤金、生活补助、其他对个人和家庭的补助支出等。</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b/>
          <w:color w:val="FF0000"/>
          <w:sz w:val="33"/>
          <w:szCs w:val="33"/>
          <w:lang w:val="en-US" w:eastAsia="zh-CN"/>
        </w:rPr>
      </w:pPr>
      <w:r>
        <w:rPr>
          <w:rFonts w:hint="default" w:ascii="Times New Roman" w:hAnsi="Times New Roman" w:eastAsia="方正仿宋_GBK" w:cs="Times New Roman"/>
          <w:color w:val="000000"/>
          <w:sz w:val="33"/>
          <w:szCs w:val="33"/>
        </w:rPr>
        <w:t>日常公用经费</w:t>
      </w:r>
      <w:r>
        <w:rPr>
          <w:rFonts w:hint="eastAsia" w:eastAsia="方正仿宋_GBK" w:cs="Times New Roman"/>
          <w:color w:val="000000"/>
          <w:sz w:val="33"/>
          <w:szCs w:val="33"/>
          <w:lang w:val="en-US" w:eastAsia="zh-CN"/>
        </w:rPr>
        <w:t>34.05</w:t>
      </w:r>
      <w:r>
        <w:rPr>
          <w:rFonts w:hint="default" w:ascii="Times New Roman" w:hAnsi="Times New Roman" w:eastAsia="方正仿宋_GBK" w:cs="Times New Roman"/>
          <w:color w:val="000000"/>
          <w:sz w:val="33"/>
          <w:szCs w:val="33"/>
        </w:rPr>
        <w:t>万元，主要包括：办公费、水费、电费、邮电费、差旅费、租赁费、公务接待费、</w:t>
      </w:r>
      <w:r>
        <w:rPr>
          <w:rFonts w:hint="eastAsia" w:eastAsia="方正仿宋_GBK" w:cs="Times New Roman"/>
          <w:color w:val="000000"/>
          <w:sz w:val="33"/>
          <w:szCs w:val="33"/>
          <w:lang w:val="en-US" w:eastAsia="zh-CN"/>
        </w:rPr>
        <w:t>工会经费、</w:t>
      </w:r>
      <w:r>
        <w:rPr>
          <w:rFonts w:hint="default" w:ascii="Times New Roman" w:hAnsi="Times New Roman" w:eastAsia="方正仿宋_GBK" w:cs="Times New Roman"/>
          <w:color w:val="000000"/>
          <w:sz w:val="33"/>
          <w:szCs w:val="33"/>
        </w:rPr>
        <w:t>公务用车运行维护费、其他交通费、其他商品和服务支出等。</w:t>
      </w:r>
    </w:p>
    <w:p>
      <w:pPr>
        <w:pageBreakBefore w:val="0"/>
        <w:numPr>
          <w:ilvl w:val="0"/>
          <w:numId w:val="0"/>
        </w:numPr>
        <w:kinsoku/>
        <w:wordWrap/>
        <w:overflowPunct/>
        <w:topLinePunct w:val="0"/>
        <w:bidi w:val="0"/>
        <w:spacing w:line="590" w:lineRule="exact"/>
        <w:ind w:left="640" w:leftChars="0" w:right="0" w:rightChars="0"/>
        <w:rPr>
          <w:rStyle w:val="15"/>
          <w:rFonts w:hint="eastAsia" w:ascii="黑体" w:hAnsi="黑体" w:eastAsia="黑体" w:cs="黑体"/>
          <w:b w:val="0"/>
          <w:bCs/>
          <w:sz w:val="33"/>
          <w:szCs w:val="33"/>
        </w:rPr>
      </w:pPr>
      <w:r>
        <w:rPr>
          <w:rFonts w:hint="eastAsia" w:ascii="黑体" w:hAnsi="黑体" w:eastAsia="黑体" w:cs="黑体"/>
          <w:b w:val="0"/>
          <w:bCs/>
          <w:color w:val="000000"/>
          <w:sz w:val="33"/>
          <w:szCs w:val="33"/>
          <w:lang w:eastAsia="zh-CN"/>
        </w:rPr>
        <w:t>七、</w:t>
      </w:r>
      <w:r>
        <w:rPr>
          <w:rFonts w:hint="eastAsia" w:ascii="黑体" w:hAnsi="黑体" w:eastAsia="黑体" w:cs="黑体"/>
          <w:b w:val="0"/>
          <w:bCs/>
          <w:color w:val="000000"/>
          <w:sz w:val="33"/>
          <w:szCs w:val="33"/>
        </w:rPr>
        <w:t>一</w:t>
      </w:r>
      <w:r>
        <w:rPr>
          <w:rStyle w:val="15"/>
          <w:rFonts w:hint="eastAsia" w:ascii="黑体" w:hAnsi="黑体" w:eastAsia="黑体" w:cs="黑体"/>
          <w:b w:val="0"/>
          <w:bCs/>
          <w:sz w:val="33"/>
          <w:szCs w:val="33"/>
        </w:rPr>
        <w:t>般公共预算财政拨款</w:t>
      </w:r>
      <w:r>
        <w:rPr>
          <w:rStyle w:val="15"/>
          <w:rFonts w:hint="eastAsia" w:ascii="黑体" w:hAnsi="黑体" w:eastAsia="黑体" w:cs="黑体"/>
          <w:b w:val="0"/>
          <w:bCs/>
          <w:sz w:val="33"/>
          <w:szCs w:val="33"/>
          <w:lang w:eastAsia="zh-CN"/>
        </w:rPr>
        <w:t>项目</w:t>
      </w:r>
      <w:r>
        <w:rPr>
          <w:rStyle w:val="15"/>
          <w:rFonts w:hint="eastAsia" w:ascii="黑体" w:hAnsi="黑体" w:eastAsia="黑体" w:cs="黑体"/>
          <w:b w:val="0"/>
          <w:bCs/>
          <w:sz w:val="33"/>
          <w:szCs w:val="33"/>
        </w:rPr>
        <w:t>支出决算情况说明</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年一般公共预算财政拨款</w:t>
      </w:r>
      <w:r>
        <w:rPr>
          <w:rFonts w:hint="default" w:ascii="Times New Roman" w:hAnsi="Times New Roman" w:eastAsia="方正仿宋_GBK" w:cs="Times New Roman"/>
          <w:color w:val="000000"/>
          <w:sz w:val="33"/>
          <w:szCs w:val="33"/>
          <w:lang w:eastAsia="zh-CN"/>
        </w:rPr>
        <w:t>项目</w:t>
      </w:r>
      <w:r>
        <w:rPr>
          <w:rFonts w:hint="default" w:ascii="Times New Roman" w:hAnsi="Times New Roman" w:eastAsia="方正仿宋_GBK" w:cs="Times New Roman"/>
          <w:color w:val="000000"/>
          <w:sz w:val="33"/>
          <w:szCs w:val="33"/>
        </w:rPr>
        <w:t>支出</w:t>
      </w:r>
      <w:r>
        <w:rPr>
          <w:rFonts w:hint="eastAsia" w:eastAsia="方正仿宋_GBK" w:cs="Times New Roman"/>
          <w:color w:val="000000"/>
          <w:sz w:val="33"/>
          <w:szCs w:val="33"/>
          <w:lang w:val="en-US" w:eastAsia="zh-CN"/>
        </w:rPr>
        <w:t>305</w:t>
      </w:r>
      <w:r>
        <w:rPr>
          <w:rFonts w:hint="default" w:ascii="Times New Roman" w:hAnsi="Times New Roman" w:eastAsia="方正仿宋_GBK" w:cs="Times New Roman"/>
          <w:color w:val="000000"/>
          <w:sz w:val="33"/>
          <w:szCs w:val="33"/>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0" w:firstLineChars="0"/>
        <w:textAlignment w:val="auto"/>
        <w:outlineLvl w:val="9"/>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eastAsia="zh-CN"/>
        </w:rPr>
        <w:t>其他粮油物资事务</w:t>
      </w:r>
      <w:r>
        <w:rPr>
          <w:rFonts w:hint="default" w:ascii="Times New Roman" w:hAnsi="Times New Roman" w:eastAsia="方正仿宋_GBK" w:cs="Times New Roman"/>
          <w:color w:val="000000"/>
          <w:sz w:val="33"/>
          <w:szCs w:val="33"/>
          <w:lang w:eastAsia="zh-CN"/>
        </w:rPr>
        <w:t>支出</w:t>
      </w:r>
      <w:r>
        <w:rPr>
          <w:rFonts w:hint="eastAsia" w:eastAsia="方正仿宋_GBK" w:cs="Times New Roman"/>
          <w:color w:val="000000"/>
          <w:sz w:val="33"/>
          <w:szCs w:val="33"/>
          <w:lang w:val="en-US" w:eastAsia="zh-CN"/>
        </w:rPr>
        <w:t>305</w:t>
      </w:r>
      <w:r>
        <w:rPr>
          <w:rFonts w:hint="default" w:ascii="Times New Roman" w:hAnsi="Times New Roman" w:eastAsia="方正仿宋_GBK" w:cs="Times New Roman"/>
          <w:color w:val="000000"/>
          <w:sz w:val="33"/>
          <w:szCs w:val="33"/>
        </w:rPr>
        <w:t>万元</w:t>
      </w:r>
      <w:r>
        <w:rPr>
          <w:rFonts w:hint="default" w:ascii="Times New Roman" w:hAnsi="Times New Roman" w:eastAsia="方正仿宋_GBK" w:cs="Times New Roman"/>
          <w:color w:val="000000"/>
          <w:sz w:val="33"/>
          <w:szCs w:val="33"/>
          <w:lang w:eastAsia="zh-CN"/>
        </w:rPr>
        <w:t>，</w:t>
      </w:r>
      <w:r>
        <w:rPr>
          <w:rFonts w:hint="eastAsia" w:eastAsia="方正仿宋_GBK" w:cs="Times New Roman"/>
          <w:color w:val="000000"/>
          <w:sz w:val="33"/>
          <w:szCs w:val="33"/>
          <w:lang w:val="en-US" w:eastAsia="zh-CN"/>
        </w:rPr>
        <w:t>包括资本性支出物资储备、对企业补助支费用补贴等</w:t>
      </w:r>
      <w:r>
        <w:rPr>
          <w:rFonts w:hint="eastAsia" w:eastAsia="方正仿宋_GBK" w:cs="Times New Roman"/>
          <w:color w:val="000000"/>
          <w:sz w:val="33"/>
          <w:szCs w:val="33"/>
          <w:lang w:eastAsia="zh-CN"/>
        </w:rPr>
        <w:t>。</w:t>
      </w:r>
    </w:p>
    <w:p>
      <w:pPr>
        <w:pageBreakBefore w:val="0"/>
        <w:kinsoku/>
        <w:wordWrap/>
        <w:overflowPunct/>
        <w:topLinePunct w:val="0"/>
        <w:bidi w:val="0"/>
        <w:spacing w:line="590" w:lineRule="exact"/>
        <w:ind w:left="0" w:right="0" w:firstLine="640"/>
        <w:outlineLvl w:val="1"/>
        <w:rPr>
          <w:rStyle w:val="15"/>
          <w:rFonts w:hint="default" w:ascii="Times New Roman" w:hAnsi="Times New Roman" w:eastAsia="方正仿宋_GBK" w:cs="Times New Roman"/>
          <w:b w:val="0"/>
          <w:sz w:val="33"/>
          <w:szCs w:val="33"/>
        </w:rPr>
      </w:pPr>
      <w:bookmarkStart w:id="42" w:name="_Toc15396609"/>
      <w:bookmarkStart w:id="43" w:name="_Toc15377215"/>
      <w:r>
        <w:rPr>
          <w:rFonts w:hint="eastAsia" w:ascii="黑体" w:hAnsi="黑体" w:eastAsia="黑体" w:cs="黑体"/>
          <w:color w:val="000000"/>
          <w:sz w:val="33"/>
          <w:szCs w:val="33"/>
          <w:lang w:eastAsia="zh-CN"/>
        </w:rPr>
        <w:t>八</w:t>
      </w:r>
      <w:r>
        <w:rPr>
          <w:rFonts w:hint="eastAsia" w:ascii="黑体" w:hAnsi="黑体" w:eastAsia="黑体" w:cs="黑体"/>
          <w:color w:val="000000"/>
          <w:sz w:val="33"/>
          <w:szCs w:val="33"/>
        </w:rPr>
        <w:t>、</w:t>
      </w:r>
      <w:r>
        <w:rPr>
          <w:rStyle w:val="15"/>
          <w:rFonts w:hint="eastAsia" w:ascii="黑体" w:hAnsi="黑体" w:eastAsia="黑体" w:cs="黑体"/>
          <w:b w:val="0"/>
          <w:sz w:val="33"/>
          <w:szCs w:val="33"/>
        </w:rPr>
        <w:t>财政拨款</w:t>
      </w:r>
      <w:r>
        <w:rPr>
          <w:rStyle w:val="15"/>
          <w:rFonts w:hint="eastAsia" w:ascii="黑体" w:hAnsi="黑体" w:eastAsia="黑体" w:cs="黑体"/>
          <w:sz w:val="33"/>
          <w:szCs w:val="33"/>
          <w:lang w:eastAsia="zh-CN"/>
        </w:rPr>
        <w:t>“</w:t>
      </w:r>
      <w:r>
        <w:rPr>
          <w:rStyle w:val="15"/>
          <w:rFonts w:hint="eastAsia" w:ascii="黑体" w:hAnsi="黑体" w:eastAsia="黑体" w:cs="黑体"/>
          <w:b w:val="0"/>
          <w:sz w:val="33"/>
          <w:szCs w:val="33"/>
        </w:rPr>
        <w:t>三公</w:t>
      </w:r>
      <w:r>
        <w:rPr>
          <w:rStyle w:val="15"/>
          <w:rFonts w:hint="eastAsia" w:ascii="黑体" w:hAnsi="黑体" w:eastAsia="黑体" w:cs="黑体"/>
          <w:sz w:val="33"/>
          <w:szCs w:val="33"/>
          <w:lang w:eastAsia="zh-CN"/>
        </w:rPr>
        <w:t>”</w:t>
      </w:r>
      <w:r>
        <w:rPr>
          <w:rStyle w:val="15"/>
          <w:rFonts w:hint="eastAsia" w:ascii="黑体" w:hAnsi="黑体" w:eastAsia="黑体" w:cs="黑体"/>
          <w:b w:val="0"/>
          <w:sz w:val="33"/>
          <w:szCs w:val="33"/>
        </w:rPr>
        <w:t>经费支出决算情况说明</w:t>
      </w:r>
      <w:bookmarkEnd w:id="42"/>
      <w:bookmarkEnd w:id="43"/>
    </w:p>
    <w:p>
      <w:pPr>
        <w:pageBreakBefore w:val="0"/>
        <w:kinsoku/>
        <w:wordWrap/>
        <w:overflowPunct/>
        <w:topLinePunct w:val="0"/>
        <w:bidi w:val="0"/>
        <w:spacing w:line="590" w:lineRule="exact"/>
        <w:ind w:left="0" w:right="0" w:firstLine="640"/>
        <w:outlineLvl w:val="2"/>
        <w:rPr>
          <w:rFonts w:hint="eastAsia" w:ascii="方正楷体_GBK" w:hAnsi="方正楷体_GBK" w:eastAsia="方正楷体_GBK" w:cs="方正楷体_GBK"/>
          <w:b/>
          <w:color w:val="000000"/>
          <w:sz w:val="33"/>
          <w:szCs w:val="33"/>
        </w:rPr>
      </w:pPr>
      <w:bookmarkStart w:id="44" w:name="_Toc15377216"/>
      <w:r>
        <w:rPr>
          <w:rFonts w:hint="eastAsia" w:ascii="方正楷体_GBK" w:hAnsi="方正楷体_GBK" w:eastAsia="方正楷体_GBK" w:cs="方正楷体_GBK"/>
          <w:b/>
          <w:color w:val="000000"/>
          <w:sz w:val="33"/>
          <w:szCs w:val="33"/>
        </w:rPr>
        <w:t>（一）“三公”经费财政拨款支出决算总体情况说明</w:t>
      </w:r>
      <w:bookmarkEnd w:id="44"/>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b/>
          <w:color w:val="FF0000"/>
          <w:sz w:val="33"/>
          <w:szCs w:val="33"/>
          <w:lang w:val="en-US" w:eastAsia="zh-CN"/>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年“三公”经费财政拨款支出决算为</w:t>
      </w:r>
      <w:r>
        <w:rPr>
          <w:rFonts w:hint="eastAsia" w:eastAsia="方正仿宋_GBK" w:cs="Times New Roman"/>
          <w:color w:val="000000"/>
          <w:sz w:val="33"/>
          <w:szCs w:val="33"/>
          <w:lang w:val="en-US" w:eastAsia="zh-CN"/>
        </w:rPr>
        <w:t>2.8</w:t>
      </w:r>
      <w:r>
        <w:rPr>
          <w:rFonts w:hint="default" w:ascii="Times New Roman" w:hAnsi="Times New Roman" w:eastAsia="方正仿宋_GBK" w:cs="Times New Roman"/>
          <w:color w:val="000000"/>
          <w:sz w:val="33"/>
          <w:szCs w:val="33"/>
        </w:rPr>
        <w:t>万元，</w:t>
      </w:r>
      <w:r>
        <w:rPr>
          <w:rFonts w:hint="eastAsia" w:eastAsia="方正仿宋_GBK" w:cs="Times New Roman"/>
          <w:color w:val="000000"/>
          <w:sz w:val="33"/>
          <w:szCs w:val="33"/>
          <w:lang w:val="en-US" w:eastAsia="zh-CN"/>
        </w:rPr>
        <w:t>比2021年减少3.03万元，下降51.97%，主要是公务接待减少。决算数与预算数持平。</w:t>
      </w:r>
    </w:p>
    <w:p>
      <w:pPr>
        <w:pageBreakBefore w:val="0"/>
        <w:kinsoku/>
        <w:wordWrap/>
        <w:overflowPunct/>
        <w:topLinePunct w:val="0"/>
        <w:bidi w:val="0"/>
        <w:spacing w:line="590" w:lineRule="exact"/>
        <w:ind w:left="0" w:right="0" w:firstLine="640"/>
        <w:outlineLvl w:val="2"/>
        <w:rPr>
          <w:rFonts w:hint="eastAsia" w:ascii="方正楷体_GBK" w:hAnsi="方正楷体_GBK" w:eastAsia="方正楷体_GBK" w:cs="方正楷体_GBK"/>
          <w:b/>
          <w:color w:val="000000"/>
          <w:sz w:val="33"/>
          <w:szCs w:val="33"/>
        </w:rPr>
      </w:pPr>
      <w:bookmarkStart w:id="45" w:name="_Toc15377217"/>
      <w:r>
        <w:rPr>
          <w:rFonts w:hint="eastAsia" w:ascii="方正楷体_GBK" w:hAnsi="方正楷体_GBK" w:eastAsia="方正楷体_GBK" w:cs="方正楷体_GBK"/>
          <w:b/>
          <w:color w:val="000000"/>
          <w:sz w:val="33"/>
          <w:szCs w:val="33"/>
        </w:rPr>
        <w:t>（二）“三公”经费财政拨款支出决算具体情况说明</w:t>
      </w:r>
      <w:bookmarkEnd w:id="45"/>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r>
        <w:rPr>
          <w:rFonts w:hint="eastAsia" w:eastAsia="方正仿宋_GBK"/>
          <w:color w:val="000000"/>
          <w:sz w:val="33"/>
          <w:szCs w:val="33"/>
        </w:rPr>
        <w:t>2022年“三公”经费财政拨款支出</w:t>
      </w:r>
      <w:r>
        <w:rPr>
          <w:rFonts w:hint="eastAsia" w:eastAsia="方正仿宋_GBK"/>
          <w:color w:val="000000"/>
          <w:sz w:val="33"/>
          <w:szCs w:val="33"/>
          <w:lang w:eastAsia="zh-CN"/>
        </w:rPr>
        <w:t>2</w:t>
      </w:r>
      <w:r>
        <w:rPr>
          <w:rFonts w:hint="eastAsia" w:eastAsia="方正仿宋_GBK"/>
          <w:color w:val="000000"/>
          <w:sz w:val="33"/>
          <w:szCs w:val="33"/>
          <w:lang w:val="en-US" w:eastAsia="zh-CN"/>
        </w:rPr>
        <w:t>.8</w:t>
      </w:r>
      <w:r>
        <w:rPr>
          <w:rFonts w:hint="eastAsia" w:eastAsia="方正仿宋_GBK"/>
          <w:color w:val="000000"/>
          <w:sz w:val="33"/>
          <w:szCs w:val="33"/>
        </w:rPr>
        <w:t>万元，比2021年减少</w:t>
      </w:r>
      <w:r>
        <w:rPr>
          <w:rFonts w:hint="eastAsia" w:eastAsia="方正仿宋_GBK"/>
          <w:color w:val="000000"/>
          <w:sz w:val="33"/>
          <w:szCs w:val="33"/>
          <w:lang w:eastAsia="zh-CN"/>
        </w:rPr>
        <w:t>2</w:t>
      </w:r>
      <w:r>
        <w:rPr>
          <w:rFonts w:hint="eastAsia" w:eastAsia="方正仿宋_GBK"/>
          <w:color w:val="000000"/>
          <w:sz w:val="33"/>
          <w:szCs w:val="33"/>
          <w:lang w:val="en-US" w:eastAsia="zh-CN"/>
        </w:rPr>
        <w:t>.8</w:t>
      </w:r>
      <w:r>
        <w:rPr>
          <w:rFonts w:hint="eastAsia" w:eastAsia="方正仿宋_GBK"/>
          <w:color w:val="000000"/>
          <w:sz w:val="33"/>
          <w:szCs w:val="33"/>
        </w:rPr>
        <w:t>万元，</w:t>
      </w:r>
      <w:r>
        <w:rPr>
          <w:rFonts w:hint="eastAsia" w:eastAsia="方正仿宋_GBK" w:cs="Times New Roman"/>
          <w:color w:val="000000"/>
          <w:sz w:val="33"/>
          <w:szCs w:val="33"/>
          <w:lang w:val="en-US" w:eastAsia="zh-CN"/>
        </w:rPr>
        <w:t>下降51.97%，主要是公务接待减少</w:t>
      </w:r>
      <w:r>
        <w:rPr>
          <w:rFonts w:hint="eastAsia" w:eastAsia="方正仿宋_GBK"/>
          <w:color w:val="000000"/>
          <w:sz w:val="33"/>
          <w:szCs w:val="33"/>
        </w:rPr>
        <w:t>。其中：因公出国（境）费支出决算</w:t>
      </w:r>
      <w:r>
        <w:rPr>
          <w:rFonts w:hint="eastAsia" w:eastAsia="方正仿宋_GBK"/>
          <w:color w:val="000000"/>
          <w:sz w:val="33"/>
          <w:szCs w:val="33"/>
          <w:lang w:eastAsia="zh-CN"/>
        </w:rPr>
        <w:t>0</w:t>
      </w:r>
      <w:r>
        <w:rPr>
          <w:rFonts w:hint="eastAsia" w:eastAsia="方正仿宋_GBK"/>
          <w:color w:val="000000"/>
          <w:sz w:val="33"/>
          <w:szCs w:val="33"/>
        </w:rPr>
        <w:t>万元，占</w:t>
      </w:r>
      <w:r>
        <w:rPr>
          <w:rFonts w:hint="eastAsia" w:eastAsia="方正仿宋_GBK"/>
          <w:color w:val="000000"/>
          <w:sz w:val="33"/>
          <w:szCs w:val="33"/>
          <w:lang w:eastAsia="zh-CN"/>
        </w:rPr>
        <w:t>0</w:t>
      </w:r>
      <w:r>
        <w:rPr>
          <w:rFonts w:hint="eastAsia" w:eastAsia="方正仿宋_GBK"/>
          <w:color w:val="000000"/>
          <w:sz w:val="33"/>
          <w:szCs w:val="33"/>
        </w:rPr>
        <w:t>%；公务用车购置及运行维护费支出决算</w:t>
      </w:r>
      <w:r>
        <w:rPr>
          <w:rFonts w:hint="eastAsia" w:eastAsia="方正仿宋_GBK"/>
          <w:color w:val="000000"/>
          <w:sz w:val="33"/>
          <w:szCs w:val="33"/>
          <w:lang w:eastAsia="zh-CN"/>
        </w:rPr>
        <w:t>1</w:t>
      </w:r>
      <w:r>
        <w:rPr>
          <w:rFonts w:hint="eastAsia" w:eastAsia="方正仿宋_GBK"/>
          <w:color w:val="000000"/>
          <w:sz w:val="33"/>
          <w:szCs w:val="33"/>
          <w:lang w:val="en-US" w:eastAsia="zh-CN"/>
        </w:rPr>
        <w:t>.2</w:t>
      </w:r>
      <w:r>
        <w:rPr>
          <w:rFonts w:hint="eastAsia" w:eastAsia="方正仿宋_GBK"/>
          <w:color w:val="000000"/>
          <w:sz w:val="33"/>
          <w:szCs w:val="33"/>
        </w:rPr>
        <w:t>万元，占</w:t>
      </w:r>
      <w:r>
        <w:rPr>
          <w:rFonts w:hint="eastAsia" w:eastAsia="方正仿宋_GBK"/>
          <w:color w:val="000000"/>
          <w:sz w:val="33"/>
          <w:szCs w:val="33"/>
          <w:lang w:eastAsia="zh-CN"/>
        </w:rPr>
        <w:t>4</w:t>
      </w:r>
      <w:r>
        <w:rPr>
          <w:rFonts w:hint="eastAsia" w:eastAsia="方正仿宋_GBK"/>
          <w:color w:val="000000"/>
          <w:sz w:val="33"/>
          <w:szCs w:val="33"/>
          <w:lang w:val="en-US" w:eastAsia="zh-CN"/>
        </w:rPr>
        <w:t>2.86</w:t>
      </w:r>
      <w:r>
        <w:rPr>
          <w:rFonts w:hint="eastAsia" w:eastAsia="方正仿宋_GBK"/>
          <w:color w:val="000000"/>
          <w:sz w:val="33"/>
          <w:szCs w:val="33"/>
        </w:rPr>
        <w:t>%；公务接待费支出决算</w:t>
      </w:r>
      <w:r>
        <w:rPr>
          <w:rFonts w:hint="eastAsia" w:eastAsia="方正仿宋_GBK"/>
          <w:color w:val="000000"/>
          <w:sz w:val="33"/>
          <w:szCs w:val="33"/>
          <w:lang w:eastAsia="zh-CN"/>
        </w:rPr>
        <w:t>1</w:t>
      </w:r>
      <w:r>
        <w:rPr>
          <w:rFonts w:hint="eastAsia" w:eastAsia="方正仿宋_GBK"/>
          <w:color w:val="000000"/>
          <w:sz w:val="33"/>
          <w:szCs w:val="33"/>
          <w:lang w:val="en-US" w:eastAsia="zh-CN"/>
        </w:rPr>
        <w:t>.6</w:t>
      </w:r>
      <w:r>
        <w:rPr>
          <w:rFonts w:hint="eastAsia" w:eastAsia="方正仿宋_GBK"/>
          <w:color w:val="000000"/>
          <w:sz w:val="33"/>
          <w:szCs w:val="33"/>
        </w:rPr>
        <w:t>万元，占</w:t>
      </w:r>
      <w:r>
        <w:rPr>
          <w:rFonts w:hint="eastAsia" w:eastAsia="方正仿宋_GBK"/>
          <w:color w:val="000000"/>
          <w:sz w:val="33"/>
          <w:szCs w:val="33"/>
          <w:lang w:eastAsia="zh-CN"/>
        </w:rPr>
        <w:t>5</w:t>
      </w:r>
      <w:r>
        <w:rPr>
          <w:rFonts w:hint="eastAsia" w:eastAsia="方正仿宋_GBK"/>
          <w:color w:val="000000"/>
          <w:sz w:val="33"/>
          <w:szCs w:val="33"/>
          <w:lang w:val="en-US" w:eastAsia="zh-CN"/>
        </w:rPr>
        <w:t>7.14</w:t>
      </w:r>
      <w:r>
        <w:rPr>
          <w:rFonts w:hint="eastAsia" w:eastAsia="方正仿宋_GBK"/>
          <w:color w:val="000000"/>
          <w:sz w:val="33"/>
          <w:szCs w:val="33"/>
        </w:rPr>
        <w:t>%。具体情况如下：</w:t>
      </w:r>
    </w:p>
    <w:p>
      <w:pPr>
        <w:pStyle w:val="5"/>
        <w:jc w:val="center"/>
        <w:rPr>
          <w:rFonts w:hint="default"/>
        </w:rPr>
      </w:pPr>
      <w:r>
        <w:rPr>
          <w:rFonts w:hint="eastAsia" w:eastAsiaTheme="minorEastAsia"/>
          <w:lang w:eastAsia="zh-CN"/>
        </w:rPr>
        <w:drawing>
          <wp:inline distT="0" distB="0" distL="114300" distR="114300">
            <wp:extent cx="4753610" cy="1746885"/>
            <wp:effectExtent l="4445" t="5080" r="12065"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b/>
          <w:color w:val="000000"/>
          <w:sz w:val="33"/>
          <w:szCs w:val="33"/>
        </w:rPr>
      </w:pPr>
      <w:r>
        <w:rPr>
          <w:rFonts w:hint="default" w:ascii="Times New Roman" w:hAnsi="Times New Roman" w:eastAsia="方正仿宋_GBK" w:cs="Times New Roman"/>
          <w:b w:val="0"/>
          <w:bCs/>
          <w:color w:val="000000"/>
          <w:sz w:val="33"/>
          <w:szCs w:val="33"/>
          <w:lang w:val="en-US" w:eastAsia="zh-CN"/>
        </w:rPr>
        <w:t>1</w:t>
      </w:r>
      <w:r>
        <w:rPr>
          <w:rFonts w:hint="default" w:ascii="Times New Roman" w:hAnsi="Times New Roman" w:eastAsia="方正仿宋_GBK" w:cs="Times New Roman"/>
          <w:b w:val="0"/>
          <w:bCs/>
          <w:color w:val="000000"/>
          <w:sz w:val="33"/>
          <w:szCs w:val="33"/>
        </w:rPr>
        <w:t>.公务用车</w:t>
      </w:r>
      <w:r>
        <w:rPr>
          <w:rFonts w:hint="eastAsia" w:eastAsia="方正仿宋_GBK" w:cs="Times New Roman"/>
          <w:b w:val="0"/>
          <w:bCs/>
          <w:color w:val="000000"/>
          <w:sz w:val="33"/>
          <w:szCs w:val="33"/>
          <w:lang w:val="en-US" w:eastAsia="zh-CN"/>
        </w:rPr>
        <w:t>购置及</w:t>
      </w:r>
      <w:r>
        <w:rPr>
          <w:rFonts w:hint="default" w:ascii="Times New Roman" w:hAnsi="Times New Roman" w:eastAsia="方正仿宋_GBK" w:cs="Times New Roman"/>
          <w:b w:val="0"/>
          <w:bCs/>
          <w:color w:val="000000"/>
          <w:sz w:val="33"/>
          <w:szCs w:val="33"/>
        </w:rPr>
        <w:t>运行维护费支出</w:t>
      </w:r>
      <w:r>
        <w:rPr>
          <w:rFonts w:hint="eastAsia" w:eastAsia="方正仿宋_GBK" w:cs="Times New Roman"/>
          <w:b w:val="0"/>
          <w:bCs/>
          <w:color w:val="000000"/>
          <w:sz w:val="33"/>
          <w:szCs w:val="33"/>
          <w:lang w:val="en-US" w:eastAsia="zh-CN"/>
        </w:rPr>
        <w:t>1.2</w:t>
      </w:r>
      <w:r>
        <w:rPr>
          <w:rFonts w:hint="default"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w:t>
      </w:r>
      <w:r>
        <w:rPr>
          <w:rStyle w:val="12"/>
          <w:rFonts w:hint="default" w:ascii="Times New Roman" w:hAnsi="Times New Roman" w:eastAsia="方正仿宋_GBK" w:cs="Times New Roman"/>
          <w:b w:val="0"/>
          <w:bCs/>
          <w:color w:val="000000"/>
          <w:sz w:val="33"/>
          <w:szCs w:val="33"/>
        </w:rPr>
        <w:t>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Fonts w:hint="default" w:ascii="Times New Roman" w:hAnsi="Times New Roman" w:eastAsia="方正仿宋_GBK" w:cs="Times New Roman"/>
          <w:color w:val="000000"/>
          <w:sz w:val="33"/>
          <w:szCs w:val="33"/>
        </w:rPr>
        <w:t>公务用车</w:t>
      </w:r>
      <w:r>
        <w:rPr>
          <w:rFonts w:hint="eastAsia" w:eastAsia="方正仿宋_GBK" w:cs="Times New Roman"/>
          <w:color w:val="000000"/>
          <w:sz w:val="33"/>
          <w:szCs w:val="33"/>
          <w:lang w:val="en-US" w:eastAsia="zh-CN"/>
        </w:rPr>
        <w:t>购置及</w:t>
      </w:r>
      <w:r>
        <w:rPr>
          <w:rFonts w:hint="default" w:ascii="Times New Roman" w:hAnsi="Times New Roman" w:eastAsia="方正仿宋_GBK" w:cs="Times New Roman"/>
          <w:color w:val="000000"/>
          <w:sz w:val="33"/>
          <w:szCs w:val="33"/>
        </w:rPr>
        <w:t>运行维护费支出决算比20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w:t>
      </w:r>
      <w:r>
        <w:rPr>
          <w:rFonts w:hint="eastAsia" w:eastAsia="方正仿宋_GBK" w:cs="Times New Roman"/>
          <w:color w:val="000000"/>
          <w:sz w:val="33"/>
          <w:szCs w:val="33"/>
          <w:lang w:eastAsia="zh-CN"/>
        </w:rPr>
        <w:t>减少</w:t>
      </w:r>
      <w:r>
        <w:rPr>
          <w:rFonts w:hint="eastAsia" w:eastAsia="方正仿宋_GBK" w:cs="Times New Roman"/>
          <w:color w:val="000000"/>
          <w:sz w:val="33"/>
          <w:szCs w:val="33"/>
          <w:lang w:val="en-US" w:eastAsia="zh-CN"/>
        </w:rPr>
        <w:t>0.12</w:t>
      </w:r>
      <w:r>
        <w:rPr>
          <w:rFonts w:hint="default"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下降</w:t>
      </w:r>
      <w:r>
        <w:rPr>
          <w:rFonts w:hint="eastAsia" w:eastAsia="方正仿宋_GBK" w:cs="Times New Roman"/>
          <w:color w:val="000000"/>
          <w:sz w:val="33"/>
          <w:szCs w:val="33"/>
          <w:lang w:val="en-US" w:eastAsia="zh-CN"/>
        </w:rPr>
        <w:t>9.09</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主要原因是</w:t>
      </w:r>
      <w:r>
        <w:rPr>
          <w:rFonts w:hint="eastAsia" w:eastAsia="方正仿宋_GBK" w:cs="Times New Roman"/>
          <w:color w:val="000000"/>
          <w:sz w:val="33"/>
          <w:szCs w:val="33"/>
          <w:lang w:val="en-US" w:eastAsia="zh-CN"/>
        </w:rPr>
        <w:t>车辆运行维护费减少</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b/>
          <w:color w:val="000000"/>
          <w:sz w:val="33"/>
          <w:szCs w:val="33"/>
        </w:rPr>
      </w:pPr>
      <w:r>
        <w:rPr>
          <w:rFonts w:hint="default" w:ascii="Times New Roman" w:hAnsi="Times New Roman" w:eastAsia="方正仿宋_GBK" w:cs="Times New Roman"/>
          <w:color w:val="000000"/>
          <w:sz w:val="33"/>
          <w:szCs w:val="33"/>
        </w:rPr>
        <w:t>其中：</w:t>
      </w:r>
      <w:r>
        <w:rPr>
          <w:rFonts w:hint="default" w:ascii="Times New Roman" w:hAnsi="Times New Roman" w:eastAsia="方正仿宋_GBK" w:cs="Times New Roman"/>
          <w:color w:val="000000"/>
          <w:sz w:val="33"/>
          <w:szCs w:val="33"/>
          <w:lang w:val="en-US" w:eastAsia="zh-CN"/>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lang w:val="en-US" w:eastAsia="zh-CN"/>
        </w:rPr>
        <w:t>年无</w:t>
      </w:r>
      <w:r>
        <w:rPr>
          <w:rFonts w:hint="default" w:ascii="Times New Roman" w:hAnsi="Times New Roman" w:eastAsia="方正仿宋_GBK" w:cs="Times New Roman"/>
          <w:b w:val="0"/>
          <w:bCs/>
          <w:color w:val="000000"/>
          <w:sz w:val="33"/>
          <w:szCs w:val="33"/>
        </w:rPr>
        <w:t>公务用车购置支出</w:t>
      </w:r>
      <w:r>
        <w:rPr>
          <w:rFonts w:hint="default" w:ascii="Times New Roman" w:hAnsi="Times New Roman" w:eastAsia="方正仿宋_GBK" w:cs="Times New Roman"/>
          <w:color w:val="000000"/>
          <w:sz w:val="33"/>
          <w:szCs w:val="33"/>
        </w:rPr>
        <w:t>。全年按规定</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更新购置公务用车，截至202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年12月底，单位共有公务用车</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辆，其中：</w:t>
      </w:r>
      <w:r>
        <w:rPr>
          <w:rFonts w:hint="default" w:ascii="Times New Roman" w:hAnsi="Times New Roman" w:eastAsia="方正仿宋_GBK" w:cs="Times New Roman"/>
          <w:color w:val="000000"/>
          <w:sz w:val="33"/>
          <w:szCs w:val="33"/>
          <w:lang w:val="en-US" w:eastAsia="zh-CN"/>
        </w:rPr>
        <w:t>皮卡车1</w:t>
      </w:r>
      <w:r>
        <w:rPr>
          <w:rFonts w:hint="default" w:ascii="Times New Roman" w:hAnsi="Times New Roman" w:eastAsia="方正仿宋_GBK" w:cs="Times New Roman"/>
          <w:color w:val="000000"/>
          <w:sz w:val="33"/>
          <w:szCs w:val="33"/>
        </w:rPr>
        <w:t>辆。</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bCs/>
          <w:color w:val="000000"/>
          <w:sz w:val="33"/>
          <w:szCs w:val="33"/>
        </w:rPr>
        <w:t>公务用车运行维护费支出</w:t>
      </w:r>
      <w:r>
        <w:rPr>
          <w:rFonts w:hint="eastAsia" w:eastAsia="方正仿宋_GBK" w:cs="Times New Roman"/>
          <w:b w:val="0"/>
          <w:bCs/>
          <w:color w:val="000000"/>
          <w:sz w:val="33"/>
          <w:szCs w:val="33"/>
          <w:lang w:val="en-US" w:eastAsia="zh-CN"/>
        </w:rPr>
        <w:t>1.2</w:t>
      </w:r>
      <w:r>
        <w:rPr>
          <w:rFonts w:hint="default"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w:t>
      </w:r>
      <w:r>
        <w:rPr>
          <w:rFonts w:hint="eastAsia" w:eastAsia="方正仿宋_GBK" w:cs="Times New Roman"/>
          <w:color w:val="000000"/>
          <w:sz w:val="33"/>
          <w:szCs w:val="33"/>
          <w:lang w:val="en-US" w:eastAsia="zh-CN"/>
        </w:rPr>
        <w:t>比2021年减少0.12万元，下降9.09%，</w:t>
      </w:r>
      <w:r>
        <w:rPr>
          <w:rFonts w:hint="default" w:ascii="Times New Roman" w:hAnsi="Times New Roman" w:eastAsia="方正仿宋_GBK" w:cs="Times New Roman"/>
          <w:color w:val="000000"/>
          <w:sz w:val="33"/>
          <w:szCs w:val="33"/>
        </w:rPr>
        <w:t>主要原因是</w:t>
      </w:r>
      <w:r>
        <w:rPr>
          <w:rFonts w:hint="eastAsia" w:eastAsia="方正仿宋_GBK" w:cs="Times New Roman"/>
          <w:color w:val="000000"/>
          <w:sz w:val="33"/>
          <w:szCs w:val="33"/>
          <w:lang w:val="en-US" w:eastAsia="zh-CN"/>
        </w:rPr>
        <w:t>用车次数减少</w:t>
      </w:r>
      <w:r>
        <w:rPr>
          <w:rFonts w:hint="default" w:ascii="Times New Roman" w:hAnsi="Times New Roman" w:eastAsia="方正仿宋_GBK" w:cs="Times New Roman"/>
          <w:color w:val="000000"/>
          <w:sz w:val="33"/>
          <w:szCs w:val="33"/>
        </w:rPr>
        <w:t>。主要用于</w:t>
      </w:r>
      <w:r>
        <w:rPr>
          <w:rFonts w:hint="default" w:ascii="Times New Roman" w:hAnsi="Times New Roman" w:eastAsia="方正仿宋_GBK" w:cs="Times New Roman"/>
          <w:color w:val="000000"/>
          <w:sz w:val="33"/>
          <w:szCs w:val="33"/>
          <w:lang w:val="en-US" w:eastAsia="zh-CN"/>
        </w:rPr>
        <w:t>业务用车，全县粮食收购，安全巡查，粮食押送</w:t>
      </w:r>
      <w:r>
        <w:rPr>
          <w:rFonts w:hint="default" w:ascii="Times New Roman" w:hAnsi="Times New Roman" w:eastAsia="方正仿宋_GBK" w:cs="Times New Roman"/>
          <w:color w:val="000000"/>
          <w:sz w:val="33"/>
          <w:szCs w:val="33"/>
        </w:rPr>
        <w:t>等所需的公务用车燃料费、维修费、过路过桥费、保险费等支出。</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bCs/>
          <w:color w:val="000000"/>
          <w:sz w:val="33"/>
          <w:szCs w:val="33"/>
          <w:lang w:val="en-US" w:eastAsia="zh-CN"/>
        </w:rPr>
        <w:t>2</w:t>
      </w:r>
      <w:r>
        <w:rPr>
          <w:rFonts w:hint="default" w:ascii="Times New Roman" w:hAnsi="Times New Roman" w:eastAsia="方正仿宋_GBK" w:cs="Times New Roman"/>
          <w:b w:val="0"/>
          <w:bCs/>
          <w:color w:val="000000"/>
          <w:sz w:val="33"/>
          <w:szCs w:val="33"/>
        </w:rPr>
        <w:t>.公务接待费支出</w:t>
      </w:r>
      <w:r>
        <w:rPr>
          <w:rFonts w:hint="eastAsia" w:eastAsia="方正仿宋_GBK" w:cs="Times New Roman"/>
          <w:b w:val="0"/>
          <w:bCs/>
          <w:color w:val="000000"/>
          <w:sz w:val="33"/>
          <w:szCs w:val="33"/>
          <w:lang w:val="en-US" w:eastAsia="zh-CN"/>
        </w:rPr>
        <w:t>1.6</w:t>
      </w:r>
      <w:r>
        <w:rPr>
          <w:rFonts w:hint="default" w:ascii="Times New Roman" w:hAnsi="Times New Roman" w:eastAsia="方正仿宋_GBK" w:cs="Times New Roman"/>
          <w:color w:val="000000"/>
          <w:sz w:val="33"/>
          <w:szCs w:val="33"/>
        </w:rPr>
        <w:t>万元，</w:t>
      </w:r>
      <w:r>
        <w:rPr>
          <w:rStyle w:val="12"/>
          <w:rFonts w:hint="default" w:ascii="Times New Roman" w:hAnsi="Times New Roman" w:eastAsia="方正仿宋_GBK" w:cs="Times New Roman"/>
          <w:b w:val="0"/>
          <w:bCs/>
          <w:color w:val="000000"/>
          <w:sz w:val="33"/>
          <w:szCs w:val="33"/>
        </w:rPr>
        <w:t>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Fonts w:hint="default" w:ascii="Times New Roman" w:hAnsi="Times New Roman" w:eastAsia="方正仿宋_GBK" w:cs="Times New Roman"/>
          <w:color w:val="000000"/>
          <w:sz w:val="33"/>
          <w:szCs w:val="33"/>
        </w:rPr>
        <w:t>公务接待费支出决算比20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年减少</w:t>
      </w:r>
      <w:r>
        <w:rPr>
          <w:rFonts w:hint="eastAsia" w:eastAsia="方正仿宋_GBK" w:cs="Times New Roman"/>
          <w:color w:val="000000"/>
          <w:sz w:val="33"/>
          <w:szCs w:val="33"/>
          <w:lang w:val="en-US" w:eastAsia="zh-CN"/>
        </w:rPr>
        <w:t>2.91</w:t>
      </w:r>
      <w:r>
        <w:rPr>
          <w:rFonts w:hint="default" w:ascii="Times New Roman" w:hAnsi="Times New Roman" w:eastAsia="方正仿宋_GBK" w:cs="Times New Roman"/>
          <w:color w:val="000000"/>
          <w:sz w:val="33"/>
          <w:szCs w:val="33"/>
        </w:rPr>
        <w:t>万元，下降</w:t>
      </w:r>
      <w:r>
        <w:rPr>
          <w:rFonts w:hint="eastAsia" w:eastAsia="方正仿宋_GBK" w:cs="Times New Roman"/>
          <w:color w:val="000000"/>
          <w:sz w:val="33"/>
          <w:szCs w:val="33"/>
          <w:lang w:val="en-US" w:eastAsia="zh-CN"/>
        </w:rPr>
        <w:t>64.52</w:t>
      </w:r>
      <w:r>
        <w:rPr>
          <w:rFonts w:hint="default" w:ascii="Times New Roman" w:hAnsi="Times New Roman" w:eastAsia="方正仿宋_GBK" w:cs="Times New Roman"/>
          <w:color w:val="000000"/>
          <w:sz w:val="33"/>
          <w:szCs w:val="33"/>
        </w:rPr>
        <w:t>%。主要原因是</w:t>
      </w:r>
      <w:r>
        <w:rPr>
          <w:rFonts w:hint="default" w:ascii="Times New Roman" w:hAnsi="Times New Roman" w:eastAsia="方正仿宋_GBK" w:cs="Times New Roman"/>
          <w:color w:val="000000"/>
          <w:sz w:val="33"/>
          <w:szCs w:val="33"/>
          <w:lang w:val="en-US" w:eastAsia="zh-CN"/>
        </w:rPr>
        <w:t>压缩经费，节约开支</w:t>
      </w:r>
      <w:r>
        <w:rPr>
          <w:rFonts w:hint="default" w:ascii="Times New Roman" w:hAnsi="Times New Roman" w:eastAsia="方正仿宋_GBK" w:cs="Times New Roman"/>
          <w:color w:val="000000"/>
          <w:sz w:val="33"/>
          <w:szCs w:val="33"/>
        </w:rPr>
        <w:t>。其中：</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bCs/>
          <w:color w:val="000000"/>
          <w:sz w:val="33"/>
          <w:szCs w:val="33"/>
        </w:rPr>
        <w:t>国内公务接待支出</w:t>
      </w:r>
      <w:r>
        <w:rPr>
          <w:rFonts w:hint="eastAsia" w:eastAsia="方正仿宋_GBK" w:cs="Times New Roman"/>
          <w:color w:val="000000"/>
          <w:sz w:val="33"/>
          <w:szCs w:val="33"/>
          <w:lang w:val="en-US" w:eastAsia="zh-CN"/>
        </w:rPr>
        <w:t>1.6</w:t>
      </w:r>
      <w:r>
        <w:rPr>
          <w:rFonts w:hint="default" w:ascii="Times New Roman" w:hAnsi="Times New Roman" w:eastAsia="方正仿宋_GBK" w:cs="Times New Roman"/>
          <w:color w:val="000000"/>
          <w:sz w:val="33"/>
          <w:szCs w:val="33"/>
        </w:rPr>
        <w:t>万元，主要用于</w:t>
      </w:r>
      <w:r>
        <w:rPr>
          <w:rFonts w:hint="default" w:ascii="Times New Roman" w:hAnsi="Times New Roman" w:eastAsia="方正仿宋_GBK" w:cs="Times New Roman"/>
          <w:color w:val="000000"/>
          <w:sz w:val="33"/>
          <w:szCs w:val="33"/>
          <w:lang w:val="en-US" w:eastAsia="zh-CN"/>
        </w:rPr>
        <w:t>上级部门来人，检查工作等生活接待开支</w:t>
      </w:r>
      <w:r>
        <w:rPr>
          <w:rFonts w:hint="default" w:ascii="Times New Roman" w:hAnsi="Times New Roman" w:eastAsia="方正仿宋_GBK" w:cs="Times New Roman"/>
          <w:color w:val="000000"/>
          <w:sz w:val="33"/>
          <w:szCs w:val="33"/>
        </w:rPr>
        <w:t>。国内公务接待</w:t>
      </w:r>
      <w:r>
        <w:rPr>
          <w:rFonts w:hint="eastAsia" w:eastAsia="方正仿宋_GBK" w:cs="Times New Roman"/>
          <w:color w:val="000000"/>
          <w:sz w:val="33"/>
          <w:szCs w:val="33"/>
          <w:lang w:val="en-US" w:eastAsia="zh-CN"/>
        </w:rPr>
        <w:t>26</w:t>
      </w:r>
      <w:r>
        <w:rPr>
          <w:rFonts w:hint="default" w:ascii="Times New Roman" w:hAnsi="Times New Roman" w:eastAsia="方正仿宋_GBK" w:cs="Times New Roman"/>
          <w:color w:val="000000"/>
          <w:sz w:val="33"/>
          <w:szCs w:val="33"/>
        </w:rPr>
        <w:t>批次，</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lang w:val="en-US" w:eastAsia="zh-CN"/>
        </w:rPr>
        <w:t>94</w:t>
      </w:r>
      <w:r>
        <w:rPr>
          <w:rFonts w:hint="default" w:ascii="Times New Roman" w:hAnsi="Times New Roman" w:eastAsia="方正仿宋_GBK" w:cs="Times New Roman"/>
          <w:color w:val="000000"/>
          <w:sz w:val="33"/>
          <w:szCs w:val="33"/>
        </w:rPr>
        <w:t>人次（不包括陪同人员），共计支出</w:t>
      </w:r>
      <w:r>
        <w:rPr>
          <w:rFonts w:hint="eastAsia" w:eastAsia="方正仿宋_GBK" w:cs="Times New Roman"/>
          <w:color w:val="000000"/>
          <w:sz w:val="33"/>
          <w:szCs w:val="33"/>
          <w:lang w:val="en-US" w:eastAsia="zh-CN"/>
        </w:rPr>
        <w:t>1.6</w:t>
      </w:r>
      <w:r>
        <w:rPr>
          <w:rFonts w:hint="default" w:ascii="Times New Roman" w:hAnsi="Times New Roman" w:eastAsia="方正仿宋_GBK" w:cs="Times New Roman"/>
          <w:color w:val="000000"/>
          <w:sz w:val="33"/>
          <w:szCs w:val="33"/>
        </w:rPr>
        <w:t>万元，具体内容包括：</w:t>
      </w:r>
      <w:r>
        <w:rPr>
          <w:rFonts w:hint="default" w:ascii="Times New Roman" w:hAnsi="Times New Roman" w:eastAsia="方正仿宋_GBK" w:cs="Times New Roman"/>
          <w:color w:val="000000"/>
          <w:sz w:val="33"/>
          <w:szCs w:val="33"/>
          <w:lang w:val="en-US" w:eastAsia="zh-CN"/>
        </w:rPr>
        <w:t>接待餐费等</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val="en-US" w:eastAsia="zh-CN"/>
        </w:rPr>
        <w:t>2022年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因公出国（境）</w:t>
      </w:r>
      <w:r>
        <w:rPr>
          <w:rFonts w:hint="default" w:ascii="Times New Roman" w:hAnsi="Times New Roman" w:eastAsia="方正仿宋_GBK" w:cs="Times New Roman"/>
          <w:b w:val="0"/>
          <w:bCs/>
          <w:color w:val="000000"/>
          <w:sz w:val="33"/>
          <w:szCs w:val="33"/>
        </w:rPr>
        <w:t>外事接待支出</w:t>
      </w:r>
      <w:bookmarkStart w:id="46" w:name="_Toc15377218"/>
      <w:bookmarkStart w:id="47" w:name="_Toc15396610"/>
      <w:r>
        <w:rPr>
          <w:rFonts w:hint="eastAsia" w:ascii="Times New Roman" w:hAnsi="Times New Roman" w:eastAsia="方正仿宋_GBK" w:cs="Times New Roman"/>
          <w:b w:val="0"/>
          <w:bCs/>
          <w:color w:val="000000"/>
          <w:sz w:val="33"/>
          <w:szCs w:val="33"/>
          <w:lang w:eastAsia="zh-CN"/>
        </w:rPr>
        <w:t>。</w:t>
      </w:r>
    </w:p>
    <w:p>
      <w:pPr>
        <w:pageBreakBefore w:val="0"/>
        <w:kinsoku/>
        <w:wordWrap/>
        <w:overflowPunct/>
        <w:topLinePunct w:val="0"/>
        <w:bidi w:val="0"/>
        <w:spacing w:line="590" w:lineRule="exact"/>
        <w:ind w:left="0" w:right="0" w:firstLine="640"/>
        <w:outlineLvl w:val="1"/>
        <w:rPr>
          <w:rStyle w:val="15"/>
          <w:rFonts w:hint="eastAsia" w:ascii="黑体" w:hAnsi="黑体" w:eastAsia="黑体" w:cs="黑体"/>
          <w:b w:val="0"/>
          <w:bCs w:val="0"/>
          <w:sz w:val="33"/>
          <w:szCs w:val="33"/>
        </w:rPr>
      </w:pPr>
      <w:r>
        <w:rPr>
          <w:rFonts w:hint="eastAsia" w:ascii="黑体" w:hAnsi="黑体" w:eastAsia="黑体" w:cs="黑体"/>
          <w:b w:val="0"/>
          <w:bCs w:val="0"/>
          <w:color w:val="000000"/>
          <w:sz w:val="33"/>
          <w:szCs w:val="33"/>
          <w:lang w:eastAsia="zh-CN"/>
        </w:rPr>
        <w:t>九</w:t>
      </w:r>
      <w:r>
        <w:rPr>
          <w:rFonts w:hint="eastAsia" w:ascii="黑体" w:hAnsi="黑体" w:eastAsia="黑体" w:cs="黑体"/>
          <w:b w:val="0"/>
          <w:bCs w:val="0"/>
          <w:color w:val="000000"/>
          <w:sz w:val="33"/>
          <w:szCs w:val="33"/>
        </w:rPr>
        <w:t>、</w:t>
      </w:r>
      <w:r>
        <w:rPr>
          <w:rStyle w:val="15"/>
          <w:rFonts w:hint="eastAsia" w:ascii="黑体" w:hAnsi="黑体" w:eastAsia="黑体" w:cs="黑体"/>
          <w:b w:val="0"/>
          <w:bCs w:val="0"/>
          <w:sz w:val="33"/>
          <w:szCs w:val="33"/>
        </w:rPr>
        <w:t>政府性基金预算支出决算情况说明</w:t>
      </w:r>
      <w:bookmarkEnd w:id="46"/>
      <w:bookmarkEnd w:id="47"/>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年政府性基金预算</w:t>
      </w:r>
      <w:r>
        <w:rPr>
          <w:rFonts w:hint="eastAsia" w:eastAsia="方正仿宋_GBK" w:cs="Times New Roman"/>
          <w:color w:val="000000"/>
          <w:sz w:val="33"/>
          <w:szCs w:val="33"/>
          <w:lang w:val="en-US" w:eastAsia="zh-CN"/>
        </w:rPr>
        <w:t>拨款</w:t>
      </w:r>
      <w:r>
        <w:rPr>
          <w:rFonts w:hint="eastAsia" w:eastAsia="方正仿宋_GBK" w:cs="Times New Roman"/>
          <w:color w:val="000000"/>
          <w:sz w:val="33"/>
          <w:szCs w:val="33"/>
          <w:lang w:eastAsia="zh-CN"/>
        </w:rPr>
        <w:t>支出</w:t>
      </w:r>
      <w:r>
        <w:rPr>
          <w:rFonts w:hint="eastAsia" w:eastAsia="方正仿宋_GBK" w:cs="Times New Roman"/>
          <w:color w:val="000000"/>
          <w:sz w:val="33"/>
          <w:szCs w:val="33"/>
          <w:lang w:val="en-US" w:eastAsia="zh-CN"/>
        </w:rPr>
        <w:t>4500</w:t>
      </w:r>
      <w:r>
        <w:rPr>
          <w:rFonts w:hint="default" w:ascii="Times New Roman" w:hAnsi="Times New Roman" w:eastAsia="方正仿宋_GBK" w:cs="Times New Roman"/>
          <w:color w:val="000000"/>
          <w:sz w:val="33"/>
          <w:szCs w:val="33"/>
          <w:lang w:val="en-US" w:eastAsia="zh-CN"/>
        </w:rPr>
        <w:t>万元，主要是</w:t>
      </w:r>
      <w:r>
        <w:rPr>
          <w:rFonts w:hint="eastAsia" w:eastAsia="方正仿宋_GBK" w:cs="Times New Roman"/>
          <w:color w:val="000000"/>
          <w:sz w:val="33"/>
          <w:szCs w:val="33"/>
          <w:lang w:val="en-US" w:eastAsia="zh-CN"/>
        </w:rPr>
        <w:t>其他地方自行试点项目收益专项债券收入安排的支出费用</w:t>
      </w:r>
      <w:r>
        <w:rPr>
          <w:rFonts w:hint="default" w:ascii="Times New Roman" w:hAnsi="Times New Roman" w:eastAsia="方正仿宋_GBK" w:cs="Times New Roman"/>
          <w:color w:val="000000"/>
          <w:sz w:val="33"/>
          <w:szCs w:val="33"/>
        </w:rPr>
        <w:t>。</w:t>
      </w:r>
    </w:p>
    <w:p>
      <w:pPr>
        <w:pageBreakBefore w:val="0"/>
        <w:numPr>
          <w:ilvl w:val="0"/>
          <w:numId w:val="0"/>
        </w:numPr>
        <w:kinsoku/>
        <w:wordWrap/>
        <w:overflowPunct/>
        <w:topLinePunct w:val="0"/>
        <w:bidi w:val="0"/>
        <w:spacing w:line="590" w:lineRule="exact"/>
        <w:ind w:left="0" w:right="0" w:firstLine="660" w:firstLineChars="200"/>
        <w:outlineLvl w:val="1"/>
        <w:rPr>
          <w:rStyle w:val="15"/>
          <w:rFonts w:hint="default" w:ascii="Times New Roman" w:hAnsi="Times New Roman" w:eastAsia="方正仿宋_GBK" w:cs="Times New Roman"/>
          <w:b w:val="0"/>
          <w:sz w:val="33"/>
          <w:szCs w:val="33"/>
        </w:rPr>
      </w:pPr>
      <w:bookmarkStart w:id="48" w:name="_Toc15396611"/>
      <w:bookmarkStart w:id="49" w:name="_Toc15377219"/>
      <w:r>
        <w:rPr>
          <w:rStyle w:val="15"/>
          <w:rFonts w:hint="eastAsia" w:ascii="黑体" w:hAnsi="黑体" w:eastAsia="黑体" w:cs="黑体"/>
          <w:b w:val="0"/>
          <w:sz w:val="33"/>
          <w:szCs w:val="33"/>
          <w:lang w:eastAsia="zh-CN"/>
        </w:rPr>
        <w:t>十、</w:t>
      </w:r>
      <w:r>
        <w:rPr>
          <w:rStyle w:val="15"/>
          <w:rFonts w:hint="eastAsia" w:ascii="黑体" w:hAnsi="黑体" w:eastAsia="黑体" w:cs="黑体"/>
          <w:b w:val="0"/>
          <w:sz w:val="33"/>
          <w:szCs w:val="33"/>
        </w:rPr>
        <w:t>国有资本经营预算支出决算情况说明</w:t>
      </w:r>
      <w:bookmarkEnd w:id="48"/>
      <w:bookmarkEnd w:id="49"/>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国有资本经营预算拨款。</w:t>
      </w:r>
    </w:p>
    <w:p>
      <w:pPr>
        <w:pageBreakBefore w:val="0"/>
        <w:kinsoku/>
        <w:wordWrap/>
        <w:overflowPunct/>
        <w:topLinePunct w:val="0"/>
        <w:bidi w:val="0"/>
        <w:spacing w:line="590" w:lineRule="exact"/>
        <w:ind w:left="0" w:leftChars="0" w:right="0" w:firstLine="660" w:firstLineChars="200"/>
        <w:outlineLvl w:val="1"/>
        <w:rPr>
          <w:rStyle w:val="15"/>
          <w:rFonts w:hint="eastAsia" w:ascii="黑体" w:hAnsi="黑体" w:eastAsia="黑体" w:cs="黑体"/>
          <w:sz w:val="33"/>
          <w:szCs w:val="33"/>
        </w:rPr>
      </w:pPr>
      <w:bookmarkStart w:id="50" w:name="_Toc15377221"/>
      <w:bookmarkStart w:id="51" w:name="_Toc15396612"/>
      <w:r>
        <w:rPr>
          <w:rFonts w:hint="eastAsia" w:ascii="黑体" w:hAnsi="黑体" w:eastAsia="黑体" w:cs="黑体"/>
          <w:color w:val="000000"/>
          <w:sz w:val="33"/>
          <w:szCs w:val="33"/>
        </w:rPr>
        <w:t>十</w:t>
      </w:r>
      <w:r>
        <w:rPr>
          <w:rFonts w:hint="eastAsia" w:ascii="黑体" w:hAnsi="黑体" w:eastAsia="黑体" w:cs="黑体"/>
          <w:color w:val="000000"/>
          <w:sz w:val="33"/>
          <w:szCs w:val="33"/>
          <w:lang w:eastAsia="zh-CN"/>
        </w:rPr>
        <w:t>一</w:t>
      </w:r>
      <w:r>
        <w:rPr>
          <w:rStyle w:val="15"/>
          <w:rFonts w:hint="eastAsia" w:ascii="黑体" w:hAnsi="黑体" w:eastAsia="黑体" w:cs="黑体"/>
          <w:sz w:val="33"/>
          <w:szCs w:val="33"/>
        </w:rPr>
        <w:t>、</w:t>
      </w:r>
      <w:r>
        <w:rPr>
          <w:rStyle w:val="15"/>
          <w:rFonts w:hint="eastAsia" w:ascii="黑体" w:hAnsi="黑体" w:eastAsia="黑体" w:cs="黑体"/>
          <w:b w:val="0"/>
          <w:sz w:val="33"/>
          <w:szCs w:val="33"/>
        </w:rPr>
        <w:t>其他重要事项的情况说明</w:t>
      </w:r>
      <w:bookmarkEnd w:id="50"/>
      <w:bookmarkEnd w:id="51"/>
    </w:p>
    <w:p>
      <w:pPr>
        <w:pageBreakBefore w:val="0"/>
        <w:kinsoku/>
        <w:wordWrap/>
        <w:overflowPunct/>
        <w:topLinePunct w:val="0"/>
        <w:bidi w:val="0"/>
        <w:spacing w:line="590" w:lineRule="exact"/>
        <w:ind w:left="0" w:right="0" w:firstLine="660" w:firstLineChars="200"/>
        <w:outlineLvl w:val="2"/>
        <w:rPr>
          <w:rFonts w:hint="eastAsia" w:ascii="方正楷体_GBK" w:hAnsi="方正楷体_GBK" w:eastAsia="方正楷体_GBK" w:cs="方正楷体_GBK"/>
          <w:color w:val="000000"/>
          <w:sz w:val="33"/>
          <w:szCs w:val="33"/>
        </w:rPr>
      </w:pPr>
      <w:bookmarkStart w:id="52" w:name="_Toc15377222"/>
      <w:r>
        <w:rPr>
          <w:rFonts w:hint="eastAsia" w:ascii="方正楷体_GBK" w:hAnsi="方正楷体_GBK" w:eastAsia="方正楷体_GBK" w:cs="方正楷体_GBK"/>
          <w:b/>
          <w:color w:val="000000"/>
          <w:sz w:val="33"/>
          <w:szCs w:val="33"/>
        </w:rPr>
        <w:t>（一）机关运行经费支出情况</w:t>
      </w:r>
      <w:bookmarkEnd w:id="52"/>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邻水县粮食和物资储备中心</w:t>
      </w:r>
      <w:r>
        <w:rPr>
          <w:rFonts w:hint="default" w:ascii="Times New Roman" w:hAnsi="Times New Roman" w:eastAsia="方正仿宋_GBK" w:cs="Times New Roman"/>
          <w:color w:val="000000"/>
          <w:sz w:val="33"/>
          <w:szCs w:val="33"/>
        </w:rPr>
        <w:t>机关运行经费支出</w:t>
      </w:r>
      <w:r>
        <w:rPr>
          <w:rFonts w:hint="eastAsia" w:eastAsia="方正仿宋_GBK" w:cs="Times New Roman"/>
          <w:color w:val="000000"/>
          <w:sz w:val="33"/>
          <w:szCs w:val="33"/>
          <w:lang w:val="en-US" w:eastAsia="zh-CN"/>
        </w:rPr>
        <w:t>34.05</w:t>
      </w:r>
      <w:r>
        <w:rPr>
          <w:rFonts w:hint="default" w:ascii="Times New Roman" w:hAnsi="Times New Roman" w:eastAsia="方正仿宋_GBK" w:cs="Times New Roman"/>
          <w:color w:val="000000"/>
          <w:sz w:val="33"/>
          <w:szCs w:val="33"/>
        </w:rPr>
        <w:t>万元，比20</w:t>
      </w:r>
      <w:r>
        <w:rPr>
          <w:rFonts w:hint="default" w:ascii="Times New Roman" w:hAnsi="Times New Roman" w:eastAsia="方正仿宋_GBK" w:cs="Times New Roman"/>
          <w:color w:val="000000"/>
          <w:sz w:val="33"/>
          <w:szCs w:val="33"/>
          <w:lang w:val="en-US" w:eastAsia="zh-CN"/>
        </w:rPr>
        <w:t>2</w:t>
      </w:r>
      <w:r>
        <w:rPr>
          <w:rFonts w:hint="eastAsia"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年减少</w:t>
      </w:r>
      <w:r>
        <w:rPr>
          <w:rFonts w:hint="eastAsia" w:eastAsia="方正仿宋_GBK" w:cs="Times New Roman"/>
          <w:color w:val="000000"/>
          <w:sz w:val="33"/>
          <w:szCs w:val="33"/>
          <w:lang w:val="en-US" w:eastAsia="zh-CN"/>
        </w:rPr>
        <w:t>1.71</w:t>
      </w:r>
      <w:r>
        <w:rPr>
          <w:rFonts w:hint="default" w:ascii="Times New Roman" w:hAnsi="Times New Roman" w:eastAsia="方正仿宋_GBK" w:cs="Times New Roman"/>
          <w:color w:val="000000"/>
          <w:sz w:val="33"/>
          <w:szCs w:val="33"/>
        </w:rPr>
        <w:t>万元，下降</w:t>
      </w:r>
      <w:r>
        <w:rPr>
          <w:rFonts w:hint="eastAsia" w:eastAsia="方正仿宋_GBK" w:cs="Times New Roman"/>
          <w:color w:val="000000"/>
          <w:sz w:val="33"/>
          <w:szCs w:val="33"/>
          <w:lang w:val="en-US" w:eastAsia="zh-CN"/>
        </w:rPr>
        <w:t>4.78</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themeColor="text1"/>
          <w:sz w:val="33"/>
          <w:szCs w:val="33"/>
          <w14:textFill>
            <w14:solidFill>
              <w14:schemeClr w14:val="tx1"/>
            </w14:solidFill>
          </w14:textFill>
        </w:rPr>
        <w:t>主要原因是</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当年职工退休</w:t>
      </w:r>
      <w:r>
        <w:rPr>
          <w:rFonts w:hint="eastAsia" w:eastAsia="方正仿宋_GBK" w:cs="Times New Roman"/>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人，减少经费开支。</w:t>
      </w:r>
    </w:p>
    <w:p>
      <w:pPr>
        <w:pageBreakBefore w:val="0"/>
        <w:kinsoku/>
        <w:wordWrap/>
        <w:overflowPunct/>
        <w:topLinePunct w:val="0"/>
        <w:autoSpaceDE w:val="0"/>
        <w:autoSpaceDN w:val="0"/>
        <w:bidi w:val="0"/>
        <w:adjustRightInd w:val="0"/>
        <w:spacing w:line="590" w:lineRule="exact"/>
        <w:ind w:left="0" w:right="0" w:firstLine="660" w:firstLineChars="200"/>
        <w:jc w:val="left"/>
        <w:outlineLvl w:val="2"/>
        <w:rPr>
          <w:rFonts w:hint="eastAsia" w:ascii="方正楷体_GBK" w:hAnsi="方正楷体_GBK" w:eastAsia="方正楷体_GBK" w:cs="方正楷体_GBK"/>
          <w:b/>
          <w:color w:val="000000"/>
          <w:sz w:val="33"/>
          <w:szCs w:val="33"/>
        </w:rPr>
      </w:pPr>
      <w:bookmarkStart w:id="53" w:name="_Toc15377223"/>
      <w:r>
        <w:rPr>
          <w:rFonts w:hint="eastAsia" w:ascii="方正楷体_GBK" w:hAnsi="方正楷体_GBK" w:eastAsia="方正楷体_GBK" w:cs="方正楷体_GBK"/>
          <w:b/>
          <w:color w:val="000000"/>
          <w:sz w:val="33"/>
          <w:szCs w:val="33"/>
        </w:rPr>
        <w:t>（二）政府采购支出情况</w:t>
      </w:r>
      <w:bookmarkEnd w:id="53"/>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b/>
          <w:color w:val="FF0000"/>
          <w:sz w:val="33"/>
          <w:szCs w:val="33"/>
        </w:rPr>
      </w:pPr>
      <w:r>
        <w:rPr>
          <w:rFonts w:hint="default" w:ascii="Times New Roman" w:hAnsi="Times New Roman" w:eastAsia="方正仿宋_GBK" w:cs="Times New Roman"/>
          <w:color w:val="000000"/>
          <w:sz w:val="33"/>
          <w:szCs w:val="33"/>
        </w:rPr>
        <w:t>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政府采购支出。</w:t>
      </w:r>
    </w:p>
    <w:p>
      <w:pPr>
        <w:pageBreakBefore w:val="0"/>
        <w:kinsoku/>
        <w:wordWrap/>
        <w:overflowPunct/>
        <w:topLinePunct w:val="0"/>
        <w:autoSpaceDE w:val="0"/>
        <w:autoSpaceDN w:val="0"/>
        <w:bidi w:val="0"/>
        <w:adjustRightInd w:val="0"/>
        <w:spacing w:line="590" w:lineRule="exact"/>
        <w:ind w:left="0" w:right="0" w:firstLine="660" w:firstLineChars="200"/>
        <w:jc w:val="left"/>
        <w:outlineLvl w:val="2"/>
        <w:rPr>
          <w:rFonts w:hint="default" w:ascii="Times New Roman" w:hAnsi="Times New Roman" w:eastAsia="方正仿宋_GBK" w:cs="Times New Roman"/>
          <w:b/>
          <w:color w:val="000000"/>
          <w:sz w:val="33"/>
          <w:szCs w:val="33"/>
        </w:rPr>
      </w:pPr>
      <w:bookmarkStart w:id="54" w:name="_Toc15377224"/>
      <w:r>
        <w:rPr>
          <w:rFonts w:hint="eastAsia" w:ascii="方正楷体_GBK" w:hAnsi="方正楷体_GBK" w:eastAsia="方正楷体_GBK" w:cs="方正楷体_GBK"/>
          <w:b/>
          <w:color w:val="000000"/>
          <w:sz w:val="33"/>
          <w:szCs w:val="33"/>
        </w:rPr>
        <w:t>（三）国有资产占有使用情况</w:t>
      </w:r>
      <w:bookmarkEnd w:id="54"/>
    </w:p>
    <w:p>
      <w:pPr>
        <w:pageBreakBefore w:val="0"/>
        <w:kinsoku/>
        <w:wordWrap/>
        <w:overflowPunct/>
        <w:topLinePunct w:val="0"/>
        <w:autoSpaceDE w:val="0"/>
        <w:autoSpaceDN w:val="0"/>
        <w:bidi w:val="0"/>
        <w:adjustRightInd w:val="0"/>
        <w:spacing w:line="590" w:lineRule="exact"/>
        <w:ind w:left="0" w:right="0" w:firstLine="660" w:firstLineChars="200"/>
        <w:jc w:val="left"/>
        <w:rPr>
          <w:rFonts w:hint="default" w:ascii="Times New Roman" w:hAnsi="Times New Roman" w:eastAsia="方正仿宋_GBK" w:cs="Times New Roman"/>
          <w:b/>
          <w:color w:val="FF0000"/>
          <w:sz w:val="33"/>
          <w:szCs w:val="33"/>
        </w:rPr>
      </w:pPr>
      <w:r>
        <w:rPr>
          <w:rFonts w:hint="default" w:ascii="Times New Roman" w:hAnsi="Times New Roman" w:eastAsia="方正仿宋_GBK" w:cs="Times New Roman"/>
          <w:color w:val="000000"/>
          <w:sz w:val="33"/>
          <w:szCs w:val="33"/>
        </w:rPr>
        <w:t>截至202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rPr>
        <w:t>年12月31日，</w:t>
      </w:r>
      <w:r>
        <w:rPr>
          <w:rFonts w:hint="default" w:ascii="Times New Roman" w:hAnsi="Times New Roman" w:eastAsia="方正仿宋_GBK" w:cs="Times New Roman"/>
          <w:color w:val="000000"/>
          <w:sz w:val="33"/>
          <w:szCs w:val="33"/>
          <w:lang w:val="en-US" w:eastAsia="zh-CN"/>
        </w:rPr>
        <w:t>邻水县粮食和物资储备中心</w:t>
      </w:r>
      <w:r>
        <w:rPr>
          <w:rFonts w:hint="default" w:ascii="Times New Roman" w:hAnsi="Times New Roman" w:eastAsia="方正仿宋_GBK" w:cs="Times New Roman"/>
          <w:color w:val="000000"/>
          <w:sz w:val="33"/>
          <w:szCs w:val="33"/>
        </w:rPr>
        <w:t>共有车辆</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辆，其中：</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领导干部用车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机要通信用车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应急保障用车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其他用车</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themeColor="text1"/>
          <w:sz w:val="33"/>
          <w:szCs w:val="33"/>
          <w14:textFill>
            <w14:solidFill>
              <w14:schemeClr w14:val="tx1"/>
            </w14:solidFill>
          </w14:textFill>
        </w:rPr>
        <w:t>其他用车主要是用于</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工程建设，粮食收购，粮食押运等，无</w:t>
      </w:r>
      <w:r>
        <w:rPr>
          <w:rFonts w:hint="default" w:ascii="Times New Roman" w:hAnsi="Times New Roman" w:eastAsia="方正仿宋_GBK" w:cs="Times New Roman"/>
          <w:color w:val="000000" w:themeColor="text1"/>
          <w:sz w:val="33"/>
          <w:szCs w:val="33"/>
          <w14:textFill>
            <w14:solidFill>
              <w14:schemeClr w14:val="tx1"/>
            </w14:solidFill>
          </w14:textFill>
        </w:rPr>
        <w:t>单价50万元以上通用设备，</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无</w:t>
      </w:r>
      <w:r>
        <w:rPr>
          <w:rFonts w:hint="default" w:ascii="Times New Roman" w:hAnsi="Times New Roman" w:eastAsia="方正仿宋_GBK" w:cs="Times New Roman"/>
          <w:color w:val="000000" w:themeColor="text1"/>
          <w:sz w:val="33"/>
          <w:szCs w:val="33"/>
          <w14:textFill>
            <w14:solidFill>
              <w14:schemeClr w14:val="tx1"/>
            </w14:solidFill>
          </w14:textFill>
        </w:rPr>
        <w:t>单价100</w:t>
      </w:r>
      <w:r>
        <w:rPr>
          <w:rFonts w:hint="default" w:ascii="Times New Roman" w:hAnsi="Times New Roman" w:eastAsia="方正仿宋_GBK" w:cs="Times New Roman"/>
          <w:color w:val="000000"/>
          <w:sz w:val="33"/>
          <w:szCs w:val="33"/>
        </w:rPr>
        <w:t>万元以上专用设备。</w:t>
      </w:r>
    </w:p>
    <w:p>
      <w:pPr>
        <w:pageBreakBefore w:val="0"/>
        <w:kinsoku/>
        <w:wordWrap/>
        <w:overflowPunct/>
        <w:topLinePunct w:val="0"/>
        <w:autoSpaceDE w:val="0"/>
        <w:autoSpaceDN w:val="0"/>
        <w:bidi w:val="0"/>
        <w:adjustRightInd w:val="0"/>
        <w:spacing w:line="590" w:lineRule="exact"/>
        <w:ind w:left="0" w:right="0" w:firstLine="660" w:firstLineChars="200"/>
        <w:jc w:val="left"/>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（四）预算绩效管理情况</w:t>
      </w:r>
    </w:p>
    <w:p>
      <w:pPr>
        <w:pageBreakBefore w:val="0"/>
        <w:kinsoku/>
        <w:wordWrap/>
        <w:overflowPunct/>
        <w:topLinePunct w:val="0"/>
        <w:bidi w:val="0"/>
        <w:spacing w:line="590" w:lineRule="exact"/>
        <w:ind w:left="0" w:right="0" w:firstLine="660" w:firstLineChars="200"/>
        <w:rPr>
          <w:rFonts w:hint="default" w:eastAsia="方正仿宋_GBK"/>
          <w:color w:val="0000FF"/>
          <w:sz w:val="33"/>
          <w:szCs w:val="33"/>
        </w:rPr>
      </w:pPr>
      <w:r>
        <w:rPr>
          <w:rFonts w:hint="default" w:eastAsia="方正仿宋_GBK"/>
          <w:color w:val="auto"/>
          <w:sz w:val="33"/>
          <w:szCs w:val="33"/>
        </w:rPr>
        <w:t>根据预算绩效管理要求，本单位在2022年度预算编制阶段，组织对</w:t>
      </w:r>
      <w:r>
        <w:rPr>
          <w:rFonts w:hint="eastAsia" w:eastAsia="方正仿宋_GBK"/>
          <w:color w:val="0000FF"/>
          <w:sz w:val="33"/>
          <w:szCs w:val="33"/>
          <w:lang w:val="en-US" w:eastAsia="zh-CN"/>
        </w:rPr>
        <w:t>仓顶阳光、应急成品粮油保障能力提升采购等2</w:t>
      </w:r>
      <w:r>
        <w:rPr>
          <w:rFonts w:hint="default" w:eastAsia="方正仿宋_GBK"/>
          <w:color w:val="auto"/>
          <w:sz w:val="33"/>
          <w:szCs w:val="33"/>
        </w:rPr>
        <w:t>个项目开展了预算事前绩效评估，对</w:t>
      </w:r>
      <w:r>
        <w:rPr>
          <w:rFonts w:hint="eastAsia" w:eastAsia="方正仿宋_GBK"/>
          <w:color w:val="0000FF"/>
          <w:sz w:val="33"/>
          <w:szCs w:val="33"/>
          <w:lang w:val="en-US" w:eastAsia="zh-CN"/>
        </w:rPr>
        <w:t>2</w:t>
      </w:r>
      <w:r>
        <w:rPr>
          <w:rFonts w:hint="default" w:eastAsia="方正仿宋_GBK"/>
          <w:color w:val="auto"/>
          <w:sz w:val="33"/>
          <w:szCs w:val="33"/>
        </w:rPr>
        <w:t>个项目编制了绩效目标，预算执行过程中，选取</w:t>
      </w:r>
      <w:r>
        <w:rPr>
          <w:rFonts w:hint="eastAsia" w:eastAsia="方正仿宋_GBK"/>
          <w:color w:val="0000FF"/>
          <w:sz w:val="33"/>
          <w:szCs w:val="33"/>
          <w:lang w:val="en-US" w:eastAsia="zh-CN"/>
        </w:rPr>
        <w:t>2</w:t>
      </w:r>
      <w:r>
        <w:rPr>
          <w:rFonts w:hint="default" w:eastAsia="方正仿宋_GBK"/>
          <w:color w:val="auto"/>
          <w:sz w:val="33"/>
          <w:szCs w:val="33"/>
        </w:rPr>
        <w:t>个项目开展绩效监控，组织对</w:t>
      </w:r>
      <w:r>
        <w:rPr>
          <w:rFonts w:hint="eastAsia" w:eastAsia="方正仿宋_GBK"/>
          <w:color w:val="0000FF"/>
          <w:sz w:val="33"/>
          <w:szCs w:val="33"/>
          <w:lang w:val="en-US" w:eastAsia="zh-CN"/>
        </w:rPr>
        <w:t>2</w:t>
      </w:r>
      <w:r>
        <w:rPr>
          <w:rFonts w:hint="default" w:eastAsia="方正仿宋_GBK"/>
          <w:color w:val="auto"/>
          <w:sz w:val="33"/>
          <w:szCs w:val="33"/>
        </w:rPr>
        <w:t>个项目开展绩效自评，绩效自评表详见第四部分附件。</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b/>
          <w:bCs/>
          <w:sz w:val="33"/>
          <w:szCs w:val="33"/>
          <w:lang w:eastAsia="zh-CN"/>
        </w:rPr>
      </w:pPr>
      <w:r>
        <w:rPr>
          <w:rFonts w:hint="default" w:ascii="Times New Roman" w:hAnsi="Times New Roman" w:eastAsia="方正仿宋_GBK" w:cs="Times New Roman"/>
          <w:b/>
          <w:bCs/>
          <w:sz w:val="33"/>
          <w:szCs w:val="33"/>
        </w:rPr>
        <w:t>1.项目绩效目标完成情况</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本部门在202</w:t>
      </w:r>
      <w:r>
        <w:rPr>
          <w:rFonts w:hint="eastAsia" w:ascii="Times New Roman" w:hAnsi="Times New Roman" w:eastAsia="方正仿宋_GBK" w:cs="Times New Roman"/>
          <w:color w:val="auto"/>
          <w:sz w:val="33"/>
          <w:szCs w:val="33"/>
          <w:highlight w:val="none"/>
          <w:lang w:val="en-US" w:eastAsia="zh-CN"/>
        </w:rPr>
        <w:t>2</w:t>
      </w:r>
      <w:r>
        <w:rPr>
          <w:rFonts w:hint="default" w:ascii="Times New Roman" w:hAnsi="Times New Roman" w:eastAsia="方正仿宋_GBK" w:cs="Times New Roman"/>
          <w:color w:val="auto"/>
          <w:sz w:val="33"/>
          <w:szCs w:val="33"/>
          <w:highlight w:val="none"/>
        </w:rPr>
        <w:t>年度部门决算中反映</w:t>
      </w:r>
      <w:r>
        <w:rPr>
          <w:rFonts w:hint="eastAsia" w:ascii="Times New Roman" w:hAnsi="Times New Roman" w:eastAsia="方正仿宋_GBK" w:cs="Times New Roman"/>
          <w:color w:val="auto"/>
          <w:sz w:val="33"/>
          <w:szCs w:val="33"/>
          <w:highlight w:val="none"/>
          <w:lang w:eastAsia="zh-CN"/>
        </w:rPr>
        <w:t>“</w:t>
      </w:r>
      <w:r>
        <w:rPr>
          <w:rFonts w:hint="eastAsia" w:eastAsia="方正仿宋_GBK"/>
          <w:color w:val="0000FF"/>
          <w:sz w:val="33"/>
          <w:szCs w:val="33"/>
          <w:highlight w:val="none"/>
          <w:lang w:val="en-US" w:eastAsia="zh-CN"/>
        </w:rPr>
        <w:t>仓顶阳光”“应急成品粮油保障能力提升采购”</w:t>
      </w:r>
      <w:r>
        <w:rPr>
          <w:rFonts w:hint="default" w:ascii="Times New Roman" w:hAnsi="Times New Roman" w:eastAsia="方正仿宋_GBK" w:cs="Times New Roman"/>
          <w:color w:val="auto"/>
          <w:sz w:val="33"/>
          <w:szCs w:val="33"/>
          <w:highlight w:val="none"/>
        </w:rPr>
        <w:t>等</w:t>
      </w:r>
      <w:r>
        <w:rPr>
          <w:rFonts w:hint="eastAsia" w:ascii="Times New Roman" w:hAnsi="Times New Roman" w:eastAsia="方正仿宋_GBK" w:cs="Times New Roman"/>
          <w:color w:val="auto"/>
          <w:sz w:val="33"/>
          <w:szCs w:val="33"/>
          <w:highlight w:val="none"/>
          <w:lang w:val="en-US" w:eastAsia="zh-CN"/>
        </w:rPr>
        <w:t>2</w:t>
      </w:r>
      <w:r>
        <w:rPr>
          <w:rFonts w:hint="default" w:ascii="Times New Roman" w:hAnsi="Times New Roman" w:eastAsia="方正仿宋_GBK" w:cs="Times New Roman"/>
          <w:color w:val="auto"/>
          <w:sz w:val="33"/>
          <w:szCs w:val="33"/>
          <w:highlight w:val="none"/>
        </w:rPr>
        <w:t>个项目绩效目标</w:t>
      </w:r>
      <w:r>
        <w:rPr>
          <w:rFonts w:hint="default"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本单位部门项目绩效目标全部进行公开。</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rPr>
        <w:t>（1）</w:t>
      </w:r>
      <w:r>
        <w:rPr>
          <w:rFonts w:hint="eastAsia" w:eastAsia="方正仿宋_GBK"/>
          <w:color w:val="0000FF"/>
          <w:sz w:val="33"/>
          <w:szCs w:val="33"/>
          <w:highlight w:val="none"/>
          <w:lang w:val="en-US" w:eastAsia="zh-CN"/>
        </w:rPr>
        <w:t>仓顶阳光</w:t>
      </w:r>
      <w:r>
        <w:rPr>
          <w:rFonts w:hint="default" w:ascii="Times New Roman" w:hAnsi="Times New Roman" w:eastAsia="方正仿宋_GBK" w:cs="Times New Roman"/>
          <w:color w:val="auto"/>
          <w:sz w:val="33"/>
          <w:szCs w:val="33"/>
          <w:highlight w:val="none"/>
        </w:rPr>
        <w:t>项目绩效目标完成情况。项目全年预算数</w:t>
      </w:r>
      <w:r>
        <w:rPr>
          <w:rFonts w:hint="eastAsia" w:ascii="Times New Roman" w:hAnsi="Times New Roman" w:eastAsia="方正仿宋_GBK" w:cs="Times New Roman"/>
          <w:color w:val="auto"/>
          <w:sz w:val="33"/>
          <w:szCs w:val="33"/>
          <w:highlight w:val="none"/>
          <w:lang w:val="en-US" w:eastAsia="zh-CN"/>
        </w:rPr>
        <w:t>275</w:t>
      </w:r>
      <w:r>
        <w:rPr>
          <w:rFonts w:hint="default" w:ascii="Times New Roman" w:hAnsi="Times New Roman" w:eastAsia="方正仿宋_GBK" w:cs="Times New Roman"/>
          <w:color w:val="auto"/>
          <w:sz w:val="33"/>
          <w:szCs w:val="33"/>
          <w:highlight w:val="none"/>
        </w:rPr>
        <w:t>万元，执行数为</w:t>
      </w:r>
      <w:r>
        <w:rPr>
          <w:rFonts w:hint="eastAsia" w:ascii="Times New Roman" w:hAnsi="Times New Roman" w:eastAsia="方正仿宋_GBK" w:cs="Times New Roman"/>
          <w:color w:val="auto"/>
          <w:sz w:val="33"/>
          <w:szCs w:val="33"/>
          <w:highlight w:val="none"/>
          <w:lang w:val="en-US" w:eastAsia="zh-CN"/>
        </w:rPr>
        <w:t>275</w:t>
      </w:r>
      <w:r>
        <w:rPr>
          <w:rFonts w:hint="default" w:ascii="Times New Roman" w:hAnsi="Times New Roman" w:eastAsia="方正仿宋_GBK" w:cs="Times New Roman"/>
          <w:color w:val="auto"/>
          <w:sz w:val="33"/>
          <w:szCs w:val="33"/>
          <w:highlight w:val="none"/>
        </w:rPr>
        <w:t>万元，完成预算的</w:t>
      </w:r>
      <w:r>
        <w:rPr>
          <w:rFonts w:hint="default" w:ascii="Times New Roman" w:hAnsi="Times New Roman" w:eastAsia="方正仿宋_GBK" w:cs="Times New Roman"/>
          <w:color w:val="auto"/>
          <w:sz w:val="33"/>
          <w:szCs w:val="33"/>
          <w:highlight w:val="none"/>
          <w:lang w:val="en-US" w:eastAsia="zh-CN"/>
        </w:rPr>
        <w:t>100</w:t>
      </w:r>
      <w:r>
        <w:rPr>
          <w:rFonts w:hint="default" w:ascii="Times New Roman" w:hAnsi="Times New Roman" w:eastAsia="方正仿宋_GBK" w:cs="Times New Roman"/>
          <w:color w:val="auto"/>
          <w:sz w:val="33"/>
          <w:szCs w:val="33"/>
          <w:highlight w:val="none"/>
        </w:rPr>
        <w:t>%。通过项目实施，</w:t>
      </w:r>
      <w:r>
        <w:rPr>
          <w:rFonts w:hint="eastAsia" w:ascii="Times New Roman" w:hAnsi="Times New Roman" w:eastAsia="方正仿宋_GBK" w:cs="Times New Roman"/>
          <w:color w:val="auto"/>
          <w:sz w:val="33"/>
          <w:szCs w:val="33"/>
          <w:highlight w:val="none"/>
          <w:lang w:val="en-US" w:eastAsia="zh-CN"/>
        </w:rPr>
        <w:t>推动粮油产业高质量发展</w:t>
      </w:r>
      <w:r>
        <w:rPr>
          <w:rFonts w:hint="default"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lang w:val="en-US" w:eastAsia="zh-CN"/>
        </w:rPr>
        <w:t>提升粮油仓储基础设施水平，</w:t>
      </w:r>
      <w:r>
        <w:rPr>
          <w:rFonts w:hint="default" w:ascii="Times New Roman" w:hAnsi="Times New Roman" w:eastAsia="方正仿宋_GBK" w:cs="Times New Roman"/>
          <w:color w:val="auto"/>
          <w:sz w:val="33"/>
          <w:szCs w:val="33"/>
          <w:highlight w:val="none"/>
          <w:lang w:val="en-US" w:eastAsia="zh-CN"/>
        </w:rPr>
        <w:t>无存在</w:t>
      </w:r>
      <w:r>
        <w:rPr>
          <w:rFonts w:hint="default" w:ascii="Times New Roman" w:hAnsi="Times New Roman" w:eastAsia="方正仿宋_GBK" w:cs="Times New Roman"/>
          <w:color w:val="auto"/>
          <w:sz w:val="33"/>
          <w:szCs w:val="33"/>
          <w:highlight w:val="none"/>
        </w:rPr>
        <w:t>问题</w:t>
      </w:r>
      <w:r>
        <w:rPr>
          <w:rFonts w:hint="default" w:ascii="Times New Roman" w:hAnsi="Times New Roman" w:eastAsia="方正仿宋_GBK" w:cs="Times New Roman"/>
          <w:color w:val="auto"/>
          <w:sz w:val="33"/>
          <w:szCs w:val="33"/>
          <w:highlight w:val="none"/>
          <w:lang w:eastAsia="zh-CN"/>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rPr>
        <w:t>（2）</w:t>
      </w:r>
      <w:r>
        <w:rPr>
          <w:rFonts w:hint="eastAsia" w:eastAsia="方正仿宋_GBK"/>
          <w:color w:val="0000FF"/>
          <w:sz w:val="33"/>
          <w:szCs w:val="33"/>
          <w:highlight w:val="none"/>
          <w:lang w:val="en-US" w:eastAsia="zh-CN"/>
        </w:rPr>
        <w:t>应急成品粮油保障能力提升采购</w:t>
      </w:r>
      <w:r>
        <w:rPr>
          <w:rFonts w:hint="default" w:ascii="Times New Roman" w:hAnsi="Times New Roman" w:eastAsia="方正仿宋_GBK" w:cs="Times New Roman"/>
          <w:color w:val="auto"/>
          <w:sz w:val="33"/>
          <w:szCs w:val="33"/>
          <w:highlight w:val="none"/>
        </w:rPr>
        <w:t>项目绩效目标完成情况。项目全年预算数</w:t>
      </w:r>
      <w:r>
        <w:rPr>
          <w:rFonts w:hint="eastAsia" w:ascii="Times New Roman" w:hAnsi="Times New Roman" w:eastAsia="方正仿宋_GBK" w:cs="Times New Roman"/>
          <w:color w:val="auto"/>
          <w:sz w:val="33"/>
          <w:szCs w:val="33"/>
          <w:highlight w:val="none"/>
          <w:lang w:val="en-US" w:eastAsia="zh-CN"/>
        </w:rPr>
        <w:t>30</w:t>
      </w:r>
      <w:r>
        <w:rPr>
          <w:rFonts w:hint="default" w:ascii="Times New Roman" w:hAnsi="Times New Roman" w:eastAsia="方正仿宋_GBK" w:cs="Times New Roman"/>
          <w:color w:val="auto"/>
          <w:sz w:val="33"/>
          <w:szCs w:val="33"/>
          <w:highlight w:val="none"/>
        </w:rPr>
        <w:t>万元，执行数为</w:t>
      </w:r>
      <w:r>
        <w:rPr>
          <w:rFonts w:hint="eastAsia" w:ascii="Times New Roman" w:hAnsi="Times New Roman" w:eastAsia="方正仿宋_GBK" w:cs="Times New Roman"/>
          <w:color w:val="auto"/>
          <w:sz w:val="33"/>
          <w:szCs w:val="33"/>
          <w:highlight w:val="none"/>
          <w:lang w:val="en-US" w:eastAsia="zh-CN"/>
        </w:rPr>
        <w:t>30</w:t>
      </w:r>
      <w:r>
        <w:rPr>
          <w:rFonts w:hint="default" w:ascii="Times New Roman" w:hAnsi="Times New Roman" w:eastAsia="方正仿宋_GBK" w:cs="Times New Roman"/>
          <w:color w:val="auto"/>
          <w:sz w:val="33"/>
          <w:szCs w:val="33"/>
          <w:highlight w:val="none"/>
        </w:rPr>
        <w:t>万元，完成预算的</w:t>
      </w:r>
      <w:r>
        <w:rPr>
          <w:rFonts w:hint="default" w:ascii="Times New Roman" w:hAnsi="Times New Roman" w:eastAsia="方正仿宋_GBK" w:cs="Times New Roman"/>
          <w:color w:val="auto"/>
          <w:sz w:val="33"/>
          <w:szCs w:val="33"/>
          <w:highlight w:val="none"/>
          <w:lang w:val="en-US" w:eastAsia="zh-CN"/>
        </w:rPr>
        <w:t>100</w:t>
      </w:r>
      <w:r>
        <w:rPr>
          <w:rFonts w:hint="default" w:ascii="Times New Roman" w:hAnsi="Times New Roman" w:eastAsia="方正仿宋_GBK" w:cs="Times New Roman"/>
          <w:color w:val="auto"/>
          <w:sz w:val="33"/>
          <w:szCs w:val="33"/>
          <w:highlight w:val="none"/>
        </w:rPr>
        <w:t>%。通过项目实施，确保</w:t>
      </w:r>
      <w:r>
        <w:rPr>
          <w:rFonts w:hint="default" w:ascii="Times New Roman" w:hAnsi="Times New Roman" w:eastAsia="方正仿宋_GBK" w:cs="Times New Roman"/>
          <w:color w:val="auto"/>
          <w:sz w:val="33"/>
          <w:szCs w:val="33"/>
          <w:highlight w:val="none"/>
          <w:lang w:val="en-US" w:eastAsia="zh-CN"/>
        </w:rPr>
        <w:t>了</w:t>
      </w:r>
      <w:r>
        <w:rPr>
          <w:rFonts w:hint="default" w:ascii="Times New Roman" w:hAnsi="Times New Roman" w:eastAsia="方正仿宋_GBK" w:cs="Times New Roman"/>
          <w:color w:val="auto"/>
          <w:sz w:val="33"/>
          <w:szCs w:val="33"/>
          <w:highlight w:val="none"/>
        </w:rPr>
        <w:t>粮库安全，保障</w:t>
      </w:r>
      <w:r>
        <w:rPr>
          <w:rFonts w:hint="default" w:ascii="Times New Roman" w:hAnsi="Times New Roman" w:eastAsia="方正仿宋_GBK" w:cs="Times New Roman"/>
          <w:color w:val="auto"/>
          <w:sz w:val="33"/>
          <w:szCs w:val="33"/>
          <w:highlight w:val="none"/>
          <w:lang w:val="en-US" w:eastAsia="zh-CN"/>
        </w:rPr>
        <w:t>了</w:t>
      </w:r>
      <w:r>
        <w:rPr>
          <w:rFonts w:hint="default" w:ascii="Times New Roman" w:hAnsi="Times New Roman" w:eastAsia="方正仿宋_GBK" w:cs="Times New Roman"/>
          <w:color w:val="auto"/>
          <w:sz w:val="33"/>
          <w:szCs w:val="33"/>
          <w:highlight w:val="none"/>
        </w:rPr>
        <w:t>粮食安全</w:t>
      </w:r>
      <w:r>
        <w:rPr>
          <w:rFonts w:hint="default"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lang w:val="en-US" w:eastAsia="zh-CN"/>
        </w:rPr>
        <w:t>无存在</w:t>
      </w:r>
      <w:r>
        <w:rPr>
          <w:rFonts w:hint="default" w:ascii="Times New Roman" w:hAnsi="Times New Roman" w:eastAsia="方正仿宋_GBK" w:cs="Times New Roman"/>
          <w:color w:val="auto"/>
          <w:sz w:val="33"/>
          <w:szCs w:val="33"/>
          <w:highlight w:val="none"/>
        </w:rPr>
        <w:t>问题</w:t>
      </w:r>
      <w:r>
        <w:rPr>
          <w:rFonts w:hint="default" w:ascii="Times New Roman" w:hAnsi="Times New Roman" w:eastAsia="方正仿宋_GBK" w:cs="Times New Roman"/>
          <w:color w:val="auto"/>
          <w:sz w:val="33"/>
          <w:szCs w:val="33"/>
          <w:highlight w:val="none"/>
          <w:lang w:eastAsia="zh-CN"/>
        </w:rPr>
        <w:t>。</w:t>
      </w:r>
    </w:p>
    <w:p>
      <w:pPr>
        <w:pStyle w:val="5"/>
        <w:rPr>
          <w:rFonts w:hint="default" w:ascii="Times New Roman" w:hAnsi="Times New Roman" w:eastAsia="方正仿宋_GBK" w:cs="Times New Roman"/>
          <w:color w:val="auto"/>
          <w:sz w:val="33"/>
          <w:szCs w:val="33"/>
          <w:lang w:eastAsia="zh-CN"/>
        </w:rPr>
      </w:pPr>
    </w:p>
    <w:p>
      <w:pPr>
        <w:pStyle w:val="5"/>
        <w:rPr>
          <w:rFonts w:hint="default" w:ascii="Times New Roman" w:hAnsi="Times New Roman" w:eastAsia="方正仿宋_GBK" w:cs="Times New Roman"/>
          <w:color w:val="auto"/>
          <w:sz w:val="33"/>
          <w:szCs w:val="33"/>
          <w:lang w:eastAsia="zh-CN"/>
        </w:rPr>
      </w:pPr>
    </w:p>
    <w:p>
      <w:pPr>
        <w:pStyle w:val="5"/>
        <w:rPr>
          <w:rFonts w:hint="default" w:ascii="Times New Roman" w:hAnsi="Times New Roman" w:eastAsia="方正仿宋_GBK" w:cs="Times New Roman"/>
          <w:color w:val="auto"/>
          <w:sz w:val="33"/>
          <w:szCs w:val="33"/>
          <w:lang w:eastAsia="zh-CN"/>
        </w:rPr>
      </w:pPr>
    </w:p>
    <w:p>
      <w:pPr>
        <w:pStyle w:val="5"/>
        <w:rPr>
          <w:rFonts w:hint="default" w:ascii="Times New Roman" w:hAnsi="Times New Roman" w:eastAsia="方正仿宋_GBK" w:cs="Times New Roman"/>
          <w:color w:val="auto"/>
          <w:sz w:val="33"/>
          <w:szCs w:val="33"/>
          <w:lang w:eastAsia="zh-CN"/>
        </w:rPr>
      </w:pPr>
    </w:p>
    <w:p>
      <w:pPr>
        <w:pStyle w:val="5"/>
        <w:rPr>
          <w:rFonts w:hint="default" w:ascii="Times New Roman" w:hAnsi="Times New Roman" w:eastAsia="方正仿宋_GBK" w:cs="Times New Roman"/>
          <w:color w:val="auto"/>
          <w:sz w:val="33"/>
          <w:szCs w:val="33"/>
          <w:lang w:eastAsia="zh-CN"/>
        </w:rPr>
      </w:pPr>
    </w:p>
    <w:p>
      <w:pPr>
        <w:pStyle w:val="5"/>
        <w:rPr>
          <w:rFonts w:hint="default" w:ascii="Times New Roman" w:hAnsi="Times New Roman" w:eastAsia="方正仿宋_GBK" w:cs="Times New Roman"/>
          <w:color w:val="auto"/>
          <w:sz w:val="33"/>
          <w:szCs w:val="33"/>
          <w:lang w:eastAsia="zh-CN"/>
        </w:rPr>
      </w:pPr>
    </w:p>
    <w:tbl>
      <w:tblPr>
        <w:tblStyle w:val="10"/>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w:t>
            </w:r>
            <w:r>
              <w:rPr>
                <w:rFonts w:hint="default" w:ascii="Times New Roman" w:hAnsi="Times New Roman" w:cs="Times New Roman"/>
                <w:color w:val="000000"/>
                <w:kern w:val="0"/>
                <w:sz w:val="36"/>
                <w:szCs w:val="36"/>
                <w:lang w:val="en-US" w:eastAsia="zh-CN"/>
              </w:rPr>
              <w:t>2</w:t>
            </w:r>
            <w:r>
              <w:rPr>
                <w:rFonts w:hint="default" w:ascii="Times New Roman" w:hAnsi="Times New Roman" w:cs="Times New Roman"/>
                <w:color w:val="000000"/>
                <w:kern w:val="0"/>
                <w:sz w:val="36"/>
                <w:szCs w:val="36"/>
              </w:rPr>
              <w:t>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仓顶阳光</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sz w:val="24"/>
                <w:lang w:eastAsia="zh-CN"/>
              </w:rPr>
              <w:t>邻水县</w:t>
            </w:r>
            <w:r>
              <w:rPr>
                <w:rFonts w:hint="eastAsia" w:ascii="Times New Roman" w:hAnsi="Times New Roman" w:cs="Times New Roman"/>
                <w:color w:val="000000"/>
                <w:sz w:val="24"/>
                <w:lang w:val="en-US" w:eastAsia="zh-CN"/>
              </w:rPr>
              <w:t>粮食和物资储备中心</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275</w:t>
            </w:r>
            <w:r>
              <w:rPr>
                <w:rFonts w:hint="default" w:ascii="Times New Roman" w:hAnsi="Times New Roman" w:cs="Times New Roman"/>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275</w:t>
            </w:r>
            <w:r>
              <w:rPr>
                <w:rFonts w:hint="default" w:ascii="Times New Roman" w:hAnsi="Times New Roman" w:cs="Times New Roman"/>
                <w:color w:val="000000"/>
                <w:sz w:val="24"/>
                <w:lang w:val="en-US" w:eastAsia="zh-CN"/>
              </w:rPr>
              <w:t>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275</w:t>
            </w:r>
            <w:r>
              <w:rPr>
                <w:rFonts w:hint="default" w:ascii="Times New Roman" w:hAnsi="Times New Roman" w:cs="Times New Roman"/>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275</w:t>
            </w:r>
            <w:r>
              <w:rPr>
                <w:rFonts w:hint="default" w:ascii="Times New Roman" w:hAnsi="Times New Roman" w:cs="Times New Roman"/>
                <w:color w:val="000000"/>
                <w:sz w:val="24"/>
                <w:lang w:val="en-US" w:eastAsia="zh-CN"/>
              </w:rPr>
              <w:t>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eastAsia="宋体" w:cs="Times New Roman"/>
                <w:color w:val="000000"/>
                <w:kern w:val="0"/>
                <w:sz w:val="24"/>
                <w:szCs w:val="24"/>
              </w:rPr>
              <w:t>在4栋低温粮食储备库仓顶现浇混凝土基础400个，安装光伏支架和光伏组件、直流电缆、接地系统，安装桥架、逆变器、配电柜等，并实施接入变压器改造。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cs="Times New Roman"/>
                <w:color w:val="000000"/>
                <w:sz w:val="24"/>
                <w:highlight w:val="yellow"/>
              </w:rPr>
            </w:pPr>
            <w:r>
              <w:rPr>
                <w:rFonts w:hint="eastAsia" w:cs="Times New Roman"/>
                <w:color w:val="000000"/>
                <w:sz w:val="24"/>
                <w:highlight w:val="none"/>
                <w:lang w:val="en-US" w:eastAsia="zh-CN"/>
              </w:rPr>
              <w:t>已完成</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持续推动</w:t>
            </w:r>
            <w:r>
              <w:rPr>
                <w:rFonts w:hint="default" w:ascii="Times New Roman" w:hAnsi="Times New Roman" w:cs="Times New Roman"/>
                <w:color w:val="000000"/>
                <w:sz w:val="24"/>
                <w:highlight w:val="none"/>
                <w:lang w:val="en-US" w:eastAsia="zh-CN"/>
              </w:rPr>
              <w:t>项目前期工作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eastAsia" w:cs="Times New Roman"/>
                <w:color w:val="000000"/>
                <w:sz w:val="24"/>
                <w:highlight w:val="none"/>
                <w:lang w:val="en-US" w:eastAsia="zh-CN"/>
              </w:rPr>
              <w:t>项目建成后提升粮储基础设施能力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已完成</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eastAsia" w:cs="Times New Roman"/>
                <w:color w:val="000000"/>
                <w:sz w:val="24"/>
                <w:highlight w:val="none"/>
                <w:lang w:val="en-US" w:eastAsia="zh-CN"/>
              </w:rPr>
              <w:t>保障粮食安全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形成良好的社会效益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形成了良好的社会效益</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完成</w:t>
            </w:r>
            <w:r>
              <w:rPr>
                <w:rFonts w:hint="default" w:ascii="Times New Roman" w:hAnsi="Times New Roman" w:cs="Times New Roman"/>
                <w:color w:val="000000"/>
                <w:sz w:val="24"/>
                <w:highlight w:val="none"/>
                <w:lang w:val="en-US" w:eastAsia="zh-CN"/>
              </w:rPr>
              <w:t>2022年项目前期工作，</w:t>
            </w:r>
            <w:r>
              <w:rPr>
                <w:rFonts w:hint="eastAsia" w:cs="Times New Roman"/>
                <w:color w:val="000000"/>
                <w:sz w:val="24"/>
                <w:highlight w:val="none"/>
                <w:lang w:val="en-US" w:eastAsia="zh-CN"/>
              </w:rPr>
              <w:t>提升粮食仓储基础设施建设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eastAsia" w:cs="Times New Roman"/>
                <w:color w:val="000000"/>
                <w:sz w:val="24"/>
                <w:highlight w:val="none"/>
                <w:lang w:val="en-US" w:eastAsia="zh-CN"/>
              </w:rPr>
              <w:t>提升粮食仓储基础设施建设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eastAsia" w:cs="Times New Roman"/>
                <w:color w:val="000000"/>
                <w:sz w:val="24"/>
                <w:highlight w:val="none"/>
                <w:lang w:val="en-US" w:eastAsia="zh-CN"/>
              </w:rPr>
              <w:t>提升粮食仓储基础设施建设</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eastAsia" w:cs="Times New Roman"/>
                <w:color w:val="000000"/>
                <w:sz w:val="24"/>
                <w:highlight w:val="none"/>
                <w:lang w:val="en-US" w:eastAsia="zh-CN"/>
              </w:rPr>
              <w:t>社会</w:t>
            </w:r>
            <w:r>
              <w:rPr>
                <w:rFonts w:hint="default" w:ascii="Times New Roman" w:hAnsi="Times New Roman" w:cs="Times New Roman"/>
                <w:color w:val="000000"/>
                <w:sz w:val="24"/>
                <w:highlight w:val="none"/>
                <w:lang w:eastAsia="zh-CN"/>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满意度≥</w:t>
            </w:r>
            <w:r>
              <w:rPr>
                <w:rFonts w:hint="default" w:ascii="Times New Roman" w:hAnsi="Times New Roman" w:cs="Times New Roman"/>
                <w:color w:val="000000"/>
                <w:sz w:val="24"/>
                <w:highlight w:val="none"/>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满意度≥</w:t>
            </w:r>
            <w:r>
              <w:rPr>
                <w:rFonts w:hint="default" w:ascii="Times New Roman" w:hAnsi="Times New Roman" w:cs="Times New Roman"/>
                <w:color w:val="000000"/>
                <w:sz w:val="24"/>
                <w:highlight w:val="none"/>
                <w:lang w:val="en-US" w:eastAsia="zh-CN"/>
              </w:rPr>
              <w:t>95%</w:t>
            </w:r>
          </w:p>
        </w:tc>
      </w:tr>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w:t>
            </w:r>
            <w:r>
              <w:rPr>
                <w:rFonts w:hint="default" w:ascii="Times New Roman" w:hAnsi="Times New Roman" w:cs="Times New Roman"/>
                <w:color w:val="000000"/>
                <w:kern w:val="0"/>
                <w:sz w:val="36"/>
                <w:szCs w:val="36"/>
                <w:lang w:val="en-US" w:eastAsia="zh-CN"/>
              </w:rPr>
              <w:t>2</w:t>
            </w:r>
            <w:r>
              <w:rPr>
                <w:rFonts w:hint="default" w:ascii="Times New Roman" w:hAnsi="Times New Roman" w:cs="Times New Roman"/>
                <w:color w:val="000000"/>
                <w:kern w:val="0"/>
                <w:sz w:val="36"/>
                <w:szCs w:val="36"/>
              </w:rPr>
              <w:t>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eastAsia="宋体"/>
                <w:color w:val="0000FF"/>
                <w:sz w:val="24"/>
                <w:szCs w:val="24"/>
                <w:lang w:val="en-US" w:eastAsia="zh-CN"/>
              </w:rPr>
              <w:t>应急成品粮油保障能力提升采购</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lang w:val="en-US"/>
              </w:rPr>
            </w:pPr>
            <w:r>
              <w:rPr>
                <w:rFonts w:hint="default" w:ascii="Times New Roman" w:hAnsi="Times New Roman" w:cs="Times New Roman"/>
                <w:color w:val="000000"/>
                <w:sz w:val="24"/>
                <w:lang w:eastAsia="zh-CN"/>
              </w:rPr>
              <w:t>邻水县</w:t>
            </w:r>
            <w:r>
              <w:rPr>
                <w:rFonts w:hint="eastAsia" w:ascii="Times New Roman" w:hAnsi="Times New Roman" w:cs="Times New Roman"/>
                <w:color w:val="000000"/>
                <w:sz w:val="24"/>
                <w:lang w:val="en-US" w:eastAsia="zh-CN"/>
              </w:rPr>
              <w:t>粮食和物资储备中心</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30</w:t>
            </w:r>
            <w:r>
              <w:rPr>
                <w:rFonts w:hint="default" w:ascii="Times New Roman" w:hAnsi="Times New Roman" w:cs="Times New Roman"/>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30</w:t>
            </w:r>
            <w:r>
              <w:rPr>
                <w:rFonts w:hint="default" w:ascii="Times New Roman" w:hAnsi="Times New Roman" w:cs="Times New Roman"/>
                <w:color w:val="000000"/>
                <w:sz w:val="24"/>
                <w:lang w:val="en-US" w:eastAsia="zh-CN"/>
              </w:rPr>
              <w:t>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30</w:t>
            </w:r>
            <w:r>
              <w:rPr>
                <w:rFonts w:hint="default" w:ascii="Times New Roman" w:hAnsi="Times New Roman" w:cs="Times New Roman"/>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30</w:t>
            </w:r>
            <w:r>
              <w:rPr>
                <w:rFonts w:hint="default" w:ascii="Times New Roman" w:hAnsi="Times New Roman" w:cs="Times New Roman"/>
                <w:color w:val="000000"/>
                <w:sz w:val="24"/>
                <w:lang w:val="en-US" w:eastAsia="zh-CN"/>
              </w:rPr>
              <w:t>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highlight w:val="yellow"/>
                <w:lang w:val="en-US" w:eastAsia="zh-CN"/>
              </w:rPr>
            </w:pPr>
            <w:r>
              <w:rPr>
                <w:rFonts w:hint="eastAsia" w:cs="Times New Roman"/>
                <w:color w:val="000000"/>
                <w:sz w:val="24"/>
                <w:highlight w:val="none"/>
                <w:lang w:val="en-US" w:eastAsia="zh-CN"/>
              </w:rPr>
              <w:t>建立完善应急成品粮油保障系统，提升粮油应急保障能力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highlight w:val="yellow"/>
                <w:lang w:val="en-US" w:eastAsia="zh-CN"/>
              </w:rPr>
            </w:pPr>
            <w:r>
              <w:rPr>
                <w:rFonts w:hint="eastAsia" w:cs="Times New Roman"/>
                <w:color w:val="000000"/>
                <w:sz w:val="24"/>
                <w:highlight w:val="none"/>
                <w:lang w:val="en-US" w:eastAsia="zh-CN"/>
              </w:rPr>
              <w:t>已完成</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持续推动</w:t>
            </w:r>
            <w:r>
              <w:rPr>
                <w:rFonts w:hint="default" w:ascii="Times New Roman" w:hAnsi="Times New Roman" w:cs="Times New Roman"/>
                <w:color w:val="000000"/>
                <w:sz w:val="24"/>
                <w:highlight w:val="none"/>
                <w:lang w:val="en-US" w:eastAsia="zh-CN"/>
              </w:rPr>
              <w:t>项目前期工作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highlight w:val="yellow"/>
                <w:lang w:val="en-US" w:eastAsia="zh-CN"/>
              </w:rPr>
            </w:pPr>
            <w:r>
              <w:rPr>
                <w:rFonts w:hint="eastAsia" w:cs="Times New Roman"/>
                <w:color w:val="000000"/>
                <w:sz w:val="24"/>
                <w:highlight w:val="none"/>
                <w:lang w:val="en-US" w:eastAsia="zh-CN"/>
              </w:rPr>
              <w:t>项目建成后提升粮油应急保障能力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highlight w:val="yellow"/>
                <w:lang w:val="en-US" w:eastAsia="zh-CN"/>
              </w:rPr>
            </w:pPr>
            <w:r>
              <w:rPr>
                <w:rFonts w:hint="eastAsia" w:cs="Times New Roman"/>
                <w:color w:val="000000"/>
                <w:sz w:val="24"/>
                <w:highlight w:val="none"/>
                <w:lang w:val="en-US" w:eastAsia="zh-CN"/>
              </w:rPr>
              <w:t>已完成</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eastAsia" w:cs="Times New Roman"/>
                <w:color w:val="000000"/>
                <w:sz w:val="24"/>
                <w:highlight w:val="none"/>
                <w:lang w:val="en-US" w:eastAsia="zh-CN"/>
              </w:rPr>
              <w:t>保障粮食安全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形成良好的社会效益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形成</w:t>
            </w:r>
            <w:r>
              <w:rPr>
                <w:rFonts w:hint="eastAsia" w:cs="Times New Roman"/>
                <w:color w:val="000000"/>
                <w:sz w:val="24"/>
                <w:highlight w:val="none"/>
                <w:lang w:val="en-US" w:eastAsia="zh-CN"/>
              </w:rPr>
              <w:t>了</w:t>
            </w:r>
            <w:r>
              <w:rPr>
                <w:rFonts w:hint="default" w:ascii="Times New Roman" w:hAnsi="Times New Roman" w:cs="Times New Roman"/>
                <w:color w:val="000000"/>
                <w:sz w:val="24"/>
                <w:highlight w:val="none"/>
                <w:lang w:eastAsia="zh-CN"/>
              </w:rPr>
              <w:t>良好的社会效益</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eastAsia" w:cs="Times New Roman"/>
                <w:color w:val="000000"/>
                <w:sz w:val="24"/>
                <w:highlight w:val="none"/>
                <w:lang w:val="en-US" w:eastAsia="zh-CN"/>
              </w:rPr>
              <w:t>经济</w:t>
            </w:r>
            <w:r>
              <w:rPr>
                <w:rFonts w:hint="default" w:ascii="Times New Roman" w:hAnsi="Times New Roman" w:cs="Times New Roman"/>
                <w:color w:val="000000"/>
                <w:sz w:val="24"/>
                <w:highlight w:val="none"/>
                <w:lang w:eastAsia="zh-CN"/>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完成</w:t>
            </w:r>
            <w:r>
              <w:rPr>
                <w:rFonts w:hint="default" w:ascii="Times New Roman" w:hAnsi="Times New Roman" w:cs="Times New Roman"/>
                <w:color w:val="000000"/>
                <w:sz w:val="24"/>
                <w:highlight w:val="none"/>
                <w:lang w:val="en-US" w:eastAsia="zh-CN"/>
              </w:rPr>
              <w:t>2022年项目前期工作，</w:t>
            </w:r>
            <w:r>
              <w:rPr>
                <w:rFonts w:hint="eastAsia" w:cs="Times New Roman"/>
                <w:color w:val="000000"/>
                <w:sz w:val="24"/>
                <w:highlight w:val="none"/>
                <w:lang w:val="en-US" w:eastAsia="zh-CN"/>
              </w:rPr>
              <w:t>提升粮油应急保障能力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eastAsia" w:cs="Times New Roman"/>
                <w:color w:val="000000"/>
                <w:sz w:val="24"/>
                <w:highlight w:val="none"/>
                <w:lang w:val="en-US" w:eastAsia="zh-CN"/>
              </w:rPr>
              <w:t>提升粮油应急保障能力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eastAsia" w:cs="Times New Roman"/>
                <w:color w:val="000000"/>
                <w:sz w:val="24"/>
                <w:highlight w:val="none"/>
                <w:lang w:val="en-US" w:eastAsia="zh-CN"/>
              </w:rPr>
              <w:t>提升粮油应急保障能力</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eastAsia" w:cs="Times New Roman"/>
                <w:color w:val="000000"/>
                <w:sz w:val="24"/>
                <w:highlight w:val="none"/>
                <w:lang w:val="en-US" w:eastAsia="zh-CN"/>
              </w:rPr>
              <w:t>社会</w:t>
            </w:r>
            <w:r>
              <w:rPr>
                <w:rFonts w:hint="default" w:ascii="Times New Roman" w:hAnsi="Times New Roman" w:cs="Times New Roman"/>
                <w:color w:val="000000"/>
                <w:sz w:val="24"/>
                <w:highlight w:val="none"/>
                <w:lang w:eastAsia="zh-CN"/>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满意度≥</w:t>
            </w:r>
            <w:r>
              <w:rPr>
                <w:rFonts w:hint="default" w:ascii="Times New Roman" w:hAnsi="Times New Roman" w:cs="Times New Roman"/>
                <w:color w:val="000000"/>
                <w:sz w:val="24"/>
                <w:highlight w:val="none"/>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highlight w:val="yellow"/>
              </w:rPr>
            </w:pPr>
            <w:r>
              <w:rPr>
                <w:rFonts w:hint="default" w:ascii="Times New Roman" w:hAnsi="Times New Roman" w:cs="Times New Roman"/>
                <w:color w:val="000000"/>
                <w:sz w:val="24"/>
                <w:highlight w:val="none"/>
                <w:lang w:eastAsia="zh-CN"/>
              </w:rPr>
              <w:t>满意度≥</w:t>
            </w:r>
            <w:r>
              <w:rPr>
                <w:rFonts w:hint="default" w:ascii="Times New Roman" w:hAnsi="Times New Roman" w:cs="Times New Roman"/>
                <w:color w:val="000000"/>
                <w:sz w:val="24"/>
                <w:highlight w:val="none"/>
                <w:lang w:val="en-US" w:eastAsia="zh-CN"/>
              </w:rPr>
              <w:t>95%</w:t>
            </w:r>
          </w:p>
        </w:tc>
      </w:tr>
    </w:tbl>
    <w:p>
      <w:pPr>
        <w:pStyle w:val="5"/>
        <w:rPr>
          <w:rFonts w:hint="default" w:ascii="Times New Roman" w:hAnsi="Times New Roman" w:eastAsia="方正仿宋_GBK" w:cs="Times New Roman"/>
          <w:color w:val="auto"/>
          <w:sz w:val="33"/>
          <w:szCs w:val="33"/>
          <w:lang w:eastAsia="zh-CN"/>
        </w:rPr>
      </w:pPr>
    </w:p>
    <w:p>
      <w:pPr>
        <w:keepNext w:val="0"/>
        <w:keepLines w:val="0"/>
        <w:pageBreakBefore w:val="0"/>
        <w:widowControl w:val="0"/>
        <w:kinsoku/>
        <w:wordWrap/>
        <w:overflowPunct/>
        <w:topLinePunct w:val="0"/>
        <w:autoSpaceDE/>
        <w:autoSpaceDN/>
        <w:bidi w:val="0"/>
        <w:adjustRightInd/>
        <w:snapToGrid/>
        <w:spacing w:line="590" w:lineRule="exact"/>
        <w:ind w:right="0" w:firstLine="660" w:firstLineChars="200"/>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2.部门绩效评价结果</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本部门按要求对202</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年部门整体支出绩效评价情况开展自评，《</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rPr>
        <w:t>部门202</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年部门整体支出绩效评价报告》见附件。</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本部门自行组织对</w:t>
      </w:r>
      <w:r>
        <w:rPr>
          <w:rFonts w:hint="eastAsia" w:ascii="Times New Roman" w:hAnsi="Times New Roman" w:eastAsia="方正仿宋_GBK" w:cs="Times New Roman"/>
          <w:color w:val="auto"/>
          <w:sz w:val="33"/>
          <w:szCs w:val="33"/>
          <w:lang w:eastAsia="zh-CN"/>
        </w:rPr>
        <w:t>“</w:t>
      </w:r>
      <w:r>
        <w:rPr>
          <w:rFonts w:hint="eastAsia" w:eastAsia="方正仿宋_GBK"/>
          <w:color w:val="0000FF"/>
          <w:sz w:val="33"/>
          <w:szCs w:val="33"/>
          <w:lang w:val="en-US" w:eastAsia="zh-CN"/>
        </w:rPr>
        <w:t>仓顶阳光”“应急成品粮油保障能力提升采购”项目</w:t>
      </w:r>
      <w:r>
        <w:rPr>
          <w:rFonts w:hint="default" w:ascii="Times New Roman" w:hAnsi="Times New Roman" w:eastAsia="方正仿宋_GBK" w:cs="Times New Roman"/>
          <w:color w:val="auto"/>
          <w:sz w:val="33"/>
          <w:szCs w:val="33"/>
        </w:rPr>
        <w:t>开展了绩效评价，《</w:t>
      </w:r>
      <w:r>
        <w:rPr>
          <w:rFonts w:hint="default" w:ascii="Times New Roman" w:hAnsi="Times New Roman" w:eastAsia="方正仿宋_GBK" w:cs="Times New Roman"/>
          <w:b w:val="0"/>
          <w:bCs w:val="0"/>
          <w:color w:val="000000"/>
          <w:kern w:val="2"/>
          <w:sz w:val="33"/>
          <w:szCs w:val="33"/>
          <w:lang w:val="en-US" w:eastAsia="zh-CN"/>
        </w:rPr>
        <w:t>邻水县粮食和物资储备中心</w:t>
      </w:r>
      <w:r>
        <w:rPr>
          <w:rFonts w:hint="default" w:ascii="Times New Roman" w:hAnsi="Times New Roman" w:eastAsia="方正仿宋_GBK" w:cs="Times New Roman"/>
          <w:b w:val="0"/>
          <w:bCs w:val="0"/>
          <w:color w:val="000000"/>
          <w:kern w:val="2"/>
          <w:sz w:val="33"/>
          <w:szCs w:val="33"/>
          <w:lang w:val="en-US"/>
        </w:rPr>
        <w:t>项目</w:t>
      </w:r>
      <w:r>
        <w:rPr>
          <w:rFonts w:hint="eastAsia" w:ascii="Times New Roman" w:hAnsi="Times New Roman" w:eastAsia="方正仿宋_GBK" w:cs="Times New Roman"/>
          <w:color w:val="auto"/>
          <w:sz w:val="33"/>
          <w:szCs w:val="33"/>
          <w:lang w:val="en-US" w:eastAsia="zh-CN"/>
        </w:rPr>
        <w:t>2022</w:t>
      </w:r>
      <w:r>
        <w:rPr>
          <w:rFonts w:hint="default" w:ascii="Times New Roman" w:hAnsi="Times New Roman" w:eastAsia="方正仿宋_GBK" w:cs="Times New Roman"/>
          <w:color w:val="auto"/>
          <w:sz w:val="33"/>
          <w:szCs w:val="33"/>
        </w:rPr>
        <w:t>年</w:t>
      </w:r>
      <w:r>
        <w:rPr>
          <w:rFonts w:hint="eastAsia" w:ascii="Times New Roman" w:hAnsi="Times New Roman" w:eastAsia="方正仿宋_GBK" w:cs="Times New Roman"/>
          <w:color w:val="auto"/>
          <w:sz w:val="33"/>
          <w:szCs w:val="33"/>
          <w:lang w:val="en-US" w:eastAsia="zh-CN"/>
        </w:rPr>
        <w:t>绩效评价报告</w:t>
      </w:r>
      <w:r>
        <w:rPr>
          <w:rFonts w:hint="default" w:ascii="Times New Roman" w:hAnsi="Times New Roman" w:eastAsia="方正仿宋_GBK" w:cs="Times New Roman"/>
          <w:color w:val="auto"/>
          <w:sz w:val="33"/>
          <w:szCs w:val="33"/>
        </w:rPr>
        <w:t>》见附件。</w:t>
      </w:r>
    </w:p>
    <w:p>
      <w:pPr>
        <w:pStyle w:val="5"/>
        <w:rPr>
          <w:rFonts w:hint="default" w:ascii="Times New Roman" w:hAnsi="Times New Roman" w:eastAsia="方正仿宋_GBK" w:cs="Times New Roman"/>
          <w:sz w:val="33"/>
          <w:szCs w:val="33"/>
        </w:rPr>
      </w:pPr>
    </w:p>
    <w:p>
      <w:pPr>
        <w:pageBreakBefore w:val="0"/>
        <w:numPr>
          <w:ilvl w:val="0"/>
          <w:numId w:val="0"/>
        </w:numPr>
        <w:kinsoku/>
        <w:wordWrap/>
        <w:overflowPunct/>
        <w:topLinePunct w:val="0"/>
        <w:bidi w:val="0"/>
        <w:spacing w:line="590" w:lineRule="exact"/>
        <w:ind w:leftChars="150" w:right="0" w:rightChars="0"/>
        <w:jc w:val="center"/>
        <w:outlineLvl w:val="0"/>
        <w:rPr>
          <w:rStyle w:val="14"/>
          <w:rFonts w:hint="eastAsia" w:ascii="黑体" w:hAnsi="黑体" w:eastAsia="黑体" w:cs="黑体"/>
          <w:b w:val="0"/>
          <w:sz w:val="44"/>
          <w:szCs w:val="44"/>
        </w:rPr>
      </w:pPr>
      <w:bookmarkStart w:id="55" w:name="_Toc15377225"/>
      <w:bookmarkStart w:id="56" w:name="_Toc15396613"/>
      <w:r>
        <w:rPr>
          <w:rFonts w:hint="eastAsia" w:ascii="黑体" w:hAnsi="黑体" w:eastAsia="黑体" w:cs="黑体"/>
          <w:color w:val="000000"/>
          <w:sz w:val="44"/>
          <w:szCs w:val="44"/>
          <w:lang w:eastAsia="zh-CN"/>
        </w:rPr>
        <w:t>第三部分</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名</w:t>
      </w:r>
      <w:r>
        <w:rPr>
          <w:rStyle w:val="14"/>
          <w:rFonts w:hint="eastAsia" w:ascii="黑体" w:hAnsi="黑体" w:eastAsia="黑体" w:cs="黑体"/>
          <w:b w:val="0"/>
          <w:sz w:val="44"/>
          <w:szCs w:val="44"/>
        </w:rPr>
        <w:t>词解释</w:t>
      </w:r>
      <w:bookmarkEnd w:id="55"/>
      <w:bookmarkEnd w:id="56"/>
    </w:p>
    <w:p>
      <w:pPr>
        <w:pageBreakBefore w:val="0"/>
        <w:numPr>
          <w:ilvl w:val="0"/>
          <w:numId w:val="0"/>
        </w:numPr>
        <w:kinsoku/>
        <w:wordWrap/>
        <w:overflowPunct/>
        <w:topLinePunct w:val="0"/>
        <w:bidi w:val="0"/>
        <w:spacing w:line="590" w:lineRule="exact"/>
        <w:ind w:right="0" w:rightChars="0"/>
        <w:rPr>
          <w:rFonts w:hint="default" w:ascii="Times New Roman" w:hAnsi="Times New Roman" w:eastAsia="方正仿宋_GBK" w:cs="Times New Roman"/>
          <w:b w:val="0"/>
          <w:bCs/>
          <w:color w:val="000000" w:themeColor="text1"/>
          <w:sz w:val="33"/>
          <w:szCs w:val="33"/>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eastAsia" w:eastAsia="方正仿宋_GBK" w:cs="Times New Roman"/>
          <w:b w:val="0"/>
          <w:bCs/>
          <w:color w:val="000000" w:themeColor="text1"/>
          <w:sz w:val="33"/>
          <w:szCs w:val="33"/>
          <w:lang w:val="en-US" w:eastAsia="zh-CN"/>
          <w14:textFill>
            <w14:solidFill>
              <w14:schemeClr w14:val="tx1"/>
            </w14:solidFill>
          </w14:textFill>
        </w:rPr>
      </w:pPr>
      <w:r>
        <w:rPr>
          <w:rFonts w:hint="eastAsia" w:eastAsia="方正仿宋_GBK" w:cs="Times New Roman"/>
          <w:b w:val="0"/>
          <w:bCs/>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人力资源和社会保障管理事务支出</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default" w:ascii="Times New Roman" w:hAnsi="Times New Roman" w:eastAsia="方正仿宋_GBK" w:cs="Times New Roman"/>
          <w:sz w:val="33"/>
          <w:szCs w:val="33"/>
        </w:rPr>
        <w:t>指部门用财政拨款安排的</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w:t>
      </w:r>
      <w:r>
        <w:rPr>
          <w:rFonts w:hint="eastAsia" w:eastAsia="方正仿宋_GBK" w:cs="Times New Roman"/>
          <w:b w:val="0"/>
          <w:bCs/>
          <w:color w:val="000000" w:themeColor="text1"/>
          <w:sz w:val="33"/>
          <w:szCs w:val="33"/>
          <w:lang w:val="en-US" w:eastAsia="zh-CN"/>
          <w14:textFill>
            <w14:solidFill>
              <w14:schemeClr w14:val="tx1"/>
            </w14:solidFill>
          </w14:textFill>
        </w:rPr>
        <w:t>等费用支出。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eastAsia" w:eastAsia="方正仿宋_GBK" w:cs="Times New Roman"/>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行政单位离退休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Fonts w:hint="eastAsia" w:eastAsia="方正仿宋_GBK" w:cs="Times New Roman"/>
          <w:color w:val="000000"/>
          <w:sz w:val="33"/>
          <w:szCs w:val="33"/>
          <w:lang w:eastAsia="zh-CN"/>
        </w:rPr>
        <w:t>指单位离退休人员社会保障费用支出。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eastAsia" w:eastAsia="方正仿宋_GBK" w:cs="Times New Roman"/>
          <w:b w:val="0"/>
          <w:bCs w:val="0"/>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机关事业单位基本养老保险缴费支出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：指行政事业单位基本养老保险费用支出。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eastAsia" w:eastAsia="方正仿宋_GBK" w:cs="Times New Roman"/>
          <w:b w:val="0"/>
          <w:bCs w:val="0"/>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机关事业单位职业年金缴费支出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eastAsia" w:eastAsia="方正仿宋_GBK" w:cs="Times New Roman"/>
          <w:b w:val="0"/>
          <w:bCs w:val="0"/>
          <w:color w:val="000000"/>
          <w:sz w:val="33"/>
          <w:szCs w:val="33"/>
          <w:lang w:eastAsia="zh-CN"/>
        </w:rPr>
        <w:t>指行政事业单位职业年金缴纳费用支出。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eastAsia" w:eastAsia="方正仿宋_GBK" w:cs="Times New Roman"/>
          <w:b w:val="0"/>
          <w:bCs w:val="0"/>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其他行政事业单位养老支出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eastAsia" w:eastAsia="方正仿宋_GBK" w:cs="Times New Roman"/>
          <w:b w:val="0"/>
          <w:bCs w:val="0"/>
          <w:color w:val="000000"/>
          <w:sz w:val="33"/>
          <w:szCs w:val="33"/>
          <w:lang w:eastAsia="zh-CN"/>
        </w:rPr>
        <w:t>指行政事业单位工伤、失业等其他社会保障费用支出。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eastAsia" w:eastAsia="方正仿宋_GBK" w:cs="Times New Roman"/>
          <w:b w:val="0"/>
          <w:bCs w:val="0"/>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死亡</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eastAsia" w:eastAsia="方正仿宋_GBK" w:cs="Times New Roman"/>
          <w:b w:val="0"/>
          <w:bCs w:val="0"/>
          <w:color w:val="000000"/>
          <w:sz w:val="33"/>
          <w:szCs w:val="33"/>
          <w:lang w:eastAsia="zh-CN"/>
        </w:rPr>
        <w:t>指行政事业单位丧葬、死亡抚恤费用支出。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eastAsia" w:ascii="Times New Roman" w:hAnsi="Times New Roman" w:eastAsia="方正仿宋_GBK" w:cs="Times New Roman"/>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7.</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行政事业单位医疗</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行政单位医疗</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w:t>
      </w:r>
      <w:r>
        <w:rPr>
          <w:rFonts w:hint="eastAsia" w:eastAsia="方正仿宋_GBK" w:cs="Times New Roman"/>
          <w:color w:val="000000"/>
          <w:sz w:val="33"/>
          <w:szCs w:val="33"/>
          <w:lang w:eastAsia="zh-CN"/>
        </w:rPr>
        <w:t>指单位医疗保险等缴费支出。</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8.</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住房改革支出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住房公积金</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Cs/>
          <w:color w:val="000000"/>
          <w:sz w:val="33"/>
          <w:szCs w:val="33"/>
          <w:lang w:eastAsia="zh-CN"/>
        </w:rPr>
        <w:t>：</w:t>
      </w:r>
      <w:r>
        <w:rPr>
          <w:rFonts w:hint="eastAsia" w:eastAsia="方正仿宋_GBK" w:cs="Times New Roman"/>
          <w:color w:val="000000"/>
          <w:sz w:val="33"/>
          <w:szCs w:val="33"/>
          <w:lang w:eastAsia="zh-CN"/>
        </w:rPr>
        <w:t>指行政事业单位住房公积金缴费支出。</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val="0"/>
          <w:color w:val="000000"/>
          <w:sz w:val="33"/>
          <w:szCs w:val="33"/>
          <w:lang w:val="en-US" w:eastAsia="zh-CN"/>
        </w:rPr>
      </w:pPr>
      <w:r>
        <w:rPr>
          <w:rFonts w:hint="eastAsia" w:eastAsia="方正仿宋_GBK" w:cs="Times New Roman"/>
          <w:color w:val="000000" w:themeColor="text1"/>
          <w:sz w:val="33"/>
          <w:szCs w:val="33"/>
          <w:lang w:val="en-US" w:eastAsia="zh-CN"/>
          <w14:textFill>
            <w14:solidFill>
              <w14:schemeClr w14:val="tx1"/>
            </w14:solidFill>
          </w14:textFill>
        </w:rPr>
        <w:t>9.</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行政运行</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lang w:val="en-US" w:eastAsia="zh-CN"/>
        </w:rPr>
        <w:t>行政运行</w:t>
      </w:r>
      <w:r>
        <w:rPr>
          <w:rStyle w:val="12"/>
          <w:rFonts w:hint="eastAsia" w:eastAsia="方正仿宋_GBK" w:cs="Times New Roman"/>
          <w:b w:val="0"/>
          <w:bCs w:val="0"/>
          <w:color w:val="000000"/>
          <w:sz w:val="33"/>
          <w:szCs w:val="33"/>
          <w:lang w:val="en-US" w:eastAsia="zh-CN"/>
        </w:rPr>
        <w:t>费用支出。</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val="0"/>
          <w:color w:val="000000"/>
          <w:sz w:val="33"/>
          <w:szCs w:val="33"/>
          <w:lang w:val="en-US" w:eastAsia="zh-CN"/>
        </w:rPr>
      </w:pPr>
      <w:r>
        <w:rPr>
          <w:rFonts w:hint="eastAsia" w:eastAsia="方正仿宋_GBK" w:cs="Times New Roman"/>
          <w:color w:val="000000" w:themeColor="text1"/>
          <w:sz w:val="33"/>
          <w:szCs w:val="33"/>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信息统计</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w:t>
      </w:r>
      <w:r>
        <w:rPr>
          <w:rStyle w:val="12"/>
          <w:rFonts w:hint="eastAsia" w:eastAsia="方正仿宋_GBK" w:cs="Times New Roman"/>
          <w:b w:val="0"/>
          <w:bCs w:val="0"/>
          <w:color w:val="000000"/>
          <w:sz w:val="33"/>
          <w:szCs w:val="33"/>
          <w:lang w:eastAsia="zh-CN"/>
        </w:rPr>
        <w:t>粮油</w:t>
      </w:r>
      <w:r>
        <w:rPr>
          <w:rStyle w:val="12"/>
          <w:rFonts w:hint="default" w:ascii="Times New Roman" w:hAnsi="Times New Roman" w:eastAsia="方正仿宋_GBK" w:cs="Times New Roman"/>
          <w:b w:val="0"/>
          <w:bCs w:val="0"/>
          <w:color w:val="000000"/>
          <w:sz w:val="33"/>
          <w:szCs w:val="33"/>
          <w:lang w:val="en-US" w:eastAsia="zh-CN"/>
        </w:rPr>
        <w:t>信息统计</w:t>
      </w:r>
      <w:r>
        <w:rPr>
          <w:rStyle w:val="12"/>
          <w:rFonts w:hint="eastAsia" w:eastAsia="方正仿宋_GBK" w:cs="Times New Roman"/>
          <w:b w:val="0"/>
          <w:bCs w:val="0"/>
          <w:color w:val="000000"/>
          <w:sz w:val="33"/>
          <w:szCs w:val="33"/>
          <w:lang w:val="en-US" w:eastAsia="zh-CN"/>
        </w:rPr>
        <w:t>费用支出。</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val="0"/>
          <w:color w:val="000000"/>
          <w:sz w:val="33"/>
          <w:szCs w:val="33"/>
          <w:lang w:val="en-US" w:eastAsia="zh-CN"/>
        </w:rPr>
      </w:pPr>
      <w:r>
        <w:rPr>
          <w:rFonts w:hint="eastAsia" w:eastAsia="方正仿宋_GBK" w:cs="Times New Roman"/>
          <w:color w:val="000000" w:themeColor="text1"/>
          <w:sz w:val="33"/>
          <w:szCs w:val="33"/>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粮食财务挂账利息补贴</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w:t>
      </w:r>
      <w:r>
        <w:rPr>
          <w:rStyle w:val="12"/>
          <w:rFonts w:hint="default" w:ascii="Times New Roman" w:hAnsi="Times New Roman" w:eastAsia="方正仿宋_GBK" w:cs="Times New Roman"/>
          <w:b w:val="0"/>
          <w:bCs w:val="0"/>
          <w:color w:val="000000"/>
          <w:sz w:val="33"/>
          <w:szCs w:val="33"/>
          <w:lang w:val="en-US" w:eastAsia="zh-CN"/>
        </w:rPr>
        <w:t>粮食财务挂账利息补贴</w:t>
      </w:r>
      <w:r>
        <w:rPr>
          <w:rStyle w:val="12"/>
          <w:rFonts w:hint="eastAsia" w:eastAsia="方正仿宋_GBK" w:cs="Times New Roman"/>
          <w:b w:val="0"/>
          <w:bCs w:val="0"/>
          <w:color w:val="000000"/>
          <w:sz w:val="33"/>
          <w:szCs w:val="33"/>
          <w:lang w:val="en-US" w:eastAsia="zh-CN"/>
        </w:rPr>
        <w:t>费用支出。</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val="0"/>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其他粮油物资事务支出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指单位其他粮油物资事务相关费用支出。</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val="0"/>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储备粮（油）库建设</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w:t>
      </w:r>
      <w:r>
        <w:rPr>
          <w:rStyle w:val="12"/>
          <w:rFonts w:hint="default" w:ascii="Times New Roman" w:hAnsi="Times New Roman" w:eastAsia="方正仿宋_GBK" w:cs="Times New Roman"/>
          <w:b w:val="0"/>
          <w:bCs w:val="0"/>
          <w:color w:val="000000"/>
          <w:sz w:val="33"/>
          <w:szCs w:val="33"/>
          <w:lang w:val="en-US" w:eastAsia="zh-CN"/>
        </w:rPr>
        <w:t>储备粮（油）库建设</w:t>
      </w:r>
      <w:r>
        <w:rPr>
          <w:rStyle w:val="12"/>
          <w:rFonts w:hint="eastAsia" w:eastAsia="方正仿宋_GBK" w:cs="Times New Roman"/>
          <w:b w:val="0"/>
          <w:bCs w:val="0"/>
          <w:color w:val="000000"/>
          <w:sz w:val="33"/>
          <w:szCs w:val="33"/>
          <w:lang w:eastAsia="zh-CN"/>
        </w:rPr>
        <w:t>费用支出。</w:t>
      </w:r>
    </w:p>
    <w:p>
      <w:pPr>
        <w:pageBreakBefore w:val="0"/>
        <w:kinsoku/>
        <w:wordWrap/>
        <w:overflowPunct/>
        <w:topLinePunct w:val="0"/>
        <w:bidi w:val="0"/>
        <w:spacing w:line="590" w:lineRule="exact"/>
        <w:ind w:left="0" w:right="0" w:firstLine="660" w:firstLineChars="200"/>
        <w:rPr>
          <w:rFonts w:hint="eastAsia" w:eastAsia="方正仿宋_GBK" w:cs="Times New Roman"/>
          <w:color w:val="000000" w:themeColor="text1"/>
          <w:sz w:val="33"/>
          <w:szCs w:val="33"/>
          <w:lang w:val="en-US" w:eastAsia="zh-CN"/>
          <w14:textFill>
            <w14:solidFill>
              <w14:schemeClr w14:val="tx1"/>
            </w14:solidFill>
          </w14:textFill>
        </w:rPr>
      </w:pPr>
      <w:r>
        <w:rPr>
          <w:rFonts w:hint="eastAsia" w:eastAsia="方正仿宋_GBK" w:cs="Times New Roman"/>
          <w:color w:val="000000" w:themeColor="text1"/>
          <w:sz w:val="33"/>
          <w:szCs w:val="33"/>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其他粮油储备支出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Fonts w:hint="eastAsia" w:eastAsia="方正仿宋_GBK" w:cs="Times New Roman"/>
          <w:color w:val="000000"/>
          <w:sz w:val="33"/>
          <w:szCs w:val="33"/>
          <w:lang w:eastAsia="zh-CN"/>
        </w:rPr>
        <w:t>指单位</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Fonts w:hint="eastAsia" w:eastAsia="方正仿宋_GBK" w:cs="Times New Roman"/>
          <w:color w:val="000000" w:themeColor="text1"/>
          <w:sz w:val="33"/>
          <w:szCs w:val="33"/>
          <w:lang w:val="en-US" w:eastAsia="zh-CN"/>
          <w14:textFill>
            <w14:solidFill>
              <w14:schemeClr w14:val="tx1"/>
            </w14:solidFill>
          </w14:textFill>
        </w:rPr>
        <w:t>费用等支出。</w:t>
      </w:r>
    </w:p>
    <w:p>
      <w:pPr>
        <w:pStyle w:val="5"/>
        <w:keepNext w:val="0"/>
        <w:keepLines w:val="0"/>
        <w:pageBreakBefore w:val="0"/>
        <w:widowControl w:val="0"/>
        <w:kinsoku/>
        <w:wordWrap/>
        <w:overflowPunct/>
        <w:topLinePunct w:val="0"/>
        <w:autoSpaceDE/>
        <w:autoSpaceDN/>
        <w:bidi w:val="0"/>
        <w:adjustRightInd/>
        <w:snapToGrid/>
        <w:spacing w:beforeLines="0"/>
        <w:ind w:firstLine="660" w:firstLineChars="200"/>
        <w:textAlignment w:val="auto"/>
        <w:rPr>
          <w:rFonts w:hint="eastAsia" w:eastAsia="方正仿宋_GBK"/>
          <w:lang w:eastAsia="zh-CN"/>
        </w:rPr>
      </w:pPr>
      <w:r>
        <w:rPr>
          <w:rFonts w:hint="eastAsia" w:ascii="Times New Roman" w:eastAsia="方正仿宋_GBK" w:cs="Times New Roman"/>
          <w:color w:val="000000" w:themeColor="text1"/>
          <w:sz w:val="33"/>
          <w:szCs w:val="33"/>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灾害防治及应急管理支出</w:t>
      </w:r>
      <w:r>
        <w:rPr>
          <w:rStyle w:val="12"/>
          <w:rFonts w:hint="default" w:ascii="Times New Roman" w:hAnsi="Times New Roman" w:eastAsia="方正仿宋_GBK" w:cs="Times New Roman"/>
          <w:b w:val="0"/>
          <w:bCs w:val="0"/>
          <w:color w:val="000000"/>
          <w:sz w:val="33"/>
          <w:szCs w:val="33"/>
        </w:rPr>
        <w:t>（类）</w:t>
      </w:r>
      <w:r>
        <w:rPr>
          <w:rStyle w:val="12"/>
          <w:rFonts w:hint="default" w:ascii="Times New Roman" w:hAnsi="Times New Roman" w:eastAsia="方正仿宋_GBK" w:cs="Times New Roman"/>
          <w:b w:val="0"/>
          <w:bCs w:val="0"/>
          <w:color w:val="000000"/>
          <w:sz w:val="33"/>
          <w:szCs w:val="33"/>
          <w:lang w:val="en-US" w:eastAsia="zh-CN"/>
        </w:rPr>
        <w:t>应急管理事务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应急救援</w:t>
      </w:r>
      <w:r>
        <w:rPr>
          <w:rStyle w:val="12"/>
          <w:rFonts w:hint="default" w:ascii="Times New Roman" w:hAnsi="Times New Roman" w:eastAsia="方正仿宋_GBK" w:cs="Times New Roman"/>
          <w:b w:val="0"/>
          <w:bCs w:val="0"/>
          <w:color w:val="000000"/>
          <w:sz w:val="33"/>
          <w:szCs w:val="33"/>
        </w:rPr>
        <w:t>（项）</w:t>
      </w:r>
      <w:r>
        <w:rPr>
          <w:rStyle w:val="12"/>
          <w:rFonts w:hint="eastAsia" w:ascii="Times New Roman" w:eastAsia="方正仿宋_GBK" w:cs="Times New Roman"/>
          <w:b w:val="0"/>
          <w:bCs w:val="0"/>
          <w:color w:val="000000"/>
          <w:sz w:val="33"/>
          <w:szCs w:val="33"/>
          <w:lang w:eastAsia="zh-CN"/>
        </w:rPr>
        <w:t>：防害指救灾应急物资费用支出。</w:t>
      </w:r>
    </w:p>
    <w:p>
      <w:pPr>
        <w:spacing w:line="590" w:lineRule="exact"/>
        <w:rPr>
          <w:rFonts w:hint="default"/>
        </w:rPr>
      </w:pPr>
      <w:bookmarkStart w:id="57" w:name="_Toc15377226"/>
      <w:r>
        <w:rPr>
          <w:rFonts w:hint="default" w:ascii="Times New Roman" w:hAnsi="Times New Roman" w:eastAsia="方正仿宋_GBK" w:cs="Times New Roman"/>
          <w:b/>
          <w:color w:val="000000"/>
          <w:sz w:val="33"/>
          <w:szCs w:val="33"/>
        </w:rPr>
        <w:br w:type="page"/>
      </w: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highlight w:val="none"/>
        </w:rPr>
      </w:pPr>
      <w:bookmarkStart w:id="58" w:name="_Toc15396618"/>
      <w:r>
        <w:rPr>
          <w:rFonts w:hint="default" w:ascii="Times New Roman" w:hAnsi="Times New Roman" w:eastAsia="黑体" w:cs="Times New Roman"/>
          <w:color w:val="000000"/>
          <w:sz w:val="44"/>
          <w:szCs w:val="44"/>
          <w:highlight w:val="none"/>
        </w:rPr>
        <w:t>第</w:t>
      </w:r>
      <w:r>
        <w:rPr>
          <w:rStyle w:val="14"/>
          <w:rFonts w:hint="default" w:ascii="Times New Roman" w:hAnsi="Times New Roman" w:eastAsia="黑体" w:cs="Times New Roman"/>
          <w:b w:val="0"/>
          <w:highlight w:val="none"/>
        </w:rPr>
        <w:t>四部分 附件</w:t>
      </w:r>
    </w:p>
    <w:p>
      <w:pPr>
        <w:pageBreakBefore w:val="0"/>
        <w:kinsoku/>
        <w:wordWrap/>
        <w:overflowPunct/>
        <w:topLinePunct w:val="0"/>
        <w:bidi w:val="0"/>
        <w:spacing w:line="590" w:lineRule="exact"/>
        <w:ind w:left="0" w:right="0"/>
        <w:jc w:val="left"/>
        <w:outlineLvl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附件1</w:t>
      </w:r>
    </w:p>
    <w:p>
      <w:pPr>
        <w:pageBreakBefore w:val="0"/>
        <w:kinsoku/>
        <w:wordWrap/>
        <w:overflowPunct/>
        <w:topLinePunct w:val="0"/>
        <w:bidi w:val="0"/>
        <w:spacing w:line="590" w:lineRule="exact"/>
        <w:ind w:left="0" w:right="0"/>
        <w:jc w:val="left"/>
        <w:outlineLvl w:val="0"/>
        <w:rPr>
          <w:rFonts w:hint="default" w:ascii="Times New Roman" w:hAnsi="Times New Roman" w:eastAsia="方正仿宋_GBK" w:cs="Times New Roman"/>
          <w:sz w:val="33"/>
          <w:szCs w:val="33"/>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0"/>
          <w:szCs w:val="40"/>
          <w:lang w:val="zh-CN"/>
        </w:rPr>
      </w:pPr>
      <w:r>
        <w:rPr>
          <w:rFonts w:hint="eastAsia" w:ascii="方正小标宋_GBK" w:hAnsi="方正小标宋_GBK" w:eastAsia="方正小标宋_GBK" w:cs="方正小标宋_GBK"/>
          <w:b/>
          <w:bCs/>
          <w:color w:val="000000"/>
          <w:kern w:val="0"/>
          <w:sz w:val="40"/>
          <w:szCs w:val="40"/>
          <w:lang w:val="en-US" w:eastAsia="zh-CN"/>
        </w:rPr>
        <w:t>邻水县粮食和物资储备中心</w:t>
      </w:r>
      <w:r>
        <w:rPr>
          <w:rFonts w:hint="eastAsia" w:ascii="方正小标宋_GBK" w:hAnsi="方正小标宋_GBK" w:eastAsia="方正小标宋_GBK" w:cs="方正小标宋_GBK"/>
          <w:b/>
          <w:bCs/>
          <w:color w:val="000000"/>
          <w:kern w:val="0"/>
          <w:sz w:val="40"/>
          <w:szCs w:val="40"/>
          <w:lang w:val="zh-CN"/>
        </w:rPr>
        <w:t>部门</w:t>
      </w:r>
      <w:r>
        <w:rPr>
          <w:rFonts w:hint="eastAsia" w:ascii="方正小标宋_GBK" w:hAnsi="方正小标宋_GBK" w:eastAsia="方正小标宋_GBK" w:cs="方正小标宋_GBK"/>
          <w:b/>
          <w:bCs/>
          <w:color w:val="000000"/>
          <w:kern w:val="0"/>
          <w:sz w:val="40"/>
          <w:szCs w:val="40"/>
          <w:lang w:val="en-US" w:eastAsia="zh-CN"/>
        </w:rPr>
        <w:t>2022</w:t>
      </w:r>
      <w:r>
        <w:rPr>
          <w:rFonts w:hint="eastAsia" w:ascii="方正小标宋_GBK" w:hAnsi="方正小标宋_GBK" w:eastAsia="方正小标宋_GBK" w:cs="方正小标宋_GBK"/>
          <w:b/>
          <w:bCs/>
          <w:color w:val="000000"/>
          <w:kern w:val="0"/>
          <w:sz w:val="40"/>
          <w:szCs w:val="40"/>
        </w:rPr>
        <w:t>年部门</w:t>
      </w:r>
      <w:r>
        <w:rPr>
          <w:rFonts w:hint="eastAsia" w:ascii="方正小标宋_GBK" w:hAnsi="方正小标宋_GBK" w:eastAsia="方正小标宋_GBK" w:cs="方正小标宋_GBK"/>
          <w:b/>
          <w:bCs/>
          <w:color w:val="000000"/>
          <w:kern w:val="0"/>
          <w:sz w:val="40"/>
          <w:szCs w:val="40"/>
          <w:lang w:val="zh-CN"/>
        </w:rPr>
        <w:t>整体支出绩效评价报告</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rPr>
      </w:pP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lang w:val="zh-CN"/>
        </w:rPr>
      </w:pPr>
      <w:r>
        <w:rPr>
          <w:rFonts w:hint="eastAsia" w:ascii="黑体" w:hAnsi="黑体" w:eastAsia="黑体" w:cs="黑体"/>
          <w:color w:val="000000"/>
          <w:kern w:val="0"/>
          <w:sz w:val="33"/>
          <w:szCs w:val="33"/>
          <w:shd w:val="clear" w:color="auto" w:fill="FFFFFF"/>
        </w:rPr>
        <w:t>一、</w:t>
      </w:r>
      <w:r>
        <w:rPr>
          <w:rFonts w:hint="eastAsia" w:ascii="黑体" w:hAnsi="黑体" w:eastAsia="黑体" w:cs="黑体"/>
          <w:color w:val="000000"/>
          <w:kern w:val="0"/>
          <w:sz w:val="33"/>
          <w:szCs w:val="33"/>
          <w:shd w:val="clear" w:color="auto" w:fill="FFFFFF"/>
          <w:lang w:val="zh-CN"/>
        </w:rPr>
        <w:t>部门（单位）概况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（一）机构组成</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办公室（增挂内部审计股牌子）、党建股、粮食与物资储备服务股、安全仓储与科技服务股、粮油质量管理服务股5个股室。</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（二）机构职能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(1)贯彻执行党中央关于粮食流通和储备粮油、物资储备管理的方针政策和省委、市委、县委的决策部署；负责全县粮食流通产业发展战略规划的实施。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负责全县粮食宏观调控、粮油流通和加工统计工作；指导粮食企业落实全县粮食最低收购价执行预案；承担全县市场粮油供应、保障军人等政策粮食的供应服务工作；负责全县粮食余缺调剂服务工作；组织和协调县内粮食产销衔接和对外经济技术合作交流，建立县际建粮食产销合作关系，粮食进出邻水等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(3)协助全县粮食储备体系建设，提出地方储备粮油和物资总体规模、县级储备粮油和物资的总体布局和收储、轮换、动用计划等建议；开展全县储备粮油和物资库存数量、质量和储存安全检查（即清仓查库工作）；负责在邻水的中央储备粮油及国家其他政策性临时储存粮油和物资管理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(4)提出促进粮食产业化经营的政策措施并组织实施；配合有关部门发展粮食订单生产、发展优质专用粮油、培育粮食龙头企业、扶持粮食专业合作经济组织，促进粮食生产稳定发展，保障全县城乡粮食市场和粮食转化产业的粮食供应；拟定农村粮食流通服务体系发展规划，指导粮油收购网点和乡村粮油超市连锁店建设。</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(5)负责组织实施全县粮食和物资储备基础设施建设、粮食流通设施及全县粮食市场体系建设、粮食现代物流体系建设、粮食质量监测体系建设工作；指导国有粮食和物资仓储物流设施保护工作，负责有关储备基础设施、粮食流通设施各级投资项目；指导粮油批发市场和城乡购销网络建设；配合全县农村科学储粮和农户小粮仓建设。</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(6)负责全县粮食流通行业指导，参与拟订粮食行业发展规划、政策，贯彻实施国家粮食质量标准和粮食储存、运输技术规范，指导粮食流通科技进步、技术改造和新技术推广应用；负责县属国有及国有控股粮食企业的业务指导；负责对全县粮食收购、储存环节及政策性用粮的质量安全和原粮卫生的抽查和监测。</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(7)拟订粮食和物资储备系统人才发展规划，指导全县粮食和物资储备行业的职工职业教育。</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(8)配合相关部门对管理地方储备、企业储备以及储备资产落实情况进行监督检查。</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(9)负责职责范围内的安全生产、职业健康、生态环境保护、便民化服务等工作。</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(10)完成县委、县政府交办的其他工作。</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（三）人员概况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年在编</w:t>
      </w:r>
      <w:r>
        <w:rPr>
          <w:rFonts w:hint="eastAsia" w:eastAsia="方正仿宋_GBK" w:cs="Times New Roman"/>
          <w:sz w:val="33"/>
          <w:szCs w:val="33"/>
          <w:lang w:val="en-US" w:eastAsia="zh-CN"/>
        </w:rPr>
        <w:t>18</w:t>
      </w:r>
      <w:r>
        <w:rPr>
          <w:rFonts w:hint="default" w:ascii="Times New Roman" w:hAnsi="Times New Roman" w:eastAsia="方正仿宋_GBK" w:cs="Times New Roman"/>
          <w:sz w:val="33"/>
          <w:szCs w:val="33"/>
          <w:lang w:val="en-US" w:eastAsia="zh-CN"/>
        </w:rPr>
        <w:t>人，在职</w:t>
      </w:r>
      <w:r>
        <w:rPr>
          <w:rFonts w:hint="eastAsia" w:eastAsia="方正仿宋_GBK" w:cs="Times New Roman"/>
          <w:sz w:val="33"/>
          <w:szCs w:val="33"/>
          <w:lang w:val="en-US" w:eastAsia="zh-CN"/>
        </w:rPr>
        <w:t>18</w:t>
      </w:r>
      <w:r>
        <w:rPr>
          <w:rFonts w:hint="default" w:ascii="Times New Roman" w:hAnsi="Times New Roman" w:eastAsia="方正仿宋_GBK" w:cs="Times New Roman"/>
          <w:sz w:val="33"/>
          <w:szCs w:val="33"/>
          <w:lang w:val="en-US" w:eastAsia="zh-CN"/>
        </w:rPr>
        <w:t>人，离休人员1人。</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二、部门财政资金收支情况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（一）部门财政资金收入情况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2022</w:t>
      </w:r>
      <w:r>
        <w:rPr>
          <w:rFonts w:hint="default" w:ascii="Times New Roman" w:hAnsi="Times New Roman" w:eastAsia="方正仿宋_GBK" w:cs="Times New Roman"/>
          <w:color w:val="000000"/>
          <w:kern w:val="0"/>
          <w:sz w:val="33"/>
          <w:szCs w:val="33"/>
          <w:shd w:val="clear" w:color="auto" w:fill="FFFFFF"/>
          <w:lang w:val="en-US" w:eastAsia="zh-CN"/>
        </w:rPr>
        <w:t>年项目资金财政拨入</w:t>
      </w:r>
      <w:r>
        <w:rPr>
          <w:rFonts w:hint="eastAsia" w:eastAsia="方正仿宋_GBK" w:cs="Times New Roman"/>
          <w:color w:val="000000"/>
          <w:kern w:val="0"/>
          <w:sz w:val="33"/>
          <w:szCs w:val="33"/>
          <w:shd w:val="clear" w:color="auto" w:fill="FFFFFF"/>
          <w:lang w:val="en-US" w:eastAsia="zh-CN"/>
        </w:rPr>
        <w:t>305</w:t>
      </w:r>
      <w:r>
        <w:rPr>
          <w:rFonts w:hint="default" w:ascii="Times New Roman" w:hAnsi="Times New Roman" w:eastAsia="方正仿宋_GBK" w:cs="Times New Roman"/>
          <w:color w:val="000000"/>
          <w:kern w:val="0"/>
          <w:sz w:val="33"/>
          <w:szCs w:val="33"/>
          <w:shd w:val="clear" w:color="auto" w:fill="FFFFFF"/>
          <w:lang w:val="en-US" w:eastAsia="zh-CN"/>
        </w:rPr>
        <w:t>万元。</w:t>
      </w:r>
    </w:p>
    <w:p>
      <w:pPr>
        <w:pageBreakBefore w:val="0"/>
        <w:widowControl/>
        <w:numPr>
          <w:ilvl w:val="0"/>
          <w:numId w:val="1"/>
        </w:numPr>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eastAsia" w:eastAsia="方正仿宋_GBK" w:cs="Times New Roman"/>
          <w:color w:val="000000"/>
          <w:kern w:val="0"/>
          <w:sz w:val="33"/>
          <w:szCs w:val="33"/>
          <w:shd w:val="clear" w:color="auto" w:fill="FFFFFF"/>
          <w:lang w:val="en-US" w:eastAsia="zh-CN"/>
        </w:rPr>
        <w:t>2022</w:t>
      </w:r>
      <w:r>
        <w:rPr>
          <w:rFonts w:hint="default" w:ascii="Times New Roman" w:hAnsi="Times New Roman" w:eastAsia="方正仿宋_GBK" w:cs="Times New Roman"/>
          <w:color w:val="000000"/>
          <w:kern w:val="0"/>
          <w:sz w:val="33"/>
          <w:szCs w:val="33"/>
          <w:shd w:val="clear" w:color="auto" w:fill="FFFFFF"/>
          <w:lang w:val="en-US" w:eastAsia="zh-CN"/>
        </w:rPr>
        <w:t>年项目资金支出</w:t>
      </w:r>
      <w:r>
        <w:rPr>
          <w:rFonts w:hint="eastAsia" w:eastAsia="方正仿宋_GBK" w:cs="Times New Roman"/>
          <w:color w:val="000000"/>
          <w:kern w:val="0"/>
          <w:sz w:val="33"/>
          <w:szCs w:val="33"/>
          <w:shd w:val="clear" w:color="auto" w:fill="FFFFFF"/>
          <w:lang w:val="en-US" w:eastAsia="zh-CN"/>
        </w:rPr>
        <w:t>305</w:t>
      </w:r>
      <w:r>
        <w:rPr>
          <w:rFonts w:hint="default" w:ascii="Times New Roman" w:hAnsi="Times New Roman" w:eastAsia="方正仿宋_GBK" w:cs="Times New Roman"/>
          <w:color w:val="000000"/>
          <w:kern w:val="0"/>
          <w:sz w:val="33"/>
          <w:szCs w:val="33"/>
          <w:shd w:val="clear" w:color="auto" w:fill="FFFFFF"/>
          <w:lang w:val="en-US" w:eastAsia="zh-CN"/>
        </w:rPr>
        <w:t>万元。</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三、部门整体预算绩效管理情况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（一）部门预算管理</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我</w:t>
      </w:r>
      <w:r>
        <w:rPr>
          <w:rFonts w:hint="default" w:ascii="Times New Roman" w:hAnsi="Times New Roman" w:eastAsia="方正仿宋_GBK" w:cs="Times New Roman"/>
          <w:color w:val="000000"/>
          <w:kern w:val="0"/>
          <w:sz w:val="33"/>
          <w:szCs w:val="33"/>
          <w:shd w:val="clear" w:color="auto" w:fill="FFFFFF"/>
          <w:lang w:val="zh-CN"/>
        </w:rPr>
        <w:t>部门</w:t>
      </w:r>
      <w:r>
        <w:rPr>
          <w:rFonts w:hint="default" w:ascii="Times New Roman" w:hAnsi="Times New Roman" w:eastAsia="方正仿宋_GBK" w:cs="Times New Roman"/>
          <w:color w:val="000000"/>
          <w:kern w:val="0"/>
          <w:sz w:val="33"/>
          <w:szCs w:val="33"/>
          <w:shd w:val="clear" w:color="auto" w:fill="FFFFFF"/>
          <w:lang w:val="en-US" w:eastAsia="zh-CN"/>
        </w:rPr>
        <w:t>制定了</w:t>
      </w:r>
      <w:r>
        <w:rPr>
          <w:rFonts w:hint="default" w:ascii="Times New Roman" w:hAnsi="Times New Roman" w:eastAsia="方正仿宋_GBK" w:cs="Times New Roman"/>
          <w:color w:val="000000"/>
          <w:kern w:val="0"/>
          <w:sz w:val="33"/>
          <w:szCs w:val="33"/>
          <w:shd w:val="clear" w:color="auto" w:fill="FFFFFF"/>
          <w:lang w:val="zh-CN"/>
        </w:rPr>
        <w:t>绩效目标</w:t>
      </w:r>
      <w:r>
        <w:rPr>
          <w:rFonts w:hint="default" w:ascii="Times New Roman" w:hAnsi="Times New Roman" w:eastAsia="方正仿宋_GBK" w:cs="Times New Roman"/>
          <w:color w:val="000000"/>
          <w:kern w:val="0"/>
          <w:sz w:val="33"/>
          <w:szCs w:val="33"/>
          <w:shd w:val="clear" w:color="auto" w:fill="FFFFFF"/>
          <w:lang w:val="en-US" w:eastAsia="zh-CN"/>
        </w:rPr>
        <w:t>方案</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精心组织项目实施，认真编制经费</w:t>
      </w:r>
      <w:r>
        <w:rPr>
          <w:rFonts w:hint="default" w:ascii="Times New Roman" w:hAnsi="Times New Roman" w:eastAsia="方正仿宋_GBK" w:cs="Times New Roman"/>
          <w:color w:val="000000"/>
          <w:kern w:val="0"/>
          <w:sz w:val="33"/>
          <w:szCs w:val="33"/>
          <w:shd w:val="clear" w:color="auto" w:fill="FFFFFF"/>
          <w:lang w:val="zh-CN"/>
        </w:rPr>
        <w:t>预算、</w:t>
      </w:r>
      <w:r>
        <w:rPr>
          <w:rFonts w:hint="default" w:ascii="Times New Roman" w:hAnsi="Times New Roman" w:eastAsia="方正仿宋_GBK" w:cs="Times New Roman"/>
          <w:color w:val="000000"/>
          <w:kern w:val="0"/>
          <w:sz w:val="33"/>
          <w:szCs w:val="33"/>
          <w:shd w:val="clear" w:color="auto" w:fill="FFFFFF"/>
          <w:lang w:val="en-US" w:eastAsia="zh-CN"/>
        </w:rPr>
        <w:t>严格项目</w:t>
      </w:r>
      <w:r>
        <w:rPr>
          <w:rFonts w:hint="default" w:ascii="Times New Roman" w:hAnsi="Times New Roman" w:eastAsia="方正仿宋_GBK" w:cs="Times New Roman"/>
          <w:color w:val="000000"/>
          <w:kern w:val="0"/>
          <w:sz w:val="33"/>
          <w:szCs w:val="33"/>
          <w:shd w:val="clear" w:color="auto" w:fill="FFFFFF"/>
          <w:lang w:val="zh-CN"/>
        </w:rPr>
        <w:t>支出、动态</w:t>
      </w:r>
      <w:r>
        <w:rPr>
          <w:rFonts w:hint="default" w:ascii="Times New Roman" w:hAnsi="Times New Roman" w:eastAsia="方正仿宋_GBK" w:cs="Times New Roman"/>
          <w:color w:val="000000"/>
          <w:kern w:val="0"/>
          <w:sz w:val="33"/>
          <w:szCs w:val="33"/>
          <w:shd w:val="clear" w:color="auto" w:fill="FFFFFF"/>
          <w:lang w:val="en-US" w:eastAsia="zh-CN"/>
        </w:rPr>
        <w:t>管理</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严格</w:t>
      </w:r>
      <w:r>
        <w:rPr>
          <w:rFonts w:hint="default" w:ascii="Times New Roman" w:hAnsi="Times New Roman" w:eastAsia="方正仿宋_GBK" w:cs="Times New Roman"/>
          <w:color w:val="000000"/>
          <w:kern w:val="0"/>
          <w:sz w:val="33"/>
          <w:szCs w:val="33"/>
          <w:shd w:val="clear" w:color="auto" w:fill="FFFFFF"/>
          <w:lang w:val="zh-CN"/>
        </w:rPr>
        <w:t>执行</w:t>
      </w:r>
      <w:r>
        <w:rPr>
          <w:rFonts w:hint="default" w:ascii="Times New Roman" w:hAnsi="Times New Roman" w:eastAsia="方正仿宋_GBK" w:cs="Times New Roman"/>
          <w:color w:val="000000"/>
          <w:kern w:val="0"/>
          <w:sz w:val="33"/>
          <w:szCs w:val="33"/>
          <w:shd w:val="clear" w:color="auto" w:fill="FFFFFF"/>
          <w:lang w:val="en-US" w:eastAsia="zh-CN"/>
        </w:rPr>
        <w:t>项目</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确保项目进度，项目圆满完成，无违纪违法行为</w:t>
      </w:r>
      <w:r>
        <w:rPr>
          <w:rFonts w:hint="default" w:ascii="Times New Roman" w:hAnsi="Times New Roman" w:eastAsia="方正仿宋_GBK" w:cs="Times New Roman"/>
          <w:color w:val="000000"/>
          <w:kern w:val="0"/>
          <w:sz w:val="33"/>
          <w:szCs w:val="33"/>
          <w:shd w:val="clear" w:color="auto" w:fill="FFFFFF"/>
          <w:lang w:val="zh-CN"/>
        </w:rPr>
        <w:t>。</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（二）结果应用情况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项目</w:t>
      </w:r>
      <w:r>
        <w:rPr>
          <w:rFonts w:hint="default" w:ascii="Times New Roman" w:hAnsi="Times New Roman" w:eastAsia="方正仿宋_GBK" w:cs="Times New Roman"/>
          <w:color w:val="000000"/>
          <w:kern w:val="0"/>
          <w:sz w:val="33"/>
          <w:szCs w:val="33"/>
          <w:shd w:val="clear" w:color="auto" w:fill="FFFFFF"/>
          <w:lang w:val="zh-CN"/>
        </w:rPr>
        <w:t>绩效自评公开、</w:t>
      </w:r>
      <w:r>
        <w:rPr>
          <w:rFonts w:hint="default" w:ascii="Times New Roman" w:hAnsi="Times New Roman" w:eastAsia="方正仿宋_GBK" w:cs="Times New Roman"/>
          <w:color w:val="000000"/>
          <w:kern w:val="0"/>
          <w:sz w:val="33"/>
          <w:szCs w:val="33"/>
          <w:shd w:val="clear" w:color="auto" w:fill="FFFFFF"/>
          <w:lang w:val="en-US" w:eastAsia="zh-CN"/>
        </w:rPr>
        <w:t>公开、公正，确保社会满意，企业满意</w:t>
      </w:r>
      <w:r>
        <w:rPr>
          <w:rFonts w:hint="default" w:ascii="Times New Roman" w:hAnsi="Times New Roman" w:eastAsia="方正仿宋_GBK" w:cs="Times New Roman"/>
          <w:color w:val="000000"/>
          <w:kern w:val="0"/>
          <w:sz w:val="33"/>
          <w:szCs w:val="33"/>
          <w:shd w:val="clear" w:color="auto" w:fill="FFFFFF"/>
          <w:lang w:val="zh-CN"/>
        </w:rPr>
        <w:t>。</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（三）自评质量</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参照评价标准对部门自评进行抽查，抽查差异在5%以内，自评质量较高。</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四、评价结论及建议</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（一）评价结论</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社会满意，企业满意。</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（二）存在问题</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无。</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（三）改进建议</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无。</w:t>
      </w: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附件2</w:t>
      </w: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2</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1</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黑体_GBK" w:cs="Times New Roman"/>
          <w:sz w:val="33"/>
          <w:szCs w:val="33"/>
          <w:lang w:val="zh-CN"/>
        </w:rPr>
      </w:pPr>
      <w:r>
        <w:rPr>
          <w:rFonts w:hint="default" w:ascii="Times New Roman" w:hAnsi="Times New Roman" w:eastAsia="方正黑体_GBK" w:cs="Times New Roman"/>
          <w:sz w:val="33"/>
          <w:szCs w:val="33"/>
        </w:rPr>
        <w:t>一、</w:t>
      </w:r>
      <w:r>
        <w:rPr>
          <w:rFonts w:hint="default" w:ascii="Times New Roman" w:hAnsi="Times New Roman" w:eastAsia="方正黑体_GBK" w:cs="Times New Roman"/>
          <w:sz w:val="33"/>
          <w:szCs w:val="33"/>
          <w:lang w:val="zh-CN"/>
        </w:rPr>
        <w:t>项目概况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楷体_GBK" w:cs="Times New Roman"/>
          <w:b/>
          <w:bCs/>
          <w:sz w:val="33"/>
          <w:szCs w:val="33"/>
        </w:rPr>
      </w:pPr>
      <w:r>
        <w:rPr>
          <w:rFonts w:hint="default" w:ascii="Times New Roman" w:hAnsi="Times New Roman" w:eastAsia="方正楷体_GBK" w:cs="Times New Roman"/>
          <w:b/>
          <w:bCs/>
          <w:sz w:val="33"/>
          <w:szCs w:val="33"/>
        </w:rPr>
        <w:t>（一）项目资金申报及批复情况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2021年11月，根据四川省粮食和物资储备局、四川省财政厅《关于做好2022年促进粮油产业高质量发展项目申报有关工作的通知》（川粮函〔2021〕55号）的要求，申报了</w:t>
      </w:r>
      <w:r>
        <w:rPr>
          <w:rFonts w:hint="default" w:ascii="Times New Roman" w:hAnsi="Times New Roman" w:eastAsia="方正仿宋_GBK" w:cs="Times New Roman"/>
          <w:kern w:val="0"/>
          <w:sz w:val="33"/>
          <w:szCs w:val="33"/>
          <w:shd w:val="clear" w:color="auto" w:fill="FFFFFF"/>
          <w:lang w:val="zh-CN"/>
        </w:rPr>
        <w:t>邻水县城南储备粮有限公司</w:t>
      </w:r>
      <w:r>
        <w:rPr>
          <w:rFonts w:hint="default" w:ascii="Times New Roman" w:hAnsi="Times New Roman" w:eastAsia="方正仿宋_GBK" w:cs="Times New Roman"/>
          <w:kern w:val="0"/>
          <w:sz w:val="33"/>
          <w:szCs w:val="33"/>
          <w:shd w:val="clear" w:color="auto" w:fill="FFFFFF"/>
        </w:rPr>
        <w:t>2022年</w:t>
      </w:r>
      <w:r>
        <w:rPr>
          <w:rFonts w:hint="eastAsia" w:ascii="Times New Roman" w:hAnsi="Times New Roman" w:eastAsia="方正仿宋_GBK" w:cs="Times New Roman"/>
          <w:kern w:val="0"/>
          <w:sz w:val="33"/>
          <w:szCs w:val="33"/>
          <w:shd w:val="clear" w:color="auto" w:fill="FFFFFF"/>
          <w:lang w:eastAsia="zh-CN"/>
        </w:rPr>
        <w:t>“</w:t>
      </w:r>
      <w:r>
        <w:rPr>
          <w:rFonts w:hint="default" w:ascii="Times New Roman" w:hAnsi="Times New Roman" w:eastAsia="方正仿宋_GBK" w:cs="Times New Roman"/>
          <w:kern w:val="0"/>
          <w:sz w:val="33"/>
          <w:szCs w:val="33"/>
          <w:shd w:val="clear" w:color="auto" w:fill="FFFFFF"/>
        </w:rPr>
        <w:t>仓顶阳光</w:t>
      </w:r>
      <w:r>
        <w:rPr>
          <w:rFonts w:hint="eastAsia" w:ascii="Times New Roman" w:hAnsi="Times New Roman" w:eastAsia="方正仿宋_GBK" w:cs="Times New Roman"/>
          <w:kern w:val="0"/>
          <w:sz w:val="33"/>
          <w:szCs w:val="33"/>
          <w:shd w:val="clear" w:color="auto" w:fill="FFFFFF"/>
          <w:lang w:eastAsia="zh-CN"/>
        </w:rPr>
        <w:t>”</w:t>
      </w:r>
      <w:r>
        <w:rPr>
          <w:rFonts w:hint="default" w:ascii="Times New Roman" w:hAnsi="Times New Roman" w:eastAsia="方正仿宋_GBK" w:cs="Times New Roman"/>
          <w:kern w:val="0"/>
          <w:sz w:val="33"/>
          <w:szCs w:val="33"/>
          <w:shd w:val="clear" w:color="auto" w:fill="FFFFFF"/>
        </w:rPr>
        <w:t>项目</w:t>
      </w:r>
      <w:r>
        <w:rPr>
          <w:rFonts w:hint="default" w:ascii="Times New Roman" w:hAnsi="Times New Roman" w:eastAsia="方正仿宋_GBK" w:cs="Times New Roman"/>
          <w:sz w:val="33"/>
          <w:szCs w:val="33"/>
        </w:rPr>
        <w:t>，申报资金325万元，其中申请粮油产业高质量发展项目专项资金275万元。</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2022年4月，四川省财政厅、四川省粮食和物资储备局《关于下达2022年省级促进粮油产业高质量发展资金项目专项预算的通知》（川财建〔2022〕45号）下达邻水县城南储备粮有限公司</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仓顶阳光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项目省级补助资金275万元。</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（二）项目绩效目标</w:t>
      </w:r>
    </w:p>
    <w:p>
      <w:pPr>
        <w:keepNext w:val="0"/>
        <w:keepLines w:val="0"/>
        <w:pageBreakBefore w:val="0"/>
        <w:widowControl/>
        <w:kinsoku/>
        <w:wordWrap/>
        <w:overflowPunct/>
        <w:topLinePunct w:val="0"/>
        <w:autoSpaceDE/>
        <w:autoSpaceDN/>
        <w:bidi w:val="0"/>
        <w:adjustRightInd w:val="0"/>
        <w:snapToGrid w:val="0"/>
        <w:spacing w:line="590" w:lineRule="exact"/>
        <w:ind w:left="0" w:leftChars="0" w:firstLine="660" w:firstLineChars="200"/>
        <w:contextualSpacing/>
        <w:jc w:val="both"/>
        <w:textAlignment w:val="auto"/>
        <w:rPr>
          <w:rFonts w:hint="default" w:ascii="Times New Roman" w:hAnsi="Times New Roman" w:eastAsia="方正仿宋_GBK" w:cs="Times New Roman"/>
          <w:b/>
          <w:bCs/>
          <w:kern w:val="0"/>
          <w:sz w:val="33"/>
          <w:szCs w:val="33"/>
          <w:shd w:val="clear" w:color="auto" w:fill="FFFFFF"/>
          <w:lang w:val="zh-CN"/>
        </w:rPr>
      </w:pPr>
      <w:r>
        <w:rPr>
          <w:rFonts w:hint="default" w:ascii="Times New Roman" w:hAnsi="Times New Roman" w:eastAsia="方正仿宋_GBK" w:cs="Times New Roman"/>
          <w:b/>
          <w:bCs/>
          <w:kern w:val="0"/>
          <w:sz w:val="33"/>
          <w:szCs w:val="33"/>
          <w:shd w:val="clear" w:color="auto" w:fill="FFFFFF"/>
          <w:lang w:val="en-US" w:eastAsia="zh-CN"/>
        </w:rPr>
        <w:t>1.</w:t>
      </w:r>
      <w:r>
        <w:rPr>
          <w:rFonts w:hint="default" w:ascii="Times New Roman" w:hAnsi="Times New Roman" w:eastAsia="方正仿宋_GBK" w:cs="Times New Roman"/>
          <w:b/>
          <w:bCs/>
          <w:kern w:val="0"/>
          <w:sz w:val="33"/>
          <w:szCs w:val="33"/>
          <w:shd w:val="clear" w:color="auto" w:fill="FFFFFF"/>
          <w:lang w:val="zh-CN"/>
        </w:rPr>
        <w:t>项目建设主要内容</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在4栋低温粮食储备库仓顶现浇混凝土基础400个，安装光伏支架和光伏组件、直流电缆、接地系统，安装桥架、逆变器、配电柜等，并实施接入变压器改造。</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0" w:leftChars="0" w:firstLine="660" w:firstLineChars="200"/>
        <w:contextualSpacing/>
        <w:jc w:val="both"/>
        <w:textAlignment w:val="auto"/>
        <w:rPr>
          <w:rFonts w:hint="default" w:ascii="Times New Roman" w:hAnsi="Times New Roman" w:eastAsia="方正仿宋_GBK" w:cs="Times New Roman"/>
          <w:b/>
          <w:bCs/>
          <w:kern w:val="0"/>
          <w:sz w:val="33"/>
          <w:szCs w:val="33"/>
          <w:shd w:val="clear" w:color="auto" w:fill="FFFFFF"/>
          <w:lang w:val="zh-CN"/>
        </w:rPr>
      </w:pPr>
      <w:r>
        <w:rPr>
          <w:rFonts w:hint="default" w:ascii="Times New Roman" w:hAnsi="Times New Roman" w:eastAsia="方正仿宋_GBK" w:cs="Times New Roman"/>
          <w:b/>
          <w:bCs/>
          <w:kern w:val="0"/>
          <w:sz w:val="33"/>
          <w:szCs w:val="33"/>
          <w:shd w:val="clear" w:color="auto" w:fill="FFFFFF"/>
          <w:lang w:val="en-US" w:eastAsia="zh-CN"/>
        </w:rPr>
        <w:t>2.</w:t>
      </w:r>
      <w:r>
        <w:rPr>
          <w:rFonts w:hint="default" w:ascii="Times New Roman" w:hAnsi="Times New Roman" w:eastAsia="方正仿宋_GBK" w:cs="Times New Roman"/>
          <w:b/>
          <w:bCs/>
          <w:kern w:val="0"/>
          <w:sz w:val="33"/>
          <w:szCs w:val="33"/>
          <w:shd w:val="clear" w:color="auto" w:fill="FFFFFF"/>
          <w:lang w:val="zh-CN"/>
        </w:rPr>
        <w:t>项目应实现的具体绩效目标</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）建成装机容量418KWp的分布式光伏发电站。</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）首年理论发电量约42.5万kWh，满足低温库运行的电力需要，确保低温库不受电力成本限制而正常运行，最终达到保证粮食质量安全的目的，并为库区其他用电提供支撑。</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二、项目资金申报及使用情况</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（一）项目资金申报及批复情况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sz w:val="33"/>
          <w:szCs w:val="33"/>
        </w:rPr>
        <w:t>邻水县城南储备粮有限公司2022年</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仓顶阳光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工程项目建设申报内容与各项专项资金申报内容相符，申报目的是保障国家粮食高品质的需要。由于低温储粮设施运行电力费用较高，在国家没有增加储粮费用标准情况下，低温储粮企业电费支出压力大，该项目的实施能有效减轻电力成本造成的保粮压力、财政和企业压力，有利于贯彻粮食储备</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两个确保</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和国家粮食安全政策，有利于满足粮食流通和社会发展，有利于提高粮食储藏技术水平，申报目标合理可行。2022年4月8日得到了省财政厅、省粮食局批复新建。</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sz w:val="33"/>
          <w:szCs w:val="33"/>
          <w:lang w:val="zh-CN"/>
        </w:rPr>
      </w:pPr>
      <w:r>
        <w:rPr>
          <w:rFonts w:hint="default" w:ascii="Times New Roman" w:hAnsi="Times New Roman" w:eastAsia="方正楷体_GBK" w:cs="Times New Roman"/>
          <w:b/>
          <w:sz w:val="33"/>
          <w:szCs w:val="33"/>
          <w:lang w:val="zh-CN"/>
        </w:rPr>
        <w:t>（二）资金计划、到位及使用情况。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rPr>
        <w:t>（1）资金计划情况。</w:t>
      </w:r>
      <w:r>
        <w:rPr>
          <w:rFonts w:hint="default" w:ascii="Times New Roman" w:hAnsi="Times New Roman" w:eastAsia="方正仿宋_GBK" w:cs="Times New Roman"/>
          <w:sz w:val="33"/>
          <w:szCs w:val="33"/>
        </w:rPr>
        <w:t>2022年4月，下达邻水县城南储备粮有限公司2022年粮油产业高质量发展资金计划275万元。</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rPr>
        <w:t>（2）资金到位情况。</w:t>
      </w:r>
      <w:r>
        <w:rPr>
          <w:rFonts w:hint="default" w:ascii="Times New Roman" w:hAnsi="Times New Roman" w:eastAsia="方正仿宋_GBK" w:cs="Times New Roman"/>
          <w:sz w:val="33"/>
          <w:szCs w:val="33"/>
        </w:rPr>
        <w:t>邻水县城南储备粮有限公司收到2022年粮油产业高质量发展资金粮油仓储设施专项275万元，资金到位率为100%。</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eastAsia"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b/>
          <w:bCs/>
          <w:kern w:val="0"/>
          <w:sz w:val="33"/>
          <w:szCs w:val="33"/>
          <w:shd w:val="clear" w:color="auto" w:fill="FFFFFF"/>
          <w:lang w:val="zh-CN"/>
        </w:rPr>
        <w:t>（</w:t>
      </w:r>
      <w:r>
        <w:rPr>
          <w:rFonts w:hint="default" w:ascii="Times New Roman" w:hAnsi="Times New Roman" w:eastAsia="方正仿宋_GBK" w:cs="Times New Roman"/>
          <w:b/>
          <w:bCs/>
          <w:kern w:val="0"/>
          <w:sz w:val="33"/>
          <w:szCs w:val="33"/>
          <w:shd w:val="clear" w:color="auto" w:fill="FFFFFF"/>
          <w:lang w:val="en-US" w:eastAsia="zh-CN"/>
        </w:rPr>
        <w:t>3</w:t>
      </w:r>
      <w:r>
        <w:rPr>
          <w:rFonts w:hint="default" w:ascii="Times New Roman" w:hAnsi="Times New Roman" w:eastAsia="方正仿宋_GBK" w:cs="Times New Roman"/>
          <w:b/>
          <w:bCs/>
          <w:kern w:val="0"/>
          <w:sz w:val="33"/>
          <w:szCs w:val="33"/>
          <w:shd w:val="clear" w:color="auto" w:fill="FFFFFF"/>
          <w:lang w:val="zh-CN"/>
        </w:rPr>
        <w:t>）资金使用。</w:t>
      </w:r>
      <w:r>
        <w:rPr>
          <w:rFonts w:hint="default" w:ascii="Times New Roman" w:hAnsi="Times New Roman" w:eastAsia="方正仿宋_GBK" w:cs="Times New Roman"/>
          <w:kern w:val="0"/>
          <w:sz w:val="33"/>
          <w:szCs w:val="33"/>
          <w:shd w:val="clear" w:color="auto" w:fill="FFFFFF"/>
          <w:lang w:val="zh-CN"/>
        </w:rPr>
        <w:t>项目已全面竣工验收，按合同应支付工程款</w:t>
      </w:r>
      <w:r>
        <w:rPr>
          <w:rFonts w:hint="eastAsia" w:eastAsia="方正仿宋_GBK" w:cs="Times New Roman"/>
          <w:kern w:val="0"/>
          <w:sz w:val="33"/>
          <w:szCs w:val="33"/>
          <w:shd w:val="clear" w:color="auto" w:fill="FFFFFF"/>
          <w:lang w:val="en-US" w:eastAsia="zh-CN"/>
        </w:rPr>
        <w:t>272.15</w:t>
      </w:r>
      <w:r>
        <w:rPr>
          <w:rFonts w:hint="default" w:ascii="Times New Roman" w:hAnsi="Times New Roman" w:eastAsia="方正仿宋_GBK" w:cs="Times New Roman"/>
          <w:kern w:val="0"/>
          <w:sz w:val="33"/>
          <w:szCs w:val="33"/>
          <w:shd w:val="clear" w:color="auto" w:fill="FFFFFF"/>
        </w:rPr>
        <w:t>万元(其中质保金9.325万元)，</w:t>
      </w:r>
      <w:r>
        <w:rPr>
          <w:rFonts w:hint="default" w:ascii="Times New Roman" w:hAnsi="Times New Roman" w:eastAsia="方正仿宋_GBK" w:cs="Times New Roman"/>
          <w:kern w:val="0"/>
          <w:sz w:val="33"/>
          <w:szCs w:val="33"/>
          <w:shd w:val="clear" w:color="auto" w:fill="FFFFFF"/>
          <w:lang w:val="zh-CN"/>
        </w:rPr>
        <w:t>支付</w:t>
      </w:r>
      <w:r>
        <w:rPr>
          <w:rFonts w:hint="default" w:ascii="Times New Roman" w:hAnsi="Times New Roman" w:eastAsia="方正仿宋_GBK" w:cs="Times New Roman"/>
          <w:kern w:val="0"/>
          <w:sz w:val="33"/>
          <w:szCs w:val="33"/>
          <w:shd w:val="clear" w:color="auto" w:fill="FFFFFF"/>
        </w:rPr>
        <w:t>监理费2.85万元，共计</w:t>
      </w:r>
      <w:r>
        <w:rPr>
          <w:rFonts w:hint="eastAsia" w:eastAsia="方正仿宋_GBK" w:cs="Times New Roman"/>
          <w:kern w:val="0"/>
          <w:sz w:val="33"/>
          <w:szCs w:val="33"/>
          <w:shd w:val="clear" w:color="auto" w:fill="FFFFFF"/>
          <w:lang w:val="en-US" w:eastAsia="zh-CN"/>
        </w:rPr>
        <w:t>275</w:t>
      </w:r>
      <w:r>
        <w:rPr>
          <w:rFonts w:hint="default" w:ascii="Times New Roman" w:hAnsi="Times New Roman" w:eastAsia="方正仿宋_GBK" w:cs="Times New Roman"/>
          <w:kern w:val="0"/>
          <w:sz w:val="33"/>
          <w:szCs w:val="33"/>
          <w:shd w:val="clear" w:color="auto" w:fill="FFFFFF"/>
        </w:rPr>
        <w:t>万元</w:t>
      </w:r>
      <w:r>
        <w:rPr>
          <w:rFonts w:hint="eastAsia" w:ascii="Times New Roman" w:hAnsi="Times New Roman" w:eastAsia="方正仿宋_GBK" w:cs="Times New Roman"/>
          <w:kern w:val="0"/>
          <w:sz w:val="33"/>
          <w:szCs w:val="33"/>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（三）项目财务管理情况。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黑体_GBK" w:cs="Times New Roman"/>
          <w:sz w:val="33"/>
          <w:szCs w:val="33"/>
        </w:rPr>
      </w:pPr>
      <w:r>
        <w:rPr>
          <w:rFonts w:hint="default" w:ascii="Times New Roman" w:hAnsi="Times New Roman" w:eastAsia="方正仿宋_GBK" w:cs="Times New Roman"/>
          <w:sz w:val="33"/>
          <w:szCs w:val="33"/>
        </w:rPr>
        <w:t>邻水县城南储备粮有限公司严格执行中、省、市的有关规定，做到专账核算，专款专用，杜绝挤占、挪用，同时制定了每月用款计划，确保建设资金足额、恰当、适时用于工程建设。县粮食和物资储备局及县财政局加强了对项目资金的监管，并根据项目实施进度及时拨付款项。</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三、项目实施及管理情况</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（一）项目组织架构及实施流程。</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为了把邻水县城南储备粮有限公司2022年</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仓顶阳光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工程项目工作落到实处，公司成立了邻水县城南储备粮有限公司2022年</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仓顶阳光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工程项目建设工作领导小组，主要负责人为组长，分管领导为副组长，相关部门人员为成员。先后报县政法委和县发改局同意《邻水县城南储备粮有限公司2022年</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仓顶阳光</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工程项目实施方案》的风险评估和立项批复。通过公开采购确定了四川锐怡宇工程项目管理有限公司为代理公司，通过广安市公共资源交易网挂网采购了重庆临远建设工程有限公司为设计和供货单位；公开采购了中浩宇项目管理有限公司为监理单位。通过招投标，规范了安装施工队伍和供货商，在项目实施中指派企业一名熟悉施工建设工作的专职人员现场监督检查，加强项目建设质量管理，确保项目建设质量符合国家有关技术要求。</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b/>
          <w:sz w:val="33"/>
          <w:szCs w:val="33"/>
          <w:lang w:val="zh-CN"/>
        </w:rPr>
        <w:t>（二）项目管理情况。</w:t>
      </w:r>
      <w:r>
        <w:rPr>
          <w:rFonts w:hint="default" w:ascii="Times New Roman" w:hAnsi="Times New Roman" w:eastAsia="方正仿宋_GBK" w:cs="Times New Roman"/>
          <w:sz w:val="33"/>
          <w:szCs w:val="33"/>
        </w:rPr>
        <w:t>为了确保该项目顺利完成，企业指派了专职的人员作为现场代表，公招了中浩宇项目管理有限公司为监理单位，邻水县粮食和物资储备中心</w:t>
      </w:r>
      <w:r>
        <w:rPr>
          <w:rFonts w:hint="default" w:ascii="Times New Roman" w:hAnsi="Times New Roman" w:eastAsia="方正仿宋_GBK" w:cs="Times New Roman"/>
          <w:sz w:val="33"/>
          <w:szCs w:val="33"/>
          <w:shd w:val="clear" w:color="auto" w:fill="FFFFFF"/>
        </w:rPr>
        <w:t>对建设工程全程全方位进行监督。</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楷体_GBK" w:cs="Times New Roman"/>
          <w:b/>
          <w:sz w:val="33"/>
          <w:szCs w:val="33"/>
          <w:lang w:val="zh-CN"/>
        </w:rPr>
        <w:t>（三）项目监管情况。</w:t>
      </w:r>
      <w:r>
        <w:rPr>
          <w:rFonts w:hint="default" w:ascii="Times New Roman" w:hAnsi="Times New Roman" w:eastAsia="方正仿宋_GBK" w:cs="Times New Roman"/>
          <w:kern w:val="0"/>
          <w:sz w:val="33"/>
          <w:szCs w:val="33"/>
          <w:shd w:val="clear" w:color="auto" w:fill="FFFFFF"/>
          <w:lang w:val="zh-CN"/>
        </w:rPr>
        <w:t>邻水县粮食和物资储备中心对公司的招标、施工、合同的履行、质量的验收和竣工验收进行了全方位无死角的监控管理，县发改、</w:t>
      </w:r>
      <w:r>
        <w:rPr>
          <w:rFonts w:hint="eastAsia" w:ascii="Times New Roman" w:hAnsi="Times New Roman" w:eastAsia="方正仿宋_GBK" w:cs="Times New Roman"/>
          <w:kern w:val="0"/>
          <w:sz w:val="33"/>
          <w:szCs w:val="33"/>
          <w:shd w:val="clear" w:color="auto" w:fill="FFFFFF"/>
          <w:lang w:val="zh-CN"/>
        </w:rPr>
        <w:t>县</w:t>
      </w:r>
      <w:r>
        <w:rPr>
          <w:rFonts w:hint="default" w:ascii="Times New Roman" w:hAnsi="Times New Roman" w:eastAsia="方正仿宋_GBK" w:cs="Times New Roman"/>
          <w:kern w:val="0"/>
          <w:sz w:val="33"/>
          <w:szCs w:val="33"/>
          <w:shd w:val="clear" w:color="auto" w:fill="FFFFFF"/>
          <w:lang w:val="zh-CN"/>
        </w:rPr>
        <w:t>财政全过程的参加了工程竣工验收工作，同时县财政局对资金的使用和拨付严格按照合同范围进行监管。达到了项目过程合法合规，质量合格，资金使用规范的效果。</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黑体_GBK" w:cs="Times New Roman"/>
          <w:sz w:val="33"/>
          <w:szCs w:val="33"/>
          <w:lang w:val="zh-CN"/>
        </w:rPr>
      </w:pPr>
      <w:r>
        <w:rPr>
          <w:rFonts w:hint="default" w:ascii="Times New Roman" w:hAnsi="Times New Roman" w:eastAsia="方正黑体_GBK" w:cs="Times New Roman"/>
          <w:sz w:val="33"/>
          <w:szCs w:val="33"/>
        </w:rPr>
        <w:t>四、项目绩效情况</w:t>
      </w:r>
      <w:r>
        <w:rPr>
          <w:rFonts w:hint="default" w:ascii="Times New Roman" w:hAnsi="Times New Roman" w:eastAsia="方正黑体_GBK" w:cs="Times New Roman"/>
          <w:sz w:val="33"/>
          <w:szCs w:val="33"/>
          <w:lang w:val="zh-CN"/>
        </w:rPr>
        <w:tab/>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（一）项目完成情况。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1</w:t>
      </w:r>
      <w:r>
        <w:rPr>
          <w:rFonts w:hint="default"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rPr>
        <w:t>目标任务量完成情况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已完成</w:t>
      </w:r>
      <w:r>
        <w:rPr>
          <w:rFonts w:hint="default" w:ascii="Times New Roman" w:hAnsi="Times New Roman" w:eastAsia="方正仿宋_GBK" w:cs="Times New Roman"/>
          <w:sz w:val="33"/>
          <w:szCs w:val="33"/>
        </w:rPr>
        <w:t>，建设主要内容为在库区1-6号低温仓仓顶实施光伏发电，形成装机容量418KWp，预计年发电42.5万kWh。</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2</w:t>
      </w:r>
      <w:r>
        <w:rPr>
          <w:rFonts w:hint="default"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rPr>
        <w:t>目标质量完成情况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邻水</w:t>
      </w:r>
      <w:r>
        <w:rPr>
          <w:rFonts w:hint="default" w:ascii="Times New Roman" w:hAnsi="Times New Roman" w:eastAsia="方正仿宋_GBK" w:cs="Times New Roman"/>
          <w:sz w:val="33"/>
          <w:szCs w:val="33"/>
        </w:rPr>
        <w:t>县粮食和物资储备中心和邻水县城南储备粮有限公司严格按照施工合同要求，定期或不定期地对工程质量进行跟踪、检查、监督、控制。一是督促、检查工程建设是否符合设计图纸要求。二是督促、检查工程建设是否符合国家有关的规范要求。三是检查采购的材料是否符合预算的品种、数量、规格、质量标准。四是检查采购的设备是否符合预算的品种、数量、规格、质量标准。五是抓好项目质量验收，落实项目质量回访制度，确保全优工程。</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3</w:t>
      </w:r>
      <w:r>
        <w:rPr>
          <w:rFonts w:hint="default"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rPr>
        <w:t>目标进度完成情况</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该项目已全面竣工并通过县发改、县粮储中心、县财政局、建设方、施工方、监理方进行验收，达到了设计要求，质量合格。</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（二）项目效益情况。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该项目实施后，项目单位可使用光伏电站所发清洁电力，为5.5万吨储备粮充分降温提供便宜的能源，保证了粮食的原有品质，满足了人们对商品粮食品质提高的要求。从经济效益上看：一是减轻了保粮压力、财政压力和企业压力。夏季气温炎热，仓房内的温度会升高许多，对粮食的储存不利，企业不得不运用低温、谷物冷却等降温等措施，增大了储粮成本。项目单位5.5万吨的粮食低温库配套设施（粮食进出库、粮情监测等）、办公等用电，每年电费支出10万余元。该项目建设后相当于年节约电费支出10万余元；二是提高了粮食企业经济效益，余电卖给国家电力公司，年创利近16万余元。三是有力地贯彻了国家能源战略政策。每年利用光伏板发电42.5万度，为国家节约了能源。四是通过项目的示范，带动了更多粮食储备企业实施仓顶阳光工程，进一步保障了储备粮食的品质。</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黑体_GBK" w:cs="Times New Roman"/>
          <w:color w:val="FF0000"/>
          <w:sz w:val="33"/>
          <w:szCs w:val="33"/>
        </w:rPr>
      </w:pPr>
      <w:r>
        <w:rPr>
          <w:rFonts w:hint="default" w:ascii="Times New Roman" w:hAnsi="Times New Roman" w:eastAsia="方正黑体_GBK" w:cs="Times New Roman"/>
          <w:sz w:val="33"/>
          <w:szCs w:val="33"/>
        </w:rPr>
        <w:t>五、评价结论及建议</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（一）评价结论。</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该项目管理完善、决策依据明确、项目管理规范、绩效目标明确，有较好的经济效益和社会效益,自评得分96分。</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（二）存在的问题。</w:t>
      </w:r>
    </w:p>
    <w:p>
      <w:pPr>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由于前期与电力公司对接分布式电源接入申请和发电并网各种手续较为繁琐原因导致整个工程正式投入发电运行缓慢。</w:t>
      </w:r>
    </w:p>
    <w:p>
      <w:pPr>
        <w:pStyle w:val="2"/>
        <w:keepNext w:val="0"/>
        <w:keepLines w:val="0"/>
        <w:pageBreakBefore w:val="0"/>
        <w:kinsoku/>
        <w:wordWrap/>
        <w:overflowPunct/>
        <w:topLinePunct w:val="0"/>
        <w:autoSpaceDE/>
        <w:autoSpaceDN/>
        <w:bidi w:val="0"/>
        <w:spacing w:line="590" w:lineRule="exact"/>
        <w:ind w:left="0" w:leftChars="0" w:firstLine="660" w:firstLineChars="200"/>
        <w:jc w:val="both"/>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lang w:val="en-US"/>
        </w:rPr>
        <w:t>2</w:t>
      </w:r>
      <w:r>
        <w:rPr>
          <w:rFonts w:hint="default"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rPr>
        <w:t>因疫情的影响，导致设备生产厂家和安装方工期滞后。</w:t>
      </w:r>
    </w:p>
    <w:p>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jc w:val="both"/>
        <w:textAlignment w:val="auto"/>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（三）相关建议。</w:t>
      </w:r>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sz w:val="33"/>
          <w:szCs w:val="33"/>
        </w:rPr>
        <w:t>做好前期与供电部门并网衔接工作，在项目建成后尽快投入发电，充分发挥其效益。</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2</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2</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zh-CN"/>
        </w:rPr>
        <w:t>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zh-CN"/>
        </w:rPr>
        <w:t>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zh-CN"/>
        </w:rPr>
        <w:t>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zh-CN"/>
        </w:rPr>
        <w:t>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color w:val="auto"/>
          <w:sz w:val="33"/>
          <w:szCs w:val="33"/>
          <w:lang w:val="zh-CN"/>
        </w:rPr>
        <w:t>1</w:t>
      </w:r>
      <w:r>
        <w:rPr>
          <w:rFonts w:hint="eastAsia" w:ascii="Times New Roman" w:hAnsi="Times New Roman" w:eastAsia="方正仿宋_GBK" w:cs="Times New Roman"/>
          <w:b w:val="0"/>
          <w:bCs w:val="0"/>
          <w:color w:val="auto"/>
          <w:sz w:val="33"/>
          <w:szCs w:val="33"/>
          <w:lang w:val="zh-CN"/>
        </w:rPr>
        <w:t>.</w:t>
      </w:r>
      <w:r>
        <w:rPr>
          <w:rFonts w:hint="default" w:ascii="Times New Roman" w:hAnsi="Times New Roman" w:eastAsia="方正仿宋_GBK" w:cs="Times New Roman"/>
          <w:b w:val="0"/>
          <w:bCs w:val="0"/>
          <w:color w:val="auto"/>
          <w:sz w:val="33"/>
          <w:szCs w:val="33"/>
          <w:lang w:val="zh-CN"/>
        </w:rPr>
        <w:t>项目主要内容</w:t>
      </w:r>
      <w:r>
        <w:rPr>
          <w:rFonts w:hint="eastAsia" w:ascii="Times New Roman" w:hAnsi="Times New Roman" w:eastAsia="方正仿宋_GBK" w:cs="Times New Roman"/>
          <w:b w:val="0"/>
          <w:bCs w:val="0"/>
          <w:color w:val="auto"/>
          <w:sz w:val="33"/>
          <w:szCs w:val="33"/>
          <w:lang w:val="zh-CN"/>
        </w:rPr>
        <w:t>。</w:t>
      </w:r>
      <w:r>
        <w:rPr>
          <w:rFonts w:hint="eastAsia" w:eastAsia="方正仿宋_GBK"/>
          <w:color w:val="0000FF"/>
          <w:sz w:val="33"/>
          <w:szCs w:val="33"/>
          <w:lang w:val="en-US" w:eastAsia="zh-CN"/>
        </w:rPr>
        <w:t>应急成品粮油保障能力提升采购</w:t>
      </w:r>
      <w:r>
        <w:rPr>
          <w:rFonts w:hint="default" w:ascii="Times New Roman" w:hAnsi="Times New Roman" w:eastAsia="方正仿宋_GBK" w:cs="Times New Roman"/>
          <w:color w:val="auto"/>
          <w:sz w:val="33"/>
          <w:szCs w:val="33"/>
          <w:lang w:val="en-US" w:eastAsia="zh-CN"/>
        </w:rPr>
        <w:t>。</w:t>
      </w:r>
    </w:p>
    <w:p>
      <w:pPr>
        <w:pageBreakBefore w:val="0"/>
        <w:kinsoku/>
        <w:wordWrap/>
        <w:overflowPunct/>
        <w:topLinePunct w:val="0"/>
        <w:bidi w:val="0"/>
        <w:adjustRightInd w:val="0"/>
        <w:snapToGrid w:val="0"/>
        <w:spacing w:line="590" w:lineRule="exact"/>
        <w:ind w:left="0" w:right="0" w:firstLine="720"/>
        <w:rPr>
          <w:rFonts w:hint="default" w:eastAsia="方正仿宋_GBK" w:cs="Times New Roman"/>
          <w:color w:val="000000"/>
          <w:sz w:val="33"/>
          <w:szCs w:val="33"/>
          <w:highlight w:val="none"/>
          <w:lang w:val="zh-CN" w:eastAsia="zh-CN"/>
        </w:rPr>
      </w:pPr>
      <w:r>
        <w:rPr>
          <w:rFonts w:hint="default" w:ascii="Times New Roman" w:hAnsi="Times New Roman" w:eastAsia="方正仿宋_GBK" w:cs="Times New Roman"/>
          <w:b w:val="0"/>
          <w:bCs w:val="0"/>
          <w:sz w:val="33"/>
          <w:szCs w:val="33"/>
          <w:highlight w:val="none"/>
          <w:lang w:val="zh-CN"/>
        </w:rPr>
        <w:t>2</w:t>
      </w:r>
      <w:r>
        <w:rPr>
          <w:rFonts w:hint="eastAsia" w:ascii="Times New Roman" w:hAnsi="Times New Roman" w:eastAsia="方正仿宋_GBK" w:cs="Times New Roman"/>
          <w:b w:val="0"/>
          <w:bCs w:val="0"/>
          <w:sz w:val="33"/>
          <w:szCs w:val="33"/>
          <w:highlight w:val="none"/>
          <w:lang w:val="zh-CN"/>
        </w:rPr>
        <w:t>.</w:t>
      </w:r>
      <w:r>
        <w:rPr>
          <w:rFonts w:hint="default" w:ascii="Times New Roman" w:hAnsi="Times New Roman" w:eastAsia="方正仿宋_GBK" w:cs="Times New Roman"/>
          <w:b w:val="0"/>
          <w:bCs w:val="0"/>
          <w:sz w:val="33"/>
          <w:szCs w:val="33"/>
          <w:highlight w:val="none"/>
          <w:lang w:val="zh-CN"/>
        </w:rPr>
        <w:t>项目应实现的具体绩效目标，</w:t>
      </w:r>
      <w:r>
        <w:rPr>
          <w:rFonts w:hint="default" w:eastAsia="方正仿宋_GBK" w:cs="Times New Roman"/>
          <w:color w:val="000000"/>
          <w:sz w:val="33"/>
          <w:szCs w:val="33"/>
          <w:highlight w:val="none"/>
          <w:lang w:val="zh-CN" w:eastAsia="zh-CN"/>
        </w:rPr>
        <w:t>建立完善应急成品粮油保障系统，提升粮油应急保障能力。</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color w:val="auto"/>
          <w:sz w:val="33"/>
          <w:szCs w:val="33"/>
          <w:lang w:val="en-US" w:eastAsia="zh-CN"/>
        </w:rPr>
      </w:pPr>
      <w:r>
        <w:rPr>
          <w:rFonts w:hint="eastAsia" w:eastAsia="方正仿宋_GBK" w:cs="Times New Roman"/>
          <w:b w:val="0"/>
          <w:bCs w:val="0"/>
          <w:color w:val="auto"/>
          <w:sz w:val="33"/>
          <w:szCs w:val="33"/>
          <w:lang w:val="en-US" w:eastAsia="zh-CN"/>
        </w:rPr>
        <w:t>1.</w:t>
      </w:r>
      <w:r>
        <w:rPr>
          <w:rFonts w:hint="default" w:ascii="Times New Roman" w:hAnsi="Times New Roman" w:eastAsia="方正仿宋_GBK" w:cs="Times New Roman"/>
          <w:b w:val="0"/>
          <w:bCs w:val="0"/>
          <w:color w:val="auto"/>
          <w:sz w:val="33"/>
          <w:szCs w:val="33"/>
          <w:lang w:val="zh-CN"/>
        </w:rPr>
        <w:t>资金计划</w:t>
      </w:r>
      <w:r>
        <w:rPr>
          <w:rFonts w:hint="eastAsia" w:ascii="Times New Roman" w:hAnsi="Times New Roman" w:eastAsia="方正仿宋_GBK" w:cs="Times New Roman"/>
          <w:b w:val="0"/>
          <w:bCs w:val="0"/>
          <w:color w:val="auto"/>
          <w:sz w:val="33"/>
          <w:szCs w:val="33"/>
          <w:lang w:val="zh-CN"/>
        </w:rPr>
        <w:t>。</w:t>
      </w:r>
      <w:r>
        <w:rPr>
          <w:rFonts w:hint="eastAsia" w:eastAsia="方正仿宋_GBK"/>
          <w:color w:val="0000FF"/>
          <w:sz w:val="33"/>
          <w:szCs w:val="33"/>
          <w:lang w:val="en-US" w:eastAsia="zh-CN"/>
        </w:rPr>
        <w:t>应急成品粮油保障能力提升采购</w:t>
      </w:r>
      <w:r>
        <w:rPr>
          <w:rFonts w:hint="default" w:ascii="Times New Roman" w:hAnsi="Times New Roman" w:eastAsia="方正仿宋_GBK" w:cs="Times New Roman"/>
          <w:color w:val="auto"/>
          <w:sz w:val="33"/>
          <w:szCs w:val="33"/>
        </w:rPr>
        <w:t>项目预算数</w:t>
      </w:r>
      <w:r>
        <w:rPr>
          <w:rFonts w:hint="eastAsia" w:ascii="Times New Roman" w:hAnsi="Times New Roman" w:eastAsia="方正仿宋_GBK" w:cs="Times New Roman"/>
          <w:color w:val="auto"/>
          <w:sz w:val="33"/>
          <w:szCs w:val="33"/>
          <w:lang w:val="en-US" w:eastAsia="zh-CN"/>
        </w:rPr>
        <w:t>30</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30</w:t>
      </w:r>
      <w:r>
        <w:rPr>
          <w:rFonts w:hint="default" w:ascii="Times New Roman" w:hAnsi="Times New Roman" w:eastAsia="方正仿宋_GBK" w:cs="Times New Roman"/>
          <w:sz w:val="33"/>
          <w:szCs w:val="33"/>
          <w:lang w:val="en-US" w:eastAsia="zh-CN"/>
        </w:rPr>
        <w:t>万元，已由县财政局在202</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eastAsia" w:ascii="Times New Roman" w:hAnsi="Times New Roman" w:eastAsia="方正仿宋_GBK" w:cs="Times New Roman"/>
          <w:sz w:val="33"/>
          <w:szCs w:val="33"/>
          <w:lang w:val="en-US" w:eastAsia="zh-CN"/>
        </w:rPr>
        <w:t>保证项目建设质量，</w:t>
      </w:r>
      <w:r>
        <w:rPr>
          <w:rFonts w:hint="default" w:ascii="Times New Roman" w:hAnsi="Times New Roman" w:eastAsia="方正仿宋_GBK" w:cs="Times New Roman"/>
          <w:sz w:val="33"/>
          <w:szCs w:val="33"/>
          <w:lang w:val="en-US" w:eastAsia="zh-CN"/>
        </w:rPr>
        <w:t>严格按照项目预算要求，精简节约，不突破预算，确保项目设施圆满完成。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成立了项目质量监督小组，重点监督资金</w:t>
      </w:r>
      <w:r>
        <w:rPr>
          <w:rFonts w:hint="eastAsia" w:ascii="Times New Roman" w:hAnsi="Times New Roman" w:eastAsia="方正仿宋_GBK" w:cs="Times New Roman"/>
          <w:sz w:val="33"/>
          <w:szCs w:val="33"/>
          <w:lang w:val="en-US" w:eastAsia="zh-CN"/>
        </w:rPr>
        <w:t>和项目建设</w:t>
      </w:r>
      <w:r>
        <w:rPr>
          <w:rFonts w:hint="default" w:ascii="Times New Roman" w:hAnsi="Times New Roman" w:eastAsia="方正仿宋_GBK" w:cs="Times New Roman"/>
          <w:sz w:val="33"/>
          <w:szCs w:val="33"/>
          <w:lang w:val="en-US" w:eastAsia="zh-CN"/>
        </w:rPr>
        <w:t>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实</w:t>
      </w:r>
      <w:r>
        <w:rPr>
          <w:rFonts w:hint="default" w:ascii="Times New Roman" w:hAnsi="Times New Roman" w:eastAsia="方正仿宋_GBK" w:cs="Times New Roman"/>
          <w:sz w:val="33"/>
          <w:szCs w:val="33"/>
          <w:lang w:val="en-US" w:eastAsia="zh-CN"/>
        </w:rPr>
        <w:t>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实</w:t>
      </w:r>
      <w:r>
        <w:rPr>
          <w:rFonts w:hint="default" w:ascii="Times New Roman" w:hAnsi="Times New Roman" w:eastAsia="方正仿宋_GBK" w:cs="Times New Roman"/>
          <w:sz w:val="33"/>
          <w:szCs w:val="33"/>
          <w:lang w:val="en-US" w:eastAsia="zh-CN"/>
        </w:rPr>
        <w:t>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在财政绩效方面，严格遵循</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深度拓展、公平公正、着力实效</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的原则，认真开展2022年财政绩效部门评价工作。项目支出总体执行情况较好，预期的绩效目标基本实现，同时财务操作程序规范有序，资金管理和使用有原则有计划按要求，账务核算及时、准确，不存在违法乱纪的问题。</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en-US" w:eastAsia="zh-CN"/>
        </w:rPr>
        <w:t>无</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eastAsia="zh-CN"/>
        </w:rPr>
        <w:t>一是强化财务工作人员业务能力培训，促使尽快熟悉业务工作范围。二是加强项目业务部门之间的交流，以提高项目绩效评价工作能力。</w:t>
      </w: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p>
    <w:p>
      <w:pPr>
        <w:pageBreakBefore w:val="0"/>
        <w:kinsoku/>
        <w:wordWrap/>
        <w:overflowPunct/>
        <w:topLinePunct w:val="0"/>
        <w:bidi w:val="0"/>
        <w:spacing w:line="590" w:lineRule="exact"/>
        <w:ind w:left="0" w:right="0"/>
        <w:jc w:val="center"/>
        <w:outlineLvl w:val="0"/>
        <w:rPr>
          <w:rStyle w:val="14"/>
          <w:rFonts w:hint="eastAsia" w:ascii="方正小标宋_GBK" w:hAnsi="方正小标宋_GBK" w:eastAsia="方正小标宋_GBK" w:cs="方正小标宋_GBK"/>
          <w:b/>
          <w:bCs w:val="0"/>
          <w:sz w:val="40"/>
          <w:szCs w:val="40"/>
          <w:lang w:val="en-US" w:eastAsia="zh-CN"/>
        </w:rPr>
      </w:pPr>
    </w:p>
    <w:p>
      <w:pPr>
        <w:pageBreakBefore w:val="0"/>
        <w:kinsoku/>
        <w:wordWrap/>
        <w:overflowPunct/>
        <w:topLinePunct w:val="0"/>
        <w:bidi w:val="0"/>
        <w:spacing w:line="590" w:lineRule="exact"/>
        <w:ind w:left="0" w:right="0"/>
        <w:jc w:val="center"/>
        <w:outlineLvl w:val="0"/>
        <w:rPr>
          <w:rStyle w:val="14"/>
          <w:rFonts w:hint="eastAsia" w:ascii="方正小标宋_GBK" w:hAnsi="方正小标宋_GBK" w:eastAsia="方正小标宋_GBK" w:cs="方正小标宋_GBK"/>
          <w:b/>
          <w:bCs w:val="0"/>
          <w:sz w:val="40"/>
          <w:szCs w:val="40"/>
          <w:lang w:val="en-US" w:eastAsia="zh-CN"/>
        </w:rPr>
      </w:pPr>
    </w:p>
    <w:p>
      <w:pPr>
        <w:pageBreakBefore w:val="0"/>
        <w:widowControl/>
        <w:kinsoku/>
        <w:wordWrap/>
        <w:overflowPunct/>
        <w:topLinePunct w:val="0"/>
        <w:bidi w:val="0"/>
        <w:spacing w:line="590" w:lineRule="exact"/>
        <w:ind w:left="0" w:right="0"/>
        <w:jc w:val="left"/>
        <w:outlineLvl w:val="9"/>
        <w:rPr>
          <w:rStyle w:val="14"/>
          <w:rFonts w:hint="default" w:ascii="Times New Roman" w:hAnsi="Times New Roman" w:eastAsia="方正仿宋_GBK" w:cs="Times New Roman"/>
          <w:b w:val="0"/>
          <w:bCs/>
          <w:sz w:val="33"/>
          <w:szCs w:val="33"/>
          <w:lang w:val="en-US" w:eastAsia="zh-CN"/>
        </w:rPr>
      </w:pPr>
      <w:r>
        <w:rPr>
          <w:rStyle w:val="14"/>
          <w:rFonts w:hint="default" w:ascii="Times New Roman" w:hAnsi="Times New Roman" w:eastAsia="方正仿宋_GBK" w:cs="Times New Roman"/>
          <w:b w:val="0"/>
          <w:bCs/>
          <w:sz w:val="33"/>
          <w:szCs w:val="33"/>
          <w:lang w:val="en-US" w:eastAsia="zh-CN"/>
        </w:rPr>
        <w:t>附件3</w:t>
      </w:r>
    </w:p>
    <w:p>
      <w:pPr>
        <w:pageBreakBefore w:val="0"/>
        <w:kinsoku/>
        <w:wordWrap/>
        <w:overflowPunct/>
        <w:topLinePunct w:val="0"/>
        <w:bidi w:val="0"/>
        <w:spacing w:line="590" w:lineRule="exact"/>
        <w:ind w:left="0" w:right="0"/>
        <w:jc w:val="center"/>
        <w:outlineLvl w:val="0"/>
        <w:rPr>
          <w:rFonts w:hint="eastAsia" w:ascii="黑体" w:hAnsi="黑体" w:eastAsia="黑体" w:cs="黑体"/>
          <w:color w:val="000000"/>
          <w:sz w:val="44"/>
          <w:szCs w:val="44"/>
        </w:rPr>
      </w:pPr>
      <w:r>
        <w:rPr>
          <w:rStyle w:val="14"/>
          <w:rFonts w:hint="eastAsia" w:ascii="方正小标宋_GBK" w:hAnsi="方正小标宋_GBK" w:eastAsia="方正小标宋_GBK" w:cs="方正小标宋_GBK"/>
          <w:b/>
          <w:bCs w:val="0"/>
          <w:sz w:val="40"/>
          <w:szCs w:val="40"/>
          <w:lang w:val="en-US" w:eastAsia="zh-CN"/>
        </w:rPr>
        <w:t>2022年部门预算项目绩效目标自评表</w:t>
      </w:r>
    </w:p>
    <w:p>
      <w:pPr>
        <w:pageBreakBefore w:val="0"/>
        <w:kinsoku/>
        <w:wordWrap/>
        <w:overflowPunct/>
        <w:topLinePunct w:val="0"/>
        <w:bidi w:val="0"/>
        <w:spacing w:line="120" w:lineRule="exact"/>
        <w:ind w:left="0" w:right="0"/>
        <w:jc w:val="center"/>
        <w:outlineLvl w:val="0"/>
        <w:rPr>
          <w:rFonts w:hint="eastAsia" w:ascii="黑体" w:hAnsi="黑体" w:eastAsia="黑体" w:cs="黑体"/>
          <w:color w:val="000000"/>
          <w:sz w:val="44"/>
          <w:szCs w:val="44"/>
        </w:rPr>
      </w:pPr>
    </w:p>
    <w:tbl>
      <w:tblPr>
        <w:tblStyle w:val="10"/>
        <w:tblW w:w="8869" w:type="dxa"/>
        <w:tblInd w:w="0" w:type="dxa"/>
        <w:tblLayout w:type="fixed"/>
        <w:tblCellMar>
          <w:top w:w="0" w:type="dxa"/>
          <w:left w:w="0" w:type="dxa"/>
          <w:bottom w:w="0" w:type="dxa"/>
          <w:right w:w="0" w:type="dxa"/>
        </w:tblCellMar>
      </w:tblPr>
      <w:tblGrid>
        <w:gridCol w:w="717"/>
        <w:gridCol w:w="1199"/>
        <w:gridCol w:w="1290"/>
        <w:gridCol w:w="539"/>
        <w:gridCol w:w="1206"/>
        <w:gridCol w:w="1929"/>
        <w:gridCol w:w="1989"/>
        <w:tblGridChange w:id="0">
          <w:tblGrid>
            <w:gridCol w:w="717"/>
            <w:gridCol w:w="1199"/>
            <w:gridCol w:w="1290"/>
            <w:gridCol w:w="539"/>
            <w:gridCol w:w="1206"/>
            <w:gridCol w:w="1929"/>
            <w:gridCol w:w="1989"/>
          </w:tblGrid>
        </w:tblGridChange>
      </w:tblGrid>
      <w:tr>
        <w:tblPrEx>
          <w:tblLayout w:type="fixed"/>
          <w:tblCellMar>
            <w:top w:w="0" w:type="dxa"/>
            <w:left w:w="0" w:type="dxa"/>
            <w:bottom w:w="0" w:type="dxa"/>
            <w:right w:w="0" w:type="dxa"/>
          </w:tblCellMar>
        </w:tblPrEx>
        <w:trPr>
          <w:trHeight w:val="533" w:hRule="atLeast"/>
        </w:trPr>
        <w:tc>
          <w:tcPr>
            <w:tcW w:w="19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5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仓顶阳光</w:t>
            </w:r>
          </w:p>
        </w:tc>
      </w:tr>
      <w:tr>
        <w:tblPrEx>
          <w:tblLayout w:type="fixed"/>
          <w:tblCellMar>
            <w:top w:w="0" w:type="dxa"/>
            <w:left w:w="0" w:type="dxa"/>
            <w:bottom w:w="0" w:type="dxa"/>
            <w:right w:w="0" w:type="dxa"/>
          </w:tblCellMar>
        </w:tblPrEx>
        <w:trPr>
          <w:trHeight w:val="659" w:hRule="atLeast"/>
        </w:trPr>
        <w:tc>
          <w:tcPr>
            <w:tcW w:w="19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Layout w:type="fixed"/>
          <w:tblCellMar>
            <w:top w:w="0" w:type="dxa"/>
            <w:left w:w="0" w:type="dxa"/>
            <w:bottom w:w="0" w:type="dxa"/>
            <w:right w:w="0" w:type="dxa"/>
          </w:tblCellMar>
        </w:tblPrEx>
        <w:trPr>
          <w:trHeight w:val="396" w:hRule="atLeast"/>
        </w:trPr>
        <w:tc>
          <w:tcPr>
            <w:tcW w:w="191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275</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275</w:t>
            </w:r>
          </w:p>
        </w:tc>
      </w:tr>
      <w:tr>
        <w:tblPrEx>
          <w:tblLayout w:type="fixed"/>
          <w:tblCellMar>
            <w:top w:w="0" w:type="dxa"/>
            <w:left w:w="0" w:type="dxa"/>
            <w:bottom w:w="0" w:type="dxa"/>
            <w:right w:w="0" w:type="dxa"/>
          </w:tblCellMar>
        </w:tblPrEx>
        <w:trPr>
          <w:trHeight w:val="321" w:hRule="atLeast"/>
        </w:trPr>
        <w:tc>
          <w:tcPr>
            <w:tcW w:w="191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275</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275</w:t>
            </w:r>
          </w:p>
        </w:tc>
      </w:tr>
      <w:tr>
        <w:tblPrEx>
          <w:tblLayout w:type="fixed"/>
          <w:tblCellMar>
            <w:top w:w="0" w:type="dxa"/>
            <w:left w:w="0" w:type="dxa"/>
            <w:bottom w:w="0" w:type="dxa"/>
            <w:right w:w="0" w:type="dxa"/>
          </w:tblCellMar>
        </w:tblPrEx>
        <w:trPr>
          <w:trHeight w:val="345" w:hRule="atLeast"/>
        </w:trPr>
        <w:tc>
          <w:tcPr>
            <w:tcW w:w="191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Layout w:type="fixed"/>
          <w:tblCellMar>
            <w:top w:w="0" w:type="dxa"/>
            <w:left w:w="0" w:type="dxa"/>
            <w:bottom w:w="0" w:type="dxa"/>
            <w:right w:w="0" w:type="dxa"/>
          </w:tblCellMar>
        </w:tblPrEx>
        <w:trPr>
          <w:trHeight w:val="317"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Layout w:type="fixed"/>
          <w:tblCellMar>
            <w:top w:w="0" w:type="dxa"/>
            <w:left w:w="0" w:type="dxa"/>
            <w:bottom w:w="0" w:type="dxa"/>
            <w:right w:w="0" w:type="dxa"/>
          </w:tblCellMar>
        </w:tblPrEx>
        <w:trPr>
          <w:trHeight w:val="1487"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yellow"/>
                <w:lang w:val="en-US" w:eastAsia="zh-CN"/>
              </w:rPr>
            </w:pPr>
            <w:r>
              <w:rPr>
                <w:rFonts w:hint="eastAsia" w:ascii="宋体" w:hAnsi="宋体" w:eastAsia="宋体" w:cs="宋体"/>
                <w:color w:val="000000"/>
                <w:spacing w:val="6"/>
                <w:kern w:val="2"/>
                <w:sz w:val="20"/>
                <w:szCs w:val="20"/>
              </w:rPr>
              <w:t>在4栋低温粮食储备库仓顶现浇混凝土基础400个，安装光伏支架和光伏组件、直流电缆、接地系统，安装桥架、逆变器、配电柜等，并实施接入变压器改造。</w:t>
            </w:r>
          </w:p>
        </w:tc>
        <w:tc>
          <w:tcPr>
            <w:tcW w:w="3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val="en-US" w:eastAsia="zh-CN"/>
              </w:rPr>
              <w:t>已完成</w:t>
            </w:r>
          </w:p>
        </w:tc>
      </w:tr>
      <w:tr>
        <w:tblPrEx>
          <w:tblLayout w:type="fixed"/>
          <w:tblCellMar>
            <w:top w:w="0" w:type="dxa"/>
            <w:left w:w="0" w:type="dxa"/>
            <w:bottom w:w="0" w:type="dxa"/>
            <w:right w:w="0" w:type="dxa"/>
          </w:tblCellMar>
        </w:tblPrEx>
        <w:trPr>
          <w:trHeight w:val="447" w:hRule="atLeast"/>
        </w:trPr>
        <w:tc>
          <w:tcPr>
            <w:tcW w:w="71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三级指标</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预期指标值</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实际完成指标值</w:t>
            </w:r>
          </w:p>
        </w:tc>
      </w:tr>
      <w:tr>
        <w:tblPrEx>
          <w:tblLayout w:type="fixed"/>
          <w:tblCellMar>
            <w:top w:w="0" w:type="dxa"/>
            <w:left w:w="0" w:type="dxa"/>
            <w:bottom w:w="0" w:type="dxa"/>
            <w:right w:w="0" w:type="dxa"/>
          </w:tblCellMar>
        </w:tblPrEx>
        <w:trPr>
          <w:trHeight w:val="655"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highlight w:val="none"/>
                <w:lang w:val="en-US" w:eastAsia="zh-CN"/>
              </w:rPr>
            </w:pPr>
            <w:r>
              <w:rPr>
                <w:rFonts w:hint="default" w:ascii="宋体" w:hAnsi="宋体" w:eastAsia="宋体" w:cs="宋体"/>
                <w:b/>
                <w:bCs/>
                <w:spacing w:val="6"/>
                <w:sz w:val="20"/>
                <w:szCs w:val="20"/>
                <w:highlight w:val="none"/>
                <w:lang w:val="en-US" w:eastAsia="zh-CN"/>
              </w:rPr>
              <w:t>完</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成</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指</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spacing w:val="6"/>
                <w:kern w:val="2"/>
                <w:sz w:val="20"/>
                <w:szCs w:val="20"/>
                <w:lang w:val="en-US" w:eastAsia="zh-CN"/>
              </w:rPr>
              <w:t>安装基础设施数量</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eastAsia="宋体" w:cs="宋体"/>
                <w:spacing w:val="6"/>
                <w:kern w:val="2"/>
                <w:sz w:val="20"/>
                <w:szCs w:val="20"/>
              </w:rPr>
              <w:t>在4栋低温粮食储备库仓顶现浇混凝土基础400个</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eastAsia="宋体" w:cs="宋体"/>
                <w:spacing w:val="6"/>
                <w:kern w:val="2"/>
                <w:sz w:val="20"/>
                <w:szCs w:val="20"/>
              </w:rPr>
              <w:t>在4栋低温粮食储备库仓顶现浇混凝土基础400个</w:t>
            </w:r>
          </w:p>
        </w:tc>
      </w:tr>
      <w:tr>
        <w:tblPrEx>
          <w:tblLayout w:type="fixed"/>
          <w:tblCellMar>
            <w:top w:w="0" w:type="dxa"/>
            <w:left w:w="0" w:type="dxa"/>
            <w:bottom w:w="0" w:type="dxa"/>
            <w:right w:w="0" w:type="dxa"/>
          </w:tblCellMar>
        </w:tblPrEx>
        <w:trPr>
          <w:trHeight w:val="771"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达到质量要求</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质量合格</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质量合格</w:t>
            </w:r>
          </w:p>
        </w:tc>
      </w:tr>
      <w:tr>
        <w:tblPrEx>
          <w:tblLayout w:type="fixed"/>
          <w:tblCellMar>
            <w:top w:w="0" w:type="dxa"/>
            <w:left w:w="0" w:type="dxa"/>
            <w:bottom w:w="0" w:type="dxa"/>
            <w:right w:w="0" w:type="dxa"/>
          </w:tblCellMar>
        </w:tblPrEx>
        <w:trPr>
          <w:trHeight w:val="760"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按期完成</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按期完成</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按期完成</w:t>
            </w:r>
          </w:p>
        </w:tc>
      </w:tr>
      <w:tr>
        <w:tblPrEx>
          <w:tblLayout w:type="fixed"/>
          <w:tblCellMar>
            <w:top w:w="0" w:type="dxa"/>
            <w:left w:w="0" w:type="dxa"/>
            <w:bottom w:w="0" w:type="dxa"/>
            <w:right w:w="0" w:type="dxa"/>
          </w:tblCellMar>
        </w:tblPrEx>
        <w:trPr>
          <w:trHeight w:val="879"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r>
              <w:rPr>
                <w:rFonts w:hint="default" w:ascii="宋体" w:hAnsi="宋体" w:eastAsia="宋体" w:cs="宋体"/>
                <w:b/>
                <w:bCs/>
                <w:spacing w:val="6"/>
                <w:sz w:val="20"/>
                <w:szCs w:val="20"/>
                <w:highlight w:val="none"/>
                <w:lang w:val="en-US" w:eastAsia="zh-CN"/>
              </w:rPr>
              <w:t>效</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益</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指</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eastAsia="zh-CN"/>
              </w:rPr>
              <w:t>完成</w:t>
            </w:r>
            <w:r>
              <w:rPr>
                <w:rFonts w:hint="eastAsia" w:ascii="宋体" w:hAnsi="宋体" w:cs="宋体"/>
                <w:color w:val="000000"/>
                <w:spacing w:val="6"/>
                <w:sz w:val="20"/>
                <w:szCs w:val="20"/>
                <w:highlight w:val="none"/>
                <w:lang w:val="en-US" w:eastAsia="zh-CN"/>
              </w:rPr>
              <w:t>2022年项目前期工作，提升粮食仓储基础设施建设</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val="en-US" w:eastAsia="zh-CN"/>
              </w:rPr>
              <w:t>提升粮食仓储基础设施建设</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val="en-US" w:eastAsia="zh-CN"/>
              </w:rPr>
              <w:t>提升粮食仓储基础设施建设</w:t>
            </w:r>
          </w:p>
        </w:tc>
      </w:tr>
      <w:tr>
        <w:tblPrEx>
          <w:tblLayout w:type="fixed"/>
          <w:tblCellMar>
            <w:top w:w="0" w:type="dxa"/>
            <w:left w:w="0" w:type="dxa"/>
            <w:bottom w:w="0" w:type="dxa"/>
            <w:right w:w="0" w:type="dxa"/>
          </w:tblCellMar>
        </w:tblPrEx>
        <w:trPr>
          <w:trHeight w:val="757"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cs="宋体"/>
                <w:color w:val="000000"/>
                <w:spacing w:val="6"/>
                <w:sz w:val="20"/>
                <w:szCs w:val="20"/>
                <w:highlight w:val="none"/>
                <w:lang w:val="en-US" w:eastAsia="zh-CN"/>
              </w:rPr>
              <w:t>保障粮食安全</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cs="宋体"/>
                <w:color w:val="000000"/>
                <w:spacing w:val="6"/>
                <w:sz w:val="20"/>
                <w:szCs w:val="20"/>
                <w:highlight w:val="none"/>
                <w:lang w:eastAsia="zh-CN"/>
              </w:rPr>
              <w:t>形成良好的社会效益</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highlight w:val="none"/>
                <w:lang w:val="en-US" w:eastAsia="zh-CN"/>
              </w:rPr>
            </w:pPr>
            <w:r>
              <w:rPr>
                <w:rFonts w:hint="eastAsia" w:ascii="宋体" w:hAnsi="宋体" w:cs="宋体"/>
                <w:color w:val="000000"/>
                <w:spacing w:val="6"/>
                <w:sz w:val="20"/>
                <w:szCs w:val="20"/>
                <w:highlight w:val="none"/>
                <w:lang w:eastAsia="zh-CN"/>
              </w:rPr>
              <w:t>形成</w:t>
            </w:r>
            <w:r>
              <w:rPr>
                <w:rFonts w:hint="eastAsia" w:ascii="宋体" w:hAnsi="宋体" w:cs="宋体"/>
                <w:color w:val="000000"/>
                <w:spacing w:val="6"/>
                <w:sz w:val="20"/>
                <w:szCs w:val="20"/>
                <w:highlight w:val="none"/>
                <w:lang w:val="en-US" w:eastAsia="zh-CN"/>
              </w:rPr>
              <w:t>了</w:t>
            </w:r>
            <w:r>
              <w:rPr>
                <w:rFonts w:hint="eastAsia" w:ascii="宋体" w:hAnsi="宋体" w:cs="宋体"/>
                <w:color w:val="000000"/>
                <w:spacing w:val="6"/>
                <w:sz w:val="20"/>
                <w:szCs w:val="20"/>
                <w:highlight w:val="none"/>
                <w:lang w:eastAsia="zh-CN"/>
              </w:rPr>
              <w:t>良好的社会效益</w:t>
            </w:r>
          </w:p>
        </w:tc>
      </w:tr>
      <w:tr>
        <w:tblPrEx>
          <w:tblLayout w:type="fixed"/>
          <w:tblCellMar>
            <w:top w:w="0" w:type="dxa"/>
            <w:left w:w="0" w:type="dxa"/>
            <w:bottom w:w="0" w:type="dxa"/>
            <w:right w:w="0" w:type="dxa"/>
          </w:tblCellMar>
        </w:tblPrEx>
        <w:trPr>
          <w:trHeight w:val="601"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生态</w:t>
            </w:r>
            <w:r>
              <w:rPr>
                <w:rFonts w:hint="default" w:ascii="宋体" w:hAnsi="宋体" w:eastAsia="宋体" w:cs="宋体"/>
                <w:spacing w:val="6"/>
                <w:sz w:val="20"/>
                <w:szCs w:val="20"/>
                <w:highlight w:val="none"/>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生态效益</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无影响生态环境的因素</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无影响生态环境的因素</w:t>
            </w:r>
          </w:p>
        </w:tc>
      </w:tr>
      <w:tr>
        <w:tblPrEx>
          <w:tblLayout w:type="fixed"/>
          <w:tblCellMar>
            <w:top w:w="0" w:type="dxa"/>
            <w:left w:w="0" w:type="dxa"/>
            <w:bottom w:w="0" w:type="dxa"/>
            <w:right w:w="0" w:type="dxa"/>
          </w:tblCellMar>
        </w:tblPrEx>
        <w:trPr>
          <w:trHeight w:val="550"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eastAsia="zh-CN"/>
              </w:rPr>
              <w:t>持续推动</w:t>
            </w:r>
            <w:r>
              <w:rPr>
                <w:rFonts w:hint="eastAsia" w:ascii="宋体" w:hAnsi="宋体" w:cs="宋体"/>
                <w:color w:val="000000"/>
                <w:spacing w:val="6"/>
                <w:sz w:val="20"/>
                <w:szCs w:val="20"/>
                <w:highlight w:val="none"/>
                <w:lang w:val="en-US" w:eastAsia="zh-CN"/>
              </w:rPr>
              <w:t>项目前期工作</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val="en-US" w:eastAsia="zh-CN"/>
              </w:rPr>
              <w:t>项目建成后提升粮储基础设施能力</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yellow"/>
                <w:lang w:val="en-US" w:eastAsia="zh-CN"/>
              </w:rPr>
            </w:pPr>
            <w:r>
              <w:rPr>
                <w:rFonts w:hint="eastAsia" w:ascii="宋体" w:hAnsi="宋体" w:cs="宋体"/>
                <w:color w:val="000000"/>
                <w:spacing w:val="6"/>
                <w:sz w:val="20"/>
                <w:szCs w:val="20"/>
                <w:highlight w:val="none"/>
                <w:lang w:eastAsia="zh-CN"/>
              </w:rPr>
              <w:t>已完成</w:t>
            </w:r>
          </w:p>
        </w:tc>
      </w:tr>
      <w:tr>
        <w:tblPrEx>
          <w:tblLayout w:type="fixed"/>
          <w:tblCellMar>
            <w:top w:w="0" w:type="dxa"/>
            <w:left w:w="0" w:type="dxa"/>
            <w:bottom w:w="0" w:type="dxa"/>
            <w:right w:w="0" w:type="dxa"/>
          </w:tblCellMar>
        </w:tblPrEx>
        <w:trPr>
          <w:trHeight w:val="891"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highlight w:val="none"/>
                <w:lang w:val="en-US" w:eastAsia="zh-CN"/>
              </w:rPr>
            </w:pPr>
            <w:r>
              <w:rPr>
                <w:rFonts w:hint="default" w:ascii="宋体" w:hAnsi="宋体" w:eastAsia="宋体" w:cs="宋体"/>
                <w:b/>
                <w:bCs/>
                <w:spacing w:val="6"/>
                <w:sz w:val="20"/>
                <w:szCs w:val="20"/>
                <w:highlight w:val="none"/>
                <w:lang w:val="en-US" w:eastAsia="zh-CN"/>
              </w:rPr>
              <w:t>满意</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度指</w:t>
            </w:r>
            <w:r>
              <w:rPr>
                <w:rFonts w:hint="default" w:ascii="宋体" w:hAnsi="宋体" w:eastAsia="宋体" w:cs="宋体"/>
                <w:b/>
                <w:bCs/>
                <w:spacing w:val="6"/>
                <w:sz w:val="20"/>
                <w:szCs w:val="20"/>
                <w:highlight w:val="none"/>
                <w:lang w:val="en-US" w:eastAsia="zh-CN"/>
              </w:rPr>
              <w:br w:type="textWrapping"/>
            </w:r>
            <w:r>
              <w:rPr>
                <w:rFonts w:hint="default" w:ascii="宋体" w:hAnsi="宋体" w:eastAsia="宋体" w:cs="宋体"/>
                <w:b/>
                <w:bCs/>
                <w:spacing w:val="6"/>
                <w:sz w:val="20"/>
                <w:szCs w:val="20"/>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default" w:ascii="宋体" w:hAnsi="宋体" w:eastAsia="宋体" w:cs="宋体"/>
                <w:spacing w:val="6"/>
                <w:sz w:val="20"/>
                <w:szCs w:val="20"/>
                <w:highlight w:val="none"/>
                <w:lang w:val="en-US" w:eastAsia="zh-CN"/>
              </w:rPr>
              <w:t>社会满意度</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95</w:t>
            </w:r>
            <w:r>
              <w:rPr>
                <w:rFonts w:hint="default" w:ascii="宋体" w:hAnsi="宋体" w:eastAsia="宋体" w:cs="宋体"/>
                <w:spacing w:val="6"/>
                <w:sz w:val="20"/>
                <w:szCs w:val="20"/>
                <w:highlight w:val="none"/>
                <w:lang w:val="en-US" w:eastAsia="zh-CN"/>
              </w:rPr>
              <w:t>%</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highlight w:val="none"/>
                <w:lang w:val="en-US" w:eastAsia="zh-CN"/>
              </w:rPr>
            </w:pPr>
            <w:r>
              <w:rPr>
                <w:rFonts w:hint="eastAsia" w:ascii="宋体" w:hAnsi="宋体" w:cs="宋体"/>
                <w:spacing w:val="6"/>
                <w:sz w:val="20"/>
                <w:szCs w:val="20"/>
                <w:highlight w:val="none"/>
                <w:lang w:val="en-US" w:eastAsia="zh-CN"/>
              </w:rPr>
              <w:t>95</w:t>
            </w:r>
            <w:r>
              <w:rPr>
                <w:rFonts w:hint="default" w:ascii="宋体" w:hAnsi="宋体" w:eastAsia="宋体" w:cs="宋体"/>
                <w:spacing w:val="6"/>
                <w:sz w:val="20"/>
                <w:szCs w:val="20"/>
                <w:highlight w:val="none"/>
                <w:lang w:val="en-US" w:eastAsia="zh-CN"/>
              </w:rPr>
              <w:t>%</w:t>
            </w:r>
          </w:p>
        </w:tc>
      </w:tr>
      <w:tr>
        <w:tblPrEx>
          <w:tblLayout w:type="fixed"/>
          <w:tblCellMar>
            <w:top w:w="0" w:type="dxa"/>
            <w:left w:w="0" w:type="dxa"/>
            <w:bottom w:w="0" w:type="dxa"/>
            <w:right w:w="0" w:type="dxa"/>
          </w:tblCellMar>
        </w:tblPrEx>
        <w:trPr>
          <w:trHeight w:val="396" w:hRule="atLeast"/>
        </w:trPr>
        <w:tc>
          <w:tcPr>
            <w:tcW w:w="19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5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b/>
                <w:bCs/>
                <w:spacing w:val="6"/>
                <w:sz w:val="20"/>
                <w:szCs w:val="20"/>
                <w:lang w:val="en-US" w:eastAsia="zh-CN"/>
              </w:rPr>
            </w:pPr>
            <w:r>
              <w:rPr>
                <w:rFonts w:hint="eastAsia" w:ascii="宋体" w:hAnsi="宋体" w:cs="宋体"/>
                <w:b/>
                <w:bCs/>
                <w:spacing w:val="6"/>
                <w:sz w:val="20"/>
                <w:szCs w:val="20"/>
                <w:highlight w:val="none"/>
                <w:lang w:val="en-US" w:eastAsia="zh-CN"/>
              </w:rPr>
              <w:t>应急成品粮油保障能力提升采购</w:t>
            </w:r>
          </w:p>
        </w:tc>
      </w:tr>
      <w:tr>
        <w:tblPrEx>
          <w:tblLayout w:type="fixed"/>
          <w:tblCellMar>
            <w:top w:w="0" w:type="dxa"/>
            <w:left w:w="0" w:type="dxa"/>
            <w:bottom w:w="0" w:type="dxa"/>
            <w:right w:w="0" w:type="dxa"/>
          </w:tblCellMar>
        </w:tblPrEx>
        <w:trPr>
          <w:trHeight w:val="659" w:hRule="atLeast"/>
        </w:trPr>
        <w:tc>
          <w:tcPr>
            <w:tcW w:w="19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Layout w:type="fixed"/>
          <w:tblCellMar>
            <w:top w:w="0" w:type="dxa"/>
            <w:left w:w="0" w:type="dxa"/>
            <w:bottom w:w="0" w:type="dxa"/>
            <w:right w:w="0" w:type="dxa"/>
          </w:tblCellMar>
        </w:tblPrEx>
        <w:trPr>
          <w:trHeight w:val="396" w:hRule="atLeast"/>
        </w:trPr>
        <w:tc>
          <w:tcPr>
            <w:tcW w:w="191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w:t>
            </w:r>
          </w:p>
        </w:tc>
      </w:tr>
      <w:tr>
        <w:tblPrEx>
          <w:tblLayout w:type="fixed"/>
          <w:tblCellMar>
            <w:top w:w="0" w:type="dxa"/>
            <w:left w:w="0" w:type="dxa"/>
            <w:bottom w:w="0" w:type="dxa"/>
            <w:right w:w="0" w:type="dxa"/>
          </w:tblCellMar>
        </w:tblPrEx>
        <w:trPr>
          <w:trHeight w:val="400" w:hRule="atLeast"/>
        </w:trPr>
        <w:tc>
          <w:tcPr>
            <w:tcW w:w="191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30</w:t>
            </w:r>
          </w:p>
        </w:tc>
      </w:tr>
      <w:tr>
        <w:tblPrEx>
          <w:tblLayout w:type="fixed"/>
          <w:tblCellMar>
            <w:top w:w="0" w:type="dxa"/>
            <w:left w:w="0" w:type="dxa"/>
            <w:bottom w:w="0" w:type="dxa"/>
            <w:right w:w="0" w:type="dxa"/>
          </w:tblCellMar>
        </w:tblPrEx>
        <w:trPr>
          <w:trHeight w:val="436" w:hRule="atLeast"/>
        </w:trPr>
        <w:tc>
          <w:tcPr>
            <w:tcW w:w="191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Layout w:type="fixed"/>
          <w:tblCellMar>
            <w:top w:w="0" w:type="dxa"/>
            <w:left w:w="0" w:type="dxa"/>
            <w:bottom w:w="0" w:type="dxa"/>
            <w:right w:w="0" w:type="dxa"/>
          </w:tblCellMar>
        </w:tblPrEx>
        <w:trPr>
          <w:trHeight w:val="396"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Layout w:type="fixed"/>
          <w:tblCellMar>
            <w:top w:w="0" w:type="dxa"/>
            <w:left w:w="0" w:type="dxa"/>
            <w:bottom w:w="0" w:type="dxa"/>
            <w:right w:w="0" w:type="dxa"/>
          </w:tblCellMar>
        </w:tblPrEx>
        <w:trPr>
          <w:trHeight w:val="1684"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3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建立完善应急成品粮油保障系统，提升粮油应急保障能力</w:t>
            </w:r>
          </w:p>
        </w:tc>
        <w:tc>
          <w:tcPr>
            <w:tcW w:w="39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已完成</w:t>
            </w:r>
          </w:p>
        </w:tc>
      </w:tr>
      <w:tr>
        <w:tblPrEx>
          <w:tblLayout w:type="fixed"/>
          <w:tblCellMar>
            <w:top w:w="0" w:type="dxa"/>
            <w:left w:w="0" w:type="dxa"/>
            <w:bottom w:w="0" w:type="dxa"/>
            <w:right w:w="0" w:type="dxa"/>
          </w:tblCellMar>
        </w:tblPrEx>
        <w:trPr>
          <w:trHeight w:val="629" w:hRule="atLeast"/>
        </w:trPr>
        <w:tc>
          <w:tcPr>
            <w:tcW w:w="71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Layout w:type="fixed"/>
          <w:tblCellMar>
            <w:top w:w="0" w:type="dxa"/>
            <w:left w:w="0" w:type="dxa"/>
            <w:bottom w:w="0" w:type="dxa"/>
            <w:right w:w="0" w:type="dxa"/>
          </w:tblCellMar>
        </w:tblPrEx>
        <w:trPr>
          <w:trHeight w:val="865"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应急保障设施数量</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按实际采购</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按实际采购</w:t>
            </w:r>
          </w:p>
        </w:tc>
      </w:tr>
      <w:tr>
        <w:tblPrEx>
          <w:tblLayout w:type="fixed"/>
          <w:tblCellMar>
            <w:top w:w="0" w:type="dxa"/>
            <w:left w:w="0" w:type="dxa"/>
            <w:bottom w:w="0" w:type="dxa"/>
            <w:right w:w="0" w:type="dxa"/>
          </w:tblCellMar>
        </w:tblPrEx>
        <w:trPr>
          <w:trHeight w:val="902"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达到质量要求</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质量合格</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质量合格</w:t>
            </w:r>
          </w:p>
        </w:tc>
      </w:tr>
      <w:tr>
        <w:tblPrEx>
          <w:tblLayout w:type="fixed"/>
          <w:tblCellMar>
            <w:top w:w="0" w:type="dxa"/>
            <w:left w:w="0" w:type="dxa"/>
            <w:bottom w:w="0" w:type="dxa"/>
            <w:right w:w="0" w:type="dxa"/>
          </w:tblCellMar>
        </w:tblPrEx>
        <w:trPr>
          <w:trHeight w:val="1023"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按期完成</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按期完成</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按期完成</w:t>
            </w:r>
          </w:p>
        </w:tc>
      </w:tr>
      <w:tr>
        <w:tblPrEx>
          <w:tblLayout w:type="fixed"/>
          <w:tblCellMar>
            <w:top w:w="0" w:type="dxa"/>
            <w:left w:w="0" w:type="dxa"/>
            <w:bottom w:w="0" w:type="dxa"/>
            <w:right w:w="0" w:type="dxa"/>
          </w:tblCellMar>
        </w:tblPrEx>
        <w:trPr>
          <w:trHeight w:val="829"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eastAsia="zh-CN"/>
              </w:rPr>
              <w:t>完成</w:t>
            </w:r>
            <w:r>
              <w:rPr>
                <w:rFonts w:hint="eastAsia" w:ascii="宋体" w:hAnsi="宋体" w:cs="宋体"/>
                <w:color w:val="000000"/>
                <w:spacing w:val="6"/>
                <w:sz w:val="20"/>
                <w:szCs w:val="20"/>
                <w:highlight w:val="none"/>
                <w:lang w:val="en-US" w:eastAsia="zh-CN"/>
              </w:rPr>
              <w:t>2022年项目前期工作，提升粮油应急保障能力</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提升粮油应急保障能力</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提升粮油应急保障能力</w:t>
            </w:r>
          </w:p>
        </w:tc>
      </w:tr>
      <w:tr>
        <w:tblPrEx>
          <w:tblLayout w:type="fixed"/>
          <w:tblCellMar>
            <w:top w:w="0" w:type="dxa"/>
            <w:left w:w="0" w:type="dxa"/>
            <w:bottom w:w="0" w:type="dxa"/>
            <w:right w:w="0" w:type="dxa"/>
          </w:tblCellMar>
        </w:tblPrEx>
        <w:trPr>
          <w:trHeight w:val="853"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保障粮食安全</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eastAsia="zh-CN"/>
              </w:rPr>
              <w:t>形成良好的社会效益</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eastAsia="zh-CN"/>
              </w:rPr>
              <w:t>形成良好的社会效益</w:t>
            </w:r>
          </w:p>
        </w:tc>
      </w:tr>
      <w:tr>
        <w:tblPrEx>
          <w:tblLayout w:type="fixed"/>
          <w:tblCellMar>
            <w:top w:w="0" w:type="dxa"/>
            <w:left w:w="0" w:type="dxa"/>
            <w:bottom w:w="0" w:type="dxa"/>
            <w:right w:w="0" w:type="dxa"/>
          </w:tblCellMar>
        </w:tblPrEx>
        <w:trPr>
          <w:trHeight w:val="853"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highlight w:val="none"/>
                <w:lang w:val="en-US" w:eastAsia="zh-CN"/>
              </w:rPr>
              <w:t>生态效益</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highlight w:val="none"/>
                <w:lang w:val="en-US" w:eastAsia="zh-CN"/>
              </w:rPr>
              <w:t>无影响生态环境的因素</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highlight w:val="none"/>
                <w:lang w:val="en-US" w:eastAsia="zh-CN"/>
              </w:rPr>
              <w:t>无影响生态环境的因素</w:t>
            </w:r>
          </w:p>
        </w:tc>
      </w:tr>
      <w:tr>
        <w:tblPrEx>
          <w:tblLayout w:type="fixed"/>
          <w:tblCellMar>
            <w:top w:w="0" w:type="dxa"/>
            <w:left w:w="0" w:type="dxa"/>
            <w:bottom w:w="0" w:type="dxa"/>
            <w:right w:w="0" w:type="dxa"/>
          </w:tblCellMar>
        </w:tblPrEx>
        <w:trPr>
          <w:trHeight w:val="891"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eastAsia="zh-CN"/>
              </w:rPr>
              <w:t>持续推动</w:t>
            </w:r>
            <w:r>
              <w:rPr>
                <w:rFonts w:hint="eastAsia" w:ascii="宋体" w:hAnsi="宋体" w:cs="宋体"/>
                <w:color w:val="000000"/>
                <w:spacing w:val="6"/>
                <w:sz w:val="20"/>
                <w:szCs w:val="20"/>
                <w:highlight w:val="none"/>
                <w:lang w:val="en-US" w:eastAsia="zh-CN"/>
              </w:rPr>
              <w:t>项目前期工作</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项目建成后提升粮油应急保障能力</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color w:val="000000"/>
                <w:spacing w:val="6"/>
                <w:sz w:val="20"/>
                <w:szCs w:val="20"/>
                <w:highlight w:val="none"/>
                <w:lang w:val="en-US" w:eastAsia="zh-CN"/>
              </w:rPr>
              <w:t>已完成</w:t>
            </w:r>
          </w:p>
        </w:tc>
      </w:tr>
      <w:tr>
        <w:tblPrEx>
          <w:tblLayout w:type="fixed"/>
          <w:tblCellMar>
            <w:top w:w="0" w:type="dxa"/>
            <w:left w:w="0" w:type="dxa"/>
            <w:bottom w:w="0" w:type="dxa"/>
            <w:right w:w="0" w:type="dxa"/>
          </w:tblCellMar>
        </w:tblPrEx>
        <w:trPr>
          <w:trHeight w:val="90" w:hRule="atLeast"/>
        </w:trPr>
        <w:tc>
          <w:tcPr>
            <w:tcW w:w="71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95</w:t>
            </w:r>
            <w:r>
              <w:rPr>
                <w:rFonts w:hint="default" w:ascii="宋体" w:hAnsi="宋体" w:eastAsia="宋体" w:cs="宋体"/>
                <w:spacing w:val="6"/>
                <w:sz w:val="20"/>
                <w:szCs w:val="20"/>
                <w:highlight w:val="none"/>
                <w:lang w:val="en-US" w:eastAsia="zh-CN"/>
              </w:rPr>
              <w:t>%</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highlight w:val="none"/>
                <w:lang w:val="en-US" w:eastAsia="zh-CN"/>
              </w:rPr>
              <w:t>95</w:t>
            </w:r>
            <w:r>
              <w:rPr>
                <w:rFonts w:hint="default" w:ascii="宋体" w:hAnsi="宋体" w:eastAsia="宋体" w:cs="宋体"/>
                <w:spacing w:val="6"/>
                <w:sz w:val="20"/>
                <w:szCs w:val="20"/>
                <w:highlight w:val="none"/>
                <w:lang w:val="en-US" w:eastAsia="zh-CN"/>
              </w:rPr>
              <w:t>%</w:t>
            </w:r>
          </w:p>
        </w:tc>
      </w:tr>
    </w:tbl>
    <w:p>
      <w:pPr>
        <w:pageBreakBefore w:val="0"/>
        <w:kinsoku/>
        <w:wordWrap/>
        <w:overflowPunct/>
        <w:topLinePunct w:val="0"/>
        <w:bidi w:val="0"/>
        <w:spacing w:line="590" w:lineRule="exact"/>
        <w:ind w:left="0" w:right="0"/>
        <w:jc w:val="center"/>
        <w:outlineLvl w:val="0"/>
        <w:rPr>
          <w:rStyle w:val="14"/>
          <w:rFonts w:hint="eastAsia" w:ascii="黑体" w:hAnsi="黑体" w:eastAsia="黑体" w:cs="黑体"/>
          <w:b w:val="0"/>
          <w:sz w:val="44"/>
          <w:szCs w:val="44"/>
        </w:rPr>
      </w:pPr>
      <w:r>
        <w:rPr>
          <w:rFonts w:hint="eastAsia" w:ascii="黑体" w:hAnsi="黑体" w:eastAsia="黑体" w:cs="黑体"/>
          <w:color w:val="000000"/>
          <w:sz w:val="44"/>
          <w:szCs w:val="44"/>
        </w:rPr>
        <w:t>第</w:t>
      </w:r>
      <w:r>
        <w:rPr>
          <w:rFonts w:hint="eastAsia" w:ascii="黑体" w:hAnsi="黑体" w:eastAsia="黑体" w:cs="黑体"/>
          <w:color w:val="000000"/>
          <w:sz w:val="44"/>
          <w:szCs w:val="44"/>
          <w:lang w:val="en-US" w:eastAsia="zh-CN"/>
        </w:rPr>
        <w:t>五</w:t>
      </w:r>
      <w:r>
        <w:rPr>
          <w:rStyle w:val="14"/>
          <w:rFonts w:hint="eastAsia" w:ascii="黑体" w:hAnsi="黑体" w:eastAsia="黑体" w:cs="黑体"/>
          <w:b w:val="0"/>
          <w:sz w:val="44"/>
          <w:szCs w:val="44"/>
        </w:rPr>
        <w:t>部分 附表</w:t>
      </w:r>
      <w:bookmarkEnd w:id="57"/>
      <w:bookmarkEnd w:id="58"/>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b w:val="0"/>
          <w:color w:val="000000"/>
          <w:sz w:val="33"/>
          <w:szCs w:val="33"/>
        </w:rPr>
      </w:pPr>
      <w:bookmarkStart w:id="59" w:name="_Toc15396619"/>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color w:val="000000"/>
          <w:sz w:val="33"/>
          <w:szCs w:val="33"/>
        </w:rPr>
        <w:t>一、收</w:t>
      </w:r>
      <w:r>
        <w:rPr>
          <w:rStyle w:val="15"/>
          <w:rFonts w:hint="default" w:ascii="Times New Roman" w:hAnsi="Times New Roman" w:eastAsia="方正仿宋_GBK" w:cs="Times New Roman"/>
          <w:b w:val="0"/>
          <w:bCs w:val="0"/>
          <w:sz w:val="33"/>
          <w:szCs w:val="33"/>
        </w:rPr>
        <w:t>入支出决算总表</w:t>
      </w:r>
      <w:bookmarkEnd w:id="59"/>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0" w:name="_Toc15396620"/>
      <w:r>
        <w:rPr>
          <w:rFonts w:hint="default" w:ascii="Times New Roman" w:hAnsi="Times New Roman" w:eastAsia="方正仿宋_GBK" w:cs="Times New Roman"/>
          <w:b w:val="0"/>
          <w:color w:val="000000"/>
          <w:sz w:val="33"/>
          <w:szCs w:val="33"/>
        </w:rPr>
        <w:t>二、收</w:t>
      </w:r>
      <w:r>
        <w:rPr>
          <w:rStyle w:val="15"/>
          <w:rFonts w:hint="default" w:ascii="Times New Roman" w:hAnsi="Times New Roman" w:eastAsia="方正仿宋_GBK" w:cs="Times New Roman"/>
          <w:b w:val="0"/>
          <w:bCs w:val="0"/>
          <w:sz w:val="33"/>
          <w:szCs w:val="33"/>
        </w:rPr>
        <w:t>入决算表</w:t>
      </w:r>
      <w:bookmarkEnd w:id="60"/>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1" w:name="_Toc15396621"/>
      <w:r>
        <w:rPr>
          <w:rStyle w:val="15"/>
          <w:rFonts w:hint="default" w:ascii="Times New Roman" w:hAnsi="Times New Roman" w:eastAsia="方正仿宋_GBK" w:cs="Times New Roman"/>
          <w:b w:val="0"/>
          <w:bCs w:val="0"/>
          <w:sz w:val="33"/>
          <w:szCs w:val="33"/>
        </w:rPr>
        <w:t>三、</w:t>
      </w:r>
      <w:r>
        <w:rPr>
          <w:rFonts w:hint="default" w:ascii="Times New Roman" w:hAnsi="Times New Roman" w:eastAsia="方正仿宋_GBK" w:cs="Times New Roman"/>
          <w:b w:val="0"/>
          <w:color w:val="000000"/>
          <w:sz w:val="33"/>
          <w:szCs w:val="33"/>
        </w:rPr>
        <w:t>支</w:t>
      </w:r>
      <w:r>
        <w:rPr>
          <w:rStyle w:val="15"/>
          <w:rFonts w:hint="default" w:ascii="Times New Roman" w:hAnsi="Times New Roman" w:eastAsia="方正仿宋_GBK" w:cs="Times New Roman"/>
          <w:b w:val="0"/>
          <w:bCs w:val="0"/>
          <w:sz w:val="33"/>
          <w:szCs w:val="33"/>
        </w:rPr>
        <w:t>出决算表</w:t>
      </w:r>
      <w:bookmarkEnd w:id="61"/>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b w:val="0"/>
          <w:color w:val="000000"/>
          <w:sz w:val="33"/>
          <w:szCs w:val="33"/>
        </w:rPr>
      </w:pPr>
      <w:bookmarkStart w:id="62" w:name="_Toc15396622"/>
      <w:r>
        <w:rPr>
          <w:rStyle w:val="15"/>
          <w:rFonts w:hint="default" w:ascii="Times New Roman" w:hAnsi="Times New Roman" w:eastAsia="方正仿宋_GBK" w:cs="Times New Roman"/>
          <w:b w:val="0"/>
          <w:bCs w:val="0"/>
          <w:sz w:val="33"/>
          <w:szCs w:val="33"/>
        </w:rPr>
        <w:t>四、</w:t>
      </w:r>
      <w:r>
        <w:rPr>
          <w:rFonts w:hint="default" w:ascii="Times New Roman" w:hAnsi="Times New Roman" w:eastAsia="方正仿宋_GBK" w:cs="Times New Roman"/>
          <w:b w:val="0"/>
          <w:color w:val="000000"/>
          <w:sz w:val="33"/>
          <w:szCs w:val="33"/>
        </w:rPr>
        <w:t>财</w:t>
      </w:r>
      <w:r>
        <w:rPr>
          <w:rStyle w:val="15"/>
          <w:rFonts w:hint="default" w:ascii="Times New Roman" w:hAnsi="Times New Roman" w:eastAsia="方正仿宋_GBK" w:cs="Times New Roman"/>
          <w:b w:val="0"/>
          <w:bCs w:val="0"/>
          <w:sz w:val="33"/>
          <w:szCs w:val="33"/>
        </w:rPr>
        <w:t>政拨款收入支出决算总表</w:t>
      </w:r>
      <w:bookmarkEnd w:id="62"/>
    </w:p>
    <w:p>
      <w:pPr>
        <w:pStyle w:val="4"/>
        <w:pageBreakBefore w:val="0"/>
        <w:kinsoku/>
        <w:wordWrap/>
        <w:overflowPunct/>
        <w:topLinePunct w:val="0"/>
        <w:bidi w:val="0"/>
        <w:spacing w:before="0" w:after="0" w:line="590" w:lineRule="exact"/>
        <w:ind w:left="0" w:right="0"/>
        <w:rPr>
          <w:rStyle w:val="15"/>
          <w:rFonts w:hint="default" w:ascii="Times New Roman" w:hAnsi="Times New Roman" w:eastAsia="方正仿宋_GBK" w:cs="Times New Roman"/>
          <w:b w:val="0"/>
          <w:bCs w:val="0"/>
          <w:sz w:val="33"/>
          <w:szCs w:val="33"/>
        </w:rPr>
      </w:pPr>
      <w:bookmarkStart w:id="63" w:name="_Toc15396623"/>
      <w:r>
        <w:rPr>
          <w:rStyle w:val="15"/>
          <w:rFonts w:hint="default" w:ascii="Times New Roman" w:hAnsi="Times New Roman" w:eastAsia="方正仿宋_GBK" w:cs="Times New Roman"/>
          <w:b w:val="0"/>
          <w:bCs w:val="0"/>
          <w:sz w:val="33"/>
          <w:szCs w:val="33"/>
        </w:rPr>
        <w:t>五、</w:t>
      </w:r>
      <w:r>
        <w:rPr>
          <w:rFonts w:hint="default" w:ascii="Times New Roman" w:hAnsi="Times New Roman" w:eastAsia="方正仿宋_GBK" w:cs="Times New Roman"/>
          <w:b w:val="0"/>
          <w:color w:val="000000"/>
          <w:sz w:val="33"/>
          <w:szCs w:val="33"/>
        </w:rPr>
        <w:t>财</w:t>
      </w:r>
      <w:r>
        <w:rPr>
          <w:rStyle w:val="15"/>
          <w:rFonts w:hint="default" w:ascii="Times New Roman" w:hAnsi="Times New Roman" w:eastAsia="方正仿宋_GBK" w:cs="Times New Roman"/>
          <w:b w:val="0"/>
          <w:bCs w:val="0"/>
          <w:sz w:val="33"/>
          <w:szCs w:val="33"/>
        </w:rPr>
        <w:t>政拨款支出决算明细表</w:t>
      </w:r>
      <w:bookmarkEnd w:id="63"/>
      <w:bookmarkStart w:id="64" w:name="_Toc15396624"/>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r>
        <w:rPr>
          <w:rStyle w:val="15"/>
          <w:rFonts w:hint="default" w:ascii="Times New Roman" w:hAnsi="Times New Roman" w:eastAsia="方正仿宋_GBK" w:cs="Times New Roman"/>
          <w:b w:val="0"/>
          <w:bCs w:val="0"/>
          <w:sz w:val="33"/>
          <w:szCs w:val="33"/>
        </w:rPr>
        <w:t>六、</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般公共预算财政拨款支出决算表</w:t>
      </w:r>
      <w:bookmarkEnd w:id="64"/>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5" w:name="_Toc15396625"/>
      <w:r>
        <w:rPr>
          <w:rStyle w:val="15"/>
          <w:rFonts w:hint="default" w:ascii="Times New Roman" w:hAnsi="Times New Roman" w:eastAsia="方正仿宋_GBK" w:cs="Times New Roman"/>
          <w:b w:val="0"/>
          <w:bCs w:val="0"/>
          <w:sz w:val="33"/>
          <w:szCs w:val="33"/>
        </w:rPr>
        <w:t>七、</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般公共预算财政拨款支出决算明细表</w:t>
      </w:r>
      <w:bookmarkEnd w:id="65"/>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6" w:name="_Toc15396626"/>
      <w:r>
        <w:rPr>
          <w:rStyle w:val="15"/>
          <w:rFonts w:hint="default" w:ascii="Times New Roman" w:hAnsi="Times New Roman" w:eastAsia="方正仿宋_GBK" w:cs="Times New Roman"/>
          <w:b w:val="0"/>
          <w:bCs w:val="0"/>
          <w:sz w:val="33"/>
          <w:szCs w:val="33"/>
        </w:rPr>
        <w:t>八、</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般公共预算财政拨款基本支出决算表</w:t>
      </w:r>
      <w:bookmarkEnd w:id="66"/>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7" w:name="_Toc15396627"/>
      <w:r>
        <w:rPr>
          <w:rStyle w:val="15"/>
          <w:rFonts w:hint="default" w:ascii="Times New Roman" w:hAnsi="Times New Roman" w:eastAsia="方正仿宋_GBK" w:cs="Times New Roman"/>
          <w:b w:val="0"/>
          <w:bCs w:val="0"/>
          <w:sz w:val="33"/>
          <w:szCs w:val="33"/>
        </w:rPr>
        <w:t>九、</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般公共预算财政拨款项目支出决算表</w:t>
      </w:r>
      <w:bookmarkEnd w:id="67"/>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8" w:name="_Toc15396629"/>
      <w:r>
        <w:rPr>
          <w:rStyle w:val="15"/>
          <w:rFonts w:hint="default" w:ascii="Times New Roman" w:hAnsi="Times New Roman" w:eastAsia="方正仿宋_GBK" w:cs="Times New Roman"/>
          <w:b w:val="0"/>
          <w:bCs w:val="0"/>
          <w:sz w:val="33"/>
          <w:szCs w:val="33"/>
        </w:rPr>
        <w:t>十、</w:t>
      </w:r>
      <w:r>
        <w:rPr>
          <w:rFonts w:hint="default" w:ascii="Times New Roman" w:hAnsi="Times New Roman" w:eastAsia="方正仿宋_GBK" w:cs="Times New Roman"/>
          <w:b w:val="0"/>
          <w:color w:val="000000"/>
          <w:sz w:val="33"/>
          <w:szCs w:val="33"/>
        </w:rPr>
        <w:t>政府性基金预算财政拨款收入支出决算表</w:t>
      </w:r>
      <w:bookmarkEnd w:id="68"/>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9" w:name="_Toc15396630"/>
      <w:r>
        <w:rPr>
          <w:rStyle w:val="15"/>
          <w:rFonts w:hint="default" w:ascii="Times New Roman" w:hAnsi="Times New Roman" w:eastAsia="方正仿宋_GBK" w:cs="Times New Roman"/>
          <w:b w:val="0"/>
          <w:bCs w:val="0"/>
          <w:sz w:val="33"/>
          <w:szCs w:val="33"/>
        </w:rPr>
        <w:t>十</w:t>
      </w:r>
      <w:r>
        <w:rPr>
          <w:rStyle w:val="15"/>
          <w:rFonts w:hint="eastAsia" w:ascii="Times New Roman" w:hAnsi="Times New Roman" w:eastAsia="方正仿宋_GBK" w:cs="Times New Roman"/>
          <w:b w:val="0"/>
          <w:bCs w:val="0"/>
          <w:sz w:val="33"/>
          <w:szCs w:val="33"/>
          <w:lang w:val="en-US" w:eastAsia="zh-CN"/>
        </w:rPr>
        <w:t>一</w:t>
      </w:r>
      <w:r>
        <w:rPr>
          <w:rStyle w:val="15"/>
          <w:rFonts w:hint="default" w:ascii="Times New Roman" w:hAnsi="Times New Roman" w:eastAsia="方正仿宋_GBK" w:cs="Times New Roman"/>
          <w:b w:val="0"/>
          <w:bCs w:val="0"/>
          <w:sz w:val="33"/>
          <w:szCs w:val="33"/>
        </w:rPr>
        <w:t>、</w:t>
      </w:r>
      <w:r>
        <w:rPr>
          <w:rFonts w:hint="default" w:ascii="Times New Roman" w:hAnsi="Times New Roman" w:eastAsia="方正仿宋_GBK" w:cs="Times New Roman"/>
          <w:b w:val="0"/>
          <w:color w:val="000000"/>
          <w:sz w:val="33"/>
          <w:szCs w:val="33"/>
        </w:rPr>
        <w:t>国有资本经营预算财政拨款收入支出决算表</w:t>
      </w:r>
      <w:bookmarkEnd w:id="69"/>
    </w:p>
    <w:p>
      <w:pPr>
        <w:pStyle w:val="4"/>
        <w:pageBreakBefore w:val="0"/>
        <w:kinsoku/>
        <w:wordWrap/>
        <w:overflowPunct/>
        <w:topLinePunct w:val="0"/>
        <w:bidi w:val="0"/>
        <w:spacing w:before="0" w:after="0" w:line="590" w:lineRule="exact"/>
        <w:ind w:left="0" w:right="0"/>
        <w:rPr>
          <w:rStyle w:val="15"/>
          <w:rFonts w:hint="default" w:ascii="Times New Roman" w:hAnsi="Times New Roman" w:eastAsia="方正仿宋_GBK" w:cs="Times New Roman"/>
          <w:b w:val="0"/>
          <w:bCs w:val="0"/>
          <w:sz w:val="33"/>
          <w:szCs w:val="33"/>
        </w:rPr>
      </w:pPr>
      <w:bookmarkStart w:id="70" w:name="_Toc15396631"/>
      <w:r>
        <w:rPr>
          <w:rStyle w:val="15"/>
          <w:rFonts w:hint="default" w:ascii="Times New Roman" w:hAnsi="Times New Roman" w:eastAsia="方正仿宋_GBK" w:cs="Times New Roman"/>
          <w:b w:val="0"/>
          <w:bCs w:val="0"/>
          <w:sz w:val="33"/>
          <w:szCs w:val="33"/>
        </w:rPr>
        <w:t>十</w:t>
      </w:r>
      <w:r>
        <w:rPr>
          <w:rStyle w:val="15"/>
          <w:rFonts w:hint="eastAsia" w:ascii="Times New Roman" w:hAnsi="Times New Roman" w:eastAsia="方正仿宋_GBK" w:cs="Times New Roman"/>
          <w:b w:val="0"/>
          <w:bCs w:val="0"/>
          <w:sz w:val="33"/>
          <w:szCs w:val="33"/>
          <w:lang w:val="en-US" w:eastAsia="zh-CN"/>
        </w:rPr>
        <w:t>二</w:t>
      </w:r>
      <w:r>
        <w:rPr>
          <w:rStyle w:val="15"/>
          <w:rFonts w:hint="default" w:ascii="Times New Roman" w:hAnsi="Times New Roman" w:eastAsia="方正仿宋_GBK" w:cs="Times New Roman"/>
          <w:b w:val="0"/>
          <w:bCs w:val="0"/>
          <w:sz w:val="33"/>
          <w:szCs w:val="33"/>
        </w:rPr>
        <w:t>、</w:t>
      </w:r>
      <w:r>
        <w:rPr>
          <w:rFonts w:hint="default" w:ascii="Times New Roman" w:hAnsi="Times New Roman" w:eastAsia="方正仿宋_GBK" w:cs="Times New Roman"/>
          <w:b w:val="0"/>
          <w:color w:val="000000"/>
          <w:sz w:val="33"/>
          <w:szCs w:val="33"/>
        </w:rPr>
        <w:t>国有资本经营预算财政拨款支出决算表</w:t>
      </w:r>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b w:val="0"/>
          <w:color w:val="000000" w:themeColor="text1"/>
          <w:sz w:val="33"/>
          <w:szCs w:val="33"/>
          <w14:textFill>
            <w14:solidFill>
              <w14:schemeClr w14:val="tx1"/>
            </w14:solidFill>
          </w14:textFill>
        </w:rPr>
      </w:pPr>
      <w:r>
        <w:rPr>
          <w:rFonts w:hint="default" w:ascii="Times New Roman" w:hAnsi="Times New Roman" w:eastAsia="方正仿宋_GBK" w:cs="Times New Roman"/>
          <w:b w:val="0"/>
          <w:color w:val="000000"/>
          <w:sz w:val="33"/>
          <w:szCs w:val="33"/>
        </w:rPr>
        <w:t>十</w:t>
      </w:r>
      <w:r>
        <w:rPr>
          <w:rFonts w:hint="eastAsia" w:ascii="Times New Roman" w:hAnsi="Times New Roman" w:eastAsia="方正仿宋_GBK" w:cs="Times New Roman"/>
          <w:b w:val="0"/>
          <w:color w:val="000000"/>
          <w:sz w:val="33"/>
          <w:szCs w:val="33"/>
          <w:lang w:val="en-US" w:eastAsia="zh-CN"/>
        </w:rPr>
        <w:t>三</w:t>
      </w:r>
      <w:r>
        <w:rPr>
          <w:rFonts w:hint="default" w:ascii="Times New Roman" w:hAnsi="Times New Roman" w:eastAsia="方正仿宋_GBK" w:cs="Times New Roman"/>
          <w:b w:val="0"/>
          <w:color w:val="000000"/>
          <w:sz w:val="33"/>
          <w:szCs w:val="33"/>
        </w:rPr>
        <w:t>、财政拨款“三公”经费支出决算表</w:t>
      </w:r>
      <w:bookmarkEnd w:id="70"/>
    </w:p>
    <w:p>
      <w:pPr>
        <w:pageBreakBefore w:val="0"/>
        <w:kinsoku/>
        <w:wordWrap/>
        <w:overflowPunct/>
        <w:topLinePunct w:val="0"/>
        <w:bidi w:val="0"/>
        <w:spacing w:line="590" w:lineRule="exact"/>
        <w:ind w:left="0" w:right="0"/>
      </w:pPr>
    </w:p>
    <w:sectPr>
      <w:footerReference r:id="rId5" w:type="first"/>
      <w:footerReference r:id="rId4" w:type="default"/>
      <w:pgSz w:w="11906" w:h="16838"/>
      <w:pgMar w:top="2041" w:right="1531" w:bottom="1701" w:left="1531" w:header="851" w:footer="147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14605</wp:posOffset>
              </wp:positionV>
              <wp:extent cx="852170" cy="253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2170"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5pt;height:19.95pt;width:67.1pt;mso-position-horizontal:inside;mso-position-horizontal-relative:margin;z-index:251659264;mso-width-relative:page;mso-height-relative:page;" filled="f" stroked="f" coordsize="21600,21600" o:gfxdata="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HAUItQAAAAFAQAADwAA&#10;AAAAAAABACAAAAAiAAAAZHJzL2Rvd25yZXYueG1sUEsBAhQAFAAAAAgAh07iQHaw24MaAgAAEwQA&#10;AA4AAAAAAAAAAQAgAAAAIwEAAGRycy9lMm9Eb2MueG1sUEsFBgAAAAAGAAYAWQEAAK8FAAAAAA==&#10;">
              <v:fill on="f" focussize="0,0"/>
              <v:stroke on="f" weight="0.5pt"/>
              <v:imagedata o:title=""/>
              <o:lock v:ext="edit" aspectratio="f"/>
              <v:textbox inset="0mm,0mm,0mm,0mm">
                <w:txbxContent>
                  <w:p>
                    <w:pPr>
                      <w:pStyle w:val="2"/>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14605</wp:posOffset>
              </wp:positionV>
              <wp:extent cx="7791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91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5pt;height:144pt;width:61.35pt;mso-position-horizontal:inside;mso-position-horizontal-relative:margin;z-index:251660288;mso-width-relative:page;mso-height-relative:page;" filled="f" stroked="f" coordsize="21600,21600" o:gfxdata="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r0h0tQAAAAGAQAA&#10;DwAAAAAAAAABACAAAAAiAAAAZHJzL2Rvd25yZXYueG1sUEsBAhQAFAAAAAgAh07iQKz/hU0dAgAA&#10;FAQAAA4AAAAAAAAAAQAgAAAAIwEAAGRycy9lMm9Eb2MueG1sUEsFBgAAAAAGAAYAWQEAALIFAAAA&#10;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3A3BA"/>
    <w:multiLevelType w:val="singleLevel"/>
    <w:tmpl w:val="6E23A3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mUyMDE3MGZlMTg2ZjkyYjg1MzkwNjQ1NTNhOWUifQ=="/>
  </w:docVars>
  <w:rsids>
    <w:rsidRoot w:val="55315857"/>
    <w:rsid w:val="00131425"/>
    <w:rsid w:val="00496DA9"/>
    <w:rsid w:val="004F73D2"/>
    <w:rsid w:val="00502A5F"/>
    <w:rsid w:val="01C813D4"/>
    <w:rsid w:val="02F56D74"/>
    <w:rsid w:val="0359728D"/>
    <w:rsid w:val="03A5469C"/>
    <w:rsid w:val="03F11C32"/>
    <w:rsid w:val="03FF60FC"/>
    <w:rsid w:val="040D6820"/>
    <w:rsid w:val="04685895"/>
    <w:rsid w:val="046E3282"/>
    <w:rsid w:val="04C36291"/>
    <w:rsid w:val="05600E1D"/>
    <w:rsid w:val="05A50F26"/>
    <w:rsid w:val="05D02834"/>
    <w:rsid w:val="05E25CD6"/>
    <w:rsid w:val="066E53C7"/>
    <w:rsid w:val="066F6DA1"/>
    <w:rsid w:val="06BC195A"/>
    <w:rsid w:val="06D3561E"/>
    <w:rsid w:val="07052BBC"/>
    <w:rsid w:val="072E2D0D"/>
    <w:rsid w:val="078A02CE"/>
    <w:rsid w:val="07AC1408"/>
    <w:rsid w:val="08512C9F"/>
    <w:rsid w:val="087736A3"/>
    <w:rsid w:val="087E0CBB"/>
    <w:rsid w:val="08CE6519"/>
    <w:rsid w:val="09175A09"/>
    <w:rsid w:val="09F27D97"/>
    <w:rsid w:val="0A296005"/>
    <w:rsid w:val="0A316959"/>
    <w:rsid w:val="0A767E04"/>
    <w:rsid w:val="0A895F5A"/>
    <w:rsid w:val="0AC72B50"/>
    <w:rsid w:val="0B7C44D7"/>
    <w:rsid w:val="0D412C5A"/>
    <w:rsid w:val="0D9C49BC"/>
    <w:rsid w:val="0E2C12B4"/>
    <w:rsid w:val="0E9021E2"/>
    <w:rsid w:val="0E9A1524"/>
    <w:rsid w:val="0F182768"/>
    <w:rsid w:val="0F94431F"/>
    <w:rsid w:val="0FE34117"/>
    <w:rsid w:val="105C46B1"/>
    <w:rsid w:val="107439CE"/>
    <w:rsid w:val="10750A53"/>
    <w:rsid w:val="11617184"/>
    <w:rsid w:val="11800151"/>
    <w:rsid w:val="1310792C"/>
    <w:rsid w:val="132A5F7A"/>
    <w:rsid w:val="133D09EF"/>
    <w:rsid w:val="13C84C99"/>
    <w:rsid w:val="13E641A2"/>
    <w:rsid w:val="140D0007"/>
    <w:rsid w:val="140F1075"/>
    <w:rsid w:val="1457788F"/>
    <w:rsid w:val="14F51E48"/>
    <w:rsid w:val="14F629BD"/>
    <w:rsid w:val="15824E61"/>
    <w:rsid w:val="16DA1076"/>
    <w:rsid w:val="17061534"/>
    <w:rsid w:val="171C78EC"/>
    <w:rsid w:val="1790486E"/>
    <w:rsid w:val="17A97745"/>
    <w:rsid w:val="183835B0"/>
    <w:rsid w:val="18846047"/>
    <w:rsid w:val="18CF7D01"/>
    <w:rsid w:val="193261DC"/>
    <w:rsid w:val="19416B48"/>
    <w:rsid w:val="194303E2"/>
    <w:rsid w:val="199E2114"/>
    <w:rsid w:val="19C0142D"/>
    <w:rsid w:val="1A15511C"/>
    <w:rsid w:val="1A475958"/>
    <w:rsid w:val="1A4F2DB6"/>
    <w:rsid w:val="1A862C7C"/>
    <w:rsid w:val="1A9C249F"/>
    <w:rsid w:val="1ABA63AC"/>
    <w:rsid w:val="1ACB4B33"/>
    <w:rsid w:val="1B0D0CA7"/>
    <w:rsid w:val="1B0F1B05"/>
    <w:rsid w:val="1B6805D3"/>
    <w:rsid w:val="1BE73911"/>
    <w:rsid w:val="1C5A2A18"/>
    <w:rsid w:val="1C8A4E52"/>
    <w:rsid w:val="1C8E3B2A"/>
    <w:rsid w:val="1CC82A58"/>
    <w:rsid w:val="1CDD2776"/>
    <w:rsid w:val="1DD06D59"/>
    <w:rsid w:val="1DD67A76"/>
    <w:rsid w:val="1E970968"/>
    <w:rsid w:val="1F8034E6"/>
    <w:rsid w:val="20194D11"/>
    <w:rsid w:val="20215B52"/>
    <w:rsid w:val="202F7912"/>
    <w:rsid w:val="20914128"/>
    <w:rsid w:val="20BE7B7B"/>
    <w:rsid w:val="20D3029D"/>
    <w:rsid w:val="2153496C"/>
    <w:rsid w:val="21966FEE"/>
    <w:rsid w:val="226F0499"/>
    <w:rsid w:val="22724451"/>
    <w:rsid w:val="23702BB7"/>
    <w:rsid w:val="237C10C0"/>
    <w:rsid w:val="244A4D1A"/>
    <w:rsid w:val="246A0EAD"/>
    <w:rsid w:val="24B3163A"/>
    <w:rsid w:val="24DB1E16"/>
    <w:rsid w:val="24F876E9"/>
    <w:rsid w:val="251910F1"/>
    <w:rsid w:val="25442E70"/>
    <w:rsid w:val="25EC3863"/>
    <w:rsid w:val="263A3AA4"/>
    <w:rsid w:val="2669133F"/>
    <w:rsid w:val="26AC3297"/>
    <w:rsid w:val="26B97FE6"/>
    <w:rsid w:val="26CF591B"/>
    <w:rsid w:val="2700418D"/>
    <w:rsid w:val="27276A39"/>
    <w:rsid w:val="27F21951"/>
    <w:rsid w:val="2801645C"/>
    <w:rsid w:val="28C5516F"/>
    <w:rsid w:val="29143B49"/>
    <w:rsid w:val="29455AB0"/>
    <w:rsid w:val="29F51284"/>
    <w:rsid w:val="29F747DA"/>
    <w:rsid w:val="2A705FEA"/>
    <w:rsid w:val="2A8D59E5"/>
    <w:rsid w:val="2A905451"/>
    <w:rsid w:val="2B172B8F"/>
    <w:rsid w:val="2C0F40CA"/>
    <w:rsid w:val="2C4222F5"/>
    <w:rsid w:val="2D0621F1"/>
    <w:rsid w:val="2D0F1E81"/>
    <w:rsid w:val="2D2735A7"/>
    <w:rsid w:val="2D6327A4"/>
    <w:rsid w:val="2D6706EB"/>
    <w:rsid w:val="2DD2147F"/>
    <w:rsid w:val="2E555E72"/>
    <w:rsid w:val="2E7A26A0"/>
    <w:rsid w:val="2F432A92"/>
    <w:rsid w:val="2F57478F"/>
    <w:rsid w:val="2F8A2A9C"/>
    <w:rsid w:val="2FD967C5"/>
    <w:rsid w:val="2FEE73F8"/>
    <w:rsid w:val="30004E27"/>
    <w:rsid w:val="304C5976"/>
    <w:rsid w:val="30540035"/>
    <w:rsid w:val="308070A0"/>
    <w:rsid w:val="31264419"/>
    <w:rsid w:val="31A062A0"/>
    <w:rsid w:val="323F1C36"/>
    <w:rsid w:val="32921030"/>
    <w:rsid w:val="32B32CF9"/>
    <w:rsid w:val="33370B5F"/>
    <w:rsid w:val="34615711"/>
    <w:rsid w:val="35325674"/>
    <w:rsid w:val="35C35A22"/>
    <w:rsid w:val="35D94150"/>
    <w:rsid w:val="36034460"/>
    <w:rsid w:val="362E64D8"/>
    <w:rsid w:val="36490D75"/>
    <w:rsid w:val="367E3554"/>
    <w:rsid w:val="36985DB9"/>
    <w:rsid w:val="36A74A3B"/>
    <w:rsid w:val="36AD22F2"/>
    <w:rsid w:val="36E667CE"/>
    <w:rsid w:val="370A0339"/>
    <w:rsid w:val="372A0F9D"/>
    <w:rsid w:val="38632E63"/>
    <w:rsid w:val="390E6D05"/>
    <w:rsid w:val="394A0E7B"/>
    <w:rsid w:val="3A4C3F46"/>
    <w:rsid w:val="3AAA78A3"/>
    <w:rsid w:val="3AF30809"/>
    <w:rsid w:val="3B4958D4"/>
    <w:rsid w:val="3B4F49E5"/>
    <w:rsid w:val="3B965E19"/>
    <w:rsid w:val="3BE9676F"/>
    <w:rsid w:val="3D632551"/>
    <w:rsid w:val="3D68336C"/>
    <w:rsid w:val="3DB72FC9"/>
    <w:rsid w:val="3DC1180F"/>
    <w:rsid w:val="3DC654EF"/>
    <w:rsid w:val="3DCF04A0"/>
    <w:rsid w:val="3DD76637"/>
    <w:rsid w:val="3E2E6844"/>
    <w:rsid w:val="3E554590"/>
    <w:rsid w:val="3E5C2CED"/>
    <w:rsid w:val="3E6B0D27"/>
    <w:rsid w:val="3EF913BF"/>
    <w:rsid w:val="3F1723BC"/>
    <w:rsid w:val="3F1F26AC"/>
    <w:rsid w:val="3F7E357A"/>
    <w:rsid w:val="40576634"/>
    <w:rsid w:val="40CD48B1"/>
    <w:rsid w:val="412C31AD"/>
    <w:rsid w:val="41550014"/>
    <w:rsid w:val="41D835EE"/>
    <w:rsid w:val="42186D9A"/>
    <w:rsid w:val="43AC5423"/>
    <w:rsid w:val="43DE0B83"/>
    <w:rsid w:val="441D16AC"/>
    <w:rsid w:val="44C17BD8"/>
    <w:rsid w:val="45B413AF"/>
    <w:rsid w:val="46D22CAB"/>
    <w:rsid w:val="47255D03"/>
    <w:rsid w:val="48516FB5"/>
    <w:rsid w:val="48911033"/>
    <w:rsid w:val="49883FF9"/>
    <w:rsid w:val="49B8418D"/>
    <w:rsid w:val="49D279D5"/>
    <w:rsid w:val="49E1317B"/>
    <w:rsid w:val="4A5E6F26"/>
    <w:rsid w:val="4A6F4C2B"/>
    <w:rsid w:val="4AD52CE0"/>
    <w:rsid w:val="4B4B2FA2"/>
    <w:rsid w:val="4B630625"/>
    <w:rsid w:val="4BA52490"/>
    <w:rsid w:val="4C4D0DFB"/>
    <w:rsid w:val="4C4F1126"/>
    <w:rsid w:val="4CC04072"/>
    <w:rsid w:val="4D1C6532"/>
    <w:rsid w:val="4DF56623"/>
    <w:rsid w:val="4DF94F37"/>
    <w:rsid w:val="4E1C0C26"/>
    <w:rsid w:val="4E562348"/>
    <w:rsid w:val="4ECF5C98"/>
    <w:rsid w:val="4EED7525"/>
    <w:rsid w:val="4F257A59"/>
    <w:rsid w:val="4F3177AF"/>
    <w:rsid w:val="4F4A3571"/>
    <w:rsid w:val="4F676F75"/>
    <w:rsid w:val="4F754A92"/>
    <w:rsid w:val="503C13D0"/>
    <w:rsid w:val="5043048A"/>
    <w:rsid w:val="50EA6DB9"/>
    <w:rsid w:val="52285DEB"/>
    <w:rsid w:val="52C3187B"/>
    <w:rsid w:val="5328631A"/>
    <w:rsid w:val="537D409C"/>
    <w:rsid w:val="53D14A1E"/>
    <w:rsid w:val="548B583A"/>
    <w:rsid w:val="5513790E"/>
    <w:rsid w:val="55195EBF"/>
    <w:rsid w:val="551D66C6"/>
    <w:rsid w:val="55260413"/>
    <w:rsid w:val="55315857"/>
    <w:rsid w:val="55FD3462"/>
    <w:rsid w:val="561A3618"/>
    <w:rsid w:val="564F4F1C"/>
    <w:rsid w:val="56CD0D0F"/>
    <w:rsid w:val="57002FBA"/>
    <w:rsid w:val="57EE6514"/>
    <w:rsid w:val="5809615E"/>
    <w:rsid w:val="582E1575"/>
    <w:rsid w:val="58611FB1"/>
    <w:rsid w:val="58A877EC"/>
    <w:rsid w:val="599B50F5"/>
    <w:rsid w:val="59B1265E"/>
    <w:rsid w:val="59DE0BFC"/>
    <w:rsid w:val="59FE70D1"/>
    <w:rsid w:val="5A0F3263"/>
    <w:rsid w:val="5A155757"/>
    <w:rsid w:val="5A1D4D92"/>
    <w:rsid w:val="5A316900"/>
    <w:rsid w:val="5A9009D2"/>
    <w:rsid w:val="5B28184F"/>
    <w:rsid w:val="5B4107CD"/>
    <w:rsid w:val="5BAA1E0A"/>
    <w:rsid w:val="5BEB2317"/>
    <w:rsid w:val="5C125416"/>
    <w:rsid w:val="5C2A0839"/>
    <w:rsid w:val="5CB7590E"/>
    <w:rsid w:val="5D33479E"/>
    <w:rsid w:val="5D39254E"/>
    <w:rsid w:val="5D527553"/>
    <w:rsid w:val="5D69550A"/>
    <w:rsid w:val="5DDC532C"/>
    <w:rsid w:val="5ECC3FA2"/>
    <w:rsid w:val="5F733B4F"/>
    <w:rsid w:val="5FC62050"/>
    <w:rsid w:val="5FC7750C"/>
    <w:rsid w:val="5FD3094A"/>
    <w:rsid w:val="602C2F4B"/>
    <w:rsid w:val="608B444B"/>
    <w:rsid w:val="60F0193E"/>
    <w:rsid w:val="611B4D6D"/>
    <w:rsid w:val="61587D6F"/>
    <w:rsid w:val="624C05D4"/>
    <w:rsid w:val="62560B56"/>
    <w:rsid w:val="62E628C4"/>
    <w:rsid w:val="637013A0"/>
    <w:rsid w:val="63B42C52"/>
    <w:rsid w:val="63E36016"/>
    <w:rsid w:val="6411112B"/>
    <w:rsid w:val="64576EFA"/>
    <w:rsid w:val="65610A4C"/>
    <w:rsid w:val="659C46CE"/>
    <w:rsid w:val="65A73073"/>
    <w:rsid w:val="65F23B3F"/>
    <w:rsid w:val="662D6C39"/>
    <w:rsid w:val="66771754"/>
    <w:rsid w:val="670854C8"/>
    <w:rsid w:val="67237106"/>
    <w:rsid w:val="678533E6"/>
    <w:rsid w:val="67A0033E"/>
    <w:rsid w:val="67B05129"/>
    <w:rsid w:val="682F32DC"/>
    <w:rsid w:val="68307350"/>
    <w:rsid w:val="68865AD0"/>
    <w:rsid w:val="68BE2BAE"/>
    <w:rsid w:val="6906398F"/>
    <w:rsid w:val="69B83AA1"/>
    <w:rsid w:val="69F525FF"/>
    <w:rsid w:val="6A30625D"/>
    <w:rsid w:val="6AF04983"/>
    <w:rsid w:val="6BEC358E"/>
    <w:rsid w:val="6BEE73C9"/>
    <w:rsid w:val="6BF65FFA"/>
    <w:rsid w:val="6C3A7959"/>
    <w:rsid w:val="6C473405"/>
    <w:rsid w:val="6D1662C7"/>
    <w:rsid w:val="6D1A750A"/>
    <w:rsid w:val="6D4E7F32"/>
    <w:rsid w:val="6D531D11"/>
    <w:rsid w:val="6D973B64"/>
    <w:rsid w:val="6E072F37"/>
    <w:rsid w:val="6E2952B2"/>
    <w:rsid w:val="6E62222D"/>
    <w:rsid w:val="6E792F04"/>
    <w:rsid w:val="6ECD23DD"/>
    <w:rsid w:val="6F1E7F02"/>
    <w:rsid w:val="6FC02650"/>
    <w:rsid w:val="706447A2"/>
    <w:rsid w:val="7069266A"/>
    <w:rsid w:val="70855B9C"/>
    <w:rsid w:val="70DB74A5"/>
    <w:rsid w:val="70FC0717"/>
    <w:rsid w:val="714E3AF3"/>
    <w:rsid w:val="71566079"/>
    <w:rsid w:val="71900E5F"/>
    <w:rsid w:val="72A233D4"/>
    <w:rsid w:val="730F4A94"/>
    <w:rsid w:val="735C724B"/>
    <w:rsid w:val="73B43BC8"/>
    <w:rsid w:val="74687E72"/>
    <w:rsid w:val="746E4F67"/>
    <w:rsid w:val="74FC2E55"/>
    <w:rsid w:val="75884430"/>
    <w:rsid w:val="75C5721C"/>
    <w:rsid w:val="75E967F2"/>
    <w:rsid w:val="768014A2"/>
    <w:rsid w:val="76AC14DE"/>
    <w:rsid w:val="770B0E72"/>
    <w:rsid w:val="77436A9E"/>
    <w:rsid w:val="779E3BBE"/>
    <w:rsid w:val="78E35826"/>
    <w:rsid w:val="79E61F64"/>
    <w:rsid w:val="7A2723C1"/>
    <w:rsid w:val="7A2B089B"/>
    <w:rsid w:val="7A556A99"/>
    <w:rsid w:val="7ACB4CB6"/>
    <w:rsid w:val="7B2A40D3"/>
    <w:rsid w:val="7B4B32F0"/>
    <w:rsid w:val="7B5B428C"/>
    <w:rsid w:val="7BF2699E"/>
    <w:rsid w:val="7C36570A"/>
    <w:rsid w:val="7D0C1CE2"/>
    <w:rsid w:val="7DDB0E14"/>
    <w:rsid w:val="7E4F38AC"/>
    <w:rsid w:val="7E55714D"/>
    <w:rsid w:val="7EA167F2"/>
    <w:rsid w:val="7EE50A3C"/>
    <w:rsid w:val="7EE527EB"/>
    <w:rsid w:val="7F8E4C7C"/>
    <w:rsid w:val="7F92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5">
    <w:name w:val="Body Text"/>
    <w:basedOn w:val="1"/>
    <w:qFormat/>
    <w:uiPriority w:val="99"/>
    <w:pPr>
      <w:spacing w:beforeLines="30"/>
    </w:pPr>
    <w:rPr>
      <w:rFonts w:ascii="仿宋_GB2312" w:eastAsia="仿宋_GB2312"/>
      <w:kern w:val="0"/>
      <w:sz w:val="3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able of figures"/>
    <w:basedOn w:val="1"/>
    <w:next w:val="1"/>
    <w:qFormat/>
    <w:uiPriority w:val="0"/>
    <w:pPr>
      <w:ind w:left="200" w:leftChars="200" w:hanging="200" w:hangingChars="200"/>
    </w:pPr>
    <w:rPr>
      <w:rFonts w:ascii="Calibri" w:hAnsi="Calibri" w:eastAsia="宋体" w:cs="Times New Roman"/>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3"/>
    <w:qFormat/>
    <w:uiPriority w:val="9"/>
    <w:rPr>
      <w:b/>
      <w:bCs/>
      <w:kern w:val="44"/>
      <w:sz w:val="44"/>
      <w:szCs w:val="44"/>
    </w:rPr>
  </w:style>
  <w:style w:type="character" w:customStyle="1" w:styleId="15">
    <w:name w:val="标题 2 Char"/>
    <w:basedOn w:val="11"/>
    <w:link w:val="4"/>
    <w:qFormat/>
    <w:uiPriority w:val="9"/>
    <w:rPr>
      <w:rFonts w:asciiTheme="majorHAnsi" w:hAnsiTheme="majorHAnsi" w:eastAsiaTheme="majorEastAsia" w:cstheme="majorBidi"/>
      <w:b/>
      <w:bCs/>
      <w:sz w:val="32"/>
      <w:szCs w:val="32"/>
    </w:rPr>
  </w:style>
  <w:style w:type="paragraph" w:customStyle="1" w:styleId="16">
    <w:name w:val="列出段落1"/>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2\Desktop\&#32479;&#35745;&#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2\Desktop\&#32479;&#35745;&#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2\Desktop\&#32479;&#35745;&#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multiLvlStrRef>
              <c:f>[统计图.xlsx]Sheet1!$A$1:$D$3</c:f>
              <c:multiLvlStrCache>
                <c:ptCount val="4"/>
                <c:lvl>
                  <c:pt idx="0">
                    <c:v>收入（万元）</c:v>
                  </c:pt>
                  <c:pt idx="1">
                    <c:v>支出（万元）</c:v>
                  </c:pt>
                  <c:pt idx="2">
                    <c:v>收入（万元）</c:v>
                  </c:pt>
                  <c:pt idx="3">
                    <c:v>支出（万元）</c:v>
                  </c:pt>
                </c:lvl>
                <c:lvl>
                  <c:pt idx="0">
                    <c:v>2021</c:v>
                  </c:pt>
                  <c:pt idx="2">
                    <c:v>2022</c:v>
                  </c:pt>
                </c:lvl>
                <c:lvl>
                  <c:pt idx="0">
                    <c:v>图1：收、支决算变动情况</c:v>
                  </c:pt>
                </c:lvl>
              </c:multiLvlStrCache>
            </c:multiLvlStrRef>
          </c:cat>
          <c:val>
            <c:numRef>
              <c:f>[统计图.xlsx]Sheet1!$A$4:$D$4</c:f>
              <c:numCache>
                <c:formatCode>General</c:formatCode>
                <c:ptCount val="4"/>
                <c:pt idx="0">
                  <c:v>597.18</c:v>
                </c:pt>
                <c:pt idx="1">
                  <c:v>597.18</c:v>
                </c:pt>
                <c:pt idx="2">
                  <c:v>5323.04</c:v>
                </c:pt>
                <c:pt idx="3">
                  <c:v>5323.04</c:v>
                </c:pt>
              </c:numCache>
            </c:numRef>
          </c:val>
        </c:ser>
        <c:dLbls>
          <c:showLegendKey val="0"/>
          <c:showVal val="0"/>
          <c:showCatName val="0"/>
          <c:showSerName val="0"/>
          <c:showPercent val="0"/>
          <c:showBubbleSize val="0"/>
        </c:dLbls>
        <c:gapWidth val="219"/>
        <c:overlap val="-27"/>
        <c:axId val="212011853"/>
        <c:axId val="729893299"/>
      </c:barChart>
      <c:catAx>
        <c:axId val="2120118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893299"/>
        <c:crosses val="autoZero"/>
        <c:auto val="1"/>
        <c:lblAlgn val="ctr"/>
        <c:lblOffset val="100"/>
        <c:noMultiLvlLbl val="0"/>
      </c:catAx>
      <c:valAx>
        <c:axId val="7298932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1185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图</a:t>
            </a:r>
            <a:r>
              <a:rPr lang="en-US" altLang="zh-CN" b="0"/>
              <a:t>2</a:t>
            </a:r>
            <a:r>
              <a:rPr b="0"/>
              <a:t>：收入决算结构图</a:t>
            </a:r>
            <a:endParaRPr b="0"/>
          </a:p>
        </c:rich>
      </c:tx>
      <c:layout>
        <c:manualLayout>
          <c:xMode val="edge"/>
          <c:yMode val="edge"/>
          <c:x val="0.293829296424452"/>
          <c:y val="0.048354600402955"/>
        </c:manualLayout>
      </c:layout>
      <c:overlay val="0"/>
      <c:spPr>
        <a:noFill/>
        <a:ln>
          <a:noFill/>
        </a:ln>
        <a:effectLst/>
      </c:spPr>
    </c:title>
    <c:autoTitleDeleted val="0"/>
    <c:plotArea>
      <c:layout>
        <c:manualLayout>
          <c:layoutTarget val="inner"/>
          <c:xMode val="edge"/>
          <c:yMode val="edge"/>
          <c:x val="0.328643748528373"/>
          <c:y val="0.218117647058824"/>
          <c:w val="0.331410407346362"/>
          <c:h val="0.662352941176471"/>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823.04</c:v>
                </c:pt>
                <c:pt idx="1">
                  <c:v>4500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55933600188368"/>
          <c:y val="0.9138823529411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5955148526476"/>
          <c:y val="0.162569667700861"/>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518.04</c:v>
                </c:pt>
                <c:pt idx="1">
                  <c:v>4805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57297043776098"/>
          <c:y val="0.8767402376910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：收入支出决算总体情况</a:t>
            </a:r>
            <a:endParaRPr altLang="en-US"/>
          </a:p>
        </c:rich>
      </c:tx>
      <c:layout>
        <c:manualLayout>
          <c:xMode val="edge"/>
          <c:yMode val="edge"/>
          <c:x val="0.247361111111111"/>
          <c:y val="0.042372881355932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[统计图.xlsx]Sheet1!$A$2:$D$3</c:f>
              <c:multiLvlStrCache>
                <c:ptCount val="4"/>
                <c:lvl>
                  <c:pt idx="0">
                    <c:v>收入（万元）</c:v>
                  </c:pt>
                  <c:pt idx="1">
                    <c:v>支出（万元）</c:v>
                  </c:pt>
                  <c:pt idx="2">
                    <c:v>收入（万元）</c:v>
                  </c:pt>
                  <c:pt idx="3">
                    <c:v>支出（万元）</c:v>
                  </c:pt>
                </c:lvl>
                <c:lvl>
                  <c:pt idx="0">
                    <c:v>2021</c:v>
                  </c:pt>
                  <c:pt idx="2">
                    <c:v>2022</c:v>
                  </c:pt>
                </c:lvl>
              </c:multiLvlStrCache>
            </c:multiLvlStrRef>
          </c:cat>
          <c:val>
            <c:numRef>
              <c:f>[统计图.xlsx]Sheet1!$A$4:$D$4</c:f>
              <c:numCache>
                <c:formatCode>General</c:formatCode>
                <c:ptCount val="4"/>
                <c:pt idx="0">
                  <c:v>597.18</c:v>
                </c:pt>
                <c:pt idx="1">
                  <c:v>597.18</c:v>
                </c:pt>
                <c:pt idx="2">
                  <c:v>5323.04</c:v>
                </c:pt>
                <c:pt idx="3">
                  <c:v>5323.04</c:v>
                </c:pt>
              </c:numCache>
            </c:numRef>
          </c:val>
        </c:ser>
        <c:dLbls>
          <c:showLegendKey val="0"/>
          <c:showVal val="0"/>
          <c:showCatName val="0"/>
          <c:showSerName val="0"/>
          <c:showPercent val="0"/>
          <c:showBubbleSize val="0"/>
        </c:dLbls>
        <c:gapWidth val="219"/>
        <c:overlap val="-27"/>
        <c:axId val="144361748"/>
        <c:axId val="98599433"/>
      </c:barChart>
      <c:catAx>
        <c:axId val="1443617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599433"/>
        <c:crosses val="autoZero"/>
        <c:auto val="1"/>
        <c:lblAlgn val="ctr"/>
        <c:lblOffset val="100"/>
        <c:noMultiLvlLbl val="0"/>
      </c:catAx>
      <c:valAx>
        <c:axId val="985994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3617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t>图5：一般公共预算财政拨款支出决算变动情况</a:t>
            </a:r>
            <a:endParaRPr sz="900"/>
          </a:p>
        </c:rich>
      </c:tx>
      <c:layout>
        <c:manualLayout>
          <c:xMode val="edge"/>
          <c:yMode val="edge"/>
          <c:x val="0.247916666666667"/>
          <c:y val="0.039473684210526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[统计图.xlsx]Sheet1!$A$24:$A$25</c:f>
              <c:strCache>
                <c:ptCount val="2"/>
                <c:pt idx="0">
                  <c:v>2021年</c:v>
                </c:pt>
                <c:pt idx="1">
                  <c:v>2022年</c:v>
                </c:pt>
              </c:strCache>
            </c:strRef>
          </c:cat>
          <c:val>
            <c:numRef>
              <c:f>[统计图.xlsx]Sheet1!$B$24:$B$25</c:f>
              <c:numCache>
                <c:formatCode>General</c:formatCode>
                <c:ptCount val="2"/>
                <c:pt idx="0">
                  <c:v>597.18</c:v>
                </c:pt>
                <c:pt idx="1">
                  <c:v>823.04</c:v>
                </c:pt>
              </c:numCache>
            </c:numRef>
          </c:val>
        </c:ser>
        <c:dLbls>
          <c:showLegendKey val="0"/>
          <c:showVal val="0"/>
          <c:showCatName val="0"/>
          <c:showSerName val="0"/>
          <c:showPercent val="0"/>
          <c:showBubbleSize val="0"/>
        </c:dLbls>
        <c:gapWidth val="219"/>
        <c:overlap val="-27"/>
        <c:axId val="771503092"/>
        <c:axId val="402822264"/>
      </c:barChart>
      <c:catAx>
        <c:axId val="7715030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822264"/>
        <c:crosses val="autoZero"/>
        <c:auto val="1"/>
        <c:lblAlgn val="ctr"/>
        <c:lblOffset val="100"/>
        <c:noMultiLvlLbl val="0"/>
      </c:catAx>
      <c:valAx>
        <c:axId val="402822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15030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社会保障和就业支出</c:v>
                </c:pt>
                <c:pt idx="1">
                  <c:v>卫生健康支出</c:v>
                </c:pt>
                <c:pt idx="2">
                  <c:v>住房保障支出</c:v>
                </c:pt>
                <c:pt idx="3">
                  <c:v>粮油物资储备支出</c:v>
                </c:pt>
              </c:strCache>
            </c:strRef>
          </c:cat>
          <c:val>
            <c:numRef>
              <c:f>Sheet1!$B$2:$B$5</c:f>
              <c:numCache>
                <c:formatCode>General</c:formatCode>
                <c:ptCount val="4"/>
                <c:pt idx="0">
                  <c:v>173.5</c:v>
                </c:pt>
                <c:pt idx="1">
                  <c:v>13.54</c:v>
                </c:pt>
                <c:pt idx="2">
                  <c:v>31.16</c:v>
                </c:pt>
                <c:pt idx="3">
                  <c:v>604.83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图7：“三公”经费财政拨款支出决算具体情况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公务用车购置及运行维护费</c:v>
                </c:pt>
                <c:pt idx="1">
                  <c:v>公务接待费</c:v>
                </c:pt>
              </c:strCache>
            </c:strRef>
          </c:cat>
          <c:val>
            <c:numRef>
              <c:f>Sheet1!$B$2:$B$3</c:f>
              <c:numCache>
                <c:formatCode>General</c:formatCode>
                <c:ptCount val="2"/>
                <c:pt idx="0">
                  <c:v>1.2</c:v>
                </c:pt>
                <c:pt idx="1">
                  <c:v>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29206</Words>
  <Characters>30788</Characters>
  <Lines>0</Lines>
  <Paragraphs>0</Paragraphs>
  <TotalTime>1</TotalTime>
  <ScaleCrop>false</ScaleCrop>
  <LinksUpToDate>false</LinksUpToDate>
  <CharactersWithSpaces>30855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2023-04-02T01:37:00Z</dcterms:created>
  <dc:creator>lsj</dc:creator>
  <cp:lastModifiedBy>Administrator</cp:lastModifiedBy>
  <cp:lastPrinted>2024-04-02T10:35:00Z</cp:lastPrinted>
  <dcterms:modified xsi:type="dcterms:W3CDTF">2024-05-15T09:17:49Z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1C46A3B2D65E481EBF9FC32DDCB5F1FF_13</vt:lpwstr>
  </property>
</Properties>
</file>