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b/>
          <w:bCs/>
          <w:color w:val="000000"/>
          <w:sz w:val="72"/>
          <w:szCs w:val="72"/>
        </w:rPr>
      </w:pPr>
      <w:bookmarkStart w:id="1" w:name="_Toc15378441"/>
      <w:bookmarkStart w:id="2" w:name="_Toc15396475"/>
      <w:bookmarkStart w:id="3" w:name="_Toc15377425"/>
      <w:bookmarkStart w:id="4" w:name="_Toc15377193"/>
      <w:bookmarkStart w:id="5" w:name="_Toc15396597"/>
      <w:r>
        <w:rPr>
          <w:rFonts w:hint="eastAsia" w:ascii="方正小标宋_GBK" w:hAnsi="方正小标宋_GBK" w:eastAsia="方正小标宋_GBK" w:cs="方正小标宋_GBK"/>
          <w:b/>
          <w:bCs/>
          <w:color w:val="000000"/>
          <w:sz w:val="72"/>
          <w:szCs w:val="72"/>
        </w:rPr>
        <w:t>202</w:t>
      </w:r>
      <w:r>
        <w:rPr>
          <w:rFonts w:hint="eastAsia" w:ascii="方正小标宋_GBK" w:hAnsi="方正小标宋_GBK" w:eastAsia="方正小标宋_GBK" w:cs="方正小标宋_GBK"/>
          <w:b/>
          <w:bCs/>
          <w:color w:val="000000"/>
          <w:sz w:val="72"/>
          <w:szCs w:val="72"/>
          <w:lang w:val="en-US" w:eastAsia="zh-CN"/>
        </w:rPr>
        <w:t>1</w:t>
      </w:r>
      <w:r>
        <w:rPr>
          <w:rFonts w:hint="eastAsia" w:ascii="方正小标宋_GBK" w:hAnsi="方正小标宋_GBK" w:eastAsia="方正小标宋_GBK" w:cs="方正小标宋_GBK"/>
          <w:b/>
          <w:bCs/>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b/>
          <w:bCs/>
          <w:color w:val="000000"/>
          <w:sz w:val="72"/>
          <w:szCs w:val="72"/>
        </w:rPr>
      </w:pPr>
      <w:bookmarkStart w:id="6" w:name="_Toc15306268"/>
      <w:bookmarkStart w:id="7" w:name="_Toc15396598"/>
      <w:bookmarkStart w:id="8" w:name="_Toc15378442"/>
      <w:bookmarkStart w:id="9" w:name="_Toc15377426"/>
      <w:bookmarkStart w:id="10" w:name="_Toc15377194"/>
      <w:bookmarkStart w:id="11" w:name="_Toc15396476"/>
      <w:r>
        <w:rPr>
          <w:rFonts w:hint="eastAsia" w:ascii="方正小标宋_GBK" w:hAnsi="方正小标宋_GBK" w:eastAsia="方正小标宋_GBK" w:cs="方正小标宋_GBK"/>
          <w:b/>
          <w:bCs/>
          <w:color w:val="000000"/>
          <w:sz w:val="72"/>
          <w:szCs w:val="72"/>
          <w:lang w:val="en-US" w:eastAsia="zh-CN"/>
        </w:rPr>
        <w:t>邻水县粮食和物资储备中心</w:t>
      </w:r>
      <w:r>
        <w:rPr>
          <w:rFonts w:hint="eastAsia" w:ascii="方正小标宋_GBK" w:hAnsi="方正小标宋_GBK" w:eastAsia="方正小标宋_GBK" w:cs="方正小标宋_GBK"/>
          <w:b/>
          <w:bCs/>
          <w:color w:val="000000"/>
          <w:sz w:val="72"/>
          <w:szCs w:val="72"/>
        </w:rPr>
        <w:t>部门决算</w:t>
      </w:r>
      <w:bookmarkEnd w:id="6"/>
      <w:bookmarkEnd w:id="7"/>
      <w:bookmarkEnd w:id="8"/>
      <w:bookmarkEnd w:id="9"/>
      <w:bookmarkEnd w:id="10"/>
      <w:bookmarkEnd w:id="11"/>
      <w:r>
        <w:rPr>
          <w:rFonts w:hint="eastAsia" w:ascii="方正小标宋_GBK" w:hAnsi="方正小标宋_GBK" w:eastAsia="方正小标宋_GBK" w:cs="方正小标宋_GBK"/>
          <w:b/>
          <w:bCs/>
          <w:color w:val="000000"/>
          <w:sz w:val="72"/>
          <w:szCs w:val="72"/>
        </w:rPr>
        <w:t>编制说明</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both"/>
        <w:rPr>
          <w:rFonts w:hint="eastAsia" w:ascii="黑体" w:hAnsi="黑体" w:eastAsia="黑体"/>
          <w:color w:val="000000"/>
          <w:sz w:val="48"/>
          <w:szCs w:val="48"/>
        </w:rPr>
      </w:pPr>
    </w:p>
    <w:p>
      <w:pPr>
        <w:widowControl/>
        <w:jc w:val="center"/>
        <w:rPr>
          <w:rFonts w:hint="eastAsia" w:ascii="黑体" w:hAnsi="黑体" w:eastAsia="黑体" w:cs="黑体"/>
          <w:color w:val="000000"/>
          <w:sz w:val="48"/>
          <w:szCs w:val="48"/>
        </w:rPr>
      </w:pPr>
      <w:r>
        <w:rPr>
          <w:rFonts w:hint="eastAsia" w:ascii="黑体" w:hAnsi="黑体" w:eastAsia="黑体" w:cs="黑体"/>
          <w:color w:val="000000"/>
          <w:sz w:val="48"/>
          <w:szCs w:val="48"/>
        </w:rPr>
        <w:t>目录</w:t>
      </w:r>
    </w:p>
    <w:p>
      <w:pPr>
        <w:widowControl/>
        <w:jc w:val="center"/>
        <w:rPr>
          <w:rFonts w:hint="default" w:ascii="Times New Roman" w:hAnsi="Times New Roman" w:eastAsia="方正仿宋_GBK" w:cs="Times New Roman"/>
          <w:b w:val="0"/>
          <w:bCs w:val="0"/>
          <w:sz w:val="33"/>
          <w:szCs w:val="33"/>
          <w:lang w:val="en-US" w:eastAsia="zh-CN"/>
        </w:rPr>
      </w:pPr>
    </w:p>
    <w:p>
      <w:pPr>
        <w:widowControl/>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val="0"/>
          <w:bCs w:val="0"/>
          <w:sz w:val="28"/>
          <w:szCs w:val="28"/>
          <w:lang w:val="en-US" w:eastAsia="zh-CN"/>
        </w:rPr>
        <w:t>2022年8月5日</w:t>
      </w:r>
    </w:p>
    <w:p>
      <w:pPr>
        <w:rPr>
          <w:rFonts w:hint="default" w:ascii="Times New Roman" w:hAnsi="Times New Roman" w:eastAsia="方正仿宋_GBK" w:cs="Times New Roman"/>
          <w:sz w:val="24"/>
          <w:szCs w:val="24"/>
        </w:rPr>
      </w:pP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第一部分 部门概况</w:t>
      </w:r>
      <w:r>
        <w:rPr>
          <w:rFonts w:hint="eastAsia" w:ascii="Times New Roman" w:hAnsi="Times New Roman" w:eastAsia="方正仿宋_GBK" w:cs="Times New Roman"/>
          <w:sz w:val="24"/>
          <w:szCs w:val="24"/>
          <w:lang w:val="en-US" w:eastAsia="zh-CN"/>
        </w:rPr>
        <w:t>····························01</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一、基本职能及主要工作</w:t>
      </w:r>
      <w:r>
        <w:rPr>
          <w:rFonts w:hint="eastAsia" w:eastAsia="方正仿宋_GBK" w:cs="Times New Roman"/>
          <w:sz w:val="24"/>
          <w:szCs w:val="24"/>
          <w:lang w:val="en-US" w:eastAsia="zh-CN"/>
        </w:rPr>
        <w:t>························01</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二、机构设置</w:t>
      </w:r>
      <w:r>
        <w:rPr>
          <w:rFonts w:hint="eastAsia" w:eastAsia="方正仿宋_GBK" w:cs="Times New Roman"/>
          <w:sz w:val="24"/>
          <w:szCs w:val="24"/>
          <w:lang w:val="en-US" w:eastAsia="zh-CN"/>
        </w:rPr>
        <w:t>·····························03</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第二部分</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部门决算情况说明</w:t>
      </w:r>
      <w:r>
        <w:rPr>
          <w:rFonts w:hint="eastAsia" w:ascii="Times New Roman" w:hAnsi="Times New Roman"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一、收入支出决算总体情况说明</w:t>
      </w:r>
      <w:r>
        <w:rPr>
          <w:rFonts w:hint="eastAsia"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二、收入决算情况说明</w:t>
      </w:r>
      <w:r>
        <w:rPr>
          <w:rFonts w:hint="eastAsia" w:eastAsia="方正仿宋_GBK" w:cs="Times New Roman"/>
          <w:sz w:val="24"/>
          <w:szCs w:val="24"/>
          <w:lang w:val="en-US" w:eastAsia="zh-CN"/>
        </w:rPr>
        <w:t>·························05</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三、支出决算情况说明</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四、财政拨款收入支出决算总体情况说明</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五、一般公共预算财政拨款支出决算情况说明</w:t>
      </w:r>
      <w:r>
        <w:rPr>
          <w:rFonts w:hint="eastAsia" w:eastAsia="方正仿宋_GBK" w:cs="Times New Roman"/>
          <w:sz w:val="24"/>
          <w:szCs w:val="24"/>
          <w:lang w:val="en-US" w:eastAsia="zh-CN"/>
        </w:rPr>
        <w:t>···············06</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六、一般公共预算财政拨款基本支出决算情况说明</w:t>
      </w:r>
      <w:r>
        <w:rPr>
          <w:rFonts w:hint="eastAsia" w:eastAsia="方正仿宋_GBK" w:cs="Times New Roman"/>
          <w:sz w:val="24"/>
          <w:szCs w:val="24"/>
          <w:lang w:val="en-US" w:eastAsia="zh-CN"/>
        </w:rPr>
        <w:t>·············10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七</w:t>
      </w:r>
      <w:r>
        <w:rPr>
          <w:rFonts w:hint="default" w:ascii="Times New Roman" w:hAnsi="Times New Roman" w:eastAsia="方正仿宋_GBK" w:cs="Times New Roman"/>
          <w:sz w:val="24"/>
          <w:szCs w:val="24"/>
        </w:rPr>
        <w:t>、一般公共预算财政拨款</w:t>
      </w:r>
      <w:r>
        <w:rPr>
          <w:rFonts w:hint="default" w:ascii="Times New Roman" w:hAnsi="Times New Roman" w:eastAsia="方正仿宋_GBK" w:cs="Times New Roman"/>
          <w:sz w:val="24"/>
          <w:szCs w:val="24"/>
          <w:lang w:eastAsia="zh-CN"/>
        </w:rPr>
        <w:t>项目</w:t>
      </w:r>
      <w:r>
        <w:rPr>
          <w:rFonts w:hint="default" w:ascii="Times New Roman" w:hAnsi="Times New Roman" w:eastAsia="方正仿宋_GBK" w:cs="Times New Roman"/>
          <w:sz w:val="24"/>
          <w:szCs w:val="24"/>
        </w:rPr>
        <w:t>支出决算情况说明</w:t>
      </w:r>
      <w:r>
        <w:rPr>
          <w:rFonts w:hint="eastAsia" w:eastAsia="方正仿宋_GBK" w:cs="Times New Roman"/>
          <w:sz w:val="24"/>
          <w:szCs w:val="24"/>
          <w:lang w:val="en-US" w:eastAsia="zh-CN"/>
        </w:rPr>
        <w:t>·············10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八</w:t>
      </w:r>
      <w:r>
        <w:rPr>
          <w:rFonts w:hint="default" w:ascii="Times New Roman" w:hAnsi="Times New Roman" w:eastAsia="方正仿宋_GBK" w:cs="Times New Roman"/>
          <w:sz w:val="24"/>
          <w:szCs w:val="24"/>
        </w:rPr>
        <w:t>、“三公”经费财政拨款支出决算情况说明</w:t>
      </w:r>
      <w:r>
        <w:rPr>
          <w:rFonts w:hint="eastAsia" w:eastAsia="方正仿宋_GBK" w:cs="Times New Roman"/>
          <w:sz w:val="24"/>
          <w:szCs w:val="24"/>
          <w:lang w:val="en-US" w:eastAsia="zh-CN"/>
        </w:rPr>
        <w:t>················10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九</w:t>
      </w:r>
      <w:r>
        <w:rPr>
          <w:rFonts w:hint="default" w:ascii="Times New Roman" w:hAnsi="Times New Roman" w:eastAsia="方正仿宋_GBK" w:cs="Times New Roman"/>
          <w:sz w:val="24"/>
          <w:szCs w:val="24"/>
        </w:rPr>
        <w:t>、政府性基金预算支出决算情况说明</w:t>
      </w:r>
      <w:r>
        <w:rPr>
          <w:rFonts w:hint="eastAsia" w:eastAsia="方正仿宋_GBK" w:cs="Times New Roman"/>
          <w:sz w:val="24"/>
          <w:szCs w:val="24"/>
          <w:lang w:val="en-US" w:eastAsia="zh-CN"/>
        </w:rPr>
        <w:t>··················11</w:t>
      </w:r>
    </w:p>
    <w:p>
      <w:pPr>
        <w:pStyle w:val="9"/>
        <w:adjustRightInd w:val="0"/>
        <w:snapToGrid w:val="0"/>
        <w:spacing w:line="440" w:lineRule="exact"/>
        <w:ind w:leftChars="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十</w:t>
      </w:r>
      <w:r>
        <w:rPr>
          <w:rFonts w:hint="default" w:ascii="Times New Roman" w:hAnsi="Times New Roman" w:eastAsia="方正仿宋_GBK" w:cs="Times New Roman"/>
          <w:sz w:val="24"/>
          <w:szCs w:val="24"/>
        </w:rPr>
        <w:t>、 国有资本经营预算支出决算情况说明</w:t>
      </w:r>
      <w:r>
        <w:rPr>
          <w:rFonts w:hint="eastAsia" w:eastAsia="方正仿宋_GBK" w:cs="Times New Roman"/>
          <w:sz w:val="24"/>
          <w:szCs w:val="24"/>
          <w:lang w:val="en-US" w:eastAsia="zh-CN"/>
        </w:rPr>
        <w:t>················12</w:t>
      </w:r>
    </w:p>
    <w:p>
      <w:pPr>
        <w:pStyle w:val="9"/>
        <w:adjustRightInd w:val="0"/>
        <w:snapToGrid w:val="0"/>
        <w:spacing w:line="440" w:lineRule="exact"/>
        <w:ind w:leftChars="0"/>
        <w:jc w:val="left"/>
        <w:rPr>
          <w:rFonts w:hint="default" w:ascii="Times New Roman" w:hAnsi="Times New Roman" w:eastAsia="方正仿宋_GBK" w:cs="Times New Roman"/>
          <w:sz w:val="24"/>
          <w:szCs w:val="24"/>
          <w:lang w:val="en-US" w:eastAsia="zh-CN"/>
        </w:rPr>
      </w:pPr>
      <w:r>
        <w:rPr>
          <w:rStyle w:val="13"/>
          <w:rFonts w:hint="default" w:ascii="Times New Roman" w:hAnsi="Times New Roman" w:eastAsia="方正仿宋_GBK" w:cs="Times New Roman"/>
          <w:color w:val="000000" w:themeColor="text1"/>
          <w:sz w:val="24"/>
          <w:szCs w:val="24"/>
          <w:u w:val="none"/>
          <w:lang w:eastAsia="zh-CN"/>
          <w14:textFill>
            <w14:solidFill>
              <w14:schemeClr w14:val="tx1"/>
            </w14:solidFill>
          </w14:textFill>
        </w:rPr>
        <w:t>十一</w:t>
      </w:r>
      <w:r>
        <w:rPr>
          <w:rStyle w:val="13"/>
          <w:rFonts w:hint="default" w:ascii="Times New Roman" w:hAnsi="Times New Roman" w:eastAsia="方正仿宋_GBK" w:cs="Times New Roman"/>
          <w:color w:val="000000" w:themeColor="text1"/>
          <w:sz w:val="24"/>
          <w:szCs w:val="24"/>
          <w:u w:val="none"/>
          <w14:textFill>
            <w14:solidFill>
              <w14:schemeClr w14:val="tx1"/>
            </w14:solidFill>
          </w14:textFill>
        </w:rPr>
        <w:t>、</w:t>
      </w:r>
      <w:r>
        <w:rPr>
          <w:rFonts w:hint="default" w:ascii="Times New Roman" w:hAnsi="Times New Roman" w:eastAsia="方正仿宋_GBK" w:cs="Times New Roman"/>
          <w:sz w:val="24"/>
          <w:szCs w:val="24"/>
        </w:rPr>
        <w:t>其他重要事项的情况说明</w:t>
      </w:r>
      <w:r>
        <w:rPr>
          <w:rFonts w:hint="eastAsia" w:eastAsia="方正仿宋_GBK" w:cs="Times New Roman"/>
          <w:sz w:val="24"/>
          <w:szCs w:val="24"/>
          <w:lang w:val="en-US" w:eastAsia="zh-CN"/>
        </w:rPr>
        <w:t>····················12</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第三部分 名词解释</w:t>
      </w:r>
      <w:r>
        <w:rPr>
          <w:rFonts w:hint="eastAsia" w:ascii="Times New Roman" w:hAnsi="Times New Roman" w:eastAsia="方正仿宋_GBK" w:cs="Times New Roman"/>
          <w:sz w:val="24"/>
          <w:szCs w:val="24"/>
          <w:lang w:val="en-US" w:eastAsia="zh-CN"/>
        </w:rPr>
        <w:t>····························36</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第四部分 附件</w:t>
      </w:r>
      <w:r>
        <w:rPr>
          <w:rFonts w:hint="eastAsia" w:ascii="Times New Roman" w:hAnsi="Times New Roman" w:eastAsia="方正仿宋_GBK" w:cs="Times New Roman"/>
          <w:sz w:val="24"/>
          <w:szCs w:val="24"/>
          <w:lang w:val="en-US" w:eastAsia="zh-CN"/>
        </w:rPr>
        <w:t>······························39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附件1</w:t>
      </w:r>
      <w:r>
        <w:rPr>
          <w:rFonts w:hint="eastAsia" w:eastAsia="方正仿宋_GBK" w:cs="Times New Roman"/>
          <w:sz w:val="24"/>
          <w:szCs w:val="24"/>
          <w:lang w:val="en-US" w:eastAsia="zh-CN"/>
        </w:rPr>
        <w:t>································39</w:t>
      </w:r>
    </w:p>
    <w:p>
      <w:pPr>
        <w:pStyle w:val="9"/>
        <w:adjustRightInd w:val="0"/>
        <w:snapToGrid w:val="0"/>
        <w:spacing w:line="440" w:lineRule="exact"/>
        <w:jc w:val="left"/>
        <w:rPr>
          <w:rFonts w:hint="default" w:eastAsia="方正仿宋_GBK"/>
          <w:lang w:val="en-US" w:eastAsia="zh-CN"/>
        </w:rPr>
      </w:pPr>
      <w:r>
        <w:rPr>
          <w:rFonts w:hint="default" w:ascii="Times New Roman" w:hAnsi="Times New Roman" w:eastAsia="方正仿宋_GBK" w:cs="Times New Roman"/>
          <w:sz w:val="24"/>
          <w:szCs w:val="24"/>
        </w:rPr>
        <w:t>附件2</w:t>
      </w:r>
      <w:r>
        <w:rPr>
          <w:rFonts w:hint="eastAsia" w:eastAsia="方正仿宋_GBK" w:cs="Times New Roman"/>
          <w:sz w:val="24"/>
          <w:szCs w:val="24"/>
          <w:lang w:val="en-US" w:eastAsia="zh-CN"/>
        </w:rPr>
        <w:t>································43</w:t>
      </w:r>
      <w:r>
        <w:rPr>
          <w:rFonts w:hint="default" w:ascii="Times New Roman" w:hAnsi="Times New Roman" w:eastAsia="方正仿宋_GBK" w:cs="Times New Roman"/>
          <w:sz w:val="24"/>
          <w:szCs w:val="24"/>
        </w:rPr>
        <w:t>附件</w:t>
      </w:r>
      <w:r>
        <w:rPr>
          <w:rFonts w:hint="eastAsia" w:eastAsia="方正仿宋_GBK" w:cs="Times New Roman"/>
          <w:sz w:val="24"/>
          <w:szCs w:val="24"/>
          <w:lang w:val="en-US" w:eastAsia="zh-CN"/>
        </w:rPr>
        <w:t>3································71</w:t>
      </w:r>
    </w:p>
    <w:p>
      <w:pPr>
        <w:pStyle w:val="7"/>
        <w:adjustRightInd w:val="0"/>
        <w:snapToGrid w:val="0"/>
        <w:spacing w:before="0"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第五部分 附表</w:t>
      </w:r>
      <w:r>
        <w:rPr>
          <w:rFonts w:hint="eastAsia" w:ascii="Times New Roman" w:hAnsi="Times New Roman"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一、收入支出决算总表</w:t>
      </w:r>
      <w:r>
        <w:rPr>
          <w:rFonts w:hint="eastAsia" w:eastAsia="方正仿宋_GBK" w:cs="Times New Roman"/>
          <w:sz w:val="24"/>
          <w:szCs w:val="24"/>
          <w:lang w:val="en-US" w:eastAsia="zh-CN"/>
        </w:rPr>
        <w:t>·························80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二、收入决算表</w:t>
      </w:r>
      <w:r>
        <w:rPr>
          <w:rFonts w:hint="eastAsia" w:eastAsia="方正仿宋_GBK" w:cs="Times New Roman"/>
          <w:sz w:val="24"/>
          <w:szCs w:val="24"/>
          <w:lang w:val="en-US" w:eastAsia="zh-CN"/>
        </w:rPr>
        <w:t>···························80</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三、支出决算表</w:t>
      </w:r>
      <w:r>
        <w:rPr>
          <w:rFonts w:hint="eastAsia" w:eastAsia="方正仿宋_GBK" w:cs="Times New Roman"/>
          <w:sz w:val="24"/>
          <w:szCs w:val="24"/>
          <w:lang w:val="en-US" w:eastAsia="zh-CN"/>
        </w:rPr>
        <w:t>···························80</w:t>
      </w:r>
      <w:r>
        <w:rPr>
          <w:rFonts w:hint="default" w:ascii="Times New Roman" w:hAnsi="Times New Roman" w:eastAsia="方正仿宋_GBK" w:cs="Times New Roman"/>
          <w:sz w:val="24"/>
          <w:szCs w:val="24"/>
        </w:rPr>
        <w:t>四、财政拨款收入支出决算总表</w:t>
      </w:r>
      <w:r>
        <w:rPr>
          <w:rFonts w:hint="eastAsia" w:eastAsia="方正仿宋_GBK" w:cs="Times New Roman"/>
          <w:sz w:val="24"/>
          <w:szCs w:val="24"/>
          <w:lang w:val="en-US" w:eastAsia="zh-CN"/>
        </w:rPr>
        <w:t>····················79</w:t>
      </w:r>
      <w:r>
        <w:rPr>
          <w:rFonts w:hint="default" w:ascii="Times New Roman" w:hAnsi="Times New Roman" w:eastAsia="方正仿宋_GBK" w:cs="Times New Roman"/>
          <w:sz w:val="24"/>
          <w:szCs w:val="24"/>
        </w:rPr>
        <w:t>五、财政拨款支出决算明细表</w:t>
      </w:r>
      <w:r>
        <w:rPr>
          <w:rFonts w:hint="eastAsia" w:eastAsia="方正仿宋_GBK" w:cs="Times New Roman"/>
          <w:sz w:val="24"/>
          <w:szCs w:val="24"/>
          <w:lang w:val="en-US" w:eastAsia="zh-CN"/>
        </w:rPr>
        <w:t>·····················79</w:t>
      </w:r>
      <w:r>
        <w:rPr>
          <w:rFonts w:hint="default" w:ascii="Times New Roman" w:hAnsi="Times New Roman" w:eastAsia="方正仿宋_GBK" w:cs="Times New Roman"/>
          <w:sz w:val="24"/>
          <w:szCs w:val="24"/>
        </w:rPr>
        <w:t>六、一般公共预算财政拨款支出决算表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七、一般公共预算财政拨款支出决算明细表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八、一般公共预算财政拨款基本支出决算表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九、一般公共预算财政拨款项目支出决算表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十、一般公共预算财政拨款“三公”经费支出决算表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十一、政府性基金预算财政拨款收入支出决算表</w:t>
      </w:r>
      <w:r>
        <w:rPr>
          <w:rFonts w:hint="eastAsia" w:eastAsia="方正仿宋_GBK" w:cs="Times New Roman"/>
          <w:sz w:val="24"/>
          <w:szCs w:val="24"/>
          <w:lang w:val="en-US" w:eastAsia="zh-CN"/>
        </w:rPr>
        <w:t>·············79</w:t>
      </w:r>
      <w:r>
        <w:rPr>
          <w:rFonts w:hint="default" w:ascii="Times New Roman" w:hAnsi="Times New Roman" w:eastAsia="方正仿宋_GBK" w:cs="Times New Roman"/>
          <w:sz w:val="24"/>
          <w:szCs w:val="24"/>
        </w:rPr>
        <w:t>十二、政府性基金预算财政拨款“三公”经费支出决算表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十三、国有资本经营预算财政拨款收入支出决算表</w:t>
      </w:r>
      <w:r>
        <w:rPr>
          <w:rFonts w:hint="eastAsia" w:eastAsia="方正仿宋_GBK" w:cs="Times New Roman"/>
          <w:sz w:val="24"/>
          <w:szCs w:val="24"/>
          <w:lang w:val="en-US" w:eastAsia="zh-CN"/>
        </w:rPr>
        <w:t>············79</w:t>
      </w:r>
    </w:p>
    <w:p>
      <w:pPr>
        <w:pStyle w:val="9"/>
        <w:adjustRightInd w:val="0"/>
        <w:snapToGrid w:val="0"/>
        <w:spacing w:line="440" w:lineRule="exac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十四、国有资本经营预算财政拨款支出决算表</w:t>
      </w:r>
      <w:r>
        <w:rPr>
          <w:rFonts w:hint="eastAsia" w:eastAsia="方正仿宋_GBK" w:cs="Times New Roman"/>
          <w:sz w:val="24"/>
          <w:szCs w:val="24"/>
          <w:lang w:val="en-US" w:eastAsia="zh-CN"/>
        </w:rPr>
        <w:t>··············79</w:t>
      </w: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bookmarkStart w:id="12" w:name="_Toc15396599"/>
      <w:bookmarkStart w:id="13" w:name="_Toc15377196"/>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widowControl/>
        <w:adjustRightInd w:val="0"/>
        <w:snapToGrid w:val="0"/>
        <w:spacing w:line="440" w:lineRule="exact"/>
        <w:jc w:val="left"/>
        <w:rPr>
          <w:rFonts w:hint="default" w:ascii="Times New Roman" w:hAnsi="Times New Roman" w:eastAsia="方正仿宋_GBK" w:cs="Times New Roman"/>
          <w:color w:val="FF0000"/>
          <w:sz w:val="33"/>
          <w:szCs w:val="33"/>
        </w:rPr>
      </w:pPr>
    </w:p>
    <w:p>
      <w:pPr>
        <w:tabs>
          <w:tab w:val="left" w:pos="445"/>
        </w:tabs>
        <w:bidi w:val="0"/>
        <w:jc w:val="left"/>
        <w:rPr>
          <w:rFonts w:hint="eastAsia" w:eastAsia="宋体"/>
          <w:lang w:eastAsia="zh-CN"/>
        </w:rPr>
        <w:sectPr>
          <w:headerReference r:id="rId3" w:type="default"/>
          <w:pgSz w:w="11906" w:h="16838"/>
          <w:pgMar w:top="2041" w:right="1531" w:bottom="1701" w:left="1531" w:header="851" w:footer="992" w:gutter="0"/>
          <w:pgNumType w:fmt="decimal" w:start="1"/>
          <w:cols w:space="425" w:num="1"/>
          <w:titlePg/>
          <w:docGrid w:type="lines" w:linePitch="312" w:charSpace="0"/>
        </w:sectPr>
      </w:pPr>
    </w:p>
    <w:p>
      <w:pPr>
        <w:pStyle w:val="3"/>
        <w:pageBreakBefore w:val="0"/>
        <w:kinsoku/>
        <w:wordWrap/>
        <w:overflowPunct/>
        <w:topLinePunct w:val="0"/>
        <w:bidi w:val="0"/>
        <w:spacing w:line="590" w:lineRule="exact"/>
        <w:jc w:val="center"/>
        <w:rPr>
          <w:rStyle w:val="14"/>
          <w:rFonts w:hint="eastAsia" w:ascii="黑体" w:hAnsi="黑体" w:eastAsia="黑体" w:cs="黑体"/>
          <w:b/>
          <w:bCs w:val="0"/>
          <w:sz w:val="44"/>
          <w:szCs w:val="44"/>
        </w:rPr>
      </w:pPr>
      <w:r>
        <w:rPr>
          <w:rFonts w:hint="eastAsia" w:ascii="黑体" w:hAnsi="黑体" w:eastAsia="黑体" w:cs="黑体"/>
          <w:b w:val="0"/>
          <w:sz w:val="44"/>
          <w:szCs w:val="44"/>
        </w:rPr>
        <w:t xml:space="preserve">第一部分 </w:t>
      </w:r>
      <w:r>
        <w:rPr>
          <w:rStyle w:val="14"/>
          <w:rFonts w:hint="eastAsia" w:ascii="黑体" w:hAnsi="黑体" w:eastAsia="黑体" w:cs="黑体"/>
          <w:b w:val="0"/>
          <w:bCs w:val="0"/>
          <w:sz w:val="44"/>
          <w:szCs w:val="44"/>
        </w:rPr>
        <w:t>部门概况</w:t>
      </w:r>
      <w:bookmarkEnd w:id="12"/>
      <w:bookmarkEnd w:id="13"/>
    </w:p>
    <w:p>
      <w:pPr>
        <w:pageBreakBefore w:val="0"/>
        <w:widowControl/>
        <w:kinsoku/>
        <w:wordWrap/>
        <w:overflowPunct/>
        <w:topLinePunct w:val="0"/>
        <w:bidi w:val="0"/>
        <w:spacing w:line="590" w:lineRule="exact"/>
        <w:jc w:val="left"/>
        <w:rPr>
          <w:rFonts w:hint="default" w:ascii="Times New Roman" w:hAnsi="Times New Roman" w:eastAsia="方正仿宋_GBK" w:cs="Times New Roman"/>
          <w:color w:val="000000"/>
          <w:sz w:val="33"/>
          <w:szCs w:val="33"/>
        </w:rPr>
      </w:pPr>
    </w:p>
    <w:p>
      <w:pPr>
        <w:pStyle w:val="4"/>
        <w:pageBreakBefore w:val="0"/>
        <w:kinsoku/>
        <w:wordWrap/>
        <w:overflowPunct/>
        <w:topLinePunct w:val="0"/>
        <w:bidi w:val="0"/>
        <w:spacing w:before="0" w:after="0" w:line="590" w:lineRule="exact"/>
        <w:ind w:left="0" w:right="0"/>
        <w:rPr>
          <w:rStyle w:val="15"/>
          <w:rFonts w:hint="eastAsia" w:ascii="黑体" w:hAnsi="黑体" w:eastAsia="黑体" w:cs="黑体"/>
          <w:b w:val="0"/>
          <w:bCs w:val="0"/>
          <w:sz w:val="33"/>
          <w:szCs w:val="33"/>
        </w:rPr>
      </w:pPr>
      <w:bookmarkStart w:id="14" w:name="_Toc15396600"/>
      <w:bookmarkStart w:id="15" w:name="_Toc15377197"/>
      <w:r>
        <w:rPr>
          <w:rFonts w:hint="eastAsia" w:ascii="黑体" w:hAnsi="黑体" w:eastAsia="黑体" w:cs="黑体"/>
          <w:b w:val="0"/>
          <w:color w:val="000000"/>
          <w:sz w:val="33"/>
          <w:szCs w:val="33"/>
        </w:rPr>
        <w:t>一、基</w:t>
      </w:r>
      <w:r>
        <w:rPr>
          <w:rStyle w:val="15"/>
          <w:rFonts w:hint="eastAsia" w:ascii="黑体" w:hAnsi="黑体" w:eastAsia="黑体" w:cs="黑体"/>
          <w:b w:val="0"/>
          <w:bCs w:val="0"/>
          <w:sz w:val="33"/>
          <w:szCs w:val="33"/>
        </w:rPr>
        <w:t>本职能及主要工作</w:t>
      </w:r>
      <w:bookmarkEnd w:id="14"/>
      <w:bookmarkEnd w:id="15"/>
    </w:p>
    <w:p>
      <w:pPr>
        <w:pStyle w:val="2"/>
        <w:keepNext w:val="0"/>
        <w:keepLines w:val="0"/>
        <w:pageBreakBefore w:val="0"/>
        <w:widowControl w:val="0"/>
        <w:kinsoku/>
        <w:wordWrap/>
        <w:overflowPunct/>
        <w:topLinePunct w:val="0"/>
        <w:autoSpaceDE/>
        <w:autoSpaceDN/>
        <w:bidi w:val="0"/>
        <w:adjustRightInd w:val="0"/>
        <w:snapToGrid w:val="0"/>
        <w:spacing w:beforeLines="0" w:line="590" w:lineRule="exact"/>
        <w:ind w:left="0" w:right="0" w:firstLine="663" w:firstLineChars="200"/>
        <w:textAlignment w:val="auto"/>
        <w:outlineLvl w:val="2"/>
        <w:rPr>
          <w:rFonts w:hint="eastAsia" w:ascii="方正楷体_GBK" w:hAnsi="方正楷体_GBK" w:eastAsia="方正楷体_GBK" w:cs="方正楷体_GBK"/>
          <w:b/>
          <w:bCs w:val="0"/>
          <w:color w:val="000000"/>
          <w:sz w:val="33"/>
          <w:szCs w:val="33"/>
        </w:rPr>
      </w:pPr>
      <w:bookmarkStart w:id="16" w:name="_Toc15378445"/>
      <w:bookmarkStart w:id="17" w:name="_Toc15377198"/>
      <w:r>
        <w:rPr>
          <w:rFonts w:hint="eastAsia" w:ascii="方正楷体_GBK" w:hAnsi="方正楷体_GBK" w:eastAsia="方正楷体_GBK" w:cs="方正楷体_GBK"/>
          <w:b/>
          <w:bCs w:val="0"/>
          <w:color w:val="000000"/>
          <w:sz w:val="33"/>
          <w:szCs w:val="33"/>
        </w:rPr>
        <w:t>（一）主要职能</w:t>
      </w:r>
      <w:bookmarkEnd w:id="16"/>
      <w:bookmarkEnd w:id="17"/>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（1）</w:t>
      </w:r>
      <w:r>
        <w:rPr>
          <w:rFonts w:hint="default" w:ascii="Times New Roman" w:hAnsi="Times New Roman" w:eastAsia="方正仿宋_GBK" w:cs="Times New Roman"/>
          <w:color w:val="000000"/>
          <w:kern w:val="0"/>
          <w:sz w:val="33"/>
          <w:szCs w:val="33"/>
          <w:shd w:val="clear" w:color="auto" w:fill="FFFFFF"/>
          <w:lang w:val="en-US" w:eastAsia="zh-CN"/>
        </w:rPr>
        <w:t>贯彻执行党中央关于粮食流通和储备粮油、物资储备管理的方针政策和省委、市委、县委的决策部署；负责全县粮食流通产业发展战略规划的实施。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（2）</w:t>
      </w:r>
      <w:r>
        <w:rPr>
          <w:rFonts w:hint="default" w:ascii="Times New Roman" w:hAnsi="Times New Roman" w:eastAsia="方正仿宋_GBK" w:cs="Times New Roman"/>
          <w:color w:val="000000"/>
          <w:kern w:val="0"/>
          <w:sz w:val="33"/>
          <w:szCs w:val="33"/>
          <w:shd w:val="clear" w:color="auto" w:fill="FFFFFF"/>
          <w:lang w:val="en-US" w:eastAsia="zh-CN"/>
        </w:rPr>
        <w:t>负责全县粮食宏观调控、粮油流通和加工统计工作；指导粮食企业落实全县粮食最低收购价执行预案；承担全县市场粮油供应、保障军人等政策粮食的供应服务工作；负责全县粮食余缺调剂服务工作；组织和协调县内粮食产销衔接和对外经济技术合作交流，建立</w:t>
      </w:r>
      <w:r>
        <w:rPr>
          <w:rFonts w:hint="eastAsia" w:eastAsia="方正仿宋_GBK" w:cs="Times New Roman"/>
          <w:color w:val="000000"/>
          <w:kern w:val="0"/>
          <w:sz w:val="33"/>
          <w:szCs w:val="33"/>
          <w:shd w:val="clear" w:color="auto" w:fill="FFFFFF"/>
          <w:lang w:val="en-US" w:eastAsia="zh-CN"/>
        </w:rPr>
        <w:t>县级</w:t>
      </w:r>
      <w:r>
        <w:rPr>
          <w:rFonts w:hint="default" w:ascii="Times New Roman" w:hAnsi="Times New Roman" w:eastAsia="方正仿宋_GBK" w:cs="Times New Roman"/>
          <w:color w:val="000000"/>
          <w:kern w:val="0"/>
          <w:sz w:val="33"/>
          <w:szCs w:val="33"/>
          <w:shd w:val="clear" w:color="auto" w:fill="FFFFFF"/>
          <w:lang w:val="en-US" w:eastAsia="zh-CN"/>
        </w:rPr>
        <w:t>粮食产销合作关系，粮食进出邻水等工作。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color w:val="000000"/>
          <w:kern w:val="0"/>
          <w:sz w:val="33"/>
          <w:szCs w:val="33"/>
          <w:shd w:val="clear" w:color="auto" w:fill="FFFFFF"/>
          <w:lang w:val="en-US" w:eastAsia="zh-CN"/>
        </w:rPr>
        <w:t>协助全县粮食储备体系建设，提出地方储备粮油和物资总体规模、县级储备粮油和物资的总体布局和收储、轮换、动用计划等建议；开展全县储备粮油和物资库存数量、质量和储存安全检查（即清仓查库工作）；负责在邻水的中央储备粮油及国家其他政策性临时储存粮油和物资管理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（4）</w:t>
      </w:r>
      <w:r>
        <w:rPr>
          <w:rFonts w:hint="default" w:ascii="Times New Roman" w:hAnsi="Times New Roman" w:eastAsia="方正仿宋_GBK" w:cs="Times New Roman"/>
          <w:color w:val="000000"/>
          <w:kern w:val="0"/>
          <w:sz w:val="33"/>
          <w:szCs w:val="33"/>
          <w:shd w:val="clear" w:color="auto" w:fill="FFFFFF"/>
          <w:lang w:val="en-US" w:eastAsia="zh-CN"/>
        </w:rPr>
        <w:t>提出促进粮食产业化经营的政策措施并组织实施；配合有关部门发展粮食订单生产、发展优质专用粮油、培育粮食龙头企业、扶持粮食专业合作经济组织，促进粮食生产稳定发展，保障全县城乡粮食市场和粮食转化产业的粮食供应；拟定农村粮食流通服务体系发展规划，指导粮油收购网点和乡村粮油超市连锁店建设。</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（5）</w:t>
      </w:r>
      <w:r>
        <w:rPr>
          <w:rFonts w:hint="default" w:ascii="Times New Roman" w:hAnsi="Times New Roman" w:eastAsia="方正仿宋_GBK" w:cs="Times New Roman"/>
          <w:color w:val="000000"/>
          <w:kern w:val="0"/>
          <w:sz w:val="33"/>
          <w:szCs w:val="33"/>
          <w:shd w:val="clear" w:color="auto" w:fill="FFFFFF"/>
          <w:lang w:val="en-US" w:eastAsia="zh-CN"/>
        </w:rPr>
        <w:t>负责组织实施全县粮食和物资储备基础设施建设、粮食流通设施及全县粮食市场体系建设、粮食现代物流体系建设、粮食质量监测体系建设工作；指导国有粮食和物资仓储物流设施保护工作，负责有关储备基础设施、粮食流通设施各级投资项目；指导粮油批发市场和城乡购销网络建设；配合全县农村科学储粮和农户小粮仓建设。</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（6）</w:t>
      </w:r>
      <w:r>
        <w:rPr>
          <w:rFonts w:hint="default" w:ascii="Times New Roman" w:hAnsi="Times New Roman" w:eastAsia="方正仿宋_GBK" w:cs="Times New Roman"/>
          <w:color w:val="000000"/>
          <w:kern w:val="0"/>
          <w:sz w:val="33"/>
          <w:szCs w:val="33"/>
          <w:shd w:val="clear" w:color="auto" w:fill="FFFFFF"/>
          <w:lang w:val="en-US" w:eastAsia="zh-CN"/>
        </w:rPr>
        <w:t>负责全县粮食流通行业指导，参与拟订粮食行业发展规划、政策，贯彻实施国家粮食质量标准和粮食储存、运输技术规范，指导粮食流通科技进步、技术改造和新技术推广应用；负责县属国有及国有控股粮食企业的业务指导；负责对全县粮食收购、储存环节及政策性用粮的质量安全和原粮卫生的抽查和监测。</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（6）</w:t>
      </w:r>
      <w:r>
        <w:rPr>
          <w:rFonts w:hint="default" w:ascii="Times New Roman" w:hAnsi="Times New Roman" w:eastAsia="方正仿宋_GBK" w:cs="Times New Roman"/>
          <w:color w:val="000000"/>
          <w:kern w:val="0"/>
          <w:sz w:val="33"/>
          <w:szCs w:val="33"/>
          <w:shd w:val="clear" w:color="auto" w:fill="FFFFFF"/>
          <w:lang w:val="en-US" w:eastAsia="zh-CN"/>
        </w:rPr>
        <w:t>拟订粮食和物资储备系统人才发展规划，指导全县粮食和物资储备行业的职工职业教育。</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（7）</w:t>
      </w:r>
      <w:r>
        <w:rPr>
          <w:rFonts w:hint="default" w:ascii="Times New Roman" w:hAnsi="Times New Roman" w:eastAsia="方正仿宋_GBK" w:cs="Times New Roman"/>
          <w:color w:val="000000"/>
          <w:kern w:val="0"/>
          <w:sz w:val="33"/>
          <w:szCs w:val="33"/>
          <w:shd w:val="clear" w:color="auto" w:fill="FFFFFF"/>
          <w:lang w:val="en-US" w:eastAsia="zh-CN"/>
        </w:rPr>
        <w:t>配合相关部门对管理地方储备、企业储备以及储备资产落实情况进行监督检查。</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eastAsia" w:eastAsia="方正仿宋_GBK" w:cs="Times New Roman"/>
          <w:color w:val="000000"/>
          <w:kern w:val="0"/>
          <w:sz w:val="33"/>
          <w:szCs w:val="33"/>
          <w:shd w:val="clear" w:color="auto" w:fill="FFFFFF"/>
          <w:lang w:val="en-US" w:eastAsia="zh-CN"/>
        </w:rPr>
        <w:t>（8）</w:t>
      </w:r>
      <w:r>
        <w:rPr>
          <w:rFonts w:hint="default" w:ascii="Times New Roman" w:hAnsi="Times New Roman" w:eastAsia="方正仿宋_GBK" w:cs="Times New Roman"/>
          <w:color w:val="000000"/>
          <w:kern w:val="0"/>
          <w:sz w:val="33"/>
          <w:szCs w:val="33"/>
          <w:shd w:val="clear" w:color="auto" w:fill="FFFFFF"/>
          <w:lang w:val="en-US" w:eastAsia="zh-CN"/>
        </w:rPr>
        <w:t>负责职责范围内的安全生产、职业健康、生态环境保护、便民化服务等工作。</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bCs/>
          <w:color w:val="000000"/>
          <w:sz w:val="33"/>
          <w:szCs w:val="33"/>
        </w:rPr>
      </w:pPr>
      <w:r>
        <w:rPr>
          <w:rFonts w:hint="eastAsia" w:eastAsia="方正仿宋_GBK" w:cs="Times New Roman"/>
          <w:color w:val="000000"/>
          <w:kern w:val="0"/>
          <w:sz w:val="33"/>
          <w:szCs w:val="33"/>
          <w:shd w:val="clear" w:color="auto" w:fill="FFFFFF"/>
          <w:lang w:val="en-US" w:eastAsia="zh-CN"/>
        </w:rPr>
        <w:t>（10）</w:t>
      </w:r>
      <w:r>
        <w:rPr>
          <w:rFonts w:hint="default" w:ascii="Times New Roman" w:hAnsi="Times New Roman" w:eastAsia="方正仿宋_GBK" w:cs="Times New Roman"/>
          <w:color w:val="000000"/>
          <w:kern w:val="0"/>
          <w:sz w:val="33"/>
          <w:szCs w:val="33"/>
          <w:shd w:val="clear" w:color="auto" w:fill="FFFFFF"/>
          <w:lang w:val="en-US" w:eastAsia="zh-CN"/>
        </w:rPr>
        <w:t>完成县委、县政府交办的其他工作。</w:t>
      </w:r>
    </w:p>
    <w:p>
      <w:pPr>
        <w:pStyle w:val="2"/>
        <w:keepNext w:val="0"/>
        <w:keepLines w:val="0"/>
        <w:pageBreakBefore w:val="0"/>
        <w:widowControl w:val="0"/>
        <w:kinsoku/>
        <w:wordWrap/>
        <w:overflowPunct/>
        <w:topLinePunct w:val="0"/>
        <w:autoSpaceDE/>
        <w:autoSpaceDN/>
        <w:bidi w:val="0"/>
        <w:adjustRightInd w:val="0"/>
        <w:snapToGrid w:val="0"/>
        <w:spacing w:beforeLines="0" w:line="590" w:lineRule="exact"/>
        <w:ind w:left="0" w:right="0" w:firstLine="663" w:firstLineChars="200"/>
        <w:textAlignment w:val="auto"/>
        <w:outlineLvl w:val="2"/>
        <w:rPr>
          <w:rFonts w:hint="eastAsia" w:ascii="方正楷体_GBK" w:hAnsi="方正楷体_GBK" w:eastAsia="方正楷体_GBK" w:cs="方正楷体_GBK"/>
          <w:b/>
          <w:bCs w:val="0"/>
          <w:color w:val="000000"/>
          <w:sz w:val="33"/>
          <w:szCs w:val="33"/>
        </w:rPr>
      </w:pPr>
      <w:bookmarkStart w:id="18" w:name="_Toc15378446"/>
      <w:bookmarkStart w:id="19" w:name="_Toc15377199"/>
      <w:r>
        <w:rPr>
          <w:rFonts w:hint="eastAsia" w:ascii="方正楷体_GBK" w:hAnsi="方正楷体_GBK" w:eastAsia="方正楷体_GBK" w:cs="方正楷体_GBK"/>
          <w:b/>
          <w:bCs w:val="0"/>
          <w:color w:val="000000"/>
          <w:sz w:val="33"/>
          <w:szCs w:val="33"/>
        </w:rPr>
        <w:t>（二）202</w:t>
      </w:r>
      <w:r>
        <w:rPr>
          <w:rFonts w:hint="eastAsia" w:ascii="方正楷体_GBK" w:hAnsi="方正楷体_GBK" w:eastAsia="方正楷体_GBK" w:cs="方正楷体_GBK"/>
          <w:b/>
          <w:bCs w:val="0"/>
          <w:color w:val="000000"/>
          <w:sz w:val="33"/>
          <w:szCs w:val="33"/>
          <w:lang w:val="en-US" w:eastAsia="zh-CN"/>
        </w:rPr>
        <w:t>1</w:t>
      </w:r>
      <w:r>
        <w:rPr>
          <w:rFonts w:hint="eastAsia" w:ascii="方正楷体_GBK" w:hAnsi="方正楷体_GBK" w:eastAsia="方正楷体_GBK" w:cs="方正楷体_GBK"/>
          <w:b/>
          <w:bCs w:val="0"/>
          <w:color w:val="000000"/>
          <w:sz w:val="33"/>
          <w:szCs w:val="33"/>
        </w:rPr>
        <w:t>年重点工作完成情况</w:t>
      </w:r>
      <w:bookmarkEnd w:id="18"/>
      <w:bookmarkEnd w:id="19"/>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bookmarkStart w:id="20" w:name="_Toc15396601"/>
      <w:bookmarkStart w:id="21" w:name="_Toc15377200"/>
      <w:r>
        <w:rPr>
          <w:rFonts w:hint="eastAsia" w:eastAsia="方正仿宋_GBK" w:cs="Times New Roman"/>
          <w:color w:val="auto"/>
          <w:sz w:val="33"/>
          <w:szCs w:val="33"/>
          <w:lang w:val="en-US" w:eastAsia="zh-CN"/>
        </w:rPr>
        <w:t>1.粮食收购3万吨，粮食销售3万吨，分别完成计划的100％、100％。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2.建立中央储备粮（稻谷）5100吨、省级储备粮18000吨（稻谷6500吨，小麦11500吨），县级储备粮7750吨（稻谷5000吨，小麦2000吨，面粉470吨，面条30吨，小包装大米250吨），菜油550吨（其中小包装菜油50吨），总计31400吨，完成计划的100%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3.全年轮换县级储备稻谷3500吨，菜油200吨，完成计划的100%。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4.固定资产投资：项目储备30000万元，占计划的100%；申报入库数27170万元，占计划的104.5%；核定入库数10000万元，占计划的100%；投资完成数18367万元，占计划的122.4%。</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5.粮食安全行政首长责任制考核荣获全市第一。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6.向上争取资金1655万元，占计划的165.5%，其中2021年“天府菜油”暨产油大县项目县奖励资金1000万元，冷链物流项目380万元，2022年仓储设施建设（仓顶光伏发电项目）275万元。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Style w:val="15"/>
          <w:rFonts w:hint="eastAsia" w:ascii="黑体" w:hAnsi="黑体" w:eastAsia="黑体" w:cs="黑体"/>
          <w:b w:val="0"/>
          <w:bCs w:val="0"/>
          <w:sz w:val="33"/>
          <w:szCs w:val="33"/>
        </w:rPr>
      </w:pPr>
      <w:r>
        <w:rPr>
          <w:rFonts w:hint="eastAsia" w:ascii="黑体" w:hAnsi="黑体" w:eastAsia="黑体" w:cs="黑体"/>
          <w:b w:val="0"/>
          <w:color w:val="000000"/>
          <w:sz w:val="33"/>
          <w:szCs w:val="33"/>
        </w:rPr>
        <w:t>二、机</w:t>
      </w:r>
      <w:r>
        <w:rPr>
          <w:rStyle w:val="15"/>
          <w:rFonts w:hint="eastAsia" w:ascii="黑体" w:hAnsi="黑体" w:eastAsia="黑体" w:cs="黑体"/>
          <w:b w:val="0"/>
          <w:bCs w:val="0"/>
          <w:sz w:val="33"/>
          <w:szCs w:val="33"/>
        </w:rPr>
        <w:t>构设置</w:t>
      </w:r>
      <w:bookmarkEnd w:id="20"/>
      <w:bookmarkEnd w:id="21"/>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根据《邻水县机构改革方案》（邻委发</w:t>
      </w:r>
      <w:r>
        <w:rPr>
          <w:rFonts w:hint="eastAsia" w:eastAsia="方正仿宋_GBK" w:cs="Times New Roman"/>
          <w:color w:val="000000"/>
          <w:kern w:val="0"/>
          <w:sz w:val="33"/>
          <w:szCs w:val="33"/>
          <w:shd w:val="clear" w:color="auto" w:fill="FFFFFF"/>
          <w:lang w:val="en-US" w:eastAsia="zh-CN"/>
        </w:rPr>
        <w:t>〔</w:t>
      </w:r>
      <w:r>
        <w:rPr>
          <w:rFonts w:hint="default" w:ascii="Times New Roman" w:hAnsi="Times New Roman" w:eastAsia="方正仿宋_GBK" w:cs="Times New Roman"/>
          <w:color w:val="000000"/>
          <w:kern w:val="0"/>
          <w:sz w:val="33"/>
          <w:szCs w:val="33"/>
          <w:shd w:val="clear" w:color="auto" w:fill="FFFFFF"/>
          <w:lang w:val="en-US" w:eastAsia="zh-CN"/>
        </w:rPr>
        <w:t>2019</w:t>
      </w:r>
      <w:r>
        <w:rPr>
          <w:rFonts w:hint="eastAsia" w:eastAsia="方正仿宋_GBK" w:cs="Times New Roman"/>
          <w:color w:val="000000"/>
          <w:kern w:val="0"/>
          <w:sz w:val="33"/>
          <w:szCs w:val="33"/>
          <w:shd w:val="clear" w:color="auto" w:fill="FFFFFF"/>
          <w:lang w:val="en-US" w:eastAsia="zh-CN"/>
        </w:rPr>
        <w:t>〕</w:t>
      </w:r>
      <w:r>
        <w:rPr>
          <w:rFonts w:hint="default" w:ascii="Times New Roman" w:hAnsi="Times New Roman" w:eastAsia="方正仿宋_GBK" w:cs="Times New Roman"/>
          <w:color w:val="000000"/>
          <w:kern w:val="0"/>
          <w:sz w:val="33"/>
          <w:szCs w:val="33"/>
          <w:shd w:val="clear" w:color="auto" w:fill="FFFFFF"/>
          <w:lang w:val="en-US" w:eastAsia="zh-CN"/>
        </w:rPr>
        <w:t>11号）和《邻水县机构方案的实施意见》（邻机改[2019]1号）文件要求，邻水县粮食和物资储备中心由邻水县粮食局更名而来，为县政府直属正科级公益类事业单位，保留参公管理，由县发展和改革局代管，</w:t>
      </w:r>
      <w:r>
        <w:rPr>
          <w:rFonts w:hint="eastAsia" w:ascii="Times New Roman" w:eastAsia="方正仿宋_GBK" w:cs="Times New Roman"/>
          <w:color w:val="000000"/>
          <w:sz w:val="33"/>
          <w:szCs w:val="33"/>
          <w:lang w:eastAsia="zh-CN"/>
        </w:rPr>
        <w:t>无下属单位</w:t>
      </w:r>
      <w:r>
        <w:rPr>
          <w:rFonts w:hint="eastAsia" w:eastAsia="方正仿宋_GBK" w:cs="Times New Roman"/>
          <w:color w:val="000000"/>
          <w:sz w:val="33"/>
          <w:szCs w:val="33"/>
          <w:lang w:eastAsia="zh-CN"/>
        </w:rPr>
        <w:t>，</w:t>
      </w:r>
      <w:r>
        <w:rPr>
          <w:rFonts w:hint="default" w:ascii="Times New Roman" w:hAnsi="Times New Roman" w:eastAsia="方正仿宋_GBK" w:cs="Times New Roman"/>
          <w:color w:val="000000"/>
          <w:kern w:val="0"/>
          <w:sz w:val="33"/>
          <w:szCs w:val="33"/>
          <w:shd w:val="clear" w:color="auto" w:fill="FFFFFF"/>
          <w:lang w:val="en-US" w:eastAsia="zh-CN"/>
        </w:rPr>
        <w:t>设下列内设机构：办公室（增挂内部审计股牌子）、党建股、粮食与物资储备服务股、安全仓储与科技服务股、粮油质量管理服务股5个股室。</w:t>
      </w:r>
      <w:r>
        <w:rPr>
          <w:rFonts w:hint="default" w:ascii="Times New Roman" w:hAnsi="Times New Roman" w:eastAsia="方正仿宋_GBK" w:cs="Times New Roman"/>
          <w:sz w:val="33"/>
          <w:szCs w:val="33"/>
          <w:lang w:val="en-US" w:eastAsia="zh-CN"/>
        </w:rPr>
        <w:t>2021年在编20人，在职20人，离休人员1人。</w:t>
      </w:r>
      <w:bookmarkStart w:id="22" w:name="_Toc15377204"/>
      <w:bookmarkStart w:id="23" w:name="_Toc15396602"/>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sz w:val="33"/>
          <w:szCs w:val="33"/>
          <w:lang w:val="en-US" w:eastAsia="zh-CN"/>
        </w:rPr>
      </w:pPr>
    </w:p>
    <w:p>
      <w:pPr>
        <w:pStyle w:val="2"/>
        <w:rPr>
          <w:rFonts w:hint="default"/>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Style w:val="2"/>
        <w:rPr>
          <w:rFonts w:hint="default" w:ascii="Times New Roman" w:hAnsi="Times New Roman" w:eastAsia="方正仿宋_GBK" w:cs="Times New Roman"/>
          <w:sz w:val="33"/>
          <w:szCs w:val="33"/>
          <w:lang w:val="en-US" w:eastAsia="zh-CN"/>
        </w:rPr>
      </w:pP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sz w:val="33"/>
          <w:szCs w:val="33"/>
          <w:lang w:val="en-US" w:eastAsia="zh-CN"/>
        </w:rPr>
      </w:pPr>
    </w:p>
    <w:p>
      <w:pPr>
        <w:pageBreakBefore w:val="0"/>
        <w:widowControl/>
        <w:numPr>
          <w:ilvl w:val="0"/>
          <w:numId w:val="0"/>
        </w:numPr>
        <w:kinsoku/>
        <w:wordWrap/>
        <w:overflowPunct/>
        <w:topLinePunct w:val="0"/>
        <w:bidi w:val="0"/>
        <w:adjustRightInd w:val="0"/>
        <w:snapToGrid w:val="0"/>
        <w:spacing w:line="590" w:lineRule="exact"/>
        <w:ind w:left="0" w:right="0" w:firstLine="880" w:firstLineChars="200"/>
        <w:contextualSpacing/>
        <w:jc w:val="left"/>
        <w:rPr>
          <w:rStyle w:val="14"/>
          <w:rFonts w:hint="eastAsia" w:ascii="黑体" w:hAnsi="黑体" w:eastAsia="黑体" w:cs="黑体"/>
          <w:b w:val="0"/>
          <w:bCs w:val="0"/>
          <w:sz w:val="44"/>
          <w:szCs w:val="44"/>
        </w:rPr>
      </w:pPr>
      <w:r>
        <w:rPr>
          <w:rFonts w:hint="eastAsia" w:ascii="黑体" w:hAnsi="黑体" w:eastAsia="黑体" w:cs="黑体"/>
          <w:b w:val="0"/>
          <w:color w:val="000000"/>
          <w:sz w:val="44"/>
          <w:szCs w:val="44"/>
        </w:rPr>
        <w:t>第二部分</w:t>
      </w:r>
      <w:r>
        <w:rPr>
          <w:rFonts w:hint="eastAsia" w:ascii="黑体" w:hAnsi="黑体" w:eastAsia="黑体" w:cs="黑体"/>
          <w:color w:val="000000"/>
          <w:sz w:val="44"/>
          <w:szCs w:val="44"/>
        </w:rPr>
        <w:t xml:space="preserve"> </w:t>
      </w:r>
      <w:r>
        <w:rPr>
          <w:rStyle w:val="14"/>
          <w:rFonts w:hint="eastAsia" w:ascii="黑体" w:hAnsi="黑体" w:eastAsia="黑体" w:cs="黑体"/>
          <w:b w:val="0"/>
          <w:bCs w:val="0"/>
          <w:sz w:val="44"/>
          <w:szCs w:val="44"/>
        </w:rPr>
        <w:t>202</w:t>
      </w:r>
      <w:r>
        <w:rPr>
          <w:rStyle w:val="14"/>
          <w:rFonts w:hint="eastAsia" w:ascii="黑体" w:hAnsi="黑体" w:eastAsia="黑体" w:cs="黑体"/>
          <w:b w:val="0"/>
          <w:bCs w:val="0"/>
          <w:sz w:val="44"/>
          <w:szCs w:val="44"/>
          <w:lang w:val="en-US" w:eastAsia="zh-CN"/>
        </w:rPr>
        <w:t>1</w:t>
      </w:r>
      <w:r>
        <w:rPr>
          <w:rStyle w:val="14"/>
          <w:rFonts w:hint="eastAsia" w:ascii="黑体" w:hAnsi="黑体" w:eastAsia="黑体" w:cs="黑体"/>
          <w:b w:val="0"/>
          <w:bCs w:val="0"/>
          <w:sz w:val="44"/>
          <w:szCs w:val="44"/>
        </w:rPr>
        <w:t>年度部门决算情况说明</w:t>
      </w:r>
      <w:bookmarkEnd w:id="22"/>
      <w:bookmarkEnd w:id="23"/>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Style w:val="15"/>
          <w:rFonts w:hint="eastAsia" w:ascii="黑体" w:hAnsi="黑体" w:eastAsia="黑体" w:cs="黑体"/>
          <w:b w:val="0"/>
          <w:sz w:val="33"/>
          <w:szCs w:val="33"/>
        </w:rPr>
      </w:pPr>
      <w:bookmarkStart w:id="24" w:name="_Toc15396603"/>
      <w:bookmarkStart w:id="25" w:name="_Toc15377205"/>
      <w:r>
        <w:rPr>
          <w:rFonts w:hint="eastAsia" w:ascii="黑体" w:hAnsi="黑体" w:eastAsia="黑体" w:cs="黑体"/>
          <w:color w:val="000000"/>
          <w:sz w:val="33"/>
          <w:szCs w:val="33"/>
          <w:lang w:eastAsia="zh-CN"/>
        </w:rPr>
        <w:t>一、</w:t>
      </w:r>
      <w:r>
        <w:rPr>
          <w:rFonts w:hint="eastAsia" w:ascii="黑体" w:hAnsi="黑体" w:eastAsia="黑体" w:cs="黑体"/>
          <w:color w:val="000000"/>
          <w:sz w:val="33"/>
          <w:szCs w:val="33"/>
        </w:rPr>
        <w:t>收</w:t>
      </w:r>
      <w:r>
        <w:rPr>
          <w:rStyle w:val="15"/>
          <w:rFonts w:hint="eastAsia" w:ascii="黑体" w:hAnsi="黑体" w:eastAsia="黑体" w:cs="黑体"/>
          <w:b w:val="0"/>
          <w:sz w:val="33"/>
          <w:szCs w:val="33"/>
        </w:rPr>
        <w:t>入支出决算总体情况说明</w:t>
      </w:r>
      <w:bookmarkEnd w:id="24"/>
      <w:bookmarkEnd w:id="25"/>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年度收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lang w:eastAsia="zh-CN"/>
        </w:rPr>
        <w:t>万元，支出总计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万元。与20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年相比，收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总计减少</w:t>
      </w:r>
      <w:r>
        <w:rPr>
          <w:rFonts w:hint="default" w:ascii="Times New Roman" w:hAnsi="Times New Roman" w:eastAsia="方正仿宋_GBK" w:cs="Times New Roman"/>
          <w:color w:val="000000"/>
          <w:sz w:val="33"/>
          <w:szCs w:val="33"/>
          <w:lang w:val="en-US" w:eastAsia="zh-CN"/>
        </w:rPr>
        <w:t>101.41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，下降</w:t>
      </w:r>
      <w:r>
        <w:rPr>
          <w:rFonts w:hint="default" w:ascii="Times New Roman" w:hAnsi="Times New Roman" w:eastAsia="方正仿宋_GBK" w:cs="Times New Roman"/>
          <w:color w:val="000000"/>
          <w:sz w:val="33"/>
          <w:szCs w:val="33"/>
          <w:lang w:val="en-US" w:eastAsia="zh-CN"/>
        </w:rPr>
        <w:t>16.98</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sz w:val="33"/>
          <w:szCs w:val="33"/>
          <w:lang w:eastAsia="zh-CN"/>
        </w:rPr>
        <w:t>，支出总计</w:t>
      </w:r>
      <w:r>
        <w:rPr>
          <w:rFonts w:hint="default" w:ascii="Times New Roman" w:hAnsi="Times New Roman" w:eastAsia="方正仿宋_GBK" w:cs="Times New Roman"/>
          <w:color w:val="000000"/>
          <w:sz w:val="33"/>
          <w:szCs w:val="33"/>
        </w:rPr>
        <w:t>减少</w:t>
      </w:r>
      <w:r>
        <w:rPr>
          <w:rFonts w:hint="default" w:ascii="Times New Roman" w:hAnsi="Times New Roman" w:eastAsia="方正仿宋_GBK" w:cs="Times New Roman"/>
          <w:color w:val="000000"/>
          <w:sz w:val="33"/>
          <w:szCs w:val="33"/>
          <w:lang w:val="en-US" w:eastAsia="zh-CN"/>
        </w:rPr>
        <w:t>111.18</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，下降</w:t>
      </w:r>
      <w:r>
        <w:rPr>
          <w:rFonts w:hint="default" w:ascii="Times New Roman" w:hAnsi="Times New Roman" w:eastAsia="方正仿宋_GBK" w:cs="Times New Roman"/>
          <w:color w:val="000000"/>
          <w:sz w:val="33"/>
          <w:szCs w:val="33"/>
          <w:lang w:val="en-US" w:eastAsia="zh-CN"/>
        </w:rPr>
        <w:t>18.62</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sz w:val="33"/>
          <w:szCs w:val="33"/>
        </w:rPr>
        <w:t>主要变动原因是</w:t>
      </w:r>
      <w:r>
        <w:rPr>
          <w:rFonts w:hint="default" w:ascii="Times New Roman" w:hAnsi="Times New Roman" w:eastAsia="方正仿宋_GBK" w:cs="Times New Roman"/>
          <w:color w:val="000000"/>
          <w:sz w:val="33"/>
          <w:szCs w:val="33"/>
          <w:lang w:val="en-US" w:eastAsia="zh-CN"/>
        </w:rPr>
        <w:t>项目资金减少。</w:t>
      </w:r>
    </w:p>
    <w:p>
      <w:pPr>
        <w:pageBreakBefore w:val="0"/>
        <w:kinsoku/>
        <w:wordWrap/>
        <w:overflowPunct/>
        <w:topLinePunct w:val="0"/>
        <w:bidi w:val="0"/>
        <w:spacing w:line="590" w:lineRule="exact"/>
        <w:ind w:left="0" w:right="0" w:firstLine="420" w:firstLineChars="200"/>
        <w:rPr>
          <w:rFonts w:hint="default" w:ascii="Times New Roman" w:hAnsi="Times New Roman" w:eastAsia="方正仿宋_GBK" w:cs="Times New Roman"/>
          <w:color w:val="000000"/>
          <w:sz w:val="33"/>
          <w:szCs w:val="33"/>
        </w:rPr>
      </w:pPr>
      <w:r>
        <w:drawing>
          <wp:anchor distT="0" distB="0" distL="114300" distR="114300" simplePos="0" relativeHeight="251662336" behindDoc="0" locked="0" layoutInCell="1" allowOverlap="1">
            <wp:simplePos x="0" y="0"/>
            <wp:positionH relativeFrom="column">
              <wp:posOffset>642620</wp:posOffset>
            </wp:positionH>
            <wp:positionV relativeFrom="paragraph">
              <wp:posOffset>81280</wp:posOffset>
            </wp:positionV>
            <wp:extent cx="4343400" cy="1781810"/>
            <wp:effectExtent l="4445" t="4445" r="10795" b="12065"/>
            <wp:wrapNone/>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right="0"/>
        <w:rPr>
          <w:rFonts w:hint="default" w:ascii="Times New Roman" w:hAnsi="Times New Roman" w:eastAsia="方正仿宋_GBK" w:cs="Times New Roman"/>
          <w:color w:val="000000"/>
          <w:sz w:val="33"/>
          <w:szCs w:val="33"/>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Style w:val="15"/>
          <w:rFonts w:hint="eastAsia" w:ascii="黑体" w:hAnsi="黑体" w:eastAsia="黑体" w:cs="黑体"/>
          <w:b w:val="0"/>
          <w:sz w:val="33"/>
          <w:szCs w:val="33"/>
        </w:rPr>
      </w:pPr>
      <w:bookmarkStart w:id="26" w:name="_Toc15396604"/>
      <w:bookmarkStart w:id="27" w:name="_Toc15377206"/>
      <w:r>
        <w:rPr>
          <w:rFonts w:hint="eastAsia" w:ascii="黑体" w:hAnsi="黑体" w:eastAsia="黑体" w:cs="黑体"/>
          <w:color w:val="000000"/>
          <w:sz w:val="33"/>
          <w:szCs w:val="33"/>
          <w:lang w:eastAsia="zh-CN"/>
        </w:rPr>
        <w:t>二、</w:t>
      </w:r>
      <w:r>
        <w:rPr>
          <w:rFonts w:hint="eastAsia" w:ascii="黑体" w:hAnsi="黑体" w:eastAsia="黑体" w:cs="黑体"/>
          <w:color w:val="000000"/>
          <w:sz w:val="33"/>
          <w:szCs w:val="33"/>
        </w:rPr>
        <w:t>收</w:t>
      </w:r>
      <w:r>
        <w:rPr>
          <w:rStyle w:val="15"/>
          <w:rFonts w:hint="eastAsia" w:ascii="黑体" w:hAnsi="黑体" w:eastAsia="黑体" w:cs="黑体"/>
          <w:b w:val="0"/>
          <w:sz w:val="33"/>
          <w:szCs w:val="33"/>
        </w:rPr>
        <w:t>入决算情况说明</w:t>
      </w:r>
      <w:bookmarkEnd w:id="26"/>
      <w:bookmarkEnd w:id="27"/>
    </w:p>
    <w:p>
      <w:pPr>
        <w:pageBreakBefore w:val="0"/>
        <w:kinsoku/>
        <w:wordWrap/>
        <w:overflowPunct/>
        <w:topLinePunct w:val="0"/>
        <w:bidi w:val="0"/>
        <w:snapToGrid w:val="0"/>
        <w:spacing w:line="590" w:lineRule="exact"/>
        <w:ind w:left="0" w:right="0" w:firstLine="660" w:firstLineChars="20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年本年收入合计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万元，其中：一般公共预算财政拨款收入</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万元，占</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%；政府性基金预算财政拨款收入</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themeColor="text1"/>
          <w:sz w:val="33"/>
          <w:szCs w:val="33"/>
          <w14:textFill>
            <w14:solidFill>
              <w14:schemeClr w14:val="tx1"/>
            </w14:solidFill>
          </w14:textFill>
        </w:rPr>
        <w:t>上级补助收入</w:t>
      </w:r>
      <w:r>
        <w:rPr>
          <w:rFonts w:hint="eastAsia" w:eastAsia="方正仿宋_GBK" w:cs="Times New Roman"/>
          <w:color w:val="000000" w:themeColor="text1"/>
          <w:sz w:val="33"/>
          <w:szCs w:val="33"/>
          <w:lang w:val="en-US" w:eastAsia="zh-CN"/>
          <w14:textFill>
            <w14:solidFill>
              <w14:schemeClr w14:val="tx1"/>
            </w14:solidFill>
          </w14:textFill>
        </w:rPr>
        <w:t>0</w:t>
      </w:r>
      <w:r>
        <w:rPr>
          <w:rFonts w:hint="eastAsia" w:eastAsia="方正仿宋_GBK" w:cs="Times New Roman"/>
          <w:color w:val="000000"/>
          <w:sz w:val="33"/>
          <w:szCs w:val="33"/>
          <w:lang w:val="en-US" w:eastAsia="zh-CN"/>
        </w:rPr>
        <w:t>，占0%</w:t>
      </w:r>
      <w:r>
        <w:rPr>
          <w:rFonts w:hint="default" w:ascii="Times New Roman" w:hAnsi="Times New Roman" w:eastAsia="方正仿宋_GBK" w:cs="Times New Roman"/>
          <w:color w:val="000000"/>
          <w:sz w:val="33"/>
          <w:szCs w:val="33"/>
        </w:rPr>
        <w:t>；事业收入</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；经营收入</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；附属单位上缴收入</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；其他收入</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napToGrid w:val="0"/>
        <w:spacing w:line="590" w:lineRule="exact"/>
        <w:ind w:left="0" w:right="0" w:firstLine="420" w:firstLineChars="200"/>
        <w:rPr>
          <w:rFonts w:hint="default" w:ascii="Times New Roman" w:hAnsi="Times New Roman" w:eastAsia="方正仿宋_GBK" w:cs="Times New Roman"/>
          <w:color w:val="000000"/>
          <w:sz w:val="33"/>
          <w:szCs w:val="33"/>
        </w:rPr>
      </w:pPr>
      <w:r>
        <w:drawing>
          <wp:anchor distT="0" distB="0" distL="114300" distR="114300" simplePos="0" relativeHeight="251663360" behindDoc="0" locked="0" layoutInCell="1" allowOverlap="1">
            <wp:simplePos x="0" y="0"/>
            <wp:positionH relativeFrom="column">
              <wp:posOffset>1014095</wp:posOffset>
            </wp:positionH>
            <wp:positionV relativeFrom="paragraph">
              <wp:posOffset>60325</wp:posOffset>
            </wp:positionV>
            <wp:extent cx="3516630" cy="1866900"/>
            <wp:effectExtent l="4445" t="4445" r="14605" b="18415"/>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kinsoku/>
        <w:wordWrap/>
        <w:overflowPunct/>
        <w:topLinePunct w:val="0"/>
        <w:bidi w:val="0"/>
        <w:snapToGrid w:val="0"/>
        <w:spacing w:line="590" w:lineRule="exact"/>
        <w:ind w:left="0" w:right="0" w:firstLine="660" w:firstLineChars="200"/>
        <w:rPr>
          <w:rFonts w:hint="default" w:ascii="Times New Roman" w:hAnsi="Times New Roman" w:eastAsia="方正仿宋_GBK" w:cs="Times New Roman"/>
          <w:color w:val="000000"/>
          <w:sz w:val="33"/>
          <w:szCs w:val="33"/>
        </w:rPr>
      </w:pPr>
    </w:p>
    <w:p>
      <w:pPr>
        <w:pageBreakBefore w:val="0"/>
        <w:kinsoku/>
        <w:wordWrap/>
        <w:overflowPunct/>
        <w:topLinePunct w:val="0"/>
        <w:bidi w:val="0"/>
        <w:snapToGrid w:val="0"/>
        <w:spacing w:line="590" w:lineRule="exact"/>
        <w:ind w:left="0" w:right="0" w:firstLine="660" w:firstLineChars="200"/>
        <w:rPr>
          <w:rFonts w:hint="default" w:ascii="Times New Roman" w:hAnsi="Times New Roman" w:eastAsia="方正仿宋_GBK" w:cs="Times New Roman"/>
          <w:color w:val="000000"/>
          <w:sz w:val="33"/>
          <w:szCs w:val="33"/>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eastAsia" w:ascii="黑体" w:hAnsi="黑体" w:eastAsia="黑体" w:cs="黑体"/>
          <w:color w:val="000000"/>
          <w:sz w:val="33"/>
          <w:szCs w:val="33"/>
          <w:lang w:eastAsia="zh-CN"/>
        </w:rPr>
      </w:pPr>
      <w:bookmarkStart w:id="28" w:name="_Toc15377207"/>
      <w:bookmarkStart w:id="29" w:name="_Toc15396605"/>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eastAsia" w:ascii="黑体" w:hAnsi="黑体" w:eastAsia="黑体" w:cs="黑体"/>
          <w:color w:val="000000"/>
          <w:sz w:val="33"/>
          <w:szCs w:val="33"/>
          <w:lang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textAlignment w:val="auto"/>
        <w:outlineLvl w:val="1"/>
        <w:rPr>
          <w:rFonts w:hint="default" w:ascii="Times New Roman" w:hAnsi="Times New Roman" w:eastAsia="方正仿宋_GBK" w:cs="Times New Roman"/>
          <w:color w:val="000000"/>
          <w:sz w:val="33"/>
          <w:szCs w:val="33"/>
        </w:rPr>
      </w:pPr>
      <w:r>
        <w:rPr>
          <w:rFonts w:hint="eastAsia" w:ascii="黑体" w:hAnsi="黑体" w:eastAsia="黑体" w:cs="黑体"/>
          <w:color w:val="000000"/>
          <w:sz w:val="33"/>
          <w:szCs w:val="33"/>
          <w:lang w:eastAsia="zh-CN"/>
        </w:rPr>
        <w:t>三、</w:t>
      </w:r>
      <w:r>
        <w:rPr>
          <w:rFonts w:hint="eastAsia" w:ascii="黑体" w:hAnsi="黑体" w:eastAsia="黑体" w:cs="黑体"/>
          <w:color w:val="000000"/>
          <w:sz w:val="33"/>
          <w:szCs w:val="33"/>
        </w:rPr>
        <w:t>支</w:t>
      </w:r>
      <w:r>
        <w:rPr>
          <w:rStyle w:val="15"/>
          <w:rFonts w:hint="eastAsia" w:ascii="黑体" w:hAnsi="黑体" w:eastAsia="黑体" w:cs="黑体"/>
          <w:b w:val="0"/>
          <w:sz w:val="33"/>
          <w:szCs w:val="33"/>
        </w:rPr>
        <w:t>出决算情况说明</w:t>
      </w:r>
      <w:bookmarkEnd w:id="28"/>
      <w:bookmarkEnd w:id="29"/>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年本年支出合计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万元，其中：基本支出</w:t>
      </w:r>
      <w:r>
        <w:rPr>
          <w:rFonts w:hint="default" w:ascii="Times New Roman" w:hAnsi="Times New Roman" w:eastAsia="方正仿宋_GBK" w:cs="Times New Roman"/>
          <w:color w:val="000000"/>
          <w:sz w:val="33"/>
          <w:szCs w:val="33"/>
          <w:lang w:val="en-US" w:eastAsia="zh-CN"/>
        </w:rPr>
        <w:t>496.83</w:t>
      </w:r>
      <w:r>
        <w:rPr>
          <w:rFonts w:hint="default" w:ascii="Times New Roman" w:hAnsi="Times New Roman" w:eastAsia="方正仿宋_GBK" w:cs="Times New Roman"/>
          <w:color w:val="000000"/>
          <w:sz w:val="33"/>
          <w:szCs w:val="33"/>
        </w:rPr>
        <w:t>万元，占</w:t>
      </w:r>
      <w:r>
        <w:rPr>
          <w:rFonts w:hint="default" w:ascii="Times New Roman" w:hAnsi="Times New Roman" w:eastAsia="方正仿宋_GBK" w:cs="Times New Roman"/>
          <w:color w:val="000000"/>
          <w:sz w:val="33"/>
          <w:szCs w:val="33"/>
          <w:lang w:val="en-US" w:eastAsia="zh-CN"/>
        </w:rPr>
        <w:t>83.2</w:t>
      </w:r>
      <w:r>
        <w:rPr>
          <w:rFonts w:hint="default" w:ascii="Times New Roman" w:hAnsi="Times New Roman" w:eastAsia="方正仿宋_GBK" w:cs="Times New Roman"/>
          <w:color w:val="000000"/>
          <w:sz w:val="33"/>
          <w:szCs w:val="33"/>
        </w:rPr>
        <w:t>%；项目支出</w:t>
      </w:r>
      <w:r>
        <w:rPr>
          <w:rFonts w:hint="default" w:ascii="Times New Roman" w:hAnsi="Times New Roman" w:eastAsia="方正仿宋_GBK" w:cs="Times New Roman"/>
          <w:color w:val="000000"/>
          <w:sz w:val="33"/>
          <w:szCs w:val="33"/>
          <w:lang w:val="en-US" w:eastAsia="zh-CN"/>
        </w:rPr>
        <w:t>100.35</w:t>
      </w:r>
      <w:r>
        <w:rPr>
          <w:rFonts w:hint="default" w:ascii="Times New Roman" w:hAnsi="Times New Roman" w:eastAsia="方正仿宋_GBK" w:cs="Times New Roman"/>
          <w:color w:val="000000"/>
          <w:sz w:val="33"/>
          <w:szCs w:val="33"/>
        </w:rPr>
        <w:t>万元，占</w:t>
      </w:r>
      <w:r>
        <w:rPr>
          <w:rFonts w:hint="default" w:ascii="Times New Roman" w:hAnsi="Times New Roman" w:eastAsia="方正仿宋_GBK" w:cs="Times New Roman"/>
          <w:color w:val="000000"/>
          <w:sz w:val="33"/>
          <w:szCs w:val="33"/>
          <w:lang w:val="en-US" w:eastAsia="zh-CN"/>
        </w:rPr>
        <w:t>16.8</w:t>
      </w:r>
      <w:r>
        <w:rPr>
          <w:rFonts w:hint="default" w:ascii="Times New Roman" w:hAnsi="Times New Roman" w:eastAsia="方正仿宋_GBK" w:cs="Times New Roman"/>
          <w:color w:val="000000"/>
          <w:sz w:val="33"/>
          <w:szCs w:val="33"/>
        </w:rPr>
        <w:t>%；上缴上级支出</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；经营支出</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；对附属单位补助支出</w:t>
      </w:r>
      <w:r>
        <w:rPr>
          <w:rFonts w:hint="eastAsia" w:eastAsia="方正仿宋_GBK" w:cs="Times New Roman"/>
          <w:color w:val="000000"/>
          <w:sz w:val="33"/>
          <w:szCs w:val="33"/>
          <w:lang w:val="en-US" w:eastAsia="zh-CN"/>
        </w:rPr>
        <w:t>0，占0%</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420" w:firstLineChars="200"/>
        <w:outlineLvl w:val="1"/>
        <w:rPr>
          <w:rFonts w:hint="default" w:ascii="Times New Roman" w:hAnsi="Times New Roman" w:eastAsia="方正仿宋_GBK" w:cs="Times New Roman"/>
          <w:color w:val="000000"/>
          <w:sz w:val="33"/>
          <w:szCs w:val="33"/>
        </w:rPr>
      </w:pPr>
      <w:r>
        <w:drawing>
          <wp:anchor distT="0" distB="0" distL="114300" distR="114300" simplePos="0" relativeHeight="251661312" behindDoc="0" locked="0" layoutInCell="1" allowOverlap="1">
            <wp:simplePos x="0" y="0"/>
            <wp:positionH relativeFrom="column">
              <wp:posOffset>814070</wp:posOffset>
            </wp:positionH>
            <wp:positionV relativeFrom="paragraph">
              <wp:posOffset>111760</wp:posOffset>
            </wp:positionV>
            <wp:extent cx="3900170" cy="1588770"/>
            <wp:effectExtent l="4445" t="4445" r="12065" b="6985"/>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pageBreakBefore w:val="0"/>
        <w:kinsoku/>
        <w:wordWrap/>
        <w:overflowPunct/>
        <w:topLinePunct w:val="0"/>
        <w:bidi w:val="0"/>
        <w:spacing w:line="590" w:lineRule="exact"/>
        <w:ind w:left="0" w:right="0" w:firstLine="660" w:firstLineChars="200"/>
        <w:outlineLvl w:val="1"/>
        <w:rPr>
          <w:rFonts w:hint="default" w:ascii="Times New Roman" w:hAnsi="Times New Roman" w:eastAsia="方正仿宋_GBK" w:cs="Times New Roman"/>
          <w:color w:val="000000"/>
          <w:sz w:val="33"/>
          <w:szCs w:val="33"/>
        </w:rPr>
      </w:pPr>
    </w:p>
    <w:p>
      <w:pPr>
        <w:keepNext w:val="0"/>
        <w:keepLines w:val="0"/>
        <w:pageBreakBefore w:val="0"/>
        <w:widowControl w:val="0"/>
        <w:kinsoku/>
        <w:wordWrap/>
        <w:overflowPunct/>
        <w:topLinePunct w:val="0"/>
        <w:autoSpaceDE/>
        <w:autoSpaceDN/>
        <w:bidi w:val="0"/>
        <w:adjustRightInd/>
        <w:snapToGrid/>
        <w:spacing w:line="590" w:lineRule="exact"/>
        <w:ind w:left="0" w:right="0" w:firstLine="660" w:firstLineChars="200"/>
        <w:textAlignment w:val="auto"/>
        <w:outlineLvl w:val="1"/>
        <w:rPr>
          <w:rStyle w:val="15"/>
          <w:rFonts w:hint="eastAsia" w:ascii="黑体" w:hAnsi="黑体" w:eastAsia="黑体" w:cs="黑体"/>
          <w:b w:val="0"/>
          <w:sz w:val="33"/>
          <w:szCs w:val="33"/>
        </w:rPr>
      </w:pPr>
      <w:bookmarkStart w:id="30" w:name="_Toc15396606"/>
      <w:bookmarkStart w:id="31" w:name="_Toc15377208"/>
      <w:r>
        <w:rPr>
          <w:rFonts w:hint="eastAsia" w:ascii="黑体" w:hAnsi="黑体" w:eastAsia="黑体" w:cs="黑体"/>
          <w:color w:val="000000"/>
          <w:sz w:val="33"/>
          <w:szCs w:val="33"/>
        </w:rPr>
        <w:t>四、财</w:t>
      </w:r>
      <w:r>
        <w:rPr>
          <w:rStyle w:val="15"/>
          <w:rFonts w:hint="eastAsia" w:ascii="黑体" w:hAnsi="黑体" w:eastAsia="黑体" w:cs="黑体"/>
          <w:b w:val="0"/>
          <w:sz w:val="33"/>
          <w:szCs w:val="33"/>
        </w:rPr>
        <w:t>政拨款收入支出决算总体情况说明</w:t>
      </w:r>
      <w:bookmarkEnd w:id="30"/>
      <w:bookmarkEnd w:id="31"/>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年财政拨款收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财政拨款</w:t>
      </w:r>
      <w:r>
        <w:rPr>
          <w:rFonts w:hint="default" w:ascii="Times New Roman" w:hAnsi="Times New Roman" w:eastAsia="方正仿宋_GBK" w:cs="Times New Roman"/>
          <w:color w:val="000000"/>
          <w:sz w:val="33"/>
          <w:szCs w:val="33"/>
          <w:lang w:eastAsia="zh-CN"/>
        </w:rPr>
        <w:t>支出总计</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万元。与20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年相比，财政拨款收</w:t>
      </w:r>
      <w:r>
        <w:rPr>
          <w:rFonts w:hint="default" w:ascii="Times New Roman" w:hAnsi="Times New Roman" w:eastAsia="方正仿宋_GBK" w:cs="Times New Roman"/>
          <w:color w:val="000000"/>
          <w:sz w:val="33"/>
          <w:szCs w:val="33"/>
          <w:lang w:eastAsia="zh-CN"/>
        </w:rPr>
        <w:t>入</w:t>
      </w:r>
      <w:r>
        <w:rPr>
          <w:rFonts w:hint="default" w:ascii="Times New Roman" w:hAnsi="Times New Roman" w:eastAsia="方正仿宋_GBK" w:cs="Times New Roman"/>
          <w:color w:val="000000"/>
          <w:sz w:val="33"/>
          <w:szCs w:val="33"/>
        </w:rPr>
        <w:t>总计减少</w:t>
      </w:r>
      <w:r>
        <w:rPr>
          <w:rFonts w:hint="default" w:ascii="Times New Roman" w:hAnsi="Times New Roman" w:eastAsia="方正仿宋_GBK" w:cs="Times New Roman"/>
          <w:color w:val="000000"/>
          <w:sz w:val="33"/>
          <w:szCs w:val="33"/>
          <w:lang w:val="en-US" w:eastAsia="zh-CN"/>
        </w:rPr>
        <w:t>101.41</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，下降</w:t>
      </w:r>
      <w:r>
        <w:rPr>
          <w:rFonts w:hint="default" w:ascii="Times New Roman" w:hAnsi="Times New Roman" w:eastAsia="方正仿宋_GBK" w:cs="Times New Roman"/>
          <w:color w:val="000000"/>
          <w:sz w:val="33"/>
          <w:szCs w:val="33"/>
          <w:lang w:val="en-US" w:eastAsia="zh-CN"/>
        </w:rPr>
        <w:t>16.98</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财政拨款</w:t>
      </w:r>
      <w:r>
        <w:rPr>
          <w:rFonts w:hint="default" w:ascii="Times New Roman" w:hAnsi="Times New Roman" w:eastAsia="方正仿宋_GBK" w:cs="Times New Roman"/>
          <w:color w:val="000000"/>
          <w:sz w:val="33"/>
          <w:szCs w:val="33"/>
          <w:lang w:eastAsia="zh-CN"/>
        </w:rPr>
        <w:t>支出总计</w:t>
      </w:r>
      <w:r>
        <w:rPr>
          <w:rFonts w:hint="default" w:ascii="Times New Roman" w:hAnsi="Times New Roman" w:eastAsia="方正仿宋_GBK" w:cs="Times New Roman"/>
          <w:color w:val="000000"/>
          <w:sz w:val="33"/>
          <w:szCs w:val="33"/>
        </w:rPr>
        <w:t>减少</w:t>
      </w:r>
      <w:r>
        <w:rPr>
          <w:rFonts w:hint="default" w:ascii="Times New Roman" w:hAnsi="Times New Roman" w:eastAsia="方正仿宋_GBK" w:cs="Times New Roman"/>
          <w:color w:val="000000"/>
          <w:sz w:val="33"/>
          <w:szCs w:val="33"/>
          <w:lang w:val="en-US" w:eastAsia="zh-CN"/>
        </w:rPr>
        <w:t>111.18</w:t>
      </w:r>
      <w:r>
        <w:rPr>
          <w:rFonts w:hint="default" w:ascii="Times New Roman" w:hAnsi="Times New Roman" w:eastAsia="方正仿宋_GBK" w:cs="Times New Roman"/>
          <w:color w:val="000000"/>
          <w:sz w:val="33"/>
          <w:szCs w:val="33"/>
          <w:lang w:eastAsia="zh-CN"/>
        </w:rPr>
        <w:t>万元</w:t>
      </w:r>
      <w:r>
        <w:rPr>
          <w:rFonts w:hint="default" w:ascii="Times New Roman" w:hAnsi="Times New Roman" w:eastAsia="方正仿宋_GBK" w:cs="Times New Roman"/>
          <w:color w:val="000000"/>
          <w:sz w:val="33"/>
          <w:szCs w:val="33"/>
        </w:rPr>
        <w:t>，下降</w:t>
      </w:r>
      <w:r>
        <w:rPr>
          <w:rFonts w:hint="default" w:ascii="Times New Roman" w:hAnsi="Times New Roman" w:eastAsia="方正仿宋_GBK" w:cs="Times New Roman"/>
          <w:color w:val="000000"/>
          <w:sz w:val="33"/>
          <w:szCs w:val="33"/>
          <w:lang w:val="en-US" w:eastAsia="zh-CN"/>
        </w:rPr>
        <w:t>18.62</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主要变动原因是</w:t>
      </w:r>
      <w:r>
        <w:rPr>
          <w:rFonts w:hint="default" w:ascii="Times New Roman" w:hAnsi="Times New Roman" w:eastAsia="方正仿宋_GBK" w:cs="Times New Roman"/>
          <w:color w:val="000000"/>
          <w:sz w:val="33"/>
          <w:szCs w:val="33"/>
          <w:lang w:val="en-US" w:eastAsia="zh-CN"/>
        </w:rPr>
        <w:t>项目资金减少。</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r>
        <w:drawing>
          <wp:anchor distT="0" distB="0" distL="114300" distR="114300" simplePos="0" relativeHeight="251664384" behindDoc="0" locked="0" layoutInCell="1" allowOverlap="1">
            <wp:simplePos x="0" y="0"/>
            <wp:positionH relativeFrom="column">
              <wp:posOffset>458470</wp:posOffset>
            </wp:positionH>
            <wp:positionV relativeFrom="paragraph">
              <wp:posOffset>40005</wp:posOffset>
            </wp:positionV>
            <wp:extent cx="4457065" cy="1848485"/>
            <wp:effectExtent l="4445" t="5080" r="19050" b="5715"/>
            <wp:wrapNone/>
            <wp:docPr id="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outlineLvl w:val="1"/>
        <w:rPr>
          <w:rStyle w:val="15"/>
          <w:rFonts w:hint="eastAsia" w:ascii="黑体" w:hAnsi="黑体" w:eastAsia="黑体" w:cs="黑体"/>
          <w:b w:val="0"/>
          <w:sz w:val="33"/>
          <w:szCs w:val="33"/>
        </w:rPr>
      </w:pPr>
      <w:bookmarkStart w:id="32" w:name="_Toc15377209"/>
      <w:bookmarkStart w:id="33" w:name="_Toc15396607"/>
      <w:r>
        <w:rPr>
          <w:rFonts w:hint="eastAsia" w:ascii="黑体" w:hAnsi="黑体" w:eastAsia="黑体" w:cs="黑体"/>
          <w:color w:val="000000"/>
          <w:sz w:val="33"/>
          <w:szCs w:val="33"/>
        </w:rPr>
        <w:t>五、</w:t>
      </w:r>
      <w:r>
        <w:rPr>
          <w:rFonts w:hint="eastAsia" w:ascii="黑体" w:hAnsi="黑体" w:eastAsia="黑体" w:cs="黑体"/>
          <w:b/>
          <w:color w:val="000000"/>
          <w:sz w:val="33"/>
          <w:szCs w:val="33"/>
        </w:rPr>
        <w:t>一</w:t>
      </w:r>
      <w:r>
        <w:rPr>
          <w:rStyle w:val="15"/>
          <w:rFonts w:hint="eastAsia" w:ascii="黑体" w:hAnsi="黑体" w:eastAsia="黑体" w:cs="黑体"/>
          <w:b w:val="0"/>
          <w:sz w:val="33"/>
          <w:szCs w:val="33"/>
        </w:rPr>
        <w:t>般公共预算财政拨款支出决算情况说明</w:t>
      </w:r>
      <w:bookmarkEnd w:id="32"/>
      <w:bookmarkEnd w:id="33"/>
    </w:p>
    <w:p>
      <w:pPr>
        <w:pageBreakBefore w:val="0"/>
        <w:kinsoku/>
        <w:wordWrap/>
        <w:overflowPunct/>
        <w:topLinePunct w:val="0"/>
        <w:bidi w:val="0"/>
        <w:spacing w:line="590" w:lineRule="exact"/>
        <w:ind w:left="0" w:right="0" w:firstLine="663" w:firstLineChars="200"/>
        <w:outlineLvl w:val="2"/>
        <w:rPr>
          <w:rFonts w:hint="eastAsia" w:ascii="方正楷体_GBK" w:hAnsi="方正楷体_GBK" w:eastAsia="方正楷体_GBK" w:cs="方正楷体_GBK"/>
          <w:b/>
          <w:color w:val="000000"/>
          <w:sz w:val="33"/>
          <w:szCs w:val="33"/>
        </w:rPr>
      </w:pPr>
      <w:bookmarkStart w:id="34" w:name="_Toc15377210"/>
      <w:r>
        <w:rPr>
          <w:rFonts w:hint="eastAsia" w:ascii="方正楷体_GBK" w:hAnsi="方正楷体_GBK" w:eastAsia="方正楷体_GBK" w:cs="方正楷体_GBK"/>
          <w:b/>
          <w:color w:val="000000"/>
          <w:sz w:val="33"/>
          <w:szCs w:val="33"/>
        </w:rPr>
        <w:t>（一）一般公共预算财政拨款支出决算总体情况</w:t>
      </w:r>
      <w:bookmarkEnd w:id="34"/>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年一般公共预算财政拨款支出</w:t>
      </w:r>
      <w:r>
        <w:rPr>
          <w:rFonts w:hint="default" w:ascii="Times New Roman" w:hAnsi="Times New Roman" w:eastAsia="方正仿宋_GBK" w:cs="Times New Roman"/>
          <w:color w:val="000000"/>
          <w:sz w:val="33"/>
          <w:szCs w:val="33"/>
          <w:lang w:val="en-US" w:eastAsia="zh-CN"/>
        </w:rPr>
        <w:t>597.18</w:t>
      </w:r>
      <w:r>
        <w:rPr>
          <w:rFonts w:hint="default" w:ascii="Times New Roman" w:hAnsi="Times New Roman" w:eastAsia="方正仿宋_GBK" w:cs="Times New Roman"/>
          <w:color w:val="000000"/>
          <w:sz w:val="33"/>
          <w:szCs w:val="33"/>
        </w:rPr>
        <w:t>万元，占本年支出合计的</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%。与20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年相比，一般公共预算财政拨款减少</w:t>
      </w:r>
      <w:r>
        <w:rPr>
          <w:rFonts w:hint="default" w:ascii="Times New Roman" w:hAnsi="Times New Roman" w:eastAsia="方正仿宋_GBK" w:cs="Times New Roman"/>
          <w:color w:val="000000"/>
          <w:sz w:val="33"/>
          <w:szCs w:val="33"/>
          <w:lang w:val="en-US" w:eastAsia="zh-CN"/>
        </w:rPr>
        <w:t>101.41</w:t>
      </w:r>
      <w:r>
        <w:rPr>
          <w:rFonts w:hint="default" w:ascii="Times New Roman" w:hAnsi="Times New Roman" w:eastAsia="方正仿宋_GBK" w:cs="Times New Roman"/>
          <w:color w:val="000000"/>
          <w:sz w:val="33"/>
          <w:szCs w:val="33"/>
        </w:rPr>
        <w:t>万元，下降</w:t>
      </w:r>
      <w:r>
        <w:rPr>
          <w:rFonts w:hint="default" w:ascii="Times New Roman" w:hAnsi="Times New Roman" w:eastAsia="方正仿宋_GBK" w:cs="Times New Roman"/>
          <w:color w:val="000000"/>
          <w:sz w:val="33"/>
          <w:szCs w:val="33"/>
          <w:lang w:val="en-US" w:eastAsia="zh-CN"/>
        </w:rPr>
        <w:t>16.98</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rPr>
        <w:t>主要变动原因是</w:t>
      </w:r>
      <w:r>
        <w:rPr>
          <w:rFonts w:hint="default" w:ascii="Times New Roman" w:hAnsi="Times New Roman" w:eastAsia="方正仿宋_GBK" w:cs="Times New Roman"/>
          <w:color w:val="000000"/>
          <w:sz w:val="33"/>
          <w:szCs w:val="33"/>
          <w:lang w:val="en-US" w:eastAsia="zh-CN"/>
        </w:rPr>
        <w:t>项目资金减少。</w:t>
      </w:r>
    </w:p>
    <w:p>
      <w:pPr>
        <w:pageBreakBefore w:val="0"/>
        <w:kinsoku/>
        <w:wordWrap/>
        <w:overflowPunct/>
        <w:topLinePunct w:val="0"/>
        <w:bidi w:val="0"/>
        <w:spacing w:line="590" w:lineRule="exact"/>
        <w:ind w:left="0" w:right="0" w:firstLine="420" w:firstLineChars="200"/>
        <w:rPr>
          <w:rFonts w:hint="default" w:ascii="Times New Roman" w:hAnsi="Times New Roman" w:eastAsia="方正仿宋_GBK" w:cs="Times New Roman"/>
          <w:color w:val="000000"/>
          <w:sz w:val="33"/>
          <w:szCs w:val="33"/>
          <w:lang w:val="en-US" w:eastAsia="zh-CN"/>
        </w:rPr>
      </w:pPr>
      <w:r>
        <w:drawing>
          <wp:anchor distT="0" distB="0" distL="114300" distR="114300" simplePos="0" relativeHeight="251665408" behindDoc="0" locked="0" layoutInCell="1" allowOverlap="1">
            <wp:simplePos x="0" y="0"/>
            <wp:positionH relativeFrom="column">
              <wp:posOffset>556895</wp:posOffset>
            </wp:positionH>
            <wp:positionV relativeFrom="paragraph">
              <wp:posOffset>149225</wp:posOffset>
            </wp:positionV>
            <wp:extent cx="4572000" cy="1964690"/>
            <wp:effectExtent l="4445" t="4445" r="10795" b="12065"/>
            <wp:wrapNone/>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right="0"/>
        <w:rPr>
          <w:rFonts w:hint="default" w:ascii="Times New Roman" w:hAnsi="Times New Roman" w:eastAsia="方正仿宋_GBK" w:cs="Times New Roman"/>
          <w:color w:val="000000"/>
          <w:sz w:val="33"/>
          <w:szCs w:val="33"/>
          <w:lang w:val="en-US" w:eastAsia="zh-CN"/>
        </w:rPr>
      </w:pPr>
    </w:p>
    <w:p>
      <w:pPr>
        <w:pageBreakBefore w:val="0"/>
        <w:kinsoku/>
        <w:wordWrap/>
        <w:overflowPunct/>
        <w:topLinePunct w:val="0"/>
        <w:bidi w:val="0"/>
        <w:spacing w:line="590" w:lineRule="exact"/>
        <w:ind w:left="0" w:right="0" w:firstLine="663" w:firstLineChars="200"/>
        <w:outlineLvl w:val="2"/>
        <w:rPr>
          <w:rFonts w:hint="eastAsia" w:ascii="方正楷体_GBK" w:hAnsi="方正楷体_GBK" w:eastAsia="方正楷体_GBK" w:cs="方正楷体_GBK"/>
          <w:b/>
          <w:color w:val="000000"/>
          <w:sz w:val="33"/>
          <w:szCs w:val="33"/>
        </w:rPr>
      </w:pPr>
      <w:bookmarkStart w:id="35" w:name="_Toc15377211"/>
    </w:p>
    <w:p>
      <w:pPr>
        <w:pageBreakBefore w:val="0"/>
        <w:kinsoku/>
        <w:wordWrap/>
        <w:overflowPunct/>
        <w:topLinePunct w:val="0"/>
        <w:bidi w:val="0"/>
        <w:spacing w:line="590" w:lineRule="exact"/>
        <w:ind w:left="0" w:right="0" w:firstLine="663" w:firstLineChars="200"/>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（二）一般公共预算财政拨款支出决算结构情况</w:t>
      </w:r>
      <w:bookmarkEnd w:id="35"/>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年一般公共预算财</w:t>
      </w:r>
      <w:r>
        <w:rPr>
          <w:rFonts w:hint="default" w:ascii="Times New Roman" w:hAnsi="Times New Roman" w:eastAsia="方正仿宋_GBK" w:cs="Times New Roman"/>
          <w:color w:val="000000" w:themeColor="text1"/>
          <w:sz w:val="33"/>
          <w:szCs w:val="33"/>
          <w14:textFill>
            <w14:solidFill>
              <w14:schemeClr w14:val="tx1"/>
            </w14:solidFill>
          </w14:textFill>
        </w:rPr>
        <w:t>政拨款支出</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597.18</w:t>
      </w:r>
      <w:r>
        <w:rPr>
          <w:rFonts w:hint="default" w:ascii="Times New Roman" w:hAnsi="Times New Roman" w:eastAsia="方正仿宋_GBK" w:cs="Times New Roman"/>
          <w:color w:val="000000" w:themeColor="text1"/>
          <w:sz w:val="33"/>
          <w:szCs w:val="33"/>
          <w14:textFill>
            <w14:solidFill>
              <w14:schemeClr w14:val="tx1"/>
            </w14:solidFill>
          </w14:textFill>
        </w:rPr>
        <w:t>万元，主要用于以下方面</w:t>
      </w:r>
      <w:r>
        <w:rPr>
          <w:rFonts w:hint="eastAsia"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社会保障和就业（类）支出</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169.94</w:t>
      </w:r>
      <w:r>
        <w:rPr>
          <w:rFonts w:hint="default" w:ascii="Times New Roman" w:hAnsi="Times New Roman" w:eastAsia="方正仿宋_GBK" w:cs="Times New Roman"/>
          <w:b w:val="0"/>
          <w:bCs/>
          <w:color w:val="000000" w:themeColor="text1"/>
          <w:sz w:val="33"/>
          <w:szCs w:val="33"/>
          <w14:textFill>
            <w14:solidFill>
              <w14:schemeClr w14:val="tx1"/>
            </w14:solidFill>
          </w14:textFill>
        </w:rPr>
        <w:t>万元，占</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28.46</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10.08</w:t>
      </w:r>
      <w:r>
        <w:rPr>
          <w:rFonts w:hint="default" w:ascii="Times New Roman" w:hAnsi="Times New Roman" w:eastAsia="方正仿宋_GBK" w:cs="Times New Roman"/>
          <w:color w:val="000000" w:themeColor="text1"/>
          <w:sz w:val="33"/>
          <w:szCs w:val="33"/>
          <w14:textFill>
            <w14:solidFill>
              <w14:schemeClr w14:val="tx1"/>
            </w14:solidFill>
          </w14:textFill>
        </w:rPr>
        <w:t>万元，占</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1.69</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30.22</w:t>
      </w:r>
      <w:r>
        <w:rPr>
          <w:rFonts w:hint="default" w:ascii="Times New Roman" w:hAnsi="Times New Roman" w:eastAsia="方正仿宋_GBK" w:cs="Times New Roman"/>
          <w:color w:val="000000" w:themeColor="text1"/>
          <w:sz w:val="33"/>
          <w:szCs w:val="33"/>
          <w14:textFill>
            <w14:solidFill>
              <w14:schemeClr w14:val="tx1"/>
            </w14:solidFill>
          </w14:textFill>
        </w:rPr>
        <w:t>万元，占</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5.06</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粮油物资储备支出（类）384.64万元，</w:t>
      </w:r>
      <w:r>
        <w:rPr>
          <w:rFonts w:hint="default" w:ascii="Times New Roman" w:hAnsi="Times New Roman" w:eastAsia="方正仿宋_GBK" w:cs="Times New Roman"/>
          <w:color w:val="000000" w:themeColor="text1"/>
          <w:sz w:val="33"/>
          <w:szCs w:val="33"/>
          <w14:textFill>
            <w14:solidFill>
              <w14:schemeClr w14:val="tx1"/>
            </w14:solidFill>
          </w14:textFill>
        </w:rPr>
        <w:t>占</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64.41</w:t>
      </w:r>
      <w:r>
        <w:rPr>
          <w:rFonts w:hint="default" w:ascii="Times New Roman" w:hAnsi="Times New Roman" w:eastAsia="方正仿宋_GBK" w:cs="Times New Roman"/>
          <w:color w:val="000000" w:themeColor="text1"/>
          <w:sz w:val="33"/>
          <w:szCs w:val="33"/>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；灾害防治及应急管理支出（类）2.3万元，</w:t>
      </w:r>
      <w:r>
        <w:rPr>
          <w:rFonts w:hint="default" w:ascii="Times New Roman" w:hAnsi="Times New Roman" w:eastAsia="方正仿宋_GBK" w:cs="Times New Roman"/>
          <w:color w:val="000000" w:themeColor="text1"/>
          <w:sz w:val="33"/>
          <w:szCs w:val="33"/>
          <w14:textFill>
            <w14:solidFill>
              <w14:schemeClr w14:val="tx1"/>
            </w14:solidFill>
          </w14:textFill>
        </w:rPr>
        <w:t>占</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0.38</w:t>
      </w:r>
      <w:r>
        <w:rPr>
          <w:rFonts w:hint="default" w:ascii="Times New Roman" w:hAnsi="Times New Roman" w:eastAsia="方正仿宋_GBK" w:cs="Times New Roman"/>
          <w:color w:val="000000" w:themeColor="text1"/>
          <w:sz w:val="33"/>
          <w:szCs w:val="33"/>
          <w14:textFill>
            <w14:solidFill>
              <w14:schemeClr w14:val="tx1"/>
            </w14:solidFill>
          </w14:textFill>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r>
        <w:drawing>
          <wp:anchor distT="0" distB="0" distL="114300" distR="114300" simplePos="0" relativeHeight="251666432" behindDoc="0" locked="0" layoutInCell="1" allowOverlap="1">
            <wp:simplePos x="0" y="0"/>
            <wp:positionH relativeFrom="column">
              <wp:posOffset>706120</wp:posOffset>
            </wp:positionH>
            <wp:positionV relativeFrom="paragraph">
              <wp:posOffset>34925</wp:posOffset>
            </wp:positionV>
            <wp:extent cx="4374515" cy="2279015"/>
            <wp:effectExtent l="4445" t="4445" r="10160" b="17780"/>
            <wp:wrapNone/>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themeColor="text1"/>
          <w:sz w:val="33"/>
          <w:szCs w:val="33"/>
          <w14:textFill>
            <w14:solidFill>
              <w14:schemeClr w14:val="tx1"/>
            </w14:solidFill>
          </w14:textFill>
        </w:rPr>
      </w:pPr>
    </w:p>
    <w:p>
      <w:pPr>
        <w:pageBreakBefore w:val="0"/>
        <w:kinsoku/>
        <w:wordWrap/>
        <w:overflowPunct/>
        <w:topLinePunct w:val="0"/>
        <w:bidi w:val="0"/>
        <w:spacing w:line="590" w:lineRule="exact"/>
        <w:ind w:right="0"/>
        <w:outlineLvl w:val="2"/>
        <w:rPr>
          <w:rFonts w:hint="eastAsia" w:ascii="方正楷体_GBK" w:hAnsi="方正楷体_GBK" w:eastAsia="方正楷体_GBK" w:cs="方正楷体_GBK"/>
          <w:b/>
          <w:color w:val="000000"/>
          <w:sz w:val="33"/>
          <w:szCs w:val="33"/>
        </w:rPr>
      </w:pPr>
      <w:bookmarkStart w:id="36" w:name="_Toc15377212"/>
    </w:p>
    <w:p>
      <w:pPr>
        <w:pageBreakBefore w:val="0"/>
        <w:kinsoku/>
        <w:wordWrap/>
        <w:overflowPunct/>
        <w:topLinePunct w:val="0"/>
        <w:bidi w:val="0"/>
        <w:spacing w:line="590" w:lineRule="exact"/>
        <w:ind w:left="0" w:right="0" w:firstLine="663" w:firstLineChars="200"/>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（三）一般公共预算财政拨款支出决算具体情况</w:t>
      </w:r>
      <w:bookmarkEnd w:id="36"/>
    </w:p>
    <w:p>
      <w:pPr>
        <w:pageBreakBefore w:val="0"/>
        <w:kinsoku/>
        <w:wordWrap/>
        <w:overflowPunct/>
        <w:topLinePunct w:val="0"/>
        <w:bidi w:val="0"/>
        <w:spacing w:line="590" w:lineRule="exact"/>
        <w:ind w:left="0" w:right="0" w:firstLine="663" w:firstLineChars="200"/>
        <w:outlineLvl w:val="2"/>
        <w:rPr>
          <w:rStyle w:val="12"/>
          <w:rFonts w:hint="default" w:ascii="Times New Roman" w:hAnsi="Times New Roman" w:eastAsia="方正仿宋_GBK" w:cs="Times New Roman"/>
          <w:bCs/>
          <w:color w:val="000000"/>
          <w:sz w:val="33"/>
          <w:szCs w:val="33"/>
        </w:rPr>
      </w:pPr>
      <w:bookmarkStart w:id="37" w:name="_Toc15377444"/>
      <w:bookmarkStart w:id="38" w:name="_Toc15377213"/>
      <w:bookmarkStart w:id="39" w:name="_Toc15378460"/>
      <w:r>
        <w:rPr>
          <w:rFonts w:hint="default" w:ascii="Times New Roman" w:hAnsi="Times New Roman" w:eastAsia="方正仿宋_GBK" w:cs="Times New Roman"/>
          <w:b/>
          <w:color w:val="000000" w:themeColor="text1"/>
          <w:sz w:val="33"/>
          <w:szCs w:val="33"/>
          <w14:textFill>
            <w14:solidFill>
              <w14:schemeClr w14:val="tx1"/>
            </w14:solidFill>
          </w14:textFill>
        </w:rPr>
        <w:t>202</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b/>
          <w:color w:val="000000" w:themeColor="text1"/>
          <w:sz w:val="33"/>
          <w:szCs w:val="33"/>
          <w14:textFill>
            <w14:solidFill>
              <w14:schemeClr w14:val="tx1"/>
            </w14:solidFill>
          </w14:textFill>
        </w:rPr>
        <w:t>年</w:t>
      </w:r>
      <w:r>
        <w:rPr>
          <w:rFonts w:hint="default" w:ascii="Times New Roman" w:hAnsi="Times New Roman" w:eastAsia="方正仿宋_GBK" w:cs="Times New Roman"/>
          <w:b/>
          <w:color w:val="000000" w:themeColor="text1"/>
          <w:sz w:val="33"/>
          <w:szCs w:val="33"/>
          <w:lang w:eastAsia="zh-CN"/>
          <w14:textFill>
            <w14:solidFill>
              <w14:schemeClr w14:val="tx1"/>
            </w14:solidFill>
          </w14:textFill>
        </w:rPr>
        <w:t>一</w:t>
      </w:r>
      <w:r>
        <w:rPr>
          <w:rFonts w:hint="default" w:ascii="Times New Roman" w:hAnsi="Times New Roman" w:eastAsia="方正仿宋_GBK" w:cs="Times New Roman"/>
          <w:b/>
          <w:color w:val="000000" w:themeColor="text1"/>
          <w:sz w:val="33"/>
          <w:szCs w:val="33"/>
          <w14:textFill>
            <w14:solidFill>
              <w14:schemeClr w14:val="tx1"/>
            </w14:solidFill>
          </w14:textFill>
        </w:rPr>
        <w:t>般公共预算支出决算数为</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597.18万元</w:t>
      </w:r>
      <w:r>
        <w:rPr>
          <w:rFonts w:hint="default" w:ascii="Times New Roman" w:hAnsi="Times New Roman" w:eastAsia="方正仿宋_GBK" w:cs="Times New Roman"/>
          <w:color w:val="000000" w:themeColor="text1"/>
          <w:sz w:val="33"/>
          <w:szCs w:val="33"/>
          <w14:textFill>
            <w14:solidFill>
              <w14:schemeClr w14:val="tx1"/>
            </w14:solidFill>
          </w14:textFill>
        </w:rPr>
        <w:t>，</w:t>
      </w:r>
      <w:r>
        <w:rPr>
          <w:rStyle w:val="12"/>
          <w:rFonts w:hint="default" w:ascii="Times New Roman" w:hAnsi="Times New Roman" w:eastAsia="方正仿宋_GBK" w:cs="Times New Roman"/>
          <w:bCs/>
          <w:color w:val="000000" w:themeColor="text1"/>
          <w:sz w:val="33"/>
          <w:szCs w:val="33"/>
          <w14:textFill>
            <w14:solidFill>
              <w14:schemeClr w14:val="tx1"/>
            </w14:solidFill>
          </w14:textFill>
        </w:rPr>
        <w:t>完成</w:t>
      </w:r>
      <w:r>
        <w:rPr>
          <w:rStyle w:val="12"/>
          <w:rFonts w:hint="default" w:ascii="Times New Roman" w:hAnsi="Times New Roman" w:eastAsia="方正仿宋_GBK" w:cs="Times New Roman"/>
          <w:bCs/>
          <w:color w:val="000000"/>
          <w:sz w:val="33"/>
          <w:szCs w:val="33"/>
        </w:rPr>
        <w:t>预算</w:t>
      </w:r>
      <w:r>
        <w:rPr>
          <w:rStyle w:val="12"/>
          <w:rFonts w:hint="default" w:ascii="Times New Roman" w:hAnsi="Times New Roman" w:eastAsia="方正仿宋_GBK" w:cs="Times New Roman"/>
          <w:bCs/>
          <w:color w:val="000000"/>
          <w:sz w:val="33"/>
          <w:szCs w:val="33"/>
          <w:lang w:val="en-US" w:eastAsia="zh-CN"/>
        </w:rPr>
        <w:t>100</w:t>
      </w:r>
      <w:r>
        <w:rPr>
          <w:rStyle w:val="12"/>
          <w:rFonts w:hint="default" w:ascii="Times New Roman" w:hAnsi="Times New Roman" w:eastAsia="方正仿宋_GBK" w:cs="Times New Roman"/>
          <w:bCs/>
          <w:color w:val="000000"/>
          <w:sz w:val="33"/>
          <w:szCs w:val="33"/>
        </w:rPr>
        <w:t>%。其中：</w:t>
      </w:r>
      <w:bookmarkEnd w:id="37"/>
      <w:bookmarkEnd w:id="38"/>
      <w:bookmarkEnd w:id="39"/>
    </w:p>
    <w:p>
      <w:pPr>
        <w:pageBreakBefore w:val="0"/>
        <w:kinsoku/>
        <w:wordWrap/>
        <w:overflowPunct/>
        <w:topLinePunct w:val="0"/>
        <w:bidi w:val="0"/>
        <w:spacing w:line="590" w:lineRule="exact"/>
        <w:ind w:left="0" w:right="0" w:firstLine="660" w:firstLineChars="200"/>
        <w:outlineLvl w:val="2"/>
        <w:rPr>
          <w:rStyle w:val="12"/>
          <w:rFonts w:hint="eastAsia"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人力资源和社会保障管理事务支出</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7.72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行政单位离退休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4.09</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eastAsia"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机关事业单位基本养老保险缴费支出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26.89</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机关事业单位职业年金缴费支出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8.22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Style w:val="12"/>
          <w:rFonts w:hint="eastAsia" w:ascii="Times New Roman" w:hAnsi="Times New Roman" w:eastAsia="方正仿宋_GBK" w:cs="Times New Roman"/>
          <w:b w:val="0"/>
          <w:bCs/>
          <w:color w:val="000000"/>
          <w:sz w:val="33"/>
          <w:szCs w:val="33"/>
          <w:lang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其他行政事业单位养老支出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111.51</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outlineLvl w:val="2"/>
        <w:rPr>
          <w:rFonts w:hint="default" w:ascii="Times New Roman" w:hAnsi="Times New Roman" w:eastAsia="方正仿宋_GBK" w:cs="Times New Roman"/>
          <w:b/>
          <w:color w:val="000000"/>
          <w:sz w:val="33"/>
          <w:szCs w:val="33"/>
          <w:lang w:val="en-US" w:eastAsia="zh-CN"/>
        </w:rPr>
      </w:pPr>
      <w:r>
        <w:rPr>
          <w:rFonts w:hint="eastAsia" w:eastAsia="方正仿宋_GBK" w:cs="Times New Roman"/>
          <w:b w:val="0"/>
          <w:bCs/>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死亡</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11.51</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val="en-US" w:eastAsia="zh-CN"/>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Style w:val="12"/>
          <w:rFonts w:hint="eastAsia" w:eastAsia="方正仿宋_GBK" w:cs="Times New Roman"/>
          <w:b w:val="0"/>
          <w:bCs w:val="0"/>
          <w:color w:val="000000"/>
          <w:sz w:val="33"/>
          <w:szCs w:val="33"/>
          <w:lang w:val="en-US" w:eastAsia="zh-CN"/>
        </w:rPr>
        <w:t>7.</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行政事业单位医疗</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行政单位医疗</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10.08</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Style w:val="12"/>
          <w:rFonts w:hint="eastAsia" w:eastAsia="方正仿宋_GBK" w:cs="Times New Roman"/>
          <w:b w:val="0"/>
          <w:bCs w:val="0"/>
          <w:color w:val="000000"/>
          <w:sz w:val="33"/>
          <w:szCs w:val="33"/>
          <w:lang w:val="en-US" w:eastAsia="zh-CN"/>
        </w:rPr>
        <w:t>8.</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住房改革支出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住房公积金</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Cs/>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30.22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color w:val="000000"/>
          <w:sz w:val="33"/>
          <w:szCs w:val="33"/>
          <w:lang w:eastAsia="zh-CN"/>
        </w:rPr>
      </w:pPr>
      <w:r>
        <w:rPr>
          <w:rStyle w:val="12"/>
          <w:rFonts w:hint="eastAsia" w:eastAsia="方正仿宋_GBK" w:cs="Times New Roman"/>
          <w:b w:val="0"/>
          <w:bCs w:val="0"/>
          <w:color w:val="000000"/>
          <w:sz w:val="33"/>
          <w:szCs w:val="33"/>
          <w:lang w:val="en-US" w:eastAsia="zh-CN"/>
        </w:rPr>
        <w:t>9.</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行政运行</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202.79</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信息统计</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2</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eastAsia" w:eastAsia="方正仿宋_GBK" w:cs="Times New Roman"/>
          <w:b w:val="0"/>
          <w:bCs/>
          <w:color w:val="000000"/>
          <w:sz w:val="33"/>
          <w:szCs w:val="33"/>
          <w:lang w:eastAsia="zh-CN"/>
        </w:rPr>
      </w:pPr>
      <w:r>
        <w:rPr>
          <w:rStyle w:val="12"/>
          <w:rFonts w:hint="eastAsia" w:eastAsia="方正仿宋_GBK" w:cs="Times New Roman"/>
          <w:b w:val="0"/>
          <w:bCs/>
          <w:color w:val="000000"/>
          <w:sz w:val="33"/>
          <w:szCs w:val="33"/>
          <w:lang w:val="en-US" w:eastAsia="zh-CN"/>
        </w:rPr>
        <w:t>11.</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粮食财务挂账利息补贴</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62.05</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其他粮油物资事务支出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101.</w:t>
      </w:r>
      <w:r>
        <w:rPr>
          <w:rStyle w:val="12"/>
          <w:rFonts w:hint="eastAsia" w:eastAsia="方正仿宋_GBK" w:cs="Times New Roman"/>
          <w:b w:val="0"/>
          <w:bCs/>
          <w:color w:val="000000"/>
          <w:sz w:val="33"/>
          <w:szCs w:val="33"/>
          <w:lang w:val="en-US" w:eastAsia="zh-CN"/>
        </w:rPr>
        <w:t>30</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储备粮（油）库建设</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10</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其他粮油储备支出</w:t>
      </w:r>
      <w:r>
        <w:rPr>
          <w:rStyle w:val="12"/>
          <w:rFonts w:hint="default" w:ascii="Times New Roman" w:hAnsi="Times New Roman" w:eastAsia="方正仿宋_GBK" w:cs="Times New Roman"/>
          <w:b w:val="0"/>
          <w:bCs w:val="0"/>
          <w:color w:val="000000"/>
          <w:sz w:val="33"/>
          <w:szCs w:val="33"/>
        </w:rPr>
        <w:t>（项）</w:t>
      </w:r>
      <w:r>
        <w:rPr>
          <w:rStyle w:val="12"/>
          <w:rFonts w:hint="eastAsia"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color w:val="000000"/>
          <w:sz w:val="33"/>
          <w:szCs w:val="33"/>
        </w:rPr>
        <w:t>支出决算为</w:t>
      </w:r>
      <w:r>
        <w:rPr>
          <w:rStyle w:val="12"/>
          <w:rFonts w:hint="default" w:ascii="Times New Roman" w:hAnsi="Times New Roman" w:eastAsia="方正仿宋_GBK" w:cs="Times New Roman"/>
          <w:b w:val="0"/>
          <w:bCs/>
          <w:color w:val="000000"/>
          <w:sz w:val="33"/>
          <w:szCs w:val="33"/>
          <w:lang w:val="en-US" w:eastAsia="zh-CN"/>
        </w:rPr>
        <w:t>6.5</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b/>
          <w:color w:val="000000"/>
          <w:sz w:val="33"/>
          <w:szCs w:val="33"/>
          <w:lang w:eastAsia="zh-CN"/>
        </w:rPr>
      </w:pPr>
      <w:r>
        <w:rPr>
          <w:rFonts w:hint="eastAsia" w:eastAsia="方正仿宋_GBK" w:cs="Times New Roman"/>
          <w:color w:val="000000" w:themeColor="text1"/>
          <w:sz w:val="33"/>
          <w:szCs w:val="33"/>
          <w:lang w:val="en-US" w:eastAsia="zh-CN"/>
          <w14:textFill>
            <w14:solidFill>
              <w14:schemeClr w14:val="tx1"/>
            </w14:solidFill>
          </w14:textFill>
        </w:rPr>
        <w:t>15.</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灾害防治及应急管理支出</w:t>
      </w:r>
      <w:r>
        <w:rPr>
          <w:rStyle w:val="12"/>
          <w:rFonts w:hint="default" w:ascii="Times New Roman" w:hAnsi="Times New Roman" w:eastAsia="方正仿宋_GBK" w:cs="Times New Roman"/>
          <w:b w:val="0"/>
          <w:bCs w:val="0"/>
          <w:color w:val="000000"/>
          <w:sz w:val="33"/>
          <w:szCs w:val="33"/>
        </w:rPr>
        <w:t>（类）</w:t>
      </w:r>
      <w:r>
        <w:rPr>
          <w:rStyle w:val="12"/>
          <w:rFonts w:hint="default" w:ascii="Times New Roman" w:hAnsi="Times New Roman" w:eastAsia="方正仿宋_GBK" w:cs="Times New Roman"/>
          <w:b w:val="0"/>
          <w:bCs w:val="0"/>
          <w:color w:val="000000"/>
          <w:sz w:val="33"/>
          <w:szCs w:val="33"/>
          <w:lang w:val="en-US" w:eastAsia="zh-CN"/>
        </w:rPr>
        <w:t>应急管理事务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应急救援</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color w:val="000000"/>
          <w:sz w:val="33"/>
          <w:szCs w:val="33"/>
        </w:rPr>
        <w:t xml:space="preserve"> 支出决算为</w:t>
      </w:r>
      <w:r>
        <w:rPr>
          <w:rStyle w:val="12"/>
          <w:rFonts w:hint="default" w:ascii="Times New Roman" w:hAnsi="Times New Roman" w:eastAsia="方正仿宋_GBK" w:cs="Times New Roman"/>
          <w:b w:val="0"/>
          <w:bCs/>
          <w:color w:val="000000"/>
          <w:sz w:val="33"/>
          <w:szCs w:val="33"/>
          <w:lang w:val="en-US" w:eastAsia="zh-CN"/>
        </w:rPr>
        <w:t>2.3</w:t>
      </w:r>
      <w:r>
        <w:rPr>
          <w:rStyle w:val="12"/>
          <w:rFonts w:hint="default" w:ascii="Times New Roman" w:hAnsi="Times New Roman" w:eastAsia="方正仿宋_GBK" w:cs="Times New Roman"/>
          <w:b w:val="0"/>
          <w:bCs/>
          <w:color w:val="000000"/>
          <w:sz w:val="33"/>
          <w:szCs w:val="33"/>
        </w:rPr>
        <w:t>万元，完成预算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，决算数等于预算数。</w:t>
      </w:r>
    </w:p>
    <w:p>
      <w:pPr>
        <w:pageBreakBefore w:val="0"/>
        <w:tabs>
          <w:tab w:val="right" w:pos="8306"/>
        </w:tabs>
        <w:kinsoku/>
        <w:wordWrap/>
        <w:overflowPunct/>
        <w:topLinePunct w:val="0"/>
        <w:bidi w:val="0"/>
        <w:spacing w:line="590" w:lineRule="exact"/>
        <w:ind w:left="0" w:right="0" w:firstLine="640"/>
        <w:outlineLvl w:val="1"/>
        <w:rPr>
          <w:rStyle w:val="15"/>
          <w:rFonts w:hint="default" w:ascii="Times New Roman" w:hAnsi="Times New Roman" w:eastAsia="方正仿宋_GBK" w:cs="Times New Roman"/>
          <w:sz w:val="33"/>
          <w:szCs w:val="33"/>
        </w:rPr>
      </w:pPr>
      <w:bookmarkStart w:id="40" w:name="_Toc15396608"/>
      <w:bookmarkStart w:id="41" w:name="_Toc15377214"/>
      <w:r>
        <w:rPr>
          <w:rFonts w:hint="eastAsia" w:ascii="黑体" w:hAnsi="黑体" w:eastAsia="黑体" w:cs="黑体"/>
          <w:color w:val="000000"/>
          <w:sz w:val="33"/>
          <w:szCs w:val="33"/>
        </w:rPr>
        <w:t>六</w:t>
      </w:r>
      <w:r>
        <w:rPr>
          <w:rFonts w:hint="eastAsia" w:ascii="黑体" w:hAnsi="黑体" w:eastAsia="黑体" w:cs="黑体"/>
          <w:b/>
          <w:color w:val="000000"/>
          <w:sz w:val="33"/>
          <w:szCs w:val="33"/>
        </w:rPr>
        <w:t>、一</w:t>
      </w:r>
      <w:r>
        <w:rPr>
          <w:rStyle w:val="15"/>
          <w:rFonts w:hint="eastAsia" w:ascii="黑体" w:hAnsi="黑体" w:eastAsia="黑体" w:cs="黑体"/>
          <w:b w:val="0"/>
          <w:sz w:val="33"/>
          <w:szCs w:val="33"/>
        </w:rPr>
        <w:t>般公共预算财政拨款基本支出决算情况说明</w:t>
      </w:r>
      <w:bookmarkEnd w:id="40"/>
      <w:bookmarkEnd w:id="41"/>
      <w:r>
        <w:rPr>
          <w:rStyle w:val="15"/>
          <w:rFonts w:hint="default" w:ascii="Times New Roman" w:hAnsi="Times New Roman" w:eastAsia="方正仿宋_GBK" w:cs="Times New Roman"/>
          <w:b w:val="0"/>
          <w:sz w:val="33"/>
          <w:szCs w:val="33"/>
        </w:rPr>
        <w:tab/>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年一般公共预算财政拨款基本支出</w:t>
      </w:r>
      <w:r>
        <w:rPr>
          <w:rFonts w:hint="default" w:ascii="Times New Roman" w:hAnsi="Times New Roman" w:eastAsia="方正仿宋_GBK" w:cs="Times New Roman"/>
          <w:color w:val="000000"/>
          <w:sz w:val="33"/>
          <w:szCs w:val="33"/>
          <w:lang w:val="en-US" w:eastAsia="zh-CN"/>
        </w:rPr>
        <w:t>496.83</w:t>
      </w:r>
      <w:r>
        <w:rPr>
          <w:rFonts w:hint="default" w:ascii="Times New Roman" w:hAnsi="Times New Roman" w:eastAsia="方正仿宋_GBK" w:cs="Times New Roman"/>
          <w:color w:val="000000"/>
          <w:sz w:val="33"/>
          <w:szCs w:val="33"/>
        </w:rPr>
        <w:t>万元，其中：</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color w:val="000000"/>
          <w:sz w:val="33"/>
          <w:szCs w:val="33"/>
        </w:rPr>
        <w:t>人员经费</w:t>
      </w:r>
      <w:r>
        <w:rPr>
          <w:rFonts w:hint="default" w:ascii="Times New Roman" w:hAnsi="Times New Roman" w:eastAsia="方正仿宋_GBK" w:cs="Times New Roman"/>
          <w:color w:val="000000"/>
          <w:sz w:val="33"/>
          <w:szCs w:val="33"/>
          <w:lang w:val="en-US" w:eastAsia="zh-CN"/>
        </w:rPr>
        <w:t>461.07</w:t>
      </w:r>
      <w:r>
        <w:rPr>
          <w:rFonts w:hint="default" w:ascii="Times New Roman" w:hAnsi="Times New Roman" w:eastAsia="方正仿宋_GBK" w:cs="Times New Roman"/>
          <w:color w:val="000000"/>
          <w:sz w:val="33"/>
          <w:szCs w:val="33"/>
        </w:rPr>
        <w:t>万元，主要包括：基本工资、津贴补贴、奖金、机关事业单位基本养老保险缴费、职业年金缴费、</w:t>
      </w:r>
      <w:r>
        <w:rPr>
          <w:rFonts w:hint="default" w:ascii="Times New Roman" w:hAnsi="Times New Roman" w:eastAsia="方正仿宋_GBK" w:cs="Times New Roman"/>
          <w:color w:val="000000"/>
          <w:sz w:val="33"/>
          <w:szCs w:val="33"/>
          <w:lang w:val="en-US" w:eastAsia="zh-CN"/>
        </w:rPr>
        <w:t>职工基本医疗保险缴费、</w:t>
      </w:r>
      <w:r>
        <w:rPr>
          <w:rFonts w:hint="default" w:ascii="Times New Roman" w:hAnsi="Times New Roman" w:eastAsia="方正仿宋_GBK" w:cs="Times New Roman"/>
          <w:color w:val="000000"/>
          <w:sz w:val="33"/>
          <w:szCs w:val="33"/>
        </w:rPr>
        <w:t>住房公积金</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离休费、抚恤金、生活补助、其他对个人和家庭的补助支出等。</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b/>
          <w:color w:val="FF0000"/>
          <w:sz w:val="33"/>
          <w:szCs w:val="33"/>
          <w:lang w:val="en-US" w:eastAsia="zh-CN"/>
        </w:rPr>
      </w:pPr>
      <w:r>
        <w:rPr>
          <w:rFonts w:hint="default" w:ascii="Times New Roman" w:hAnsi="Times New Roman" w:eastAsia="方正仿宋_GBK" w:cs="Times New Roman"/>
          <w:color w:val="000000"/>
          <w:sz w:val="33"/>
          <w:szCs w:val="33"/>
        </w:rPr>
        <w:t>日常公用经费</w:t>
      </w:r>
      <w:r>
        <w:rPr>
          <w:rFonts w:hint="default" w:ascii="Times New Roman" w:hAnsi="Times New Roman" w:eastAsia="方正仿宋_GBK" w:cs="Times New Roman"/>
          <w:color w:val="000000"/>
          <w:sz w:val="33"/>
          <w:szCs w:val="33"/>
          <w:lang w:val="en-US" w:eastAsia="zh-CN"/>
        </w:rPr>
        <w:t>35.76</w:t>
      </w:r>
      <w:r>
        <w:rPr>
          <w:rFonts w:hint="default" w:ascii="Times New Roman" w:hAnsi="Times New Roman" w:eastAsia="方正仿宋_GBK" w:cs="Times New Roman"/>
          <w:color w:val="000000"/>
          <w:sz w:val="33"/>
          <w:szCs w:val="33"/>
        </w:rPr>
        <w:t>万元，主要包括：办公费、印刷费、水费、电费、邮电费、差旅费、维修（护）费、租赁费、会议费、培训费、公务接待费、公务用车运行维护费、其他交通费、其他商品和服务支出等。</w:t>
      </w:r>
    </w:p>
    <w:p>
      <w:pPr>
        <w:pageBreakBefore w:val="0"/>
        <w:numPr>
          <w:ilvl w:val="0"/>
          <w:numId w:val="0"/>
        </w:numPr>
        <w:kinsoku/>
        <w:wordWrap/>
        <w:overflowPunct/>
        <w:topLinePunct w:val="0"/>
        <w:bidi w:val="0"/>
        <w:spacing w:line="590" w:lineRule="exact"/>
        <w:ind w:left="640" w:leftChars="0" w:right="0" w:rightChars="0"/>
        <w:rPr>
          <w:rStyle w:val="15"/>
          <w:rFonts w:hint="eastAsia" w:ascii="黑体" w:hAnsi="黑体" w:eastAsia="黑体" w:cs="黑体"/>
          <w:b w:val="0"/>
          <w:bCs/>
          <w:sz w:val="33"/>
          <w:szCs w:val="33"/>
        </w:rPr>
      </w:pPr>
      <w:r>
        <w:rPr>
          <w:rFonts w:hint="eastAsia" w:ascii="黑体" w:hAnsi="黑体" w:eastAsia="黑体" w:cs="黑体"/>
          <w:b w:val="0"/>
          <w:bCs/>
          <w:color w:val="000000"/>
          <w:sz w:val="33"/>
          <w:szCs w:val="33"/>
          <w:lang w:eastAsia="zh-CN"/>
        </w:rPr>
        <w:t>七、</w:t>
      </w:r>
      <w:r>
        <w:rPr>
          <w:rFonts w:hint="eastAsia" w:ascii="黑体" w:hAnsi="黑体" w:eastAsia="黑体" w:cs="黑体"/>
          <w:b w:val="0"/>
          <w:bCs/>
          <w:color w:val="000000"/>
          <w:sz w:val="33"/>
          <w:szCs w:val="33"/>
        </w:rPr>
        <w:t>一</w:t>
      </w:r>
      <w:r>
        <w:rPr>
          <w:rStyle w:val="15"/>
          <w:rFonts w:hint="eastAsia" w:ascii="黑体" w:hAnsi="黑体" w:eastAsia="黑体" w:cs="黑体"/>
          <w:b w:val="0"/>
          <w:bCs/>
          <w:sz w:val="33"/>
          <w:szCs w:val="33"/>
        </w:rPr>
        <w:t>般公共预算财政拨款</w:t>
      </w:r>
      <w:r>
        <w:rPr>
          <w:rStyle w:val="15"/>
          <w:rFonts w:hint="eastAsia" w:ascii="黑体" w:hAnsi="黑体" w:eastAsia="黑体" w:cs="黑体"/>
          <w:b w:val="0"/>
          <w:bCs/>
          <w:sz w:val="33"/>
          <w:szCs w:val="33"/>
          <w:lang w:eastAsia="zh-CN"/>
        </w:rPr>
        <w:t>项目</w:t>
      </w:r>
      <w:r>
        <w:rPr>
          <w:rStyle w:val="15"/>
          <w:rFonts w:hint="eastAsia" w:ascii="黑体" w:hAnsi="黑体" w:eastAsia="黑体" w:cs="黑体"/>
          <w:b w:val="0"/>
          <w:bCs/>
          <w:sz w:val="33"/>
          <w:szCs w:val="33"/>
        </w:rPr>
        <w:t>支出决算情况说明</w:t>
      </w:r>
    </w:p>
    <w:p>
      <w:pPr>
        <w:pageBreakBefore w:val="0"/>
        <w:kinsoku/>
        <w:wordWrap/>
        <w:overflowPunct/>
        <w:topLinePunct w:val="0"/>
        <w:bidi w:val="0"/>
        <w:spacing w:line="590" w:lineRule="exact"/>
        <w:ind w:left="0" w:right="0" w:firstLine="645"/>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年一般公共预算财政拨款</w:t>
      </w:r>
      <w:r>
        <w:rPr>
          <w:rFonts w:hint="default" w:ascii="Times New Roman" w:hAnsi="Times New Roman" w:eastAsia="方正仿宋_GBK" w:cs="Times New Roman"/>
          <w:color w:val="000000"/>
          <w:sz w:val="33"/>
          <w:szCs w:val="33"/>
          <w:lang w:eastAsia="zh-CN"/>
        </w:rPr>
        <w:t>项目</w:t>
      </w:r>
      <w:r>
        <w:rPr>
          <w:rFonts w:hint="default" w:ascii="Times New Roman" w:hAnsi="Times New Roman" w:eastAsia="方正仿宋_GBK" w:cs="Times New Roman"/>
          <w:color w:val="000000"/>
          <w:sz w:val="33"/>
          <w:szCs w:val="33"/>
        </w:rPr>
        <w:t>支出</w:t>
      </w:r>
      <w:r>
        <w:rPr>
          <w:rFonts w:hint="default" w:ascii="Times New Roman" w:hAnsi="Times New Roman" w:eastAsia="方正仿宋_GBK" w:cs="Times New Roman"/>
          <w:color w:val="000000"/>
          <w:sz w:val="33"/>
          <w:szCs w:val="33"/>
          <w:lang w:val="en-US" w:eastAsia="zh-CN"/>
        </w:rPr>
        <w:t>100.35</w:t>
      </w:r>
      <w:r>
        <w:rPr>
          <w:rFonts w:hint="default" w:ascii="Times New Roman" w:hAnsi="Times New Roman" w:eastAsia="方正仿宋_GBK" w:cs="Times New Roman"/>
          <w:color w:val="000000"/>
          <w:sz w:val="33"/>
          <w:szCs w:val="33"/>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60" w:firstLineChars="200"/>
        <w:textAlignment w:val="auto"/>
        <w:outlineLvl w:val="9"/>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eastAsia="zh-CN"/>
        </w:rPr>
        <w:t>项目经费支出</w:t>
      </w:r>
      <w:r>
        <w:rPr>
          <w:rFonts w:hint="default" w:ascii="Times New Roman" w:hAnsi="Times New Roman" w:eastAsia="方正仿宋_GBK" w:cs="Times New Roman"/>
          <w:color w:val="000000"/>
          <w:sz w:val="33"/>
          <w:szCs w:val="33"/>
          <w:lang w:val="en-US" w:eastAsia="zh-CN"/>
        </w:rPr>
        <w:t>38.3</w:t>
      </w:r>
      <w:r>
        <w:rPr>
          <w:rFonts w:hint="default" w:ascii="Times New Roman" w:hAnsi="Times New Roman" w:eastAsia="方正仿宋_GBK" w:cs="Times New Roman"/>
          <w:color w:val="000000"/>
          <w:sz w:val="33"/>
          <w:szCs w:val="33"/>
        </w:rPr>
        <w:t>万元</w:t>
      </w:r>
      <w:r>
        <w:rPr>
          <w:rFonts w:hint="default" w:ascii="Times New Roman" w:hAnsi="Times New Roman" w:eastAsia="方正仿宋_GBK" w:cs="Times New Roman"/>
          <w:color w:val="000000"/>
          <w:sz w:val="33"/>
          <w:szCs w:val="33"/>
          <w:lang w:eastAsia="zh-CN"/>
        </w:rPr>
        <w:t>，包括</w:t>
      </w:r>
      <w:r>
        <w:rPr>
          <w:rFonts w:hint="default" w:ascii="Times New Roman" w:hAnsi="Times New Roman" w:eastAsia="方正仿宋_GBK" w:cs="Times New Roman"/>
          <w:color w:val="000000"/>
          <w:sz w:val="33"/>
          <w:szCs w:val="33"/>
        </w:rPr>
        <w:t>办公费、印刷费、差旅费、租赁费、会议费、培训费、公务接待费、公务用车运行维护费、其他交通费</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其他商品和服务支出等</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债务利息及费用支出62.05万元，主要是粮食财务挂账利息补贴。</w:t>
      </w:r>
    </w:p>
    <w:p>
      <w:pPr>
        <w:pageBreakBefore w:val="0"/>
        <w:kinsoku/>
        <w:wordWrap/>
        <w:overflowPunct/>
        <w:topLinePunct w:val="0"/>
        <w:bidi w:val="0"/>
        <w:spacing w:line="590" w:lineRule="exact"/>
        <w:ind w:left="0" w:right="0" w:firstLine="640"/>
        <w:outlineLvl w:val="1"/>
        <w:rPr>
          <w:rStyle w:val="15"/>
          <w:rFonts w:hint="default" w:ascii="Times New Roman" w:hAnsi="Times New Roman" w:eastAsia="方正仿宋_GBK" w:cs="Times New Roman"/>
          <w:b w:val="0"/>
          <w:sz w:val="33"/>
          <w:szCs w:val="33"/>
        </w:rPr>
      </w:pPr>
      <w:bookmarkStart w:id="42" w:name="_Toc15396609"/>
      <w:bookmarkStart w:id="43" w:name="_Toc15377215"/>
      <w:r>
        <w:rPr>
          <w:rFonts w:hint="eastAsia" w:ascii="黑体" w:hAnsi="黑体" w:eastAsia="黑体" w:cs="黑体"/>
          <w:color w:val="000000"/>
          <w:sz w:val="33"/>
          <w:szCs w:val="33"/>
          <w:lang w:eastAsia="zh-CN"/>
        </w:rPr>
        <w:t>八</w:t>
      </w:r>
      <w:r>
        <w:rPr>
          <w:rFonts w:hint="eastAsia" w:ascii="黑体" w:hAnsi="黑体" w:eastAsia="黑体" w:cs="黑体"/>
          <w:color w:val="000000"/>
          <w:sz w:val="33"/>
          <w:szCs w:val="33"/>
        </w:rPr>
        <w:t>、</w:t>
      </w:r>
      <w:r>
        <w:rPr>
          <w:rStyle w:val="15"/>
          <w:rFonts w:hint="eastAsia" w:ascii="黑体" w:hAnsi="黑体" w:eastAsia="黑体" w:cs="黑体"/>
          <w:sz w:val="33"/>
          <w:szCs w:val="33"/>
          <w:lang w:eastAsia="zh-CN"/>
        </w:rPr>
        <w:t>“</w:t>
      </w:r>
      <w:r>
        <w:rPr>
          <w:rStyle w:val="15"/>
          <w:rFonts w:hint="eastAsia" w:ascii="黑体" w:hAnsi="黑体" w:eastAsia="黑体" w:cs="黑体"/>
          <w:b w:val="0"/>
          <w:sz w:val="33"/>
          <w:szCs w:val="33"/>
        </w:rPr>
        <w:t>三公</w:t>
      </w:r>
      <w:r>
        <w:rPr>
          <w:rStyle w:val="15"/>
          <w:rFonts w:hint="eastAsia" w:ascii="黑体" w:hAnsi="黑体" w:eastAsia="黑体" w:cs="黑体"/>
          <w:sz w:val="33"/>
          <w:szCs w:val="33"/>
          <w:lang w:eastAsia="zh-CN"/>
        </w:rPr>
        <w:t>”</w:t>
      </w:r>
      <w:r>
        <w:rPr>
          <w:rStyle w:val="15"/>
          <w:rFonts w:hint="eastAsia" w:ascii="黑体" w:hAnsi="黑体" w:eastAsia="黑体" w:cs="黑体"/>
          <w:b w:val="0"/>
          <w:sz w:val="33"/>
          <w:szCs w:val="33"/>
        </w:rPr>
        <w:t>经费财政拨款支出决算情况说明</w:t>
      </w:r>
      <w:bookmarkEnd w:id="42"/>
      <w:bookmarkEnd w:id="43"/>
    </w:p>
    <w:p>
      <w:pPr>
        <w:pageBreakBefore w:val="0"/>
        <w:kinsoku/>
        <w:wordWrap/>
        <w:overflowPunct/>
        <w:topLinePunct w:val="0"/>
        <w:bidi w:val="0"/>
        <w:spacing w:line="590" w:lineRule="exact"/>
        <w:ind w:left="0" w:right="0" w:firstLine="640"/>
        <w:outlineLvl w:val="2"/>
        <w:rPr>
          <w:rFonts w:hint="eastAsia" w:ascii="方正楷体_GBK" w:hAnsi="方正楷体_GBK" w:eastAsia="方正楷体_GBK" w:cs="方正楷体_GBK"/>
          <w:b/>
          <w:color w:val="000000"/>
          <w:sz w:val="33"/>
          <w:szCs w:val="33"/>
        </w:rPr>
      </w:pPr>
      <w:bookmarkStart w:id="44" w:name="_Toc15377216"/>
      <w:r>
        <w:rPr>
          <w:rFonts w:hint="eastAsia" w:ascii="方正楷体_GBK" w:hAnsi="方正楷体_GBK" w:eastAsia="方正楷体_GBK" w:cs="方正楷体_GBK"/>
          <w:b/>
          <w:color w:val="000000"/>
          <w:sz w:val="33"/>
          <w:szCs w:val="33"/>
        </w:rPr>
        <w:t>（一）“三公”经费财政拨款支出决算总体情况说明</w:t>
      </w:r>
      <w:bookmarkEnd w:id="44"/>
    </w:p>
    <w:p>
      <w:pPr>
        <w:pageBreakBefore w:val="0"/>
        <w:kinsoku/>
        <w:wordWrap/>
        <w:overflowPunct/>
        <w:topLinePunct w:val="0"/>
        <w:bidi w:val="0"/>
        <w:spacing w:line="590" w:lineRule="exact"/>
        <w:ind w:left="0" w:right="0" w:firstLine="640"/>
        <w:rPr>
          <w:rFonts w:hint="eastAsia" w:ascii="Times New Roman" w:hAnsi="Times New Roman" w:eastAsia="方正仿宋_GBK" w:cs="Times New Roman"/>
          <w:b/>
          <w:color w:val="FF0000"/>
          <w:sz w:val="33"/>
          <w:szCs w:val="33"/>
          <w:lang w:eastAsia="zh-CN"/>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年“三公”经费财政拨款支出决算为</w:t>
      </w:r>
      <w:r>
        <w:rPr>
          <w:rFonts w:hint="default" w:ascii="Times New Roman" w:hAnsi="Times New Roman" w:eastAsia="方正仿宋_GBK" w:cs="Times New Roman"/>
          <w:color w:val="000000"/>
          <w:sz w:val="33"/>
          <w:szCs w:val="33"/>
          <w:lang w:val="en-US" w:eastAsia="zh-CN"/>
        </w:rPr>
        <w:t>5.83</w:t>
      </w:r>
      <w:r>
        <w:rPr>
          <w:rFonts w:hint="default" w:ascii="Times New Roman" w:hAnsi="Times New Roman" w:eastAsia="方正仿宋_GBK" w:cs="Times New Roman"/>
          <w:color w:val="000000"/>
          <w:sz w:val="33"/>
          <w:szCs w:val="33"/>
        </w:rPr>
        <w:t>万元，完成预算</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w:t>
      </w:r>
      <w:r>
        <w:rPr>
          <w:rFonts w:hint="eastAsia" w:eastAsia="方正仿宋_GBK" w:cs="Times New Roman"/>
          <w:color w:val="000000"/>
          <w:sz w:val="33"/>
          <w:szCs w:val="33"/>
          <w:lang w:eastAsia="zh-CN"/>
        </w:rPr>
        <w:t>无增减变化情况。</w:t>
      </w:r>
    </w:p>
    <w:p>
      <w:pPr>
        <w:pageBreakBefore w:val="0"/>
        <w:kinsoku/>
        <w:wordWrap/>
        <w:overflowPunct/>
        <w:topLinePunct w:val="0"/>
        <w:bidi w:val="0"/>
        <w:spacing w:line="590" w:lineRule="exact"/>
        <w:ind w:left="0" w:right="0" w:firstLine="640"/>
        <w:outlineLvl w:val="2"/>
        <w:rPr>
          <w:rFonts w:hint="eastAsia" w:ascii="方正楷体_GBK" w:hAnsi="方正楷体_GBK" w:eastAsia="方正楷体_GBK" w:cs="方正楷体_GBK"/>
          <w:b/>
          <w:color w:val="000000"/>
          <w:sz w:val="33"/>
          <w:szCs w:val="33"/>
        </w:rPr>
      </w:pPr>
      <w:bookmarkStart w:id="45" w:name="_Toc15377217"/>
      <w:r>
        <w:rPr>
          <w:rFonts w:hint="eastAsia" w:ascii="方正楷体_GBK" w:hAnsi="方正楷体_GBK" w:eastAsia="方正楷体_GBK" w:cs="方正楷体_GBK"/>
          <w:b/>
          <w:color w:val="000000"/>
          <w:sz w:val="33"/>
          <w:szCs w:val="33"/>
        </w:rPr>
        <w:t>（二）“三公”经费财政拨款支出决算具体情况说明</w:t>
      </w:r>
      <w:bookmarkEnd w:id="45"/>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年“三公”经费财政拨款支出决算中，因公出国（境）费支出</w:t>
      </w:r>
      <w:r>
        <w:rPr>
          <w:rFonts w:hint="eastAsia" w:eastAsia="方正仿宋_GBK" w:cs="Times New Roman"/>
          <w:color w:val="000000"/>
          <w:sz w:val="33"/>
          <w:szCs w:val="33"/>
          <w:lang w:eastAsia="zh-CN"/>
        </w:rPr>
        <w:t>决算</w:t>
      </w:r>
      <w:r>
        <w:rPr>
          <w:rFonts w:hint="eastAsia" w:eastAsia="方正仿宋_GBK" w:cs="Times New Roman"/>
          <w:color w:val="000000"/>
          <w:sz w:val="33"/>
          <w:szCs w:val="33"/>
          <w:lang w:val="en-US" w:eastAsia="zh-CN"/>
        </w:rPr>
        <w:t>0万元，占0%</w:t>
      </w:r>
      <w:r>
        <w:rPr>
          <w:rFonts w:hint="default" w:ascii="Times New Roman" w:hAnsi="Times New Roman" w:eastAsia="方正仿宋_GBK" w:cs="Times New Roman"/>
          <w:color w:val="000000"/>
          <w:sz w:val="33"/>
          <w:szCs w:val="33"/>
        </w:rPr>
        <w:t>；公务用车购置及运行维护费支出决算</w:t>
      </w:r>
      <w:r>
        <w:rPr>
          <w:rFonts w:hint="default" w:ascii="Times New Roman" w:hAnsi="Times New Roman" w:eastAsia="方正仿宋_GBK" w:cs="Times New Roman"/>
          <w:color w:val="000000"/>
          <w:sz w:val="33"/>
          <w:szCs w:val="33"/>
          <w:lang w:val="en-US" w:eastAsia="zh-CN"/>
        </w:rPr>
        <w:t>1.32</w:t>
      </w:r>
      <w:r>
        <w:rPr>
          <w:rFonts w:hint="default" w:ascii="Times New Roman" w:hAnsi="Times New Roman" w:eastAsia="方正仿宋_GBK" w:cs="Times New Roman"/>
          <w:color w:val="000000"/>
          <w:sz w:val="33"/>
          <w:szCs w:val="33"/>
        </w:rPr>
        <w:t>万元，占</w:t>
      </w:r>
      <w:r>
        <w:rPr>
          <w:rFonts w:hint="default" w:ascii="Times New Roman" w:hAnsi="Times New Roman" w:eastAsia="方正仿宋_GBK" w:cs="Times New Roman"/>
          <w:color w:val="000000"/>
          <w:sz w:val="33"/>
          <w:szCs w:val="33"/>
          <w:lang w:val="en-US" w:eastAsia="zh-CN"/>
        </w:rPr>
        <w:t>22.64</w:t>
      </w:r>
      <w:r>
        <w:rPr>
          <w:rFonts w:hint="default" w:ascii="Times New Roman" w:hAnsi="Times New Roman" w:eastAsia="方正仿宋_GBK" w:cs="Times New Roman"/>
          <w:color w:val="000000"/>
          <w:sz w:val="33"/>
          <w:szCs w:val="33"/>
        </w:rPr>
        <w:t>%；公务接待费支出决算</w:t>
      </w:r>
      <w:r>
        <w:rPr>
          <w:rFonts w:hint="default" w:ascii="Times New Roman" w:hAnsi="Times New Roman" w:eastAsia="方正仿宋_GBK" w:cs="Times New Roman"/>
          <w:color w:val="000000"/>
          <w:sz w:val="33"/>
          <w:szCs w:val="33"/>
          <w:lang w:val="en-US" w:eastAsia="zh-CN"/>
        </w:rPr>
        <w:t>4.51</w:t>
      </w:r>
      <w:r>
        <w:rPr>
          <w:rFonts w:hint="default" w:ascii="Times New Roman" w:hAnsi="Times New Roman" w:eastAsia="方正仿宋_GBK" w:cs="Times New Roman"/>
          <w:color w:val="000000"/>
          <w:sz w:val="33"/>
          <w:szCs w:val="33"/>
        </w:rPr>
        <w:t>万元，占</w:t>
      </w:r>
      <w:r>
        <w:rPr>
          <w:rFonts w:hint="default" w:ascii="Times New Roman" w:hAnsi="Times New Roman" w:eastAsia="方正仿宋_GBK" w:cs="Times New Roman"/>
          <w:color w:val="000000"/>
          <w:sz w:val="33"/>
          <w:szCs w:val="33"/>
          <w:lang w:val="en-US" w:eastAsia="zh-CN"/>
        </w:rPr>
        <w:t>77.36</w:t>
      </w:r>
      <w:r>
        <w:rPr>
          <w:rFonts w:hint="default" w:ascii="Times New Roman" w:hAnsi="Times New Roman" w:eastAsia="方正仿宋_GBK" w:cs="Times New Roman"/>
          <w:color w:val="000000"/>
          <w:sz w:val="33"/>
          <w:szCs w:val="33"/>
        </w:rPr>
        <w:t>%。</w:t>
      </w:r>
    </w:p>
    <w:p>
      <w:pPr>
        <w:pStyle w:val="2"/>
        <w:jc w:val="center"/>
        <w:rPr>
          <w:rFonts w:hint="default"/>
        </w:rPr>
      </w:pPr>
      <w:r>
        <w:drawing>
          <wp:inline distT="0" distB="0" distL="114300" distR="114300">
            <wp:extent cx="3962400" cy="1951990"/>
            <wp:effectExtent l="5080" t="4445" r="10160" b="952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b w:val="0"/>
          <w:bCs/>
          <w:color w:val="000000"/>
          <w:sz w:val="33"/>
          <w:szCs w:val="33"/>
          <w:lang w:val="en-US" w:eastAsia="zh-CN"/>
        </w:rPr>
      </w:pPr>
      <w:r>
        <w:rPr>
          <w:rFonts w:hint="default" w:ascii="Times New Roman" w:hAnsi="Times New Roman" w:eastAsia="方正仿宋_GBK" w:cs="Times New Roman"/>
          <w:b w:val="0"/>
          <w:bCs/>
          <w:color w:val="000000"/>
          <w:sz w:val="33"/>
          <w:szCs w:val="33"/>
          <w:lang w:val="en-US" w:eastAsia="zh-CN"/>
        </w:rPr>
        <w:t>1</w:t>
      </w:r>
      <w:r>
        <w:rPr>
          <w:rFonts w:hint="default" w:ascii="Times New Roman" w:hAnsi="Times New Roman" w:eastAsia="方正仿宋_GBK" w:cs="Times New Roman"/>
          <w:b w:val="0"/>
          <w:bCs/>
          <w:color w:val="000000"/>
          <w:sz w:val="33"/>
          <w:szCs w:val="33"/>
        </w:rPr>
        <w:t>.</w:t>
      </w:r>
      <w:r>
        <w:rPr>
          <w:rFonts w:hint="default" w:ascii="Times New Roman" w:hAnsi="Times New Roman" w:eastAsia="方正仿宋_GBK" w:cs="Times New Roman"/>
          <w:color w:val="000000"/>
          <w:sz w:val="33"/>
          <w:szCs w:val="33"/>
        </w:rPr>
        <w:t>因公出国（境）</w:t>
      </w:r>
      <w:r>
        <w:rPr>
          <w:rFonts w:hint="eastAsia" w:eastAsia="方正仿宋_GBK" w:cs="Times New Roman"/>
          <w:color w:val="000000"/>
          <w:sz w:val="33"/>
          <w:szCs w:val="33"/>
          <w:lang w:eastAsia="zh-CN"/>
        </w:rPr>
        <w:t>经</w:t>
      </w:r>
      <w:r>
        <w:rPr>
          <w:rFonts w:hint="default" w:ascii="Times New Roman" w:hAnsi="Times New Roman" w:eastAsia="方正仿宋_GBK" w:cs="Times New Roman"/>
          <w:color w:val="000000"/>
          <w:sz w:val="33"/>
          <w:szCs w:val="33"/>
        </w:rPr>
        <w:t>费支出</w:t>
      </w:r>
      <w:r>
        <w:rPr>
          <w:rFonts w:hint="eastAsia" w:eastAsia="方正仿宋_GBK" w:cs="Times New Roman"/>
          <w:color w:val="000000"/>
          <w:sz w:val="33"/>
          <w:szCs w:val="33"/>
          <w:lang w:val="en-US" w:eastAsia="zh-CN"/>
        </w:rPr>
        <w:t>0万元，</w:t>
      </w:r>
      <w:r>
        <w:rPr>
          <w:rStyle w:val="12"/>
          <w:rFonts w:hint="default" w:ascii="Times New Roman" w:hAnsi="Times New Roman" w:eastAsia="方正仿宋_GBK" w:cs="Times New Roman"/>
          <w:b w:val="0"/>
          <w:bCs/>
          <w:color w:val="000000"/>
          <w:sz w:val="33"/>
          <w:szCs w:val="33"/>
        </w:rPr>
        <w:t>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Style w:val="12"/>
          <w:rFonts w:hint="eastAsia" w:eastAsia="方正仿宋_GBK" w:cs="Times New Roman"/>
          <w:b w:val="0"/>
          <w:bCs/>
          <w:color w:val="000000"/>
          <w:sz w:val="33"/>
          <w:szCs w:val="33"/>
          <w:lang w:eastAsia="zh-CN"/>
        </w:rPr>
        <w:t>。全年安排因公出国（境）团组</w:t>
      </w:r>
      <w:r>
        <w:rPr>
          <w:rStyle w:val="12"/>
          <w:rFonts w:hint="eastAsia" w:eastAsia="方正仿宋_GBK" w:cs="Times New Roman"/>
          <w:b w:val="0"/>
          <w:bCs/>
          <w:color w:val="000000"/>
          <w:sz w:val="33"/>
          <w:szCs w:val="33"/>
          <w:lang w:val="en-US" w:eastAsia="zh-CN"/>
        </w:rPr>
        <w:t>0次，出国（境）0人。因公出国（境）支出决算与2020年相同，并无增减变化，主要原因是：2021年无</w:t>
      </w:r>
      <w:r>
        <w:rPr>
          <w:rStyle w:val="12"/>
          <w:rFonts w:hint="eastAsia" w:eastAsia="方正仿宋_GBK" w:cs="Times New Roman"/>
          <w:b w:val="0"/>
          <w:bCs/>
          <w:color w:val="000000"/>
          <w:sz w:val="33"/>
          <w:szCs w:val="33"/>
          <w:lang w:eastAsia="zh-CN"/>
        </w:rPr>
        <w:t>因公出国（境）支出。</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b/>
          <w:color w:val="000000"/>
          <w:sz w:val="33"/>
          <w:szCs w:val="33"/>
        </w:rPr>
      </w:pPr>
      <w:r>
        <w:rPr>
          <w:rFonts w:hint="eastAsia" w:eastAsia="方正仿宋_GBK" w:cs="Times New Roman"/>
          <w:b w:val="0"/>
          <w:bCs/>
          <w:color w:val="000000"/>
          <w:sz w:val="33"/>
          <w:szCs w:val="33"/>
          <w:lang w:val="en-US" w:eastAsia="zh-CN"/>
        </w:rPr>
        <w:t>2.</w:t>
      </w:r>
      <w:r>
        <w:rPr>
          <w:rFonts w:hint="default" w:ascii="Times New Roman" w:hAnsi="Times New Roman" w:eastAsia="方正仿宋_GBK" w:cs="Times New Roman"/>
          <w:b w:val="0"/>
          <w:bCs/>
          <w:color w:val="000000"/>
          <w:sz w:val="33"/>
          <w:szCs w:val="33"/>
        </w:rPr>
        <w:t>公务用车购置及运行维护费支出</w:t>
      </w:r>
      <w:r>
        <w:rPr>
          <w:rFonts w:hint="default" w:ascii="Times New Roman" w:hAnsi="Times New Roman" w:eastAsia="方正仿宋_GBK" w:cs="Times New Roman"/>
          <w:b w:val="0"/>
          <w:bCs/>
          <w:color w:val="000000"/>
          <w:sz w:val="33"/>
          <w:szCs w:val="33"/>
          <w:lang w:val="en-US" w:eastAsia="zh-CN"/>
        </w:rPr>
        <w:t>1.32</w:t>
      </w:r>
      <w:r>
        <w:rPr>
          <w:rFonts w:hint="default" w:ascii="Times New Roman" w:hAnsi="Times New Roman" w:eastAsia="方正仿宋_GBK" w:cs="Times New Roman"/>
          <w:color w:val="000000"/>
          <w:sz w:val="33"/>
          <w:szCs w:val="33"/>
        </w:rPr>
        <w:t>万元,</w:t>
      </w:r>
      <w:r>
        <w:rPr>
          <w:rStyle w:val="12"/>
          <w:rFonts w:hint="default" w:ascii="Times New Roman" w:hAnsi="Times New Roman" w:eastAsia="方正仿宋_GBK" w:cs="Times New Roman"/>
          <w:b w:val="0"/>
          <w:bCs/>
          <w:color w:val="000000"/>
          <w:sz w:val="33"/>
          <w:szCs w:val="33"/>
        </w:rPr>
        <w:t>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Fonts w:hint="default" w:ascii="Times New Roman" w:hAnsi="Times New Roman" w:eastAsia="方正仿宋_GBK" w:cs="Times New Roman"/>
          <w:color w:val="000000"/>
          <w:sz w:val="33"/>
          <w:szCs w:val="33"/>
        </w:rPr>
        <w:t>公务用车购置及运行维护费支出决算比20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年增加</w:t>
      </w:r>
      <w:r>
        <w:rPr>
          <w:rFonts w:hint="default" w:ascii="Times New Roman" w:hAnsi="Times New Roman" w:eastAsia="方正仿宋_GBK" w:cs="Times New Roman"/>
          <w:color w:val="000000"/>
          <w:sz w:val="33"/>
          <w:szCs w:val="33"/>
          <w:lang w:val="en-US" w:eastAsia="zh-CN"/>
        </w:rPr>
        <w:t>1.32</w:t>
      </w:r>
      <w:r>
        <w:rPr>
          <w:rFonts w:hint="default" w:ascii="Times New Roman" w:hAnsi="Times New Roman" w:eastAsia="方正仿宋_GBK" w:cs="Times New Roman"/>
          <w:color w:val="000000"/>
          <w:sz w:val="33"/>
          <w:szCs w:val="33"/>
        </w:rPr>
        <w:t>万元，增长</w:t>
      </w:r>
      <w:r>
        <w:rPr>
          <w:rFonts w:hint="default" w:ascii="Times New Roman" w:hAnsi="Times New Roman" w:eastAsia="方正仿宋_GBK" w:cs="Times New Roman"/>
          <w:color w:val="000000"/>
          <w:sz w:val="33"/>
          <w:szCs w:val="33"/>
          <w:lang w:val="en-US" w:eastAsia="zh-CN"/>
        </w:rPr>
        <w:t>100</w:t>
      </w:r>
      <w:r>
        <w:rPr>
          <w:rFonts w:hint="default" w:ascii="Times New Roman" w:hAnsi="Times New Roman" w:eastAsia="方正仿宋_GBK" w:cs="Times New Roman"/>
          <w:color w:val="000000"/>
          <w:sz w:val="33"/>
          <w:szCs w:val="33"/>
        </w:rPr>
        <w:t>%。主要原因是</w:t>
      </w:r>
      <w:r>
        <w:rPr>
          <w:rFonts w:hint="default" w:ascii="Times New Roman" w:hAnsi="Times New Roman" w:eastAsia="方正仿宋_GBK" w:cs="Times New Roman"/>
          <w:color w:val="000000"/>
          <w:sz w:val="33"/>
          <w:szCs w:val="33"/>
          <w:lang w:val="en-US" w:eastAsia="zh-CN"/>
        </w:rPr>
        <w:t>增加业务用车一辆</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b/>
          <w:color w:val="000000"/>
          <w:sz w:val="33"/>
          <w:szCs w:val="33"/>
        </w:rPr>
      </w:pPr>
      <w:r>
        <w:rPr>
          <w:rFonts w:hint="eastAsia" w:eastAsia="方正仿宋_GBK" w:cs="Times New Roman"/>
          <w:color w:val="000000"/>
          <w:sz w:val="33"/>
          <w:szCs w:val="33"/>
          <w:lang w:val="en-US" w:eastAsia="zh-CN"/>
        </w:rPr>
        <w:t>其中：</w:t>
      </w:r>
      <w:r>
        <w:rPr>
          <w:rFonts w:hint="default" w:ascii="Times New Roman" w:hAnsi="Times New Roman" w:eastAsia="方正仿宋_GBK" w:cs="Times New Roman"/>
          <w:color w:val="000000"/>
          <w:sz w:val="33"/>
          <w:szCs w:val="33"/>
          <w:lang w:val="en-US" w:eastAsia="zh-CN"/>
        </w:rPr>
        <w:t>2021年无</w:t>
      </w:r>
      <w:r>
        <w:rPr>
          <w:rFonts w:hint="default" w:ascii="Times New Roman" w:hAnsi="Times New Roman" w:eastAsia="方正仿宋_GBK" w:cs="Times New Roman"/>
          <w:b w:val="0"/>
          <w:bCs/>
          <w:color w:val="000000"/>
          <w:sz w:val="33"/>
          <w:szCs w:val="33"/>
        </w:rPr>
        <w:t>公务用车购置支出</w:t>
      </w:r>
      <w:r>
        <w:rPr>
          <w:rFonts w:hint="default" w:ascii="Times New Roman" w:hAnsi="Times New Roman" w:eastAsia="方正仿宋_GBK" w:cs="Times New Roman"/>
          <w:color w:val="000000"/>
          <w:sz w:val="33"/>
          <w:szCs w:val="33"/>
        </w:rPr>
        <w:t>。全年按规定</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更新购置公务用车，截至202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年12月底，单位共有公务用车</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辆，其中：</w:t>
      </w:r>
      <w:r>
        <w:rPr>
          <w:rFonts w:hint="default" w:ascii="Times New Roman" w:hAnsi="Times New Roman" w:eastAsia="方正仿宋_GBK" w:cs="Times New Roman"/>
          <w:color w:val="000000"/>
          <w:sz w:val="33"/>
          <w:szCs w:val="33"/>
          <w:lang w:val="en-US" w:eastAsia="zh-CN"/>
        </w:rPr>
        <w:t>皮卡车1</w:t>
      </w:r>
      <w:r>
        <w:rPr>
          <w:rFonts w:hint="default" w:ascii="Times New Roman" w:hAnsi="Times New Roman" w:eastAsia="方正仿宋_GBK" w:cs="Times New Roman"/>
          <w:color w:val="000000"/>
          <w:sz w:val="33"/>
          <w:szCs w:val="33"/>
        </w:rPr>
        <w:t>辆。</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bCs/>
          <w:color w:val="000000"/>
          <w:sz w:val="33"/>
          <w:szCs w:val="33"/>
        </w:rPr>
        <w:t>公务用车运行维护费支出</w:t>
      </w:r>
      <w:r>
        <w:rPr>
          <w:rFonts w:hint="default" w:ascii="Times New Roman" w:hAnsi="Times New Roman" w:eastAsia="方正仿宋_GBK" w:cs="Times New Roman"/>
          <w:b w:val="0"/>
          <w:bCs/>
          <w:color w:val="000000"/>
          <w:sz w:val="33"/>
          <w:szCs w:val="33"/>
          <w:lang w:val="en-US" w:eastAsia="zh-CN"/>
        </w:rPr>
        <w:t>1.32</w:t>
      </w:r>
      <w:r>
        <w:rPr>
          <w:rFonts w:hint="default" w:ascii="Times New Roman" w:hAnsi="Times New Roman" w:eastAsia="方正仿宋_GBK" w:cs="Times New Roman"/>
          <w:color w:val="000000"/>
          <w:sz w:val="33"/>
          <w:szCs w:val="33"/>
        </w:rPr>
        <w:t>万元。主要用于</w:t>
      </w:r>
      <w:r>
        <w:rPr>
          <w:rFonts w:hint="default" w:ascii="Times New Roman" w:hAnsi="Times New Roman" w:eastAsia="方正仿宋_GBK" w:cs="Times New Roman"/>
          <w:color w:val="000000"/>
          <w:sz w:val="33"/>
          <w:szCs w:val="33"/>
          <w:lang w:val="en-US" w:eastAsia="zh-CN"/>
        </w:rPr>
        <w:t>业务用车，全县粮食收购</w:t>
      </w:r>
      <w:r>
        <w:rPr>
          <w:rFonts w:hint="eastAsia" w:eastAsia="方正仿宋_GBK" w:cs="Times New Roman"/>
          <w:color w:val="000000"/>
          <w:sz w:val="33"/>
          <w:szCs w:val="33"/>
          <w:lang w:val="en-US" w:eastAsia="zh-CN"/>
        </w:rPr>
        <w:t>、</w:t>
      </w:r>
      <w:r>
        <w:rPr>
          <w:rFonts w:hint="default" w:ascii="Times New Roman" w:hAnsi="Times New Roman" w:eastAsia="方正仿宋_GBK" w:cs="Times New Roman"/>
          <w:color w:val="000000"/>
          <w:sz w:val="33"/>
          <w:szCs w:val="33"/>
          <w:lang w:val="en-US" w:eastAsia="zh-CN"/>
        </w:rPr>
        <w:t>安全巡查</w:t>
      </w:r>
      <w:r>
        <w:rPr>
          <w:rFonts w:hint="eastAsia" w:eastAsia="方正仿宋_GBK" w:cs="Times New Roman"/>
          <w:color w:val="000000"/>
          <w:sz w:val="33"/>
          <w:szCs w:val="33"/>
          <w:lang w:val="en-US" w:eastAsia="zh-CN"/>
        </w:rPr>
        <w:t>、</w:t>
      </w:r>
      <w:r>
        <w:rPr>
          <w:rFonts w:hint="default" w:ascii="Times New Roman" w:hAnsi="Times New Roman" w:eastAsia="方正仿宋_GBK" w:cs="Times New Roman"/>
          <w:color w:val="000000"/>
          <w:sz w:val="33"/>
          <w:szCs w:val="33"/>
          <w:lang w:val="en-US" w:eastAsia="zh-CN"/>
        </w:rPr>
        <w:t>粮食押送</w:t>
      </w:r>
      <w:r>
        <w:rPr>
          <w:rFonts w:hint="default" w:ascii="Times New Roman" w:hAnsi="Times New Roman" w:eastAsia="方正仿宋_GBK" w:cs="Times New Roman"/>
          <w:color w:val="000000"/>
          <w:sz w:val="33"/>
          <w:szCs w:val="33"/>
        </w:rPr>
        <w:t>等所需的公务用车燃料费、维修费、过路过桥费、保险费等支出。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default" w:ascii="Times New Roman" w:hAnsi="Times New Roman" w:eastAsia="方正仿宋_GBK" w:cs="Times New Roman"/>
          <w:color w:val="000000"/>
          <w:sz w:val="33"/>
          <w:szCs w:val="33"/>
        </w:rPr>
      </w:pPr>
      <w:r>
        <w:rPr>
          <w:rFonts w:hint="eastAsia" w:eastAsia="方正仿宋_GBK" w:cs="Times New Roman"/>
          <w:b w:val="0"/>
          <w:bCs/>
          <w:color w:val="000000"/>
          <w:sz w:val="33"/>
          <w:szCs w:val="33"/>
          <w:lang w:val="en-US" w:eastAsia="zh-CN"/>
        </w:rPr>
        <w:t>3.</w:t>
      </w:r>
      <w:r>
        <w:rPr>
          <w:rFonts w:hint="default" w:ascii="Times New Roman" w:hAnsi="Times New Roman" w:eastAsia="方正仿宋_GBK" w:cs="Times New Roman"/>
          <w:b w:val="0"/>
          <w:bCs/>
          <w:color w:val="000000"/>
          <w:sz w:val="33"/>
          <w:szCs w:val="33"/>
        </w:rPr>
        <w:t>公务接待费支出</w:t>
      </w:r>
      <w:r>
        <w:rPr>
          <w:rFonts w:hint="default" w:ascii="Times New Roman" w:hAnsi="Times New Roman" w:eastAsia="方正仿宋_GBK" w:cs="Times New Roman"/>
          <w:b w:val="0"/>
          <w:bCs/>
          <w:color w:val="000000"/>
          <w:sz w:val="33"/>
          <w:szCs w:val="33"/>
          <w:lang w:val="en-US" w:eastAsia="zh-CN"/>
        </w:rPr>
        <w:t>4.51</w:t>
      </w:r>
      <w:r>
        <w:rPr>
          <w:rFonts w:hint="default" w:ascii="Times New Roman" w:hAnsi="Times New Roman" w:eastAsia="方正仿宋_GBK" w:cs="Times New Roman"/>
          <w:color w:val="000000"/>
          <w:sz w:val="33"/>
          <w:szCs w:val="33"/>
        </w:rPr>
        <w:t>万元，</w:t>
      </w:r>
      <w:r>
        <w:rPr>
          <w:rStyle w:val="12"/>
          <w:rFonts w:hint="default" w:ascii="Times New Roman" w:hAnsi="Times New Roman" w:eastAsia="方正仿宋_GBK" w:cs="Times New Roman"/>
          <w:b w:val="0"/>
          <w:bCs/>
          <w:color w:val="000000"/>
          <w:sz w:val="33"/>
          <w:szCs w:val="33"/>
        </w:rPr>
        <w:t>完成预算</w:t>
      </w:r>
      <w:r>
        <w:rPr>
          <w:rStyle w:val="12"/>
          <w:rFonts w:hint="default" w:ascii="Times New Roman" w:hAnsi="Times New Roman" w:eastAsia="方正仿宋_GBK" w:cs="Times New Roman"/>
          <w:b w:val="0"/>
          <w:bCs/>
          <w:color w:val="000000"/>
          <w:sz w:val="33"/>
          <w:szCs w:val="33"/>
          <w:lang w:val="en-US" w:eastAsia="zh-CN"/>
        </w:rPr>
        <w:t>100</w:t>
      </w:r>
      <w:r>
        <w:rPr>
          <w:rStyle w:val="12"/>
          <w:rFonts w:hint="default" w:ascii="Times New Roman" w:hAnsi="Times New Roman" w:eastAsia="方正仿宋_GBK" w:cs="Times New Roman"/>
          <w:b w:val="0"/>
          <w:bCs/>
          <w:color w:val="000000"/>
          <w:sz w:val="33"/>
          <w:szCs w:val="33"/>
        </w:rPr>
        <w:t>%。</w:t>
      </w:r>
      <w:r>
        <w:rPr>
          <w:rFonts w:hint="default" w:ascii="Times New Roman" w:hAnsi="Times New Roman" w:eastAsia="方正仿宋_GBK" w:cs="Times New Roman"/>
          <w:color w:val="000000"/>
          <w:sz w:val="33"/>
          <w:szCs w:val="33"/>
        </w:rPr>
        <w:t>公务接待费支出决算比20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年减少</w:t>
      </w:r>
      <w:r>
        <w:rPr>
          <w:rFonts w:hint="default" w:ascii="Times New Roman" w:hAnsi="Times New Roman" w:eastAsia="方正仿宋_GBK" w:cs="Times New Roman"/>
          <w:color w:val="000000"/>
          <w:sz w:val="33"/>
          <w:szCs w:val="33"/>
          <w:lang w:val="en-US" w:eastAsia="zh-CN"/>
        </w:rPr>
        <w:t>0.03</w:t>
      </w:r>
      <w:r>
        <w:rPr>
          <w:rFonts w:hint="default" w:ascii="Times New Roman" w:hAnsi="Times New Roman" w:eastAsia="方正仿宋_GBK" w:cs="Times New Roman"/>
          <w:color w:val="000000"/>
          <w:sz w:val="33"/>
          <w:szCs w:val="33"/>
        </w:rPr>
        <w:t>万元，下降</w:t>
      </w:r>
      <w:r>
        <w:rPr>
          <w:rFonts w:hint="default" w:ascii="Times New Roman" w:hAnsi="Times New Roman" w:eastAsia="方正仿宋_GBK" w:cs="Times New Roman"/>
          <w:color w:val="000000"/>
          <w:sz w:val="33"/>
          <w:szCs w:val="33"/>
          <w:lang w:val="en-US" w:eastAsia="zh-CN"/>
        </w:rPr>
        <w:t>0.66</w:t>
      </w:r>
      <w:r>
        <w:rPr>
          <w:rFonts w:hint="default" w:ascii="Times New Roman" w:hAnsi="Times New Roman" w:eastAsia="方正仿宋_GBK" w:cs="Times New Roman"/>
          <w:color w:val="000000"/>
          <w:sz w:val="33"/>
          <w:szCs w:val="33"/>
        </w:rPr>
        <w:t>%。主要原因是</w:t>
      </w:r>
      <w:r>
        <w:rPr>
          <w:rFonts w:hint="default" w:ascii="Times New Roman" w:hAnsi="Times New Roman" w:eastAsia="方正仿宋_GBK" w:cs="Times New Roman"/>
          <w:color w:val="000000"/>
          <w:sz w:val="33"/>
          <w:szCs w:val="33"/>
          <w:lang w:val="en-US" w:eastAsia="zh-CN"/>
        </w:rPr>
        <w:t>压缩经费，节约开支</w:t>
      </w:r>
      <w:r>
        <w:rPr>
          <w:rFonts w:hint="default" w:ascii="Times New Roman" w:hAnsi="Times New Roman" w:eastAsia="方正仿宋_GBK" w:cs="Times New Roman"/>
          <w:color w:val="00000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其中：</w:t>
      </w:r>
      <w:r>
        <w:rPr>
          <w:rFonts w:hint="default" w:ascii="Times New Roman" w:hAnsi="Times New Roman" w:eastAsia="方正仿宋_GBK" w:cs="Times New Roman"/>
          <w:b w:val="0"/>
          <w:bCs/>
          <w:color w:val="000000"/>
          <w:sz w:val="33"/>
          <w:szCs w:val="33"/>
        </w:rPr>
        <w:t>国内公务接待支出</w:t>
      </w:r>
      <w:r>
        <w:rPr>
          <w:rFonts w:hint="default" w:ascii="Times New Roman" w:hAnsi="Times New Roman" w:eastAsia="方正仿宋_GBK" w:cs="Times New Roman"/>
          <w:color w:val="000000"/>
          <w:sz w:val="33"/>
          <w:szCs w:val="33"/>
          <w:lang w:val="en-US" w:eastAsia="zh-CN"/>
        </w:rPr>
        <w:t>4.51</w:t>
      </w:r>
      <w:r>
        <w:rPr>
          <w:rFonts w:hint="default" w:ascii="Times New Roman" w:hAnsi="Times New Roman" w:eastAsia="方正仿宋_GBK" w:cs="Times New Roman"/>
          <w:color w:val="000000"/>
          <w:sz w:val="33"/>
          <w:szCs w:val="33"/>
        </w:rPr>
        <w:t>万元，主要用于</w:t>
      </w:r>
      <w:r>
        <w:rPr>
          <w:rFonts w:hint="default" w:ascii="Times New Roman" w:hAnsi="Times New Roman" w:eastAsia="方正仿宋_GBK" w:cs="Times New Roman"/>
          <w:color w:val="000000"/>
          <w:sz w:val="33"/>
          <w:szCs w:val="33"/>
          <w:lang w:val="en-US" w:eastAsia="zh-CN"/>
        </w:rPr>
        <w:t>上级部门来人，检查工作等生活接待开支</w:t>
      </w:r>
      <w:r>
        <w:rPr>
          <w:rFonts w:hint="default" w:ascii="Times New Roman" w:hAnsi="Times New Roman" w:eastAsia="方正仿宋_GBK" w:cs="Times New Roman"/>
          <w:color w:val="000000"/>
          <w:sz w:val="33"/>
          <w:szCs w:val="33"/>
        </w:rPr>
        <w:t>。国内公务接待</w:t>
      </w:r>
      <w:r>
        <w:rPr>
          <w:rFonts w:hint="default" w:ascii="Times New Roman" w:hAnsi="Times New Roman" w:eastAsia="方正仿宋_GBK" w:cs="Times New Roman"/>
          <w:color w:val="000000"/>
          <w:sz w:val="33"/>
          <w:szCs w:val="33"/>
          <w:lang w:val="en-US" w:eastAsia="zh-CN"/>
        </w:rPr>
        <w:t>71</w:t>
      </w:r>
      <w:r>
        <w:rPr>
          <w:rFonts w:hint="default" w:ascii="Times New Roman" w:hAnsi="Times New Roman" w:eastAsia="方正仿宋_GBK" w:cs="Times New Roman"/>
          <w:color w:val="000000"/>
          <w:sz w:val="33"/>
          <w:szCs w:val="33"/>
        </w:rPr>
        <w:t>批次，</w:t>
      </w:r>
      <w:r>
        <w:rPr>
          <w:rFonts w:hint="default" w:ascii="Times New Roman" w:hAnsi="Times New Roman" w:eastAsia="方正仿宋_GBK" w:cs="Times New Roman"/>
          <w:color w:val="000000"/>
          <w:sz w:val="33"/>
          <w:szCs w:val="33"/>
          <w:lang w:val="en-US" w:eastAsia="zh-CN"/>
        </w:rPr>
        <w:t>794</w:t>
      </w:r>
      <w:r>
        <w:rPr>
          <w:rFonts w:hint="default" w:ascii="Times New Roman" w:hAnsi="Times New Roman" w:eastAsia="方正仿宋_GBK" w:cs="Times New Roman"/>
          <w:color w:val="000000"/>
          <w:sz w:val="33"/>
          <w:szCs w:val="33"/>
        </w:rPr>
        <w:t>人次（不包括陪同人员），共计支出</w:t>
      </w:r>
      <w:r>
        <w:rPr>
          <w:rFonts w:hint="default" w:ascii="Times New Roman" w:hAnsi="Times New Roman" w:eastAsia="方正仿宋_GBK" w:cs="Times New Roman"/>
          <w:color w:val="000000"/>
          <w:sz w:val="33"/>
          <w:szCs w:val="33"/>
          <w:lang w:val="en-US" w:eastAsia="zh-CN"/>
        </w:rPr>
        <w:t>4.51</w:t>
      </w:r>
      <w:r>
        <w:rPr>
          <w:rFonts w:hint="default" w:ascii="Times New Roman" w:hAnsi="Times New Roman" w:eastAsia="方正仿宋_GBK" w:cs="Times New Roman"/>
          <w:color w:val="000000"/>
          <w:sz w:val="33"/>
          <w:szCs w:val="33"/>
        </w:rPr>
        <w:t>万元，具体内容包括：</w:t>
      </w:r>
      <w:r>
        <w:rPr>
          <w:rFonts w:hint="default" w:ascii="Times New Roman" w:hAnsi="Times New Roman" w:eastAsia="方正仿宋_GBK" w:cs="Times New Roman"/>
          <w:color w:val="000000"/>
          <w:sz w:val="33"/>
          <w:szCs w:val="33"/>
          <w:lang w:val="en-US" w:eastAsia="zh-CN"/>
        </w:rPr>
        <w:t>接待餐费等</w:t>
      </w:r>
      <w:r>
        <w:rPr>
          <w:rFonts w:hint="default" w:ascii="Times New Roman" w:hAnsi="Times New Roman" w:eastAsia="方正仿宋_GBK" w:cs="Times New Roman"/>
          <w:color w:val="000000"/>
          <w:sz w:val="33"/>
          <w:szCs w:val="33"/>
        </w:rPr>
        <w:t>。</w:t>
      </w:r>
    </w:p>
    <w:p>
      <w:pPr>
        <w:pageBreakBefore w:val="0"/>
        <w:kinsoku/>
        <w:wordWrap/>
        <w:overflowPunct/>
        <w:topLinePunct w:val="0"/>
        <w:bidi w:val="0"/>
        <w:spacing w:line="590" w:lineRule="exact"/>
        <w:ind w:left="0" w:right="0" w:firstLine="660" w:firstLineChars="200"/>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val="en-US" w:eastAsia="zh-CN"/>
        </w:rPr>
        <w:t>2021年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因公出国（境）</w:t>
      </w:r>
      <w:r>
        <w:rPr>
          <w:rFonts w:hint="default" w:ascii="Times New Roman" w:hAnsi="Times New Roman" w:eastAsia="方正仿宋_GBK" w:cs="Times New Roman"/>
          <w:b w:val="0"/>
          <w:bCs/>
          <w:color w:val="000000"/>
          <w:sz w:val="33"/>
          <w:szCs w:val="33"/>
        </w:rPr>
        <w:t>外事接待支出</w:t>
      </w:r>
      <w:bookmarkStart w:id="46" w:name="_Toc15396610"/>
      <w:bookmarkStart w:id="47" w:name="_Toc15377218"/>
      <w:r>
        <w:rPr>
          <w:rFonts w:hint="eastAsia" w:ascii="Times New Roman" w:hAnsi="Times New Roman" w:eastAsia="方正仿宋_GBK" w:cs="Times New Roman"/>
          <w:b w:val="0"/>
          <w:bCs/>
          <w:color w:val="000000"/>
          <w:sz w:val="33"/>
          <w:szCs w:val="33"/>
          <w:lang w:eastAsia="zh-CN"/>
        </w:rPr>
        <w:t>。</w:t>
      </w:r>
    </w:p>
    <w:p>
      <w:pPr>
        <w:pageBreakBefore w:val="0"/>
        <w:kinsoku/>
        <w:wordWrap/>
        <w:overflowPunct/>
        <w:topLinePunct w:val="0"/>
        <w:bidi w:val="0"/>
        <w:spacing w:line="590" w:lineRule="exact"/>
        <w:ind w:left="0" w:right="0" w:firstLine="640"/>
        <w:outlineLvl w:val="1"/>
        <w:rPr>
          <w:rStyle w:val="15"/>
          <w:rFonts w:hint="eastAsia" w:ascii="黑体" w:hAnsi="黑体" w:eastAsia="黑体" w:cs="黑体"/>
          <w:b w:val="0"/>
          <w:bCs w:val="0"/>
          <w:sz w:val="33"/>
          <w:szCs w:val="33"/>
        </w:rPr>
      </w:pPr>
      <w:r>
        <w:rPr>
          <w:rFonts w:hint="eastAsia" w:ascii="黑体" w:hAnsi="黑体" w:eastAsia="黑体" w:cs="黑体"/>
          <w:b w:val="0"/>
          <w:bCs w:val="0"/>
          <w:color w:val="000000"/>
          <w:sz w:val="33"/>
          <w:szCs w:val="33"/>
          <w:lang w:eastAsia="zh-CN"/>
        </w:rPr>
        <w:t>九</w:t>
      </w:r>
      <w:r>
        <w:rPr>
          <w:rFonts w:hint="eastAsia" w:ascii="黑体" w:hAnsi="黑体" w:eastAsia="黑体" w:cs="黑体"/>
          <w:b w:val="0"/>
          <w:bCs w:val="0"/>
          <w:color w:val="000000"/>
          <w:sz w:val="33"/>
          <w:szCs w:val="33"/>
        </w:rPr>
        <w:t>、</w:t>
      </w:r>
      <w:r>
        <w:rPr>
          <w:rStyle w:val="15"/>
          <w:rFonts w:hint="eastAsia" w:ascii="黑体" w:hAnsi="黑体" w:eastAsia="黑体" w:cs="黑体"/>
          <w:b w:val="0"/>
          <w:bCs w:val="0"/>
          <w:sz w:val="33"/>
          <w:szCs w:val="33"/>
        </w:rPr>
        <w:t>政府性基金预算支出决算情况说明</w:t>
      </w:r>
      <w:bookmarkEnd w:id="46"/>
      <w:bookmarkEnd w:id="47"/>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政府性基金预算拨款。</w:t>
      </w:r>
    </w:p>
    <w:p>
      <w:pPr>
        <w:pageBreakBefore w:val="0"/>
        <w:numPr>
          <w:ilvl w:val="0"/>
          <w:numId w:val="0"/>
        </w:numPr>
        <w:kinsoku/>
        <w:wordWrap/>
        <w:overflowPunct/>
        <w:topLinePunct w:val="0"/>
        <w:bidi w:val="0"/>
        <w:spacing w:line="590" w:lineRule="exact"/>
        <w:ind w:left="0" w:right="0" w:firstLine="660" w:firstLineChars="200"/>
        <w:outlineLvl w:val="1"/>
        <w:rPr>
          <w:rStyle w:val="15"/>
          <w:rFonts w:hint="default" w:ascii="Times New Roman" w:hAnsi="Times New Roman" w:eastAsia="方正仿宋_GBK" w:cs="Times New Roman"/>
          <w:b w:val="0"/>
          <w:sz w:val="33"/>
          <w:szCs w:val="33"/>
        </w:rPr>
      </w:pPr>
      <w:bookmarkStart w:id="48" w:name="_Toc15377219"/>
      <w:bookmarkStart w:id="49" w:name="_Toc15396611"/>
      <w:r>
        <w:rPr>
          <w:rStyle w:val="15"/>
          <w:rFonts w:hint="eastAsia" w:ascii="黑体" w:hAnsi="黑体" w:eastAsia="黑体" w:cs="黑体"/>
          <w:b w:val="0"/>
          <w:sz w:val="33"/>
          <w:szCs w:val="33"/>
          <w:lang w:eastAsia="zh-CN"/>
        </w:rPr>
        <w:t>十、</w:t>
      </w:r>
      <w:r>
        <w:rPr>
          <w:rStyle w:val="15"/>
          <w:rFonts w:hint="eastAsia" w:ascii="黑体" w:hAnsi="黑体" w:eastAsia="黑体" w:cs="黑体"/>
          <w:b w:val="0"/>
          <w:sz w:val="33"/>
          <w:szCs w:val="33"/>
        </w:rPr>
        <w:t>国有资本经营预算支出决算情况说明</w:t>
      </w:r>
      <w:bookmarkEnd w:id="48"/>
      <w:bookmarkEnd w:id="49"/>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sz w:val="33"/>
          <w:szCs w:val="33"/>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国有资本经营预算拨款。</w:t>
      </w:r>
    </w:p>
    <w:p>
      <w:pPr>
        <w:pageBreakBefore w:val="0"/>
        <w:kinsoku/>
        <w:wordWrap/>
        <w:overflowPunct/>
        <w:topLinePunct w:val="0"/>
        <w:bidi w:val="0"/>
        <w:spacing w:line="590" w:lineRule="exact"/>
        <w:ind w:left="0" w:leftChars="0" w:right="0" w:firstLine="660" w:firstLineChars="200"/>
        <w:outlineLvl w:val="1"/>
        <w:rPr>
          <w:rStyle w:val="15"/>
          <w:rFonts w:hint="eastAsia" w:ascii="黑体" w:hAnsi="黑体" w:eastAsia="黑体" w:cs="黑体"/>
          <w:sz w:val="33"/>
          <w:szCs w:val="33"/>
        </w:rPr>
      </w:pPr>
      <w:bookmarkStart w:id="50" w:name="_Toc15396612"/>
      <w:bookmarkStart w:id="51" w:name="_Toc15377221"/>
      <w:r>
        <w:rPr>
          <w:rFonts w:hint="eastAsia" w:ascii="黑体" w:hAnsi="黑体" w:eastAsia="黑体" w:cs="黑体"/>
          <w:color w:val="000000"/>
          <w:sz w:val="33"/>
          <w:szCs w:val="33"/>
        </w:rPr>
        <w:t>十</w:t>
      </w:r>
      <w:r>
        <w:rPr>
          <w:rFonts w:hint="eastAsia" w:ascii="黑体" w:hAnsi="黑体" w:eastAsia="黑体" w:cs="黑体"/>
          <w:color w:val="000000"/>
          <w:sz w:val="33"/>
          <w:szCs w:val="33"/>
          <w:lang w:eastAsia="zh-CN"/>
        </w:rPr>
        <w:t>一</w:t>
      </w:r>
      <w:r>
        <w:rPr>
          <w:rStyle w:val="15"/>
          <w:rFonts w:hint="eastAsia" w:ascii="黑体" w:hAnsi="黑体" w:eastAsia="黑体" w:cs="黑体"/>
          <w:sz w:val="33"/>
          <w:szCs w:val="33"/>
        </w:rPr>
        <w:t>、</w:t>
      </w:r>
      <w:r>
        <w:rPr>
          <w:rStyle w:val="15"/>
          <w:rFonts w:hint="eastAsia" w:ascii="黑体" w:hAnsi="黑体" w:eastAsia="黑体" w:cs="黑体"/>
          <w:b w:val="0"/>
          <w:sz w:val="33"/>
          <w:szCs w:val="33"/>
        </w:rPr>
        <w:t>其他重要事项的情况说明</w:t>
      </w:r>
      <w:bookmarkEnd w:id="50"/>
      <w:bookmarkEnd w:id="51"/>
    </w:p>
    <w:p>
      <w:pPr>
        <w:pageBreakBefore w:val="0"/>
        <w:kinsoku/>
        <w:wordWrap/>
        <w:overflowPunct/>
        <w:topLinePunct w:val="0"/>
        <w:bidi w:val="0"/>
        <w:spacing w:line="590" w:lineRule="exact"/>
        <w:ind w:left="0" w:right="0" w:firstLine="663" w:firstLineChars="200"/>
        <w:outlineLvl w:val="2"/>
        <w:rPr>
          <w:rFonts w:hint="eastAsia" w:ascii="方正楷体_GBK" w:hAnsi="方正楷体_GBK" w:eastAsia="方正楷体_GBK" w:cs="方正楷体_GBK"/>
          <w:color w:val="000000"/>
          <w:sz w:val="33"/>
          <w:szCs w:val="33"/>
        </w:rPr>
      </w:pPr>
      <w:bookmarkStart w:id="52" w:name="_Toc15377222"/>
      <w:r>
        <w:rPr>
          <w:rFonts w:hint="eastAsia" w:ascii="方正楷体_GBK" w:hAnsi="方正楷体_GBK" w:eastAsia="方正楷体_GBK" w:cs="方正楷体_GBK"/>
          <w:b/>
          <w:color w:val="000000"/>
          <w:sz w:val="33"/>
          <w:szCs w:val="33"/>
        </w:rPr>
        <w:t>（一）机关运行经费支出情况</w:t>
      </w:r>
      <w:bookmarkEnd w:id="52"/>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val="en-US" w:eastAsia="zh-CN"/>
        </w:rPr>
        <w:t>邻水县粮食和物资储备中心</w:t>
      </w:r>
      <w:r>
        <w:rPr>
          <w:rFonts w:hint="default" w:ascii="Times New Roman" w:hAnsi="Times New Roman" w:eastAsia="方正仿宋_GBK" w:cs="Times New Roman"/>
          <w:color w:val="000000"/>
          <w:sz w:val="33"/>
          <w:szCs w:val="33"/>
        </w:rPr>
        <w:t>机关运行经费支出</w:t>
      </w:r>
      <w:r>
        <w:rPr>
          <w:rFonts w:hint="default" w:ascii="Times New Roman" w:hAnsi="Times New Roman" w:eastAsia="方正仿宋_GBK" w:cs="Times New Roman"/>
          <w:color w:val="000000"/>
          <w:sz w:val="33"/>
          <w:szCs w:val="33"/>
          <w:lang w:val="en-US" w:eastAsia="zh-CN"/>
        </w:rPr>
        <w:t>35.76</w:t>
      </w:r>
      <w:r>
        <w:rPr>
          <w:rFonts w:hint="default" w:ascii="Times New Roman" w:hAnsi="Times New Roman" w:eastAsia="方正仿宋_GBK" w:cs="Times New Roman"/>
          <w:color w:val="000000"/>
          <w:sz w:val="33"/>
          <w:szCs w:val="33"/>
        </w:rPr>
        <w:t>万元，比20</w:t>
      </w:r>
      <w:r>
        <w:rPr>
          <w:rFonts w:hint="default" w:ascii="Times New Roman" w:hAnsi="Times New Roman" w:eastAsia="方正仿宋_GBK" w:cs="Times New Roman"/>
          <w:color w:val="000000"/>
          <w:sz w:val="33"/>
          <w:szCs w:val="33"/>
          <w:lang w:val="en-US" w:eastAsia="zh-CN"/>
        </w:rPr>
        <w:t>20</w:t>
      </w:r>
      <w:r>
        <w:rPr>
          <w:rFonts w:hint="default" w:ascii="Times New Roman" w:hAnsi="Times New Roman" w:eastAsia="方正仿宋_GBK" w:cs="Times New Roman"/>
          <w:color w:val="000000"/>
          <w:sz w:val="33"/>
          <w:szCs w:val="33"/>
        </w:rPr>
        <w:t>年减少</w:t>
      </w:r>
      <w:r>
        <w:rPr>
          <w:rFonts w:hint="default" w:ascii="Times New Roman" w:hAnsi="Times New Roman" w:eastAsia="方正仿宋_GBK" w:cs="Times New Roman"/>
          <w:color w:val="000000"/>
          <w:sz w:val="33"/>
          <w:szCs w:val="33"/>
          <w:lang w:val="en-US" w:eastAsia="zh-CN"/>
        </w:rPr>
        <w:t>1.33</w:t>
      </w:r>
      <w:r>
        <w:rPr>
          <w:rFonts w:hint="default" w:ascii="Times New Roman" w:hAnsi="Times New Roman" w:eastAsia="方正仿宋_GBK" w:cs="Times New Roman"/>
          <w:color w:val="000000"/>
          <w:sz w:val="33"/>
          <w:szCs w:val="33"/>
        </w:rPr>
        <w:t>万元，下降</w:t>
      </w:r>
      <w:r>
        <w:rPr>
          <w:rFonts w:hint="default" w:ascii="Times New Roman" w:hAnsi="Times New Roman" w:eastAsia="方正仿宋_GBK" w:cs="Times New Roman"/>
          <w:color w:val="000000"/>
          <w:sz w:val="33"/>
          <w:szCs w:val="33"/>
          <w:lang w:val="en-US" w:eastAsia="zh-CN"/>
        </w:rPr>
        <w:t>3.72</w:t>
      </w:r>
      <w:r>
        <w:rPr>
          <w:rFonts w:hint="default" w:ascii="Times New Roman" w:hAnsi="Times New Roman" w:eastAsia="方正仿宋_GBK" w:cs="Times New Roman"/>
          <w:color w:val="000000"/>
          <w:sz w:val="33"/>
          <w:szCs w:val="33"/>
        </w:rPr>
        <w:t>%。</w:t>
      </w:r>
      <w:r>
        <w:rPr>
          <w:rFonts w:hint="default" w:ascii="Times New Roman" w:hAnsi="Times New Roman" w:eastAsia="方正仿宋_GBK" w:cs="Times New Roman"/>
          <w:color w:val="000000" w:themeColor="text1"/>
          <w:sz w:val="33"/>
          <w:szCs w:val="33"/>
          <w14:textFill>
            <w14:solidFill>
              <w14:schemeClr w14:val="tx1"/>
            </w14:solidFill>
          </w14:textFill>
        </w:rPr>
        <w:t>主要原因是</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当年职工退休2人，减少经费开支。</w:t>
      </w:r>
    </w:p>
    <w:p>
      <w:pPr>
        <w:pageBreakBefore w:val="0"/>
        <w:kinsoku/>
        <w:wordWrap/>
        <w:overflowPunct/>
        <w:topLinePunct w:val="0"/>
        <w:autoSpaceDE w:val="0"/>
        <w:autoSpaceDN w:val="0"/>
        <w:bidi w:val="0"/>
        <w:adjustRightInd w:val="0"/>
        <w:spacing w:line="590" w:lineRule="exact"/>
        <w:ind w:left="0" w:right="0" w:firstLine="663" w:firstLineChars="200"/>
        <w:jc w:val="left"/>
        <w:outlineLvl w:val="2"/>
        <w:rPr>
          <w:rFonts w:hint="eastAsia" w:ascii="方正楷体_GBK" w:hAnsi="方正楷体_GBK" w:eastAsia="方正楷体_GBK" w:cs="方正楷体_GBK"/>
          <w:b/>
          <w:color w:val="000000"/>
          <w:sz w:val="33"/>
          <w:szCs w:val="33"/>
        </w:rPr>
      </w:pPr>
      <w:bookmarkStart w:id="53" w:name="_Toc15377223"/>
      <w:r>
        <w:rPr>
          <w:rFonts w:hint="eastAsia" w:ascii="方正楷体_GBK" w:hAnsi="方正楷体_GBK" w:eastAsia="方正楷体_GBK" w:cs="方正楷体_GBK"/>
          <w:b/>
          <w:color w:val="000000"/>
          <w:sz w:val="33"/>
          <w:szCs w:val="33"/>
        </w:rPr>
        <w:t>（二）政府采购支出情况</w:t>
      </w:r>
      <w:bookmarkEnd w:id="53"/>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b/>
          <w:color w:val="FF0000"/>
          <w:sz w:val="33"/>
          <w:szCs w:val="33"/>
        </w:rPr>
      </w:pPr>
      <w:r>
        <w:rPr>
          <w:rFonts w:hint="eastAsia" w:eastAsia="方正仿宋_GBK" w:cs="Times New Roman"/>
          <w:color w:val="000000"/>
          <w:sz w:val="33"/>
          <w:szCs w:val="33"/>
          <w:lang w:eastAsia="zh-CN"/>
        </w:rPr>
        <w:t>截止</w:t>
      </w:r>
      <w:r>
        <w:rPr>
          <w:rFonts w:hint="default" w:ascii="Times New Roman" w:hAnsi="Times New Roman" w:eastAsia="方正仿宋_GBK" w:cs="Times New Roman"/>
          <w:color w:val="000000"/>
          <w:sz w:val="33"/>
          <w:szCs w:val="33"/>
        </w:rPr>
        <w:t>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w:t>
      </w:r>
      <w:r>
        <w:rPr>
          <w:rFonts w:hint="eastAsia" w:eastAsia="方正仿宋_GBK" w:cs="Times New Roman"/>
          <w:color w:val="000000"/>
          <w:sz w:val="33"/>
          <w:szCs w:val="33"/>
          <w:lang w:val="en-US" w:eastAsia="zh-CN"/>
        </w:rPr>
        <w:t>12月31日</w:t>
      </w:r>
      <w:r>
        <w:rPr>
          <w:rFonts w:hint="default" w:ascii="Times New Roman" w:hAnsi="Times New Roman" w:eastAsia="方正仿宋_GBK" w:cs="Times New Roman"/>
          <w:color w:val="000000"/>
          <w:sz w:val="33"/>
          <w:szCs w:val="33"/>
        </w:rPr>
        <w:t>，政府采购支出</w:t>
      </w:r>
      <w:r>
        <w:rPr>
          <w:rFonts w:hint="eastAsia" w:eastAsia="方正仿宋_GBK" w:cs="Times New Roman"/>
          <w:color w:val="000000"/>
          <w:sz w:val="33"/>
          <w:szCs w:val="33"/>
          <w:lang w:val="en-US" w:eastAsia="zh-CN"/>
        </w:rPr>
        <w:t>0元，主要原因是2021年无政府采购计划</w:t>
      </w:r>
      <w:r>
        <w:rPr>
          <w:rFonts w:hint="default" w:ascii="Times New Roman" w:hAnsi="Times New Roman" w:eastAsia="方正仿宋_GBK" w:cs="Times New Roman"/>
          <w:color w:val="000000"/>
          <w:sz w:val="33"/>
          <w:szCs w:val="33"/>
        </w:rPr>
        <w:t>。</w:t>
      </w:r>
    </w:p>
    <w:p>
      <w:pPr>
        <w:pageBreakBefore w:val="0"/>
        <w:kinsoku/>
        <w:wordWrap/>
        <w:overflowPunct/>
        <w:topLinePunct w:val="0"/>
        <w:autoSpaceDE w:val="0"/>
        <w:autoSpaceDN w:val="0"/>
        <w:bidi w:val="0"/>
        <w:adjustRightInd w:val="0"/>
        <w:spacing w:line="590" w:lineRule="exact"/>
        <w:ind w:left="0" w:right="0" w:firstLine="663" w:firstLineChars="200"/>
        <w:jc w:val="left"/>
        <w:outlineLvl w:val="2"/>
        <w:rPr>
          <w:rFonts w:hint="default" w:ascii="Times New Roman" w:hAnsi="Times New Roman" w:eastAsia="方正仿宋_GBK" w:cs="Times New Roman"/>
          <w:b/>
          <w:color w:val="000000"/>
          <w:sz w:val="33"/>
          <w:szCs w:val="33"/>
        </w:rPr>
      </w:pPr>
      <w:bookmarkStart w:id="54" w:name="_Toc15377224"/>
      <w:r>
        <w:rPr>
          <w:rFonts w:hint="eastAsia" w:ascii="方正楷体_GBK" w:hAnsi="方正楷体_GBK" w:eastAsia="方正楷体_GBK" w:cs="方正楷体_GBK"/>
          <w:b/>
          <w:color w:val="000000"/>
          <w:sz w:val="33"/>
          <w:szCs w:val="33"/>
        </w:rPr>
        <w:t>（三）国有资产占有使用情况</w:t>
      </w:r>
      <w:bookmarkEnd w:id="54"/>
    </w:p>
    <w:p>
      <w:pPr>
        <w:pageBreakBefore w:val="0"/>
        <w:kinsoku/>
        <w:wordWrap/>
        <w:overflowPunct/>
        <w:topLinePunct w:val="0"/>
        <w:autoSpaceDE w:val="0"/>
        <w:autoSpaceDN w:val="0"/>
        <w:bidi w:val="0"/>
        <w:adjustRightInd w:val="0"/>
        <w:spacing w:line="590" w:lineRule="exact"/>
        <w:ind w:left="0" w:right="0" w:firstLine="660" w:firstLineChars="200"/>
        <w:jc w:val="left"/>
        <w:rPr>
          <w:rFonts w:hint="default" w:ascii="Times New Roman" w:hAnsi="Times New Roman" w:eastAsia="方正仿宋_GBK" w:cs="Times New Roman"/>
          <w:b/>
          <w:color w:val="FF0000"/>
          <w:sz w:val="33"/>
          <w:szCs w:val="33"/>
        </w:rPr>
      </w:pPr>
      <w:r>
        <w:rPr>
          <w:rFonts w:hint="default" w:ascii="Times New Roman" w:hAnsi="Times New Roman" w:eastAsia="方正仿宋_GBK" w:cs="Times New Roman"/>
          <w:color w:val="000000"/>
          <w:sz w:val="33"/>
          <w:szCs w:val="33"/>
        </w:rPr>
        <w:t>截至202</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年12月31日，</w:t>
      </w:r>
      <w:r>
        <w:rPr>
          <w:rFonts w:hint="default" w:ascii="Times New Roman" w:hAnsi="Times New Roman" w:eastAsia="方正仿宋_GBK" w:cs="Times New Roman"/>
          <w:color w:val="000000"/>
          <w:sz w:val="33"/>
          <w:szCs w:val="33"/>
          <w:lang w:val="en-US" w:eastAsia="zh-CN"/>
        </w:rPr>
        <w:t>邻水县粮食和物资储备中心</w:t>
      </w:r>
      <w:r>
        <w:rPr>
          <w:rFonts w:hint="default" w:ascii="Times New Roman" w:hAnsi="Times New Roman" w:eastAsia="方正仿宋_GBK" w:cs="Times New Roman"/>
          <w:color w:val="000000"/>
          <w:sz w:val="33"/>
          <w:szCs w:val="33"/>
        </w:rPr>
        <w:t>共有车辆</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辆，其中：</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领导干部用车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机要通信用车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无</w:t>
      </w:r>
      <w:r>
        <w:rPr>
          <w:rFonts w:hint="default" w:ascii="Times New Roman" w:hAnsi="Times New Roman" w:eastAsia="方正仿宋_GBK" w:cs="Times New Roman"/>
          <w:color w:val="000000"/>
          <w:sz w:val="33"/>
          <w:szCs w:val="33"/>
        </w:rPr>
        <w:t>应急保障用车</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其他用车</w:t>
      </w:r>
      <w:r>
        <w:rPr>
          <w:rFonts w:hint="default" w:ascii="Times New Roman" w:hAnsi="Times New Roman" w:eastAsia="方正仿宋_GBK" w:cs="Times New Roman"/>
          <w:color w:val="000000"/>
          <w:sz w:val="33"/>
          <w:szCs w:val="33"/>
          <w:lang w:val="en-US" w:eastAsia="zh-CN"/>
        </w:rPr>
        <w:t>1</w:t>
      </w:r>
      <w:r>
        <w:rPr>
          <w:rFonts w:hint="default" w:ascii="Times New Roman" w:hAnsi="Times New Roman" w:eastAsia="方正仿宋_GBK" w:cs="Times New Roman"/>
          <w:color w:val="000000"/>
          <w:sz w:val="33"/>
          <w:szCs w:val="33"/>
        </w:rPr>
        <w:t>辆</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themeColor="text1"/>
          <w:sz w:val="33"/>
          <w:szCs w:val="33"/>
          <w14:textFill>
            <w14:solidFill>
              <w14:schemeClr w14:val="tx1"/>
            </w14:solidFill>
          </w14:textFill>
        </w:rPr>
        <w:t>其他用车主要是用于</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工程建设，粮食收购，粮食押运等，无</w:t>
      </w:r>
      <w:r>
        <w:rPr>
          <w:rFonts w:hint="default" w:ascii="Times New Roman" w:hAnsi="Times New Roman" w:eastAsia="方正仿宋_GBK" w:cs="Times New Roman"/>
          <w:color w:val="000000" w:themeColor="text1"/>
          <w:sz w:val="33"/>
          <w:szCs w:val="33"/>
          <w14:textFill>
            <w14:solidFill>
              <w14:schemeClr w14:val="tx1"/>
            </w14:solidFill>
          </w14:textFill>
        </w:rPr>
        <w:t>单价50万元以上通用设备，</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无</w:t>
      </w:r>
      <w:r>
        <w:rPr>
          <w:rFonts w:hint="default" w:ascii="Times New Roman" w:hAnsi="Times New Roman" w:eastAsia="方正仿宋_GBK" w:cs="Times New Roman"/>
          <w:color w:val="000000" w:themeColor="text1"/>
          <w:sz w:val="33"/>
          <w:szCs w:val="33"/>
          <w14:textFill>
            <w14:solidFill>
              <w14:schemeClr w14:val="tx1"/>
            </w14:solidFill>
          </w14:textFill>
        </w:rPr>
        <w:t>单价100</w:t>
      </w:r>
      <w:r>
        <w:rPr>
          <w:rFonts w:hint="default" w:ascii="Times New Roman" w:hAnsi="Times New Roman" w:eastAsia="方正仿宋_GBK" w:cs="Times New Roman"/>
          <w:color w:val="000000"/>
          <w:sz w:val="33"/>
          <w:szCs w:val="33"/>
        </w:rPr>
        <w:t>万元以上专用设备。</w:t>
      </w:r>
    </w:p>
    <w:p>
      <w:pPr>
        <w:pageBreakBefore w:val="0"/>
        <w:kinsoku/>
        <w:wordWrap/>
        <w:overflowPunct/>
        <w:topLinePunct w:val="0"/>
        <w:autoSpaceDE w:val="0"/>
        <w:autoSpaceDN w:val="0"/>
        <w:bidi w:val="0"/>
        <w:adjustRightInd w:val="0"/>
        <w:spacing w:line="590" w:lineRule="exact"/>
        <w:ind w:left="0" w:right="0" w:firstLine="663" w:firstLineChars="200"/>
        <w:jc w:val="left"/>
        <w:outlineLvl w:val="2"/>
        <w:rPr>
          <w:rFonts w:hint="eastAsia" w:ascii="方正楷体_GBK" w:hAnsi="方正楷体_GBK" w:eastAsia="方正楷体_GBK" w:cs="方正楷体_GBK"/>
          <w:b/>
          <w:color w:val="000000"/>
          <w:sz w:val="33"/>
          <w:szCs w:val="33"/>
        </w:rPr>
      </w:pPr>
      <w:r>
        <w:rPr>
          <w:rFonts w:hint="eastAsia" w:ascii="方正楷体_GBK" w:hAnsi="方正楷体_GBK" w:eastAsia="方正楷体_GBK" w:cs="方正楷体_GBK"/>
          <w:b/>
          <w:color w:val="000000"/>
          <w:sz w:val="33"/>
          <w:szCs w:val="33"/>
        </w:rPr>
        <w:t>（四）预算绩效管理情况</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根据预算绩效管理要求，本部门（单位）在年初预算编制阶段，组织对项目（项目名称）开展了预算事前绩效评估，对</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个项目全部编制了绩效目标，预算执行过程中，对</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个项目全部开展绩效监控，年终执行完毕后，对</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个项目全部开展了绩效目标完成情况自评。</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本部门按要求对202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年部门整体支出开展绩效自评，从评价情况来看</w:t>
      </w:r>
      <w:r>
        <w:rPr>
          <w:rFonts w:hint="default" w:ascii="Times New Roman" w:hAnsi="Times New Roman" w:eastAsia="方正仿宋_GBK" w:cs="Times New Roman"/>
          <w:sz w:val="33"/>
          <w:szCs w:val="33"/>
          <w:lang w:val="en-US" w:eastAsia="zh-CN"/>
        </w:rPr>
        <w:t>社会满意，企业满意</w:t>
      </w:r>
      <w:r>
        <w:rPr>
          <w:rFonts w:hint="default" w:ascii="Times New Roman" w:hAnsi="Times New Roman" w:eastAsia="方正仿宋_GBK" w:cs="Times New Roman"/>
          <w:sz w:val="33"/>
          <w:szCs w:val="33"/>
        </w:rPr>
        <w:t>。本部门还自行组织了</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个项目支出绩效评价，从评价情况来看</w:t>
      </w:r>
      <w:r>
        <w:rPr>
          <w:rFonts w:hint="default" w:ascii="Times New Roman" w:hAnsi="Times New Roman" w:eastAsia="方正仿宋_GBK" w:cs="Times New Roman"/>
          <w:sz w:val="33"/>
          <w:szCs w:val="33"/>
          <w:lang w:val="en-US" w:eastAsia="zh-CN"/>
        </w:rPr>
        <w:t>社会满意，企业满意</w:t>
      </w:r>
      <w:r>
        <w:rPr>
          <w:rFonts w:hint="default" w:ascii="Times New Roman" w:hAnsi="Times New Roman" w:eastAsia="方正仿宋_GBK" w:cs="Times New Roman"/>
          <w:sz w:val="33"/>
          <w:szCs w:val="33"/>
        </w:rPr>
        <w:t>。</w:t>
      </w:r>
    </w:p>
    <w:p>
      <w:pPr>
        <w:pageBreakBefore w:val="0"/>
        <w:kinsoku/>
        <w:wordWrap/>
        <w:overflowPunct/>
        <w:topLinePunct w:val="0"/>
        <w:bidi w:val="0"/>
        <w:spacing w:line="590" w:lineRule="exact"/>
        <w:ind w:left="0" w:right="0" w:firstLine="663" w:firstLineChars="200"/>
        <w:rPr>
          <w:rFonts w:hint="default" w:ascii="Times New Roman" w:hAnsi="Times New Roman" w:eastAsia="方正仿宋_GBK" w:cs="Times New Roman"/>
          <w:b/>
          <w:bCs/>
          <w:sz w:val="33"/>
          <w:szCs w:val="33"/>
          <w:lang w:eastAsia="zh-CN"/>
        </w:rPr>
      </w:pPr>
      <w:r>
        <w:rPr>
          <w:rFonts w:hint="default" w:ascii="Times New Roman" w:hAnsi="Times New Roman" w:eastAsia="方正仿宋_GBK" w:cs="Times New Roman"/>
          <w:b/>
          <w:bCs/>
          <w:sz w:val="33"/>
          <w:szCs w:val="33"/>
        </w:rPr>
        <w:t>1.项目绩效目标完成情况</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本部门在202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年度部门决算中反映“</w:t>
      </w:r>
      <w:r>
        <w:rPr>
          <w:rFonts w:hint="default" w:ascii="Times New Roman" w:hAnsi="Times New Roman" w:eastAsia="方正仿宋_GBK" w:cs="Times New Roman"/>
          <w:sz w:val="33"/>
          <w:szCs w:val="33"/>
          <w:lang w:val="en-US" w:eastAsia="zh-CN"/>
        </w:rPr>
        <w:t>仓库建设及管理</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等</w:t>
      </w: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个项目绩效目标</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本单位部门项目绩效目标全部进行公开。</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lang w:eastAsia="zh-CN"/>
        </w:rPr>
      </w:pPr>
      <w:r>
        <w:rPr>
          <w:rFonts w:hint="default" w:ascii="Times New Roman" w:hAnsi="Times New Roman" w:eastAsia="方正仿宋_GBK" w:cs="Times New Roman"/>
          <w:color w:val="auto"/>
          <w:sz w:val="33"/>
          <w:szCs w:val="33"/>
        </w:rPr>
        <w:t>（1）</w:t>
      </w:r>
      <w:r>
        <w:rPr>
          <w:rFonts w:hint="default" w:ascii="Times New Roman" w:hAnsi="Times New Roman" w:eastAsia="方正仿宋_GBK" w:cs="Times New Roman"/>
          <w:color w:val="auto"/>
          <w:sz w:val="33"/>
          <w:szCs w:val="33"/>
          <w:lang w:val="en-US" w:eastAsia="zh-CN"/>
        </w:rPr>
        <w:t>仓库建设及管理</w:t>
      </w:r>
      <w:r>
        <w:rPr>
          <w:rFonts w:hint="default" w:ascii="Times New Roman" w:hAnsi="Times New Roman" w:eastAsia="方正仿宋_GBK" w:cs="Times New Roman"/>
          <w:color w:val="auto"/>
          <w:sz w:val="33"/>
          <w:szCs w:val="33"/>
        </w:rPr>
        <w:t>项目绩效目标完成情况。项目全年预算数</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%。通过项目实施，确保</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粮库安全，保障</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粮食安全</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w:t>
      </w:r>
      <w:r>
        <w:rPr>
          <w:rFonts w:hint="default" w:ascii="Times New Roman" w:hAnsi="Times New Roman" w:eastAsia="方正仿宋_GBK" w:cs="Times New Roman"/>
          <w:color w:val="auto"/>
          <w:sz w:val="33"/>
          <w:szCs w:val="33"/>
        </w:rPr>
        <w:t>问题</w:t>
      </w:r>
      <w:r>
        <w:rPr>
          <w:rFonts w:hint="default" w:ascii="Times New Roman" w:hAnsi="Times New Roman" w:eastAsia="方正仿宋_GBK" w:cs="Times New Roman"/>
          <w:color w:val="auto"/>
          <w:sz w:val="33"/>
          <w:szCs w:val="33"/>
          <w:lang w:eastAsia="zh-CN"/>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lang w:eastAsia="zh-CN"/>
        </w:rPr>
      </w:pPr>
      <w:r>
        <w:rPr>
          <w:rFonts w:hint="default" w:ascii="Times New Roman" w:hAnsi="Times New Roman" w:eastAsia="方正仿宋_GBK" w:cs="Times New Roman"/>
          <w:color w:val="auto"/>
          <w:sz w:val="33"/>
          <w:szCs w:val="33"/>
        </w:rPr>
        <w:t>（2）</w:t>
      </w:r>
      <w:r>
        <w:rPr>
          <w:rFonts w:hint="default" w:ascii="Times New Roman" w:hAnsi="Times New Roman" w:eastAsia="方正仿宋_GBK" w:cs="Times New Roman"/>
          <w:color w:val="auto"/>
          <w:sz w:val="33"/>
          <w:szCs w:val="33"/>
          <w:lang w:val="en-US" w:eastAsia="zh-CN"/>
        </w:rPr>
        <w:t>国有粮食企业管理</w:t>
      </w:r>
      <w:r>
        <w:rPr>
          <w:rFonts w:hint="default" w:ascii="Times New Roman" w:hAnsi="Times New Roman" w:eastAsia="方正仿宋_GBK" w:cs="Times New Roman"/>
          <w:color w:val="auto"/>
          <w:sz w:val="33"/>
          <w:szCs w:val="33"/>
        </w:rPr>
        <w:t>项目绩效目标完成情况。项目全年预算数</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%。通过项目实施，完成</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国企改革，壮大</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国企实力，提高</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经济效益保障</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w:t>
      </w:r>
      <w:r>
        <w:rPr>
          <w:rFonts w:hint="default" w:ascii="Times New Roman" w:hAnsi="Times New Roman" w:eastAsia="方正仿宋_GBK" w:cs="Times New Roman"/>
          <w:color w:val="auto"/>
          <w:sz w:val="33"/>
          <w:szCs w:val="33"/>
        </w:rPr>
        <w:t>问题</w:t>
      </w:r>
      <w:r>
        <w:rPr>
          <w:rFonts w:hint="default" w:ascii="Times New Roman" w:hAnsi="Times New Roman" w:eastAsia="方正仿宋_GBK" w:cs="Times New Roman"/>
          <w:color w:val="auto"/>
          <w:sz w:val="33"/>
          <w:szCs w:val="33"/>
          <w:lang w:eastAsia="zh-CN"/>
        </w:rPr>
        <w:t>。</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rPr>
        <w:t>（3）</w:t>
      </w:r>
      <w:r>
        <w:rPr>
          <w:rFonts w:hint="default" w:ascii="Times New Roman" w:hAnsi="Times New Roman" w:eastAsia="方正仿宋_GBK" w:cs="Times New Roman"/>
          <w:color w:val="auto"/>
          <w:sz w:val="33"/>
          <w:szCs w:val="33"/>
          <w:lang w:val="en-US" w:eastAsia="zh-CN"/>
        </w:rPr>
        <w:t>国有粮食企业职工档案管理</w:t>
      </w:r>
      <w:r>
        <w:rPr>
          <w:rFonts w:hint="default" w:ascii="Times New Roman" w:hAnsi="Times New Roman" w:eastAsia="方正仿宋_GBK" w:cs="Times New Roman"/>
          <w:color w:val="auto"/>
          <w:sz w:val="33"/>
          <w:szCs w:val="33"/>
        </w:rPr>
        <w:t>项目绩效目标完成情况综述。项目全年预算数</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%。通过项目实施，稳定</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全县老粮食职工队伍，让他们有归属感和依靠</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无存在问题。</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粮食安全行政首长责任制考核</w:t>
      </w:r>
      <w:r>
        <w:rPr>
          <w:rFonts w:hint="default" w:ascii="Times New Roman" w:hAnsi="Times New Roman" w:eastAsia="方正仿宋_GBK" w:cs="Times New Roman"/>
          <w:color w:val="auto"/>
          <w:sz w:val="33"/>
          <w:szCs w:val="33"/>
        </w:rPr>
        <w:t>项目绩效目标完成情况综述。项目全年预算数</w:t>
      </w:r>
      <w:r>
        <w:rPr>
          <w:rFonts w:hint="default" w:ascii="Times New Roman" w:hAnsi="Times New Roman" w:eastAsia="方正仿宋_GBK" w:cs="Times New Roman"/>
          <w:color w:val="auto"/>
          <w:sz w:val="33"/>
          <w:szCs w:val="33"/>
          <w:lang w:val="en-US" w:eastAsia="zh-CN"/>
        </w:rPr>
        <w:t>15</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15</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%。通过项目实施，提升</w:t>
      </w:r>
      <w:r>
        <w:rPr>
          <w:rFonts w:hint="default" w:ascii="Times New Roman" w:hAnsi="Times New Roman" w:eastAsia="方正仿宋_GBK" w:cs="Times New Roman"/>
          <w:color w:val="auto"/>
          <w:sz w:val="33"/>
          <w:szCs w:val="33"/>
          <w:lang w:val="en-US" w:eastAsia="zh-CN"/>
        </w:rPr>
        <w:t>了</w:t>
      </w:r>
      <w:r>
        <w:rPr>
          <w:rFonts w:hint="default" w:ascii="Times New Roman" w:hAnsi="Times New Roman" w:eastAsia="方正仿宋_GBK" w:cs="Times New Roman"/>
          <w:color w:val="auto"/>
          <w:sz w:val="33"/>
          <w:szCs w:val="33"/>
        </w:rPr>
        <w:t>全民粮食安全意识，养成爱惜粮食、节约粮食的好习惯</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无存在问题。</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rPr>
      </w:pP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粮食行政执法</w:t>
      </w:r>
      <w:r>
        <w:rPr>
          <w:rFonts w:hint="default" w:ascii="Times New Roman" w:hAnsi="Times New Roman" w:eastAsia="方正仿宋_GBK" w:cs="Times New Roman"/>
          <w:color w:val="auto"/>
          <w:sz w:val="33"/>
          <w:szCs w:val="33"/>
        </w:rPr>
        <w:t>项目绩效目标完成情况综述。项目全年预算数</w:t>
      </w:r>
      <w:r>
        <w:rPr>
          <w:rFonts w:hint="default" w:ascii="Times New Roman" w:hAnsi="Times New Roman" w:eastAsia="方正仿宋_GBK" w:cs="Times New Roman"/>
          <w:color w:val="auto"/>
          <w:sz w:val="33"/>
          <w:szCs w:val="33"/>
          <w:lang w:val="en-US" w:eastAsia="zh-CN"/>
        </w:rPr>
        <w:t>2.5</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2.5</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%。通过项目实施，保证农民售粮优质优价，不打白条</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无存在问题。</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6</w:t>
      </w: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color w:val="auto"/>
          <w:sz w:val="33"/>
          <w:szCs w:val="33"/>
          <w:lang w:val="en-US" w:eastAsia="zh-CN"/>
        </w:rPr>
        <w:t>粮食库存管理</w:t>
      </w:r>
      <w:r>
        <w:rPr>
          <w:rFonts w:hint="default" w:ascii="Times New Roman" w:hAnsi="Times New Roman" w:eastAsia="方正仿宋_GBK" w:cs="Times New Roman"/>
          <w:color w:val="auto"/>
          <w:sz w:val="33"/>
          <w:szCs w:val="33"/>
        </w:rPr>
        <w:t>项目绩效目标完成情况综述。项目全年预算数</w:t>
      </w: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%。通过项目实施，科学绿色管理，减少损失浪费</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color w:val="auto"/>
          <w:sz w:val="33"/>
          <w:szCs w:val="33"/>
          <w:lang w:val="en-US" w:eastAsia="zh-CN"/>
        </w:rPr>
        <w:t>无存在问题。</w:t>
      </w:r>
    </w:p>
    <w:p>
      <w:pPr>
        <w:pStyle w:val="2"/>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hint="default"/>
          <w:lang w:val="en-US" w:eastAsia="zh-CN"/>
        </w:rPr>
      </w:pPr>
      <w:r>
        <w:rPr>
          <w:rFonts w:hint="eastAsia" w:ascii="Times New Roman" w:eastAsia="方正仿宋_GBK" w:cs="Times New Roman"/>
          <w:color w:val="auto"/>
          <w:sz w:val="33"/>
          <w:szCs w:val="33"/>
          <w:lang w:val="en-US" w:eastAsia="zh-CN"/>
        </w:rPr>
        <w:t>（7）</w:t>
      </w:r>
      <w:r>
        <w:rPr>
          <w:rFonts w:hint="default" w:ascii="Times New Roman" w:hAnsi="Times New Roman" w:eastAsia="方正仿宋_GBK" w:cs="Times New Roman"/>
          <w:sz w:val="33"/>
          <w:szCs w:val="33"/>
          <w:lang w:val="en-US" w:eastAsia="zh-CN"/>
        </w:rPr>
        <w:t>粮食财务挂账贷款利息</w:t>
      </w:r>
      <w:r>
        <w:rPr>
          <w:rFonts w:hint="eastAsia" w:ascii="Times New Roman" w:eastAsia="方正仿宋_GBK" w:cs="Times New Roman"/>
          <w:sz w:val="33"/>
          <w:szCs w:val="33"/>
          <w:lang w:val="en-US" w:eastAsia="zh-CN"/>
        </w:rPr>
        <w:t>项目绩效目标完成情况综述。项目全年预算数</w:t>
      </w:r>
      <w:r>
        <w:rPr>
          <w:rFonts w:hint="default" w:ascii="Times New Roman" w:hAnsi="Times New Roman" w:eastAsia="方正仿宋_GBK" w:cs="Times New Roman"/>
          <w:sz w:val="33"/>
          <w:szCs w:val="33"/>
          <w:lang w:val="en-US" w:eastAsia="zh-CN"/>
        </w:rPr>
        <w:t>62.05万元</w:t>
      </w:r>
      <w:r>
        <w:rPr>
          <w:rFonts w:hint="eastAsia" w:ascii="Times New Roman" w:eastAsia="方正仿宋_GBK" w:cs="Times New Roman"/>
          <w:sz w:val="33"/>
          <w:szCs w:val="33"/>
          <w:lang w:val="en-US" w:eastAsia="zh-CN"/>
        </w:rPr>
        <w:t>，执行数为62.05万元，完成预算的100%。通过项目实施，保障粮食财务挂账贷款顺利，按时归还利息，无存在问题。</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仓库建设及管理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r>
              <w:rPr>
                <w:rFonts w:hint="eastAsia" w:eastAsia="方正仿宋_GBK"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r>
              <w:rPr>
                <w:rFonts w:hint="eastAsia" w:eastAsia="方正仿宋_GBK"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w:t>
            </w:r>
            <w:r>
              <w:rPr>
                <w:rFonts w:hint="eastAsia"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r>
              <w:rPr>
                <w:rFonts w:hint="eastAsia" w:eastAsia="方正仿宋_GBK"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eastAsia" w:eastAsia="方正仿宋_GBK" w:cs="Times New Roman"/>
                <w:color w:val="000000"/>
                <w:kern w:val="0"/>
                <w:sz w:val="33"/>
                <w:szCs w:val="33"/>
                <w:lang w:eastAsia="zh-CN"/>
              </w:rPr>
              <w:t>其他</w:t>
            </w:r>
            <w:r>
              <w:rPr>
                <w:rFonts w:hint="default" w:ascii="Times New Roman" w:hAnsi="Times New Roman" w:eastAsia="方正仿宋_GBK" w:cs="Times New Roman"/>
                <w:color w:val="000000"/>
                <w:kern w:val="0"/>
                <w:sz w:val="33"/>
                <w:szCs w:val="33"/>
              </w:rPr>
              <w:t>资金</w:t>
            </w:r>
            <w:r>
              <w:rPr>
                <w:rFonts w:hint="eastAsia" w:eastAsia="方正仿宋_GBK" w:cs="Times New Roman"/>
                <w:color w:val="000000"/>
                <w:kern w:val="0"/>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指导和协调全县粮食流通基础设施建设，编制全县粮油仓储、加工设施建设计划并组织实施；指导粮油商业网点建设，负责粮油仓储设施的报废、占用、拆迁的转报审批，向上争取项目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指导和协调全县粮食流通基础设施建设，编制全县粮油仓储、加工设施建设计划并组织实施；指导粮油商业网点建设，负责粮油仓储设施的报废、占用、拆迁的转报审批，向上争取项目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指导协调全县粮库建设、管理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做好全县7个库点粮库智能化管理，做好全县危仓老库改造，做好渝邻粮食物流园项目建设管理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7个库点粮库智能化管理，危仓老库改造，渝邻粮食物流园项目建设管理</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项目申报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做好2021年粮食产业项目申报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rPr>
              <w:t>做好2021年粮食产业项目申报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智能化升级改造、渝邻粮食物流园全部验收合格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rPr>
              <w:t>智能化升级改造、渝邻粮食物流园全部验收合格</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完工时间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2021年3月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rPr>
              <w:t>2021年3月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指导协调全县粮库建设管理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15000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项目申报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25000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粮库管理效率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提升粮库管理效率，争取多装粮食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提升粮库管理效率，争取多装粮食</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渝邻粮食物流园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一期投入营运，利润20万元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一期投入营运，利润20万元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粮库安全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确保粮库安全，保障粮食安全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确保粮库安全，保障粮食安全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粮库安全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Style w:val="2"/>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国有粮食企业管理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指导全县粮食企业经营管理，做好服务工作，继续推进粮食国企改革，提升粮食企业经济效益和社会效益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指导全县粮食企业经营管理，做好服务工作，继续推进粮食国企改革，提升粮食企业经济效益和社会效益</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指导企业经营管理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企业目标基础数据调查10人次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企业目标基础数据调查10人次</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组织企业培训学习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10人次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10人次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国有粮食企业改制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全面完成县委县政府国企改革任务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全面完成县委县政府国企改革任务</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改制完成时间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2021年6月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2021年6月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指导企业经营管理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3000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15000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组织企业培训学习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国企改革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12000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12000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国企经济效益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完成国企改革，壮大国企实力，提高经济效益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完成国企改革，壮大国企实力，提高经济效益</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国企党建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加强国企党组建设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加强国企党组建设</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企业满意度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国有粮食企业职工档案管理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3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管理维护原粮食企业人事档案，为原粮食企业职工提供查询提供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管理维护原粮食企业人事档案，为原粮食企业职工提供查询提供</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人事档案管理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管理原粮食企业1000多人的人事档案，每年核对人员情况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管理原粮食企业1000多人的人事档案，每年核对人员情况</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人事档案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完整安全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完整安全</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时间期限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常年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常年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人事档案管理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20000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20000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人事档案管理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稳定全县老粮食职工队伍，让他们有归属感和依靠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稳定全县老粮食职工队伍，让他们有归属感和依靠</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both"/>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粮食安全行政首长责任制考核</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15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搞好粮食安全行政首长责任制考核培训工作和粮食监管工作，做好宣传引导工作、现场打造、资料归集装订，做好年底迎检工作。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搞好粮食安全行政首长责任制考核培训工作和粮食监管工作，做好宣传引导工作、现场打造、资料归集装订，做好年底迎检工作。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政策宣传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制作宣传资料、广告牌、条幅，到全县和乡镇开展宣传工作6次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制作宣传资料、广告牌、条幅，到全县和乡镇开展宣传工作6次</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召开培训会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5次</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粮食检验和监管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12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12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粮食安全意识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提升全县老百姓粮食安全意识，保证粮食产量，确保粮食安全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提升全县老百姓粮食安全意识，保证粮食产量，确保粮食安全</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粮食安全意识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政策宣传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60000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60000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培训学习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15000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15000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粮食检验和监管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30000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30000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档案资料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25000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25000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爱粮、节粮，减少损失浪费，稳定提高粮食产量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提升粮库管理效率，争取多装粮食爱粮、节粮，减少损失浪费，稳定提高粮食产量</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粮食安全意识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提升全民粮食安全意识，养成爱惜粮食、节约粮食的好习惯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提升全民粮食安全意识，养成爱惜粮食、节约粮食的好习惯</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lang w:val="en-US" w:eastAsia="zh-CN" w:bidi="ar-SA"/>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生态</w:t>
            </w:r>
            <w:r>
              <w:rPr>
                <w:rFonts w:hint="default" w:ascii="Times New Roman" w:hAnsi="Times New Roman" w:eastAsia="方正仿宋_GBK" w:cs="Times New Roman"/>
                <w:color w:val="000000"/>
                <w:sz w:val="33"/>
                <w:szCs w:val="33"/>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生态平衡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保护耕地土壤，保证种粮面积，保障农业发展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保护耕地土壤，保证种粮面积，保障农业发展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粮食安全意识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粮食行政执法</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2.5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抓好粮食政策法规宣传，加强粮食流通市场的监管，有效维护全县粮食流通市场秩序，促进粮食流通市场快速、持续、健康发展，确保粮食市场繁荣稳定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抓好粮食政策法规宣传，加强粮食流通市场的监管，有效维护全县粮食流通市场秩序，促进粮食流通市场快速、持续、健康发展，确保粮食市场繁荣稳定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行政执法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全年开展行政执法36次，参加人员144人次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全年开展行政执法36次，参加人员144人次</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执法培训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组织粮食行政执法培训1次，规范执法行为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组织粮食行政执法培训1次，规范执法行为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执法培训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规范执法行为，提高执法水平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规范执法行为，提高执法水平</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执法期间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全年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行政执法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23000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23000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执法培训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2000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color w:val="000000"/>
                <w:sz w:val="33"/>
                <w:szCs w:val="33"/>
                <w:lang w:val="en-US" w:eastAsia="zh-CN"/>
              </w:rPr>
              <w:t>2000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行政执法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保证农民售粮优质优价，不打白条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保证农民售粮优质优价，不打白条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行政执法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维护粮食流通秩序，保证粮食质量安全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维护粮食流通秩序，保证粮食质量安全</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rPr>
            </w:pP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粮油库存管理</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color w:val="000000"/>
                <w:sz w:val="33"/>
                <w:szCs w:val="33"/>
                <w:lang w:val="en-US" w:eastAsia="zh-CN"/>
              </w:rPr>
              <w:t>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指导全县储备粮油体系建设，监督执行储备粮油管理的技术规范；监督检查各级储备粮油库存数量、质量和安全；研究提出县级储备粮油的收购、销售、轮换计划；协助做好中省储备粮油工作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指导全县储备粮油体系建设，监督执行储备粮油管理的技术规范；监督检查各级储备粮油库存数量、质量和安全；研究提出县级储备粮油的收购、销售、轮换计划；协助做好中省储备粮油工作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县级储备粮油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8250吨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8250吨</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省级储备粮食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8000吨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8000吨</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中央储备粮食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5100吨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5100吨</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最低价收购粮食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35000吨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35000吨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稻谷小麦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3级以上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3级以上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大米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1级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1级</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质量指标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菜油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1级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1级</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管理时间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常年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常年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管理费用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default" w:ascii="Times New Roman" w:hAnsi="Times New Roman" w:eastAsia="方正仿宋_GBK" w:cs="Times New Roman"/>
                <w:i w:val="0"/>
                <w:iCs w:val="0"/>
                <w:color w:val="000000"/>
                <w:kern w:val="0"/>
                <w:sz w:val="33"/>
                <w:szCs w:val="33"/>
                <w:u w:val="none"/>
                <w:lang w:val="en-US" w:eastAsia="zh-CN" w:bidi="ar"/>
              </w:rPr>
              <w:t>30000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30000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库存情况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科学绿色管理，减少损失浪费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科学绿色管理，减少损失浪费</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粮油安全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保证粮油数量真实，质量符合标准，保障粮食安全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保证粮油数量真实，质量符合标准，保障粮食安全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生态</w:t>
            </w:r>
            <w:r>
              <w:rPr>
                <w:rFonts w:hint="default" w:ascii="Times New Roman" w:hAnsi="Times New Roman" w:eastAsia="方正仿宋_GBK" w:cs="Times New Roman"/>
                <w:color w:val="000000"/>
                <w:sz w:val="33"/>
                <w:szCs w:val="33"/>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绿色储粮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减少药物污染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default" w:ascii="Times New Roman" w:hAnsi="Times New Roman" w:eastAsia="方正仿宋_GBK" w:cs="Times New Roman"/>
                <w:i w:val="0"/>
                <w:iCs w:val="0"/>
                <w:color w:val="000000"/>
                <w:kern w:val="0"/>
                <w:sz w:val="33"/>
                <w:szCs w:val="33"/>
                <w:u w:val="none"/>
                <w:lang w:val="en-US" w:eastAsia="zh-CN" w:bidi="ar"/>
              </w:rPr>
              <w:t>减少药物污染</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b/>
                <w:bCs/>
                <w:color w:val="000000"/>
                <w:kern w:val="0"/>
                <w:sz w:val="33"/>
                <w:szCs w:val="33"/>
                <w:lang w:eastAsia="zh-CN"/>
              </w:rPr>
            </w:pPr>
            <w:r>
              <w:rPr>
                <w:rFonts w:hint="default" w:ascii="Times New Roman" w:hAnsi="Times New Roman" w:eastAsia="方正仿宋_GBK" w:cs="Times New Roman"/>
                <w:b/>
                <w:bCs/>
                <w:color w:val="000000"/>
                <w:kern w:val="0"/>
                <w:sz w:val="33"/>
                <w:szCs w:val="33"/>
              </w:rPr>
              <w:t>项目绩效目标完成情况表</w:t>
            </w:r>
          </w:p>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(202</w:t>
            </w:r>
            <w:r>
              <w:rPr>
                <w:rFonts w:hint="default" w:ascii="Times New Roman" w:hAnsi="Times New Roman" w:eastAsia="方正仿宋_GBK" w:cs="Times New Roman"/>
                <w:color w:val="000000"/>
                <w:kern w:val="0"/>
                <w:sz w:val="33"/>
                <w:szCs w:val="33"/>
                <w:lang w:val="en-US" w:eastAsia="zh-CN"/>
              </w:rPr>
              <w:t>1</w:t>
            </w:r>
            <w:r>
              <w:rPr>
                <w:rFonts w:hint="default" w:ascii="Times New Roman" w:hAnsi="Times New Roman" w:eastAsia="方正仿宋_GBK" w:cs="Times New Roman"/>
                <w:color w:val="000000"/>
                <w:kern w:val="0"/>
                <w:sz w:val="33"/>
                <w:szCs w:val="33"/>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lang w:val="en-US" w:eastAsia="zh-CN"/>
              </w:rPr>
              <w:t>粮食财务挂账贷款利息</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邻水县粮食和物资储备中心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val="en-US" w:eastAsia="zh-CN"/>
              </w:rPr>
              <w:t>62.05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val="en-US" w:eastAsia="zh-CN"/>
              </w:rPr>
              <w:t>62.05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val="en-US" w:eastAsia="zh-CN"/>
              </w:rPr>
              <w:t>62.05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val="en-US" w:eastAsia="zh-CN"/>
              </w:rPr>
              <w:t>62.05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90" w:lineRule="exact"/>
              <w:ind w:left="0" w:right="0"/>
              <w:jc w:val="center"/>
              <w:rPr>
                <w:rFonts w:hint="default" w:ascii="Times New Roman" w:hAnsi="Times New Roman" w:eastAsia="方正仿宋_GBK" w:cs="Times New Roman"/>
                <w:color w:val="000000"/>
                <w:sz w:val="33"/>
                <w:szCs w:val="33"/>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eastAsia"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sz w:val="33"/>
                <w:szCs w:val="33"/>
              </w:rPr>
              <w:t>推动全县粮食购销领域高质量发展</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保障粮食物流运输通畅，加强粮食市场调控，确保粮油市场供应不脱销、不断档</w:t>
            </w:r>
            <w:r>
              <w:rPr>
                <w:rFonts w:hint="eastAsia" w:ascii="Times New Roman" w:hAnsi="Times New Roman" w:eastAsia="方正仿宋_GBK" w:cs="Times New Roman"/>
                <w:sz w:val="33"/>
                <w:szCs w:val="33"/>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推动全县粮食购销领域高质量发展</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保障粮食物流运输通畅，加强粮食市场调控，确保粮油市场供应不脱销、不断档</w:t>
            </w:r>
            <w:r>
              <w:rPr>
                <w:rFonts w:hint="eastAsia" w:ascii="Times New Roman" w:hAnsi="Times New Roman" w:eastAsia="方正仿宋_GBK" w:cs="Times New Roman"/>
                <w:sz w:val="33"/>
                <w:szCs w:val="33"/>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leftChars="0" w:right="0" w:rightChars="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leftChars="0" w:right="0" w:rightChars="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leftChars="0" w:right="0" w:rightChars="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bCs/>
                <w:sz w:val="33"/>
                <w:szCs w:val="33"/>
              </w:rPr>
              <w:t>指标完成情况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b w:val="0"/>
                <w:bCs w:val="0"/>
                <w:color w:val="000000"/>
                <w:sz w:val="33"/>
                <w:szCs w:val="33"/>
              </w:rPr>
            </w:pPr>
            <w:r>
              <w:rPr>
                <w:rFonts w:hint="default" w:ascii="Times New Roman" w:hAnsi="Times New Roman" w:eastAsia="方正仿宋_GBK" w:cs="Times New Roman"/>
                <w:sz w:val="33"/>
                <w:szCs w:val="33"/>
              </w:rPr>
              <w:t>资金到位率、粮食储备到位率、库存数量真实率均为100%。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sz w:val="33"/>
                <w:szCs w:val="33"/>
              </w:rPr>
              <w:t>资金到位率、粮食储备到位率、库存数量真实率均为100%。</w:t>
            </w:r>
          </w:p>
        </w:tc>
      </w:tr>
      <w:tr>
        <w:tblPrEx>
          <w:tblCellMar>
            <w:top w:w="0" w:type="dxa"/>
            <w:left w:w="0" w:type="dxa"/>
            <w:bottom w:w="0" w:type="dxa"/>
            <w:right w:w="0" w:type="dxa"/>
          </w:tblCellMar>
        </w:tblPrEx>
        <w:trPr>
          <w:trHeight w:val="6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eastAsia="zh-CN"/>
              </w:rPr>
              <w:t>期限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eastAsia" w:ascii="Times New Roman" w:hAnsi="Times New Roman" w:eastAsia="方正仿宋_GBK" w:cs="Times New Roman"/>
                <w:color w:val="000000"/>
                <w:sz w:val="33"/>
                <w:szCs w:val="33"/>
                <w:lang w:eastAsia="zh-CN"/>
              </w:rPr>
            </w:pPr>
            <w:r>
              <w:rPr>
                <w:rFonts w:hint="eastAsia" w:eastAsia="方正仿宋_GBK" w:cs="Times New Roman"/>
                <w:color w:val="000000"/>
                <w:sz w:val="33"/>
                <w:szCs w:val="33"/>
                <w:lang w:eastAsia="zh-CN"/>
              </w:rPr>
              <w:t>常年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eastAsia" w:eastAsia="方正仿宋_GBK" w:cs="Times New Roman"/>
                <w:color w:val="000000"/>
                <w:kern w:val="2"/>
                <w:sz w:val="33"/>
                <w:szCs w:val="33"/>
                <w:lang w:val="en-US" w:eastAsia="zh-CN" w:bidi="ar-SA"/>
              </w:rPr>
              <w:t>常年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eastAsia" w:ascii="Times New Roman" w:hAnsi="Times New Roman" w:eastAsia="方正仿宋_GBK" w:cs="Times New Roman"/>
                <w:color w:val="000000"/>
                <w:sz w:val="33"/>
                <w:szCs w:val="33"/>
                <w:lang w:eastAsia="zh-CN"/>
              </w:rPr>
            </w:pPr>
            <w:r>
              <w:rPr>
                <w:rFonts w:hint="default" w:ascii="Times New Roman" w:hAnsi="Times New Roman" w:eastAsia="方正仿宋_GBK" w:cs="Times New Roman"/>
                <w:sz w:val="33"/>
                <w:szCs w:val="33"/>
              </w:rPr>
              <w:t>政策性挂账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lang w:val="en-US" w:eastAsia="zh-CN"/>
              </w:rPr>
            </w:pPr>
            <w:r>
              <w:rPr>
                <w:rFonts w:hint="eastAsia" w:eastAsia="方正仿宋_GBK" w:cs="Times New Roman"/>
                <w:color w:val="000000"/>
                <w:sz w:val="33"/>
                <w:szCs w:val="33"/>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kern w:val="2"/>
                <w:sz w:val="33"/>
                <w:szCs w:val="33"/>
                <w:lang w:val="en-US" w:eastAsia="zh-CN" w:bidi="ar-SA"/>
              </w:rPr>
            </w:pPr>
            <w:r>
              <w:rPr>
                <w:rFonts w:hint="eastAsia" w:eastAsia="方正仿宋_GBK" w:cs="Times New Roman"/>
                <w:color w:val="000000"/>
                <w:kern w:val="2"/>
                <w:sz w:val="33"/>
                <w:szCs w:val="33"/>
                <w:lang w:val="en-US" w:eastAsia="zh-CN" w:bidi="ar-SA"/>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eastAsia" w:eastAsia="方正仿宋_GBK" w:cs="Times New Roman"/>
                <w:i w:val="0"/>
                <w:iCs w:val="0"/>
                <w:color w:val="000000"/>
                <w:kern w:val="2"/>
                <w:sz w:val="33"/>
                <w:szCs w:val="33"/>
                <w:u w:val="none"/>
                <w:lang w:val="en-US" w:eastAsia="zh-CN" w:bidi="ar-SA"/>
              </w:rPr>
              <w:t>保障率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eastAsia" w:eastAsia="方正仿宋_GBK" w:cs="Times New Roman"/>
                <w:i w:val="0"/>
                <w:iCs w:val="0"/>
                <w:color w:val="000000"/>
                <w:kern w:val="0"/>
                <w:sz w:val="33"/>
                <w:szCs w:val="33"/>
                <w:u w:val="none"/>
                <w:lang w:val="en-US" w:eastAsia="zh-CN" w:bidi="ar"/>
              </w:rPr>
              <w:t>保障</w:t>
            </w:r>
            <w:r>
              <w:rPr>
                <w:rFonts w:hint="default" w:ascii="Times New Roman" w:hAnsi="Times New Roman" w:eastAsia="方正仿宋_GBK" w:cs="Times New Roman"/>
                <w:sz w:val="33"/>
                <w:szCs w:val="33"/>
              </w:rPr>
              <w:t>政策性挂账</w:t>
            </w:r>
            <w:r>
              <w:rPr>
                <w:rFonts w:hint="eastAsia" w:eastAsia="方正仿宋_GBK" w:cs="Times New Roman"/>
                <w:i w:val="0"/>
                <w:iCs w:val="0"/>
                <w:color w:val="000000"/>
                <w:kern w:val="0"/>
                <w:sz w:val="33"/>
                <w:szCs w:val="33"/>
                <w:u w:val="none"/>
                <w:lang w:val="en-US" w:eastAsia="zh-CN" w:bidi="ar"/>
              </w:rPr>
              <w:t>利息</w:t>
            </w:r>
            <w:r>
              <w:rPr>
                <w:rFonts w:hint="default" w:ascii="Times New Roman" w:hAnsi="Times New Roman" w:eastAsia="方正仿宋_GBK" w:cs="Times New Roman"/>
                <w:sz w:val="33"/>
                <w:szCs w:val="33"/>
              </w:rPr>
              <w:t>补贴保障率均为100%</w:t>
            </w:r>
            <w:r>
              <w:rPr>
                <w:rFonts w:hint="eastAsia" w:ascii="Times New Roman" w:hAnsi="Times New Roman" w:eastAsia="方正仿宋_GBK" w:cs="Times New Roman"/>
                <w:sz w:val="33"/>
                <w:szCs w:val="33"/>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eastAsia" w:eastAsia="方正仿宋_GBK" w:cs="Times New Roman"/>
                <w:i w:val="0"/>
                <w:iCs w:val="0"/>
                <w:color w:val="000000"/>
                <w:kern w:val="0"/>
                <w:sz w:val="33"/>
                <w:szCs w:val="33"/>
                <w:u w:val="none"/>
                <w:lang w:val="en-US" w:eastAsia="zh-CN" w:bidi="ar"/>
              </w:rPr>
              <w:t>保障</w:t>
            </w:r>
            <w:r>
              <w:rPr>
                <w:rFonts w:hint="default" w:ascii="Times New Roman" w:hAnsi="Times New Roman" w:eastAsia="方正仿宋_GBK" w:cs="Times New Roman"/>
                <w:sz w:val="33"/>
                <w:szCs w:val="33"/>
              </w:rPr>
              <w:t>政策性挂账</w:t>
            </w:r>
            <w:r>
              <w:rPr>
                <w:rFonts w:hint="eastAsia" w:eastAsia="方正仿宋_GBK" w:cs="Times New Roman"/>
                <w:i w:val="0"/>
                <w:iCs w:val="0"/>
                <w:color w:val="000000"/>
                <w:kern w:val="0"/>
                <w:sz w:val="33"/>
                <w:szCs w:val="33"/>
                <w:u w:val="none"/>
                <w:lang w:val="en-US" w:eastAsia="zh-CN" w:bidi="ar"/>
              </w:rPr>
              <w:t>利息</w:t>
            </w:r>
            <w:r>
              <w:rPr>
                <w:rFonts w:hint="default" w:ascii="Times New Roman" w:hAnsi="Times New Roman" w:eastAsia="方正仿宋_GBK" w:cs="Times New Roman"/>
                <w:sz w:val="33"/>
                <w:szCs w:val="33"/>
              </w:rPr>
              <w:t>补贴保障率均为100%</w:t>
            </w:r>
            <w:r>
              <w:rPr>
                <w:rFonts w:hint="eastAsia" w:ascii="Times New Roman" w:hAnsi="Times New Roman" w:eastAsia="方正仿宋_GBK" w:cs="Times New Roman"/>
                <w:sz w:val="33"/>
                <w:szCs w:val="33"/>
                <w:lang w:eastAsia="zh-CN"/>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eastAsia" w:eastAsia="方正仿宋_GBK" w:cs="Times New Roman"/>
                <w:i w:val="0"/>
                <w:iCs w:val="0"/>
                <w:color w:val="000000"/>
                <w:kern w:val="2"/>
                <w:sz w:val="33"/>
                <w:szCs w:val="33"/>
                <w:u w:val="none"/>
                <w:lang w:val="en-US" w:eastAsia="zh-CN" w:bidi="ar-SA"/>
              </w:rPr>
              <w:t>市场保供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right="0"/>
              <w:jc w:val="left"/>
              <w:textAlignment w:val="center"/>
              <w:rPr>
                <w:rFonts w:hint="eastAsia"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年在指导粮食企业做好新冠肺炎疫情防控工作的同时全力做好粮油市场保供稳价工作，保障粮食物流运输通畅，加强粮食市场调控，确保粮油市场供应不脱销、不断档</w:t>
            </w:r>
            <w:r>
              <w:rPr>
                <w:rFonts w:hint="eastAsia" w:ascii="Times New Roman" w:hAnsi="Times New Roman" w:eastAsia="方正仿宋_GBK" w:cs="Times New Roman"/>
                <w:sz w:val="28"/>
                <w:szCs w:val="2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5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年在指导粮食企业做好新冠肺炎疫情防控工作的同时全力做好粮油市场保供稳价工作，保障粮食物流运输通畅，加强粮食市场调控，确保粮油市场供应不脱销、不断档</w:t>
            </w:r>
            <w:r>
              <w:rPr>
                <w:rFonts w:hint="eastAsia" w:ascii="Times New Roman" w:hAnsi="Times New Roman" w:eastAsia="方正仿宋_GBK" w:cs="Times New Roman"/>
                <w:sz w:val="28"/>
                <w:szCs w:val="28"/>
                <w:lang w:eastAsia="zh-CN"/>
              </w:rPr>
              <w:t>。</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lang w:val="en-US" w:eastAsia="zh-CN"/>
              </w:rPr>
              <w:t>生态</w:t>
            </w:r>
            <w:r>
              <w:rPr>
                <w:rFonts w:hint="default" w:ascii="Times New Roman" w:hAnsi="Times New Roman" w:eastAsia="方正仿宋_GBK" w:cs="Times New Roman"/>
                <w:color w:val="000000"/>
                <w:sz w:val="33"/>
                <w:szCs w:val="33"/>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eastAsia" w:eastAsia="方正仿宋_GBK" w:cs="Times New Roman"/>
                <w:i w:val="0"/>
                <w:iCs w:val="0"/>
                <w:color w:val="000000"/>
                <w:kern w:val="0"/>
                <w:sz w:val="33"/>
                <w:szCs w:val="33"/>
                <w:u w:val="none"/>
                <w:lang w:val="en-US" w:eastAsia="zh-CN"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eastAsia" w:eastAsia="方正仿宋_GBK" w:cs="Times New Roman"/>
                <w:i w:val="0"/>
                <w:iCs w:val="0"/>
                <w:color w:val="000000"/>
                <w:kern w:val="0"/>
                <w:sz w:val="33"/>
                <w:szCs w:val="33"/>
                <w:u w:val="none"/>
                <w:lang w:val="en-US" w:eastAsia="zh-CN" w:bidi="ar"/>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0"/>
                <w:sz w:val="33"/>
                <w:szCs w:val="33"/>
                <w:u w:val="none"/>
                <w:lang w:val="en-US" w:eastAsia="zh-CN" w:bidi="ar"/>
              </w:rPr>
            </w:pPr>
            <w:r>
              <w:rPr>
                <w:rFonts w:hint="eastAsia" w:eastAsia="方正仿宋_GBK" w:cs="Times New Roman"/>
                <w:i w:val="0"/>
                <w:iCs w:val="0"/>
                <w:color w:val="000000"/>
                <w:kern w:val="0"/>
                <w:sz w:val="33"/>
                <w:szCs w:val="33"/>
                <w:u w:val="none"/>
                <w:lang w:val="en-US" w:eastAsia="zh-CN" w:bidi="ar"/>
              </w:rPr>
              <w:t>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kern w:val="0"/>
                <w:sz w:val="33"/>
                <w:szCs w:val="3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90" w:lineRule="exact"/>
              <w:ind w:left="0" w:right="0"/>
              <w:jc w:val="center"/>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color w:val="000000"/>
                <w:sz w:val="33"/>
                <w:szCs w:val="33"/>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i w:val="0"/>
                <w:iCs w:val="0"/>
                <w:color w:val="000000"/>
                <w:kern w:val="0"/>
                <w:sz w:val="33"/>
                <w:szCs w:val="33"/>
                <w:u w:val="none"/>
                <w:lang w:val="en-US" w:eastAsia="zh-CN" w:bidi="ar"/>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90" w:lineRule="exact"/>
              <w:ind w:left="0" w:right="0"/>
              <w:jc w:val="left"/>
              <w:textAlignment w:val="center"/>
              <w:rPr>
                <w:rFonts w:hint="default" w:ascii="Times New Roman" w:hAnsi="Times New Roman" w:eastAsia="方正仿宋_GBK" w:cs="Times New Roman"/>
                <w:i w:val="0"/>
                <w:iCs w:val="0"/>
                <w:color w:val="000000"/>
                <w:kern w:val="2"/>
                <w:sz w:val="33"/>
                <w:szCs w:val="33"/>
                <w:u w:val="none"/>
                <w:lang w:val="en-US" w:eastAsia="zh-CN" w:bidi="ar-SA"/>
              </w:rPr>
            </w:pPr>
            <w:r>
              <w:rPr>
                <w:rFonts w:hint="default" w:ascii="Times New Roman" w:hAnsi="Times New Roman" w:eastAsia="方正仿宋_GBK" w:cs="Times New Roman"/>
                <w:i w:val="0"/>
                <w:iCs w:val="0"/>
                <w:color w:val="000000"/>
                <w:kern w:val="0"/>
                <w:sz w:val="33"/>
                <w:szCs w:val="33"/>
                <w:u w:val="none"/>
                <w:lang w:val="en-US" w:eastAsia="zh-CN" w:bidi="ar"/>
              </w:rPr>
              <w:t>95%</w:t>
            </w:r>
          </w:p>
        </w:tc>
      </w:tr>
    </w:tbl>
    <w:p>
      <w:pPr>
        <w:keepNext w:val="0"/>
        <w:keepLines w:val="0"/>
        <w:pageBreakBefore w:val="0"/>
        <w:widowControl w:val="0"/>
        <w:kinsoku/>
        <w:wordWrap/>
        <w:overflowPunct/>
        <w:topLinePunct w:val="0"/>
        <w:autoSpaceDE/>
        <w:autoSpaceDN/>
        <w:bidi w:val="0"/>
        <w:adjustRightInd/>
        <w:snapToGrid/>
        <w:spacing w:line="590" w:lineRule="exact"/>
        <w:ind w:right="0" w:firstLine="663" w:firstLineChars="200"/>
        <w:textAlignment w:val="auto"/>
        <w:rPr>
          <w:rFonts w:hint="default" w:ascii="Times New Roman" w:hAnsi="Times New Roman" w:eastAsia="方正仿宋_GBK" w:cs="Times New Roman"/>
          <w:b/>
          <w:bCs/>
          <w:sz w:val="33"/>
          <w:szCs w:val="33"/>
        </w:rPr>
      </w:pPr>
      <w:r>
        <w:rPr>
          <w:rFonts w:hint="default" w:ascii="Times New Roman" w:hAnsi="Times New Roman" w:eastAsia="方正仿宋_GBK" w:cs="Times New Roman"/>
          <w:b/>
          <w:bCs/>
          <w:sz w:val="33"/>
          <w:szCs w:val="33"/>
        </w:rPr>
        <w:t>2.部门绩效评价结果</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本部门按要求对202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年部门整体支出绩效评价情况开展自评，《</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rPr>
        <w:t>部门202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年部门整体支出绩效评价报告》见附件（附件1）。</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本部门自行组织对“</w:t>
      </w:r>
      <w:r>
        <w:rPr>
          <w:rFonts w:hint="default" w:ascii="Times New Roman" w:hAnsi="Times New Roman" w:eastAsia="方正仿宋_GBK" w:cs="Times New Roman"/>
          <w:sz w:val="33"/>
          <w:szCs w:val="33"/>
          <w:lang w:val="en-US" w:eastAsia="zh-CN"/>
        </w:rPr>
        <w:t>仓库建设及管理项目</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国有粮食企业管理项目</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国有粮食企业职工档案管理项目</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粮食安全行政首长责任制考核项目</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粮食行政执法项目</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粮食库存管理项目</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开展了绩效评价，《项目202</w:t>
      </w:r>
      <w:r>
        <w:rPr>
          <w:rFonts w:hint="default"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年绩效评价报告》见附件（附件2）。</w:t>
      </w:r>
      <w:bookmarkStart w:id="55" w:name="_Toc15396613"/>
      <w:bookmarkStart w:id="56" w:name="_Toc15377225"/>
    </w:p>
    <w:p>
      <w:pPr>
        <w:pStyle w:val="2"/>
        <w:rPr>
          <w:rFonts w:hint="default" w:ascii="Times New Roman" w:hAnsi="Times New Roman" w:eastAsia="方正仿宋_GBK" w:cs="Times New Roman"/>
          <w:sz w:val="33"/>
          <w:szCs w:val="33"/>
        </w:rPr>
      </w:pPr>
    </w:p>
    <w:p>
      <w:pPr>
        <w:pStyle w:val="2"/>
        <w:rPr>
          <w:rFonts w:hint="default" w:ascii="Times New Roman" w:hAnsi="Times New Roman" w:eastAsia="方正仿宋_GBK" w:cs="Times New Roman"/>
          <w:sz w:val="33"/>
          <w:szCs w:val="33"/>
        </w:rPr>
      </w:pPr>
    </w:p>
    <w:p>
      <w:pPr>
        <w:pStyle w:val="2"/>
        <w:rPr>
          <w:rFonts w:hint="default" w:ascii="Times New Roman" w:hAnsi="Times New Roman" w:eastAsia="方正仿宋_GBK" w:cs="Times New Roman"/>
          <w:sz w:val="33"/>
          <w:szCs w:val="33"/>
        </w:rPr>
      </w:pPr>
    </w:p>
    <w:p>
      <w:pPr>
        <w:pStyle w:val="2"/>
        <w:rPr>
          <w:rFonts w:hint="default" w:ascii="Times New Roman" w:hAnsi="Times New Roman" w:eastAsia="方正仿宋_GBK" w:cs="Times New Roman"/>
          <w:sz w:val="33"/>
          <w:szCs w:val="33"/>
        </w:rPr>
      </w:pPr>
    </w:p>
    <w:p>
      <w:pPr>
        <w:pStyle w:val="2"/>
        <w:rPr>
          <w:rFonts w:hint="default" w:ascii="Times New Roman" w:hAnsi="Times New Roman" w:eastAsia="方正仿宋_GBK" w:cs="Times New Roman"/>
          <w:sz w:val="33"/>
          <w:szCs w:val="33"/>
        </w:rPr>
      </w:pPr>
    </w:p>
    <w:p>
      <w:pPr>
        <w:pStyle w:val="2"/>
        <w:rPr>
          <w:rFonts w:hint="eastAsia" w:ascii="Times New Roman" w:hAnsi="Times New Roman" w:eastAsia="方正仿宋_GBK" w:cs="Times New Roman"/>
          <w:sz w:val="33"/>
          <w:szCs w:val="33"/>
          <w:lang w:eastAsia="zh-CN"/>
        </w:rPr>
      </w:pPr>
    </w:p>
    <w:p>
      <w:pPr>
        <w:pageBreakBefore w:val="0"/>
        <w:numPr>
          <w:ilvl w:val="0"/>
          <w:numId w:val="0"/>
        </w:numPr>
        <w:kinsoku/>
        <w:wordWrap/>
        <w:overflowPunct/>
        <w:topLinePunct w:val="0"/>
        <w:bidi w:val="0"/>
        <w:spacing w:line="590" w:lineRule="exact"/>
        <w:ind w:leftChars="150" w:right="0" w:rightChars="0"/>
        <w:jc w:val="center"/>
        <w:outlineLvl w:val="0"/>
        <w:rPr>
          <w:rStyle w:val="14"/>
          <w:rFonts w:hint="eastAsia" w:ascii="黑体" w:hAnsi="黑体" w:eastAsia="黑体" w:cs="黑体"/>
          <w:b w:val="0"/>
          <w:sz w:val="44"/>
          <w:szCs w:val="44"/>
        </w:rPr>
      </w:pPr>
      <w:r>
        <w:rPr>
          <w:rFonts w:hint="eastAsia" w:ascii="黑体" w:hAnsi="黑体" w:eastAsia="黑体" w:cs="黑体"/>
          <w:color w:val="000000"/>
          <w:sz w:val="44"/>
          <w:szCs w:val="44"/>
          <w:lang w:eastAsia="zh-CN"/>
        </w:rPr>
        <w:t>第三部分</w:t>
      </w:r>
      <w:r>
        <w:rPr>
          <w:rFonts w:hint="eastAsia" w:ascii="黑体" w:hAnsi="黑体" w:eastAsia="黑体" w:cs="黑体"/>
          <w:color w:val="000000"/>
          <w:sz w:val="44"/>
          <w:szCs w:val="44"/>
          <w:lang w:val="en-US" w:eastAsia="zh-CN"/>
        </w:rPr>
        <w:t xml:space="preserve"> </w:t>
      </w:r>
      <w:r>
        <w:rPr>
          <w:rFonts w:hint="eastAsia" w:ascii="黑体" w:hAnsi="黑体" w:eastAsia="黑体" w:cs="黑体"/>
          <w:color w:val="000000"/>
          <w:sz w:val="44"/>
          <w:szCs w:val="44"/>
        </w:rPr>
        <w:t>名</w:t>
      </w:r>
      <w:r>
        <w:rPr>
          <w:rStyle w:val="14"/>
          <w:rFonts w:hint="eastAsia" w:ascii="黑体" w:hAnsi="黑体" w:eastAsia="黑体" w:cs="黑体"/>
          <w:b w:val="0"/>
          <w:sz w:val="44"/>
          <w:szCs w:val="44"/>
        </w:rPr>
        <w:t>词解释</w:t>
      </w:r>
      <w:bookmarkEnd w:id="55"/>
      <w:bookmarkEnd w:id="56"/>
    </w:p>
    <w:p>
      <w:pPr>
        <w:pageBreakBefore w:val="0"/>
        <w:numPr>
          <w:ilvl w:val="0"/>
          <w:numId w:val="0"/>
        </w:numPr>
        <w:kinsoku/>
        <w:wordWrap/>
        <w:overflowPunct/>
        <w:topLinePunct w:val="0"/>
        <w:bidi w:val="0"/>
        <w:spacing w:line="590" w:lineRule="exact"/>
        <w:ind w:right="0" w:rightChars="0"/>
        <w:rPr>
          <w:rFonts w:hint="default" w:ascii="Times New Roman" w:hAnsi="Times New Roman" w:eastAsia="方正仿宋_GBK" w:cs="Times New Roman"/>
          <w:b w:val="0"/>
          <w:bCs/>
          <w:color w:val="000000" w:themeColor="text1"/>
          <w:sz w:val="33"/>
          <w:szCs w:val="33"/>
          <w14:textFill>
            <w14:solidFill>
              <w14:schemeClr w14:val="tx1"/>
            </w14:solidFill>
          </w14:textFill>
        </w:rPr>
      </w:pPr>
    </w:p>
    <w:p>
      <w:pPr>
        <w:pStyle w:val="17"/>
        <w:spacing w:line="560" w:lineRule="exact"/>
        <w:ind w:firstLine="660" w:firstLineChars="200"/>
        <w:rPr>
          <w:rFonts w:hint="default" w:ascii="Times New Roman" w:hAnsi="Times New Roman" w:eastAsia="仿宋_GB2312" w:cs="Times New Roman"/>
          <w:sz w:val="33"/>
          <w:szCs w:val="33"/>
        </w:rPr>
      </w:pPr>
      <w:r>
        <w:rPr>
          <w:rFonts w:hint="default" w:ascii="Times New Roman" w:hAnsi="Times New Roman" w:eastAsia="仿宋_GB2312" w:cs="Times New Roman"/>
          <w:sz w:val="33"/>
          <w:szCs w:val="33"/>
          <w:lang w:val="en-US" w:eastAsia="zh-CN"/>
        </w:rPr>
        <w:t>1.</w:t>
      </w:r>
      <w:r>
        <w:rPr>
          <w:rFonts w:hint="default" w:ascii="Times New Roman" w:hAnsi="Times New Roman" w:eastAsia="仿宋_GB2312" w:cs="Times New Roman"/>
          <w:sz w:val="33"/>
          <w:szCs w:val="33"/>
        </w:rPr>
        <w:t>财政拨款收入：指单位从同级财政部门取得的财政预算资金。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人力资源和社会保障管理事务支出</w:t>
      </w:r>
      <w:r>
        <w:rPr>
          <w:rStyle w:val="12"/>
          <w:rFonts w:hint="default" w:ascii="Times New Roman" w:hAnsi="Times New Roman" w:eastAsia="方正仿宋_GBK" w:cs="Times New Roman"/>
          <w:b w:val="0"/>
          <w:bCs w:val="0"/>
          <w:color w:val="000000"/>
          <w:sz w:val="33"/>
          <w:szCs w:val="33"/>
          <w:lang w:eastAsia="zh-CN"/>
        </w:rPr>
        <w:t>（</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sz w:val="33"/>
          <w:szCs w:val="33"/>
        </w:rPr>
        <w:t>指部门用财政拨款安排的</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人力资源和社会保障管理事务等费用支出。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default" w:ascii="Times New Roman" w:hAnsi="Times New Roman" w:eastAsia="方正仿宋_GBK" w:cs="Times New Roman"/>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3</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行政单位离退休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Fonts w:hint="default" w:ascii="Times New Roman" w:hAnsi="Times New Roman" w:eastAsia="方正仿宋_GBK" w:cs="Times New Roman"/>
          <w:color w:val="000000"/>
          <w:sz w:val="33"/>
          <w:szCs w:val="33"/>
          <w:lang w:eastAsia="zh-CN"/>
        </w:rPr>
        <w:t>指单位离退休人员社会保障费用支出。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机关事业单位基本养老保险缴费支出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：指行政事业单位基本养老保险费用支出。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机关事业单位职业年金缴费支出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：指行政事业单位职业年金缴纳费用支出。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行政事业单位养老支出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其他行政事业单位养老支出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：指行政事业单位工伤、失业等其他社会保障费用支出。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7</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社会保障和就业（类）</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死亡</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抚恤</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：指行政事业单位丧葬、死亡抚恤费用支出。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textAlignment w:val="auto"/>
        <w:rPr>
          <w:rFonts w:hint="default" w:ascii="Times New Roman" w:hAnsi="Times New Roman" w:eastAsia="方正仿宋_GBK" w:cs="Times New Roman"/>
          <w:color w:val="000000"/>
          <w:sz w:val="33"/>
          <w:szCs w:val="33"/>
          <w:lang w:eastAsia="zh-CN"/>
        </w:rPr>
      </w:pPr>
      <w:r>
        <w:rPr>
          <w:rFonts w:hint="eastAsia" w:ascii="Times New Roman" w:hAnsi="Times New Roman" w:eastAsia="方正仿宋_GBK" w:cs="Times New Roman"/>
          <w:b w:val="0"/>
          <w:bCs/>
          <w:color w:val="000000" w:themeColor="text1"/>
          <w:sz w:val="33"/>
          <w:szCs w:val="33"/>
          <w:lang w:val="en-US" w:eastAsia="zh-CN"/>
          <w14:textFill>
            <w14:solidFill>
              <w14:schemeClr w14:val="tx1"/>
            </w14:solidFill>
          </w14:textFill>
        </w:rPr>
        <w:t>8</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行政事业单位医疗</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行政单位医疗</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rPr>
        <w:t>:</w:t>
      </w:r>
      <w:r>
        <w:rPr>
          <w:rStyle w:val="12"/>
          <w:rFonts w:hint="default" w:ascii="Times New Roman" w:hAnsi="Times New Roman" w:eastAsia="方正仿宋_GBK" w:cs="Times New Roman"/>
          <w:b w:val="0"/>
          <w:bCs/>
          <w:color w:val="000000"/>
          <w:sz w:val="33"/>
          <w:szCs w:val="33"/>
        </w:rPr>
        <w:t xml:space="preserve"> </w:t>
      </w:r>
      <w:r>
        <w:rPr>
          <w:rFonts w:hint="default" w:ascii="Times New Roman" w:hAnsi="Times New Roman" w:eastAsia="方正仿宋_GBK" w:cs="Times New Roman"/>
          <w:color w:val="000000"/>
          <w:sz w:val="33"/>
          <w:szCs w:val="33"/>
          <w:lang w:eastAsia="zh-CN"/>
        </w:rPr>
        <w:t>指单位医疗保险等缴费支出。</w:t>
      </w:r>
    </w:p>
    <w:p>
      <w:pPr>
        <w:pageBreakBefore w:val="0"/>
        <w:kinsoku/>
        <w:wordWrap/>
        <w:overflowPunct/>
        <w:topLinePunct w:val="0"/>
        <w:bidi w:val="0"/>
        <w:spacing w:line="590" w:lineRule="exact"/>
        <w:ind w:left="0" w:right="0" w:firstLine="660" w:firstLineChars="200"/>
        <w:rPr>
          <w:rFonts w:hint="default" w:ascii="Times New Roman" w:hAnsi="Times New Roman" w:eastAsia="仿宋_GB2312" w:cs="Times New Roman"/>
          <w:sz w:val="33"/>
          <w:szCs w:val="33"/>
          <w:lang w:eastAsia="zh-CN"/>
        </w:rPr>
      </w:pP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9</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default" w:ascii="Times New Roman" w:hAnsi="Times New Roman" w:eastAsia="方正仿宋_GBK" w:cs="Times New Roman"/>
          <w:color w:val="000000" w:themeColor="text1"/>
          <w:sz w:val="33"/>
          <w:szCs w:val="33"/>
          <w14:textFill>
            <w14:solidFill>
              <w14:schemeClr w14:val="tx1"/>
            </w14:solidFill>
          </w14:textFill>
        </w:rPr>
        <w:t>住房保障支出</w:t>
      </w:r>
      <w:r>
        <w:rPr>
          <w:rFonts w:hint="default" w:ascii="Times New Roman" w:hAnsi="Times New Roman" w:eastAsia="方正仿宋_GBK" w:cs="Times New Roman"/>
          <w:color w:val="000000" w:themeColor="text1"/>
          <w:sz w:val="33"/>
          <w:szCs w:val="33"/>
          <w:lang w:eastAsia="zh-CN"/>
          <w14:textFill>
            <w14:solidFill>
              <w14:schemeClr w14:val="tx1"/>
            </w14:solidFill>
          </w14:textFill>
        </w:rPr>
        <w:t>（</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类</w:t>
      </w:r>
      <w:r>
        <w:rPr>
          <w:rFonts w:hint="default" w:ascii="Times New Roman" w:hAnsi="Times New Roman" w:eastAsia="方正仿宋_GBK" w:cs="Times New Roman"/>
          <w:b w:val="0"/>
          <w:bCs w:val="0"/>
          <w:color w:val="000000" w:themeColor="text1"/>
          <w:sz w:val="33"/>
          <w:szCs w:val="33"/>
          <w:lang w:eastAsia="zh-CN"/>
          <w14:textFill>
            <w14:solidFill>
              <w14:schemeClr w14:val="tx1"/>
            </w14:solidFill>
          </w14:textFill>
        </w:rPr>
        <w:t>）</w:t>
      </w:r>
      <w:r>
        <w:rPr>
          <w:rStyle w:val="12"/>
          <w:rFonts w:hint="default" w:ascii="Times New Roman" w:hAnsi="Times New Roman" w:eastAsia="方正仿宋_GBK" w:cs="Times New Roman"/>
          <w:b w:val="0"/>
          <w:bCs w:val="0"/>
          <w:color w:val="000000"/>
          <w:sz w:val="33"/>
          <w:szCs w:val="33"/>
          <w:lang w:val="en-US" w:eastAsia="zh-CN"/>
        </w:rPr>
        <w:t>住房改革支出</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住房公积金</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Cs/>
          <w:color w:val="000000"/>
          <w:sz w:val="33"/>
          <w:szCs w:val="33"/>
          <w:lang w:eastAsia="zh-CN"/>
        </w:rPr>
        <w:t>：</w:t>
      </w:r>
      <w:r>
        <w:rPr>
          <w:rFonts w:hint="default" w:ascii="Times New Roman" w:hAnsi="Times New Roman" w:eastAsia="方正仿宋_GBK" w:cs="Times New Roman"/>
          <w:color w:val="000000"/>
          <w:sz w:val="33"/>
          <w:szCs w:val="33"/>
          <w:lang w:eastAsia="zh-CN"/>
        </w:rPr>
        <w:t>指行政事业单位住房公积金缴费支出。</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val="0"/>
          <w:color w:val="000000"/>
          <w:sz w:val="33"/>
          <w:szCs w:val="33"/>
          <w:lang w:val="en-US" w:eastAsia="zh-CN"/>
        </w:rPr>
      </w:pP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行政运行</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bookmarkStart w:id="73" w:name="_GoBack"/>
      <w:r>
        <w:rPr>
          <w:rFonts w:hint="default" w:ascii="Times New Roman" w:hAnsi="Times New Roman" w:eastAsia="方正仿宋_GBK" w:cs="Times New Roman"/>
          <w:color w:val="000000"/>
          <w:sz w:val="33"/>
          <w:szCs w:val="33"/>
          <w:lang w:eastAsia="zh-CN"/>
        </w:rPr>
        <w:t>指单位</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lang w:val="en-US" w:eastAsia="zh-CN"/>
        </w:rPr>
        <w:t>行政运行费用支出</w:t>
      </w:r>
      <w:bookmarkEnd w:id="73"/>
      <w:r>
        <w:rPr>
          <w:rStyle w:val="12"/>
          <w:rFonts w:hint="default" w:ascii="Times New Roman" w:hAnsi="Times New Roman" w:eastAsia="方正仿宋_GBK" w:cs="Times New Roman"/>
          <w:b w:val="0"/>
          <w:bCs w:val="0"/>
          <w:color w:val="000000"/>
          <w:sz w:val="33"/>
          <w:szCs w:val="33"/>
          <w:lang w:val="en-US" w:eastAsia="zh-CN"/>
        </w:rPr>
        <w:t>。</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val="0"/>
          <w:color w:val="000000"/>
          <w:sz w:val="33"/>
          <w:szCs w:val="33"/>
          <w:lang w:val="en-US"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信息统计</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sz w:val="33"/>
          <w:szCs w:val="33"/>
          <w:lang w:eastAsia="zh-CN"/>
        </w:rPr>
        <w:t>指单位</w:t>
      </w:r>
      <w:r>
        <w:rPr>
          <w:rStyle w:val="12"/>
          <w:rFonts w:hint="default" w:ascii="Times New Roman" w:hAnsi="Times New Roman" w:eastAsia="方正仿宋_GBK" w:cs="Times New Roman"/>
          <w:b w:val="0"/>
          <w:bCs w:val="0"/>
          <w:color w:val="000000"/>
          <w:sz w:val="33"/>
          <w:szCs w:val="33"/>
          <w:lang w:eastAsia="zh-CN"/>
        </w:rPr>
        <w:t>粮油</w:t>
      </w:r>
      <w:r>
        <w:rPr>
          <w:rStyle w:val="12"/>
          <w:rFonts w:hint="default" w:ascii="Times New Roman" w:hAnsi="Times New Roman" w:eastAsia="方正仿宋_GBK" w:cs="Times New Roman"/>
          <w:b w:val="0"/>
          <w:bCs w:val="0"/>
          <w:color w:val="000000"/>
          <w:sz w:val="33"/>
          <w:szCs w:val="33"/>
          <w:lang w:val="en-US" w:eastAsia="zh-CN"/>
        </w:rPr>
        <w:t>信息统计费用支出。</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val="0"/>
          <w:color w:val="000000"/>
          <w:sz w:val="33"/>
          <w:szCs w:val="33"/>
          <w:lang w:val="en-US"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2</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粮食财务挂账利息补贴</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sz w:val="33"/>
          <w:szCs w:val="33"/>
          <w:lang w:eastAsia="zh-CN"/>
        </w:rPr>
        <w:t>指单位</w:t>
      </w:r>
      <w:r>
        <w:rPr>
          <w:rStyle w:val="12"/>
          <w:rFonts w:hint="default" w:ascii="Times New Roman" w:hAnsi="Times New Roman" w:eastAsia="方正仿宋_GBK" w:cs="Times New Roman"/>
          <w:b w:val="0"/>
          <w:bCs w:val="0"/>
          <w:color w:val="000000"/>
          <w:sz w:val="33"/>
          <w:szCs w:val="33"/>
          <w:lang w:val="en-US" w:eastAsia="zh-CN"/>
        </w:rPr>
        <w:t>粮食财务挂账利息补贴费用支出。</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val="0"/>
          <w:color w:val="000000"/>
          <w:sz w:val="33"/>
          <w:szCs w:val="33"/>
          <w:lang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3</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其他粮油物资事务支出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sz w:val="33"/>
          <w:szCs w:val="33"/>
          <w:lang w:eastAsia="zh-CN"/>
        </w:rPr>
        <w:t>指单位其他粮油物资事务相关费用支出。</w:t>
      </w:r>
    </w:p>
    <w:p>
      <w:pPr>
        <w:pageBreakBefore w:val="0"/>
        <w:kinsoku/>
        <w:wordWrap/>
        <w:overflowPunct/>
        <w:topLinePunct w:val="0"/>
        <w:bidi w:val="0"/>
        <w:spacing w:line="590" w:lineRule="exact"/>
        <w:ind w:left="0" w:right="0" w:firstLine="660" w:firstLineChars="200"/>
        <w:rPr>
          <w:rStyle w:val="12"/>
          <w:rFonts w:hint="default" w:ascii="Times New Roman" w:hAnsi="Times New Roman" w:eastAsia="方正仿宋_GBK" w:cs="Times New Roman"/>
          <w:b w:val="0"/>
          <w:bCs w:val="0"/>
          <w:color w:val="000000"/>
          <w:sz w:val="33"/>
          <w:szCs w:val="33"/>
          <w:lang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4</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储备粮（油）库建设</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sz w:val="33"/>
          <w:szCs w:val="33"/>
          <w:lang w:eastAsia="zh-CN"/>
        </w:rPr>
        <w:t>指单位</w:t>
      </w:r>
      <w:r>
        <w:rPr>
          <w:rStyle w:val="12"/>
          <w:rFonts w:hint="default" w:ascii="Times New Roman" w:hAnsi="Times New Roman" w:eastAsia="方正仿宋_GBK" w:cs="Times New Roman"/>
          <w:b w:val="0"/>
          <w:bCs w:val="0"/>
          <w:color w:val="000000"/>
          <w:sz w:val="33"/>
          <w:szCs w:val="33"/>
          <w:lang w:val="en-US" w:eastAsia="zh-CN"/>
        </w:rPr>
        <w:t>储备粮（油）库建设</w:t>
      </w:r>
      <w:r>
        <w:rPr>
          <w:rStyle w:val="12"/>
          <w:rFonts w:hint="default" w:ascii="Times New Roman" w:hAnsi="Times New Roman" w:eastAsia="方正仿宋_GBK" w:cs="Times New Roman"/>
          <w:b w:val="0"/>
          <w:bCs w:val="0"/>
          <w:color w:val="000000"/>
          <w:sz w:val="33"/>
          <w:szCs w:val="33"/>
          <w:lang w:eastAsia="zh-CN"/>
        </w:rPr>
        <w:t>费用支出。</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5</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.粮油物资储备支出</w:t>
      </w:r>
      <w:r>
        <w:rPr>
          <w:rStyle w:val="12"/>
          <w:rFonts w:hint="default" w:ascii="Times New Roman" w:hAnsi="Times New Roman" w:eastAsia="方正仿宋_GBK" w:cs="Times New Roman"/>
          <w:b w:val="0"/>
          <w:bCs w:val="0"/>
          <w:color w:val="000000"/>
          <w:sz w:val="33"/>
          <w:szCs w:val="33"/>
        </w:rPr>
        <w:t>（类）</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其他粮油储备支出</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sz w:val="33"/>
          <w:szCs w:val="33"/>
          <w:lang w:eastAsia="zh-CN"/>
        </w:rPr>
        <w:t>指单位</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粮油储备费用等支出。</w:t>
      </w:r>
    </w:p>
    <w:p>
      <w:pPr>
        <w:pStyle w:val="2"/>
        <w:keepNext w:val="0"/>
        <w:keepLines w:val="0"/>
        <w:pageBreakBefore w:val="0"/>
        <w:widowControl w:val="0"/>
        <w:kinsoku/>
        <w:wordWrap/>
        <w:overflowPunct/>
        <w:topLinePunct w:val="0"/>
        <w:autoSpaceDE/>
        <w:autoSpaceDN/>
        <w:bidi w:val="0"/>
        <w:adjustRightInd/>
        <w:snapToGrid/>
        <w:spacing w:beforeLines="0"/>
        <w:ind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6</w:t>
      </w:r>
      <w:r>
        <w:rPr>
          <w:rFonts w:hint="default" w:ascii="Times New Roman" w:hAnsi="Times New Roman" w:eastAsia="方正仿宋_GBK" w:cs="Times New Roman"/>
          <w:color w:val="000000" w:themeColor="text1"/>
          <w:sz w:val="33"/>
          <w:szCs w:val="33"/>
          <w:lang w:val="en-US" w:eastAsia="zh-CN"/>
          <w14:textFill>
            <w14:solidFill>
              <w14:schemeClr w14:val="tx1"/>
            </w14:solidFill>
          </w14:textFill>
        </w:rPr>
        <w:t>.灾害防治及应急管理支出</w:t>
      </w:r>
      <w:r>
        <w:rPr>
          <w:rStyle w:val="12"/>
          <w:rFonts w:hint="default" w:ascii="Times New Roman" w:hAnsi="Times New Roman" w:eastAsia="方正仿宋_GBK" w:cs="Times New Roman"/>
          <w:b w:val="0"/>
          <w:bCs w:val="0"/>
          <w:color w:val="000000"/>
          <w:sz w:val="33"/>
          <w:szCs w:val="33"/>
        </w:rPr>
        <w:t>（类）</w:t>
      </w:r>
      <w:r>
        <w:rPr>
          <w:rStyle w:val="12"/>
          <w:rFonts w:hint="default" w:ascii="Times New Roman" w:hAnsi="Times New Roman" w:eastAsia="方正仿宋_GBK" w:cs="Times New Roman"/>
          <w:b w:val="0"/>
          <w:bCs w:val="0"/>
          <w:color w:val="000000"/>
          <w:sz w:val="33"/>
          <w:szCs w:val="33"/>
          <w:lang w:val="en-US" w:eastAsia="zh-CN"/>
        </w:rPr>
        <w:t>应急管理事务</w:t>
      </w:r>
      <w:r>
        <w:rPr>
          <w:rStyle w:val="12"/>
          <w:rFonts w:hint="default" w:ascii="Times New Roman" w:hAnsi="Times New Roman" w:eastAsia="方正仿宋_GBK" w:cs="Times New Roman"/>
          <w:b w:val="0"/>
          <w:bCs w:val="0"/>
          <w:color w:val="000000"/>
          <w:sz w:val="33"/>
          <w:szCs w:val="33"/>
        </w:rPr>
        <w:t>（款）</w:t>
      </w:r>
      <w:r>
        <w:rPr>
          <w:rStyle w:val="12"/>
          <w:rFonts w:hint="default" w:ascii="Times New Roman" w:hAnsi="Times New Roman" w:eastAsia="方正仿宋_GBK" w:cs="Times New Roman"/>
          <w:b w:val="0"/>
          <w:bCs w:val="0"/>
          <w:color w:val="000000"/>
          <w:sz w:val="33"/>
          <w:szCs w:val="33"/>
          <w:lang w:val="en-US" w:eastAsia="zh-CN"/>
        </w:rPr>
        <w:t>应急救援</w:t>
      </w:r>
      <w:r>
        <w:rPr>
          <w:rStyle w:val="12"/>
          <w:rFonts w:hint="default" w:ascii="Times New Roman" w:hAnsi="Times New Roman" w:eastAsia="方正仿宋_GBK" w:cs="Times New Roman"/>
          <w:b w:val="0"/>
          <w:bCs w:val="0"/>
          <w:color w:val="000000"/>
          <w:sz w:val="33"/>
          <w:szCs w:val="33"/>
        </w:rPr>
        <w:t>（项）</w:t>
      </w:r>
      <w:r>
        <w:rPr>
          <w:rStyle w:val="12"/>
          <w:rFonts w:hint="default" w:ascii="Times New Roman" w:hAnsi="Times New Roman" w:eastAsia="方正仿宋_GBK" w:cs="Times New Roman"/>
          <w:b w:val="0"/>
          <w:bCs w:val="0"/>
          <w:color w:val="000000"/>
          <w:sz w:val="33"/>
          <w:szCs w:val="33"/>
          <w:lang w:eastAsia="zh-CN"/>
        </w:rPr>
        <w:t>：防害指救灾应急物资费用支出。</w:t>
      </w:r>
    </w:p>
    <w:p>
      <w:pPr>
        <w:pStyle w:val="17"/>
        <w:spacing w:line="560" w:lineRule="exact"/>
        <w:ind w:firstLine="660" w:firstLineChars="200"/>
        <w:rPr>
          <w:rFonts w:hint="default" w:ascii="Times New Roman" w:hAnsi="Times New Roman" w:eastAsia="仿宋_GB2312" w:cs="Times New Roman"/>
          <w:sz w:val="33"/>
          <w:szCs w:val="33"/>
        </w:rPr>
      </w:pPr>
      <w:r>
        <w:rPr>
          <w:rFonts w:hint="eastAsia" w:ascii="Times New Roman" w:hAnsi="Times New Roman" w:eastAsia="仿宋_GB2312" w:cs="Times New Roman"/>
          <w:sz w:val="33"/>
          <w:szCs w:val="33"/>
          <w:lang w:val="en-US" w:eastAsia="zh-CN"/>
        </w:rPr>
        <w:t>17.</w:t>
      </w:r>
      <w:r>
        <w:rPr>
          <w:rFonts w:hint="default" w:ascii="Times New Roman" w:hAnsi="Times New Roman" w:eastAsia="仿宋_GB2312" w:cs="Times New Roman"/>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pageBreakBefore w:val="0"/>
        <w:widowControl w:val="0"/>
        <w:kinsoku/>
        <w:wordWrap/>
        <w:overflowPunct/>
        <w:topLinePunct w:val="0"/>
        <w:autoSpaceDE/>
        <w:autoSpaceDN/>
        <w:bidi w:val="0"/>
        <w:adjustRightInd/>
        <w:snapToGrid/>
        <w:spacing w:beforeLines="0"/>
        <w:ind w:firstLine="660" w:firstLineChars="200"/>
        <w:textAlignment w:val="auto"/>
        <w:rPr>
          <w:rStyle w:val="12"/>
          <w:rFonts w:hint="default" w:ascii="Times New Roman" w:hAnsi="Times New Roman" w:eastAsia="方正仿宋_GBK" w:cs="Times New Roman"/>
          <w:b w:val="0"/>
          <w:bCs w:val="0"/>
          <w:color w:val="000000"/>
          <w:sz w:val="33"/>
          <w:szCs w:val="33"/>
          <w:lang w:eastAsia="zh-CN"/>
        </w:rPr>
      </w:pPr>
      <w:r>
        <w:rPr>
          <w:rFonts w:hint="eastAsia" w:ascii="Times New Roman" w:cs="Times New Roman"/>
          <w:sz w:val="33"/>
          <w:szCs w:val="33"/>
          <w:lang w:val="en-US" w:eastAsia="zh-CN"/>
        </w:rPr>
        <w:t>18.</w:t>
      </w:r>
      <w:r>
        <w:rPr>
          <w:rFonts w:hint="default" w:ascii="Times New Roman" w:hAnsi="Times New Roman" w:eastAsia="仿宋_GB2312" w:cs="Times New Roman"/>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90" w:lineRule="exact"/>
        <w:ind w:left="0" w:right="0"/>
        <w:jc w:val="center"/>
        <w:outlineLvl w:val="0"/>
        <w:rPr>
          <w:rStyle w:val="14"/>
          <w:rFonts w:hint="default" w:ascii="Times New Roman" w:hAnsi="Times New Roman" w:eastAsia="方正仿宋_GBK" w:cs="Times New Roman"/>
          <w:b w:val="0"/>
          <w:sz w:val="33"/>
          <w:szCs w:val="33"/>
        </w:rPr>
      </w:pPr>
      <w:bookmarkStart w:id="57" w:name="_Toc15377226"/>
      <w:r>
        <w:rPr>
          <w:rFonts w:hint="default" w:ascii="Times New Roman" w:hAnsi="Times New Roman" w:eastAsia="方正仿宋_GBK" w:cs="Times New Roman"/>
          <w:b/>
          <w:color w:val="000000"/>
          <w:sz w:val="33"/>
          <w:szCs w:val="33"/>
        </w:rPr>
        <w:br w:type="page"/>
      </w:r>
      <w:bookmarkStart w:id="58" w:name="_Toc15396614"/>
      <w:r>
        <w:rPr>
          <w:rFonts w:hint="eastAsia" w:ascii="黑体" w:hAnsi="黑体" w:eastAsia="黑体" w:cs="黑体"/>
          <w:color w:val="000000"/>
          <w:sz w:val="44"/>
          <w:szCs w:val="44"/>
        </w:rPr>
        <w:t>第</w:t>
      </w:r>
      <w:r>
        <w:rPr>
          <w:rStyle w:val="14"/>
          <w:rFonts w:hint="eastAsia" w:ascii="黑体" w:hAnsi="黑体" w:eastAsia="黑体" w:cs="黑体"/>
          <w:b w:val="0"/>
          <w:sz w:val="44"/>
          <w:szCs w:val="44"/>
        </w:rPr>
        <w:t>四部分 附件</w:t>
      </w:r>
      <w:bookmarkEnd w:id="58"/>
    </w:p>
    <w:p>
      <w:pPr>
        <w:pageBreakBefore w:val="0"/>
        <w:kinsoku/>
        <w:wordWrap/>
        <w:overflowPunct/>
        <w:topLinePunct w:val="0"/>
        <w:bidi w:val="0"/>
        <w:spacing w:line="590" w:lineRule="exact"/>
        <w:ind w:left="0" w:right="0"/>
        <w:jc w:val="left"/>
        <w:outlineLvl w:val="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附件1</w:t>
      </w:r>
    </w:p>
    <w:p>
      <w:pPr>
        <w:pageBreakBefore w:val="0"/>
        <w:kinsoku/>
        <w:wordWrap/>
        <w:overflowPunct/>
        <w:topLinePunct w:val="0"/>
        <w:bidi w:val="0"/>
        <w:spacing w:line="590" w:lineRule="exact"/>
        <w:ind w:left="0" w:right="0"/>
        <w:jc w:val="left"/>
        <w:outlineLvl w:val="0"/>
        <w:rPr>
          <w:rFonts w:hint="default" w:ascii="Times New Roman" w:hAnsi="Times New Roman" w:eastAsia="方正仿宋_GBK" w:cs="Times New Roman"/>
          <w:sz w:val="33"/>
          <w:szCs w:val="33"/>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0"/>
          <w:szCs w:val="40"/>
          <w:lang w:val="zh-CN"/>
        </w:rPr>
      </w:pPr>
      <w:r>
        <w:rPr>
          <w:rFonts w:hint="eastAsia" w:ascii="方正小标宋_GBK" w:hAnsi="方正小标宋_GBK" w:eastAsia="方正小标宋_GBK" w:cs="方正小标宋_GBK"/>
          <w:b/>
          <w:bCs/>
          <w:color w:val="000000"/>
          <w:kern w:val="0"/>
          <w:sz w:val="40"/>
          <w:szCs w:val="40"/>
          <w:lang w:val="en-US" w:eastAsia="zh-CN"/>
        </w:rPr>
        <w:t>邻水县粮食和物资储备中心</w:t>
      </w:r>
      <w:r>
        <w:rPr>
          <w:rFonts w:hint="eastAsia" w:ascii="方正小标宋_GBK" w:hAnsi="方正小标宋_GBK" w:eastAsia="方正小标宋_GBK" w:cs="方正小标宋_GBK"/>
          <w:b/>
          <w:bCs/>
          <w:color w:val="000000"/>
          <w:kern w:val="0"/>
          <w:sz w:val="40"/>
          <w:szCs w:val="40"/>
          <w:lang w:val="zh-CN"/>
        </w:rPr>
        <w:t>部门</w:t>
      </w:r>
      <w:r>
        <w:rPr>
          <w:rFonts w:hint="eastAsia" w:ascii="方正小标宋_GBK" w:hAnsi="方正小标宋_GBK" w:eastAsia="方正小标宋_GBK" w:cs="方正小标宋_GBK"/>
          <w:b/>
          <w:bCs/>
          <w:color w:val="000000"/>
          <w:kern w:val="0"/>
          <w:sz w:val="40"/>
          <w:szCs w:val="40"/>
        </w:rPr>
        <w:t>202</w:t>
      </w:r>
      <w:r>
        <w:rPr>
          <w:rFonts w:hint="eastAsia" w:ascii="方正小标宋_GBK" w:hAnsi="方正小标宋_GBK" w:eastAsia="方正小标宋_GBK" w:cs="方正小标宋_GBK"/>
          <w:b/>
          <w:bCs/>
          <w:color w:val="000000"/>
          <w:kern w:val="0"/>
          <w:sz w:val="40"/>
          <w:szCs w:val="40"/>
          <w:lang w:val="en-US" w:eastAsia="zh-CN"/>
        </w:rPr>
        <w:t>1</w:t>
      </w:r>
      <w:r>
        <w:rPr>
          <w:rFonts w:hint="eastAsia" w:ascii="方正小标宋_GBK" w:hAnsi="方正小标宋_GBK" w:eastAsia="方正小标宋_GBK" w:cs="方正小标宋_GBK"/>
          <w:b/>
          <w:bCs/>
          <w:color w:val="000000"/>
          <w:kern w:val="0"/>
          <w:sz w:val="40"/>
          <w:szCs w:val="40"/>
        </w:rPr>
        <w:t>年部门</w:t>
      </w:r>
      <w:r>
        <w:rPr>
          <w:rFonts w:hint="eastAsia" w:ascii="方正小标宋_GBK" w:hAnsi="方正小标宋_GBK" w:eastAsia="方正小标宋_GBK" w:cs="方正小标宋_GBK"/>
          <w:b/>
          <w:bCs/>
          <w:color w:val="000000"/>
          <w:kern w:val="0"/>
          <w:sz w:val="40"/>
          <w:szCs w:val="40"/>
          <w:lang w:val="zh-CN"/>
        </w:rPr>
        <w:t>整体支出绩效评价报告</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rPr>
      </w:pP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lang w:val="zh-CN"/>
        </w:rPr>
      </w:pPr>
      <w:r>
        <w:rPr>
          <w:rFonts w:hint="eastAsia" w:ascii="黑体" w:hAnsi="黑体" w:eastAsia="黑体" w:cs="黑体"/>
          <w:color w:val="000000"/>
          <w:kern w:val="0"/>
          <w:sz w:val="33"/>
          <w:szCs w:val="33"/>
          <w:shd w:val="clear" w:color="auto" w:fill="FFFFFF"/>
        </w:rPr>
        <w:t>一、</w:t>
      </w:r>
      <w:r>
        <w:rPr>
          <w:rFonts w:hint="eastAsia" w:ascii="黑体" w:hAnsi="黑体" w:eastAsia="黑体" w:cs="黑体"/>
          <w:color w:val="000000"/>
          <w:kern w:val="0"/>
          <w:sz w:val="33"/>
          <w:szCs w:val="33"/>
          <w:shd w:val="clear" w:color="auto" w:fill="FFFFFF"/>
          <w:lang w:val="zh-CN"/>
        </w:rPr>
        <w:t>部门（单位）概况</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（一）机构组成</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办公室（增挂内部审计股牌子）、党建股、粮食与物资储备服务股、安全仓储与科技服务股、粮油质量管理服务股5个股室。</w:t>
      </w:r>
    </w:p>
    <w:p>
      <w:pPr>
        <w:pageBreakBefore w:val="0"/>
        <w:widowControl/>
        <w:numPr>
          <w:ilvl w:val="0"/>
          <w:numId w:val="0"/>
        </w:numPr>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（二）机构职能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(1)贯彻执行党中央关于粮食流通和储备粮油、物资储备管理的方针政策和省委、市委、县委的决策部署；负责全县粮食流通产业发展战略规划的实施。</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负责全县粮食宏观调控、粮油流通和加工统计工作；指导粮食企业落实全县粮食最低收购价执行预案；承担全县市场粮油供应、保障军人等政策粮食的供应服务工作；负责全县粮食余缺调剂服务工作；组织和协调县内粮食产销衔接和对外经济技术合作交流，建立县际建粮食产销合作关系，粮食进出邻水等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(3)协助全县粮食储备体系建设，提出地方储备粮油和物资总体规模、县级储备粮油和物资的总体布局和收储、轮换、动用计划等建议；开展全县储备粮油和物资库存数量、质量和储存安全检查（即清仓查库工作）；负责在邻水的中央储备粮油及国家其他政策性临时储存粮油和物资管理工作。</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(4)提出促进粮食产业化经营的政策措施并组织实施；配合有关部门发展粮食订单生产、发展优质专用粮油、培育粮食龙头企业、扶持粮食专业合作经济组织，促进粮食生产稳定发展，保障全县城乡粮食市场和粮食转化产业的粮食供应；拟定农村粮食流通服务体系发展规划，指导粮油收购网点和乡村粮油超市连锁店建设。</w:t>
      </w:r>
    </w:p>
    <w:p>
      <w:pPr>
        <w:pageBreakBefore w:val="0"/>
        <w:widowControl/>
        <w:numPr>
          <w:ilvl w:val="0"/>
          <w:numId w:val="0"/>
        </w:numPr>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(5)负责组织实施全县粮食和物资储备基础设施建设、粮食流通设施及全县粮食市场体系建设、粮食现代物流体系建设、粮食质量监测体系建设工作；指导国有粮食和物资仓储物流设施保护工作，负责有关储备基础设施、粮食流通设施各级投资项目；指导粮油批发市场和城乡购销网络建设；配合全县农村科学储粮和农户小粮仓建设。</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(6)负责全县粮食流通行业指导，参与拟订粮食行业发展规划、政策，贯彻实施国家粮食质量标准和粮食储存、运输技术规范，指导粮食流通科技进步、技术改造和新技术推广应用；负责县属国有及国有控股粮食企业的业务指导；负责对全县粮食收购、储存环节及政策性用粮的质量安全和原粮卫生的抽查和监测。</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(7)拟订粮食和物资储备系统人才发展规划，指导全县粮食和物资储备行业的职工职业教育。</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(8)配合相关部门对管理地方储备、企业储备以及储备资产落实情况进行监督检查。</w:t>
      </w:r>
    </w:p>
    <w:p>
      <w:pPr>
        <w:pageBreakBefore w:val="0"/>
        <w:widowControl/>
        <w:numPr>
          <w:ilvl w:val="0"/>
          <w:numId w:val="0"/>
        </w:numPr>
        <w:kinsoku/>
        <w:wordWrap/>
        <w:overflowPunct/>
        <w:topLinePunct w:val="0"/>
        <w:bidi w:val="0"/>
        <w:adjustRightInd w:val="0"/>
        <w:snapToGrid w:val="0"/>
        <w:spacing w:line="590" w:lineRule="exact"/>
        <w:ind w:left="0" w:right="0" w:firstLine="661"/>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(9)负责职责范围内的安全生产、职业健康、生态环境保护、便民化服务等工作。</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(10)完成县委、县政府交办的其他工作。</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（三）人员概况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sz w:val="33"/>
          <w:szCs w:val="33"/>
          <w:lang w:val="en-US" w:eastAsia="zh-CN"/>
        </w:rPr>
        <w:t>2021年在编20人，在职20人，离休人员1人。</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二、部门财政资金收支情况</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（一）部门财政资金收入情况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2021年项目资金财政拨入100.35万元。</w:t>
      </w:r>
    </w:p>
    <w:p>
      <w:pPr>
        <w:pageBreakBefore w:val="0"/>
        <w:widowControl/>
        <w:numPr>
          <w:ilvl w:val="0"/>
          <w:numId w:val="1"/>
        </w:numPr>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2021年项目资金支出100.35万元。</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三、部门整体预算绩效管理情况</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（一）部门预算管理</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我</w:t>
      </w:r>
      <w:r>
        <w:rPr>
          <w:rFonts w:hint="default" w:ascii="Times New Roman" w:hAnsi="Times New Roman" w:eastAsia="方正仿宋_GBK" w:cs="Times New Roman"/>
          <w:color w:val="000000"/>
          <w:kern w:val="0"/>
          <w:sz w:val="33"/>
          <w:szCs w:val="33"/>
          <w:shd w:val="clear" w:color="auto" w:fill="FFFFFF"/>
          <w:lang w:val="zh-CN"/>
        </w:rPr>
        <w:t>部门</w:t>
      </w:r>
      <w:r>
        <w:rPr>
          <w:rFonts w:hint="default" w:ascii="Times New Roman" w:hAnsi="Times New Roman" w:eastAsia="方正仿宋_GBK" w:cs="Times New Roman"/>
          <w:color w:val="000000"/>
          <w:kern w:val="0"/>
          <w:sz w:val="33"/>
          <w:szCs w:val="33"/>
          <w:shd w:val="clear" w:color="auto" w:fill="FFFFFF"/>
          <w:lang w:val="en-US" w:eastAsia="zh-CN"/>
        </w:rPr>
        <w:t>制定了</w:t>
      </w:r>
      <w:r>
        <w:rPr>
          <w:rFonts w:hint="default" w:ascii="Times New Roman" w:hAnsi="Times New Roman" w:eastAsia="方正仿宋_GBK" w:cs="Times New Roman"/>
          <w:color w:val="000000"/>
          <w:kern w:val="0"/>
          <w:sz w:val="33"/>
          <w:szCs w:val="33"/>
          <w:shd w:val="clear" w:color="auto" w:fill="FFFFFF"/>
          <w:lang w:val="zh-CN"/>
        </w:rPr>
        <w:t>绩效目标</w:t>
      </w:r>
      <w:r>
        <w:rPr>
          <w:rFonts w:hint="default" w:ascii="Times New Roman" w:hAnsi="Times New Roman" w:eastAsia="方正仿宋_GBK" w:cs="Times New Roman"/>
          <w:color w:val="000000"/>
          <w:kern w:val="0"/>
          <w:sz w:val="33"/>
          <w:szCs w:val="33"/>
          <w:shd w:val="clear" w:color="auto" w:fill="FFFFFF"/>
          <w:lang w:val="en-US" w:eastAsia="zh-CN"/>
        </w:rPr>
        <w:t>方案</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精心组织项目实施，认真编制经费</w:t>
      </w:r>
      <w:r>
        <w:rPr>
          <w:rFonts w:hint="default" w:ascii="Times New Roman" w:hAnsi="Times New Roman" w:eastAsia="方正仿宋_GBK" w:cs="Times New Roman"/>
          <w:color w:val="000000"/>
          <w:kern w:val="0"/>
          <w:sz w:val="33"/>
          <w:szCs w:val="33"/>
          <w:shd w:val="clear" w:color="auto" w:fill="FFFFFF"/>
          <w:lang w:val="zh-CN"/>
        </w:rPr>
        <w:t>预算、</w:t>
      </w:r>
      <w:r>
        <w:rPr>
          <w:rFonts w:hint="default" w:ascii="Times New Roman" w:hAnsi="Times New Roman" w:eastAsia="方正仿宋_GBK" w:cs="Times New Roman"/>
          <w:color w:val="000000"/>
          <w:kern w:val="0"/>
          <w:sz w:val="33"/>
          <w:szCs w:val="33"/>
          <w:shd w:val="clear" w:color="auto" w:fill="FFFFFF"/>
          <w:lang w:val="en-US" w:eastAsia="zh-CN"/>
        </w:rPr>
        <w:t>严格项目</w:t>
      </w:r>
      <w:r>
        <w:rPr>
          <w:rFonts w:hint="default" w:ascii="Times New Roman" w:hAnsi="Times New Roman" w:eastAsia="方正仿宋_GBK" w:cs="Times New Roman"/>
          <w:color w:val="000000"/>
          <w:kern w:val="0"/>
          <w:sz w:val="33"/>
          <w:szCs w:val="33"/>
          <w:shd w:val="clear" w:color="auto" w:fill="FFFFFF"/>
          <w:lang w:val="zh-CN"/>
        </w:rPr>
        <w:t>支出、动态</w:t>
      </w:r>
      <w:r>
        <w:rPr>
          <w:rFonts w:hint="default" w:ascii="Times New Roman" w:hAnsi="Times New Roman" w:eastAsia="方正仿宋_GBK" w:cs="Times New Roman"/>
          <w:color w:val="000000"/>
          <w:kern w:val="0"/>
          <w:sz w:val="33"/>
          <w:szCs w:val="33"/>
          <w:shd w:val="clear" w:color="auto" w:fill="FFFFFF"/>
          <w:lang w:val="en-US" w:eastAsia="zh-CN"/>
        </w:rPr>
        <w:t>管理</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严格</w:t>
      </w:r>
      <w:r>
        <w:rPr>
          <w:rFonts w:hint="default" w:ascii="Times New Roman" w:hAnsi="Times New Roman" w:eastAsia="方正仿宋_GBK" w:cs="Times New Roman"/>
          <w:color w:val="000000"/>
          <w:kern w:val="0"/>
          <w:sz w:val="33"/>
          <w:szCs w:val="33"/>
          <w:shd w:val="clear" w:color="auto" w:fill="FFFFFF"/>
          <w:lang w:val="zh-CN"/>
        </w:rPr>
        <w:t>执行</w:t>
      </w:r>
      <w:r>
        <w:rPr>
          <w:rFonts w:hint="default" w:ascii="Times New Roman" w:hAnsi="Times New Roman" w:eastAsia="方正仿宋_GBK" w:cs="Times New Roman"/>
          <w:color w:val="000000"/>
          <w:kern w:val="0"/>
          <w:sz w:val="33"/>
          <w:szCs w:val="33"/>
          <w:shd w:val="clear" w:color="auto" w:fill="FFFFFF"/>
          <w:lang w:val="en-US" w:eastAsia="zh-CN"/>
        </w:rPr>
        <w:t>项目</w:t>
      </w:r>
      <w:r>
        <w:rPr>
          <w:rFonts w:hint="default" w:ascii="Times New Roman" w:hAnsi="Times New Roman" w:eastAsia="方正仿宋_GBK" w:cs="Times New Roman"/>
          <w:color w:val="000000"/>
          <w:kern w:val="0"/>
          <w:sz w:val="33"/>
          <w:szCs w:val="33"/>
          <w:shd w:val="clear" w:color="auto" w:fill="FFFFFF"/>
          <w:lang w:val="zh-CN"/>
        </w:rPr>
        <w:t>、</w:t>
      </w:r>
      <w:r>
        <w:rPr>
          <w:rFonts w:hint="default" w:ascii="Times New Roman" w:hAnsi="Times New Roman" w:eastAsia="方正仿宋_GBK" w:cs="Times New Roman"/>
          <w:color w:val="000000"/>
          <w:kern w:val="0"/>
          <w:sz w:val="33"/>
          <w:szCs w:val="33"/>
          <w:shd w:val="clear" w:color="auto" w:fill="FFFFFF"/>
          <w:lang w:val="en-US" w:eastAsia="zh-CN"/>
        </w:rPr>
        <w:t>确保项目进度，项目圆满完成，无违纪违法行为</w:t>
      </w:r>
      <w:r>
        <w:rPr>
          <w:rFonts w:hint="default" w:ascii="Times New Roman" w:hAnsi="Times New Roman" w:eastAsia="方正仿宋_GBK" w:cs="Times New Roman"/>
          <w:color w:val="000000"/>
          <w:kern w:val="0"/>
          <w:sz w:val="33"/>
          <w:szCs w:val="33"/>
          <w:shd w:val="clear" w:color="auto" w:fill="FFFFFF"/>
          <w:lang w:val="zh-CN"/>
        </w:rPr>
        <w:t>。</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（二）结果应用情况</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项目</w:t>
      </w:r>
      <w:r>
        <w:rPr>
          <w:rFonts w:hint="default" w:ascii="Times New Roman" w:hAnsi="Times New Roman" w:eastAsia="方正仿宋_GBK" w:cs="Times New Roman"/>
          <w:color w:val="000000"/>
          <w:kern w:val="0"/>
          <w:sz w:val="33"/>
          <w:szCs w:val="33"/>
          <w:shd w:val="clear" w:color="auto" w:fill="FFFFFF"/>
          <w:lang w:val="zh-CN"/>
        </w:rPr>
        <w:t>绩效自评公开、</w:t>
      </w:r>
      <w:r>
        <w:rPr>
          <w:rFonts w:hint="default" w:ascii="Times New Roman" w:hAnsi="Times New Roman" w:eastAsia="方正仿宋_GBK" w:cs="Times New Roman"/>
          <w:color w:val="000000"/>
          <w:kern w:val="0"/>
          <w:sz w:val="33"/>
          <w:szCs w:val="33"/>
          <w:shd w:val="clear" w:color="auto" w:fill="FFFFFF"/>
          <w:lang w:val="en-US" w:eastAsia="zh-CN"/>
        </w:rPr>
        <w:t>公开、公正，确保社会满意，企业满意</w:t>
      </w:r>
      <w:r>
        <w:rPr>
          <w:rFonts w:hint="default" w:ascii="Times New Roman" w:hAnsi="Times New Roman" w:eastAsia="方正仿宋_GBK" w:cs="Times New Roman"/>
          <w:color w:val="000000"/>
          <w:kern w:val="0"/>
          <w:sz w:val="33"/>
          <w:szCs w:val="33"/>
          <w:shd w:val="clear" w:color="auto" w:fill="FFFFFF"/>
          <w:lang w:val="zh-CN"/>
        </w:rPr>
        <w:t>。</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（三）自评质量</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zh-CN"/>
        </w:rPr>
        <w:t>参照评价标准对部门自评进行抽查，抽查差异在5%以内，自评质量较高。</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eastAsia" w:ascii="黑体" w:hAnsi="黑体" w:eastAsia="黑体" w:cs="黑体"/>
          <w:color w:val="000000"/>
          <w:kern w:val="0"/>
          <w:sz w:val="33"/>
          <w:szCs w:val="33"/>
          <w:shd w:val="clear" w:color="auto" w:fill="FFFFFF"/>
        </w:rPr>
      </w:pPr>
      <w:r>
        <w:rPr>
          <w:rFonts w:hint="eastAsia" w:ascii="黑体" w:hAnsi="黑体" w:eastAsia="黑体" w:cs="黑体"/>
          <w:color w:val="000000"/>
          <w:kern w:val="0"/>
          <w:sz w:val="33"/>
          <w:szCs w:val="33"/>
          <w:shd w:val="clear" w:color="auto" w:fill="FFFFFF"/>
        </w:rPr>
        <w:t>四、评价结论及建议</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（一）评价结论</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社会满意，企业满意。</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（二）存在问题</w:t>
      </w:r>
    </w:p>
    <w:p>
      <w:pPr>
        <w:pageBreakBefore w:val="0"/>
        <w:widowControl/>
        <w:kinsoku/>
        <w:wordWrap/>
        <w:overflowPunct/>
        <w:topLinePunct w:val="0"/>
        <w:bidi w:val="0"/>
        <w:adjustRightInd w:val="0"/>
        <w:snapToGrid w:val="0"/>
        <w:spacing w:line="590" w:lineRule="exact"/>
        <w:ind w:left="0" w:right="0" w:firstLine="660" w:firstLineChars="200"/>
        <w:contextualSpacing/>
        <w:jc w:val="left"/>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无。</w:t>
      </w:r>
    </w:p>
    <w:p>
      <w:pPr>
        <w:pageBreakBefore w:val="0"/>
        <w:widowControl/>
        <w:kinsoku/>
        <w:wordWrap/>
        <w:overflowPunct/>
        <w:topLinePunct w:val="0"/>
        <w:bidi w:val="0"/>
        <w:adjustRightInd w:val="0"/>
        <w:snapToGrid w:val="0"/>
        <w:spacing w:line="590" w:lineRule="exact"/>
        <w:ind w:left="0" w:right="0" w:firstLine="663" w:firstLineChars="200"/>
        <w:contextualSpacing/>
        <w:jc w:val="left"/>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（三）改进建议</w:t>
      </w:r>
    </w:p>
    <w:p>
      <w:pPr>
        <w:pageBreakBefore w:val="0"/>
        <w:kinsoku/>
        <w:wordWrap/>
        <w:overflowPunct/>
        <w:topLinePunct w:val="0"/>
        <w:bidi w:val="0"/>
        <w:spacing w:line="590" w:lineRule="exact"/>
        <w:ind w:left="0" w:right="0" w:firstLine="660" w:firstLineChars="20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无。</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br w:type="page"/>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附件2</w:t>
      </w: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1</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仓库建设及管理</w:t>
      </w:r>
      <w:r>
        <w:rPr>
          <w:rFonts w:hint="default" w:ascii="Times New Roman" w:hAnsi="Times New Roman" w:eastAsia="方正仿宋_GBK" w:cs="Times New Roman"/>
          <w:color w:val="auto"/>
          <w:sz w:val="33"/>
          <w:szCs w:val="33"/>
        </w:rPr>
        <w:t>项目预算数</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万元</w:t>
      </w:r>
      <w:r>
        <w:rPr>
          <w:rFonts w:hint="eastAsia" w:eastAsia="方正仿宋_GBK" w:cs="Times New Roman"/>
          <w:sz w:val="33"/>
          <w:szCs w:val="33"/>
          <w:lang w:val="en-US"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w:t>
      </w:r>
      <w:r>
        <w:rPr>
          <w:rFonts w:hint="default" w:ascii="Times New Roman" w:hAnsi="Times New Roman" w:eastAsia="方正仿宋_GBK" w:cs="Times New Roman"/>
          <w:color w:val="auto"/>
          <w:sz w:val="33"/>
          <w:szCs w:val="33"/>
        </w:rPr>
        <w:t>项目全年预算数</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rPr>
        <w:t>万元，执行数为</w:t>
      </w:r>
      <w:r>
        <w:rPr>
          <w:rFonts w:hint="default" w:ascii="Times New Roman" w:hAnsi="Times New Roman"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rPr>
        <w:t>万元，完成预算的</w:t>
      </w:r>
      <w:r>
        <w:rPr>
          <w:rFonts w:hint="default" w:ascii="Times New Roman" w:hAnsi="Times New Roman" w:eastAsia="方正仿宋_GBK" w:cs="Times New Roman"/>
          <w:color w:val="auto"/>
          <w:sz w:val="33"/>
          <w:szCs w:val="33"/>
          <w:lang w:val="en-US" w:eastAsia="zh-CN"/>
        </w:rPr>
        <w:t>100</w:t>
      </w:r>
      <w:r>
        <w:rPr>
          <w:rFonts w:hint="default" w:ascii="Times New Roman" w:hAnsi="Times New Roman" w:eastAsia="方正仿宋_GBK" w:cs="Times New Roman"/>
          <w:color w:val="auto"/>
          <w:sz w:val="33"/>
          <w:szCs w:val="33"/>
        </w:rPr>
        <w:t>%</w:t>
      </w:r>
      <w:r>
        <w:rPr>
          <w:rFonts w:hint="default" w:ascii="Times New Roman" w:hAnsi="Times New Roman" w:eastAsia="方正仿宋_GBK" w:cs="Times New Roman"/>
          <w:sz w:val="33"/>
          <w:szCs w:val="33"/>
          <w:lang w:val="en-US" w:eastAsia="zh-CN"/>
        </w:rPr>
        <w:t>。资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2</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国有粮食企业管理</w:t>
      </w:r>
      <w:r>
        <w:rPr>
          <w:rFonts w:hint="default" w:ascii="Times New Roman" w:hAnsi="Times New Roman" w:eastAsia="方正仿宋_GBK" w:cs="Times New Roman"/>
          <w:color w:val="auto"/>
          <w:sz w:val="33"/>
          <w:szCs w:val="33"/>
        </w:rPr>
        <w:t>项目预算数</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Style w:val="2"/>
        <w:rPr>
          <w:rFonts w:hint="default" w:ascii="Times New Roman" w:hAnsi="Times New Roman" w:eastAsia="方正仿宋_GBK" w:cs="Times New Roman"/>
          <w:sz w:val="33"/>
          <w:szCs w:val="33"/>
          <w:lang w:val="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3</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国有粮食企业职工档案管理</w:t>
      </w:r>
      <w:r>
        <w:rPr>
          <w:rFonts w:hint="default" w:ascii="Times New Roman" w:hAnsi="Times New Roman" w:eastAsia="方正仿宋_GBK" w:cs="Times New Roman"/>
          <w:color w:val="auto"/>
          <w:sz w:val="33"/>
          <w:szCs w:val="33"/>
        </w:rPr>
        <w:t>项目预算数</w:t>
      </w:r>
      <w:r>
        <w:rPr>
          <w:rFonts w:hint="default" w:ascii="Times New Roman" w:hAnsi="Times New Roman"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Style w:val="2"/>
        <w:rPr>
          <w:rFonts w:hint="default" w:ascii="Times New Roman" w:hAnsi="Times New Roman" w:eastAsia="方正仿宋_GBK" w:cs="Times New Roman"/>
          <w:sz w:val="33"/>
          <w:szCs w:val="33"/>
          <w:lang w:val="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4</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粮食安全行政首长责任制考核</w:t>
      </w:r>
      <w:r>
        <w:rPr>
          <w:rFonts w:hint="default" w:ascii="Times New Roman" w:hAnsi="Times New Roman" w:eastAsia="方正仿宋_GBK" w:cs="Times New Roman"/>
          <w:color w:val="auto"/>
          <w:sz w:val="33"/>
          <w:szCs w:val="33"/>
        </w:rPr>
        <w:t>项目预算数</w:t>
      </w:r>
      <w:r>
        <w:rPr>
          <w:rFonts w:hint="eastAsia" w:ascii="Times New Roman" w:hAnsi="Times New Roman" w:eastAsia="方正仿宋_GBK" w:cs="Times New Roman"/>
          <w:color w:val="auto"/>
          <w:sz w:val="33"/>
          <w:szCs w:val="33"/>
          <w:lang w:val="en-US" w:eastAsia="zh-CN"/>
        </w:rPr>
        <w:t>15</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15</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Style w:val="2"/>
        <w:rPr>
          <w:rFonts w:hint="default" w:ascii="Times New Roman" w:hAnsi="Times New Roman" w:eastAsia="方正仿宋_GBK" w:cs="Times New Roman"/>
          <w:sz w:val="33"/>
          <w:szCs w:val="33"/>
          <w:lang w:val="zh-CN"/>
        </w:rPr>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5</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粮食行政执法</w:t>
      </w:r>
      <w:r>
        <w:rPr>
          <w:rFonts w:hint="default" w:ascii="Times New Roman" w:hAnsi="Times New Roman" w:eastAsia="方正仿宋_GBK" w:cs="Times New Roman"/>
          <w:color w:val="auto"/>
          <w:sz w:val="33"/>
          <w:szCs w:val="33"/>
        </w:rPr>
        <w:t>项目预算数</w:t>
      </w:r>
      <w:r>
        <w:rPr>
          <w:rFonts w:hint="eastAsia" w:ascii="Times New Roman" w:hAnsi="Times New Roman" w:eastAsia="方正仿宋_GBK" w:cs="Times New Roman"/>
          <w:color w:val="auto"/>
          <w:sz w:val="33"/>
          <w:szCs w:val="33"/>
          <w:lang w:val="en-US" w:eastAsia="zh-CN"/>
        </w:rPr>
        <w:t>2.5</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2.5</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
      <w:pPr>
        <w:pStyle w:val="2"/>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6</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color w:val="auto"/>
          <w:sz w:val="33"/>
          <w:szCs w:val="33"/>
          <w:lang w:val="en-US" w:eastAsia="zh-CN"/>
        </w:rPr>
        <w:t>粮食库存管理</w:t>
      </w:r>
      <w:r>
        <w:rPr>
          <w:rFonts w:hint="default" w:ascii="Times New Roman" w:hAnsi="Times New Roman" w:eastAsia="方正仿宋_GBK" w:cs="Times New Roman"/>
          <w:color w:val="auto"/>
          <w:sz w:val="33"/>
          <w:szCs w:val="33"/>
        </w:rPr>
        <w:t>项目预算数</w:t>
      </w:r>
      <w:r>
        <w:rPr>
          <w:rFonts w:hint="eastAsia" w:ascii="Times New Roman" w:hAnsi="Times New Roman" w:eastAsia="方正仿宋_GBK" w:cs="Times New Roman"/>
          <w:color w:val="auto"/>
          <w:sz w:val="33"/>
          <w:szCs w:val="33"/>
          <w:lang w:val="en-US" w:eastAsia="zh-CN"/>
        </w:rPr>
        <w:t>3</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Style w:val="2"/>
      </w:pPr>
    </w:p>
    <w:p>
      <w:pPr>
        <w:pageBreakBefore w:val="0"/>
        <w:kinsoku/>
        <w:wordWrap/>
        <w:overflowPunct/>
        <w:topLinePunct w:val="0"/>
        <w:bidi w:val="0"/>
        <w:spacing w:line="590" w:lineRule="exact"/>
        <w:ind w:left="0" w:right="0"/>
        <w:jc w:val="center"/>
        <w:rPr>
          <w:rFonts w:hint="eastAsia"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lang w:val="en-US" w:eastAsia="zh-CN"/>
        </w:rPr>
        <w:t>邻水县粮食和物资储备中心</w:t>
      </w:r>
      <w:r>
        <w:rPr>
          <w:rFonts w:hint="eastAsia" w:ascii="方正小标宋_GBK" w:hAnsi="方正小标宋_GBK" w:eastAsia="方正小标宋_GBK" w:cs="方正小标宋_GBK"/>
          <w:b/>
          <w:bCs/>
          <w:color w:val="000000"/>
          <w:kern w:val="0"/>
          <w:sz w:val="44"/>
          <w:szCs w:val="44"/>
          <w:lang w:val="zh-CN"/>
        </w:rPr>
        <w:t>项目</w:t>
      </w:r>
      <w:r>
        <w:rPr>
          <w:rFonts w:hint="eastAsia" w:ascii="方正小标宋_GBK" w:hAnsi="方正小标宋_GBK" w:eastAsia="方正小标宋_GBK" w:cs="方正小标宋_GBK"/>
          <w:b/>
          <w:bCs/>
          <w:color w:val="000000"/>
          <w:kern w:val="0"/>
          <w:sz w:val="44"/>
          <w:szCs w:val="44"/>
        </w:rPr>
        <w:t>202</w:t>
      </w:r>
      <w:r>
        <w:rPr>
          <w:rFonts w:hint="eastAsia" w:ascii="方正小标宋_GBK" w:hAnsi="方正小标宋_GBK" w:eastAsia="方正小标宋_GBK" w:cs="方正小标宋_GBK"/>
          <w:b/>
          <w:bCs/>
          <w:color w:val="000000"/>
          <w:kern w:val="0"/>
          <w:sz w:val="44"/>
          <w:szCs w:val="44"/>
          <w:lang w:val="en-US" w:eastAsia="zh-CN"/>
        </w:rPr>
        <w:t>1</w:t>
      </w:r>
      <w:r>
        <w:rPr>
          <w:rFonts w:hint="eastAsia" w:ascii="方正小标宋_GBK" w:hAnsi="方正小标宋_GBK" w:eastAsia="方正小标宋_GBK" w:cs="方正小标宋_GBK"/>
          <w:b/>
          <w:bCs/>
          <w:color w:val="000000"/>
          <w:kern w:val="0"/>
          <w:sz w:val="44"/>
          <w:szCs w:val="44"/>
        </w:rPr>
        <w:t>年</w:t>
      </w:r>
      <w:r>
        <w:rPr>
          <w:rFonts w:hint="eastAsia" w:ascii="方正小标宋_GBK" w:hAnsi="方正小标宋_GBK" w:eastAsia="方正小标宋_GBK" w:cs="方正小标宋_GBK"/>
          <w:b/>
          <w:bCs/>
          <w:color w:val="000000"/>
          <w:kern w:val="0"/>
          <w:sz w:val="44"/>
          <w:szCs w:val="44"/>
          <w:lang w:val="zh-CN"/>
        </w:rPr>
        <w:t>绩效评价报告</w:t>
      </w:r>
      <w:r>
        <w:rPr>
          <w:rFonts w:hint="eastAsia" w:ascii="方正小标宋_GBK" w:hAnsi="方正小标宋_GBK" w:eastAsia="方正小标宋_GBK" w:cs="方正小标宋_GBK"/>
          <w:b/>
          <w:bCs/>
          <w:color w:val="000000"/>
          <w:kern w:val="0"/>
          <w:sz w:val="44"/>
          <w:szCs w:val="44"/>
          <w:lang w:val="en-US" w:eastAsia="zh-CN"/>
        </w:rPr>
        <w:t>7</w:t>
      </w:r>
    </w:p>
    <w:p>
      <w:pPr>
        <w:pageBreakBefore w:val="0"/>
        <w:kinsoku/>
        <w:wordWrap/>
        <w:overflowPunct/>
        <w:topLinePunct w:val="0"/>
        <w:bidi w:val="0"/>
        <w:spacing w:line="590" w:lineRule="exact"/>
        <w:ind w:left="0" w:right="0"/>
        <w:rPr>
          <w:rFonts w:hint="default" w:ascii="Times New Roman" w:hAnsi="Times New Roman" w:eastAsia="方正仿宋_GBK" w:cs="Times New Roman"/>
          <w:sz w:val="33"/>
          <w:szCs w:val="33"/>
          <w:lang w:val="zh-CN"/>
        </w:rPr>
      </w:pP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一、</w:t>
      </w:r>
      <w:r>
        <w:rPr>
          <w:rFonts w:hint="eastAsia" w:ascii="黑体" w:hAnsi="黑体" w:eastAsia="黑体" w:cs="黑体"/>
          <w:sz w:val="33"/>
          <w:szCs w:val="33"/>
          <w:lang w:val="zh-CN"/>
        </w:rPr>
        <w:t>项目概况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（一）项目基本情况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1．项目主管部门（</w:t>
      </w:r>
      <w:r>
        <w:rPr>
          <w:rFonts w:hint="default" w:ascii="Times New Roman" w:hAnsi="Times New Roman" w:eastAsia="方正仿宋_GBK" w:cs="Times New Roman"/>
          <w:sz w:val="33"/>
          <w:szCs w:val="33"/>
          <w:lang w:val="en-US" w:eastAsia="zh-CN"/>
        </w:rPr>
        <w:t>邻水县粮食和物资储备中心</w:t>
      </w:r>
      <w:r>
        <w:rPr>
          <w:rFonts w:hint="default" w:ascii="Times New Roman" w:hAnsi="Times New Roman" w:eastAsia="方正仿宋_GBK" w:cs="Times New Roman"/>
          <w:sz w:val="33"/>
          <w:szCs w:val="33"/>
          <w:lang w:val="zh-CN"/>
        </w:rPr>
        <w:t>）在该项目管理中的职能</w:t>
      </w:r>
      <w:r>
        <w:rPr>
          <w:rFonts w:hint="default" w:ascii="Times New Roman" w:hAnsi="Times New Roman" w:eastAsia="方正仿宋_GBK" w:cs="Times New Roman"/>
          <w:sz w:val="33"/>
          <w:szCs w:val="33"/>
          <w:lang w:val="en-US" w:eastAsia="zh-CN"/>
        </w:rPr>
        <w:t>是，保障项目实施，按项目实施方案，对项目实施过程中，全面进行监管。</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2．项目立项、资金申报的依据。</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非发改立项项目，资金按项目进度，向县财政局申请拨付。</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3．资金管理办法制定情况，资金支持具体项目的条件、范围与支持方式概况。</w:t>
      </w:r>
      <w:r>
        <w:rPr>
          <w:rFonts w:hint="default" w:ascii="Times New Roman" w:hAnsi="Times New Roman" w:eastAsia="方正仿宋_GBK" w:cs="Times New Roman"/>
          <w:sz w:val="33"/>
          <w:szCs w:val="33"/>
          <w:lang w:val="en-US" w:eastAsia="zh-CN"/>
        </w:rPr>
        <w:t>项目资金严格按照专款专用，按进度付款，按照验收结果和审计结论付款。</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rPr>
        <w:t>4．资金分配的原则及考虑因素。</w:t>
      </w:r>
      <w:r>
        <w:rPr>
          <w:rFonts w:hint="default" w:ascii="Times New Roman" w:hAnsi="Times New Roman" w:eastAsia="方正仿宋_GBK" w:cs="Times New Roman"/>
          <w:sz w:val="33"/>
          <w:szCs w:val="33"/>
          <w:lang w:val="en-US" w:eastAsia="zh-CN"/>
        </w:rPr>
        <w:t>按照项目资金预算，精打细算，合理开支，确保项目的全面完成。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（二）项目绩效目标</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b w:val="0"/>
          <w:bCs w:val="0"/>
          <w:sz w:val="33"/>
          <w:szCs w:val="33"/>
          <w:lang w:val="zh-CN"/>
        </w:rPr>
        <w:t>1</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项目主要内容</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zh-CN"/>
        </w:rPr>
        <w:t>仓库建设及管理，</w:t>
      </w:r>
      <w:r>
        <w:rPr>
          <w:rFonts w:hint="default" w:ascii="Times New Roman" w:hAnsi="Times New Roman" w:eastAsia="方正仿宋_GBK" w:cs="Times New Roman"/>
          <w:sz w:val="33"/>
          <w:szCs w:val="33"/>
          <w:lang w:val="en-US" w:eastAsia="zh-CN"/>
        </w:rPr>
        <w:t>国有粮食企业管理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国有粮食企业职工档案管理</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粮食安全行政首长责任制考核</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粮食行政执法</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粮食库存管理等内容。</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val="0"/>
          <w:bCs w:val="0"/>
          <w:sz w:val="33"/>
          <w:szCs w:val="33"/>
          <w:lang w:val="zh-CN"/>
        </w:rPr>
        <w:t>2</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项目应实现的具体绩效目标，包括目标的量化、细化情况以及项目实施进度计划等</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b w:val="0"/>
          <w:bCs w:val="0"/>
          <w:sz w:val="33"/>
          <w:szCs w:val="33"/>
          <w:lang w:val="zh-CN"/>
        </w:rPr>
        <w:t>指导和协调全县粮食流通基础设施建设，编制全县粮油仓储、加工设施建设计划并组织实施；指导粮油商业网点建设，负责粮油仓储设施的报废、占用、拆迁的转报审批，向上争取项目；指导全县粮食企业经营管理，做好服务工作，继续推进粮食国企改革，提升粮食企业经济效益和社会效益；管理维护原粮食企业人事档案，为原粮食企业职工提供查询提供；搞好粮食安全行政首长责任制考核培训工作和粮食监管工作，做好宣传引导工作、现场打造、资料归集装订，做好年底迎检工作；抓好粮食政策法规宣传，加强粮食流通市场的监管，有效维护全县粮食流通市场秩序，促进粮食流通市场快速、持续、健康发展，确保粮食市场繁荣稳定；指导全县储备粮油体系建设，监督执行储备粮油管理的技术规范；监督检查各级储备粮油库</w:t>
      </w:r>
      <w:r>
        <w:rPr>
          <w:rFonts w:hint="default" w:ascii="Times New Roman" w:hAnsi="Times New Roman" w:eastAsia="方正仿宋_GBK" w:cs="Times New Roman"/>
          <w:sz w:val="33"/>
          <w:szCs w:val="33"/>
          <w:lang w:val="zh-CN"/>
        </w:rPr>
        <w:t>存数量、质量和安全；研究提出县级储备粮油的收购、销售、轮换计划；协助做好中省储备粮油工作。</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3</w:t>
      </w:r>
      <w:r>
        <w:rPr>
          <w:rFonts w:hint="eastAsia"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分析评价申报内容与实际相符，申报目标合理可行。</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（三）项目自评步骤及方法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说明项目绩效自评采用的组织实施步骤及方法。</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数量指标评价、质量指标评价、时效指标评价、成本指标评价、经济效益指标、社会效益指标、生态效益指标、可持续影响效益指标、服务对象和社会满意度指标。</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二、项目资金申报及使用情况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（一）项目资金申报及批复情况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邻水县粮食和物资储备中心编制项目方案，县政府审批，项目主管部门项目资金申请报告，县政府及财政局审批，项目资金由县财政局拨入项目单位，项目单位设施项目完成后，经验收、审计后，支付项目款</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sz w:val="33"/>
          <w:szCs w:val="33"/>
          <w:lang w:val="zh-CN"/>
        </w:rPr>
      </w:pPr>
      <w:r>
        <w:rPr>
          <w:rFonts w:hint="eastAsia" w:ascii="方正楷体_GBK" w:hAnsi="方正楷体_GBK" w:eastAsia="方正楷体_GBK" w:cs="方正楷体_GBK"/>
          <w:b/>
          <w:sz w:val="33"/>
          <w:szCs w:val="33"/>
          <w:lang w:val="zh-CN"/>
        </w:rPr>
        <w:t>（二）资金计划、到位及使用情况（可用表格形式反映）</w:t>
      </w:r>
    </w:p>
    <w:p>
      <w:pPr>
        <w:pageBreakBefore w:val="0"/>
        <w:kinsoku/>
        <w:wordWrap/>
        <w:overflowPunct/>
        <w:topLinePunct w:val="0"/>
        <w:bidi w:val="0"/>
        <w:adjustRightInd w:val="0"/>
        <w:snapToGrid w:val="0"/>
        <w:spacing w:line="590" w:lineRule="exact"/>
        <w:ind w:left="0" w:right="0" w:firstLine="720"/>
        <w:rPr>
          <w:rFonts w:hint="eastAsia" w:ascii="Times New Roman" w:hAnsi="Times New Roman" w:eastAsia="方正仿宋_GBK" w:cs="Times New Roman"/>
          <w:sz w:val="33"/>
          <w:szCs w:val="33"/>
          <w:lang w:val="en-US" w:eastAsia="zh-CN"/>
        </w:rPr>
      </w:pPr>
      <w:r>
        <w:rPr>
          <w:rFonts w:hint="eastAsia" w:eastAsia="方正仿宋_GBK" w:cs="Times New Roman"/>
          <w:b w:val="0"/>
          <w:bCs w:val="0"/>
          <w:sz w:val="33"/>
          <w:szCs w:val="33"/>
          <w:lang w:val="en-US" w:eastAsia="zh-CN"/>
        </w:rPr>
        <w:t>1.</w:t>
      </w:r>
      <w:r>
        <w:rPr>
          <w:rFonts w:hint="default" w:ascii="Times New Roman" w:hAnsi="Times New Roman" w:eastAsia="方正仿宋_GBK" w:cs="Times New Roman"/>
          <w:b w:val="0"/>
          <w:bCs w:val="0"/>
          <w:sz w:val="33"/>
          <w:szCs w:val="33"/>
          <w:lang w:val="zh-CN"/>
        </w:rPr>
        <w:t>资金计划</w:t>
      </w:r>
      <w:r>
        <w:rPr>
          <w:rFonts w:hint="eastAsia" w:ascii="Times New Roman" w:hAnsi="Times New Roman" w:eastAsia="方正仿宋_GBK" w:cs="Times New Roman"/>
          <w:b w:val="0"/>
          <w:bCs w:val="0"/>
          <w:sz w:val="33"/>
          <w:szCs w:val="33"/>
          <w:lang w:val="zh-CN"/>
        </w:rPr>
        <w:t>。</w:t>
      </w:r>
      <w:r>
        <w:rPr>
          <w:rFonts w:hint="default" w:ascii="Times New Roman" w:hAnsi="Times New Roman" w:eastAsia="方正仿宋_GBK" w:cs="Times New Roman"/>
          <w:sz w:val="33"/>
          <w:szCs w:val="33"/>
          <w:lang w:val="en-US" w:eastAsia="zh-CN"/>
        </w:rPr>
        <w:t>粮食财务挂账贷款利息</w:t>
      </w:r>
      <w:r>
        <w:rPr>
          <w:rFonts w:hint="eastAsia" w:ascii="Times New Roman" w:eastAsia="方正仿宋_GBK" w:cs="Times New Roman"/>
          <w:sz w:val="33"/>
          <w:szCs w:val="33"/>
          <w:lang w:val="en-US" w:eastAsia="zh-CN"/>
        </w:rPr>
        <w:t>项目</w:t>
      </w:r>
      <w:r>
        <w:rPr>
          <w:rFonts w:hint="default" w:ascii="Times New Roman" w:hAnsi="Times New Roman" w:eastAsia="方正仿宋_GBK" w:cs="Times New Roman"/>
          <w:color w:val="auto"/>
          <w:sz w:val="33"/>
          <w:szCs w:val="33"/>
        </w:rPr>
        <w:t>预算数</w:t>
      </w:r>
      <w:r>
        <w:rPr>
          <w:rFonts w:hint="eastAsia" w:ascii="Times New Roman" w:hAnsi="Times New Roman" w:eastAsia="方正仿宋_GBK" w:cs="Times New Roman"/>
          <w:color w:val="auto"/>
          <w:sz w:val="33"/>
          <w:szCs w:val="33"/>
          <w:lang w:val="en-US" w:eastAsia="zh-CN"/>
        </w:rPr>
        <w:t>62.05</w:t>
      </w:r>
      <w:r>
        <w:rPr>
          <w:rFonts w:hint="default" w:ascii="Times New Roman" w:hAnsi="Times New Roman" w:eastAsia="方正仿宋_GBK" w:cs="Times New Roman"/>
          <w:color w:val="auto"/>
          <w:sz w:val="33"/>
          <w:szCs w:val="33"/>
        </w:rPr>
        <w:t>万元</w:t>
      </w:r>
      <w:r>
        <w:rPr>
          <w:rFonts w:hint="eastAsia" w:ascii="Times New Roman" w:hAnsi="Times New Roman" w:eastAsia="方正仿宋_GBK" w:cs="Times New Roman"/>
          <w:color w:val="auto"/>
          <w:sz w:val="33"/>
          <w:szCs w:val="33"/>
          <w:lang w:eastAsia="zh-CN"/>
        </w:rPr>
        <w:t>。</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w:t>
      </w:r>
      <w:r>
        <w:rPr>
          <w:rFonts w:hint="default" w:ascii="Times New Roman" w:hAnsi="Times New Roman" w:eastAsia="方正仿宋_GBK" w:cs="Times New Roman"/>
          <w:sz w:val="33"/>
          <w:szCs w:val="33"/>
          <w:lang w:val="zh-CN"/>
        </w:rPr>
        <w:t>资金到位。截止评价时点该项目</w:t>
      </w:r>
      <w:r>
        <w:rPr>
          <w:rFonts w:hint="default" w:ascii="Times New Roman" w:hAnsi="Times New Roman" w:eastAsia="方正仿宋_GBK" w:cs="Times New Roman"/>
          <w:sz w:val="33"/>
          <w:szCs w:val="33"/>
          <w:lang w:val="en-US" w:eastAsia="zh-CN"/>
        </w:rPr>
        <w:t>资金</w:t>
      </w:r>
      <w:r>
        <w:rPr>
          <w:rFonts w:hint="eastAsia" w:eastAsia="方正仿宋_GBK" w:cs="Times New Roman"/>
          <w:sz w:val="33"/>
          <w:szCs w:val="33"/>
          <w:lang w:val="en-US" w:eastAsia="zh-CN"/>
        </w:rPr>
        <w:t>62.05</w:t>
      </w:r>
      <w:r>
        <w:rPr>
          <w:rFonts w:hint="default" w:ascii="Times New Roman" w:hAnsi="Times New Roman" w:eastAsia="方正仿宋_GBK" w:cs="Times New Roman"/>
          <w:sz w:val="33"/>
          <w:szCs w:val="33"/>
          <w:lang w:val="en-US" w:eastAsia="zh-CN"/>
        </w:rPr>
        <w:t>万元，已由县财政局在2021年底前，全面拨款到位。</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eastAsia" w:eastAsia="方正仿宋_GBK" w:cs="Times New Roman"/>
          <w:sz w:val="33"/>
          <w:szCs w:val="33"/>
          <w:lang w:val="en-US" w:eastAsia="zh-CN"/>
        </w:rPr>
        <w:t>3.</w:t>
      </w:r>
      <w:r>
        <w:rPr>
          <w:rFonts w:hint="default" w:ascii="Times New Roman" w:hAnsi="Times New Roman" w:eastAsia="方正仿宋_GBK" w:cs="Times New Roman"/>
          <w:sz w:val="33"/>
          <w:szCs w:val="33"/>
          <w:lang w:val="zh-CN"/>
        </w:rPr>
        <w:t>资金使用。汇总统计截止评价时点该项目</w:t>
      </w:r>
      <w:r>
        <w:rPr>
          <w:rFonts w:hint="default" w:ascii="Times New Roman" w:hAnsi="Times New Roman" w:eastAsia="方正仿宋_GBK" w:cs="Times New Roman"/>
          <w:sz w:val="33"/>
          <w:szCs w:val="33"/>
          <w:lang w:val="en-US" w:eastAsia="zh-CN"/>
        </w:rPr>
        <w:t>资金全部支付完成。资</w:t>
      </w:r>
      <w:r>
        <w:rPr>
          <w:rFonts w:hint="default" w:ascii="Times New Roman" w:hAnsi="Times New Roman" w:eastAsia="方正仿宋_GBK" w:cs="Times New Roman"/>
          <w:sz w:val="33"/>
          <w:szCs w:val="33"/>
          <w:lang w:val="zh-CN"/>
        </w:rPr>
        <w:t>金使用安全，</w:t>
      </w:r>
      <w:r>
        <w:rPr>
          <w:rFonts w:hint="default" w:ascii="Times New Roman" w:hAnsi="Times New Roman" w:eastAsia="方正仿宋_GBK" w:cs="Times New Roman"/>
          <w:sz w:val="33"/>
          <w:szCs w:val="33"/>
          <w:lang w:val="en-US" w:eastAsia="zh-CN"/>
        </w:rPr>
        <w:t>支出</w:t>
      </w:r>
      <w:r>
        <w:rPr>
          <w:rFonts w:hint="default" w:ascii="Times New Roman" w:hAnsi="Times New Roman" w:eastAsia="方正仿宋_GBK" w:cs="Times New Roman"/>
          <w:sz w:val="33"/>
          <w:szCs w:val="33"/>
          <w:lang w:val="zh-CN"/>
        </w:rPr>
        <w:t>规范及有效，</w:t>
      </w:r>
      <w:r>
        <w:rPr>
          <w:rFonts w:hint="default" w:ascii="Times New Roman" w:hAnsi="Times New Roman" w:eastAsia="方正仿宋_GBK" w:cs="Times New Roman"/>
          <w:sz w:val="33"/>
          <w:szCs w:val="33"/>
          <w:lang w:val="en-US" w:eastAsia="zh-CN"/>
        </w:rPr>
        <w:t>确保项目资金，按进度，按项目，按预算，按范围，按标准支付，未出现其他问题</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（三）项目财务管理情况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项目实施单位财务管理制度健全，严格执行财务管理制度，账务处理及时，会计核算规范等。</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三、项目实施及管理情况</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（一）项目组织架构及实施流程</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b w:val="0"/>
          <w:bCs/>
          <w:sz w:val="33"/>
          <w:szCs w:val="33"/>
          <w:lang w:val="en-US" w:eastAsia="zh-CN"/>
        </w:rPr>
        <w:t>成立项目领导小组，质量监督小组</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（二）项目管理情况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en-US" w:eastAsia="zh-CN"/>
        </w:rPr>
      </w:pPr>
      <w:r>
        <w:rPr>
          <w:rFonts w:hint="default" w:ascii="Times New Roman" w:hAnsi="Times New Roman" w:eastAsia="方正仿宋_GBK" w:cs="Times New Roman"/>
          <w:sz w:val="33"/>
          <w:szCs w:val="33"/>
          <w:lang w:val="en-US" w:eastAsia="zh-CN"/>
        </w:rPr>
        <w:t>邻水县粮食和物资储备中心2021年无基建项目，主要是保运转项目经费，严格按照项目预算要求，精简节约，不突破预算，确保项目圆满设施完成。</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（三）项目监管情况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邻水县粮食和物资储备中心2021年无基建项目，成立了项目质量监督小组，重点监督资金管理</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lang w:val="zh-CN"/>
        </w:rPr>
      </w:pPr>
      <w:r>
        <w:rPr>
          <w:rFonts w:hint="eastAsia" w:ascii="黑体" w:hAnsi="黑体" w:eastAsia="黑体" w:cs="黑体"/>
          <w:sz w:val="33"/>
          <w:szCs w:val="33"/>
        </w:rPr>
        <w:t>四、项目绩效情况</w:t>
      </w:r>
      <w:r>
        <w:rPr>
          <w:rFonts w:hint="eastAsia" w:ascii="黑体" w:hAnsi="黑体" w:eastAsia="黑体" w:cs="黑体"/>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（一）项目完成情况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b/>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个项目，均按时、按量完成任务，没有超出预算</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（二）项目效益情况</w:t>
      </w:r>
    </w:p>
    <w:p>
      <w:pPr>
        <w:pageBreakBefore w:val="0"/>
        <w:kinsoku/>
        <w:wordWrap/>
        <w:overflowPunct/>
        <w:topLinePunct w:val="0"/>
        <w:bidi w:val="0"/>
        <w:adjustRightInd w:val="0"/>
        <w:snapToGrid w:val="0"/>
        <w:spacing w:line="590" w:lineRule="exact"/>
        <w:ind w:left="0" w:right="0" w:firstLine="72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邻水县粮食和物资储备中心2021年设施了</w:t>
      </w:r>
      <w:r>
        <w:rPr>
          <w:rFonts w:hint="eastAsia"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个项目，达到了社会满意、企业满意、群众满意</w:t>
      </w:r>
      <w:r>
        <w:rPr>
          <w:rFonts w:hint="default" w:ascii="Times New Roman" w:hAnsi="Times New Roman" w:eastAsia="方正仿宋_GBK" w:cs="Times New Roman"/>
          <w:sz w:val="33"/>
          <w:szCs w:val="33"/>
          <w:lang w:val="zh-CN"/>
        </w:rPr>
        <w:t>。</w:t>
      </w:r>
    </w:p>
    <w:p>
      <w:pPr>
        <w:pageBreakBefore w:val="0"/>
        <w:kinsoku/>
        <w:wordWrap/>
        <w:overflowPunct/>
        <w:topLinePunct w:val="0"/>
        <w:bidi w:val="0"/>
        <w:adjustRightInd w:val="0"/>
        <w:snapToGrid w:val="0"/>
        <w:spacing w:line="590" w:lineRule="exact"/>
        <w:ind w:left="0" w:right="0" w:firstLine="720"/>
        <w:rPr>
          <w:rFonts w:hint="eastAsia" w:ascii="黑体" w:hAnsi="黑体" w:eastAsia="黑体" w:cs="黑体"/>
          <w:sz w:val="33"/>
          <w:szCs w:val="33"/>
        </w:rPr>
      </w:pPr>
      <w:r>
        <w:rPr>
          <w:rFonts w:hint="eastAsia" w:ascii="黑体" w:hAnsi="黑体" w:eastAsia="黑体" w:cs="黑体"/>
          <w:sz w:val="33"/>
          <w:szCs w:val="33"/>
        </w:rPr>
        <w:t>五、评价结论及建议</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（一）评价结论</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bdr w:val="single" w:color="auto" w:sz="4" w:space="0"/>
          <w:lang w:val="zh-CN"/>
        </w:rPr>
      </w:pPr>
      <w:r>
        <w:rPr>
          <w:rFonts w:hint="default" w:ascii="Times New Roman" w:hAnsi="Times New Roman" w:eastAsia="方正仿宋_GBK" w:cs="Times New Roman"/>
          <w:sz w:val="33"/>
          <w:szCs w:val="33"/>
          <w:lang w:val="en-US" w:eastAsia="zh-CN"/>
        </w:rPr>
        <w:t>邻水县粮食和物资储备中心2021年主要是保运转项目，保障了2021年职工工资福利的发放，单位机构的正常运转，确保了社会稳定、职工稳定。</w:t>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（二）存在的问题</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虽然上级财政给了保运转项目经费，但资金有限，资金量不大，缺口还是较大</w:t>
      </w: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zh-CN"/>
        </w:rPr>
        <w:tab/>
      </w:r>
    </w:p>
    <w:p>
      <w:pPr>
        <w:pageBreakBefore w:val="0"/>
        <w:kinsoku/>
        <w:wordWrap/>
        <w:overflowPunct/>
        <w:topLinePunct w:val="0"/>
        <w:bidi w:val="0"/>
        <w:adjustRightInd w:val="0"/>
        <w:snapToGrid w:val="0"/>
        <w:spacing w:line="590" w:lineRule="exact"/>
        <w:ind w:left="0" w:right="0" w:firstLine="720"/>
        <w:rPr>
          <w:rFonts w:hint="eastAsia" w:ascii="方正楷体_GBK" w:hAnsi="方正楷体_GBK" w:eastAsia="方正楷体_GBK" w:cs="方正楷体_GBK"/>
          <w:b/>
          <w:sz w:val="33"/>
          <w:szCs w:val="33"/>
          <w:lang w:val="zh-CN"/>
        </w:rPr>
      </w:pPr>
      <w:r>
        <w:rPr>
          <w:rFonts w:hint="eastAsia" w:ascii="方正楷体_GBK" w:hAnsi="方正楷体_GBK" w:eastAsia="方正楷体_GBK" w:cs="方正楷体_GBK"/>
          <w:b/>
          <w:sz w:val="33"/>
          <w:szCs w:val="33"/>
          <w:lang w:val="zh-CN"/>
        </w:rPr>
        <w:t>（三）相关建议</w:t>
      </w:r>
    </w:p>
    <w:p>
      <w:pPr>
        <w:pageBreakBefore w:val="0"/>
        <w:kinsoku/>
        <w:wordWrap/>
        <w:overflowPunct/>
        <w:topLinePunct w:val="0"/>
        <w:bidi w:val="0"/>
        <w:adjustRightInd w:val="0"/>
        <w:snapToGrid w:val="0"/>
        <w:spacing w:line="590" w:lineRule="exact"/>
        <w:ind w:left="0" w:right="0" w:firstLine="660" w:firstLineChars="200"/>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一是希望政府加大资金预算，特别是公共运行经费的投入，确保我们单位的正常运转。二是我们要节约开支，特别是控制差旅费和公务接待费的开支</w:t>
      </w:r>
      <w:r>
        <w:rPr>
          <w:rFonts w:hint="default" w:ascii="Times New Roman" w:hAnsi="Times New Roman" w:eastAsia="方正仿宋_GBK" w:cs="Times New Roman"/>
          <w:sz w:val="33"/>
          <w:szCs w:val="33"/>
          <w:lang w:val="zh-CN"/>
        </w:rPr>
        <w:t>。</w:t>
      </w:r>
    </w:p>
    <w:p>
      <w:pPr>
        <w:pageBreakBefore w:val="0"/>
        <w:kinsoku/>
        <w:wordWrap/>
        <w:overflowPunct/>
        <w:topLinePunct w:val="0"/>
        <w:bidi w:val="0"/>
        <w:spacing w:line="590" w:lineRule="exact"/>
        <w:ind w:left="0" w:right="0" w:firstLine="640"/>
        <w:rPr>
          <w:rFonts w:hint="default" w:ascii="Times New Roman" w:hAnsi="Times New Roman" w:eastAsia="方正仿宋_GBK" w:cs="Times New Roman"/>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lang w:eastAsia="zh-CN"/>
        </w:rPr>
      </w:pPr>
      <w:r>
        <w:rPr>
          <w:rStyle w:val="14"/>
          <w:rFonts w:hint="default" w:ascii="Times New Roman" w:hAnsi="Times New Roman" w:eastAsia="方正仿宋_GBK" w:cs="Times New Roman"/>
          <w:b w:val="0"/>
          <w:sz w:val="33"/>
          <w:szCs w:val="33"/>
          <w:lang w:eastAsia="zh-CN"/>
        </w:rPr>
        <w:t>附件</w:t>
      </w:r>
      <w:r>
        <w:rPr>
          <w:rStyle w:val="14"/>
          <w:rFonts w:hint="default" w:ascii="Times New Roman" w:hAnsi="Times New Roman" w:eastAsia="方正仿宋_GBK" w:cs="Times New Roman"/>
          <w:b w:val="0"/>
          <w:sz w:val="33"/>
          <w:szCs w:val="33"/>
          <w:lang w:val="en-US" w:eastAsia="zh-CN"/>
        </w:rPr>
        <w:t>3</w:t>
      </w:r>
      <w:r>
        <w:rPr>
          <w:rStyle w:val="14"/>
          <w:rFonts w:hint="default" w:ascii="Times New Roman" w:hAnsi="Times New Roman" w:eastAsia="方正仿宋_GBK" w:cs="Times New Roman"/>
          <w:b w:val="0"/>
          <w:sz w:val="33"/>
          <w:szCs w:val="33"/>
          <w:lang w:eastAsia="zh-CN"/>
        </w:rPr>
        <w:t>：</w:t>
      </w:r>
    </w:p>
    <w:p>
      <w:pPr>
        <w:pageBreakBefore w:val="0"/>
        <w:widowControl/>
        <w:kinsoku/>
        <w:wordWrap/>
        <w:overflowPunct/>
        <w:topLinePunct w:val="0"/>
        <w:bidi w:val="0"/>
        <w:spacing w:line="590" w:lineRule="exact"/>
        <w:ind w:left="0" w:right="0"/>
        <w:jc w:val="center"/>
        <w:rPr>
          <w:rStyle w:val="14"/>
          <w:rFonts w:hint="eastAsia" w:ascii="方正小标宋_GBK" w:hAnsi="方正小标宋_GBK" w:eastAsia="方正小标宋_GBK" w:cs="方正小标宋_GBK"/>
          <w:b/>
          <w:bCs w:val="0"/>
          <w:sz w:val="40"/>
          <w:szCs w:val="40"/>
          <w:lang w:val="en-US" w:eastAsia="zh-CN"/>
        </w:rPr>
      </w:pPr>
      <w:r>
        <w:rPr>
          <w:rStyle w:val="14"/>
          <w:rFonts w:hint="eastAsia" w:ascii="方正小标宋_GBK" w:hAnsi="方正小标宋_GBK" w:eastAsia="方正小标宋_GBK" w:cs="方正小标宋_GBK"/>
          <w:b/>
          <w:bCs w:val="0"/>
          <w:sz w:val="40"/>
          <w:szCs w:val="40"/>
          <w:lang w:val="en-US" w:eastAsia="zh-CN"/>
        </w:rPr>
        <w:t>2021年部门预算项目绩效目标自评表</w:t>
      </w:r>
    </w:p>
    <w:p>
      <w:pPr>
        <w:pStyle w:val="2"/>
        <w:rPr>
          <w:rFonts w:hint="eastAsia"/>
          <w:lang w:val="en-US" w:eastAsia="zh-CN"/>
        </w:rPr>
      </w:pPr>
    </w:p>
    <w:tbl>
      <w:tblPr>
        <w:tblStyle w:val="10"/>
        <w:tblW w:w="4997" w:type="pct"/>
        <w:tblInd w:w="0" w:type="dxa"/>
        <w:tblLayout w:type="autofit"/>
        <w:tblCellMar>
          <w:top w:w="0" w:type="dxa"/>
          <w:left w:w="0" w:type="dxa"/>
          <w:bottom w:w="0" w:type="dxa"/>
          <w:right w:w="0" w:type="dxa"/>
        </w:tblCellMar>
      </w:tblPr>
      <w:tblGrid>
        <w:gridCol w:w="718"/>
        <w:gridCol w:w="1198"/>
        <w:gridCol w:w="1290"/>
        <w:gridCol w:w="539"/>
        <w:gridCol w:w="1206"/>
        <w:gridCol w:w="1929"/>
        <w:gridCol w:w="1989"/>
      </w:tblGrid>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cs="宋体"/>
                <w:b/>
                <w:bCs/>
                <w:spacing w:val="6"/>
                <w:sz w:val="20"/>
                <w:szCs w:val="20"/>
                <w:lang w:val="en-US" w:eastAsia="zh-CN"/>
              </w:rPr>
              <w:t>仓库建设及管理</w:t>
            </w:r>
          </w:p>
        </w:tc>
      </w:tr>
      <w:tr>
        <w:tblPrEx>
          <w:tblCellMar>
            <w:top w:w="0" w:type="dxa"/>
            <w:left w:w="0" w:type="dxa"/>
            <w:bottom w:w="0" w:type="dxa"/>
            <w:right w:w="0" w:type="dxa"/>
          </w:tblCellMar>
        </w:tblPrEx>
        <w:trPr>
          <w:trHeight w:val="762"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w:t>
            </w:r>
          </w:p>
        </w:tc>
      </w:tr>
      <w:tr>
        <w:tblPrEx>
          <w:tblCellMar>
            <w:top w:w="0" w:type="dxa"/>
            <w:left w:w="0" w:type="dxa"/>
            <w:bottom w:w="0" w:type="dxa"/>
            <w:right w:w="0" w:type="dxa"/>
          </w:tblCellMar>
        </w:tblPrEx>
        <w:trPr>
          <w:trHeight w:val="762"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4</w:t>
            </w:r>
          </w:p>
        </w:tc>
      </w:tr>
      <w:tr>
        <w:tblPrEx>
          <w:tblCellMar>
            <w:top w:w="0" w:type="dxa"/>
            <w:left w:w="0" w:type="dxa"/>
            <w:bottom w:w="0" w:type="dxa"/>
            <w:right w:w="0" w:type="dxa"/>
          </w:tblCellMar>
        </w:tblPrEx>
        <w:trPr>
          <w:trHeight w:val="762"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18"/>
                <w:szCs w:val="18"/>
                <w:lang w:val="en-US" w:eastAsia="zh-CN"/>
              </w:rPr>
              <w:t>指导和协调全县粮食流通基础设施建设，编制全县粮油仓储、加工设施建设计划并组织实施；指导粮油商业网点建设，负责粮油仓储设施的报废、占用、拆迁的转报审批，向上争取项目</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指导和协调全县粮食流通基础设施建设，编制全县粮油仓储、加工设施建设计划并组织实施；指导粮油商业网点建设，负责粮油仓储设施的报废、占用、拆迁的转报审批，向上争取项目</w:t>
            </w:r>
          </w:p>
        </w:tc>
      </w:tr>
      <w:tr>
        <w:tblPrEx>
          <w:tblCellMar>
            <w:top w:w="0" w:type="dxa"/>
            <w:left w:w="0" w:type="dxa"/>
            <w:bottom w:w="0" w:type="dxa"/>
            <w:right w:w="0" w:type="dxa"/>
          </w:tblCellMar>
        </w:tblPrEx>
        <w:trPr>
          <w:trHeight w:val="629" w:hRule="atLeast"/>
        </w:trPr>
        <w:tc>
          <w:tcPr>
            <w:tcW w:w="405"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4"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865"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指导协调全县粮库建设、管理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做好全县7个库点粮库智能化管理，做好全县危仓老库改造，做好渝邻粮食物流园项目建设管理</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7个库点粮库智能化管理，危仓老库改造，渝邻粮食物流园项目建设管理</w:t>
            </w:r>
          </w:p>
        </w:tc>
      </w:tr>
      <w:tr>
        <w:tblPrEx>
          <w:tblCellMar>
            <w:top w:w="0" w:type="dxa"/>
            <w:left w:w="0" w:type="dxa"/>
            <w:bottom w:w="0" w:type="dxa"/>
            <w:right w:w="0" w:type="dxa"/>
          </w:tblCellMar>
        </w:tblPrEx>
        <w:trPr>
          <w:trHeight w:val="396"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验收合格率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100%</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100%</w:t>
            </w:r>
          </w:p>
        </w:tc>
      </w:tr>
      <w:tr>
        <w:tblPrEx>
          <w:tblCellMar>
            <w:top w:w="0" w:type="dxa"/>
            <w:left w:w="0" w:type="dxa"/>
            <w:bottom w:w="0" w:type="dxa"/>
            <w:right w:w="0" w:type="dxa"/>
          </w:tblCellMar>
        </w:tblPrEx>
        <w:trPr>
          <w:trHeight w:val="396"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完成时间</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2021年3月</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2021年3月</w:t>
            </w:r>
          </w:p>
        </w:tc>
      </w:tr>
      <w:tr>
        <w:tblPrEx>
          <w:tblCellMar>
            <w:top w:w="0" w:type="dxa"/>
            <w:left w:w="0" w:type="dxa"/>
            <w:bottom w:w="0" w:type="dxa"/>
            <w:right w:w="0" w:type="dxa"/>
          </w:tblCellMar>
        </w:tblPrEx>
        <w:trPr>
          <w:trHeight w:val="396"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指导协调全县粮库建设管理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r>
      <w:tr>
        <w:tblPrEx>
          <w:tblCellMar>
            <w:top w:w="0" w:type="dxa"/>
            <w:left w:w="0" w:type="dxa"/>
            <w:bottom w:w="0" w:type="dxa"/>
            <w:right w:w="0" w:type="dxa"/>
          </w:tblCellMar>
        </w:tblPrEx>
        <w:trPr>
          <w:trHeight w:val="396"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项目申报</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25000</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25000</w:t>
            </w:r>
          </w:p>
        </w:tc>
      </w:tr>
      <w:tr>
        <w:tblPrEx>
          <w:tblCellMar>
            <w:top w:w="0" w:type="dxa"/>
            <w:left w:w="0" w:type="dxa"/>
            <w:bottom w:w="0" w:type="dxa"/>
            <w:right w:w="0" w:type="dxa"/>
          </w:tblCellMar>
        </w:tblPrEx>
        <w:trPr>
          <w:trHeight w:val="829"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粮库管理效率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提升粮库管理效率，争取多装粮食</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提升粮库管理效率，争取多装粮食</w:t>
            </w:r>
          </w:p>
        </w:tc>
      </w:tr>
      <w:tr>
        <w:tblPrEx>
          <w:tblCellMar>
            <w:top w:w="0" w:type="dxa"/>
            <w:left w:w="0" w:type="dxa"/>
            <w:bottom w:w="0" w:type="dxa"/>
            <w:right w:w="0" w:type="dxa"/>
          </w:tblCellMar>
        </w:tblPrEx>
        <w:trPr>
          <w:trHeight w:val="829"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spacing w:val="6"/>
                <w:sz w:val="20"/>
                <w:szCs w:val="20"/>
                <w:lang w:val="en-US" w:eastAsia="zh-CN"/>
              </w:rPr>
            </w:pPr>
            <w:r>
              <w:rPr>
                <w:rFonts w:hint="default" w:ascii="宋体" w:hAnsi="宋体" w:eastAsia="宋体" w:cs="宋体"/>
                <w:b w:val="0"/>
                <w:bCs w:val="0"/>
                <w:spacing w:val="6"/>
                <w:sz w:val="20"/>
                <w:szCs w:val="20"/>
                <w:lang w:val="en-US" w:eastAsia="zh-CN"/>
              </w:rPr>
              <w:t>渝邻粮食物流园</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b w:val="0"/>
                <w:bCs w:val="0"/>
                <w:spacing w:val="6"/>
                <w:sz w:val="20"/>
                <w:szCs w:val="20"/>
                <w:lang w:val="en-US" w:eastAsia="zh-CN"/>
              </w:rPr>
            </w:pPr>
            <w:r>
              <w:rPr>
                <w:rFonts w:hint="default" w:ascii="宋体" w:hAnsi="宋体" w:eastAsia="宋体" w:cs="宋体"/>
                <w:b w:val="0"/>
                <w:bCs w:val="0"/>
                <w:spacing w:val="6"/>
                <w:sz w:val="20"/>
                <w:szCs w:val="20"/>
                <w:lang w:val="en-US" w:eastAsia="zh-CN"/>
              </w:rPr>
              <w:t>一期投入营运，利润20万元</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b w:val="0"/>
                <w:bCs w:val="0"/>
                <w:spacing w:val="6"/>
                <w:sz w:val="20"/>
                <w:szCs w:val="20"/>
                <w:lang w:val="en-US" w:eastAsia="zh-CN"/>
              </w:rPr>
            </w:pPr>
            <w:r>
              <w:rPr>
                <w:rFonts w:hint="default" w:ascii="宋体" w:hAnsi="宋体" w:eastAsia="宋体" w:cs="宋体"/>
                <w:b w:val="0"/>
                <w:bCs w:val="0"/>
                <w:spacing w:val="6"/>
                <w:sz w:val="20"/>
                <w:szCs w:val="20"/>
                <w:lang w:val="en-US" w:eastAsia="zh-CN"/>
              </w:rPr>
              <w:t>一期投入营运，利润20万元</w:t>
            </w:r>
          </w:p>
        </w:tc>
      </w:tr>
      <w:tr>
        <w:tblPrEx>
          <w:tblCellMar>
            <w:top w:w="0" w:type="dxa"/>
            <w:left w:w="0" w:type="dxa"/>
            <w:bottom w:w="0" w:type="dxa"/>
            <w:right w:w="0" w:type="dxa"/>
          </w:tblCellMar>
        </w:tblPrEx>
        <w:trPr>
          <w:trHeight w:val="1925"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粮库安全</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确保粮库安全，保障粮食安全</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确保粮库安全，保障粮食安全</w:t>
            </w:r>
          </w:p>
        </w:tc>
      </w:tr>
      <w:tr>
        <w:tblPrEx>
          <w:tblCellMar>
            <w:top w:w="0" w:type="dxa"/>
            <w:left w:w="0" w:type="dxa"/>
            <w:bottom w:w="0" w:type="dxa"/>
            <w:right w:w="0" w:type="dxa"/>
          </w:tblCellMar>
        </w:tblPrEx>
        <w:trPr>
          <w:trHeight w:val="588"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550"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粮库安全</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90" w:hRule="atLeast"/>
        </w:trPr>
        <w:tc>
          <w:tcPr>
            <w:tcW w:w="405"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c>
          <w:tcPr>
            <w:tcW w:w="11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r>
    </w:tbl>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p>
    <w:tbl>
      <w:tblPr>
        <w:tblStyle w:val="10"/>
        <w:tblW w:w="4997" w:type="pct"/>
        <w:tblInd w:w="0" w:type="dxa"/>
        <w:tblLayout w:type="autofit"/>
        <w:tblCellMar>
          <w:top w:w="0" w:type="dxa"/>
          <w:left w:w="0" w:type="dxa"/>
          <w:bottom w:w="0" w:type="dxa"/>
          <w:right w:w="0" w:type="dxa"/>
        </w:tblCellMar>
      </w:tblPr>
      <w:tblGrid>
        <w:gridCol w:w="717"/>
        <w:gridCol w:w="1199"/>
        <w:gridCol w:w="1290"/>
        <w:gridCol w:w="539"/>
        <w:gridCol w:w="1206"/>
        <w:gridCol w:w="1929"/>
        <w:gridCol w:w="1989"/>
      </w:tblGrid>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国有粮食企业管理</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指导全县粮食企业经营管理，做好服务工作，继续推进粮食国企改革，提升粮食企业经济效益和社会效益</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指导全县粮食企业经营管理，做好服务工作，继续推进粮食国企改革，提升粮食企业经济效益和社会效益</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86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指导企业经营管理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企业目标基础数据调查10人次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企业目标基础数据调查10人次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国有粮食企业改制</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全面完成县委县政府国企改革任务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全面完成县委县政府国企改革任务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组织企业培训学习</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10人次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10人次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改制完成时间</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2021年6月</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2021年6月</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指导企业经营管理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组织企业培训学习</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国企改革</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12000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12000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指导企业经营管理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国企党建</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加强国企党组建设</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加强国企党组建设</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55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指导企业经营</w:t>
            </w:r>
            <w:r>
              <w:rPr>
                <w:rFonts w:hint="eastAsia" w:ascii="宋体" w:hAnsi="宋体" w:cs="宋体"/>
                <w:spacing w:val="6"/>
                <w:sz w:val="20"/>
                <w:szCs w:val="20"/>
                <w:lang w:val="en-US" w:eastAsia="zh-CN"/>
              </w:rPr>
              <w:t>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r>
    </w:tbl>
    <w:p>
      <w:pPr>
        <w:pageBreakBefore w:val="0"/>
        <w:widowControl/>
        <w:kinsoku/>
        <w:wordWrap/>
        <w:overflowPunct/>
        <w:topLinePunct w:val="0"/>
        <w:bidi w:val="0"/>
        <w:spacing w:line="590" w:lineRule="exact"/>
        <w:ind w:left="0" w:right="0"/>
        <w:jc w:val="left"/>
        <w:rPr>
          <w:rStyle w:val="14"/>
          <w:rFonts w:hint="default" w:ascii="Times New Roman" w:hAnsi="Times New Roman" w:eastAsia="方正仿宋_GBK" w:cs="Times New Roman"/>
          <w:b w:val="0"/>
          <w:sz w:val="33"/>
          <w:szCs w:val="33"/>
        </w:rPr>
      </w:pPr>
      <w:r>
        <w:rPr>
          <w:rStyle w:val="14"/>
          <w:rFonts w:hint="default" w:ascii="Times New Roman" w:hAnsi="Times New Roman" w:eastAsia="方正仿宋_GBK" w:cs="Times New Roman"/>
          <w:b w:val="0"/>
          <w:sz w:val="33"/>
          <w:szCs w:val="33"/>
        </w:rPr>
        <w:br w:type="page"/>
      </w:r>
    </w:p>
    <w:tbl>
      <w:tblPr>
        <w:tblStyle w:val="10"/>
        <w:tblW w:w="4997" w:type="pct"/>
        <w:tblInd w:w="0" w:type="dxa"/>
        <w:tblLayout w:type="autofit"/>
        <w:tblCellMar>
          <w:top w:w="0" w:type="dxa"/>
          <w:left w:w="0" w:type="dxa"/>
          <w:bottom w:w="0" w:type="dxa"/>
          <w:right w:w="0" w:type="dxa"/>
        </w:tblCellMar>
      </w:tblPr>
      <w:tblGrid>
        <w:gridCol w:w="717"/>
        <w:gridCol w:w="1199"/>
        <w:gridCol w:w="1290"/>
        <w:gridCol w:w="539"/>
        <w:gridCol w:w="1206"/>
        <w:gridCol w:w="1929"/>
        <w:gridCol w:w="1989"/>
      </w:tblGrid>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国有粮食企业职工档案管理</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2</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管理维护原粮食企业人事档案，为原粮食企业职工提供查询提供</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管理维护原粮食企业人事档案，为原粮食企业职工提供查询提供</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86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管理原粮食企业1000多人的人事档案，每年核对人员情况</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管理原粮食企业1000多人的人事档案，每年核对人员情况</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完整安全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完整安全</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w:t>
            </w:r>
            <w:r>
              <w:rPr>
                <w:rFonts w:hint="eastAsia" w:ascii="宋体" w:hAnsi="宋体" w:cs="宋体"/>
                <w:spacing w:val="6"/>
                <w:sz w:val="20"/>
                <w:szCs w:val="20"/>
                <w:lang w:val="en-US" w:eastAsia="zh-CN"/>
              </w:rPr>
              <w:t>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1000人次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1000人次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时间期限</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常年</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常年</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指导企业经营管理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0</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人事档案管理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稳定全县老粮食职工队伍，让他们有归属感和依靠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稳定全县老粮食职工队伍，让他们有归属感和依靠</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55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粮库安全</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r>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粮食安全行政首长责任制考核</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15</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搞好粮食安全行政首长责任制考核培训工作和粮食监管工作，做好宣传引导工作、现场打造、资料归集装订，做好年底迎检工作。</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搞好粮食安全行政首长责任制考核培训工作和粮食监管工作，做好宣传引导工作、现场打造、资料归集装订，做好年底迎检工作。</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86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政策宣传</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18"/>
                <w:szCs w:val="18"/>
                <w:lang w:val="en-US" w:eastAsia="zh-CN"/>
              </w:rPr>
            </w:pPr>
            <w:r>
              <w:rPr>
                <w:rFonts w:hint="default" w:ascii="宋体" w:hAnsi="宋体" w:eastAsia="宋体" w:cs="宋体"/>
                <w:spacing w:val="6"/>
                <w:sz w:val="18"/>
                <w:szCs w:val="18"/>
                <w:lang w:val="en-US" w:eastAsia="zh-CN"/>
              </w:rPr>
              <w:t>制作宣传资料、广告牌、条幅，到全县和乡镇开展宣传工作6次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18"/>
                <w:szCs w:val="18"/>
                <w:lang w:val="en-US" w:eastAsia="zh-CN"/>
              </w:rPr>
            </w:pPr>
            <w:r>
              <w:rPr>
                <w:rFonts w:hint="default" w:ascii="宋体" w:hAnsi="宋体" w:eastAsia="宋体" w:cs="宋体"/>
                <w:spacing w:val="6"/>
                <w:sz w:val="18"/>
                <w:szCs w:val="18"/>
                <w:lang w:val="en-US" w:eastAsia="zh-CN"/>
              </w:rPr>
              <w:t>制作宣传资料、广告牌、条幅，到全县和乡镇开展宣传工作6次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粮食安全意识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18"/>
                <w:szCs w:val="18"/>
                <w:lang w:val="en-US" w:eastAsia="zh-CN"/>
              </w:rPr>
            </w:pPr>
            <w:r>
              <w:rPr>
                <w:rFonts w:hint="default" w:ascii="宋体" w:hAnsi="宋体" w:eastAsia="宋体" w:cs="宋体"/>
                <w:spacing w:val="6"/>
                <w:sz w:val="18"/>
                <w:szCs w:val="18"/>
                <w:lang w:val="en-US" w:eastAsia="zh-CN"/>
              </w:rPr>
              <w:t>提升全县老百姓粮食安全意识，保证粮食产量，确保粮食安全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18"/>
                <w:szCs w:val="18"/>
                <w:lang w:val="en-US" w:eastAsia="zh-CN"/>
              </w:rPr>
            </w:pPr>
            <w:r>
              <w:rPr>
                <w:rFonts w:hint="default" w:ascii="宋体" w:hAnsi="宋体" w:eastAsia="宋体" w:cs="宋体"/>
                <w:spacing w:val="6"/>
                <w:sz w:val="18"/>
                <w:szCs w:val="18"/>
                <w:lang w:val="en-US" w:eastAsia="zh-CN"/>
              </w:rPr>
              <w:t>提升全县老百姓粮食安全意识，保证粮食产量，确保粮食安全</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召开培训会</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5次</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粮食检验和监管</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12</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12</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粮食安全意识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政策宣传</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60000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60000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培训学习</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15000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粮食检验和监管</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档案资料</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25000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25000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16"/>
                <w:szCs w:val="16"/>
                <w:lang w:val="en-US" w:eastAsia="zh-CN"/>
              </w:rPr>
              <w:t>爱粮、节粮，减少损失浪费，稳定提高粮食产量</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提升粮库管理效率，争取多装粮食爱粮、节粮，减少损失浪费，稳定提高粮食产量</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粮食安全意识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18"/>
                <w:szCs w:val="18"/>
                <w:lang w:val="en-US" w:eastAsia="zh-CN"/>
              </w:rPr>
              <w:t>提升全民粮食安全意识，养成爱惜粮食、节约粮食的好习惯</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提升全民粮食安全意识，养成爱惜粮食、节约粮食的好习惯</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生态平衡</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保护耕地土壤，保证种粮面积，保障农业发展</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保护耕地土壤，保证种粮面积，保障农业发展</w:t>
            </w:r>
          </w:p>
        </w:tc>
      </w:tr>
      <w:tr>
        <w:tblPrEx>
          <w:tblCellMar>
            <w:top w:w="0" w:type="dxa"/>
            <w:left w:w="0" w:type="dxa"/>
            <w:bottom w:w="0" w:type="dxa"/>
            <w:right w:w="0" w:type="dxa"/>
          </w:tblCellMar>
        </w:tblPrEx>
        <w:trPr>
          <w:trHeight w:val="55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粮食安全意识</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95</w:t>
            </w:r>
            <w:r>
              <w:rPr>
                <w:rFonts w:hint="default" w:ascii="宋体" w:hAnsi="宋体" w:eastAsia="宋体" w:cs="宋体"/>
                <w:spacing w:val="6"/>
                <w:sz w:val="20"/>
                <w:szCs w:val="20"/>
                <w:lang w:val="en-US" w:eastAsia="zh-CN"/>
              </w:rPr>
              <w:t>%</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0"/>
        <w:tblW w:w="4997" w:type="pct"/>
        <w:tblInd w:w="0" w:type="dxa"/>
        <w:tblLayout w:type="autofit"/>
        <w:tblCellMar>
          <w:top w:w="0" w:type="dxa"/>
          <w:left w:w="0" w:type="dxa"/>
          <w:bottom w:w="0" w:type="dxa"/>
          <w:right w:w="0" w:type="dxa"/>
        </w:tblCellMar>
      </w:tblPr>
      <w:tblGrid>
        <w:gridCol w:w="717"/>
        <w:gridCol w:w="1199"/>
        <w:gridCol w:w="1290"/>
        <w:gridCol w:w="539"/>
        <w:gridCol w:w="1206"/>
        <w:gridCol w:w="1929"/>
        <w:gridCol w:w="1989"/>
      </w:tblGrid>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spacing w:val="6"/>
                <w:sz w:val="20"/>
                <w:szCs w:val="20"/>
                <w:lang w:val="en-US" w:eastAsia="zh-CN"/>
              </w:rPr>
              <w:t>粮食行政执法</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2.5</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抓好粮食政策法规宣传，加强粮食流通市场的监管，有效维护全县粮食流通市场秩序，促进粮食流通市场快速、持续、健康发展，确保粮食市场繁荣稳定</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抓好粮食政策法规宣传，加强粮食流通市场的监管，有效维护全县粮食流通市场秩序，促进粮食流通市场快速、持续、健康发展，确保粮食市场繁荣稳定</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86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行政执法</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全年开展行政执法36次，参加人员144人次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全年开展行政执法36次，参加人员144人次</w:t>
            </w:r>
          </w:p>
        </w:tc>
      </w:tr>
      <w:tr>
        <w:tblPrEx>
          <w:tblCellMar>
            <w:top w:w="0" w:type="dxa"/>
            <w:left w:w="0" w:type="dxa"/>
            <w:bottom w:w="0" w:type="dxa"/>
            <w:right w:w="0" w:type="dxa"/>
          </w:tblCellMar>
        </w:tblPrEx>
        <w:trPr>
          <w:trHeight w:val="86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执法培训</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组织粮食行政执法培训1次，规范执法行为</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组织粮食行政执法培训1次，规范执法行为</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执法培训</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规范执法行为，提高执法水平</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规范执法行为，提高执法水平</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执法期间</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全年</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全年</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行政执法</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23000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23000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执法培训</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行政执法</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保证农民售粮优质优价，不打白条</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保证农民售粮优质优价，不打白条</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行政执法</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维护粮食流通秩序，保证粮食质量安全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维护粮食流通秩序，保证粮食质量安全</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90%</w:t>
            </w:r>
          </w:p>
        </w:tc>
      </w:tr>
    </w:tbl>
    <w:p/>
    <w:tbl>
      <w:tblPr>
        <w:tblStyle w:val="10"/>
        <w:tblW w:w="4997" w:type="pct"/>
        <w:tblInd w:w="0" w:type="dxa"/>
        <w:tblLayout w:type="autofit"/>
        <w:tblCellMar>
          <w:top w:w="0" w:type="dxa"/>
          <w:left w:w="0" w:type="dxa"/>
          <w:bottom w:w="0" w:type="dxa"/>
          <w:right w:w="0" w:type="dxa"/>
        </w:tblCellMar>
      </w:tblPr>
      <w:tblGrid>
        <w:gridCol w:w="717"/>
        <w:gridCol w:w="1199"/>
        <w:gridCol w:w="1290"/>
        <w:gridCol w:w="539"/>
        <w:gridCol w:w="1206"/>
        <w:gridCol w:w="1929"/>
        <w:gridCol w:w="1989"/>
      </w:tblGrid>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粮油库存管理</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3</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3</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3</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cs="宋体"/>
                <w:spacing w:val="6"/>
                <w:sz w:val="20"/>
                <w:szCs w:val="20"/>
                <w:lang w:val="en-US" w:eastAsia="zh-CN"/>
              </w:rPr>
              <w:t>3</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指导全县储备粮油体系建设，监督执行储备粮油管理的技术规范；监督检查各级储备粮油库存数量、质量和安全；研究提出县级储备粮油的收购、销售、轮换计划；协助做好中省储备粮油工作</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指导全县储备粮油体系建设，监督执行储备粮油管理的技术规范；监督检查各级储备粮油库存数量、质量和安全；研究提出县级储备粮油的收购、销售、轮换计划；协助做好中省储备粮油工作</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307"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县级储备粮油</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8250吨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8250吨</w:t>
            </w:r>
          </w:p>
        </w:tc>
      </w:tr>
      <w:tr>
        <w:tblPrEx>
          <w:tblCellMar>
            <w:top w:w="0" w:type="dxa"/>
            <w:left w:w="0" w:type="dxa"/>
            <w:bottom w:w="0" w:type="dxa"/>
            <w:right w:w="0" w:type="dxa"/>
          </w:tblCellMar>
        </w:tblPrEx>
        <w:trPr>
          <w:trHeight w:val="363"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省级储备粮食</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8000吨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8000吨</w:t>
            </w:r>
          </w:p>
        </w:tc>
      </w:tr>
      <w:tr>
        <w:tblPrEx>
          <w:tblCellMar>
            <w:top w:w="0" w:type="dxa"/>
            <w:left w:w="0" w:type="dxa"/>
            <w:bottom w:w="0" w:type="dxa"/>
            <w:right w:w="0" w:type="dxa"/>
          </w:tblCellMar>
        </w:tblPrEx>
        <w:trPr>
          <w:trHeight w:val="267"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中央储备粮食</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5100吨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5100吨</w:t>
            </w:r>
          </w:p>
        </w:tc>
      </w:tr>
      <w:tr>
        <w:tblPrEx>
          <w:tblCellMar>
            <w:top w:w="0" w:type="dxa"/>
            <w:left w:w="0" w:type="dxa"/>
            <w:bottom w:w="0" w:type="dxa"/>
            <w:right w:w="0" w:type="dxa"/>
          </w:tblCellMar>
        </w:tblPrEx>
        <w:trPr>
          <w:trHeight w:val="31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最低价收购粮食</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35000吨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35000吨</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稻谷小麦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3级以上</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3级以上</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大米</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1级</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1级</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菜油</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1级</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1级</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管理时间</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常年</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常年</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管理费用</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30000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库存情况</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科学绿色管理，减少损失浪费</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科学绿色管理，减少损失浪费</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粮油安全</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保证粮油数量真实，质量符合标准，保障粮食安全</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保证粮油数量真实，质量符合标准，保障粮食安全</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55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绿色储粮</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减少药物污染</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减少药物污染</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r>
      <w:tr>
        <w:tblPrEx>
          <w:tblCellMar>
            <w:top w:w="0" w:type="dxa"/>
            <w:left w:w="0" w:type="dxa"/>
            <w:bottom w:w="0" w:type="dxa"/>
            <w:right w:w="0" w:type="dxa"/>
          </w:tblCellMar>
        </w:tblPrEx>
        <w:trPr>
          <w:trHeight w:val="396"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3919"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spacing w:val="6"/>
                <w:sz w:val="20"/>
                <w:szCs w:val="20"/>
                <w:lang w:val="en-US" w:eastAsia="zh-CN"/>
              </w:rPr>
              <w:t>粮食财务挂账贷款利息</w:t>
            </w:r>
          </w:p>
        </w:tc>
      </w:tr>
      <w:tr>
        <w:tblPrEx>
          <w:tblCellMar>
            <w:top w:w="0" w:type="dxa"/>
            <w:left w:w="0" w:type="dxa"/>
            <w:bottom w:w="0" w:type="dxa"/>
            <w:right w:w="0" w:type="dxa"/>
          </w:tblCellMar>
        </w:tblPrEx>
        <w:trPr>
          <w:trHeight w:val="659" w:hRule="atLeast"/>
        </w:trPr>
        <w:tc>
          <w:tcPr>
            <w:tcW w:w="10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171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邻水县粮食和物资储备中心</w:t>
            </w:r>
            <w:r>
              <w:rPr>
                <w:rFonts w:hint="eastAsia" w:ascii="宋体" w:hAnsi="宋体" w:cs="宋体"/>
                <w:spacing w:val="6"/>
                <w:sz w:val="20"/>
                <w:szCs w:val="20"/>
                <w:lang w:val="en-US" w:eastAsia="zh-CN"/>
              </w:rPr>
              <w:t>304001</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实施单位</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15"/>
                <w:szCs w:val="15"/>
                <w:lang w:val="en-US" w:eastAsia="zh-CN"/>
              </w:rPr>
              <w:t>邻水县粮食和物资储备中心</w:t>
            </w:r>
          </w:p>
        </w:tc>
      </w:tr>
      <w:tr>
        <w:tblPrEx>
          <w:tblCellMar>
            <w:top w:w="0" w:type="dxa"/>
            <w:left w:w="0" w:type="dxa"/>
            <w:bottom w:w="0" w:type="dxa"/>
            <w:right w:w="0" w:type="dxa"/>
          </w:tblCellMar>
        </w:tblPrEx>
        <w:trPr>
          <w:trHeight w:val="396" w:hRule="atLeast"/>
        </w:trPr>
        <w:tc>
          <w:tcPr>
            <w:tcW w:w="1080"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预算数：</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62.05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执行数：</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62.05</w:t>
            </w:r>
          </w:p>
        </w:tc>
      </w:tr>
      <w:tr>
        <w:tblPrEx>
          <w:tblCellMar>
            <w:top w:w="0" w:type="dxa"/>
            <w:left w:w="0" w:type="dxa"/>
            <w:bottom w:w="0" w:type="dxa"/>
            <w:right w:w="0" w:type="dxa"/>
          </w:tblCellMar>
        </w:tblPrEx>
        <w:trPr>
          <w:trHeight w:val="400"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62.05</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其中：财政拨款</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62.05</w:t>
            </w:r>
          </w:p>
        </w:tc>
      </w:tr>
      <w:tr>
        <w:tblPrEx>
          <w:tblCellMar>
            <w:top w:w="0" w:type="dxa"/>
            <w:left w:w="0" w:type="dxa"/>
            <w:bottom w:w="0" w:type="dxa"/>
            <w:right w:w="0" w:type="dxa"/>
          </w:tblCellMar>
        </w:tblPrEx>
        <w:trPr>
          <w:trHeight w:val="436" w:hRule="atLeast"/>
        </w:trPr>
        <w:tc>
          <w:tcPr>
            <w:tcW w:w="1080"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03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其他资金</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0.0</w:t>
            </w:r>
          </w:p>
        </w:tc>
      </w:tr>
      <w:tr>
        <w:tblPrEx>
          <w:tblCellMar>
            <w:top w:w="0" w:type="dxa"/>
            <w:left w:w="0" w:type="dxa"/>
            <w:bottom w:w="0" w:type="dxa"/>
            <w:right w:w="0" w:type="dxa"/>
          </w:tblCellMar>
        </w:tblPrEx>
        <w:trPr>
          <w:trHeight w:val="396" w:hRule="atLeast"/>
        </w:trPr>
        <w:tc>
          <w:tcPr>
            <w:tcW w:w="40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CellMar>
            <w:top w:w="0" w:type="dxa"/>
            <w:left w:w="0" w:type="dxa"/>
            <w:bottom w:w="0" w:type="dxa"/>
            <w:right w:w="0" w:type="dxa"/>
          </w:tblCellMar>
        </w:tblPrEx>
        <w:trPr>
          <w:trHeight w:val="1684" w:hRule="atLeast"/>
        </w:trPr>
        <w:tc>
          <w:tcPr>
            <w:tcW w:w="40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2386"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推动全县粮食购销领域高质量发展</w:t>
            </w:r>
            <w:r>
              <w:rPr>
                <w:rFonts w:hint="eastAsia" w:ascii="宋体" w:hAnsi="宋体" w:eastAsia="宋体" w:cs="宋体"/>
                <w:spacing w:val="6"/>
                <w:sz w:val="20"/>
                <w:szCs w:val="20"/>
                <w:lang w:val="en-US" w:eastAsia="zh-CN"/>
              </w:rPr>
              <w:t>，</w:t>
            </w:r>
            <w:r>
              <w:rPr>
                <w:rFonts w:hint="default" w:ascii="宋体" w:hAnsi="宋体" w:eastAsia="宋体" w:cs="宋体"/>
                <w:spacing w:val="6"/>
                <w:sz w:val="20"/>
                <w:szCs w:val="20"/>
                <w:lang w:val="en-US" w:eastAsia="zh-CN"/>
              </w:rPr>
              <w:t>保障粮食物流运输通畅，加强粮食市场调控，确保粮油市场供应不脱销、不断档</w:t>
            </w:r>
            <w:r>
              <w:rPr>
                <w:rFonts w:hint="eastAsia" w:ascii="宋体" w:hAnsi="宋体" w:eastAsia="宋体" w:cs="宋体"/>
                <w:spacing w:val="6"/>
                <w:sz w:val="20"/>
                <w:szCs w:val="20"/>
                <w:lang w:val="en-US" w:eastAsia="zh-CN"/>
              </w:rPr>
              <w:t>。</w:t>
            </w:r>
          </w:p>
        </w:tc>
        <w:tc>
          <w:tcPr>
            <w:tcW w:w="220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推动全县粮食购销领域高质量发展</w:t>
            </w:r>
            <w:r>
              <w:rPr>
                <w:rFonts w:hint="eastAsia" w:ascii="宋体" w:hAnsi="宋体" w:eastAsia="宋体" w:cs="宋体"/>
                <w:spacing w:val="6"/>
                <w:sz w:val="20"/>
                <w:szCs w:val="20"/>
                <w:lang w:val="en-US" w:eastAsia="zh-CN"/>
              </w:rPr>
              <w:t>，</w:t>
            </w:r>
            <w:r>
              <w:rPr>
                <w:rFonts w:hint="default" w:ascii="宋体" w:hAnsi="宋体" w:eastAsia="宋体" w:cs="宋体"/>
                <w:spacing w:val="6"/>
                <w:sz w:val="20"/>
                <w:szCs w:val="20"/>
                <w:lang w:val="en-US" w:eastAsia="zh-CN"/>
              </w:rPr>
              <w:t>保障粮食物流运输通畅，加强粮食市场调控，确保粮油市场供应不脱销、不断档</w:t>
            </w:r>
            <w:r>
              <w:rPr>
                <w:rFonts w:hint="eastAsia" w:ascii="宋体" w:hAnsi="宋体" w:eastAsia="宋体" w:cs="宋体"/>
                <w:spacing w:val="6"/>
                <w:sz w:val="20"/>
                <w:szCs w:val="20"/>
                <w:lang w:val="en-US" w:eastAsia="zh-CN"/>
              </w:rPr>
              <w:t>。</w:t>
            </w:r>
          </w:p>
        </w:tc>
      </w:tr>
      <w:tr>
        <w:tblPrEx>
          <w:tblCellMar>
            <w:top w:w="0" w:type="dxa"/>
            <w:left w:w="0" w:type="dxa"/>
            <w:bottom w:w="0" w:type="dxa"/>
            <w:right w:w="0" w:type="dxa"/>
          </w:tblCellMar>
        </w:tblPrEx>
        <w:trPr>
          <w:trHeight w:val="629" w:hRule="atLeast"/>
        </w:trPr>
        <w:tc>
          <w:tcPr>
            <w:tcW w:w="404" w:type="pct"/>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675"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CellMar>
            <w:top w:w="0" w:type="dxa"/>
            <w:left w:w="0" w:type="dxa"/>
            <w:bottom w:w="0" w:type="dxa"/>
            <w:right w:w="0" w:type="dxa"/>
          </w:tblCellMar>
        </w:tblPrEx>
        <w:trPr>
          <w:trHeight w:val="307"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数量指标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指标完成情况</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资金到位率、粮食储备到位率、库存数量真实率均为100%。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资金到位率、粮食储备到位率、库存数量真实率均为100%。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质量指标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完成率</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100%</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100%</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期限</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常年</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常年</w:t>
            </w:r>
          </w:p>
        </w:tc>
      </w:tr>
      <w:tr>
        <w:tblPrEx>
          <w:tblCellMar>
            <w:top w:w="0" w:type="dxa"/>
            <w:left w:w="0" w:type="dxa"/>
            <w:bottom w:w="0" w:type="dxa"/>
            <w:right w:w="0" w:type="dxa"/>
          </w:tblCellMar>
        </w:tblPrEx>
        <w:trPr>
          <w:trHeight w:val="396"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政策性挂账</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100%</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100%</w:t>
            </w:r>
          </w:p>
        </w:tc>
      </w:tr>
      <w:tr>
        <w:tblPrEx>
          <w:tblCellMar>
            <w:top w:w="0" w:type="dxa"/>
            <w:left w:w="0" w:type="dxa"/>
            <w:bottom w:w="0" w:type="dxa"/>
            <w:right w:w="0" w:type="dxa"/>
          </w:tblCellMar>
        </w:tblPrEx>
        <w:trPr>
          <w:trHeight w:val="829"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经济效益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保障率</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保障</w:t>
            </w:r>
            <w:r>
              <w:rPr>
                <w:rFonts w:hint="default" w:ascii="宋体" w:hAnsi="宋体" w:eastAsia="宋体" w:cs="宋体"/>
                <w:spacing w:val="6"/>
                <w:sz w:val="20"/>
                <w:szCs w:val="20"/>
                <w:lang w:val="en-US" w:eastAsia="zh-CN"/>
              </w:rPr>
              <w:t>政策性挂账</w:t>
            </w:r>
            <w:r>
              <w:rPr>
                <w:rFonts w:hint="eastAsia" w:ascii="宋体" w:hAnsi="宋体" w:eastAsia="宋体" w:cs="宋体"/>
                <w:spacing w:val="6"/>
                <w:sz w:val="20"/>
                <w:szCs w:val="20"/>
                <w:lang w:val="en-US" w:eastAsia="zh-CN"/>
              </w:rPr>
              <w:t>利息</w:t>
            </w:r>
            <w:r>
              <w:rPr>
                <w:rFonts w:hint="default" w:ascii="宋体" w:hAnsi="宋体" w:eastAsia="宋体" w:cs="宋体"/>
                <w:spacing w:val="6"/>
                <w:sz w:val="20"/>
                <w:szCs w:val="20"/>
                <w:lang w:val="en-US" w:eastAsia="zh-CN"/>
              </w:rPr>
              <w:t>补贴保障率均为100%</w:t>
            </w:r>
            <w:r>
              <w:rPr>
                <w:rFonts w:hint="eastAsia" w:ascii="宋体" w:hAnsi="宋体" w:eastAsia="宋体" w:cs="宋体"/>
                <w:spacing w:val="6"/>
                <w:sz w:val="20"/>
                <w:szCs w:val="20"/>
                <w:lang w:val="en-US" w:eastAsia="zh-CN"/>
              </w:rPr>
              <w:t>。</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保障</w:t>
            </w:r>
            <w:r>
              <w:rPr>
                <w:rFonts w:hint="default" w:ascii="宋体" w:hAnsi="宋体" w:eastAsia="宋体" w:cs="宋体"/>
                <w:spacing w:val="6"/>
                <w:sz w:val="20"/>
                <w:szCs w:val="20"/>
                <w:lang w:val="en-US" w:eastAsia="zh-CN"/>
              </w:rPr>
              <w:t>政策性挂账</w:t>
            </w:r>
            <w:r>
              <w:rPr>
                <w:rFonts w:hint="eastAsia" w:ascii="宋体" w:hAnsi="宋体" w:eastAsia="宋体" w:cs="宋体"/>
                <w:spacing w:val="6"/>
                <w:sz w:val="20"/>
                <w:szCs w:val="20"/>
                <w:lang w:val="en-US" w:eastAsia="zh-CN"/>
              </w:rPr>
              <w:t>利息</w:t>
            </w:r>
            <w:r>
              <w:rPr>
                <w:rFonts w:hint="default" w:ascii="宋体" w:hAnsi="宋体" w:eastAsia="宋体" w:cs="宋体"/>
                <w:spacing w:val="6"/>
                <w:sz w:val="20"/>
                <w:szCs w:val="20"/>
                <w:lang w:val="en-US" w:eastAsia="zh-CN"/>
              </w:rPr>
              <w:t>补贴保障率均为100%</w:t>
            </w:r>
            <w:r>
              <w:rPr>
                <w:rFonts w:hint="eastAsia" w:ascii="宋体" w:hAnsi="宋体" w:eastAsia="宋体" w:cs="宋体"/>
                <w:spacing w:val="6"/>
                <w:sz w:val="20"/>
                <w:szCs w:val="20"/>
                <w:lang w:val="en-US" w:eastAsia="zh-CN"/>
              </w:rPr>
              <w:t>。</w:t>
            </w:r>
          </w:p>
        </w:tc>
      </w:tr>
      <w:tr>
        <w:tblPrEx>
          <w:tblCellMar>
            <w:top w:w="0" w:type="dxa"/>
            <w:left w:w="0" w:type="dxa"/>
            <w:bottom w:w="0" w:type="dxa"/>
            <w:right w:w="0" w:type="dxa"/>
          </w:tblCellMar>
        </w:tblPrEx>
        <w:trPr>
          <w:trHeight w:val="505"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市场保供</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18"/>
                <w:szCs w:val="18"/>
                <w:lang w:val="en-US" w:eastAsia="zh-CN"/>
              </w:rPr>
              <w:t>202</w:t>
            </w:r>
            <w:r>
              <w:rPr>
                <w:rFonts w:hint="eastAsia" w:ascii="宋体" w:hAnsi="宋体" w:eastAsia="宋体" w:cs="宋体"/>
                <w:spacing w:val="6"/>
                <w:sz w:val="18"/>
                <w:szCs w:val="18"/>
                <w:lang w:val="en-US" w:eastAsia="zh-CN"/>
              </w:rPr>
              <w:t>1</w:t>
            </w:r>
            <w:r>
              <w:rPr>
                <w:rFonts w:hint="default" w:ascii="宋体" w:hAnsi="宋体" w:eastAsia="宋体" w:cs="宋体"/>
                <w:spacing w:val="6"/>
                <w:sz w:val="18"/>
                <w:szCs w:val="18"/>
                <w:lang w:val="en-US" w:eastAsia="zh-CN"/>
              </w:rPr>
              <w:t>年在指导粮食企业做好新冠肺炎疫情防控工作的同时全力做好粮油市场保供稳价工作，保障粮食物流运输通畅，加强粮食市场调控</w:t>
            </w:r>
            <w:r>
              <w:rPr>
                <w:rFonts w:hint="eastAsia" w:ascii="宋体" w:hAnsi="宋体" w:eastAsia="宋体" w:cs="宋体"/>
                <w:spacing w:val="6"/>
                <w:sz w:val="18"/>
                <w:szCs w:val="18"/>
                <w:lang w:val="en-US" w:eastAsia="zh-CN"/>
              </w:rPr>
              <w:t>。</w:t>
            </w:r>
          </w:p>
        </w:tc>
        <w:tc>
          <w:tcPr>
            <w:tcW w:w="19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202</w:t>
            </w:r>
            <w:r>
              <w:rPr>
                <w:rFonts w:hint="eastAsia" w:ascii="宋体" w:hAnsi="宋体" w:eastAsia="宋体" w:cs="宋体"/>
                <w:spacing w:val="6"/>
                <w:sz w:val="20"/>
                <w:szCs w:val="20"/>
                <w:lang w:val="en-US" w:eastAsia="zh-CN"/>
              </w:rPr>
              <w:t>1</w:t>
            </w:r>
            <w:r>
              <w:rPr>
                <w:rFonts w:hint="default" w:ascii="宋体" w:hAnsi="宋体" w:eastAsia="宋体" w:cs="宋体"/>
                <w:spacing w:val="6"/>
                <w:sz w:val="20"/>
                <w:szCs w:val="20"/>
                <w:lang w:val="en-US" w:eastAsia="zh-CN"/>
              </w:rPr>
              <w:t>年在指导粮食企业做好新冠肺炎疫情防控工作的同时全力做好粮油市场保供稳价工作，保障粮食物流运输通畅，加强粮食市场调控</w:t>
            </w:r>
            <w:r>
              <w:rPr>
                <w:rFonts w:hint="eastAsia" w:ascii="宋体" w:hAnsi="宋体" w:eastAsia="宋体" w:cs="宋体"/>
                <w:spacing w:val="6"/>
                <w:sz w:val="20"/>
                <w:szCs w:val="20"/>
                <w:lang w:val="en-US" w:eastAsia="zh-CN"/>
              </w:rPr>
              <w:t>。</w:t>
            </w:r>
          </w:p>
        </w:tc>
      </w:tr>
      <w:tr>
        <w:tblPrEx>
          <w:tblCellMar>
            <w:top w:w="0" w:type="dxa"/>
            <w:left w:w="0" w:type="dxa"/>
            <w:bottom w:w="0" w:type="dxa"/>
            <w:right w:w="0" w:type="dxa"/>
          </w:tblCellMar>
        </w:tblPrEx>
        <w:trPr>
          <w:trHeight w:val="588"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w:t>
            </w:r>
            <w:r>
              <w:rPr>
                <w:rFonts w:hint="default" w:ascii="宋体" w:hAnsi="宋体" w:eastAsia="宋体" w:cs="宋体"/>
                <w:spacing w:val="6"/>
                <w:sz w:val="20"/>
                <w:szCs w:val="20"/>
                <w:lang w:val="en-US" w:eastAsia="zh-CN"/>
              </w:rPr>
              <w:t>效益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生态效益</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无影响生态环境的因素</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无影响生态环境的因素</w:t>
            </w:r>
          </w:p>
        </w:tc>
      </w:tr>
      <w:tr>
        <w:tblPrEx>
          <w:tblCellMar>
            <w:top w:w="0" w:type="dxa"/>
            <w:left w:w="0" w:type="dxa"/>
            <w:bottom w:w="0" w:type="dxa"/>
            <w:right w:w="0" w:type="dxa"/>
          </w:tblCellMar>
        </w:tblPrEx>
        <w:trPr>
          <w:trHeight w:val="55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可持续影响指标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政策性挂账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长期</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长期</w:t>
            </w:r>
          </w:p>
        </w:tc>
      </w:tr>
      <w:tr>
        <w:tblPrEx>
          <w:tblCellMar>
            <w:top w:w="0" w:type="dxa"/>
            <w:left w:w="0" w:type="dxa"/>
            <w:bottom w:w="0" w:type="dxa"/>
            <w:right w:w="0" w:type="dxa"/>
          </w:tblCellMar>
        </w:tblPrEx>
        <w:trPr>
          <w:trHeight w:val="90" w:hRule="atLeast"/>
        </w:trPr>
        <w:tc>
          <w:tcPr>
            <w:tcW w:w="404"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7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满意度指标</w:t>
            </w:r>
          </w:p>
        </w:tc>
        <w:tc>
          <w:tcPr>
            <w:tcW w:w="98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社会满意度</w:t>
            </w:r>
          </w:p>
        </w:tc>
        <w:tc>
          <w:tcPr>
            <w:tcW w:w="10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c>
          <w:tcPr>
            <w:tcW w:w="11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95%</w:t>
            </w:r>
          </w:p>
        </w:tc>
      </w:tr>
    </w:tbl>
    <w:p>
      <w:pPr>
        <w:pStyle w:val="2"/>
        <w:rPr>
          <w:rFonts w:hint="default"/>
        </w:rPr>
      </w:pPr>
    </w:p>
    <w:p>
      <w:pPr>
        <w:pageBreakBefore w:val="0"/>
        <w:kinsoku/>
        <w:wordWrap/>
        <w:overflowPunct/>
        <w:topLinePunct w:val="0"/>
        <w:bidi w:val="0"/>
        <w:spacing w:line="590" w:lineRule="exact"/>
        <w:ind w:left="0" w:right="0"/>
        <w:jc w:val="center"/>
        <w:outlineLvl w:val="0"/>
        <w:rPr>
          <w:rStyle w:val="14"/>
          <w:rFonts w:hint="eastAsia" w:ascii="黑体" w:hAnsi="黑体" w:eastAsia="黑体" w:cs="黑体"/>
          <w:b w:val="0"/>
          <w:sz w:val="44"/>
          <w:szCs w:val="44"/>
        </w:rPr>
      </w:pPr>
      <w:bookmarkStart w:id="59" w:name="_Toc15396618"/>
      <w:r>
        <w:rPr>
          <w:rFonts w:hint="eastAsia" w:ascii="黑体" w:hAnsi="黑体" w:eastAsia="黑体" w:cs="黑体"/>
          <w:color w:val="000000"/>
          <w:sz w:val="44"/>
          <w:szCs w:val="44"/>
        </w:rPr>
        <w:t>第</w:t>
      </w:r>
      <w:r>
        <w:rPr>
          <w:rStyle w:val="14"/>
          <w:rFonts w:hint="eastAsia" w:ascii="黑体" w:hAnsi="黑体" w:eastAsia="黑体" w:cs="黑体"/>
          <w:b w:val="0"/>
          <w:sz w:val="44"/>
          <w:szCs w:val="44"/>
        </w:rPr>
        <w:t>五部分 附表</w:t>
      </w:r>
      <w:bookmarkEnd w:id="57"/>
      <w:bookmarkEnd w:id="59"/>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b w:val="0"/>
          <w:color w:val="000000"/>
          <w:sz w:val="33"/>
          <w:szCs w:val="33"/>
        </w:rPr>
      </w:pPr>
      <w:bookmarkStart w:id="60" w:name="_Toc15396619"/>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r>
        <w:rPr>
          <w:rFonts w:hint="default" w:ascii="Times New Roman" w:hAnsi="Times New Roman" w:eastAsia="方正仿宋_GBK" w:cs="Times New Roman"/>
          <w:b w:val="0"/>
          <w:color w:val="000000"/>
          <w:sz w:val="33"/>
          <w:szCs w:val="33"/>
        </w:rPr>
        <w:t>一、收</w:t>
      </w:r>
      <w:r>
        <w:rPr>
          <w:rStyle w:val="15"/>
          <w:rFonts w:hint="default" w:ascii="Times New Roman" w:hAnsi="Times New Roman" w:eastAsia="方正仿宋_GBK" w:cs="Times New Roman"/>
          <w:b w:val="0"/>
          <w:bCs w:val="0"/>
          <w:sz w:val="33"/>
          <w:szCs w:val="33"/>
        </w:rPr>
        <w:t>入支出决算总表</w:t>
      </w:r>
      <w:bookmarkEnd w:id="60"/>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1" w:name="_Toc15396620"/>
      <w:r>
        <w:rPr>
          <w:rFonts w:hint="default" w:ascii="Times New Roman" w:hAnsi="Times New Roman" w:eastAsia="方正仿宋_GBK" w:cs="Times New Roman"/>
          <w:b w:val="0"/>
          <w:color w:val="000000"/>
          <w:sz w:val="33"/>
          <w:szCs w:val="33"/>
        </w:rPr>
        <w:t>二、收</w:t>
      </w:r>
      <w:r>
        <w:rPr>
          <w:rStyle w:val="15"/>
          <w:rFonts w:hint="default" w:ascii="Times New Roman" w:hAnsi="Times New Roman" w:eastAsia="方正仿宋_GBK" w:cs="Times New Roman"/>
          <w:b w:val="0"/>
          <w:bCs w:val="0"/>
          <w:sz w:val="33"/>
          <w:szCs w:val="33"/>
        </w:rPr>
        <w:t>入决算表</w:t>
      </w:r>
      <w:bookmarkEnd w:id="61"/>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2" w:name="_Toc15396621"/>
      <w:r>
        <w:rPr>
          <w:rStyle w:val="15"/>
          <w:rFonts w:hint="default" w:ascii="Times New Roman" w:hAnsi="Times New Roman" w:eastAsia="方正仿宋_GBK" w:cs="Times New Roman"/>
          <w:b w:val="0"/>
          <w:bCs w:val="0"/>
          <w:sz w:val="33"/>
          <w:szCs w:val="33"/>
        </w:rPr>
        <w:t>三、</w:t>
      </w:r>
      <w:r>
        <w:rPr>
          <w:rFonts w:hint="default" w:ascii="Times New Roman" w:hAnsi="Times New Roman" w:eastAsia="方正仿宋_GBK" w:cs="Times New Roman"/>
          <w:b w:val="0"/>
          <w:color w:val="000000"/>
          <w:sz w:val="33"/>
          <w:szCs w:val="33"/>
        </w:rPr>
        <w:t>支</w:t>
      </w:r>
      <w:r>
        <w:rPr>
          <w:rStyle w:val="15"/>
          <w:rFonts w:hint="default" w:ascii="Times New Roman" w:hAnsi="Times New Roman" w:eastAsia="方正仿宋_GBK" w:cs="Times New Roman"/>
          <w:b w:val="0"/>
          <w:bCs w:val="0"/>
          <w:sz w:val="33"/>
          <w:szCs w:val="33"/>
        </w:rPr>
        <w:t>出决算表</w:t>
      </w:r>
      <w:bookmarkEnd w:id="62"/>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b w:val="0"/>
          <w:color w:val="000000"/>
          <w:sz w:val="33"/>
          <w:szCs w:val="33"/>
        </w:rPr>
      </w:pPr>
      <w:bookmarkStart w:id="63" w:name="_Toc15396622"/>
      <w:r>
        <w:rPr>
          <w:rStyle w:val="15"/>
          <w:rFonts w:hint="default" w:ascii="Times New Roman" w:hAnsi="Times New Roman" w:eastAsia="方正仿宋_GBK" w:cs="Times New Roman"/>
          <w:b w:val="0"/>
          <w:bCs w:val="0"/>
          <w:sz w:val="33"/>
          <w:szCs w:val="33"/>
        </w:rPr>
        <w:t>四、</w:t>
      </w:r>
      <w:r>
        <w:rPr>
          <w:rFonts w:hint="default" w:ascii="Times New Roman" w:hAnsi="Times New Roman" w:eastAsia="方正仿宋_GBK" w:cs="Times New Roman"/>
          <w:b w:val="0"/>
          <w:color w:val="000000"/>
          <w:sz w:val="33"/>
          <w:szCs w:val="33"/>
        </w:rPr>
        <w:t>财</w:t>
      </w:r>
      <w:r>
        <w:rPr>
          <w:rStyle w:val="15"/>
          <w:rFonts w:hint="default" w:ascii="Times New Roman" w:hAnsi="Times New Roman" w:eastAsia="方正仿宋_GBK" w:cs="Times New Roman"/>
          <w:b w:val="0"/>
          <w:bCs w:val="0"/>
          <w:sz w:val="33"/>
          <w:szCs w:val="33"/>
        </w:rPr>
        <w:t>政拨款收入支出决算总表</w:t>
      </w:r>
      <w:bookmarkEnd w:id="63"/>
    </w:p>
    <w:p>
      <w:pPr>
        <w:pStyle w:val="4"/>
        <w:pageBreakBefore w:val="0"/>
        <w:kinsoku/>
        <w:wordWrap/>
        <w:overflowPunct/>
        <w:topLinePunct w:val="0"/>
        <w:bidi w:val="0"/>
        <w:spacing w:before="0" w:after="0" w:line="590" w:lineRule="exact"/>
        <w:ind w:left="0" w:right="0"/>
        <w:rPr>
          <w:rStyle w:val="15"/>
          <w:rFonts w:hint="default" w:ascii="Times New Roman" w:hAnsi="Times New Roman" w:eastAsia="方正仿宋_GBK" w:cs="Times New Roman"/>
          <w:b w:val="0"/>
          <w:bCs w:val="0"/>
          <w:sz w:val="33"/>
          <w:szCs w:val="33"/>
        </w:rPr>
      </w:pPr>
      <w:bookmarkStart w:id="64" w:name="_Toc15396623"/>
      <w:r>
        <w:rPr>
          <w:rStyle w:val="15"/>
          <w:rFonts w:hint="default" w:ascii="Times New Roman" w:hAnsi="Times New Roman" w:eastAsia="方正仿宋_GBK" w:cs="Times New Roman"/>
          <w:b w:val="0"/>
          <w:bCs w:val="0"/>
          <w:sz w:val="33"/>
          <w:szCs w:val="33"/>
        </w:rPr>
        <w:t>五、</w:t>
      </w:r>
      <w:r>
        <w:rPr>
          <w:rFonts w:hint="default" w:ascii="Times New Roman" w:hAnsi="Times New Roman" w:eastAsia="方正仿宋_GBK" w:cs="Times New Roman"/>
          <w:b w:val="0"/>
          <w:color w:val="000000"/>
          <w:sz w:val="33"/>
          <w:szCs w:val="33"/>
        </w:rPr>
        <w:t>财</w:t>
      </w:r>
      <w:r>
        <w:rPr>
          <w:rStyle w:val="15"/>
          <w:rFonts w:hint="default" w:ascii="Times New Roman" w:hAnsi="Times New Roman" w:eastAsia="方正仿宋_GBK" w:cs="Times New Roman"/>
          <w:b w:val="0"/>
          <w:bCs w:val="0"/>
          <w:sz w:val="33"/>
          <w:szCs w:val="33"/>
        </w:rPr>
        <w:t>政拨款支出决算明细表</w:t>
      </w:r>
      <w:bookmarkEnd w:id="64"/>
      <w:bookmarkStart w:id="65" w:name="_Toc15396624"/>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r>
        <w:rPr>
          <w:rStyle w:val="15"/>
          <w:rFonts w:hint="default" w:ascii="Times New Roman" w:hAnsi="Times New Roman" w:eastAsia="方正仿宋_GBK" w:cs="Times New Roman"/>
          <w:b w:val="0"/>
          <w:bCs w:val="0"/>
          <w:sz w:val="33"/>
          <w:szCs w:val="33"/>
        </w:rPr>
        <w:t>六、</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般公共预算财政拨款支出决算表</w:t>
      </w:r>
      <w:bookmarkEnd w:id="65"/>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6" w:name="_Toc15396625"/>
      <w:r>
        <w:rPr>
          <w:rStyle w:val="15"/>
          <w:rFonts w:hint="default" w:ascii="Times New Roman" w:hAnsi="Times New Roman" w:eastAsia="方正仿宋_GBK" w:cs="Times New Roman"/>
          <w:b w:val="0"/>
          <w:bCs w:val="0"/>
          <w:sz w:val="33"/>
          <w:szCs w:val="33"/>
        </w:rPr>
        <w:t>七、</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般公共预算财政拨款支出决算明细表</w:t>
      </w:r>
      <w:bookmarkEnd w:id="66"/>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7" w:name="_Toc15396626"/>
      <w:r>
        <w:rPr>
          <w:rStyle w:val="15"/>
          <w:rFonts w:hint="default" w:ascii="Times New Roman" w:hAnsi="Times New Roman" w:eastAsia="方正仿宋_GBK" w:cs="Times New Roman"/>
          <w:b w:val="0"/>
          <w:bCs w:val="0"/>
          <w:sz w:val="33"/>
          <w:szCs w:val="33"/>
        </w:rPr>
        <w:t>八、</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般公共预算财政拨款基本支出决算表</w:t>
      </w:r>
      <w:bookmarkEnd w:id="67"/>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8" w:name="_Toc15396627"/>
      <w:r>
        <w:rPr>
          <w:rStyle w:val="15"/>
          <w:rFonts w:hint="default" w:ascii="Times New Roman" w:hAnsi="Times New Roman" w:eastAsia="方正仿宋_GBK" w:cs="Times New Roman"/>
          <w:b w:val="0"/>
          <w:bCs w:val="0"/>
          <w:sz w:val="33"/>
          <w:szCs w:val="33"/>
        </w:rPr>
        <w:t>九、</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般公共预算财政拨款项目支出决算表</w:t>
      </w:r>
      <w:bookmarkEnd w:id="68"/>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69" w:name="_Toc15396628"/>
      <w:r>
        <w:rPr>
          <w:rStyle w:val="15"/>
          <w:rFonts w:hint="default" w:ascii="Times New Roman" w:hAnsi="Times New Roman" w:eastAsia="方正仿宋_GBK" w:cs="Times New Roman"/>
          <w:b w:val="0"/>
          <w:bCs w:val="0"/>
          <w:sz w:val="33"/>
          <w:szCs w:val="33"/>
        </w:rPr>
        <w:t>十、</w:t>
      </w:r>
      <w:r>
        <w:rPr>
          <w:rFonts w:hint="default" w:ascii="Times New Roman" w:hAnsi="Times New Roman" w:eastAsia="方正仿宋_GBK" w:cs="Times New Roman"/>
          <w:b w:val="0"/>
          <w:color w:val="000000"/>
          <w:sz w:val="33"/>
          <w:szCs w:val="33"/>
        </w:rPr>
        <w:t>一</w:t>
      </w:r>
      <w:r>
        <w:rPr>
          <w:rStyle w:val="15"/>
          <w:rFonts w:hint="default" w:ascii="Times New Roman" w:hAnsi="Times New Roman" w:eastAsia="方正仿宋_GBK" w:cs="Times New Roman"/>
          <w:b w:val="0"/>
          <w:bCs w:val="0"/>
          <w:sz w:val="33"/>
          <w:szCs w:val="33"/>
        </w:rPr>
        <w:t>般公共预算财政拨款“三公”经费支出决算表</w:t>
      </w:r>
      <w:bookmarkEnd w:id="69"/>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70" w:name="_Toc15396629"/>
      <w:r>
        <w:rPr>
          <w:rStyle w:val="15"/>
          <w:rFonts w:hint="default" w:ascii="Times New Roman" w:hAnsi="Times New Roman" w:eastAsia="方正仿宋_GBK" w:cs="Times New Roman"/>
          <w:b w:val="0"/>
          <w:bCs w:val="0"/>
          <w:sz w:val="33"/>
          <w:szCs w:val="33"/>
        </w:rPr>
        <w:t>十一、</w:t>
      </w:r>
      <w:r>
        <w:rPr>
          <w:rFonts w:hint="default" w:ascii="Times New Roman" w:hAnsi="Times New Roman" w:eastAsia="方正仿宋_GBK" w:cs="Times New Roman"/>
          <w:b w:val="0"/>
          <w:color w:val="000000"/>
          <w:sz w:val="33"/>
          <w:szCs w:val="33"/>
        </w:rPr>
        <w:t>政</w:t>
      </w:r>
      <w:r>
        <w:rPr>
          <w:rStyle w:val="15"/>
          <w:rFonts w:hint="default" w:ascii="Times New Roman" w:hAnsi="Times New Roman" w:eastAsia="方正仿宋_GBK" w:cs="Times New Roman"/>
          <w:b w:val="0"/>
          <w:bCs w:val="0"/>
          <w:sz w:val="33"/>
          <w:szCs w:val="33"/>
        </w:rPr>
        <w:t>府性基金预算财政拨款收入支出决算表</w:t>
      </w:r>
      <w:bookmarkEnd w:id="70"/>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sz w:val="33"/>
          <w:szCs w:val="33"/>
        </w:rPr>
      </w:pPr>
      <w:bookmarkStart w:id="71" w:name="_Toc15396630"/>
      <w:r>
        <w:rPr>
          <w:rStyle w:val="15"/>
          <w:rFonts w:hint="default" w:ascii="Times New Roman" w:hAnsi="Times New Roman" w:eastAsia="方正仿宋_GBK" w:cs="Times New Roman"/>
          <w:b w:val="0"/>
          <w:bCs w:val="0"/>
          <w:sz w:val="33"/>
          <w:szCs w:val="33"/>
        </w:rPr>
        <w:t>十二、</w:t>
      </w:r>
      <w:r>
        <w:rPr>
          <w:rFonts w:hint="default" w:ascii="Times New Roman" w:hAnsi="Times New Roman" w:eastAsia="方正仿宋_GBK" w:cs="Times New Roman"/>
          <w:b w:val="0"/>
          <w:color w:val="000000"/>
          <w:sz w:val="33"/>
          <w:szCs w:val="33"/>
        </w:rPr>
        <w:t>政</w:t>
      </w:r>
      <w:r>
        <w:rPr>
          <w:rStyle w:val="15"/>
          <w:rFonts w:hint="default" w:ascii="Times New Roman" w:hAnsi="Times New Roman" w:eastAsia="方正仿宋_GBK" w:cs="Times New Roman"/>
          <w:b w:val="0"/>
          <w:bCs w:val="0"/>
          <w:sz w:val="33"/>
          <w:szCs w:val="33"/>
        </w:rPr>
        <w:t>府性基金预算财政拨款“三公”经费支出决算表</w:t>
      </w:r>
      <w:bookmarkEnd w:id="71"/>
    </w:p>
    <w:p>
      <w:pPr>
        <w:pStyle w:val="4"/>
        <w:pageBreakBefore w:val="0"/>
        <w:kinsoku/>
        <w:wordWrap/>
        <w:overflowPunct/>
        <w:topLinePunct w:val="0"/>
        <w:bidi w:val="0"/>
        <w:spacing w:before="0" w:after="0" w:line="590" w:lineRule="exact"/>
        <w:ind w:left="0" w:right="0"/>
        <w:rPr>
          <w:rStyle w:val="15"/>
          <w:rFonts w:hint="default" w:ascii="Times New Roman" w:hAnsi="Times New Roman" w:eastAsia="方正仿宋_GBK" w:cs="Times New Roman"/>
          <w:b w:val="0"/>
          <w:bCs w:val="0"/>
          <w:sz w:val="33"/>
          <w:szCs w:val="33"/>
        </w:rPr>
      </w:pPr>
      <w:bookmarkStart w:id="72" w:name="_Toc15396631"/>
      <w:r>
        <w:rPr>
          <w:rStyle w:val="15"/>
          <w:rFonts w:hint="default" w:ascii="Times New Roman" w:hAnsi="Times New Roman" w:eastAsia="方正仿宋_GBK" w:cs="Times New Roman"/>
          <w:b w:val="0"/>
          <w:bCs w:val="0"/>
          <w:sz w:val="33"/>
          <w:szCs w:val="33"/>
        </w:rPr>
        <w:t>十三、</w:t>
      </w:r>
      <w:r>
        <w:rPr>
          <w:rFonts w:hint="default" w:ascii="Times New Roman" w:hAnsi="Times New Roman" w:eastAsia="方正仿宋_GBK" w:cs="Times New Roman"/>
          <w:b w:val="0"/>
          <w:color w:val="000000"/>
          <w:sz w:val="33"/>
          <w:szCs w:val="33"/>
        </w:rPr>
        <w:t>国有资本经营预算财政拨款收入支出决算表</w:t>
      </w:r>
    </w:p>
    <w:p>
      <w:pPr>
        <w:pStyle w:val="4"/>
        <w:pageBreakBefore w:val="0"/>
        <w:kinsoku/>
        <w:wordWrap/>
        <w:overflowPunct/>
        <w:topLinePunct w:val="0"/>
        <w:bidi w:val="0"/>
        <w:spacing w:before="0" w:after="0" w:line="590" w:lineRule="exact"/>
        <w:ind w:left="0" w:right="0"/>
        <w:rPr>
          <w:rFonts w:hint="default" w:ascii="Times New Roman" w:hAnsi="Times New Roman" w:eastAsia="方正仿宋_GBK" w:cs="Times New Roman"/>
          <w:color w:val="000000" w:themeColor="text1"/>
          <w:sz w:val="33"/>
          <w:szCs w:val="33"/>
          <w14:textFill>
            <w14:solidFill>
              <w14:schemeClr w14:val="tx1"/>
            </w14:solidFill>
          </w14:textFill>
        </w:rPr>
      </w:pPr>
      <w:r>
        <w:rPr>
          <w:rFonts w:hint="default" w:ascii="Times New Roman" w:hAnsi="Times New Roman" w:eastAsia="方正仿宋_GBK" w:cs="Times New Roman"/>
          <w:b w:val="0"/>
          <w:color w:val="000000"/>
          <w:sz w:val="33"/>
          <w:szCs w:val="33"/>
        </w:rPr>
        <w:t>十四、国</w:t>
      </w:r>
      <w:r>
        <w:rPr>
          <w:rStyle w:val="15"/>
          <w:rFonts w:hint="default" w:ascii="Times New Roman" w:hAnsi="Times New Roman" w:eastAsia="方正仿宋_GBK" w:cs="Times New Roman"/>
          <w:b w:val="0"/>
          <w:bCs w:val="0"/>
          <w:sz w:val="33"/>
          <w:szCs w:val="33"/>
        </w:rPr>
        <w:t>有资本经营预算财政拨款支出决算表</w:t>
      </w:r>
      <w:bookmarkEnd w:id="72"/>
    </w:p>
    <w:p>
      <w:pPr>
        <w:pageBreakBefore w:val="0"/>
        <w:kinsoku/>
        <w:wordWrap/>
        <w:overflowPunct/>
        <w:topLinePunct w:val="0"/>
        <w:bidi w:val="0"/>
        <w:spacing w:line="590" w:lineRule="exact"/>
        <w:ind w:left="0" w:right="0"/>
      </w:pPr>
    </w:p>
    <w:sectPr>
      <w:footerReference r:id="rId5" w:type="first"/>
      <w:footerReference r:id="rId4" w:type="default"/>
      <w:pgSz w:w="11906" w:h="16838"/>
      <w:pgMar w:top="2041" w:right="1531" w:bottom="1701" w:left="1531" w:header="851" w:footer="147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14605</wp:posOffset>
              </wp:positionV>
              <wp:extent cx="852170" cy="253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2170" cy="253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5pt;height:19.95pt;width:67.1pt;mso-position-horizontal:inside;mso-position-horizontal-relative:margin;z-index:251659264;mso-width-relative:page;mso-height-relative:page;" filled="f" stroked="f" coordsize="21600,21600" o:gfxdata="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YcBQi1AAAAAUBAAAPAAAAAAAAAAEAIAAAACIAAABkcnMvZG93bnJldi54&#10;bWxQSwECFAAUAAAACACHTuJAV+7vhzcCAABhBAAADgAAAAAAAAABACAAAAAjAQAAZHJzL2Uyb0Rv&#10;Yy54bWxQSwUGAAAAAAYABgBZAQAAzAUAAAAA&#10;">
              <v:fill on="f" focussize="0,0"/>
              <v:stroke on="f" weight="0.5pt"/>
              <v:imagedata o:title=""/>
              <o:lock v:ext="edit" aspectratio="f"/>
              <v:textbox inset="0mm,0mm,0mm,0mm">
                <w:txbxContent>
                  <w:p>
                    <w:pPr>
                      <w:pStyle w:val="5"/>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14605</wp:posOffset>
              </wp:positionV>
              <wp:extent cx="7791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91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5pt;height:144pt;width:61.35pt;mso-position-horizontal:inside;mso-position-horizontal-relative:margin;z-index:251660288;mso-width-relative:page;mso-height-relative:page;" filled="f" stroked="f" coordsize="21600,21600" o:gfxdata="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K9IdLUAAAABgEAAA8AAAAAAAAAAQAgAAAAIgAAAGRycy9kb3ducmV2&#10;LnhtbFBLAQIUABQAAAAIAIdO4kCs2+gBOQIAAGIEAAAOAAAAAAAAAAEAIAAAACMBAABkcnMvZTJv&#10;RG9jLnhtbFBLBQYAAAAABgAGAFkBAADO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3A3BA"/>
    <w:multiLevelType w:val="singleLevel"/>
    <w:tmpl w:val="6E23A3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WYwM2E0ZDUwNDc4YmI1YTgxZmZlZjlmNmFkZTUifQ=="/>
  </w:docVars>
  <w:rsids>
    <w:rsidRoot w:val="55315857"/>
    <w:rsid w:val="004F73D2"/>
    <w:rsid w:val="02F56D74"/>
    <w:rsid w:val="0359728D"/>
    <w:rsid w:val="03F11C32"/>
    <w:rsid w:val="040D6820"/>
    <w:rsid w:val="04C36291"/>
    <w:rsid w:val="05D02834"/>
    <w:rsid w:val="08512C9F"/>
    <w:rsid w:val="087736A3"/>
    <w:rsid w:val="08CE6519"/>
    <w:rsid w:val="09175A09"/>
    <w:rsid w:val="09F27D97"/>
    <w:rsid w:val="0A296005"/>
    <w:rsid w:val="0A767E04"/>
    <w:rsid w:val="0A895F5A"/>
    <w:rsid w:val="0B7C44D7"/>
    <w:rsid w:val="0E9021E2"/>
    <w:rsid w:val="0E9A1524"/>
    <w:rsid w:val="0EF3685E"/>
    <w:rsid w:val="105C46B1"/>
    <w:rsid w:val="11617184"/>
    <w:rsid w:val="1310792C"/>
    <w:rsid w:val="133D09EF"/>
    <w:rsid w:val="13C84C99"/>
    <w:rsid w:val="14F629BD"/>
    <w:rsid w:val="15824E61"/>
    <w:rsid w:val="16DA1076"/>
    <w:rsid w:val="17061534"/>
    <w:rsid w:val="1790486E"/>
    <w:rsid w:val="183835B0"/>
    <w:rsid w:val="18846047"/>
    <w:rsid w:val="18CF3631"/>
    <w:rsid w:val="18CF7D01"/>
    <w:rsid w:val="19416B48"/>
    <w:rsid w:val="19C0142D"/>
    <w:rsid w:val="1A862C7C"/>
    <w:rsid w:val="1B0D0CA7"/>
    <w:rsid w:val="1C8A4E52"/>
    <w:rsid w:val="1DD06D59"/>
    <w:rsid w:val="1DD67A76"/>
    <w:rsid w:val="1EEB3042"/>
    <w:rsid w:val="1F8034E6"/>
    <w:rsid w:val="20914128"/>
    <w:rsid w:val="20D3029D"/>
    <w:rsid w:val="2153496C"/>
    <w:rsid w:val="21966FEE"/>
    <w:rsid w:val="24B3163A"/>
    <w:rsid w:val="24F876E9"/>
    <w:rsid w:val="251910F1"/>
    <w:rsid w:val="25EC3863"/>
    <w:rsid w:val="26B97FE6"/>
    <w:rsid w:val="27276A39"/>
    <w:rsid w:val="29143B49"/>
    <w:rsid w:val="29455AB0"/>
    <w:rsid w:val="29F747DA"/>
    <w:rsid w:val="2A8D59E5"/>
    <w:rsid w:val="2A905451"/>
    <w:rsid w:val="2C4222F5"/>
    <w:rsid w:val="2D0F1E81"/>
    <w:rsid w:val="2D6327A4"/>
    <w:rsid w:val="2DD2147F"/>
    <w:rsid w:val="2E555E72"/>
    <w:rsid w:val="2FEE73F8"/>
    <w:rsid w:val="30540035"/>
    <w:rsid w:val="31264419"/>
    <w:rsid w:val="31A062A0"/>
    <w:rsid w:val="31FE5396"/>
    <w:rsid w:val="323F1C36"/>
    <w:rsid w:val="32B32CF9"/>
    <w:rsid w:val="33370B5F"/>
    <w:rsid w:val="35325674"/>
    <w:rsid w:val="35D94150"/>
    <w:rsid w:val="36490D75"/>
    <w:rsid w:val="36985DB9"/>
    <w:rsid w:val="36A74A3B"/>
    <w:rsid w:val="370A0339"/>
    <w:rsid w:val="38632E63"/>
    <w:rsid w:val="3B4F49E5"/>
    <w:rsid w:val="3B965E19"/>
    <w:rsid w:val="3DB72FC9"/>
    <w:rsid w:val="3DCF04A0"/>
    <w:rsid w:val="3E2E6844"/>
    <w:rsid w:val="3E554590"/>
    <w:rsid w:val="3F1723BC"/>
    <w:rsid w:val="3F7E357A"/>
    <w:rsid w:val="40CD48B1"/>
    <w:rsid w:val="412C31AD"/>
    <w:rsid w:val="41550014"/>
    <w:rsid w:val="43CD4BC8"/>
    <w:rsid w:val="43DE0B83"/>
    <w:rsid w:val="451F2FAA"/>
    <w:rsid w:val="45B413AF"/>
    <w:rsid w:val="48911033"/>
    <w:rsid w:val="49E1317B"/>
    <w:rsid w:val="4A5E6F26"/>
    <w:rsid w:val="4AD52CE0"/>
    <w:rsid w:val="4B4B2FA2"/>
    <w:rsid w:val="4BA52490"/>
    <w:rsid w:val="4C4F1126"/>
    <w:rsid w:val="4DF56623"/>
    <w:rsid w:val="4E562348"/>
    <w:rsid w:val="4F257A59"/>
    <w:rsid w:val="4FDF1F0B"/>
    <w:rsid w:val="50EA6DB9"/>
    <w:rsid w:val="52285DEB"/>
    <w:rsid w:val="551D66C6"/>
    <w:rsid w:val="55315857"/>
    <w:rsid w:val="57002FBA"/>
    <w:rsid w:val="584230BB"/>
    <w:rsid w:val="58611FB1"/>
    <w:rsid w:val="58A877EC"/>
    <w:rsid w:val="5A0F3263"/>
    <w:rsid w:val="5B4107CD"/>
    <w:rsid w:val="5BAA1E0A"/>
    <w:rsid w:val="5C125416"/>
    <w:rsid w:val="5CB7590E"/>
    <w:rsid w:val="5D33479E"/>
    <w:rsid w:val="5D39254E"/>
    <w:rsid w:val="5ECC3FA2"/>
    <w:rsid w:val="5F733B4F"/>
    <w:rsid w:val="5FC62050"/>
    <w:rsid w:val="602C2F4B"/>
    <w:rsid w:val="608B444B"/>
    <w:rsid w:val="60F0193E"/>
    <w:rsid w:val="611B4D6D"/>
    <w:rsid w:val="61587D6F"/>
    <w:rsid w:val="637013A0"/>
    <w:rsid w:val="63B42C52"/>
    <w:rsid w:val="65F23B3F"/>
    <w:rsid w:val="66771754"/>
    <w:rsid w:val="67237106"/>
    <w:rsid w:val="67A0033E"/>
    <w:rsid w:val="67B05129"/>
    <w:rsid w:val="682F32DC"/>
    <w:rsid w:val="68865AD0"/>
    <w:rsid w:val="6A4D1F9A"/>
    <w:rsid w:val="6BEC358E"/>
    <w:rsid w:val="6BF65FFA"/>
    <w:rsid w:val="6C473405"/>
    <w:rsid w:val="6D1A750A"/>
    <w:rsid w:val="6FED5B27"/>
    <w:rsid w:val="70855B9C"/>
    <w:rsid w:val="71900E5F"/>
    <w:rsid w:val="730F4A94"/>
    <w:rsid w:val="73B43BC8"/>
    <w:rsid w:val="746E4F67"/>
    <w:rsid w:val="74FC2E55"/>
    <w:rsid w:val="76AC14DE"/>
    <w:rsid w:val="77436A9E"/>
    <w:rsid w:val="7A2B089B"/>
    <w:rsid w:val="7ACB4CB6"/>
    <w:rsid w:val="7B4B32F0"/>
    <w:rsid w:val="7E4436FD"/>
    <w:rsid w:val="7EE527EB"/>
    <w:rsid w:val="7F8E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able of figures"/>
    <w:basedOn w:val="1"/>
    <w:next w:val="1"/>
    <w:qFormat/>
    <w:uiPriority w:val="0"/>
    <w:pPr>
      <w:ind w:left="200" w:leftChars="200" w:hanging="200" w:hangingChars="200"/>
    </w:pPr>
    <w:rPr>
      <w:rFonts w:ascii="Calibri" w:hAnsi="Calibri" w:eastAsia="宋体" w:cs="Times New Roman"/>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1 Char"/>
    <w:basedOn w:val="11"/>
    <w:link w:val="3"/>
    <w:qFormat/>
    <w:uiPriority w:val="9"/>
    <w:rPr>
      <w:b/>
      <w:bCs/>
      <w:kern w:val="44"/>
      <w:sz w:val="44"/>
      <w:szCs w:val="44"/>
    </w:rPr>
  </w:style>
  <w:style w:type="character" w:customStyle="1" w:styleId="15">
    <w:name w:val="标题 2 Char"/>
    <w:basedOn w:val="11"/>
    <w:link w:val="4"/>
    <w:qFormat/>
    <w:uiPriority w:val="9"/>
    <w:rPr>
      <w:rFonts w:asciiTheme="majorHAnsi" w:hAnsiTheme="majorHAnsi" w:eastAsiaTheme="majorEastAsia" w:cstheme="majorBidi"/>
      <w:b/>
      <w:bCs/>
      <w:sz w:val="32"/>
      <w:szCs w:val="32"/>
    </w:rPr>
  </w:style>
  <w:style w:type="paragraph" w:customStyle="1" w:styleId="16">
    <w:name w:val="列出段落1"/>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2\Desktop\&#32479;&#35745;&#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[工作簿1]Sheet1!$A$2:$D$3</c:f>
              <c:multiLvlStrCache>
                <c:ptCount val="4"/>
                <c:lvl>
                  <c:pt idx="0">
                    <c:v>收入（万元）</c:v>
                  </c:pt>
                  <c:pt idx="1">
                    <c:v>支出（万元）</c:v>
                  </c:pt>
                  <c:pt idx="2">
                    <c:v>收入（万元）</c:v>
                  </c:pt>
                  <c:pt idx="3">
                    <c:v>支出（万元）</c:v>
                  </c:pt>
                </c:lvl>
                <c:lvl>
                  <c:pt idx="0">
                    <c:v>2020</c:v>
                  </c:pt>
                  <c:pt idx="2">
                    <c:v>2021年</c:v>
                  </c:pt>
                </c:lvl>
              </c:multiLvlStrCache>
            </c:multiLvlStrRef>
          </c:cat>
          <c:val>
            <c:numRef>
              <c:f>[工作簿1]Sheet1!$A$4:$D$4</c:f>
              <c:numCache>
                <c:formatCode>General</c:formatCode>
                <c:ptCount val="4"/>
                <c:pt idx="0">
                  <c:v>698.59</c:v>
                </c:pt>
                <c:pt idx="1">
                  <c:v>708.36</c:v>
                </c:pt>
                <c:pt idx="2">
                  <c:v>597.18</c:v>
                </c:pt>
                <c:pt idx="3">
                  <c:v>597.18</c:v>
                </c:pt>
              </c:numCache>
            </c:numRef>
          </c:val>
        </c:ser>
        <c:dLbls>
          <c:showLegendKey val="0"/>
          <c:showVal val="0"/>
          <c:showCatName val="0"/>
          <c:showSerName val="0"/>
          <c:showPercent val="0"/>
          <c:showBubbleSize val="0"/>
        </c:dLbls>
        <c:gapWidth val="219"/>
        <c:overlap val="-27"/>
        <c:axId val="45341483"/>
        <c:axId val="868664820"/>
      </c:barChart>
      <c:catAx>
        <c:axId val="453414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664820"/>
        <c:crosses val="autoZero"/>
        <c:auto val="1"/>
        <c:lblAlgn val="ctr"/>
        <c:lblOffset val="100"/>
        <c:noMultiLvlLbl val="0"/>
      </c:catAx>
      <c:valAx>
        <c:axId val="8686648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414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elete val="1"/>
          </c:dLbls>
          <c:cat>
            <c:strRef>
              <c:f>[工作簿1]Sheet1!$A$14</c:f>
              <c:strCache>
                <c:ptCount val="1"/>
                <c:pt idx="0">
                  <c:v>一般公共预算财政拨款</c:v>
                </c:pt>
              </c:strCache>
            </c:strRef>
          </c:cat>
          <c:val>
            <c:numRef>
              <c:f>[工作簿1]Sheet1!$B$14</c:f>
              <c:numCache>
                <c:formatCode>General</c:formatCode>
                <c:ptCount val="1"/>
                <c:pt idx="0">
                  <c:v>597.18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[工作簿1]Sheet1!$A$20:$A$21</c:f>
              <c:strCache>
                <c:ptCount val="2"/>
                <c:pt idx="0">
                  <c:v>基本支出</c:v>
                </c:pt>
                <c:pt idx="1">
                  <c:v>项目支出</c:v>
                </c:pt>
              </c:strCache>
            </c:strRef>
          </c:cat>
          <c:val>
            <c:numRef>
              <c:f>[工作簿1]Sheet1!$B$20:$B$21</c:f>
              <c:numCache>
                <c:formatCode>General</c:formatCode>
                <c:ptCount val="2"/>
                <c:pt idx="0">
                  <c:v>496.83</c:v>
                </c:pt>
                <c:pt idx="1">
                  <c:v>100.35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[工作簿1]Sheet1!$A$2:$D$3</c:f>
              <c:multiLvlStrCache>
                <c:ptCount val="4"/>
                <c:lvl>
                  <c:pt idx="0">
                    <c:v>收入（万元）</c:v>
                  </c:pt>
                  <c:pt idx="1">
                    <c:v>支出（万元）</c:v>
                  </c:pt>
                  <c:pt idx="2">
                    <c:v>收入（万元）</c:v>
                  </c:pt>
                  <c:pt idx="3">
                    <c:v>支出（万元）</c:v>
                  </c:pt>
                </c:lvl>
                <c:lvl>
                  <c:pt idx="0">
                    <c:v>2020</c:v>
                  </c:pt>
                  <c:pt idx="2">
                    <c:v>2021年</c:v>
                  </c:pt>
                </c:lvl>
              </c:multiLvlStrCache>
            </c:multiLvlStrRef>
          </c:cat>
          <c:val>
            <c:numRef>
              <c:f>[工作簿1]Sheet1!$A$4:$D$4</c:f>
              <c:numCache>
                <c:formatCode>General</c:formatCode>
                <c:ptCount val="4"/>
                <c:pt idx="0">
                  <c:v>698.59</c:v>
                </c:pt>
                <c:pt idx="1">
                  <c:v>708.36</c:v>
                </c:pt>
                <c:pt idx="2">
                  <c:v>597.18</c:v>
                </c:pt>
                <c:pt idx="3">
                  <c:v>597.18</c:v>
                </c:pt>
              </c:numCache>
            </c:numRef>
          </c:val>
        </c:ser>
        <c:dLbls>
          <c:showLegendKey val="0"/>
          <c:showVal val="0"/>
          <c:showCatName val="0"/>
          <c:showSerName val="0"/>
          <c:showPercent val="0"/>
          <c:showBubbleSize val="0"/>
        </c:dLbls>
        <c:gapWidth val="219"/>
        <c:overlap val="-27"/>
        <c:axId val="45341483"/>
        <c:axId val="868664820"/>
      </c:barChart>
      <c:catAx>
        <c:axId val="453414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664820"/>
        <c:crosses val="autoZero"/>
        <c:auto val="1"/>
        <c:lblAlgn val="ctr"/>
        <c:lblOffset val="100"/>
        <c:noMultiLvlLbl val="0"/>
      </c:catAx>
      <c:valAx>
        <c:axId val="8686648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414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图5：一般公共预算财政拨款支出决算变动情况</a:t>
            </a:r>
            <a:endParaRPr sz="1200"/>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[工作簿1]Sheet1!$A$33:$A$34</c:f>
              <c:strCache>
                <c:ptCount val="2"/>
                <c:pt idx="0">
                  <c:v>2020年</c:v>
                </c:pt>
                <c:pt idx="1">
                  <c:v>2021年</c:v>
                </c:pt>
              </c:strCache>
            </c:strRef>
          </c:cat>
          <c:val>
            <c:numRef>
              <c:f>[工作簿1]Sheet1!$B$33:$B$34</c:f>
              <c:numCache>
                <c:formatCode>General</c:formatCode>
                <c:ptCount val="2"/>
                <c:pt idx="0">
                  <c:v>698.59</c:v>
                </c:pt>
                <c:pt idx="1">
                  <c:v>597.18</c:v>
                </c:pt>
              </c:numCache>
            </c:numRef>
          </c:val>
        </c:ser>
        <c:dLbls>
          <c:showLegendKey val="0"/>
          <c:showVal val="0"/>
          <c:showCatName val="0"/>
          <c:showSerName val="0"/>
          <c:showPercent val="0"/>
          <c:showBubbleSize val="0"/>
        </c:dLbls>
        <c:gapWidth val="75"/>
        <c:overlap val="100"/>
        <c:axId val="700941599"/>
        <c:axId val="93847854"/>
      </c:barChart>
      <c:catAx>
        <c:axId val="70094159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47854"/>
        <c:crosses val="autoZero"/>
        <c:auto val="1"/>
        <c:lblAlgn val="ctr"/>
        <c:lblOffset val="100"/>
        <c:noMultiLvlLbl val="0"/>
      </c:catAx>
      <c:valAx>
        <c:axId val="9384785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9415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[工作簿1]Sheet1!$A$40:$A$44</c:f>
              <c:strCache>
                <c:ptCount val="5"/>
                <c:pt idx="0">
                  <c:v>社会保障和就业支出</c:v>
                </c:pt>
                <c:pt idx="1">
                  <c:v>卫生健康支出</c:v>
                </c:pt>
                <c:pt idx="2">
                  <c:v>住房保障支出</c:v>
                </c:pt>
                <c:pt idx="3">
                  <c:v>粮油物资储备支出</c:v>
                </c:pt>
                <c:pt idx="4">
                  <c:v>灾害防治及应急管理支出</c:v>
                </c:pt>
              </c:strCache>
            </c:strRef>
          </c:cat>
          <c:val>
            <c:numRef>
              <c:f>[工作簿1]Sheet1!$B$40:$B$44</c:f>
              <c:numCache>
                <c:formatCode>General</c:formatCode>
                <c:ptCount val="5"/>
                <c:pt idx="0">
                  <c:v>169.94</c:v>
                </c:pt>
                <c:pt idx="1">
                  <c:v>10.08</c:v>
                </c:pt>
                <c:pt idx="2">
                  <c:v>30.22</c:v>
                </c:pt>
                <c:pt idx="3">
                  <c:v>384.64</c:v>
                </c:pt>
                <c:pt idx="4">
                  <c:v>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960"/>
              <a:t>图</a:t>
            </a:r>
            <a:r>
              <a:rPr lang="en-US" altLang="zh-CN" sz="960"/>
              <a:t>7</a:t>
            </a:r>
            <a:r>
              <a:rPr altLang="en-US" sz="960"/>
              <a:t>：</a:t>
            </a:r>
            <a:r>
              <a:rPr sz="960"/>
              <a:t>“三公”经费财政拨款支出决算具体情况</a:t>
            </a:r>
            <a:endParaRPr sz="96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[统计图.xlsx]Sheet1!$A$53:$A$55</c:f>
              <c:strCache>
                <c:ptCount val="3"/>
                <c:pt idx="0">
                  <c:v>因公出国（境）</c:v>
                </c:pt>
                <c:pt idx="1">
                  <c:v>公务用车购置及运行维护费</c:v>
                </c:pt>
                <c:pt idx="2">
                  <c:v>公务接待费</c:v>
                </c:pt>
              </c:strCache>
            </c:strRef>
          </c:cat>
          <c:val>
            <c:numRef>
              <c:f>[统计图.xlsx]Sheet1!$B$53:$B$55</c:f>
              <c:numCache>
                <c:formatCode>0%</c:formatCode>
                <c:ptCount val="3"/>
                <c:pt idx="0">
                  <c:v>0</c:v>
                </c:pt>
                <c:pt idx="1" c:formatCode="0.00%">
                  <c:v>0.2264</c:v>
                </c:pt>
                <c:pt idx="2" c:formatCode="0.00%">
                  <c:v>0.7736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29075</Words>
  <Characters>30665</Characters>
  <Lines>0</Lines>
  <Paragraphs>0</Paragraphs>
  <TotalTime>8</TotalTime>
  <ScaleCrop>false</ScaleCrop>
  <LinksUpToDate>false</LinksUpToDate>
  <CharactersWithSpaces>30731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2023-04-02T01:37:00Z</dcterms:created>
  <dc:creator>lsj</dc:creator>
  <cp:lastModifiedBy>双尾</cp:lastModifiedBy>
  <cp:lastPrinted>2023-04-14T01:37:00Z</cp:lastPrinted>
  <dcterms:modified xsi:type="dcterms:W3CDTF">2023-10-07T07:00:40Z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72CEFD6187AE4E83A344D2724B847DB9_13</vt:lpwstr>
  </property>
</Properties>
</file>