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w:t>
      </w:r>
      <w:r>
        <w:rPr>
          <w:rFonts w:hint="eastAsia" w:ascii="黑体" w:hAnsi="黑体" w:eastAsia="黑体"/>
          <w:color w:val="000000"/>
          <w:sz w:val="72"/>
          <w:szCs w:val="72"/>
        </w:rPr>
        <w:t>23</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06268"/>
      <w:bookmarkStart w:id="7" w:name="_Toc15396598"/>
      <w:bookmarkStart w:id="8" w:name="_Toc15396476"/>
      <w:bookmarkStart w:id="9" w:name="_Toc15377426"/>
      <w:bookmarkStart w:id="10" w:name="_Toc15377194"/>
      <w:bookmarkStart w:id="11" w:name="_Toc15378442"/>
      <w:r>
        <w:rPr>
          <w:rFonts w:hint="eastAsia" w:ascii="方正小标宋简体" w:hAnsi="宋体" w:eastAsia="方正小标宋简体"/>
          <w:color w:val="000000"/>
          <w:sz w:val="72"/>
          <w:szCs w:val="72"/>
        </w:rPr>
        <w:t>邻水县九龙镇中心小学  单位决算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rPr>
          <w:rFonts w:asciiTheme="minorEastAsia" w:hAnsiTheme="minorEastAsia" w:eastAsiaTheme="minorEastAsia"/>
        </w:rPr>
      </w:pPr>
      <w:r>
        <w:rPr>
          <w:rFonts w:hint="eastAsia" w:asciiTheme="minorEastAsia" w:hAnsiTheme="minorEastAsia" w:eastAsiaTheme="minorEastAsia"/>
        </w:rPr>
        <w:t>公开时间：2024年08月</w:t>
      </w:r>
      <w:r>
        <w:rPr>
          <w:rFonts w:hint="eastAsia" w:asciiTheme="minorEastAsia" w:hAnsiTheme="minorEastAsia" w:eastAsiaTheme="minorEastAsia"/>
          <w:color w:val="000000" w:themeColor="text1"/>
          <w:lang w:val="en-US" w:eastAsia="zh-CN"/>
        </w:rPr>
        <w:t>30</w:t>
      </w:r>
      <w:r>
        <w:rPr>
          <w:rFonts w:hint="eastAsia" w:asciiTheme="minorEastAsia" w:hAnsiTheme="minorEastAsia" w:eastAsiaTheme="minorEastAsia"/>
        </w:rPr>
        <w:t>日</w:t>
      </w:r>
    </w:p>
    <w:p/>
    <w:p>
      <w:pPr>
        <w:pStyle w:val="10"/>
        <w:adjustRightInd w:val="0"/>
        <w:snapToGrid w:val="0"/>
        <w:spacing w:before="0" w:line="440" w:lineRule="exact"/>
        <w:jc w:val="left"/>
        <w:rPr>
          <w:rFonts w:cstheme="minorBidi"/>
          <w:sz w:val="24"/>
          <w:szCs w:val="24"/>
        </w:rPr>
      </w:pPr>
      <w:r>
        <w:rPr>
          <w:rFonts w:hint="eastAsia" w:asciiTheme="majorEastAsia" w:hAnsiTheme="majorEastAsia" w:eastAsiaTheme="majorEastAsia"/>
          <w:sz w:val="24"/>
        </w:rPr>
        <w:t>第一部分</w:t>
      </w:r>
      <w:r>
        <w:rPr>
          <w:rFonts w:asciiTheme="majorEastAsia" w:hAnsiTheme="majorEastAsia" w:eastAsiaTheme="majorEastAsia"/>
          <w:sz w:val="24"/>
        </w:rPr>
        <w:t xml:space="preserve"> </w:t>
      </w:r>
      <w:r>
        <w:rPr>
          <w:rFonts w:hint="eastAsia" w:asciiTheme="majorEastAsia" w:hAnsiTheme="majorEastAsia" w:eastAsiaTheme="majorEastAsia"/>
          <w:sz w:val="24"/>
        </w:rPr>
        <w:t>单位概况</w:t>
      </w:r>
      <w:r>
        <w:rPr>
          <w:rFonts w:ascii="Times New Roman" w:hAnsi="Times New Roman"/>
          <w:sz w:val="24"/>
        </w:rPr>
        <w:t>....................................................................................4</w:t>
      </w:r>
    </w:p>
    <w:p>
      <w:pPr>
        <w:pStyle w:val="11"/>
        <w:adjustRightInd w:val="0"/>
        <w:snapToGrid w:val="0"/>
        <w:spacing w:line="440" w:lineRule="exact"/>
        <w:jc w:val="left"/>
        <w:rPr>
          <w:rFonts w:ascii="仿宋" w:hAnsi="仿宋"/>
          <w:sz w:val="24"/>
        </w:rPr>
      </w:pPr>
      <w:r>
        <w:rPr>
          <w:rFonts w:hint="eastAsia"/>
          <w:sz w:val="24"/>
        </w:rPr>
        <w:t>一、单位职责.......................................................................................4</w:t>
      </w:r>
    </w:p>
    <w:p>
      <w:pPr>
        <w:pStyle w:val="11"/>
        <w:adjustRightInd w:val="0"/>
        <w:snapToGrid w:val="0"/>
        <w:spacing w:line="440" w:lineRule="exact"/>
        <w:jc w:val="left"/>
        <w:rPr>
          <w:rFonts w:ascii="仿宋" w:hAnsi="仿宋" w:cstheme="minorBidi"/>
          <w:sz w:val="24"/>
        </w:rPr>
      </w:pPr>
      <w:r>
        <w:rPr>
          <w:rFonts w:hint="eastAsia"/>
          <w:color w:val="000000" w:themeColor="text1"/>
          <w:sz w:val="24"/>
        </w:rPr>
        <w:t>二、机构设置..</w:t>
      </w:r>
      <w:r>
        <w:rPr>
          <w:rFonts w:hint="eastAsia"/>
          <w:color w:val="FF0000"/>
          <w:sz w:val="24"/>
        </w:rPr>
        <w:t>......</w:t>
      </w:r>
      <w:r>
        <w:rPr>
          <w:rFonts w:hint="eastAsia"/>
          <w:sz w:val="24"/>
        </w:rPr>
        <w:t>...............................................................................4</w:t>
      </w:r>
    </w:p>
    <w:p>
      <w:pPr>
        <w:pStyle w:val="10"/>
        <w:adjustRightInd w:val="0"/>
        <w:snapToGrid w:val="0"/>
        <w:spacing w:before="0" w:line="440" w:lineRule="exact"/>
        <w:jc w:val="left"/>
        <w:rPr>
          <w:rFonts w:ascii="Times New Roman" w:hAnsi="Times New Roman"/>
          <w:sz w:val="24"/>
          <w:szCs w:val="24"/>
        </w:rPr>
      </w:pPr>
      <w:r>
        <w:rPr>
          <w:rFonts w:hint="eastAsia" w:asciiTheme="minorEastAsia" w:hAnsiTheme="minorEastAsia" w:eastAsiaTheme="minorEastAsia"/>
          <w:sz w:val="24"/>
        </w:rPr>
        <w:t>第二部分 单位决算情况说明</w:t>
      </w:r>
      <w:r>
        <w:rPr>
          <w:rFonts w:ascii="Times New Roman" w:hAnsi="Times New Roman"/>
          <w:sz w:val="24"/>
        </w:rPr>
        <w:t>....................................................................5</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一、收入支出决算总体情况说明.......................................................5</w:t>
      </w:r>
    </w:p>
    <w:p>
      <w:pPr>
        <w:pStyle w:val="11"/>
        <w:adjustRightInd w:val="0"/>
        <w:snapToGrid w:val="0"/>
        <w:spacing w:line="440" w:lineRule="exact"/>
        <w:jc w:val="left"/>
        <w:rPr>
          <w:rFonts w:ascii="仿宋" w:hAnsi="仿宋" w:cstheme="minorBidi"/>
          <w:sz w:val="24"/>
        </w:rPr>
      </w:pPr>
      <w:r>
        <w:rPr>
          <w:rFonts w:hint="eastAsia"/>
          <w:sz w:val="24"/>
        </w:rPr>
        <w:t>二、收入决算情况说明.......................................................................5</w:t>
      </w:r>
    </w:p>
    <w:p>
      <w:pPr>
        <w:pStyle w:val="11"/>
        <w:adjustRightInd w:val="0"/>
        <w:snapToGrid w:val="0"/>
        <w:spacing w:line="440" w:lineRule="exact"/>
        <w:jc w:val="left"/>
        <w:rPr>
          <w:rFonts w:ascii="仿宋" w:hAnsi="仿宋" w:cstheme="minorBidi"/>
          <w:sz w:val="24"/>
        </w:rPr>
      </w:pPr>
      <w:r>
        <w:rPr>
          <w:rFonts w:hint="eastAsia"/>
          <w:sz w:val="24"/>
        </w:rPr>
        <w:t>三、支出决算情况说明.......................................................................5</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四、财政拨款收入支出决算总体情况说明.......................................5</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五、一般公共预算财政拨款支出决算情况说明...............................7</w:t>
      </w:r>
    </w:p>
    <w:p>
      <w:pPr>
        <w:pStyle w:val="11"/>
        <w:adjustRightInd w:val="0"/>
        <w:snapToGrid w:val="0"/>
        <w:spacing w:line="440" w:lineRule="exact"/>
        <w:jc w:val="left"/>
        <w:rPr>
          <w:sz w:val="24"/>
        </w:rPr>
      </w:pPr>
      <w:r>
        <w:rPr>
          <w:rFonts w:hint="eastAsia"/>
          <w:sz w:val="24"/>
        </w:rPr>
        <w:t>六、一般公共预算财政拨款基本支出决算情况说明.......................10</w:t>
      </w:r>
    </w:p>
    <w:p>
      <w:pPr>
        <w:pStyle w:val="11"/>
        <w:adjustRightInd w:val="0"/>
        <w:snapToGrid w:val="0"/>
        <w:spacing w:line="440" w:lineRule="exact"/>
        <w:jc w:val="left"/>
        <w:rPr>
          <w:rFonts w:ascii="仿宋" w:hAnsi="仿宋" w:cstheme="minorBidi"/>
          <w:sz w:val="24"/>
        </w:rPr>
      </w:pPr>
      <w:r>
        <w:rPr>
          <w:rFonts w:hint="eastAsia"/>
          <w:sz w:val="24"/>
        </w:rPr>
        <w:t>七、</w:t>
      </w:r>
      <w:r>
        <w:rPr>
          <w:sz w:val="24"/>
        </w:rPr>
        <w:t>“</w:t>
      </w:r>
      <w:r>
        <w:rPr>
          <w:rFonts w:hint="eastAsia"/>
          <w:sz w:val="24"/>
        </w:rPr>
        <w:t>三公”经费财政拨款支出决算情况说明.................................10</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八、政府性基金预算支出决算情况说明...........................................11</w:t>
      </w:r>
    </w:p>
    <w:p>
      <w:pPr>
        <w:pStyle w:val="11"/>
        <w:adjustRightInd w:val="0"/>
        <w:snapToGrid w:val="0"/>
        <w:spacing w:line="440" w:lineRule="exact"/>
        <w:ind w:leftChars="0"/>
        <w:jc w:val="left"/>
        <w:rPr>
          <w:rFonts w:ascii="仿宋" w:hAnsi="仿宋"/>
          <w:sz w:val="24"/>
        </w:rPr>
      </w:pPr>
      <w:r>
        <w:rPr>
          <w:rFonts w:hint="eastAsia" w:asciiTheme="minorEastAsia" w:hAnsiTheme="minorEastAsia" w:eastAsiaTheme="minorEastAsia"/>
          <w:sz w:val="24"/>
        </w:rPr>
        <w:t>九</w:t>
      </w:r>
      <w:r>
        <w:rPr>
          <w:rFonts w:hint="eastAsia" w:ascii="仿宋" w:hAnsi="仿宋" w:eastAsia="仿宋"/>
          <w:sz w:val="24"/>
        </w:rPr>
        <w:t>、</w:t>
      </w:r>
      <w:r>
        <w:rPr>
          <w:sz w:val="24"/>
        </w:rPr>
        <w:t>国</w:t>
      </w:r>
      <w:r>
        <w:rPr>
          <w:rFonts w:hint="eastAsia"/>
          <w:sz w:val="24"/>
        </w:rPr>
        <w:t>有资本经营预算支出决算情况说明.......................................11</w:t>
      </w:r>
    </w:p>
    <w:p>
      <w:pPr>
        <w:adjustRightInd w:val="0"/>
        <w:snapToGrid w:val="0"/>
        <w:spacing w:line="440" w:lineRule="exact"/>
        <w:ind w:firstLine="420" w:firstLineChars="175"/>
        <w:jc w:val="left"/>
        <w:rPr>
          <w:rFonts w:ascii="仿宋" w:hAnsi="仿宋" w:eastAsia="仿宋" w:cstheme="minorBidi"/>
          <w:sz w:val="24"/>
        </w:rPr>
      </w:pPr>
      <w:r>
        <w:rPr>
          <w:rStyle w:val="15"/>
          <w:rFonts w:hint="eastAsia" w:asciiTheme="minorEastAsia" w:hAnsiTheme="minorEastAsia" w:eastAsiaTheme="minorEastAsia"/>
          <w:color w:val="000000" w:themeColor="text1"/>
          <w:sz w:val="24"/>
          <w:u w:val="none"/>
        </w:rPr>
        <w:t>十</w:t>
      </w:r>
      <w:r>
        <w:rPr>
          <w:rStyle w:val="15"/>
          <w:rFonts w:hint="eastAsia" w:ascii="仿宋" w:hAnsi="仿宋" w:eastAsia="仿宋"/>
          <w:color w:val="000000" w:themeColor="text1"/>
          <w:sz w:val="24"/>
          <w:u w:val="none"/>
        </w:rPr>
        <w:t>、</w:t>
      </w:r>
      <w:r>
        <w:rPr>
          <w:rFonts w:hint="eastAsia"/>
          <w:sz w:val="24"/>
        </w:rPr>
        <w:t>其他重要事项的情况说明...........................................................11</w:t>
      </w:r>
      <w:r>
        <w:rPr>
          <w:rFonts w:ascii="仿宋" w:hAnsi="仿宋" w:eastAsia="仿宋"/>
          <w:sz w:val="24"/>
        </w:rPr>
        <w:tab/>
      </w:r>
    </w:p>
    <w:p>
      <w:pPr>
        <w:pStyle w:val="10"/>
        <w:adjustRightInd w:val="0"/>
        <w:snapToGrid w:val="0"/>
        <w:spacing w:before="0" w:line="440" w:lineRule="exact"/>
        <w:jc w:val="left"/>
        <w:rPr>
          <w:rFonts w:ascii="Times New Roman" w:hAnsi="Times New Roman"/>
          <w:sz w:val="24"/>
          <w:szCs w:val="24"/>
        </w:rPr>
      </w:pPr>
      <w:r>
        <w:rPr>
          <w:rFonts w:hint="eastAsia" w:asciiTheme="majorEastAsia" w:hAnsiTheme="majorEastAsia" w:eastAsiaTheme="majorEastAsia"/>
          <w:sz w:val="24"/>
        </w:rPr>
        <w:t>第三部分</w:t>
      </w:r>
      <w:r>
        <w:rPr>
          <w:rFonts w:asciiTheme="majorEastAsia" w:hAnsiTheme="majorEastAsia" w:eastAsiaTheme="majorEastAsia"/>
          <w:sz w:val="24"/>
        </w:rPr>
        <w:t xml:space="preserve"> </w:t>
      </w:r>
      <w:r>
        <w:rPr>
          <w:rFonts w:hint="eastAsia" w:asciiTheme="majorEastAsia" w:hAnsiTheme="majorEastAsia" w:eastAsiaTheme="majorEastAsia"/>
          <w:sz w:val="24"/>
        </w:rPr>
        <w:t>名词解释</w:t>
      </w:r>
      <w:r>
        <w:rPr>
          <w:rFonts w:ascii="Times New Roman" w:hAnsi="Times New Roman"/>
          <w:sz w:val="24"/>
        </w:rPr>
        <w:t>....................................................................................</w:t>
      </w:r>
      <w:r>
        <w:rPr>
          <w:rFonts w:ascii="Times New Roman" w:hAnsi="Times New Roman" w:eastAsiaTheme="majorEastAsia"/>
          <w:sz w:val="24"/>
        </w:rPr>
        <w:t>12</w:t>
      </w:r>
    </w:p>
    <w:p>
      <w:pPr>
        <w:pStyle w:val="10"/>
        <w:adjustRightInd w:val="0"/>
        <w:snapToGrid w:val="0"/>
        <w:spacing w:before="0" w:line="440" w:lineRule="exact"/>
        <w:jc w:val="left"/>
        <w:rPr>
          <w:rFonts w:cstheme="minorBidi"/>
          <w:sz w:val="24"/>
          <w:szCs w:val="24"/>
        </w:rPr>
      </w:pPr>
      <w:r>
        <w:rPr>
          <w:rFonts w:hint="eastAsia" w:asciiTheme="majorEastAsia" w:hAnsiTheme="majorEastAsia" w:eastAsiaTheme="majorEastAsia"/>
          <w:sz w:val="24"/>
        </w:rPr>
        <w:t>第四部分</w:t>
      </w:r>
      <w:r>
        <w:rPr>
          <w:rFonts w:asciiTheme="majorEastAsia" w:hAnsiTheme="majorEastAsia" w:eastAsiaTheme="majorEastAsia"/>
          <w:color w:val="FF0000"/>
          <w:sz w:val="24"/>
        </w:rPr>
        <w:t xml:space="preserve"> </w:t>
      </w:r>
      <w:r>
        <w:rPr>
          <w:rFonts w:hint="eastAsia" w:asciiTheme="majorEastAsia" w:hAnsiTheme="majorEastAsia" w:eastAsiaTheme="majorEastAsia"/>
          <w:sz w:val="24"/>
        </w:rPr>
        <w:t>附件</w:t>
      </w:r>
      <w:r>
        <w:rPr>
          <w:rFonts w:ascii="Times New Roman" w:hAnsi="Times New Roman"/>
          <w:sz w:val="24"/>
        </w:rPr>
        <w:t>............................................................................................</w:t>
      </w:r>
      <w:r>
        <w:rPr>
          <w:rFonts w:ascii="Times New Roman" w:hAnsi="Times New Roman" w:eastAsiaTheme="majorEastAsia"/>
          <w:sz w:val="24"/>
        </w:rPr>
        <w:t xml:space="preserve">15 </w:t>
      </w:r>
    </w:p>
    <w:p>
      <w:pPr>
        <w:pStyle w:val="10"/>
        <w:adjustRightInd w:val="0"/>
        <w:snapToGrid w:val="0"/>
        <w:spacing w:before="0" w:line="440" w:lineRule="exact"/>
        <w:jc w:val="left"/>
        <w:rPr>
          <w:rFonts w:cstheme="minorBidi"/>
          <w:sz w:val="24"/>
          <w:szCs w:val="24"/>
        </w:rPr>
      </w:pPr>
      <w:r>
        <w:rPr>
          <w:rFonts w:hint="eastAsia" w:asciiTheme="minorEastAsia" w:hAnsiTheme="minorEastAsia" w:eastAsiaTheme="minorEastAsia"/>
          <w:sz w:val="24"/>
        </w:rPr>
        <w:t>第五部分</w:t>
      </w:r>
      <w:r>
        <w:rPr>
          <w:rFonts w:asciiTheme="minorEastAsia" w:hAnsiTheme="minorEastAsia" w:eastAsiaTheme="minorEastAsia"/>
          <w:sz w:val="24"/>
        </w:rPr>
        <w:t xml:space="preserve"> </w:t>
      </w:r>
      <w:r>
        <w:rPr>
          <w:rFonts w:hint="eastAsia" w:asciiTheme="minorEastAsia" w:hAnsiTheme="minorEastAsia" w:eastAsiaTheme="minorEastAsia"/>
          <w:sz w:val="24"/>
        </w:rPr>
        <w:t>附表</w:t>
      </w:r>
      <w:r>
        <w:rPr>
          <w:rFonts w:ascii="Times New Roman" w:hAnsi="Times New Roman"/>
          <w:sz w:val="24"/>
        </w:rPr>
        <w:t>............................................................................................</w:t>
      </w:r>
      <w:r>
        <w:rPr>
          <w:rFonts w:ascii="Times New Roman" w:hAnsi="Times New Roman" w:eastAsiaTheme="majorEastAsia"/>
          <w:sz w:val="24"/>
        </w:rPr>
        <w:t>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一</w:t>
      </w:r>
      <w:r>
        <w:rPr>
          <w:rFonts w:hint="eastAsia" w:ascii="仿宋" w:hAnsi="仿宋" w:eastAsia="仿宋"/>
          <w:sz w:val="24"/>
        </w:rPr>
        <w:t>、</w:t>
      </w:r>
      <w:r>
        <w:rPr>
          <w:rFonts w:hint="eastAsia"/>
          <w:sz w:val="24"/>
        </w:rPr>
        <w:t>收入支出决算总表.......................................................................22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二</w:t>
      </w:r>
      <w:r>
        <w:rPr>
          <w:rFonts w:hint="eastAsia" w:ascii="仿宋" w:hAnsi="仿宋" w:eastAsia="仿宋"/>
          <w:sz w:val="24"/>
        </w:rPr>
        <w:t>、</w:t>
      </w:r>
      <w:r>
        <w:rPr>
          <w:rFonts w:hint="eastAsia"/>
          <w:sz w:val="24"/>
        </w:rPr>
        <w:t>收入</w:t>
      </w:r>
      <w:r>
        <w:rPr>
          <w:rFonts w:hint="eastAsia" w:asciiTheme="minorEastAsia" w:hAnsiTheme="minorEastAsia" w:eastAsiaTheme="minorEastAsia"/>
          <w:sz w:val="24"/>
        </w:rPr>
        <w:t>决算</w:t>
      </w:r>
      <w:r>
        <w:rPr>
          <w:rFonts w:hint="eastAsia"/>
          <w:sz w:val="24"/>
        </w:rPr>
        <w:t>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三</w:t>
      </w:r>
      <w:r>
        <w:rPr>
          <w:rFonts w:hint="eastAsia" w:ascii="仿宋" w:hAnsi="仿宋" w:eastAsia="仿宋"/>
          <w:sz w:val="24"/>
        </w:rPr>
        <w:t>、</w:t>
      </w:r>
      <w:r>
        <w:rPr>
          <w:rFonts w:hint="eastAsia"/>
          <w:sz w:val="24"/>
        </w:rPr>
        <w:t>支出</w:t>
      </w:r>
      <w:r>
        <w:rPr>
          <w:rFonts w:hint="eastAsia" w:asciiTheme="minorEastAsia" w:hAnsiTheme="minorEastAsia" w:eastAsiaTheme="minorEastAsia"/>
          <w:sz w:val="24"/>
        </w:rPr>
        <w:t>决算</w:t>
      </w:r>
      <w:r>
        <w:rPr>
          <w:rFonts w:hint="eastAsia"/>
          <w:sz w:val="24"/>
        </w:rPr>
        <w:t>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四</w:t>
      </w:r>
      <w:r>
        <w:rPr>
          <w:rFonts w:hint="eastAsia" w:ascii="仿宋" w:hAnsi="仿宋" w:eastAsia="仿宋"/>
          <w:sz w:val="24"/>
        </w:rPr>
        <w:t>、</w:t>
      </w:r>
      <w:r>
        <w:rPr>
          <w:rFonts w:hint="eastAsia"/>
          <w:sz w:val="24"/>
        </w:rPr>
        <w:t>财政拨款收入支出决算总表...................................................... 22</w:t>
      </w:r>
    </w:p>
    <w:p>
      <w:pPr>
        <w:pStyle w:val="11"/>
        <w:adjustRightInd w:val="0"/>
        <w:snapToGrid w:val="0"/>
        <w:spacing w:line="440" w:lineRule="exact"/>
        <w:jc w:val="left"/>
        <w:rPr>
          <w:rFonts w:ascii="仿宋" w:hAnsi="仿宋"/>
          <w:sz w:val="24"/>
        </w:rPr>
      </w:pPr>
      <w:r>
        <w:rPr>
          <w:rFonts w:hint="eastAsia" w:asciiTheme="minorEastAsia" w:hAnsiTheme="minorEastAsia" w:eastAsiaTheme="minorEastAsia"/>
          <w:sz w:val="24"/>
        </w:rPr>
        <w:t>五</w:t>
      </w:r>
      <w:r>
        <w:rPr>
          <w:rFonts w:hint="eastAsia" w:ascii="仿宋" w:hAnsi="仿宋" w:eastAsia="仿宋"/>
          <w:sz w:val="24"/>
        </w:rPr>
        <w:t>、</w:t>
      </w:r>
      <w:r>
        <w:rPr>
          <w:rFonts w:hint="eastAsia"/>
          <w:sz w:val="24"/>
        </w:rPr>
        <w:t>财政拨款支出决算明细表...........................................................22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六</w:t>
      </w:r>
      <w:r>
        <w:rPr>
          <w:rFonts w:hint="eastAsia" w:ascii="仿宋" w:hAnsi="仿宋" w:eastAsia="仿宋"/>
          <w:sz w:val="24"/>
        </w:rPr>
        <w:t>、</w:t>
      </w:r>
      <w:r>
        <w:rPr>
          <w:rFonts w:hint="eastAsia"/>
          <w:sz w:val="24"/>
        </w:rPr>
        <w:t>一般公共预算财政拨款支出决算表...........................................22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七</w:t>
      </w:r>
      <w:r>
        <w:rPr>
          <w:rFonts w:hint="eastAsia" w:ascii="仿宋" w:hAnsi="仿宋" w:eastAsia="仿宋"/>
          <w:sz w:val="24"/>
        </w:rPr>
        <w:t>、</w:t>
      </w:r>
      <w:r>
        <w:rPr>
          <w:rFonts w:hint="eastAsia"/>
          <w:sz w:val="24"/>
        </w:rPr>
        <w:t>一般公共预算财政拨款支出决算明细表...................................22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八</w:t>
      </w:r>
      <w:r>
        <w:rPr>
          <w:rFonts w:hint="eastAsia" w:ascii="仿宋" w:hAnsi="仿宋" w:eastAsia="仿宋"/>
          <w:sz w:val="24"/>
        </w:rPr>
        <w:t>、</w:t>
      </w:r>
      <w:r>
        <w:rPr>
          <w:rFonts w:hint="eastAsia"/>
          <w:sz w:val="24"/>
        </w:rPr>
        <w:t>一般公共预算财政拨款基本支出决算表...................................22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九</w:t>
      </w:r>
      <w:r>
        <w:rPr>
          <w:rFonts w:hint="eastAsia" w:ascii="仿宋" w:hAnsi="仿宋" w:eastAsia="仿宋"/>
          <w:sz w:val="24"/>
        </w:rPr>
        <w:t>、</w:t>
      </w:r>
      <w:r>
        <w:rPr>
          <w:rFonts w:hint="eastAsia"/>
          <w:sz w:val="24"/>
        </w:rPr>
        <w:t>一般公共预算财政拨款项目支出决算表...................................22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十</w:t>
      </w:r>
      <w:r>
        <w:rPr>
          <w:rFonts w:hint="eastAsia" w:ascii="仿宋" w:hAnsi="仿宋" w:eastAsia="仿宋"/>
          <w:sz w:val="24"/>
        </w:rPr>
        <w:t>、</w:t>
      </w:r>
      <w:r>
        <w:rPr>
          <w:rFonts w:hint="eastAsia"/>
          <w:sz w:val="24"/>
        </w:rPr>
        <w:t>一般公共预算财政拨款“三公”经费支出决算表...................22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十一</w:t>
      </w:r>
      <w:r>
        <w:rPr>
          <w:rFonts w:hint="eastAsia" w:ascii="仿宋" w:hAnsi="仿宋" w:eastAsia="仿宋"/>
          <w:sz w:val="24"/>
        </w:rPr>
        <w:t>、</w:t>
      </w:r>
      <w:r>
        <w:rPr>
          <w:rFonts w:hint="eastAsia"/>
          <w:sz w:val="24"/>
        </w:rPr>
        <w:t>政府性基金预算财政拨款收入支出决算表.........................22</w:t>
      </w:r>
    </w:p>
    <w:p>
      <w:pPr>
        <w:pStyle w:val="11"/>
        <w:adjustRightInd w:val="0"/>
        <w:snapToGrid w:val="0"/>
        <w:spacing w:line="440" w:lineRule="exact"/>
        <w:jc w:val="left"/>
        <w:rPr>
          <w:rFonts w:ascii="仿宋" w:hAnsi="仿宋" w:cstheme="minorBidi"/>
          <w:sz w:val="24"/>
        </w:rPr>
      </w:pPr>
      <w:r>
        <w:rPr>
          <w:rFonts w:hint="eastAsia" w:asciiTheme="minorEastAsia" w:hAnsiTheme="minorEastAsia" w:eastAsiaTheme="minorEastAsia"/>
          <w:sz w:val="24"/>
        </w:rPr>
        <w:t>十二</w:t>
      </w:r>
      <w:r>
        <w:rPr>
          <w:rFonts w:hint="eastAsia" w:ascii="仿宋" w:hAnsi="仿宋" w:eastAsia="仿宋"/>
          <w:sz w:val="24"/>
        </w:rPr>
        <w:t>、</w:t>
      </w:r>
      <w:r>
        <w:rPr>
          <w:rFonts w:hint="eastAsia"/>
          <w:sz w:val="24"/>
        </w:rPr>
        <w:t>政府性基金预算财政拨款“三公”经费支出决算表.........22</w:t>
      </w:r>
    </w:p>
    <w:p>
      <w:pPr>
        <w:pStyle w:val="11"/>
        <w:adjustRightInd w:val="0"/>
        <w:snapToGrid w:val="0"/>
        <w:spacing w:line="440" w:lineRule="exact"/>
        <w:jc w:val="left"/>
        <w:rPr>
          <w:rFonts w:ascii="仿宋" w:hAnsi="仿宋"/>
          <w:sz w:val="24"/>
        </w:rPr>
      </w:pPr>
      <w:r>
        <w:rPr>
          <w:rFonts w:hint="eastAsia" w:asciiTheme="minorEastAsia" w:hAnsiTheme="minorEastAsia" w:eastAsiaTheme="minorEastAsia"/>
          <w:sz w:val="24"/>
        </w:rPr>
        <w:t>十三</w:t>
      </w:r>
      <w:r>
        <w:rPr>
          <w:rFonts w:hint="eastAsia" w:ascii="仿宋" w:hAnsi="仿宋" w:eastAsia="仿宋"/>
          <w:sz w:val="24"/>
        </w:rPr>
        <w:t>、</w:t>
      </w:r>
      <w:r>
        <w:rPr>
          <w:rFonts w:hint="eastAsia"/>
          <w:sz w:val="24"/>
        </w:rPr>
        <w:t>国有资本经营预算财政拨款收入支出决算表.....................22</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eastAsia="黑体"/>
          <w:color w:val="000000"/>
          <w:sz w:val="32"/>
          <w:szCs w:val="32"/>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w:t>
      </w:r>
      <w:r>
        <w:rPr>
          <w:rStyle w:val="25"/>
          <w:rFonts w:hint="eastAsia" w:ascii="黑体" w:hAnsi="黑体" w:eastAsia="黑体"/>
          <w:b w:val="0"/>
          <w:bCs w:val="0"/>
        </w:rPr>
        <w:t>主要</w:t>
      </w:r>
      <w:bookmarkEnd w:id="14"/>
      <w:bookmarkEnd w:id="15"/>
      <w:r>
        <w:rPr>
          <w:rStyle w:val="25"/>
          <w:rFonts w:hint="eastAsia" w:ascii="黑体" w:hAnsi="黑体" w:eastAsia="黑体"/>
          <w:b w:val="0"/>
          <w:bCs w:val="0"/>
        </w:rPr>
        <w:t>职责</w:t>
      </w:r>
    </w:p>
    <w:p>
      <w:pPr>
        <w:spacing w:line="500" w:lineRule="exact"/>
        <w:ind w:firstLine="640" w:firstLineChars="200"/>
        <w:rPr>
          <w:rFonts w:ascii="仿宋" w:hAnsi="仿宋" w:eastAsia="仿宋" w:cs="仿宋"/>
          <w:sz w:val="32"/>
          <w:szCs w:val="22"/>
        </w:rPr>
      </w:pPr>
      <w:r>
        <w:rPr>
          <w:rFonts w:hint="eastAsia" w:ascii="仿宋" w:hAnsi="仿宋" w:eastAsia="仿宋" w:cs="仿宋"/>
          <w:kern w:val="0"/>
          <w:sz w:val="32"/>
          <w:szCs w:val="32"/>
        </w:rPr>
        <w:t>根据党的方针、政策和教育章程，</w:t>
      </w:r>
      <w:r>
        <w:rPr>
          <w:rFonts w:hint="eastAsia" w:ascii="仿宋" w:hAnsi="仿宋" w:eastAsia="仿宋" w:cs="仿宋"/>
          <w:sz w:val="32"/>
          <w:szCs w:val="32"/>
        </w:rPr>
        <w:t>本校是一所全日制小学，坚持</w:t>
      </w:r>
      <w:r>
        <w:rPr>
          <w:rFonts w:hint="eastAsia" w:ascii="宋体" w:hAnsi="宋体" w:cs="宋体"/>
          <w:color w:val="000000"/>
          <w:sz w:val="28"/>
          <w:szCs w:val="28"/>
        </w:rPr>
        <w:t>“童蒙养正 凤翥龙翔”</w:t>
      </w:r>
      <w:r>
        <w:rPr>
          <w:rFonts w:hint="eastAsia" w:ascii="仿宋" w:hAnsi="仿宋" w:eastAsia="仿宋" w:cs="仿宋"/>
          <w:sz w:val="32"/>
          <w:szCs w:val="32"/>
        </w:rPr>
        <w:t>的办学理念，提出了以</w:t>
      </w:r>
      <w:r>
        <w:rPr>
          <w:rFonts w:hint="eastAsia" w:ascii="宋体" w:hAnsi="宋体" w:cs="宋体"/>
          <w:color w:val="000000"/>
          <w:sz w:val="28"/>
          <w:szCs w:val="28"/>
        </w:rPr>
        <w:t>“养正启航 行稳致远”</w:t>
      </w:r>
      <w:r>
        <w:rPr>
          <w:rFonts w:hint="eastAsia" w:ascii="仿宋" w:hAnsi="仿宋" w:eastAsia="仿宋" w:cs="仿宋"/>
          <w:sz w:val="32"/>
          <w:szCs w:val="32"/>
        </w:rPr>
        <w:t>为宗旨，实施小学义务教育，促进基础教育事业发展，</w:t>
      </w:r>
      <w:r>
        <w:rPr>
          <w:rFonts w:hint="eastAsia" w:ascii="仿宋" w:hAnsi="仿宋" w:eastAsia="仿宋" w:cs="仿宋"/>
          <w:kern w:val="0"/>
          <w:sz w:val="32"/>
          <w:szCs w:val="32"/>
        </w:rPr>
        <w:t>保障辖区内适龄儿童入学及</w:t>
      </w:r>
      <w:r>
        <w:rPr>
          <w:rFonts w:hint="eastAsia" w:ascii="仿宋" w:hAnsi="仿宋" w:eastAsia="仿宋" w:cs="仿宋"/>
          <w:sz w:val="32"/>
          <w:szCs w:val="32"/>
        </w:rPr>
        <w:t>小学学历教育及相关社会服务。</w:t>
      </w:r>
    </w:p>
    <w:p>
      <w:pPr>
        <w:pStyle w:val="2"/>
        <w:adjustRightInd w:val="0"/>
        <w:snapToGrid w:val="0"/>
        <w:spacing w:before="93" w:line="600" w:lineRule="exact"/>
        <w:outlineLvl w:val="2"/>
        <w:rPr>
          <w:rFonts w:ascii="黑体" w:hAnsi="黑体" w:eastAsia="黑体" w:cs="黑体"/>
          <w:bCs/>
          <w:color w:val="000000"/>
          <w:sz w:val="32"/>
          <w:szCs w:val="32"/>
        </w:rPr>
      </w:pPr>
      <w:r>
        <w:rPr>
          <w:rFonts w:hint="eastAsia" w:ascii="黑体" w:hAnsi="黑体" w:eastAsia="黑体" w:cs="黑体"/>
          <w:bCs/>
          <w:color w:val="000000"/>
          <w:sz w:val="32"/>
          <w:szCs w:val="32"/>
        </w:rPr>
        <w:t xml:space="preserve">二、机构设置 </w:t>
      </w:r>
    </w:p>
    <w:p>
      <w:pPr>
        <w:pStyle w:val="2"/>
        <w:adjustRightInd w:val="0"/>
        <w:snapToGrid w:val="0"/>
        <w:spacing w:before="93" w:line="460" w:lineRule="exact"/>
        <w:ind w:firstLine="672" w:firstLineChars="210"/>
        <w:rPr>
          <w:rFonts w:hAnsi="仿宋_GB2312" w:cs="仿宋_GB2312"/>
          <w:color w:val="000000"/>
          <w:sz w:val="32"/>
          <w:szCs w:val="32"/>
        </w:rPr>
      </w:pPr>
      <w:r>
        <w:rPr>
          <w:rFonts w:hint="eastAsia" w:ascii="仿宋" w:hAnsi="仿宋" w:eastAsia="仿宋" w:cs="仿宋"/>
          <w:sz w:val="32"/>
          <w:szCs w:val="32"/>
        </w:rPr>
        <w:t>邻水县九龙镇中心小学属于全额拨款事业单位，编制152人，在职实有人员152人，离退休人员113人，遗属补助13人，编外长聘人员（幼儿园合同制教师）24人。</w:t>
      </w:r>
    </w:p>
    <w:p>
      <w:pPr>
        <w:pBdr>
          <w:bottom w:val="single" w:color="FFFFFF" w:sz="4" w:space="31"/>
        </w:pBdr>
        <w:adjustRightInd w:val="0"/>
        <w:snapToGrid w:val="0"/>
        <w:spacing w:line="570" w:lineRule="exact"/>
        <w:ind w:firstLine="640" w:firstLineChars="200"/>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4"/>
          <w:rFonts w:ascii="黑体" w:hAnsi="黑体" w:eastAsia="黑体"/>
          <w:b w:val="0"/>
          <w:bCs w:val="0"/>
        </w:rPr>
      </w:pPr>
      <w:bookmarkStart w:id="16" w:name="_Toc15396602"/>
      <w:bookmarkStart w:id="1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2023年度单位决算情况说明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18"/>
      <w:bookmarkEnd w:id="19"/>
    </w:p>
    <w:p>
      <w:pPr>
        <w:pStyle w:val="33"/>
        <w:spacing w:line="600" w:lineRule="exact"/>
        <w:ind w:left="1360" w:firstLine="0" w:firstLineChars="0"/>
        <w:rPr>
          <w:rFonts w:ascii="仿宋_GB2312" w:hAnsi="仿宋" w:eastAsia="仿宋_GB2312" w:cs="仿宋"/>
          <w:sz w:val="32"/>
          <w:szCs w:val="32"/>
        </w:rPr>
      </w:pPr>
      <w:r>
        <w:rPr>
          <w:rFonts w:hint="eastAsia" w:ascii="仿宋" w:hAnsi="仿宋" w:eastAsia="仿宋"/>
          <w:sz w:val="32"/>
          <w:szCs w:val="32"/>
        </w:rPr>
        <w:t>2023年度收、支总计均为</w:t>
      </w:r>
      <w:r>
        <w:rPr>
          <w:rFonts w:ascii="仿宋" w:hAnsi="仿宋" w:eastAsia="仿宋"/>
          <w:sz w:val="32"/>
          <w:szCs w:val="32"/>
        </w:rPr>
        <w:t>4178.2</w:t>
      </w:r>
      <w:r>
        <w:rPr>
          <w:rFonts w:hint="eastAsia" w:ascii="仿宋" w:hAnsi="仿宋" w:eastAsia="仿宋"/>
          <w:sz w:val="32"/>
          <w:szCs w:val="32"/>
        </w:rPr>
        <w:t>万元。与2022年度相比，收、支总计各增加</w:t>
      </w:r>
      <w:r>
        <w:rPr>
          <w:rFonts w:ascii="仿宋" w:hAnsi="仿宋" w:eastAsia="仿宋"/>
          <w:sz w:val="32"/>
          <w:szCs w:val="32"/>
        </w:rPr>
        <w:t>1503.37</w:t>
      </w:r>
      <w:r>
        <w:rPr>
          <w:rFonts w:hint="eastAsia" w:ascii="仿宋" w:hAnsi="仿宋" w:eastAsia="仿宋"/>
          <w:sz w:val="32"/>
          <w:szCs w:val="32"/>
        </w:rPr>
        <w:t>万元，增长</w:t>
      </w:r>
      <w:r>
        <w:rPr>
          <w:rFonts w:ascii="仿宋" w:hAnsi="仿宋" w:eastAsia="仿宋"/>
          <w:sz w:val="32"/>
          <w:szCs w:val="32"/>
        </w:rPr>
        <w:t>56.17%</w:t>
      </w:r>
      <w:r>
        <w:rPr>
          <w:rFonts w:hint="eastAsia" w:ascii="仿宋" w:hAnsi="仿宋" w:eastAsia="仿宋"/>
          <w:sz w:val="32"/>
          <w:szCs w:val="32"/>
        </w:rPr>
        <w:t>。主要变动原因是</w:t>
      </w:r>
      <w:r>
        <w:rPr>
          <w:rFonts w:hint="eastAsia" w:ascii="仿宋_GB2312" w:hAnsi="仿宋" w:eastAsia="仿宋_GB2312" w:cs="仿宋"/>
          <w:sz w:val="32"/>
          <w:szCs w:val="32"/>
        </w:rPr>
        <w:t>并入学校，教师增加，晋岗、晋级。</w:t>
      </w:r>
    </w:p>
    <w:p>
      <w:pPr>
        <w:spacing w:line="600" w:lineRule="exact"/>
      </w:pPr>
      <w:r>
        <w:rPr>
          <w:rFonts w:hint="eastAsia" w:ascii="仿宋" w:hAnsi="仿宋" w:eastAsia="仿宋"/>
          <w:color w:val="000000"/>
          <w:sz w:val="32"/>
          <w:szCs w:val="32"/>
        </w:rPr>
        <w:t xml:space="preserve">                                        </w:t>
      </w:r>
      <w:r>
        <w:rPr>
          <w:rFonts w:hint="eastAsia"/>
        </w:rPr>
        <w:t xml:space="preserve">  </w:t>
      </w:r>
    </w:p>
    <w:p>
      <w:pPr>
        <w:pStyle w:val="2"/>
        <w:spacing w:before="93"/>
        <w:jc w:val="center"/>
        <w:rPr>
          <w:color w:val="000000"/>
          <w:sz w:val="32"/>
          <w:szCs w:val="32"/>
        </w:rPr>
      </w:pPr>
      <w:r>
        <w:drawing>
          <wp:anchor distT="0" distB="0" distL="114300" distR="114300" simplePos="0" relativeHeight="251659264" behindDoc="0" locked="0" layoutInCell="1" allowOverlap="1">
            <wp:simplePos x="0" y="0"/>
            <wp:positionH relativeFrom="column">
              <wp:posOffset>338455</wp:posOffset>
            </wp:positionH>
            <wp:positionV relativeFrom="paragraph">
              <wp:posOffset>-138430</wp:posOffset>
            </wp:positionV>
            <wp:extent cx="4828540" cy="3216275"/>
            <wp:effectExtent l="19050" t="0" r="10160" b="3175"/>
            <wp:wrapTight wrapText="bothSides">
              <wp:wrapPolygon>
                <wp:start x="-85" y="0"/>
                <wp:lineTo x="-85" y="21621"/>
                <wp:lineTo x="21645" y="21621"/>
                <wp:lineTo x="21645" y="0"/>
                <wp:lineTo x="-85" y="0"/>
              </wp:wrapPolygon>
            </wp:wrapTight>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3"/>
        <w:numPr>
          <w:ilvl w:val="0"/>
          <w:numId w:val="1"/>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0"/>
      <w:bookmarkEnd w:id="21"/>
    </w:p>
    <w:p>
      <w:pPr>
        <w:pStyle w:val="33"/>
        <w:spacing w:line="600" w:lineRule="exact"/>
        <w:ind w:left="1360" w:firstLine="0" w:firstLineChars="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sz w:val="32"/>
          <w:szCs w:val="32"/>
        </w:rPr>
        <w:t>4178.2</w:t>
      </w:r>
      <w:r>
        <w:rPr>
          <w:rFonts w:hint="eastAsia" w:ascii="仿宋" w:hAnsi="仿宋" w:eastAsia="仿宋"/>
          <w:sz w:val="32"/>
          <w:szCs w:val="32"/>
        </w:rPr>
        <w:t>万元，其中：一般公共预算财政拨款收入</w:t>
      </w:r>
      <w:r>
        <w:rPr>
          <w:rFonts w:ascii="仿宋" w:hAnsi="仿宋" w:eastAsia="仿宋"/>
          <w:sz w:val="32"/>
          <w:szCs w:val="32"/>
        </w:rPr>
        <w:t>4178.2</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pPr>
        <w:pStyle w:val="2"/>
        <w:spacing w:before="93"/>
        <w:rPr>
          <w:sz w:val="32"/>
          <w:szCs w:val="32"/>
        </w:rPr>
      </w:pPr>
      <w:r>
        <w:rPr>
          <w:rFonts w:hint="eastAsia" w:ascii="仿宋" w:hAnsi="仿宋" w:eastAsia="仿宋"/>
          <w:sz w:val="32"/>
          <w:szCs w:val="32"/>
        </w:rPr>
        <w:t xml:space="preserve"> </w:t>
      </w:r>
      <w:r>
        <w:rPr>
          <w:sz w:val="32"/>
          <w:szCs w:val="32"/>
        </w:rPr>
        <w:drawing>
          <wp:inline distT="0" distB="0" distL="0" distR="0">
            <wp:extent cx="5200015" cy="252793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ind w:firstLine="960" w:firstLineChars="300"/>
        <w:rPr>
          <w:sz w:val="32"/>
          <w:szCs w:val="32"/>
        </w:rPr>
      </w:pPr>
      <w:r>
        <w:rPr>
          <w:rFonts w:hint="eastAsia" w:ascii="仿宋" w:hAnsi="仿宋" w:eastAsia="仿宋"/>
          <w:sz w:val="32"/>
          <w:szCs w:val="32"/>
        </w:rPr>
        <w:t>（图2：收入决算结构图）</w:t>
      </w:r>
    </w:p>
    <w:p>
      <w:pPr>
        <w:pStyle w:val="23"/>
        <w:numPr>
          <w:ilvl w:val="0"/>
          <w:numId w:val="1"/>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2"/>
      <w:bookmarkEnd w:id="23"/>
    </w:p>
    <w:p>
      <w:pPr>
        <w:pStyle w:val="33"/>
        <w:spacing w:line="600" w:lineRule="exact"/>
        <w:ind w:left="1360" w:firstLine="0" w:firstLineChars="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sz w:val="32"/>
          <w:szCs w:val="32"/>
        </w:rPr>
        <w:t>4178.2</w:t>
      </w:r>
      <w:r>
        <w:rPr>
          <w:rFonts w:hint="eastAsia" w:ascii="仿宋" w:hAnsi="仿宋" w:eastAsia="仿宋"/>
          <w:sz w:val="32"/>
          <w:szCs w:val="32"/>
        </w:rPr>
        <w:t>万元，其中：基本支出</w:t>
      </w:r>
      <w:r>
        <w:rPr>
          <w:rFonts w:ascii="仿宋" w:hAnsi="仿宋" w:eastAsia="仿宋"/>
          <w:sz w:val="32"/>
          <w:szCs w:val="32"/>
        </w:rPr>
        <w:t>4178.2</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pPr>
        <w:pStyle w:val="2"/>
        <w:spacing w:before="93"/>
        <w:rPr>
          <w:rFonts w:ascii="仿宋" w:hAnsi="仿宋" w:eastAsia="仿宋"/>
          <w:color w:val="000000"/>
          <w:sz w:val="32"/>
          <w:szCs w:val="32"/>
          <w:shd w:val="pct10" w:color="auto" w:fill="FFFFFF"/>
        </w:rPr>
      </w:pPr>
      <w:r>
        <w:rPr>
          <w:sz w:val="32"/>
          <w:szCs w:val="32"/>
        </w:rPr>
        <w:drawing>
          <wp:inline distT="0" distB="0" distL="0" distR="0">
            <wp:extent cx="4848225" cy="236601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_GB2312" w:hAnsi="仿宋" w:eastAsia="仿宋_GB2312" w:cs="仿宋"/>
          <w:sz w:val="32"/>
          <w:szCs w:val="32"/>
        </w:rPr>
      </w:pPr>
      <w:r>
        <w:rPr>
          <w:rFonts w:hint="eastAsia" w:ascii="仿宋" w:hAnsi="仿宋" w:eastAsia="仿宋"/>
          <w:sz w:val="32"/>
          <w:szCs w:val="32"/>
        </w:rPr>
        <w:t>2023年度财政拨款收、支总计均为</w:t>
      </w:r>
      <w:r>
        <w:rPr>
          <w:rFonts w:ascii="仿宋" w:hAnsi="仿宋" w:eastAsia="仿宋"/>
          <w:sz w:val="32"/>
          <w:szCs w:val="32"/>
        </w:rPr>
        <w:t>4178.2</w:t>
      </w:r>
      <w:r>
        <w:rPr>
          <w:rFonts w:hint="eastAsia" w:ascii="仿宋" w:hAnsi="仿宋" w:eastAsia="仿宋"/>
          <w:sz w:val="32"/>
          <w:szCs w:val="32"/>
        </w:rPr>
        <w:t>万元。与2022年度相比，财政拨款收、支总计各增加</w:t>
      </w:r>
      <w:r>
        <w:rPr>
          <w:rFonts w:ascii="仿宋" w:hAnsi="仿宋" w:eastAsia="仿宋"/>
          <w:sz w:val="32"/>
          <w:szCs w:val="32"/>
        </w:rPr>
        <w:t>1503.37</w:t>
      </w:r>
      <w:r>
        <w:rPr>
          <w:rFonts w:hint="eastAsia" w:ascii="仿宋" w:hAnsi="仿宋" w:eastAsia="仿宋"/>
          <w:sz w:val="32"/>
          <w:szCs w:val="32"/>
        </w:rPr>
        <w:t>万元，增长</w:t>
      </w:r>
      <w:r>
        <w:rPr>
          <w:rFonts w:ascii="仿宋" w:hAnsi="仿宋" w:eastAsia="仿宋"/>
          <w:sz w:val="32"/>
          <w:szCs w:val="32"/>
        </w:rPr>
        <w:t>56.17%</w:t>
      </w:r>
      <w:r>
        <w:rPr>
          <w:rFonts w:hint="eastAsia" w:ascii="仿宋" w:hAnsi="仿宋" w:eastAsia="仿宋"/>
          <w:sz w:val="32"/>
          <w:szCs w:val="32"/>
        </w:rPr>
        <w:t>。主要变动原因是</w:t>
      </w:r>
      <w:r>
        <w:rPr>
          <w:rFonts w:hint="eastAsia" w:ascii="仿宋_GB2312" w:hAnsi="仿宋" w:eastAsia="仿宋_GB2312" w:cs="仿宋"/>
          <w:sz w:val="32"/>
          <w:szCs w:val="32"/>
        </w:rPr>
        <w:t>并入学校，教师增加，晋岗、晋级。</w:t>
      </w:r>
    </w:p>
    <w:p>
      <w:pPr>
        <w:pStyle w:val="2"/>
        <w:spacing w:before="93"/>
        <w:rPr>
          <w:rFonts w:ascii="仿宋" w:hAnsi="仿宋" w:eastAsia="仿宋"/>
          <w:color w:val="000000" w:themeColor="text1"/>
          <w:sz w:val="32"/>
          <w:szCs w:val="32"/>
        </w:rPr>
      </w:pPr>
      <w:r>
        <w:drawing>
          <wp:anchor distT="0" distB="0" distL="114300" distR="114300" simplePos="0" relativeHeight="251660288" behindDoc="0" locked="0" layoutInCell="1" allowOverlap="1">
            <wp:simplePos x="0" y="0"/>
            <wp:positionH relativeFrom="column">
              <wp:posOffset>26670</wp:posOffset>
            </wp:positionH>
            <wp:positionV relativeFrom="paragraph">
              <wp:posOffset>66675</wp:posOffset>
            </wp:positionV>
            <wp:extent cx="5051425" cy="3363595"/>
            <wp:effectExtent l="4445" t="4445" r="11430" b="22860"/>
            <wp:wrapTight wrapText="bothSides">
              <wp:wrapPolygon>
                <wp:start x="-19" y="-29"/>
                <wp:lineTo x="-19" y="21502"/>
                <wp:lineTo x="21567" y="21502"/>
                <wp:lineTo x="21567" y="-29"/>
                <wp:lineTo x="-19" y="-29"/>
              </wp:wrapPolygon>
            </wp:wrapTight>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rPr>
          <w:rFonts w:ascii="仿宋_GB2312" w:hAnsi="仿宋" w:eastAsia="仿宋_GB2312" w:cs="仿宋"/>
          <w:sz w:val="32"/>
          <w:szCs w:val="32"/>
        </w:rPr>
      </w:pPr>
      <w:bookmarkStart w:id="29" w:name="_Toc117066568"/>
      <w:bookmarkStart w:id="30" w:name="_Toc116292349"/>
      <w:r>
        <w:rPr>
          <w:rFonts w:hint="eastAsia" w:ascii="仿宋" w:hAnsi="仿宋" w:eastAsia="仿宋"/>
          <w:sz w:val="32"/>
          <w:szCs w:val="32"/>
        </w:rPr>
        <w:t>2023年度一般公共预算财政拨款支出</w:t>
      </w:r>
      <w:r>
        <w:rPr>
          <w:rFonts w:ascii="仿宋" w:hAnsi="仿宋" w:eastAsia="仿宋"/>
          <w:sz w:val="32"/>
          <w:szCs w:val="32"/>
        </w:rPr>
        <w:t>4178.2</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。与2022年度相比，一般公共预算财政拨款支出增加</w:t>
      </w:r>
      <w:r>
        <w:rPr>
          <w:rFonts w:ascii="仿宋" w:hAnsi="仿宋" w:eastAsia="仿宋"/>
          <w:sz w:val="32"/>
          <w:szCs w:val="32"/>
        </w:rPr>
        <w:t>1503.37</w:t>
      </w:r>
      <w:r>
        <w:rPr>
          <w:rFonts w:hint="eastAsia" w:ascii="仿宋" w:hAnsi="仿宋" w:eastAsia="仿宋"/>
          <w:sz w:val="32"/>
          <w:szCs w:val="32"/>
        </w:rPr>
        <w:t>万元，增长</w:t>
      </w:r>
      <w:r>
        <w:rPr>
          <w:rFonts w:ascii="仿宋" w:hAnsi="仿宋" w:eastAsia="仿宋"/>
          <w:sz w:val="32"/>
          <w:szCs w:val="32"/>
        </w:rPr>
        <w:t>56.17%</w:t>
      </w:r>
      <w:r>
        <w:rPr>
          <w:rFonts w:hint="eastAsia" w:ascii="仿宋" w:hAnsi="仿宋" w:eastAsia="仿宋"/>
          <w:sz w:val="32"/>
          <w:szCs w:val="32"/>
        </w:rPr>
        <w:t>。主要变动原因是</w:t>
      </w:r>
      <w:r>
        <w:rPr>
          <w:rFonts w:hint="eastAsia" w:ascii="仿宋_GB2312" w:hAnsi="仿宋" w:eastAsia="仿宋_GB2312" w:cs="仿宋"/>
          <w:sz w:val="32"/>
          <w:szCs w:val="32"/>
        </w:rPr>
        <w:t>并入学校，教师增加，晋岗、晋级。</w:t>
      </w:r>
    </w:p>
    <w:p>
      <w:pPr>
        <w:spacing w:line="600" w:lineRule="exact"/>
        <w:ind w:left="210" w:leftChars="100" w:firstLine="210" w:firstLineChars="100"/>
        <w:rPr>
          <w:rFonts w:ascii="仿宋" w:hAnsi="仿宋" w:eastAsia="仿宋"/>
          <w:color w:val="000000" w:themeColor="text1"/>
          <w:sz w:val="32"/>
          <w:szCs w:val="32"/>
        </w:rPr>
      </w:pPr>
      <w:r>
        <w:drawing>
          <wp:anchor distT="0" distB="0" distL="114300" distR="114300" simplePos="0" relativeHeight="251661312" behindDoc="0" locked="0" layoutInCell="1" allowOverlap="1">
            <wp:simplePos x="0" y="0"/>
            <wp:positionH relativeFrom="column">
              <wp:posOffset>-213995</wp:posOffset>
            </wp:positionH>
            <wp:positionV relativeFrom="paragraph">
              <wp:posOffset>-294640</wp:posOffset>
            </wp:positionV>
            <wp:extent cx="5438775" cy="3622675"/>
            <wp:effectExtent l="4445" t="4445" r="5080" b="11430"/>
            <wp:wrapTight wrapText="bothSides">
              <wp:wrapPolygon>
                <wp:start x="-18" y="-27"/>
                <wp:lineTo x="-18" y="21555"/>
                <wp:lineTo x="21545" y="21555"/>
                <wp:lineTo x="21545" y="-27"/>
                <wp:lineTo x="-18" y="-27"/>
              </wp:wrapPolygon>
            </wp:wrapTight>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29"/>
      <w:bookmarkEnd w:id="30"/>
      <w:r>
        <w:rPr>
          <w:rFonts w:hint="eastAsia" w:ascii="仿宋" w:hAnsi="仿宋" w:eastAsia="仿宋"/>
          <w:color w:val="000000"/>
          <w:sz w:val="32"/>
          <w:szCs w:val="32"/>
        </w:rPr>
        <w:t xml:space="preserve"> </w:t>
      </w:r>
      <w:r>
        <w:rPr>
          <w:rFonts w:hint="eastAsia" w:ascii="仿宋" w:hAnsi="仿宋" w:eastAsia="仿宋"/>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sz w:val="32"/>
          <w:szCs w:val="32"/>
        </w:rPr>
        <w:t>4178.2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2,994.77万元，占</w:t>
      </w:r>
      <w:r>
        <w:rPr>
          <w:rFonts w:ascii="仿宋" w:hAnsi="仿宋" w:eastAsia="仿宋"/>
          <w:sz w:val="32"/>
          <w:szCs w:val="32"/>
        </w:rPr>
        <w:t>71.68%</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819.85万元，占</w:t>
      </w:r>
      <w:r>
        <w:rPr>
          <w:rFonts w:ascii="仿宋" w:hAnsi="仿宋" w:eastAsia="仿宋"/>
          <w:sz w:val="32"/>
          <w:szCs w:val="32"/>
        </w:rPr>
        <w:t>19.62%</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103.53万元，占</w:t>
      </w:r>
      <w:r>
        <w:rPr>
          <w:rFonts w:ascii="仿宋" w:hAnsi="仿宋" w:eastAsia="仿宋"/>
          <w:sz w:val="32"/>
          <w:szCs w:val="32"/>
        </w:rPr>
        <w:t>2.48%</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260.05万元，占</w:t>
      </w:r>
      <w:r>
        <w:rPr>
          <w:rFonts w:ascii="仿宋" w:hAnsi="仿宋" w:eastAsia="仿宋"/>
          <w:sz w:val="32"/>
          <w:szCs w:val="32"/>
        </w:rPr>
        <w:t>6.22%</w:t>
      </w:r>
      <w:r>
        <w:rPr>
          <w:rFonts w:hint="eastAsia" w:ascii="仿宋" w:hAnsi="仿宋" w:eastAsia="仿宋"/>
          <w:sz w:val="32"/>
          <w:szCs w:val="32"/>
        </w:rPr>
        <w:t>；。</w:t>
      </w:r>
    </w:p>
    <w:p>
      <w:pPr>
        <w:pStyle w:val="2"/>
        <w:spacing w:before="93"/>
        <w:rPr>
          <w:rFonts w:ascii="仿宋" w:hAnsi="仿宋" w:eastAsia="仿宋"/>
          <w:color w:val="000000"/>
          <w:sz w:val="32"/>
          <w:szCs w:val="32"/>
        </w:rPr>
      </w:pPr>
      <w:r>
        <w:rPr>
          <w:sz w:val="32"/>
          <w:szCs w:val="32"/>
        </w:rPr>
        <w:drawing>
          <wp:inline distT="0" distB="0" distL="0" distR="0">
            <wp:extent cx="5104765" cy="2167255"/>
            <wp:effectExtent l="0" t="0" r="635" b="44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3" w:firstLineChars="200"/>
        <w:outlineLvl w:val="2"/>
        <w:rPr>
          <w:rFonts w:ascii="仿宋" w:hAnsi="仿宋" w:eastAsia="仿宋"/>
          <w:sz w:val="32"/>
          <w:szCs w:val="32"/>
        </w:rPr>
      </w:pPr>
      <w:bookmarkStart w:id="33" w:name="_Toc15377214"/>
      <w:bookmarkStart w:id="34" w:name="_Toc15396608"/>
      <w:r>
        <w:rPr>
          <w:rFonts w:hint="eastAsia" w:ascii="仿宋" w:hAnsi="仿宋" w:eastAsia="仿宋"/>
          <w:b/>
          <w:sz w:val="32"/>
          <w:szCs w:val="32"/>
        </w:rPr>
        <w:t>2023年度一般公共预算支出决算数为</w:t>
      </w:r>
      <w:r>
        <w:rPr>
          <w:rFonts w:ascii="仿宋" w:hAnsi="仿宋" w:eastAsia="仿宋"/>
          <w:b/>
          <w:sz w:val="32"/>
          <w:szCs w:val="32"/>
        </w:rPr>
        <w:t>4178.2</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ascii="仿宋" w:hAnsi="仿宋" w:eastAsia="仿宋"/>
          <w:bCs/>
          <w:sz w:val="32"/>
          <w:szCs w:val="32"/>
        </w:rPr>
        <w:t>100%</w:t>
      </w:r>
      <w:r>
        <w:rPr>
          <w:rStyle w:val="14"/>
          <w:rFonts w:hint="eastAsia" w:ascii="仿宋" w:hAnsi="仿宋" w:eastAsia="仿宋"/>
          <w:bCs/>
          <w:sz w:val="32"/>
          <w:szCs w:val="32"/>
        </w:rPr>
        <w:t>。其中：</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教育（类）普通教育（款）学前教育（项）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284.06</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教育（类）普通教育（款）小学教育（项）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2710.71</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3.</w:t>
      </w:r>
      <w:r>
        <w:rPr>
          <w:rStyle w:val="14"/>
          <w:rFonts w:hint="eastAsia" w:ascii="仿宋" w:hAnsi="仿宋" w:eastAsia="仿宋"/>
          <w:bCs/>
          <w:sz w:val="32"/>
          <w:szCs w:val="32"/>
        </w:rPr>
        <w:t>社会保障和就业（类）行政事业单位养老支出（款）事业单位离退休（项）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408.97</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344.02</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社会保障和就业（类）行政事业单位养老支出（款）机关事业单位职业年金缴费支出（项）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29.49</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6.</w:t>
      </w:r>
      <w:r>
        <w:rPr>
          <w:rStyle w:val="14"/>
          <w:rFonts w:hint="eastAsia" w:ascii="仿宋" w:hAnsi="仿宋" w:eastAsia="仿宋"/>
          <w:bCs/>
          <w:sz w:val="32"/>
          <w:szCs w:val="32"/>
        </w:rPr>
        <w:t>社会保障和就业（类）抚恤（款）死亡抚恤（项）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37.37</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7.</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103.53</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8.</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260.05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w:t>
      </w:r>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3"/>
      <w:bookmarkEnd w:id="34"/>
      <w:r>
        <w:rPr>
          <w:rStyle w:val="25"/>
          <w:rFonts w:ascii="黑体" w:hAnsi="黑体" w:eastAsia="黑体"/>
          <w:b w:val="0"/>
        </w:rPr>
        <w:tab/>
      </w:r>
    </w:p>
    <w:p>
      <w:pPr>
        <w:spacing w:line="600" w:lineRule="exact"/>
        <w:ind w:firstLine="645"/>
        <w:rPr>
          <w:rFonts w:ascii="仿宋" w:hAnsi="仿宋" w:eastAsia="仿宋"/>
          <w:sz w:val="32"/>
          <w:szCs w:val="32"/>
        </w:rPr>
      </w:pPr>
      <w:bookmarkStart w:id="35" w:name="_Toc15396609"/>
      <w:bookmarkStart w:id="36" w:name="_Toc15377215"/>
      <w:r>
        <w:rPr>
          <w:rFonts w:hint="eastAsia" w:ascii="仿宋" w:hAnsi="仿宋" w:eastAsia="仿宋"/>
          <w:sz w:val="32"/>
          <w:szCs w:val="32"/>
        </w:rPr>
        <w:t>2023年度一般公共预算财政拨款基本支出</w:t>
      </w:r>
      <w:r>
        <w:rPr>
          <w:rFonts w:ascii="仿宋" w:hAnsi="仿宋" w:eastAsia="仿宋"/>
          <w:sz w:val="32"/>
          <w:szCs w:val="32"/>
        </w:rPr>
        <w:t>4178.2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3858.5</w:t>
      </w:r>
      <w:r>
        <w:rPr>
          <w:rFonts w:hint="eastAsia" w:ascii="仿宋" w:hAnsi="仿宋" w:eastAsia="仿宋"/>
          <w:sz w:val="32"/>
          <w:szCs w:val="32"/>
        </w:rPr>
        <w:t>万元，主要包括：基本工资、津贴补贴、绩效工资、机关事业单位基本养老保险缴费、职业年金缴费、其他社会保障缴费、其他工资福利支出、抚恤金、生活补助、奖励金、住房公积金等。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319.7</w:t>
      </w:r>
      <w:r>
        <w:rPr>
          <w:rFonts w:hint="eastAsia" w:ascii="仿宋" w:hAnsi="仿宋" w:eastAsia="仿宋"/>
          <w:sz w:val="32"/>
          <w:szCs w:val="32"/>
        </w:rPr>
        <w:t>万元，主要包括：办公费、印刷费、水费、电费、邮电费、差旅费、维修（护）费、培训费、公务接待费、劳务费、工会经费、其他商品和服务支出。</w:t>
      </w:r>
    </w:p>
    <w:p>
      <w:pPr>
        <w:spacing w:line="600" w:lineRule="exact"/>
        <w:ind w:firstLine="640" w:firstLineChars="20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5"/>
      <w:bookmarkEnd w:id="36"/>
    </w:p>
    <w:p>
      <w:pPr>
        <w:spacing w:line="600" w:lineRule="exact"/>
        <w:ind w:firstLine="640"/>
        <w:outlineLvl w:val="2"/>
        <w:rPr>
          <w:rFonts w:ascii="仿宋" w:hAnsi="仿宋" w:eastAsia="仿宋"/>
          <w:b/>
          <w:color w:val="000000"/>
          <w:sz w:val="32"/>
          <w:szCs w:val="32"/>
        </w:rPr>
      </w:pPr>
      <w:bookmarkStart w:id="37" w:name="_Toc15377216"/>
      <w:r>
        <w:rPr>
          <w:rFonts w:hint="eastAsia" w:ascii="仿宋" w:hAnsi="仿宋" w:eastAsia="仿宋"/>
          <w:b/>
          <w:color w:val="000000"/>
          <w:sz w:val="32"/>
          <w:szCs w:val="32"/>
        </w:rPr>
        <w:t>（一）“三公”经费财政拨款支出决算总体情况说明</w:t>
      </w:r>
      <w:bookmarkEnd w:id="37"/>
    </w:p>
    <w:p>
      <w:pPr>
        <w:spacing w:line="600" w:lineRule="exact"/>
        <w:ind w:firstLine="640"/>
        <w:rPr>
          <w:rFonts w:ascii="仿宋" w:hAnsi="仿宋" w:eastAsia="仿宋"/>
          <w:sz w:val="32"/>
          <w:szCs w:val="32"/>
        </w:rPr>
      </w:pPr>
      <w:bookmarkStart w:id="38" w:name="_Toc15377218"/>
      <w:bookmarkStart w:id="39" w:name="_Toc15396610"/>
      <w:r>
        <w:rPr>
          <w:rFonts w:hint="eastAsia" w:ascii="仿宋" w:hAnsi="仿宋" w:eastAsia="仿宋"/>
          <w:sz w:val="32"/>
          <w:szCs w:val="32"/>
        </w:rPr>
        <w:t>2023年度“三公”经费财政拨款支出决算为</w:t>
      </w:r>
      <w:r>
        <w:rPr>
          <w:rFonts w:ascii="仿宋" w:hAnsi="仿宋" w:eastAsia="仿宋"/>
          <w:sz w:val="32"/>
          <w:szCs w:val="32"/>
        </w:rPr>
        <w:t>0.41</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，较上年度减少</w:t>
      </w:r>
      <w:r>
        <w:rPr>
          <w:rFonts w:ascii="仿宋" w:hAnsi="仿宋" w:eastAsia="仿宋"/>
          <w:sz w:val="32"/>
          <w:szCs w:val="32"/>
        </w:rPr>
        <w:t>0.58</w:t>
      </w:r>
      <w:r>
        <w:rPr>
          <w:rFonts w:hint="eastAsia" w:ascii="仿宋" w:hAnsi="仿宋" w:eastAsia="仿宋"/>
          <w:sz w:val="32"/>
          <w:szCs w:val="32"/>
        </w:rPr>
        <w:t>万元，下降</w:t>
      </w:r>
      <w:r>
        <w:rPr>
          <w:rFonts w:ascii="仿宋" w:hAnsi="仿宋" w:eastAsia="仿宋"/>
          <w:sz w:val="32"/>
          <w:szCs w:val="32"/>
        </w:rPr>
        <w:t>58.59</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预算数持平。</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2023年度“三公”经费财政拨款支出决算中，公务接待费支出决算</w:t>
      </w:r>
      <w:r>
        <w:rPr>
          <w:rFonts w:ascii="仿宋" w:hAnsi="仿宋" w:eastAsia="仿宋"/>
          <w:sz w:val="32"/>
          <w:szCs w:val="32"/>
        </w:rPr>
        <w:t>0.41</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pPr>
        <w:pStyle w:val="2"/>
        <w:spacing w:before="93"/>
      </w:pPr>
      <w:r>
        <w:drawing>
          <wp:inline distT="0" distB="0" distL="0" distR="0">
            <wp:extent cx="5104765" cy="2167255"/>
            <wp:effectExtent l="0" t="0" r="635" b="444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0.41</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ascii="仿宋_GB2312" w:eastAsia="仿宋_GB2312"/>
          <w:sz w:val="32"/>
          <w:szCs w:val="32"/>
        </w:rPr>
        <w:t>0.58</w:t>
      </w:r>
      <w:r>
        <w:rPr>
          <w:rFonts w:hint="eastAsia" w:ascii="仿宋_GB2312" w:eastAsia="仿宋_GB2312"/>
          <w:sz w:val="32"/>
          <w:szCs w:val="32"/>
        </w:rPr>
        <w:t>万元，下降</w:t>
      </w:r>
      <w:r>
        <w:rPr>
          <w:rFonts w:ascii="仿宋_GB2312" w:eastAsia="仿宋_GB2312"/>
          <w:sz w:val="32"/>
          <w:szCs w:val="32"/>
        </w:rPr>
        <w:t>58.59%</w:t>
      </w:r>
      <w:r>
        <w:rPr>
          <w:rFonts w:hint="eastAsia" w:ascii="仿宋_GB2312" w:eastAsia="仿宋_GB2312"/>
          <w:sz w:val="32"/>
          <w:szCs w:val="32"/>
        </w:rPr>
        <w:t>。主要原因是严</w:t>
      </w:r>
      <w:r>
        <w:rPr>
          <w:rFonts w:hint="eastAsia" w:ascii="仿宋_GB2312" w:eastAsia="仿宋_GB2312"/>
          <w:sz w:val="32"/>
          <w:szCs w:val="32"/>
          <w:lang w:eastAsia="zh-CN"/>
        </w:rPr>
        <w:t>格</w:t>
      </w:r>
      <w:r>
        <w:rPr>
          <w:rFonts w:hint="eastAsia" w:ascii="仿宋_GB2312" w:eastAsia="仿宋_GB2312"/>
          <w:sz w:val="32"/>
          <w:szCs w:val="32"/>
        </w:rPr>
        <w:t>要求严格控制接待标准。其中：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0.41</w:t>
      </w:r>
      <w:r>
        <w:rPr>
          <w:rFonts w:hint="eastAsia" w:ascii="仿宋_GB2312" w:eastAsia="仿宋_GB2312"/>
          <w:sz w:val="32"/>
          <w:szCs w:val="32"/>
        </w:rPr>
        <w:t>万元，主要用于开展业务活动开支的交通费、住宿费、用餐费等。国内公务接待</w:t>
      </w:r>
      <w:r>
        <w:rPr>
          <w:rFonts w:ascii="仿宋_GB2312" w:eastAsia="仿宋_GB2312"/>
          <w:sz w:val="32"/>
          <w:szCs w:val="32"/>
        </w:rPr>
        <w:t>10</w:t>
      </w:r>
      <w:r>
        <w:rPr>
          <w:rFonts w:hint="eastAsia" w:ascii="仿宋_GB2312" w:eastAsia="仿宋_GB2312"/>
          <w:sz w:val="32"/>
          <w:szCs w:val="32"/>
        </w:rPr>
        <w:t>批次，</w:t>
      </w:r>
      <w:r>
        <w:rPr>
          <w:rFonts w:ascii="仿宋_GB2312" w:eastAsia="仿宋_GB2312"/>
          <w:sz w:val="32"/>
          <w:szCs w:val="32"/>
        </w:rPr>
        <w:t>100</w:t>
      </w:r>
      <w:r>
        <w:rPr>
          <w:rFonts w:hint="eastAsia" w:ascii="仿宋_GB2312" w:eastAsia="仿宋_GB2312"/>
          <w:sz w:val="32"/>
          <w:szCs w:val="32"/>
        </w:rPr>
        <w:t>人次（不包括陪同人员），共计支出</w:t>
      </w:r>
      <w:r>
        <w:rPr>
          <w:rFonts w:ascii="仿宋_GB2312" w:eastAsia="仿宋_GB2312"/>
          <w:sz w:val="32"/>
          <w:szCs w:val="32"/>
        </w:rPr>
        <w:t>0.41</w:t>
      </w:r>
      <w:r>
        <w:rPr>
          <w:rFonts w:hint="eastAsia" w:ascii="仿宋_GB2312" w:eastAsia="仿宋_GB2312"/>
          <w:sz w:val="32"/>
          <w:szCs w:val="32"/>
        </w:rPr>
        <w:t>万元，具体内容包括：开展业务活动开支的用餐费。</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38"/>
      <w:bookmarkEnd w:id="3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23年政府性基金预算拨款支出0万元。</w:t>
      </w:r>
    </w:p>
    <w:p>
      <w:pPr>
        <w:spacing w:line="600" w:lineRule="exact"/>
        <w:ind w:firstLine="640" w:firstLineChars="200"/>
        <w:outlineLvl w:val="1"/>
        <w:rPr>
          <w:rStyle w:val="25"/>
          <w:rFonts w:ascii="黑体" w:hAnsi="黑体" w:eastAsia="黑体"/>
          <w:b w:val="0"/>
        </w:rPr>
      </w:pPr>
      <w:bookmarkStart w:id="40" w:name="_Toc15396611"/>
      <w:bookmarkStart w:id="41" w:name="_Toc15377219"/>
      <w:r>
        <w:rPr>
          <w:rStyle w:val="25"/>
          <w:rFonts w:hint="eastAsia" w:ascii="黑体" w:hAnsi="黑体" w:eastAsia="黑体"/>
          <w:b w:val="0"/>
        </w:rPr>
        <w:t>九、国有资本经营预算支出决算情况说明</w:t>
      </w:r>
      <w:bookmarkEnd w:id="40"/>
      <w:bookmarkEnd w:id="4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23年国有资本经营预算拨款支出0万元。</w:t>
      </w:r>
    </w:p>
    <w:p>
      <w:pPr>
        <w:spacing w:line="600" w:lineRule="exact"/>
        <w:ind w:firstLine="640" w:firstLineChars="200"/>
        <w:outlineLvl w:val="1"/>
        <w:rPr>
          <w:rStyle w:val="25"/>
          <w:rFonts w:ascii="黑体" w:hAnsi="黑体" w:eastAsia="黑体"/>
        </w:rPr>
      </w:pPr>
      <w:bookmarkStart w:id="42" w:name="_Toc15377221"/>
      <w:bookmarkStart w:id="43"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2"/>
      <w:bookmarkEnd w:id="43"/>
    </w:p>
    <w:p>
      <w:pPr>
        <w:spacing w:line="600" w:lineRule="exact"/>
        <w:ind w:firstLine="643" w:firstLineChars="200"/>
        <w:outlineLvl w:val="2"/>
        <w:rPr>
          <w:rFonts w:ascii="仿宋" w:hAnsi="仿宋" w:eastAsia="仿宋"/>
          <w:b/>
          <w:color w:val="000000"/>
          <w:sz w:val="32"/>
          <w:szCs w:val="32"/>
        </w:rPr>
      </w:pPr>
      <w:bookmarkStart w:id="44" w:name="_Toc15377222"/>
      <w:r>
        <w:rPr>
          <w:rFonts w:hint="eastAsia" w:ascii="仿宋" w:hAnsi="仿宋" w:eastAsia="仿宋"/>
          <w:b/>
          <w:color w:val="000000"/>
          <w:sz w:val="32"/>
          <w:szCs w:val="32"/>
        </w:rPr>
        <w:t>（一）机关运行经费支出情况</w:t>
      </w:r>
      <w:bookmarkEnd w:id="4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23年，邻水县九龙镇中心小学机关运行经费支出0万元。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5" w:name="_Toc15377223"/>
      <w:r>
        <w:rPr>
          <w:rFonts w:hint="eastAsia" w:ascii="仿宋" w:hAnsi="仿宋" w:eastAsia="仿宋"/>
          <w:b/>
          <w:color w:val="000000"/>
          <w:sz w:val="32"/>
          <w:szCs w:val="32"/>
        </w:rPr>
        <w:t>（二）政府采购支出情况</w:t>
      </w:r>
      <w:bookmarkEnd w:id="4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23年，邻水县九龙镇中心小学政府采购支出总额0万元。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6" w:name="_Toc15377224"/>
      <w:r>
        <w:rPr>
          <w:rFonts w:hint="eastAsia" w:ascii="仿宋" w:hAnsi="仿宋" w:eastAsia="仿宋"/>
          <w:b/>
          <w:color w:val="000000"/>
          <w:sz w:val="32"/>
          <w:szCs w:val="32"/>
        </w:rPr>
        <w:t>（三）国有资产占有使用情况</w:t>
      </w:r>
      <w:bookmarkEnd w:id="46"/>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23年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sz w:val="32"/>
          <w:szCs w:val="32"/>
        </w:rPr>
        <w:t>邻水县九龙镇中心小学</w:t>
      </w:r>
      <w:r>
        <w:rPr>
          <w:rFonts w:hint="eastAsia" w:ascii="仿宋_GB2312" w:eastAsia="仿宋_GB2312"/>
          <w:color w:val="000000"/>
          <w:sz w:val="32"/>
          <w:szCs w:val="32"/>
        </w:rPr>
        <w:t>共有车辆0辆，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numPr>
          <w:ilvl w:val="0"/>
          <w:numId w:val="2"/>
        </w:num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预算绩效管理情况。</w:t>
      </w:r>
    </w:p>
    <w:p>
      <w:pPr>
        <w:spacing w:line="58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根据预算绩效管理要求，本单位在2023年度预算编制阶段，组织对营养餐支出项目开展了预算事前绩效评估，对1个项目编制了绩效目标，预算执行过程中，选取1个项目开展绩效监控，年终执行完毕后，对1个项目开展了绩效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单位整体支出开展绩效自评，从评价情况来看2023年，全体教职员工在学校党总支及行政的正确领导下，在教科体局的指导下，勤奋工作，创先争优，圆满完成全年的教育教学工作，并得到了家长和社会的一致好评。本单位还自行组织了1个项目支出绩效评价，从评价情况来看项目全年预算数</w:t>
      </w:r>
      <w:r>
        <w:rPr>
          <w:rFonts w:hint="eastAsia" w:ascii="仿宋_GB2312" w:hAnsi="仿宋_GB2312" w:eastAsia="仿宋_GB2312" w:cs="仿宋_GB2312"/>
          <w:color w:val="000000" w:themeColor="text1"/>
          <w:sz w:val="32"/>
          <w:szCs w:val="32"/>
        </w:rPr>
        <w:t>249.46万元，执行数为249.46</w:t>
      </w:r>
      <w:r>
        <w:rPr>
          <w:rFonts w:hint="eastAsia" w:ascii="仿宋_GB2312" w:hAnsi="仿宋_GB2312" w:eastAsia="仿宋_GB2312" w:cs="仿宋_GB2312"/>
          <w:sz w:val="32"/>
          <w:szCs w:val="32"/>
        </w:rPr>
        <w:t>万元，完成预算的100%。从评价情况来看，保障全校教职工全年工资的正常支付，调动了全校教职工的工作积极性，顺利</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完成了全年的教育教学目标，促进我校教学工作更上一层楼。</w:t>
      </w:r>
    </w:p>
    <w:p>
      <w:pPr>
        <w:spacing w:line="58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本单位在2023年度部门决算中反映的“营养餐”项目绩效目标已全面完成。本单位项目绩效目标全部进行公开，公开内容包括全部项目完成情况综述和完成情况表。</w:t>
      </w:r>
    </w:p>
    <w:p>
      <w:pPr>
        <w:spacing w:line="580" w:lineRule="exact"/>
        <w:ind w:firstLine="640" w:firstLineChars="200"/>
      </w:pPr>
      <w:r>
        <w:rPr>
          <w:rFonts w:hint="eastAsia" w:ascii="仿宋_GB2312" w:hAnsi="仿宋_GB2312" w:eastAsia="仿宋_GB2312" w:cs="仿宋_GB2312"/>
          <w:sz w:val="32"/>
          <w:szCs w:val="32"/>
        </w:rPr>
        <w:t>营养餐项目绩效目标完成情况综述。项目全年预算数249.46万元，执行数为249.46万元，完成预算的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%。通过项目实施，保障了学生营养午餐的供应。</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2.单位绩效评价结果。</w:t>
      </w:r>
    </w:p>
    <w:p>
      <w:pPr>
        <w:spacing w:line="580" w:lineRule="exact"/>
        <w:ind w:firstLine="640" w:firstLineChars="200"/>
        <w:rPr>
          <w:rFonts w:ascii="仿宋_GB2312" w:eastAsia="仿宋_GB2312"/>
          <w:b/>
          <w:color w:val="FF0000"/>
          <w:sz w:val="32"/>
          <w:szCs w:val="32"/>
        </w:rPr>
      </w:pPr>
      <w:r>
        <w:rPr>
          <w:rFonts w:hint="eastAsia" w:ascii="仿宋_GB2312" w:hAnsi="仿宋_GB2312" w:eastAsia="仿宋_GB2312" w:cs="仿宋_GB2312"/>
          <w:sz w:val="32"/>
          <w:szCs w:val="32"/>
        </w:rPr>
        <w:t>本单位按要求对2023年部门整体支出绩效评价情况开展自评，</w:t>
      </w:r>
      <w:r>
        <w:rPr>
          <w:rFonts w:hint="eastAsia" w:ascii="仿宋_GB2312" w:hAnsi="仿宋_GB2312" w:eastAsia="仿宋_GB2312" w:cs="仿宋_GB2312"/>
          <w:b/>
          <w:bCs/>
          <w:sz w:val="32"/>
          <w:szCs w:val="32"/>
        </w:rPr>
        <w:t>《邻水县九龙镇中心小学部门2023年单位整体支出绩效评价报告》见附件。</w:t>
      </w:r>
    </w:p>
    <w:p>
      <w:pPr>
        <w:numPr>
          <w:ilvl w:val="0"/>
          <w:numId w:val="3"/>
        </w:numPr>
        <w:spacing w:line="600" w:lineRule="exact"/>
        <w:ind w:firstLine="660" w:firstLineChars="150"/>
        <w:jc w:val="center"/>
        <w:outlineLvl w:val="0"/>
        <w:rPr>
          <w:rStyle w:val="24"/>
          <w:rFonts w:ascii="黑体" w:hAnsi="黑体" w:eastAsia="黑体"/>
          <w:b w:val="0"/>
        </w:rPr>
      </w:pPr>
      <w:bookmarkStart w:id="47" w:name="_Toc15396613"/>
      <w:bookmarkStart w:id="48"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47"/>
      <w:bookmarkEnd w:id="48"/>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财政拨款收入：指单位从县级财政部门取得的财政预算资金。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color w:val="000000"/>
          <w:sz w:val="32"/>
          <w:szCs w:val="32"/>
        </w:rPr>
        <w:t>3</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教育支出（类）普通教育（款）小学教育（项）</w:t>
      </w:r>
      <w:r>
        <w:rPr>
          <w:rStyle w:val="14"/>
          <w:rFonts w:ascii="仿宋" w:hAnsi="仿宋" w:eastAsia="仿宋"/>
          <w:b w:val="0"/>
          <w:color w:val="000000"/>
          <w:sz w:val="32"/>
          <w:szCs w:val="32"/>
        </w:rPr>
        <w:t>:</w:t>
      </w:r>
      <w:r>
        <w:rPr>
          <w:rFonts w:hint="eastAsia"/>
        </w:rPr>
        <w:t xml:space="preserve"> </w:t>
      </w:r>
      <w:r>
        <w:rPr>
          <w:rStyle w:val="14"/>
          <w:rFonts w:hint="eastAsia" w:ascii="仿宋" w:hAnsi="仿宋" w:eastAsia="仿宋"/>
          <w:b w:val="0"/>
          <w:color w:val="000000"/>
          <w:sz w:val="32"/>
          <w:szCs w:val="32"/>
        </w:rPr>
        <w:t>部门正常运转、开展日常工作的基本支出。</w:t>
      </w:r>
    </w:p>
    <w:p>
      <w:pPr>
        <w:spacing w:line="600" w:lineRule="exact"/>
        <w:ind w:firstLine="640" w:firstLineChars="200"/>
        <w:rPr>
          <w:rStyle w:val="14"/>
          <w:rFonts w:ascii="仿宋" w:hAnsi="仿宋" w:eastAsia="仿宋"/>
          <w:b w:val="0"/>
          <w:color w:val="000000"/>
          <w:sz w:val="32"/>
          <w:szCs w:val="32"/>
        </w:rPr>
      </w:pPr>
      <w:r>
        <w:rPr>
          <w:rStyle w:val="14"/>
          <w:rFonts w:hint="eastAsia" w:ascii="仿宋" w:hAnsi="仿宋" w:eastAsia="仿宋"/>
          <w:b w:val="0"/>
          <w:color w:val="000000"/>
          <w:sz w:val="32"/>
          <w:szCs w:val="32"/>
        </w:rPr>
        <w:t>4</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社会保障和就业（类）行政事业单位养老支出（款）机关事业单位基本养老保险缴费支出（项）</w:t>
      </w:r>
      <w:r>
        <w:rPr>
          <w:rStyle w:val="14"/>
          <w:rFonts w:ascii="仿宋" w:hAnsi="仿宋" w:eastAsia="仿宋"/>
          <w:b w:val="0"/>
          <w:color w:val="000000"/>
          <w:sz w:val="32"/>
          <w:szCs w:val="32"/>
        </w:rPr>
        <w:t>:</w:t>
      </w:r>
      <w:r>
        <w:rPr>
          <w:rFonts w:hint="eastAsia"/>
        </w:rPr>
        <w:t xml:space="preserve"> </w:t>
      </w:r>
      <w:r>
        <w:rPr>
          <w:rStyle w:val="14"/>
          <w:rFonts w:hint="eastAsia" w:ascii="仿宋" w:hAnsi="仿宋" w:eastAsia="仿宋"/>
          <w:b w:val="0"/>
          <w:color w:val="000000"/>
          <w:sz w:val="32"/>
          <w:szCs w:val="32"/>
        </w:rPr>
        <w:t>指部门实施养老保险制度由单位缴纳的养老保险的支出。</w:t>
      </w:r>
      <w:r>
        <w:rPr>
          <w:rStyle w:val="14"/>
          <w:rFonts w:ascii="仿宋" w:hAnsi="仿宋" w:eastAsia="仿宋"/>
          <w:b w:val="0"/>
          <w:color w:val="000000"/>
          <w:sz w:val="32"/>
          <w:szCs w:val="32"/>
        </w:rPr>
        <w:t xml:space="preserve"> </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color w:val="000000"/>
          <w:sz w:val="32"/>
          <w:szCs w:val="32"/>
        </w:rPr>
        <w:t>5</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社会保障和就业（类）行政事业单位养老支出（款）其他行政事业单位养老支出（项）</w:t>
      </w:r>
      <w:r>
        <w:rPr>
          <w:rStyle w:val="14"/>
          <w:rFonts w:ascii="仿宋" w:hAnsi="仿宋" w:eastAsia="仿宋"/>
          <w:b w:val="0"/>
          <w:color w:val="000000"/>
          <w:sz w:val="32"/>
          <w:szCs w:val="32"/>
        </w:rPr>
        <w:t>:</w:t>
      </w:r>
      <w:r>
        <w:rPr>
          <w:rFonts w:hint="eastAsia"/>
        </w:rPr>
        <w:t xml:space="preserve"> </w:t>
      </w:r>
      <w:r>
        <w:rPr>
          <w:rStyle w:val="14"/>
          <w:rFonts w:hint="eastAsia" w:ascii="仿宋" w:hAnsi="仿宋" w:eastAsia="仿宋"/>
          <w:b w:val="0"/>
          <w:color w:val="000000"/>
          <w:sz w:val="32"/>
          <w:szCs w:val="32"/>
        </w:rPr>
        <w:t>指部门实施的其他行政事业单位养老支出。</w:t>
      </w:r>
    </w:p>
    <w:p>
      <w:pPr>
        <w:spacing w:line="600" w:lineRule="exact"/>
        <w:ind w:firstLine="640" w:firstLineChars="200"/>
        <w:rPr>
          <w:rStyle w:val="14"/>
          <w:rFonts w:ascii="仿宋" w:hAnsi="仿宋" w:eastAsia="仿宋"/>
          <w:b w:val="0"/>
          <w:color w:val="000000"/>
          <w:sz w:val="32"/>
          <w:szCs w:val="32"/>
        </w:rPr>
      </w:pPr>
      <w:r>
        <w:rPr>
          <w:rStyle w:val="14"/>
          <w:rFonts w:hint="eastAsia" w:ascii="仿宋" w:hAnsi="仿宋" w:eastAsia="仿宋"/>
          <w:b w:val="0"/>
          <w:color w:val="000000"/>
          <w:sz w:val="32"/>
          <w:szCs w:val="32"/>
        </w:rPr>
        <w:t>6</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社会保障和就业（类）抚恤（款）死亡抚恤（项）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指用于单位病故家属的定期抚恤金。</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color w:val="000000"/>
          <w:sz w:val="32"/>
          <w:szCs w:val="32"/>
        </w:rPr>
        <w:t>7</w:t>
      </w:r>
      <w:r>
        <w:rPr>
          <w:rStyle w:val="14"/>
          <w:rFonts w:ascii="仿宋" w:hAnsi="仿宋" w:eastAsia="仿宋"/>
          <w:b w:val="0"/>
          <w:color w:val="000000"/>
          <w:sz w:val="32"/>
          <w:szCs w:val="32"/>
        </w:rPr>
        <w:t>.</w:t>
      </w:r>
      <w:r>
        <w:rPr>
          <w:rFonts w:hint="eastAsia" w:ascii="仿宋" w:hAnsi="仿宋" w:eastAsia="仿宋"/>
          <w:color w:val="000000" w:themeColor="text1"/>
          <w:sz w:val="32"/>
          <w:szCs w:val="32"/>
        </w:rPr>
        <w:t>卫生健康</w:t>
      </w:r>
      <w:r>
        <w:rPr>
          <w:rStyle w:val="14"/>
          <w:rFonts w:hint="eastAsia" w:ascii="仿宋" w:hAnsi="仿宋" w:eastAsia="仿宋"/>
          <w:b w:val="0"/>
          <w:color w:val="000000"/>
          <w:sz w:val="32"/>
          <w:szCs w:val="32"/>
        </w:rPr>
        <w:t>（类）计划生育事务（款）其他计划生育事务支出（项）</w:t>
      </w:r>
      <w:r>
        <w:rPr>
          <w:rStyle w:val="14"/>
          <w:rFonts w:ascii="仿宋" w:hAnsi="仿宋" w:eastAsia="仿宋"/>
          <w:b w:val="0"/>
          <w:color w:val="000000"/>
          <w:sz w:val="32"/>
          <w:szCs w:val="32"/>
        </w:rPr>
        <w:t>:</w:t>
      </w:r>
      <w:r>
        <w:rPr>
          <w:rFonts w:hint="eastAsia" w:eastAsia="仿宋_GB2312"/>
          <w:sz w:val="32"/>
          <w:szCs w:val="32"/>
        </w:rPr>
        <w:t xml:space="preserve"> 指独生子女成才奖、计生特别扶助、奖励扶助、农村60周岁以上独生子女父母养老金补助、农村独生子女新合医疗补助、生育关怀基金、计生长效机制、计生事业费、计生宣传经费、18周岁以下独生子女父母奖励等支出。</w:t>
      </w:r>
    </w:p>
    <w:p>
      <w:pPr>
        <w:spacing w:line="600" w:lineRule="exact"/>
        <w:ind w:firstLine="640" w:firstLineChars="200"/>
        <w:rPr>
          <w:rStyle w:val="14"/>
          <w:rFonts w:eastAsia="仿宋_GB2312"/>
          <w:b w:val="0"/>
          <w:sz w:val="32"/>
          <w:szCs w:val="32"/>
        </w:rPr>
      </w:pPr>
      <w:r>
        <w:rPr>
          <w:rStyle w:val="14"/>
          <w:rFonts w:hint="eastAsia" w:ascii="仿宋" w:hAnsi="仿宋" w:eastAsia="仿宋"/>
          <w:b w:val="0"/>
          <w:color w:val="000000"/>
          <w:sz w:val="32"/>
          <w:szCs w:val="32"/>
        </w:rPr>
        <w:t>8</w:t>
      </w:r>
      <w:r>
        <w:rPr>
          <w:rStyle w:val="14"/>
          <w:rFonts w:ascii="仿宋" w:hAnsi="仿宋" w:eastAsia="仿宋"/>
          <w:b w:val="0"/>
          <w:color w:val="000000"/>
          <w:sz w:val="32"/>
          <w:szCs w:val="32"/>
        </w:rPr>
        <w:t>.</w:t>
      </w:r>
      <w:r>
        <w:rPr>
          <w:rFonts w:hint="eastAsia" w:ascii="仿宋" w:hAnsi="仿宋" w:eastAsia="仿宋"/>
          <w:color w:val="000000" w:themeColor="text1"/>
          <w:sz w:val="32"/>
          <w:szCs w:val="32"/>
        </w:rPr>
        <w:t>卫生健康</w:t>
      </w:r>
      <w:r>
        <w:rPr>
          <w:rStyle w:val="14"/>
          <w:rFonts w:hint="eastAsia" w:ascii="仿宋" w:hAnsi="仿宋" w:eastAsia="仿宋"/>
          <w:b w:val="0"/>
          <w:color w:val="000000"/>
          <w:sz w:val="32"/>
          <w:szCs w:val="32"/>
        </w:rPr>
        <w:t>（类）行政事业单位医疗（款）事业单位医疗（项）</w:t>
      </w:r>
      <w:r>
        <w:rPr>
          <w:rStyle w:val="14"/>
          <w:rFonts w:ascii="仿宋" w:hAnsi="仿宋" w:eastAsia="仿宋"/>
          <w:b w:val="0"/>
          <w:color w:val="000000"/>
          <w:sz w:val="32"/>
          <w:szCs w:val="32"/>
        </w:rPr>
        <w:t>:</w:t>
      </w:r>
      <w:r>
        <w:rPr>
          <w:rFonts w:hint="eastAsia" w:ascii="仿宋_GB2312" w:eastAsia="仿宋_GB2312"/>
          <w:color w:val="000000"/>
          <w:sz w:val="32"/>
          <w:szCs w:val="32"/>
        </w:rPr>
        <w:t xml:space="preserve"> 指</w:t>
      </w:r>
      <w:r>
        <w:rPr>
          <w:rFonts w:hint="eastAsia" w:eastAsia="仿宋_GB2312"/>
          <w:sz w:val="32"/>
          <w:szCs w:val="32"/>
        </w:rPr>
        <w:t>事业单位用于单位应缴纳基本医疗保险支出。</w:t>
      </w:r>
    </w:p>
    <w:p>
      <w:pPr>
        <w:spacing w:line="600" w:lineRule="exact"/>
        <w:ind w:firstLine="640" w:firstLineChars="200"/>
        <w:rPr>
          <w:rStyle w:val="14"/>
          <w:rFonts w:ascii="仿宋" w:hAnsi="仿宋" w:eastAsia="仿宋"/>
          <w:b w:val="0"/>
          <w:color w:val="000000"/>
          <w:sz w:val="32"/>
          <w:szCs w:val="32"/>
        </w:rPr>
      </w:pPr>
      <w:r>
        <w:rPr>
          <w:rStyle w:val="14"/>
          <w:rFonts w:hint="eastAsia" w:ascii="仿宋" w:hAnsi="仿宋" w:eastAsia="仿宋"/>
          <w:b w:val="0"/>
          <w:color w:val="000000"/>
          <w:sz w:val="32"/>
          <w:szCs w:val="32"/>
        </w:rPr>
        <w:t>9</w:t>
      </w:r>
      <w:r>
        <w:rPr>
          <w:rStyle w:val="14"/>
          <w:rFonts w:ascii="仿宋" w:hAnsi="仿宋" w:eastAsia="仿宋"/>
          <w:b w:val="0"/>
          <w:color w:val="000000"/>
          <w:sz w:val="32"/>
          <w:szCs w:val="32"/>
        </w:rPr>
        <w:t>.</w:t>
      </w:r>
      <w:r>
        <w:rPr>
          <w:rFonts w:hint="eastAsia" w:ascii="仿宋" w:hAnsi="仿宋" w:eastAsia="仿宋"/>
          <w:color w:val="000000" w:themeColor="text1"/>
          <w:sz w:val="32"/>
          <w:szCs w:val="32"/>
        </w:rPr>
        <w:t>农林水支出</w:t>
      </w:r>
      <w:r>
        <w:rPr>
          <w:rStyle w:val="14"/>
          <w:rFonts w:hint="eastAsia" w:ascii="仿宋" w:hAnsi="仿宋" w:eastAsia="仿宋"/>
          <w:b w:val="0"/>
          <w:color w:val="000000"/>
          <w:sz w:val="32"/>
          <w:szCs w:val="32"/>
        </w:rPr>
        <w:t>（类）农业农村（款）其他农业农村支出（项）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指用于其他农业农村方面的支出。</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color w:val="000000"/>
          <w:sz w:val="32"/>
          <w:szCs w:val="32"/>
        </w:rPr>
        <w:t>10</w:t>
      </w:r>
      <w:r>
        <w:rPr>
          <w:rStyle w:val="14"/>
          <w:rFonts w:ascii="仿宋" w:hAnsi="仿宋" w:eastAsia="仿宋"/>
          <w:b w:val="0"/>
          <w:color w:val="000000"/>
          <w:sz w:val="32"/>
          <w:szCs w:val="32"/>
        </w:rPr>
        <w:t>.</w:t>
      </w:r>
      <w:r>
        <w:rPr>
          <w:rFonts w:hint="eastAsia" w:ascii="仿宋" w:hAnsi="仿宋" w:eastAsia="仿宋"/>
          <w:color w:val="000000" w:themeColor="text1"/>
          <w:sz w:val="32"/>
          <w:szCs w:val="32"/>
        </w:rPr>
        <w:t>住房保障支出</w:t>
      </w:r>
      <w:r>
        <w:rPr>
          <w:rStyle w:val="14"/>
          <w:rFonts w:hint="eastAsia" w:ascii="仿宋" w:hAnsi="仿宋" w:eastAsia="仿宋"/>
          <w:b w:val="0"/>
          <w:color w:val="000000"/>
          <w:sz w:val="32"/>
          <w:szCs w:val="32"/>
        </w:rPr>
        <w:t>（类）住房改革支出（款）住房公积金（项）</w:t>
      </w:r>
      <w:r>
        <w:rPr>
          <w:rStyle w:val="14"/>
          <w:rFonts w:ascii="仿宋" w:hAnsi="仿宋" w:eastAsia="仿宋"/>
          <w:b w:val="0"/>
          <w:color w:val="000000"/>
          <w:sz w:val="32"/>
          <w:szCs w:val="32"/>
        </w:rPr>
        <w:t>:</w:t>
      </w:r>
      <w:r>
        <w:rPr>
          <w:rFonts w:hint="eastAsia" w:eastAsia="仿宋_GB2312"/>
          <w:sz w:val="32"/>
          <w:szCs w:val="32"/>
        </w:rPr>
        <w:t xml:space="preserve"> 指按照《住房公积金管理条例》的规定，由单位及其在职职工缴存的长期住房储金。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单位运行经费：为保障事业单位运行用于购买货物和服务的各项资金，包括办公及印刷费、邮电费、差旅费、日常维修费、办公用房水电费、办公用房物业管理费等。</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49" w:name="_Toc15377226"/>
      <w:r>
        <w:rPr>
          <w:rFonts w:ascii="宋体"/>
          <w:b/>
          <w:color w:val="000000"/>
          <w:sz w:val="44"/>
          <w:szCs w:val="44"/>
        </w:rPr>
        <w:br w:type="page"/>
      </w:r>
      <w:bookmarkStart w:id="50"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0"/>
    </w:p>
    <w:tbl>
      <w:tblPr>
        <w:tblStyle w:val="12"/>
        <w:tblW w:w="8730" w:type="dxa"/>
        <w:tblInd w:w="93" w:type="dxa"/>
        <w:tblLayout w:type="autofit"/>
        <w:tblCellMar>
          <w:top w:w="0" w:type="dxa"/>
          <w:left w:w="108" w:type="dxa"/>
          <w:bottom w:w="0" w:type="dxa"/>
          <w:right w:w="108" w:type="dxa"/>
        </w:tblCellMar>
      </w:tblPr>
      <w:tblGrid>
        <w:gridCol w:w="576"/>
        <w:gridCol w:w="83"/>
        <w:gridCol w:w="885"/>
        <w:gridCol w:w="74"/>
        <w:gridCol w:w="723"/>
        <w:gridCol w:w="70"/>
        <w:gridCol w:w="732"/>
        <w:gridCol w:w="63"/>
        <w:gridCol w:w="725"/>
        <w:gridCol w:w="52"/>
        <w:gridCol w:w="739"/>
        <w:gridCol w:w="43"/>
        <w:gridCol w:w="745"/>
        <w:gridCol w:w="34"/>
        <w:gridCol w:w="812"/>
        <w:gridCol w:w="31"/>
        <w:gridCol w:w="761"/>
        <w:gridCol w:w="22"/>
        <w:gridCol w:w="766"/>
        <w:gridCol w:w="11"/>
        <w:gridCol w:w="783"/>
      </w:tblGrid>
      <w:tr>
        <w:tblPrEx>
          <w:tblCellMar>
            <w:top w:w="0" w:type="dxa"/>
            <w:left w:w="108" w:type="dxa"/>
            <w:bottom w:w="0" w:type="dxa"/>
            <w:right w:w="108" w:type="dxa"/>
          </w:tblCellMar>
        </w:tblPrEx>
        <w:trPr>
          <w:trHeight w:val="480" w:hRule="atLeast"/>
        </w:trPr>
        <w:tc>
          <w:tcPr>
            <w:tcW w:w="873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bookmarkStart w:id="51" w:name="_Toc15396618"/>
            <w:r>
              <w:rPr>
                <w:rFonts w:hint="eastAsia" w:ascii="黑体" w:hAnsi="黑体" w:eastAsia="黑体" w:cs="宋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320" w:hRule="atLeast"/>
        </w:trPr>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711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51162321Y000000036414-公用经费（事业）</w:t>
            </w:r>
          </w:p>
        </w:tc>
      </w:tr>
      <w:tr>
        <w:tblPrEx>
          <w:tblCellMar>
            <w:top w:w="0" w:type="dxa"/>
            <w:left w:w="108" w:type="dxa"/>
            <w:bottom w:w="0" w:type="dxa"/>
            <w:right w:w="108" w:type="dxa"/>
          </w:tblCellMar>
        </w:tblPrEx>
        <w:trPr>
          <w:trHeight w:val="460" w:hRule="atLeast"/>
        </w:trPr>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主管部门</w:t>
            </w:r>
          </w:p>
        </w:tc>
        <w:tc>
          <w:tcPr>
            <w:tcW w:w="39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邻水县教育科技和体育局部门</w:t>
            </w:r>
          </w:p>
        </w:tc>
        <w:tc>
          <w:tcPr>
            <w:tcW w:w="843" w:type="dxa"/>
            <w:gridSpan w:val="2"/>
            <w:tcBorders>
              <w:top w:val="nil"/>
              <w:left w:val="nil"/>
              <w:bottom w:val="nil"/>
              <w:right w:val="nil"/>
            </w:tcBorders>
            <w:shd w:val="clear" w:color="auto" w:fill="auto"/>
            <w:vAlign w:val="center"/>
          </w:tcPr>
          <w:p>
            <w:pPr>
              <w:widowControl/>
              <w:jc w:val="left"/>
              <w:rPr>
                <w:rFonts w:hint="eastAsia" w:ascii="黑体" w:hAnsi="黑体" w:cs="宋体"/>
                <w:color w:val="000000"/>
                <w:kern w:val="0"/>
                <w:sz w:val="16"/>
                <w:szCs w:val="16"/>
              </w:rPr>
            </w:pPr>
            <w:r>
              <w:rPr>
                <w:rFonts w:ascii="黑体" w:hAnsi="黑体" w:cs="宋体"/>
                <w:color w:val="000000"/>
                <w:kern w:val="0"/>
                <w:sz w:val="16"/>
                <w:szCs w:val="16"/>
              </w:rPr>
              <w:t>实施单位 （盖章）</w:t>
            </w:r>
          </w:p>
        </w:tc>
        <w:tc>
          <w:tcPr>
            <w:tcW w:w="23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邻水县九龙镇中心小学</w:t>
            </w:r>
          </w:p>
        </w:tc>
      </w:tr>
      <w:tr>
        <w:tblPrEx>
          <w:tblCellMar>
            <w:top w:w="0" w:type="dxa"/>
            <w:left w:w="108" w:type="dxa"/>
            <w:bottom w:w="0" w:type="dxa"/>
            <w:right w:w="108" w:type="dxa"/>
          </w:tblCellMar>
        </w:tblPrEx>
        <w:trPr>
          <w:trHeight w:val="300"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项目基本情况</w:t>
            </w: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1.项目年度目标完成情况</w:t>
            </w:r>
          </w:p>
        </w:tc>
        <w:tc>
          <w:tcPr>
            <w:tcW w:w="39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项目年度目标</w:t>
            </w:r>
          </w:p>
        </w:tc>
        <w:tc>
          <w:tcPr>
            <w:tcW w:w="31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cs="宋体"/>
                <w:color w:val="000000"/>
                <w:kern w:val="0"/>
                <w:sz w:val="16"/>
                <w:szCs w:val="16"/>
              </w:rPr>
            </w:pPr>
            <w:r>
              <w:rPr>
                <w:rFonts w:ascii="黑体" w:hAnsi="黑体" w:cs="宋体"/>
                <w:color w:val="000000"/>
                <w:kern w:val="0"/>
                <w:sz w:val="16"/>
                <w:szCs w:val="16"/>
              </w:rPr>
              <w:t>年度目标完成情况</w:t>
            </w:r>
          </w:p>
        </w:tc>
      </w:tr>
      <w:tr>
        <w:tblPrEx>
          <w:tblCellMar>
            <w:top w:w="0" w:type="dxa"/>
            <w:left w:w="108" w:type="dxa"/>
            <w:bottom w:w="0" w:type="dxa"/>
            <w:right w:w="108" w:type="dxa"/>
          </w:tblCellMar>
        </w:tblPrEx>
        <w:trPr>
          <w:trHeight w:val="42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39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提高预算编制质量，严格执行预算，保障单位日常运转。</w:t>
            </w:r>
          </w:p>
        </w:tc>
        <w:tc>
          <w:tcPr>
            <w:tcW w:w="31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6"/>
                <w:szCs w:val="16"/>
              </w:rPr>
            </w:pPr>
            <w:r>
              <w:rPr>
                <w:rFonts w:ascii="黑体" w:hAnsi="黑体" w:cs="宋体"/>
                <w:color w:val="000000"/>
                <w:kern w:val="0"/>
                <w:sz w:val="16"/>
                <w:szCs w:val="16"/>
              </w:rPr>
              <w:t>对照年度目标，说明相关任务目标的完成情况（100字以内）</w:t>
            </w:r>
          </w:p>
        </w:tc>
      </w:tr>
      <w:tr>
        <w:tblPrEx>
          <w:tblCellMar>
            <w:top w:w="0" w:type="dxa"/>
            <w:left w:w="108" w:type="dxa"/>
            <w:bottom w:w="0" w:type="dxa"/>
            <w:right w:w="108" w:type="dxa"/>
          </w:tblCellMar>
        </w:tblPrEx>
        <w:trPr>
          <w:trHeight w:val="38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2.项目实施内容及过程概述</w:t>
            </w:r>
          </w:p>
        </w:tc>
        <w:tc>
          <w:tcPr>
            <w:tcW w:w="711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20"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预算执行情况（10分）</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年度预算数（万元）</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调整后预算数</w:t>
            </w:r>
          </w:p>
        </w:tc>
        <w:tc>
          <w:tcPr>
            <w:tcW w:w="2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预算执行数</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权重</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得分</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原因</w:t>
            </w:r>
          </w:p>
        </w:tc>
      </w:tr>
      <w:tr>
        <w:tblPrEx>
          <w:tblCellMar>
            <w:top w:w="0" w:type="dxa"/>
            <w:left w:w="108" w:type="dxa"/>
            <w:bottom w:w="0" w:type="dxa"/>
            <w:right w:w="108" w:type="dxa"/>
          </w:tblCellMar>
        </w:tblPrEx>
        <w:trPr>
          <w:trHeight w:val="27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总额</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18.75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18.75</w:t>
            </w:r>
          </w:p>
        </w:tc>
        <w:tc>
          <w:tcPr>
            <w:tcW w:w="2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18.75</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i/>
                <w:iCs/>
                <w:color w:val="000000"/>
                <w:kern w:val="0"/>
                <w:sz w:val="16"/>
                <w:szCs w:val="16"/>
              </w:rPr>
            </w:pPr>
          </w:p>
        </w:tc>
      </w:tr>
      <w:tr>
        <w:tblPrEx>
          <w:tblCellMar>
            <w:top w:w="0" w:type="dxa"/>
            <w:left w:w="108" w:type="dxa"/>
            <w:bottom w:w="0" w:type="dxa"/>
            <w:right w:w="108" w:type="dxa"/>
          </w:tblCellMar>
        </w:tblPrEx>
        <w:trPr>
          <w:trHeight w:val="48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pPr>
            <w:r>
              <w:rPr>
                <w:rFonts w:hint="eastAsia" w:ascii="宋体" w:hAnsi="宋体" w:cs="宋体"/>
                <w:color w:val="000000"/>
                <w:kern w:val="0"/>
                <w:sz w:val="16"/>
                <w:szCs w:val="16"/>
              </w:rPr>
              <w:t>18.75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pPr>
            <w:r>
              <w:rPr>
                <w:rFonts w:hint="eastAsia" w:ascii="宋体" w:hAnsi="宋体" w:cs="宋体"/>
                <w:color w:val="000000"/>
                <w:kern w:val="0"/>
                <w:sz w:val="16"/>
                <w:szCs w:val="16"/>
              </w:rPr>
              <w:t>18.75</w:t>
            </w:r>
          </w:p>
        </w:tc>
        <w:tc>
          <w:tcPr>
            <w:tcW w:w="2338"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center"/>
            </w:pPr>
            <w:r>
              <w:rPr>
                <w:rFonts w:hint="eastAsia" w:ascii="宋体" w:hAnsi="宋体" w:cs="宋体"/>
                <w:color w:val="000000"/>
                <w:kern w:val="0"/>
                <w:sz w:val="16"/>
                <w:szCs w:val="16"/>
              </w:rPr>
              <w:t>18.75</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6"/>
                <w:szCs w:val="16"/>
              </w:rPr>
            </w:pPr>
          </w:p>
        </w:tc>
      </w:tr>
      <w:tr>
        <w:tblPrEx>
          <w:tblCellMar>
            <w:top w:w="0" w:type="dxa"/>
            <w:left w:w="108" w:type="dxa"/>
            <w:bottom w:w="0" w:type="dxa"/>
            <w:right w:w="108" w:type="dxa"/>
          </w:tblCellMar>
        </w:tblPrEx>
        <w:trPr>
          <w:trHeight w:val="48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财政专户管理资金</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2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6"/>
                <w:szCs w:val="16"/>
              </w:rPr>
            </w:pPr>
          </w:p>
        </w:tc>
      </w:tr>
      <w:tr>
        <w:tblPrEx>
          <w:tblCellMar>
            <w:top w:w="0" w:type="dxa"/>
            <w:left w:w="108" w:type="dxa"/>
            <w:bottom w:w="0" w:type="dxa"/>
            <w:right w:w="108" w:type="dxa"/>
          </w:tblCellMar>
        </w:tblPrEx>
        <w:trPr>
          <w:trHeight w:val="26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单位资金</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2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6"/>
                <w:szCs w:val="16"/>
              </w:rPr>
            </w:pPr>
          </w:p>
        </w:tc>
      </w:tr>
      <w:tr>
        <w:tblPrEx>
          <w:tblCellMar>
            <w:top w:w="0" w:type="dxa"/>
            <w:left w:w="108" w:type="dxa"/>
            <w:bottom w:w="0" w:type="dxa"/>
            <w:right w:w="108" w:type="dxa"/>
          </w:tblCellMar>
        </w:tblPrEx>
        <w:trPr>
          <w:trHeight w:val="24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其他资金</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2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6"/>
                <w:szCs w:val="16"/>
              </w:rPr>
            </w:pPr>
          </w:p>
        </w:tc>
      </w:tr>
      <w:tr>
        <w:tblPrEx>
          <w:tblCellMar>
            <w:top w:w="0" w:type="dxa"/>
            <w:left w:w="108" w:type="dxa"/>
            <w:bottom w:w="0" w:type="dxa"/>
            <w:right w:w="108" w:type="dxa"/>
          </w:tblCellMar>
        </w:tblPrEx>
        <w:trPr>
          <w:trHeight w:val="480"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绩效指标（90分）</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指标性质</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指标值</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度量单位</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完成值</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权重</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得分</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未完成原因分析</w:t>
            </w:r>
          </w:p>
        </w:tc>
      </w:tr>
      <w:tr>
        <w:tblPrEx>
          <w:tblCellMar>
            <w:top w:w="0" w:type="dxa"/>
            <w:left w:w="108" w:type="dxa"/>
            <w:bottom w:w="0" w:type="dxa"/>
            <w:right w:w="108" w:type="dxa"/>
          </w:tblCellMar>
        </w:tblPrEx>
        <w:trPr>
          <w:trHeight w:val="42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产出指标</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科目调整次数</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次</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46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预算编制准确率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60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效益指标</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“三公</w:t>
            </w:r>
            <w:bookmarkStart w:id="63" w:name="_GoBack"/>
            <w:r>
              <w:rPr>
                <w:rFonts w:hint="eastAsia" w:ascii="宋体" w:hAnsi="宋体" w:cs="宋体"/>
                <w:color w:val="000000"/>
                <w:kern w:val="0"/>
                <w:sz w:val="16"/>
                <w:szCs w:val="16"/>
              </w:rPr>
              <w:t>”</w:t>
            </w:r>
            <w:bookmarkEnd w:id="63"/>
            <w:r>
              <w:rPr>
                <w:rFonts w:hint="eastAsia" w:ascii="宋体" w:hAnsi="宋体" w:cs="宋体"/>
                <w:color w:val="000000"/>
                <w:kern w:val="0"/>
                <w:sz w:val="16"/>
                <w:szCs w:val="16"/>
              </w:rPr>
              <w:t>经费控制率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48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运转保障率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0" w:hRule="atLeast"/>
        </w:trPr>
        <w:tc>
          <w:tcPr>
            <w:tcW w:w="638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00"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评价结论</w:t>
            </w:r>
          </w:p>
        </w:tc>
        <w:tc>
          <w:tcPr>
            <w:tcW w:w="807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CellMar>
            <w:top w:w="0" w:type="dxa"/>
            <w:left w:w="108" w:type="dxa"/>
            <w:bottom w:w="0" w:type="dxa"/>
            <w:right w:w="108" w:type="dxa"/>
          </w:tblCellMar>
        </w:tblPrEx>
        <w:trPr>
          <w:trHeight w:val="300"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存在问题</w:t>
            </w:r>
          </w:p>
        </w:tc>
        <w:tc>
          <w:tcPr>
            <w:tcW w:w="807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CellMar>
            <w:top w:w="0" w:type="dxa"/>
            <w:left w:w="108" w:type="dxa"/>
            <w:bottom w:w="0" w:type="dxa"/>
            <w:right w:w="108" w:type="dxa"/>
          </w:tblCellMar>
        </w:tblPrEx>
        <w:trPr>
          <w:trHeight w:val="360"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改进措施</w:t>
            </w:r>
          </w:p>
        </w:tc>
        <w:tc>
          <w:tcPr>
            <w:tcW w:w="807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CellMar>
            <w:top w:w="0" w:type="dxa"/>
            <w:left w:w="108" w:type="dxa"/>
            <w:bottom w:w="0" w:type="dxa"/>
            <w:right w:w="108" w:type="dxa"/>
          </w:tblCellMar>
        </w:tblPrEx>
        <w:trPr>
          <w:trHeight w:val="360" w:hRule="atLeast"/>
        </w:trPr>
        <w:tc>
          <w:tcPr>
            <w:tcW w:w="39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6"/>
                <w:szCs w:val="16"/>
              </w:rPr>
            </w:pPr>
            <w:r>
              <w:rPr>
                <w:rFonts w:ascii="黑体" w:hAnsi="黑体" w:cs="宋体"/>
                <w:color w:val="000000"/>
                <w:kern w:val="0"/>
                <w:sz w:val="16"/>
                <w:szCs w:val="16"/>
              </w:rPr>
              <w:t>项目负责人：</w:t>
            </w:r>
          </w:p>
        </w:tc>
        <w:tc>
          <w:tcPr>
            <w:tcW w:w="47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6"/>
                <w:szCs w:val="16"/>
              </w:rPr>
            </w:pPr>
            <w:r>
              <w:rPr>
                <w:rFonts w:ascii="黑体" w:hAnsi="黑体" w:cs="宋体"/>
                <w:color w:val="000000"/>
                <w:kern w:val="0"/>
                <w:sz w:val="16"/>
                <w:szCs w:val="16"/>
              </w:rPr>
              <w:t>财务负责人：</w:t>
            </w:r>
          </w:p>
        </w:tc>
      </w:tr>
      <w:tr>
        <w:tblPrEx>
          <w:tblCellMar>
            <w:top w:w="0" w:type="dxa"/>
            <w:left w:w="108" w:type="dxa"/>
            <w:bottom w:w="0" w:type="dxa"/>
            <w:right w:w="108" w:type="dxa"/>
          </w:tblCellMar>
        </w:tblPrEx>
        <w:trPr>
          <w:trHeight w:val="360" w:hRule="atLeast"/>
        </w:trPr>
        <w:tc>
          <w:tcPr>
            <w:tcW w:w="39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6"/>
                <w:szCs w:val="16"/>
              </w:rPr>
            </w:pPr>
          </w:p>
        </w:tc>
        <w:tc>
          <w:tcPr>
            <w:tcW w:w="47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6"/>
                <w:szCs w:val="16"/>
              </w:rPr>
            </w:pPr>
          </w:p>
        </w:tc>
      </w:tr>
      <w:tr>
        <w:tblPrEx>
          <w:tblCellMar>
            <w:top w:w="0" w:type="dxa"/>
            <w:left w:w="108" w:type="dxa"/>
            <w:bottom w:w="0" w:type="dxa"/>
            <w:right w:w="108" w:type="dxa"/>
          </w:tblCellMar>
        </w:tblPrEx>
        <w:trPr>
          <w:trHeight w:val="460" w:hRule="atLeast"/>
        </w:trPr>
        <w:tc>
          <w:tcPr>
            <w:tcW w:w="873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360" w:hRule="atLeast"/>
        </w:trPr>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1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51162322T000004795380-义务教育公用经费</w:t>
            </w:r>
          </w:p>
        </w:tc>
      </w:tr>
      <w:tr>
        <w:tblPrEx>
          <w:tblCellMar>
            <w:top w:w="0" w:type="dxa"/>
            <w:left w:w="108" w:type="dxa"/>
            <w:bottom w:w="0" w:type="dxa"/>
            <w:right w:w="108" w:type="dxa"/>
          </w:tblCellMar>
        </w:tblPrEx>
        <w:trPr>
          <w:trHeight w:val="440" w:hRule="atLeast"/>
        </w:trPr>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9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邻水县教育科技和体育局部门</w:t>
            </w:r>
          </w:p>
        </w:tc>
        <w:tc>
          <w:tcPr>
            <w:tcW w:w="846" w:type="dxa"/>
            <w:gridSpan w:val="2"/>
            <w:tcBorders>
              <w:top w:val="nil"/>
              <w:left w:val="nil"/>
              <w:bottom w:val="nil"/>
              <w:right w:val="nil"/>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实施单位 （盖章）</w:t>
            </w:r>
          </w:p>
        </w:tc>
        <w:tc>
          <w:tcPr>
            <w:tcW w:w="2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邻水县九龙镇中心小学</w:t>
            </w:r>
          </w:p>
        </w:tc>
      </w:tr>
      <w:tr>
        <w:tblPrEx>
          <w:tblCellMar>
            <w:top w:w="0" w:type="dxa"/>
            <w:left w:w="108" w:type="dxa"/>
            <w:bottom w:w="0" w:type="dxa"/>
            <w:right w:w="108" w:type="dxa"/>
          </w:tblCellMar>
        </w:tblPrEx>
        <w:trPr>
          <w:trHeight w:val="2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9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9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9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1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157.51</w:t>
            </w:r>
          </w:p>
        </w:tc>
        <w:tc>
          <w:tcPr>
            <w:tcW w:w="2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157.51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7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157.51</w:t>
            </w:r>
          </w:p>
        </w:tc>
        <w:tc>
          <w:tcPr>
            <w:tcW w:w="2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157.51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9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9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9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26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2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9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400" w:hRule="atLeast"/>
        </w:trPr>
        <w:tc>
          <w:tcPr>
            <w:tcW w:w="635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15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15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15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CellMar>
            <w:top w:w="0" w:type="dxa"/>
            <w:left w:w="108" w:type="dxa"/>
            <w:bottom w:w="0" w:type="dxa"/>
            <w:right w:w="108" w:type="dxa"/>
          </w:tblCellMar>
        </w:tblPrEx>
        <w:trPr>
          <w:trHeight w:val="480" w:hRule="atLeast"/>
        </w:trPr>
        <w:tc>
          <w:tcPr>
            <w:tcW w:w="39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项目负责人：</w:t>
            </w:r>
          </w:p>
        </w:tc>
        <w:tc>
          <w:tcPr>
            <w:tcW w:w="47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财务负责人：</w:t>
            </w:r>
          </w:p>
        </w:tc>
      </w:tr>
    </w:tbl>
    <w:p>
      <w:pPr>
        <w:spacing w:line="600" w:lineRule="exact"/>
        <w:outlineLvl w:val="0"/>
        <w:rPr>
          <w:rFonts w:ascii="黑体" w:hAnsi="黑体" w:eastAsia="黑体"/>
          <w:color w:val="000000"/>
          <w:sz w:val="44"/>
          <w:szCs w:val="44"/>
        </w:rPr>
      </w:pPr>
    </w:p>
    <w:p>
      <w:pPr>
        <w:pStyle w:val="2"/>
        <w:spacing w:before="93"/>
      </w:pPr>
    </w:p>
    <w:p>
      <w:pPr>
        <w:pStyle w:val="2"/>
        <w:spacing w:before="93"/>
      </w:pPr>
    </w:p>
    <w:p>
      <w:pPr>
        <w:pStyle w:val="2"/>
        <w:spacing w:before="93"/>
      </w:pPr>
    </w:p>
    <w:p>
      <w:pPr>
        <w:pStyle w:val="2"/>
        <w:spacing w:before="93"/>
      </w:pPr>
    </w:p>
    <w:tbl>
      <w:tblPr>
        <w:tblStyle w:val="12"/>
        <w:tblW w:w="8730" w:type="dxa"/>
        <w:tblInd w:w="93" w:type="dxa"/>
        <w:tblLayout w:type="autofit"/>
        <w:tblCellMar>
          <w:top w:w="0" w:type="dxa"/>
          <w:left w:w="108" w:type="dxa"/>
          <w:bottom w:w="0" w:type="dxa"/>
          <w:right w:w="108" w:type="dxa"/>
        </w:tblCellMar>
      </w:tblPr>
      <w:tblGrid>
        <w:gridCol w:w="576"/>
        <w:gridCol w:w="968"/>
        <w:gridCol w:w="798"/>
        <w:gridCol w:w="807"/>
        <w:gridCol w:w="788"/>
        <w:gridCol w:w="788"/>
        <w:gridCol w:w="788"/>
        <w:gridCol w:w="846"/>
        <w:gridCol w:w="793"/>
        <w:gridCol w:w="789"/>
        <w:gridCol w:w="789"/>
      </w:tblGrid>
      <w:tr>
        <w:tblPrEx>
          <w:tblCellMar>
            <w:top w:w="0" w:type="dxa"/>
            <w:left w:w="108" w:type="dxa"/>
            <w:bottom w:w="0" w:type="dxa"/>
            <w:right w:w="108" w:type="dxa"/>
          </w:tblCellMar>
        </w:tblPrEx>
        <w:trPr>
          <w:trHeight w:val="420" w:hRule="atLeast"/>
        </w:trPr>
        <w:tc>
          <w:tcPr>
            <w:tcW w:w="8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340"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51162322T000006735275-农村义务教育学生营养膳食补助</w:t>
            </w:r>
          </w:p>
        </w:tc>
      </w:tr>
      <w:tr>
        <w:tblPrEx>
          <w:tblCellMar>
            <w:top w:w="0" w:type="dxa"/>
            <w:left w:w="108" w:type="dxa"/>
            <w:bottom w:w="0" w:type="dxa"/>
            <w:right w:w="108" w:type="dxa"/>
          </w:tblCellMar>
        </w:tblPrEx>
        <w:trPr>
          <w:trHeight w:val="560"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邻水县教育科技和体育局部门</w:t>
            </w:r>
          </w:p>
        </w:tc>
        <w:tc>
          <w:tcPr>
            <w:tcW w:w="810" w:type="dxa"/>
            <w:tcBorders>
              <w:top w:val="nil"/>
              <w:left w:val="nil"/>
              <w:bottom w:val="nil"/>
              <w:right w:val="nil"/>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实施单位 （盖章）</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邻水县九龙镇中心小学</w:t>
            </w:r>
          </w:p>
        </w:tc>
      </w:tr>
      <w:tr>
        <w:tblPrEx>
          <w:tblCellMar>
            <w:top w:w="0" w:type="dxa"/>
            <w:left w:w="108" w:type="dxa"/>
            <w:bottom w:w="0" w:type="dxa"/>
            <w:right w:w="108" w:type="dxa"/>
          </w:tblCellMar>
        </w:tblPrEx>
        <w:trPr>
          <w:trHeight w:val="6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48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249.46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249.46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249.46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249.46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52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80" w:hRule="atLeast"/>
        </w:trPr>
        <w:tc>
          <w:tcPr>
            <w:tcW w:w="63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2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CellMar>
            <w:top w:w="0" w:type="dxa"/>
            <w:left w:w="108" w:type="dxa"/>
            <w:bottom w:w="0" w:type="dxa"/>
            <w:right w:w="108" w:type="dxa"/>
          </w:tblCellMar>
        </w:tblPrEx>
        <w:trPr>
          <w:trHeight w:val="3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2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CellMar>
            <w:top w:w="0" w:type="dxa"/>
            <w:left w:w="108" w:type="dxa"/>
            <w:bottom w:w="0" w:type="dxa"/>
            <w:right w:w="108" w:type="dxa"/>
          </w:tblCellMar>
        </w:tblPrEx>
        <w:trPr>
          <w:trHeight w:val="3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2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CellMar>
            <w:top w:w="0" w:type="dxa"/>
            <w:left w:w="108" w:type="dxa"/>
            <w:bottom w:w="0" w:type="dxa"/>
            <w:right w:w="108" w:type="dxa"/>
          </w:tblCellMar>
        </w:tblPrEx>
        <w:trPr>
          <w:trHeight w:val="380" w:hRule="atLeast"/>
        </w:trPr>
        <w:tc>
          <w:tcPr>
            <w:tcW w:w="38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项目负责人：</w:t>
            </w:r>
          </w:p>
        </w:tc>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财务负责人：</w:t>
            </w:r>
          </w:p>
        </w:tc>
      </w:tr>
    </w:tbl>
    <w:p>
      <w:pPr>
        <w:pStyle w:val="2"/>
        <w:spacing w:before="93"/>
      </w:pPr>
    </w:p>
    <w:p>
      <w:pPr>
        <w:pStyle w:val="2"/>
        <w:spacing w:before="93"/>
      </w:pPr>
    </w:p>
    <w:p>
      <w:pPr>
        <w:pStyle w:val="2"/>
        <w:spacing w:before="93"/>
      </w:pPr>
    </w:p>
    <w:tbl>
      <w:tblPr>
        <w:tblStyle w:val="12"/>
        <w:tblW w:w="8790" w:type="dxa"/>
        <w:tblInd w:w="93" w:type="dxa"/>
        <w:tblLayout w:type="autofit"/>
        <w:tblCellMar>
          <w:top w:w="0" w:type="dxa"/>
          <w:left w:w="108" w:type="dxa"/>
          <w:bottom w:w="0" w:type="dxa"/>
          <w:right w:w="108" w:type="dxa"/>
        </w:tblCellMar>
      </w:tblPr>
      <w:tblGrid>
        <w:gridCol w:w="576"/>
        <w:gridCol w:w="925"/>
        <w:gridCol w:w="807"/>
        <w:gridCol w:w="808"/>
        <w:gridCol w:w="804"/>
        <w:gridCol w:w="804"/>
        <w:gridCol w:w="804"/>
        <w:gridCol w:w="846"/>
        <w:gridCol w:w="806"/>
        <w:gridCol w:w="805"/>
        <w:gridCol w:w="805"/>
      </w:tblGrid>
      <w:tr>
        <w:tblPrEx>
          <w:tblCellMar>
            <w:top w:w="0" w:type="dxa"/>
            <w:left w:w="108" w:type="dxa"/>
            <w:bottom w:w="0" w:type="dxa"/>
            <w:right w:w="108" w:type="dxa"/>
          </w:tblCellMar>
        </w:tblPrEx>
        <w:trPr>
          <w:trHeight w:val="440" w:hRule="atLeast"/>
        </w:trPr>
        <w:tc>
          <w:tcPr>
            <w:tcW w:w="87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30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51162323T000009520198-公办幼儿园运行经费</w:t>
            </w:r>
          </w:p>
        </w:tc>
      </w:tr>
      <w:tr>
        <w:tblPrEx>
          <w:tblCellMar>
            <w:top w:w="0" w:type="dxa"/>
            <w:left w:w="108" w:type="dxa"/>
            <w:bottom w:w="0" w:type="dxa"/>
            <w:right w:w="108" w:type="dxa"/>
          </w:tblCellMar>
        </w:tblPrEx>
        <w:trPr>
          <w:trHeight w:val="24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邻水县教育科技和体育局部门</w:t>
            </w:r>
          </w:p>
        </w:tc>
        <w:tc>
          <w:tcPr>
            <w:tcW w:w="810" w:type="dxa"/>
            <w:tcBorders>
              <w:top w:val="nil"/>
              <w:left w:val="nil"/>
              <w:bottom w:val="nil"/>
              <w:right w:val="nil"/>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实施单位 （盖章）</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邻水县九龙镇中心小学</w:t>
            </w:r>
          </w:p>
        </w:tc>
      </w:tr>
      <w:tr>
        <w:tblPrEx>
          <w:tblCellMar>
            <w:top w:w="0" w:type="dxa"/>
            <w:left w:w="108" w:type="dxa"/>
            <w:bottom w:w="0" w:type="dxa"/>
            <w:right w:w="108" w:type="dxa"/>
          </w:tblCellMar>
        </w:tblPrEx>
        <w:trPr>
          <w:trHeight w:val="24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cs="宋体"/>
                <w:color w:val="000000"/>
                <w:kern w:val="0"/>
                <w:sz w:val="18"/>
                <w:szCs w:val="18"/>
              </w:rPr>
            </w:pPr>
            <w:r>
              <w:rPr>
                <w:rFonts w:ascii="黑体" w:hAnsi="黑体" w:cs="宋体"/>
                <w:color w:val="000000"/>
                <w:kern w:val="0"/>
                <w:sz w:val="18"/>
                <w:szCs w:val="18"/>
              </w:rPr>
              <w:t>年度目标完成情况</w:t>
            </w: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4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58.61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58.61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cs="宋体"/>
                <w:i/>
                <w:iCs/>
                <w:color w:val="000000"/>
                <w:kern w:val="0"/>
                <w:sz w:val="18"/>
                <w:szCs w:val="18"/>
              </w:rPr>
            </w:pPr>
          </w:p>
        </w:tc>
      </w:tr>
      <w:tr>
        <w:tblPrEx>
          <w:tblCellMar>
            <w:top w:w="0" w:type="dxa"/>
            <w:left w:w="108" w:type="dxa"/>
            <w:bottom w:w="0" w:type="dxa"/>
            <w:right w:w="108" w:type="dxa"/>
          </w:tblCellMar>
        </w:tblPrEx>
        <w:trPr>
          <w:trHeight w:val="24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40" w:hRule="atLeast"/>
        </w:trPr>
        <w:tc>
          <w:tcPr>
            <w:tcW w:w="63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结合自评情况，说明项目自评总分，说明项目实施取得的成效或成果。（200字以内）</w:t>
            </w:r>
          </w:p>
        </w:tc>
      </w:tr>
      <w:tr>
        <w:tblPrEx>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结合自评情况，分析存在的问题及原因。（200字以内）</w:t>
            </w:r>
          </w:p>
        </w:tc>
      </w:tr>
      <w:tr>
        <w:tblPrEx>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针对项目自评中发现的问题，提出下一步改进完善的意见及有关政策性建议。（200字以内）</w:t>
            </w:r>
          </w:p>
        </w:tc>
      </w:tr>
      <w:tr>
        <w:tblPrEx>
          <w:tblCellMar>
            <w:top w:w="0" w:type="dxa"/>
            <w:left w:w="108" w:type="dxa"/>
            <w:bottom w:w="0" w:type="dxa"/>
            <w:right w:w="108" w:type="dxa"/>
          </w:tblCellMar>
        </w:tblPrEx>
        <w:trPr>
          <w:trHeight w:val="420" w:hRule="atLeast"/>
        </w:trPr>
        <w:tc>
          <w:tcPr>
            <w:tcW w:w="3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项目负责人：</w:t>
            </w:r>
          </w:p>
        </w:tc>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cs="宋体"/>
                <w:color w:val="000000"/>
                <w:kern w:val="0"/>
                <w:sz w:val="18"/>
                <w:szCs w:val="18"/>
              </w:rPr>
            </w:pPr>
            <w:r>
              <w:rPr>
                <w:rFonts w:ascii="黑体" w:hAnsi="黑体" w:cs="宋体"/>
                <w:color w:val="000000"/>
                <w:kern w:val="0"/>
                <w:sz w:val="18"/>
                <w:szCs w:val="18"/>
              </w:rPr>
              <w:t>财务负责人：</w:t>
            </w:r>
          </w:p>
        </w:tc>
      </w:tr>
    </w:tbl>
    <w:p>
      <w:pPr>
        <w:spacing w:line="600" w:lineRule="exact"/>
        <w:outlineLvl w:val="0"/>
        <w:rPr>
          <w:rStyle w:val="30"/>
          <w:rFonts w:ascii="黑体" w:hAnsi="黑体" w:eastAsia="黑体"/>
          <w:b w:val="0"/>
        </w:rPr>
      </w:pPr>
      <w:r>
        <w:rPr>
          <w:rFonts w:hint="eastAsia" w:ascii="黑体" w:hAnsi="黑体" w:eastAsia="黑体"/>
          <w:color w:val="000000"/>
          <w:sz w:val="44"/>
          <w:szCs w:val="44"/>
        </w:rPr>
        <w:t>第</w:t>
      </w:r>
      <w:r>
        <w:rPr>
          <w:rStyle w:val="30"/>
          <w:rFonts w:hint="eastAsia" w:ascii="黑体" w:hAnsi="黑体" w:eastAsia="黑体"/>
          <w:b w:val="0"/>
        </w:rPr>
        <w:t>五部分 附表</w:t>
      </w:r>
      <w:bookmarkEnd w:id="51"/>
    </w:p>
    <w:bookmarkEnd w:id="49"/>
    <w:p>
      <w:pPr>
        <w:pStyle w:val="4"/>
        <w:rPr>
          <w:rFonts w:ascii="仿宋" w:hAnsi="仿宋" w:eastAsia="仿宋" w:cs="Times New Roman"/>
          <w:b w:val="0"/>
          <w:color w:val="000000"/>
        </w:rPr>
      </w:pPr>
      <w:bookmarkStart w:id="52" w:name="_Toc15396619"/>
      <w:r>
        <w:rPr>
          <w:rFonts w:hint="eastAsia" w:ascii="仿宋" w:hAnsi="仿宋" w:eastAsia="仿宋" w:cs="Times New Roman"/>
          <w:b w:val="0"/>
          <w:color w:val="000000"/>
        </w:rPr>
        <w:t>一、收入支出决算总表</w:t>
      </w:r>
      <w:bookmarkEnd w:id="52"/>
    </w:p>
    <w:p>
      <w:pPr>
        <w:pStyle w:val="4"/>
        <w:rPr>
          <w:rFonts w:ascii="仿宋" w:hAnsi="仿宋" w:eastAsia="仿宋" w:cs="Times New Roman"/>
          <w:b w:val="0"/>
          <w:color w:val="000000"/>
        </w:rPr>
      </w:pPr>
      <w:bookmarkStart w:id="53" w:name="_Toc15396620"/>
      <w:r>
        <w:rPr>
          <w:rFonts w:hint="eastAsia" w:ascii="仿宋" w:hAnsi="仿宋" w:eastAsia="仿宋" w:cs="Times New Roman"/>
          <w:b w:val="0"/>
          <w:color w:val="000000"/>
        </w:rPr>
        <w:t>二、收入决算表</w:t>
      </w:r>
      <w:bookmarkEnd w:id="53"/>
    </w:p>
    <w:p>
      <w:pPr>
        <w:pStyle w:val="4"/>
        <w:rPr>
          <w:rFonts w:ascii="仿宋" w:hAnsi="仿宋" w:eastAsia="仿宋" w:cs="Times New Roman"/>
          <w:b w:val="0"/>
          <w:color w:val="000000"/>
        </w:rPr>
      </w:pPr>
      <w:bookmarkStart w:id="54" w:name="_Toc15396621"/>
      <w:r>
        <w:rPr>
          <w:rFonts w:hint="eastAsia" w:ascii="仿宋" w:hAnsi="仿宋" w:eastAsia="仿宋" w:cs="Times New Roman"/>
          <w:b w:val="0"/>
          <w:color w:val="000000"/>
        </w:rPr>
        <w:t>三、支出决算表</w:t>
      </w:r>
      <w:bookmarkEnd w:id="54"/>
    </w:p>
    <w:p>
      <w:pPr>
        <w:pStyle w:val="4"/>
        <w:rPr>
          <w:rFonts w:ascii="仿宋" w:hAnsi="仿宋" w:eastAsia="仿宋" w:cs="Times New Roman"/>
          <w:b w:val="0"/>
          <w:color w:val="000000"/>
        </w:rPr>
      </w:pPr>
      <w:bookmarkStart w:id="55" w:name="_Toc15396622"/>
      <w:r>
        <w:rPr>
          <w:rFonts w:hint="eastAsia" w:ascii="仿宋" w:hAnsi="仿宋" w:eastAsia="仿宋" w:cs="Times New Roman"/>
          <w:b w:val="0"/>
          <w:color w:val="000000"/>
        </w:rPr>
        <w:t>四、财政拨款收入支出决算总表</w:t>
      </w:r>
      <w:bookmarkEnd w:id="55"/>
    </w:p>
    <w:p>
      <w:pPr>
        <w:pStyle w:val="4"/>
        <w:rPr>
          <w:rFonts w:ascii="仿宋" w:hAnsi="仿宋" w:eastAsia="仿宋" w:cs="Times New Roman"/>
          <w:b w:val="0"/>
          <w:color w:val="000000"/>
        </w:rPr>
      </w:pPr>
      <w:bookmarkStart w:id="56" w:name="_Toc15396623"/>
      <w:r>
        <w:rPr>
          <w:rFonts w:hint="eastAsia" w:ascii="仿宋" w:hAnsi="仿宋" w:eastAsia="仿宋" w:cs="Times New Roman"/>
          <w:b w:val="0"/>
          <w:color w:val="000000"/>
        </w:rPr>
        <w:t>五、财政拨款支出决算明细表</w:t>
      </w:r>
      <w:bookmarkEnd w:id="56"/>
      <w:bookmarkStart w:id="57" w:name="_Toc15396624"/>
    </w:p>
    <w:p>
      <w:pPr>
        <w:pStyle w:val="4"/>
        <w:rPr>
          <w:rFonts w:ascii="仿宋" w:hAnsi="仿宋" w:eastAsia="仿宋" w:cs="Times New Roman"/>
          <w:b w:val="0"/>
          <w:color w:val="000000"/>
        </w:rPr>
      </w:pPr>
      <w:r>
        <w:rPr>
          <w:rFonts w:hint="eastAsia" w:ascii="仿宋" w:hAnsi="仿宋" w:eastAsia="仿宋" w:cs="Times New Roman"/>
          <w:b w:val="0"/>
          <w:color w:val="000000"/>
        </w:rPr>
        <w:t>六、一般公共预算财政拨款支出决算表</w:t>
      </w:r>
      <w:bookmarkEnd w:id="57"/>
    </w:p>
    <w:p>
      <w:pPr>
        <w:pStyle w:val="4"/>
        <w:rPr>
          <w:rFonts w:ascii="仿宋" w:hAnsi="仿宋" w:eastAsia="仿宋" w:cs="Times New Roman"/>
          <w:b w:val="0"/>
          <w:color w:val="000000"/>
        </w:rPr>
      </w:pPr>
      <w:bookmarkStart w:id="58" w:name="_Toc15396625"/>
      <w:r>
        <w:rPr>
          <w:rFonts w:hint="eastAsia" w:ascii="仿宋" w:hAnsi="仿宋" w:eastAsia="仿宋" w:cs="Times New Roman"/>
          <w:b w:val="0"/>
          <w:color w:val="000000"/>
        </w:rPr>
        <w:t>七、一般公共预算财政拨款支出决算明细表</w:t>
      </w:r>
      <w:bookmarkEnd w:id="58"/>
    </w:p>
    <w:p>
      <w:pPr>
        <w:pStyle w:val="4"/>
        <w:rPr>
          <w:rFonts w:ascii="仿宋" w:hAnsi="仿宋" w:eastAsia="仿宋" w:cs="Times New Roman"/>
          <w:b w:val="0"/>
          <w:color w:val="000000"/>
        </w:rPr>
      </w:pPr>
      <w:bookmarkStart w:id="59" w:name="_Toc15396626"/>
      <w:r>
        <w:rPr>
          <w:rFonts w:hint="eastAsia" w:ascii="仿宋" w:hAnsi="仿宋" w:eastAsia="仿宋" w:cs="Times New Roman"/>
          <w:b w:val="0"/>
          <w:color w:val="000000"/>
        </w:rPr>
        <w:t>八、一般公共预算财政拨款基本支出决算表</w:t>
      </w:r>
      <w:bookmarkEnd w:id="59"/>
    </w:p>
    <w:p>
      <w:pPr>
        <w:pStyle w:val="4"/>
        <w:rPr>
          <w:rFonts w:ascii="仿宋" w:hAnsi="仿宋" w:eastAsia="仿宋" w:cs="Times New Roman"/>
          <w:b w:val="0"/>
          <w:color w:val="000000"/>
        </w:rPr>
      </w:pPr>
      <w:bookmarkStart w:id="60" w:name="_Toc15396627"/>
      <w:r>
        <w:rPr>
          <w:rFonts w:hint="eastAsia" w:ascii="仿宋" w:hAnsi="仿宋" w:eastAsia="仿宋" w:cs="Times New Roman"/>
          <w:b w:val="0"/>
          <w:color w:val="000000"/>
        </w:rPr>
        <w:t>九、一般公共预算财政拨款项目支出决算表</w:t>
      </w:r>
      <w:bookmarkEnd w:id="60"/>
    </w:p>
    <w:p>
      <w:pPr>
        <w:pStyle w:val="4"/>
        <w:rPr>
          <w:rFonts w:ascii="仿宋" w:hAnsi="仿宋" w:eastAsia="仿宋" w:cs="Times New Roman"/>
          <w:b w:val="0"/>
          <w:color w:val="000000"/>
        </w:rPr>
      </w:pPr>
      <w:bookmarkStart w:id="61" w:name="_Toc15396629"/>
      <w:r>
        <w:rPr>
          <w:rFonts w:hint="eastAsia" w:ascii="仿宋" w:hAnsi="仿宋" w:eastAsia="仿宋" w:cs="Times New Roman"/>
          <w:b w:val="0"/>
          <w:color w:val="000000"/>
        </w:rPr>
        <w:t>十、政府性基金预算财政拨款收入支出决算表</w:t>
      </w:r>
      <w:bookmarkEnd w:id="61"/>
    </w:p>
    <w:p>
      <w:pPr>
        <w:pStyle w:val="4"/>
        <w:rPr>
          <w:rFonts w:ascii="仿宋" w:hAnsi="仿宋" w:eastAsia="仿宋" w:cs="Times New Roman"/>
          <w:b w:val="0"/>
          <w:color w:val="000000"/>
        </w:rPr>
      </w:pPr>
      <w:bookmarkStart w:id="62" w:name="_Toc15396631"/>
      <w:r>
        <w:rPr>
          <w:rFonts w:hint="eastAsia" w:ascii="仿宋" w:hAnsi="仿宋" w:eastAsia="仿宋" w:cs="Times New Roman"/>
          <w:b w:val="0"/>
          <w:color w:val="000000"/>
        </w:rPr>
        <w:t>十一、国有资本经营预算财政拨款收入支出决算表</w:t>
      </w:r>
    </w:p>
    <w:p>
      <w:pPr>
        <w:pStyle w:val="4"/>
        <w:rPr>
          <w:rFonts w:ascii="仿宋" w:hAnsi="仿宋" w:eastAsia="仿宋" w:cs="Times New Roman"/>
          <w:b w:val="0"/>
          <w:color w:val="000000"/>
        </w:rPr>
      </w:pPr>
      <w:r>
        <w:rPr>
          <w:rFonts w:hint="eastAsia" w:ascii="仿宋" w:hAnsi="仿宋" w:eastAsia="仿宋" w:cs="Times New Roman"/>
          <w:b w:val="0"/>
          <w:color w:val="000000"/>
        </w:rPr>
        <w:t>十二、国有资本经营预算财政拨款支出决算表</w:t>
      </w:r>
      <w:bookmarkEnd w:id="62"/>
    </w:p>
    <w:p>
      <w:pPr>
        <w:pStyle w:val="4"/>
        <w:rPr>
          <w:rFonts w:ascii="仿宋" w:hAnsi="仿宋" w:eastAsia="仿宋" w:cs="Times New Roman"/>
          <w:b w:val="0"/>
          <w:color w:val="000000"/>
        </w:rPr>
      </w:pPr>
      <w:r>
        <w:rPr>
          <w:rFonts w:hint="eastAsia" w:ascii="仿宋" w:hAnsi="仿宋" w:eastAsia="仿宋" w:cs="Times New Roman"/>
          <w:b w:val="0"/>
          <w:color w:val="000000"/>
        </w:rPr>
        <w:t>十三、财政拨款“三公”经费支出决算表</w:t>
      </w: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FAFE1"/>
    <w:multiLevelType w:val="singleLevel"/>
    <w:tmpl w:val="BB8FAFE1"/>
    <w:lvl w:ilvl="0" w:tentative="0">
      <w:start w:val="4"/>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0MWU5NGRiYzNjYjI4MzMzZjRhOWE1NDYyYmY4ZjE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1599"/>
    <w:rsid w:val="001D7531"/>
    <w:rsid w:val="001E737D"/>
    <w:rsid w:val="001F0592"/>
    <w:rsid w:val="001F7506"/>
    <w:rsid w:val="002006CD"/>
    <w:rsid w:val="00202B36"/>
    <w:rsid w:val="00203980"/>
    <w:rsid w:val="00204B7A"/>
    <w:rsid w:val="00204CDE"/>
    <w:rsid w:val="0021101A"/>
    <w:rsid w:val="00220536"/>
    <w:rsid w:val="00235629"/>
    <w:rsid w:val="002440E0"/>
    <w:rsid w:val="00260C38"/>
    <w:rsid w:val="002616C0"/>
    <w:rsid w:val="00265372"/>
    <w:rsid w:val="002662AA"/>
    <w:rsid w:val="00280496"/>
    <w:rsid w:val="00284086"/>
    <w:rsid w:val="00294DC9"/>
    <w:rsid w:val="00295495"/>
    <w:rsid w:val="002A31DE"/>
    <w:rsid w:val="002B2613"/>
    <w:rsid w:val="002D4CD1"/>
    <w:rsid w:val="002D6D05"/>
    <w:rsid w:val="002F1818"/>
    <w:rsid w:val="002F567B"/>
    <w:rsid w:val="00307B3E"/>
    <w:rsid w:val="003216A9"/>
    <w:rsid w:val="00326557"/>
    <w:rsid w:val="00335A74"/>
    <w:rsid w:val="00341114"/>
    <w:rsid w:val="0036561B"/>
    <w:rsid w:val="0037013F"/>
    <w:rsid w:val="00370338"/>
    <w:rsid w:val="0037625F"/>
    <w:rsid w:val="00377BF7"/>
    <w:rsid w:val="00380C92"/>
    <w:rsid w:val="003A484F"/>
    <w:rsid w:val="003A4883"/>
    <w:rsid w:val="003B0BE0"/>
    <w:rsid w:val="003B0C1B"/>
    <w:rsid w:val="003B39D8"/>
    <w:rsid w:val="003B688C"/>
    <w:rsid w:val="003C0291"/>
    <w:rsid w:val="003C39AE"/>
    <w:rsid w:val="003C7B60"/>
    <w:rsid w:val="003D0C0F"/>
    <w:rsid w:val="003D1FB2"/>
    <w:rsid w:val="003D267A"/>
    <w:rsid w:val="003D66DA"/>
    <w:rsid w:val="003E1310"/>
    <w:rsid w:val="003E51ED"/>
    <w:rsid w:val="003E6F55"/>
    <w:rsid w:val="00406254"/>
    <w:rsid w:val="004223DE"/>
    <w:rsid w:val="00434489"/>
    <w:rsid w:val="00434A85"/>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E45F6"/>
    <w:rsid w:val="005F1A4C"/>
    <w:rsid w:val="00605688"/>
    <w:rsid w:val="006070AF"/>
    <w:rsid w:val="00607E6C"/>
    <w:rsid w:val="006101B1"/>
    <w:rsid w:val="00614E44"/>
    <w:rsid w:val="0061583C"/>
    <w:rsid w:val="0062270A"/>
    <w:rsid w:val="00622830"/>
    <w:rsid w:val="00623DA0"/>
    <w:rsid w:val="00630AEF"/>
    <w:rsid w:val="006325F8"/>
    <w:rsid w:val="00633463"/>
    <w:rsid w:val="00634C9A"/>
    <w:rsid w:val="006440E4"/>
    <w:rsid w:val="0066343B"/>
    <w:rsid w:val="00664777"/>
    <w:rsid w:val="00666790"/>
    <w:rsid w:val="006748A4"/>
    <w:rsid w:val="00681A31"/>
    <w:rsid w:val="00683E73"/>
    <w:rsid w:val="006A3141"/>
    <w:rsid w:val="006A5E34"/>
    <w:rsid w:val="006A5FD6"/>
    <w:rsid w:val="006B2422"/>
    <w:rsid w:val="006B2B9A"/>
    <w:rsid w:val="006C1937"/>
    <w:rsid w:val="006E70DE"/>
    <w:rsid w:val="006F020C"/>
    <w:rsid w:val="007127B7"/>
    <w:rsid w:val="0071798E"/>
    <w:rsid w:val="007416B6"/>
    <w:rsid w:val="00746F48"/>
    <w:rsid w:val="0075404D"/>
    <w:rsid w:val="0076182A"/>
    <w:rsid w:val="00765DE9"/>
    <w:rsid w:val="00767B7E"/>
    <w:rsid w:val="007770C3"/>
    <w:rsid w:val="00784D24"/>
    <w:rsid w:val="00785FBA"/>
    <w:rsid w:val="00786E4A"/>
    <w:rsid w:val="007875EB"/>
    <w:rsid w:val="0079426B"/>
    <w:rsid w:val="007A0224"/>
    <w:rsid w:val="007A7F8A"/>
    <w:rsid w:val="007D1682"/>
    <w:rsid w:val="007D312A"/>
    <w:rsid w:val="007D3F19"/>
    <w:rsid w:val="007E0ADE"/>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3CC5"/>
    <w:rsid w:val="00855221"/>
    <w:rsid w:val="00860645"/>
    <w:rsid w:val="008669DF"/>
    <w:rsid w:val="00871F71"/>
    <w:rsid w:val="00872FD8"/>
    <w:rsid w:val="00885AF4"/>
    <w:rsid w:val="008939CD"/>
    <w:rsid w:val="008A4A6D"/>
    <w:rsid w:val="008B768C"/>
    <w:rsid w:val="008C4DB1"/>
    <w:rsid w:val="008C4EAF"/>
    <w:rsid w:val="008C5176"/>
    <w:rsid w:val="008C7FD0"/>
    <w:rsid w:val="008E1DE7"/>
    <w:rsid w:val="008E707C"/>
    <w:rsid w:val="008F43BF"/>
    <w:rsid w:val="00900B08"/>
    <w:rsid w:val="00902155"/>
    <w:rsid w:val="00902FA3"/>
    <w:rsid w:val="009059F6"/>
    <w:rsid w:val="00923564"/>
    <w:rsid w:val="0092392E"/>
    <w:rsid w:val="009315F9"/>
    <w:rsid w:val="00933499"/>
    <w:rsid w:val="00935C98"/>
    <w:rsid w:val="00946945"/>
    <w:rsid w:val="00951248"/>
    <w:rsid w:val="0095152F"/>
    <w:rsid w:val="00954C49"/>
    <w:rsid w:val="00955520"/>
    <w:rsid w:val="00955E37"/>
    <w:rsid w:val="0097099F"/>
    <w:rsid w:val="00971997"/>
    <w:rsid w:val="00971FFC"/>
    <w:rsid w:val="0098660A"/>
    <w:rsid w:val="0099145A"/>
    <w:rsid w:val="009931C3"/>
    <w:rsid w:val="009975B7"/>
    <w:rsid w:val="009B2C43"/>
    <w:rsid w:val="009B4EAE"/>
    <w:rsid w:val="009B7573"/>
    <w:rsid w:val="009C22F4"/>
    <w:rsid w:val="009C2A4B"/>
    <w:rsid w:val="009C2E98"/>
    <w:rsid w:val="009C562B"/>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187"/>
    <w:rsid w:val="00B77EA6"/>
    <w:rsid w:val="00B8025B"/>
    <w:rsid w:val="00B81598"/>
    <w:rsid w:val="00B841F1"/>
    <w:rsid w:val="00B944D6"/>
    <w:rsid w:val="00B95923"/>
    <w:rsid w:val="00BB4DF0"/>
    <w:rsid w:val="00BC1AA8"/>
    <w:rsid w:val="00BC289F"/>
    <w:rsid w:val="00BC2D50"/>
    <w:rsid w:val="00BC5361"/>
    <w:rsid w:val="00BC5460"/>
    <w:rsid w:val="00BC6B50"/>
    <w:rsid w:val="00BD0E25"/>
    <w:rsid w:val="00BF5BD6"/>
    <w:rsid w:val="00C03E31"/>
    <w:rsid w:val="00C205F0"/>
    <w:rsid w:val="00C33E72"/>
    <w:rsid w:val="00C354B2"/>
    <w:rsid w:val="00C35554"/>
    <w:rsid w:val="00C42709"/>
    <w:rsid w:val="00C533CC"/>
    <w:rsid w:val="00C5751C"/>
    <w:rsid w:val="00C61BFC"/>
    <w:rsid w:val="00C62B85"/>
    <w:rsid w:val="00C65438"/>
    <w:rsid w:val="00C87FD8"/>
    <w:rsid w:val="00C91381"/>
    <w:rsid w:val="00C913BB"/>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7846"/>
    <w:rsid w:val="00DF28BC"/>
    <w:rsid w:val="00DF34B9"/>
    <w:rsid w:val="00DF4A5F"/>
    <w:rsid w:val="00E01053"/>
    <w:rsid w:val="00E07ACF"/>
    <w:rsid w:val="00E07DE9"/>
    <w:rsid w:val="00E32A1E"/>
    <w:rsid w:val="00E331A1"/>
    <w:rsid w:val="00E33202"/>
    <w:rsid w:val="00E336A9"/>
    <w:rsid w:val="00E472B1"/>
    <w:rsid w:val="00E50624"/>
    <w:rsid w:val="00E568DF"/>
    <w:rsid w:val="00E64269"/>
    <w:rsid w:val="00E72D38"/>
    <w:rsid w:val="00E82267"/>
    <w:rsid w:val="00E853CE"/>
    <w:rsid w:val="00E867B6"/>
    <w:rsid w:val="00EA010F"/>
    <w:rsid w:val="00EA5CF4"/>
    <w:rsid w:val="00EB7924"/>
    <w:rsid w:val="00ED1B63"/>
    <w:rsid w:val="00ED3C1F"/>
    <w:rsid w:val="00ED4085"/>
    <w:rsid w:val="00ED420E"/>
    <w:rsid w:val="00ED6FBE"/>
    <w:rsid w:val="00EE2F57"/>
    <w:rsid w:val="00EE7030"/>
    <w:rsid w:val="00EF4C34"/>
    <w:rsid w:val="00EF77C6"/>
    <w:rsid w:val="00F05438"/>
    <w:rsid w:val="00F1361C"/>
    <w:rsid w:val="00F156F0"/>
    <w:rsid w:val="00F160C7"/>
    <w:rsid w:val="00F2408F"/>
    <w:rsid w:val="00F240E9"/>
    <w:rsid w:val="00F36D8F"/>
    <w:rsid w:val="00F417B1"/>
    <w:rsid w:val="00F45853"/>
    <w:rsid w:val="00F602DF"/>
    <w:rsid w:val="00F754A1"/>
    <w:rsid w:val="00F808CD"/>
    <w:rsid w:val="00F81FD9"/>
    <w:rsid w:val="00F841AA"/>
    <w:rsid w:val="00F84A94"/>
    <w:rsid w:val="00F87E96"/>
    <w:rsid w:val="00FA23E8"/>
    <w:rsid w:val="00FD3CC1"/>
    <w:rsid w:val="00FD7009"/>
    <w:rsid w:val="00FF1E02"/>
    <w:rsid w:val="00FF30B4"/>
    <w:rsid w:val="046F156E"/>
    <w:rsid w:val="05427F03"/>
    <w:rsid w:val="059A0DE5"/>
    <w:rsid w:val="0669648E"/>
    <w:rsid w:val="06B801E1"/>
    <w:rsid w:val="07811094"/>
    <w:rsid w:val="09B3669D"/>
    <w:rsid w:val="0A2032A3"/>
    <w:rsid w:val="0ACB72E5"/>
    <w:rsid w:val="0BD1285F"/>
    <w:rsid w:val="0DE21480"/>
    <w:rsid w:val="0E4366B0"/>
    <w:rsid w:val="0EFA1A40"/>
    <w:rsid w:val="101138F8"/>
    <w:rsid w:val="10C055FF"/>
    <w:rsid w:val="10F27253"/>
    <w:rsid w:val="118107EC"/>
    <w:rsid w:val="16663C3A"/>
    <w:rsid w:val="16BB723D"/>
    <w:rsid w:val="1793097A"/>
    <w:rsid w:val="17CC72B4"/>
    <w:rsid w:val="17E04445"/>
    <w:rsid w:val="18534BA8"/>
    <w:rsid w:val="19375FF7"/>
    <w:rsid w:val="196B071C"/>
    <w:rsid w:val="1B835D4B"/>
    <w:rsid w:val="1C401CF8"/>
    <w:rsid w:val="1D155CEE"/>
    <w:rsid w:val="1DA84AE0"/>
    <w:rsid w:val="1DC54782"/>
    <w:rsid w:val="1E8B5456"/>
    <w:rsid w:val="206258ED"/>
    <w:rsid w:val="240371BF"/>
    <w:rsid w:val="24270C66"/>
    <w:rsid w:val="26172211"/>
    <w:rsid w:val="267C3CAA"/>
    <w:rsid w:val="28084775"/>
    <w:rsid w:val="29E05FA7"/>
    <w:rsid w:val="29FD04D3"/>
    <w:rsid w:val="2BD58DEE"/>
    <w:rsid w:val="2BDC73E3"/>
    <w:rsid w:val="2CF92D3D"/>
    <w:rsid w:val="2F5D990D"/>
    <w:rsid w:val="30240B15"/>
    <w:rsid w:val="30B97C74"/>
    <w:rsid w:val="31981078"/>
    <w:rsid w:val="319F7F4E"/>
    <w:rsid w:val="31C06AA2"/>
    <w:rsid w:val="32356F4D"/>
    <w:rsid w:val="34D66C80"/>
    <w:rsid w:val="34F95C4F"/>
    <w:rsid w:val="35B53C53"/>
    <w:rsid w:val="3673742E"/>
    <w:rsid w:val="36CF5679"/>
    <w:rsid w:val="36F358E7"/>
    <w:rsid w:val="384F1DA4"/>
    <w:rsid w:val="387E5813"/>
    <w:rsid w:val="39B90593"/>
    <w:rsid w:val="3A8B515E"/>
    <w:rsid w:val="3C66733D"/>
    <w:rsid w:val="3D065BAF"/>
    <w:rsid w:val="3D3F73AB"/>
    <w:rsid w:val="3DC82045"/>
    <w:rsid w:val="3F553734"/>
    <w:rsid w:val="3FB12C3E"/>
    <w:rsid w:val="3FF84251"/>
    <w:rsid w:val="3FFA232E"/>
    <w:rsid w:val="40DA35F8"/>
    <w:rsid w:val="4194777E"/>
    <w:rsid w:val="421666B2"/>
    <w:rsid w:val="454C5F25"/>
    <w:rsid w:val="4574072F"/>
    <w:rsid w:val="47005240"/>
    <w:rsid w:val="47B01E42"/>
    <w:rsid w:val="47EA0BB9"/>
    <w:rsid w:val="482A15FB"/>
    <w:rsid w:val="49A30776"/>
    <w:rsid w:val="4BD535D8"/>
    <w:rsid w:val="4D1C71ED"/>
    <w:rsid w:val="4ECE2238"/>
    <w:rsid w:val="50667B86"/>
    <w:rsid w:val="54431184"/>
    <w:rsid w:val="54734EA2"/>
    <w:rsid w:val="55C04EA2"/>
    <w:rsid w:val="56C9FFDE"/>
    <w:rsid w:val="5AD600FA"/>
    <w:rsid w:val="5C8807C0"/>
    <w:rsid w:val="5DE3652F"/>
    <w:rsid w:val="5EB246E5"/>
    <w:rsid w:val="61841F69"/>
    <w:rsid w:val="631122C9"/>
    <w:rsid w:val="635F0608"/>
    <w:rsid w:val="64A12391"/>
    <w:rsid w:val="65513E3C"/>
    <w:rsid w:val="65B869EB"/>
    <w:rsid w:val="670673E8"/>
    <w:rsid w:val="67704F2B"/>
    <w:rsid w:val="69FA5763"/>
    <w:rsid w:val="6AA92AB4"/>
    <w:rsid w:val="6C4A05C8"/>
    <w:rsid w:val="6CC24F80"/>
    <w:rsid w:val="6CEE2D6F"/>
    <w:rsid w:val="6D4D6A44"/>
    <w:rsid w:val="6ED36BA4"/>
    <w:rsid w:val="6F072F89"/>
    <w:rsid w:val="70C075D3"/>
    <w:rsid w:val="711145C1"/>
    <w:rsid w:val="715D5961"/>
    <w:rsid w:val="71972731"/>
    <w:rsid w:val="72734D90"/>
    <w:rsid w:val="72A67A76"/>
    <w:rsid w:val="75585ABA"/>
    <w:rsid w:val="759B6318"/>
    <w:rsid w:val="76950A1B"/>
    <w:rsid w:val="76A2144D"/>
    <w:rsid w:val="774F572B"/>
    <w:rsid w:val="779A6D27"/>
    <w:rsid w:val="78395EF6"/>
    <w:rsid w:val="7908556B"/>
    <w:rsid w:val="79C008CD"/>
    <w:rsid w:val="7B6BF4D3"/>
    <w:rsid w:val="7CDC7CD3"/>
    <w:rsid w:val="7E7B7C1B"/>
    <w:rsid w:val="7FAF5630"/>
    <w:rsid w:val="B9BDA6A3"/>
    <w:rsid w:val="EFFEF9CE"/>
    <w:rsid w:val="F73557F3"/>
    <w:rsid w:val="FDEA2DE3"/>
    <w:rsid w:val="FED51A50"/>
    <w:rsid w:val="FEEFAD60"/>
    <w:rsid w:val="FFFF39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qFormat/>
    <w:uiPriority w:val="9"/>
    <w:rPr>
      <w:rFonts w:ascii="Times New Roman" w:hAnsi="Times New Roman"/>
      <w:b/>
      <w:bCs/>
      <w:kern w:val="44"/>
      <w:sz w:val="44"/>
      <w:szCs w:val="44"/>
    </w:rPr>
  </w:style>
  <w:style w:type="character" w:customStyle="1" w:styleId="25">
    <w:name w:val="标题 2 Char"/>
    <w:basedOn w:val="13"/>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标题 1 Char1"/>
    <w:basedOn w:val="13"/>
    <w:link w:val="3"/>
    <w:qFormat/>
    <w:uiPriority w:val="9"/>
    <w:rPr>
      <w:rFonts w:ascii="Times New Roman" w:hAnsi="Times New Roman"/>
      <w:b/>
      <w:bCs/>
      <w:kern w:val="44"/>
      <w:sz w:val="44"/>
      <w:szCs w:val="44"/>
    </w:rPr>
  </w:style>
  <w:style w:type="character" w:customStyle="1" w:styleId="31">
    <w:name w:val="标题 2 Char1"/>
    <w:basedOn w:val="13"/>
    <w:link w:val="4"/>
    <w:qFormat/>
    <w:uiPriority w:val="9"/>
    <w:rPr>
      <w:rFonts w:asciiTheme="majorHAnsi" w:hAnsiTheme="majorHAnsi" w:eastAsiaTheme="majorEastAsia" w:cstheme="majorBidi"/>
      <w:b/>
      <w:bCs/>
      <w:kern w:val="2"/>
      <w:sz w:val="32"/>
      <w:szCs w:val="32"/>
    </w:rPr>
  </w:style>
  <w:style w:type="character" w:customStyle="1" w:styleId="32">
    <w:name w:val="15"/>
    <w:basedOn w:val="13"/>
    <w:qFormat/>
    <w:uiPriority w:val="0"/>
    <w:rPr>
      <w:rFonts w:hint="default" w:ascii="Times New Roman" w:hAnsi="Times New Roman" w:cs="Times New Roman"/>
      <w:b/>
    </w:rPr>
  </w:style>
  <w:style w:type="paragraph" w:styleId="3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1"/>
          <c:order val="0"/>
          <c:tx>
            <c:strRef>
              <c:f>Sheet1!$A$3</c:f>
              <c:strCache>
                <c:ptCount val="1"/>
                <c:pt idx="0">
                  <c:v>支出</c:v>
                </c:pt>
              </c:strCache>
            </c:strRef>
          </c:tx>
          <c:invertIfNegative val="0"/>
          <c:dLbls>
            <c:delete val="1"/>
          </c:dLbls>
          <c:cat>
            <c:numRef>
              <c:f>Sheet1!$B$1:$E$1</c:f>
              <c:numCache>
                <c:formatCode>General</c:formatCode>
                <c:ptCount val="4"/>
                <c:pt idx="0">
                  <c:v>2022</c:v>
                </c:pt>
                <c:pt idx="1">
                  <c:v>2023</c:v>
                </c:pt>
              </c:numCache>
            </c:numRef>
          </c:cat>
          <c:val>
            <c:numRef>
              <c:f>Sheet1!$B$3:$E$3</c:f>
              <c:numCache>
                <c:formatCode>General</c:formatCode>
                <c:ptCount val="4"/>
                <c:pt idx="0">
                  <c:v>2674.93</c:v>
                </c:pt>
                <c:pt idx="1">
                  <c:v>4178.2</c:v>
                </c:pt>
              </c:numCache>
            </c:numRef>
          </c:val>
        </c:ser>
        <c:dLbls>
          <c:showLegendKey val="0"/>
          <c:showVal val="0"/>
          <c:showCatName val="0"/>
          <c:showSerName val="0"/>
          <c:showPercent val="0"/>
          <c:showBubbleSize val="0"/>
        </c:dLbls>
        <c:gapWidth val="150"/>
        <c:axId val="83612416"/>
        <c:axId val="83613952"/>
      </c:barChart>
      <c:barChart>
        <c:barDir val="col"/>
        <c:grouping val="clustered"/>
        <c:varyColors val="0"/>
        <c:ser>
          <c:idx val="0"/>
          <c:order val="1"/>
          <c:tx>
            <c:strRef>
              <c:f>Sheet1!$A$2</c:f>
              <c:strCache>
                <c:ptCount val="1"/>
                <c:pt idx="0">
                  <c:v>收入</c:v>
                </c:pt>
              </c:strCache>
            </c:strRef>
          </c:tx>
          <c:invertIfNegative val="0"/>
          <c:dLbls>
            <c:delete val="1"/>
          </c:dLbls>
          <c:cat>
            <c:numRef>
              <c:f>Sheet1!$B$1:$E$1</c:f>
              <c:numCache>
                <c:formatCode>General</c:formatCode>
                <c:ptCount val="4"/>
                <c:pt idx="0">
                  <c:v>2022</c:v>
                </c:pt>
                <c:pt idx="1">
                  <c:v>2023</c:v>
                </c:pt>
              </c:numCache>
            </c:numRef>
          </c:cat>
          <c:val>
            <c:numRef>
              <c:f>Sheet1!$B$2:$E$2</c:f>
              <c:numCache>
                <c:formatCode>General</c:formatCode>
                <c:ptCount val="4"/>
                <c:pt idx="0">
                  <c:v>2674.93</c:v>
                </c:pt>
                <c:pt idx="1">
                  <c:v>4178.2</c:v>
                </c:pt>
              </c:numCache>
            </c:numRef>
          </c:val>
        </c:ser>
        <c:ser>
          <c:idx val="2"/>
          <c:order val="2"/>
          <c:tx>
            <c:strRef>
              <c:f>Sheet1!$C$5:$C$6</c:f>
              <c:strCache>
                <c:ptCount val="1"/>
                <c:pt idx="0">
                  <c:v/>
                </c:pt>
              </c:strCache>
            </c:strRef>
          </c:tx>
          <c:invertIfNegative val="0"/>
          <c:dLbls>
            <c:delete val="1"/>
          </c:dLbls>
          <c:val>
            <c:numRef>
              <c:f>{1}</c:f>
              <c:numCache>
                <c:formatCode>General</c:formatCode>
                <c:ptCount val="1"/>
                <c:pt idx="0">
                  <c:v>1</c:v>
                </c:pt>
              </c:numCache>
            </c:numRef>
          </c:val>
        </c:ser>
        <c:dLbls>
          <c:showLegendKey val="0"/>
          <c:showVal val="0"/>
          <c:showCatName val="0"/>
          <c:showSerName val="0"/>
          <c:showPercent val="0"/>
          <c:showBubbleSize val="0"/>
        </c:dLbls>
        <c:gapWidth val="150"/>
        <c:axId val="40755200"/>
        <c:axId val="40756736"/>
      </c:barChart>
      <c:catAx>
        <c:axId val="83612416"/>
        <c:scaling>
          <c:orientation val="minMax"/>
        </c:scaling>
        <c:delete val="0"/>
        <c:axPos val="b"/>
        <c:numFmt formatCode="General" sourceLinked="1"/>
        <c:majorTickMark val="none"/>
        <c:minorTickMark val="none"/>
        <c:tickLblPos val="low"/>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613952"/>
        <c:crosses val="autoZero"/>
        <c:auto val="1"/>
        <c:lblAlgn val="ctr"/>
        <c:lblOffset val="100"/>
        <c:tickLblSkip val="1"/>
        <c:noMultiLvlLbl val="0"/>
      </c:catAx>
      <c:valAx>
        <c:axId val="83613952"/>
        <c:scaling>
          <c:orientation val="minMax"/>
          <c:max val="5000"/>
          <c:min val="1000"/>
        </c:scaling>
        <c:delete val="0"/>
        <c:axPos val="l"/>
        <c:majorGridlines/>
        <c:numFmt formatCode="General"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612416"/>
        <c:crosses val="autoZero"/>
        <c:crossBetween val="between"/>
        <c:majorUnit val="1000"/>
      </c:valAx>
      <c:catAx>
        <c:axId val="40755200"/>
        <c:scaling>
          <c:orientation val="minMax"/>
        </c:scaling>
        <c:delete val="1"/>
        <c:axPos val="b"/>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756736"/>
        <c:crosses val="autoZero"/>
        <c:auto val="1"/>
        <c:lblAlgn val="ctr"/>
        <c:lblOffset val="100"/>
        <c:noMultiLvlLbl val="0"/>
      </c:catAx>
      <c:valAx>
        <c:axId val="40756736"/>
        <c:scaling>
          <c:orientation val="minMax"/>
        </c:scaling>
        <c:delete val="1"/>
        <c:axPos val="r"/>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755200"/>
        <c:crosses val="max"/>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200" b="1" i="0" u="none" strike="noStrike" kern="1200" baseline="0">
                <a:solidFill>
                  <a:sysClr val="windowText" lastClr="000000"/>
                </a:solidFill>
                <a:latin typeface="+mn-lt"/>
                <a:ea typeface="+mn-ea"/>
                <a:cs typeface="+mn-cs"/>
              </a:defRPr>
            </a:pPr>
            <a:r>
              <a:rPr lang="zh-CN" altLang="en-US" sz="1800">
                <a:effectLst/>
              </a:rPr>
              <a:t>财政拨款收入：</a:t>
            </a:r>
            <a:r>
              <a:rPr lang="en-US" altLang="zh-CN" sz="1800">
                <a:effectLst/>
              </a:rPr>
              <a:t>4178.2</a:t>
            </a:r>
            <a:r>
              <a:rPr lang="zh-CN" altLang="en-US" sz="1800">
                <a:effectLst/>
              </a:rPr>
              <a:t>万元</a:t>
            </a:r>
            <a:endParaRPr lang="zh-CN" altLang="en-US" sz="1800">
              <a:effectLst/>
            </a:endParaRPr>
          </a:p>
        </c:rich>
      </c:tx>
      <c:layout>
        <c:manualLayout>
          <c:xMode val="edge"/>
          <c:yMode val="edge"/>
          <c:x val="0.206740749786299"/>
          <c:y val="0.00753579502637528"/>
        </c:manualLayout>
      </c:layout>
      <c:overlay val="0"/>
    </c:title>
    <c:autoTitleDeleted val="0"/>
    <c:plotArea>
      <c:layout/>
      <c:pieChart>
        <c:varyColors val="1"/>
        <c:ser>
          <c:idx val="0"/>
          <c:order val="0"/>
          <c:tx>
            <c:strRef>
              <c:f>Sheet1!$B$1</c:f>
              <c:strCache>
                <c:ptCount val="1"/>
                <c:pt idx="0">
                  <c:v>收入</c:v>
                </c:pt>
              </c:strCache>
            </c:strRef>
          </c:tx>
          <c:explosion val="0"/>
          <c:dPt>
            <c:idx val="0"/>
            <c:bubble3D val="0"/>
          </c:dPt>
          <c:dLbls>
            <c:delete val="1"/>
          </c:dLbls>
          <c:cat>
            <c:strRef>
              <c:f>Sheet1!$A$2</c:f>
              <c:strCache>
                <c:ptCount val="1"/>
                <c:pt idx="0">
                  <c:v>一般公共预算财政拨款</c:v>
                </c:pt>
              </c:strCache>
            </c:strRef>
          </c:cat>
          <c:val>
            <c:numRef>
              <c:f>Sheet1!$B$2</c:f>
              <c:numCache>
                <c:formatCode>General</c:formatCode>
                <c:ptCount val="1"/>
                <c:pt idx="0">
                  <c:v>4178.2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2216387837343"/>
          <c:y val="0.30419492589801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a:t>支出：</a:t>
            </a:r>
            <a:r>
              <a:rPr lang="en-US" altLang="zh-CN"/>
              <a:t>4178.2</a:t>
            </a:r>
            <a:r>
              <a:rPr lang="zh-CN" altLang="en-US"/>
              <a:t>万元</a:t>
            </a:r>
            <a:endParaRPr lang="zh-CN"/>
          </a:p>
        </c:rich>
      </c:tx>
      <c:layout/>
      <c:overlay val="0"/>
    </c:title>
    <c:autoTitleDeleted val="0"/>
    <c:plotArea>
      <c:layout/>
      <c:pieChart>
        <c:varyColors val="1"/>
        <c:ser>
          <c:idx val="0"/>
          <c:order val="0"/>
          <c:tx>
            <c:strRef>
              <c:f>Sheet1!$B$1</c:f>
              <c:strCache>
                <c:ptCount val="1"/>
                <c:pt idx="0">
                  <c:v>支出</c:v>
                </c:pt>
              </c:strCache>
            </c:strRef>
          </c:tx>
          <c:spPr>
            <a:solidFill>
              <a:schemeClr val="tx2"/>
            </a:solidFill>
          </c:spPr>
          <c:explosion val="0"/>
          <c:dPt>
            <c:idx val="0"/>
            <c:bubble3D val="0"/>
            <c:spPr>
              <a:solidFill>
                <a:schemeClr val="tx2"/>
              </a:solidFill>
            </c:spPr>
          </c:dPt>
          <c:dLbls>
            <c:delete val="1"/>
          </c:dLbls>
          <c:cat>
            <c:strRef>
              <c:f>Sheet1!$A$2</c:f>
              <c:strCache>
                <c:ptCount val="1"/>
                <c:pt idx="0">
                  <c:v>基本支出</c:v>
                </c:pt>
              </c:strCache>
            </c:strRef>
          </c:cat>
          <c:val>
            <c:numRef>
              <c:f>Sheet1!$B$2</c:f>
              <c:numCache>
                <c:formatCode>General</c:formatCode>
                <c:ptCount val="1"/>
                <c:pt idx="0">
                  <c:v>4178.2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5485407253633"/>
          <c:y val="0.297287113790505"/>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sz="10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200" b="1" i="0" u="none" strike="noStrike" baseline="0">
                <a:effectLst/>
              </a:rPr>
              <a:t>财政拨款收入支出决算总体情况</a:t>
            </a:r>
            <a:endParaRPr lang="zh-CN" altLang="en-US" sz="1200"/>
          </a:p>
        </c:rich>
      </c:tx>
      <c:layout/>
      <c:overlay val="0"/>
    </c:title>
    <c:autoTitleDeleted val="0"/>
    <c:plotArea>
      <c:layout/>
      <c:barChart>
        <c:barDir val="col"/>
        <c:grouping val="clustered"/>
        <c:varyColors val="0"/>
        <c:ser>
          <c:idx val="0"/>
          <c:order val="0"/>
          <c:tx>
            <c:strRef>
              <c:f>Sheet1!$A$2</c:f>
              <c:strCache>
                <c:ptCount val="1"/>
                <c:pt idx="0">
                  <c:v>收入</c:v>
                </c:pt>
              </c:strCache>
            </c:strRef>
          </c:tx>
          <c:invertIfNegative val="0"/>
          <c:dLbls>
            <c:delete val="1"/>
          </c:dLbls>
          <c:cat>
            <c:numRef>
              <c:f>Sheet1!$B$1:$E$1</c:f>
              <c:numCache>
                <c:formatCode>General</c:formatCode>
                <c:ptCount val="4"/>
                <c:pt idx="0">
                  <c:v>2022</c:v>
                </c:pt>
                <c:pt idx="1">
                  <c:v>2023</c:v>
                </c:pt>
              </c:numCache>
            </c:numRef>
          </c:cat>
          <c:val>
            <c:numRef>
              <c:f>Sheet1!$B$2:$E$2</c:f>
              <c:numCache>
                <c:formatCode>General</c:formatCode>
                <c:ptCount val="4"/>
                <c:pt idx="0">
                  <c:v>2674.93</c:v>
                </c:pt>
                <c:pt idx="1">
                  <c:v>4178.2</c:v>
                </c:pt>
              </c:numCache>
            </c:numRef>
          </c:val>
        </c:ser>
        <c:ser>
          <c:idx val="1"/>
          <c:order val="1"/>
          <c:tx>
            <c:strRef>
              <c:f>Sheet1!$A$3</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Sheet1!$B$1:$E$1</c:f>
              <c:numCache>
                <c:formatCode>General</c:formatCode>
                <c:ptCount val="4"/>
                <c:pt idx="0">
                  <c:v>2022</c:v>
                </c:pt>
                <c:pt idx="1">
                  <c:v>2023</c:v>
                </c:pt>
              </c:numCache>
            </c:numRef>
          </c:cat>
          <c:val>
            <c:numRef>
              <c:f>Sheet1!$B$3:$E$3</c:f>
              <c:numCache>
                <c:formatCode>General</c:formatCode>
                <c:ptCount val="4"/>
                <c:pt idx="0">
                  <c:v>2674.93</c:v>
                </c:pt>
                <c:pt idx="1">
                  <c:v>4178.2</c:v>
                </c:pt>
              </c:numCache>
            </c:numRef>
          </c:val>
        </c:ser>
        <c:dLbls>
          <c:showLegendKey val="0"/>
          <c:showVal val="0"/>
          <c:showCatName val="0"/>
          <c:showSerName val="0"/>
          <c:showPercent val="0"/>
          <c:showBubbleSize val="0"/>
        </c:dLbls>
        <c:gapWidth val="150"/>
        <c:axId val="91968640"/>
        <c:axId val="91970176"/>
      </c:barChart>
      <c:catAx>
        <c:axId val="91968640"/>
        <c:scaling>
          <c:orientation val="minMax"/>
        </c:scaling>
        <c:delete val="0"/>
        <c:axPos val="b"/>
        <c:numFmt formatCode="General" sourceLinked="1"/>
        <c:majorTickMark val="none"/>
        <c:minorTickMark val="none"/>
        <c:tickLblPos val="low"/>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70176"/>
        <c:crosses val="autoZero"/>
        <c:auto val="1"/>
        <c:lblAlgn val="ctr"/>
        <c:lblOffset val="100"/>
        <c:tickLblSkip val="1"/>
        <c:noMultiLvlLbl val="0"/>
      </c:catAx>
      <c:valAx>
        <c:axId val="91970176"/>
        <c:scaling>
          <c:orientation val="minMax"/>
          <c:max val="5000"/>
          <c:min val="1000"/>
        </c:scaling>
        <c:delete val="0"/>
        <c:axPos val="l"/>
        <c:majorGridlines/>
        <c:numFmt formatCode="General"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68640"/>
        <c:crosses val="autoZero"/>
        <c:crossBetween val="between"/>
        <c:majorUnit val="1000"/>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200" b="1" i="0" u="none" strike="noStrike" baseline="0">
                <a:effectLst/>
              </a:rPr>
              <a:t>一般公共预算财政拨款支出决算变动情况</a:t>
            </a:r>
            <a:endParaRPr lang="zh-CN" altLang="en-US" sz="1200"/>
          </a:p>
        </c:rich>
      </c:tx>
      <c:layout/>
      <c:overlay val="0"/>
    </c:title>
    <c:autoTitleDeleted val="0"/>
    <c:plotArea>
      <c:layout/>
      <c:barChart>
        <c:barDir val="col"/>
        <c:grouping val="clustered"/>
        <c:varyColors val="0"/>
        <c:ser>
          <c:idx val="1"/>
          <c:order val="0"/>
          <c:tx>
            <c:strRef>
              <c:f>Sheet1!$A$3</c:f>
              <c:strCache>
                <c:ptCount val="1"/>
                <c:pt idx="0">
                  <c:v>支出</c:v>
                </c:pt>
              </c:strCache>
            </c:strRef>
          </c:tx>
          <c:invertIfNegative val="0"/>
          <c:dLbls>
            <c:delete val="1"/>
          </c:dLbls>
          <c:cat>
            <c:numRef>
              <c:f>Sheet1!$B$1:$E$1</c:f>
              <c:numCache>
                <c:formatCode>General</c:formatCode>
                <c:ptCount val="4"/>
                <c:pt idx="0">
                  <c:v>2022</c:v>
                </c:pt>
                <c:pt idx="1">
                  <c:v>2023</c:v>
                </c:pt>
              </c:numCache>
            </c:numRef>
          </c:cat>
          <c:val>
            <c:numRef>
              <c:f>Sheet1!$B$3:$E$3</c:f>
              <c:numCache>
                <c:formatCode>General</c:formatCode>
                <c:ptCount val="4"/>
                <c:pt idx="0">
                  <c:v>2674.93</c:v>
                </c:pt>
                <c:pt idx="1">
                  <c:v>4178.2</c:v>
                </c:pt>
              </c:numCache>
            </c:numRef>
          </c:val>
        </c:ser>
        <c:dLbls>
          <c:showLegendKey val="0"/>
          <c:showVal val="0"/>
          <c:showCatName val="0"/>
          <c:showSerName val="0"/>
          <c:showPercent val="0"/>
          <c:showBubbleSize val="0"/>
        </c:dLbls>
        <c:gapWidth val="150"/>
        <c:axId val="92000256"/>
        <c:axId val="92001792"/>
      </c:barChart>
      <c:catAx>
        <c:axId val="92000256"/>
        <c:scaling>
          <c:orientation val="minMax"/>
        </c:scaling>
        <c:delete val="0"/>
        <c:axPos val="b"/>
        <c:numFmt formatCode="General" sourceLinked="1"/>
        <c:majorTickMark val="none"/>
        <c:minorTickMark val="none"/>
        <c:tickLblPos val="low"/>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001792"/>
        <c:crosses val="autoZero"/>
        <c:auto val="1"/>
        <c:lblAlgn val="ctr"/>
        <c:lblOffset val="100"/>
        <c:tickLblSkip val="1"/>
        <c:noMultiLvlLbl val="0"/>
      </c:catAx>
      <c:valAx>
        <c:axId val="92001792"/>
        <c:scaling>
          <c:orientation val="minMax"/>
          <c:max val="5000"/>
          <c:min val="1000"/>
        </c:scaling>
        <c:delete val="0"/>
        <c:axPos val="l"/>
        <c:numFmt formatCode="General"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000256"/>
        <c:crosses val="autoZero"/>
        <c:crossBetween val="between"/>
        <c:majorUnit val="1000"/>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社会保障和就业（类）支出</c:v>
                </c:pt>
                <c:pt idx="2">
                  <c:v>卫生健康支出</c:v>
                </c:pt>
                <c:pt idx="3">
                  <c:v>住房保障支出</c:v>
                </c:pt>
              </c:strCache>
            </c:strRef>
          </c:cat>
          <c:val>
            <c:numRef>
              <c:f>Sheet1!$B$2:$B$5</c:f>
              <c:numCache>
                <c:formatCode>0.00%</c:formatCode>
                <c:ptCount val="4"/>
                <c:pt idx="0">
                  <c:v>0.7168</c:v>
                </c:pt>
                <c:pt idx="1">
                  <c:v>0.1962</c:v>
                </c:pt>
                <c:pt idx="2">
                  <c:v>0.0248</c:v>
                </c:pt>
                <c:pt idx="3">
                  <c:v>0.0622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sz="10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explosion val="0"/>
          <c:dPt>
            <c:idx val="0"/>
            <c:bubble3D val="0"/>
          </c:dPt>
          <c:dPt>
            <c:idx val="1"/>
            <c:bubble3D val="0"/>
          </c:dPt>
          <c:dPt>
            <c:idx val="2"/>
            <c:bubble3D val="0"/>
          </c:dPt>
          <c:dLbls>
            <c:delete val="1"/>
          </c:dLbls>
          <c:cat>
            <c:strRef>
              <c:f>Sheet1!$A$2:$A$4</c:f>
              <c:strCache>
                <c:ptCount val="3"/>
                <c:pt idx="0">
                  <c:v>国内公务接待经费</c:v>
                </c:pt>
                <c:pt idx="1">
                  <c:v>公务用车费</c:v>
                </c:pt>
                <c:pt idx="2">
                  <c:v>公务出国费</c:v>
                </c:pt>
              </c:strCache>
            </c:strRef>
          </c:cat>
          <c:val>
            <c:numRef>
              <c:f>Sheet1!$B$2:$B$4</c:f>
              <c:numCache>
                <c:formatCode>0.00%</c:formatCode>
                <c:ptCount val="3"/>
                <c:pt idx="0">
                  <c:v>1</c:v>
                </c:pt>
                <c:pt idx="1">
                  <c:v>0</c:v>
                </c:pt>
                <c:pt idx="2">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sz="10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1BE54-81C5-40AC-AE33-AC419C0EA8C7}">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5949</Words>
  <Characters>8422</Characters>
  <Lines>27</Lines>
  <Paragraphs>18</Paragraphs>
  <TotalTime>0</TotalTime>
  <ScaleCrop>false</ScaleCrop>
  <LinksUpToDate>false</LinksUpToDate>
  <CharactersWithSpaces>8509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2024-08-23T08:36:00Z</dcterms:created>
  <dc:creator>曹颖</dc:creator>
  <cp:lastModifiedBy>傲寒松</cp:lastModifiedBy>
  <cp:lastPrinted>2023-04-12T10:39:00Z</cp:lastPrinted>
  <dcterms:modified xsi:type="dcterms:W3CDTF">2024-12-19T08:08:58Z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6ED91A9DDFC342DCA4AFAEB268B6AB17_13</vt:lpwstr>
  </property>
</Properties>
</file>