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276" w:lineRule="auto"/>
      </w:pPr>
    </w:p>
    <w:p>
      <w:pPr>
        <w:overflowPunct w:val="0"/>
        <w:spacing w:line="276" w:lineRule="auto"/>
      </w:pPr>
    </w:p>
    <w:p>
      <w:pPr>
        <w:overflowPunct w:val="0"/>
        <w:jc w:val="center"/>
        <w:rPr>
          <w:rFonts w:ascii="方正小标宋_GBK" w:eastAsia="方正小标宋_GBK"/>
          <w:b/>
          <w:sz w:val="44"/>
          <w:szCs w:val="44"/>
        </w:rPr>
      </w:pPr>
      <w:r>
        <w:rPr>
          <w:rFonts w:hint="eastAsia" w:ascii="方正小标宋_GBK" w:eastAsia="方正小标宋_GBK"/>
          <w:b/>
          <w:sz w:val="44"/>
          <w:szCs w:val="44"/>
        </w:rPr>
        <w:t>2023年度四川省邻水县山水林田湖资源</w:t>
      </w:r>
    </w:p>
    <w:p>
      <w:pPr>
        <w:overflowPunct w:val="0"/>
        <w:jc w:val="center"/>
        <w:rPr>
          <w:rFonts w:ascii="方正小标宋_GBK" w:eastAsia="方正小标宋_GBK"/>
          <w:b/>
          <w:sz w:val="44"/>
          <w:szCs w:val="44"/>
        </w:rPr>
        <w:sectPr>
          <w:footerReference r:id="rId3" w:type="default"/>
          <w:footerReference r:id="rId4" w:type="even"/>
          <w:pgSz w:w="11906" w:h="16838"/>
          <w:pgMar w:top="2041" w:right="1531" w:bottom="1701" w:left="1531" w:header="851" w:footer="1474" w:gutter="0"/>
          <w:cols w:space="425" w:num="1"/>
          <w:titlePg/>
          <w:docGrid w:type="lines" w:linePitch="590" w:charSpace="0"/>
        </w:sectPr>
      </w:pPr>
      <w:r>
        <w:rPr>
          <w:rFonts w:hint="eastAsia" w:ascii="方正小标宋_GBK" w:eastAsia="方正小标宋_GBK"/>
          <w:b/>
          <w:sz w:val="44"/>
          <w:szCs w:val="44"/>
        </w:rPr>
        <w:t>保护中心部门决算</w:t>
      </w:r>
    </w:p>
    <w:p>
      <w:pPr>
        <w:widowControl/>
        <w:jc w:val="center"/>
        <w:rPr>
          <w:rFonts w:ascii="方正黑体_GBK" w:hAnsi="黑体" w:eastAsia="方正黑体_GBK"/>
          <w:sz w:val="48"/>
          <w:szCs w:val="48"/>
        </w:rPr>
      </w:pPr>
      <w:r>
        <w:rPr>
          <w:rFonts w:hint="eastAsia" w:ascii="方正黑体_GBK" w:hAnsi="黑体" w:eastAsia="方正黑体_GBK"/>
          <w:sz w:val="48"/>
          <w:szCs w:val="48"/>
        </w:rPr>
        <w:t>目录</w:t>
      </w:r>
    </w:p>
    <w:p>
      <w:pPr>
        <w:pStyle w:val="6"/>
        <w:spacing w:line="590" w:lineRule="exact"/>
        <w:rPr>
          <w:rFonts w:ascii="Times New Roman" w:hAnsi="Times New Roman" w:eastAsia="方正仿宋_GBK"/>
          <w:sz w:val="33"/>
          <w:szCs w:val="33"/>
        </w:rPr>
      </w:pPr>
      <w:r>
        <w:rPr>
          <w:rFonts w:ascii="Times New Roman" w:hAnsi="Times New Roman" w:eastAsia="方正仿宋_GBK"/>
          <w:sz w:val="33"/>
          <w:szCs w:val="33"/>
        </w:rPr>
        <w:t>公开时间：202</w:t>
      </w:r>
      <w:r>
        <w:rPr>
          <w:rFonts w:hint="eastAsia" w:ascii="Times New Roman" w:hAnsi="Times New Roman" w:eastAsia="方正仿宋_GBK"/>
          <w:sz w:val="33"/>
          <w:szCs w:val="33"/>
        </w:rPr>
        <w:t>4</w:t>
      </w:r>
      <w:r>
        <w:rPr>
          <w:rFonts w:ascii="Times New Roman" w:hAnsi="Times New Roman" w:eastAsia="方正仿宋_GBK"/>
          <w:sz w:val="33"/>
          <w:szCs w:val="33"/>
        </w:rPr>
        <w:t>年</w:t>
      </w:r>
      <w:r>
        <w:rPr>
          <w:rFonts w:hint="eastAsia" w:ascii="Times New Roman" w:hAnsi="Times New Roman" w:eastAsia="方正仿宋_GBK"/>
          <w:sz w:val="33"/>
          <w:szCs w:val="33"/>
        </w:rPr>
        <w:t>8</w:t>
      </w:r>
      <w:r>
        <w:rPr>
          <w:rFonts w:ascii="Times New Roman" w:hAnsi="Times New Roman" w:eastAsia="方正仿宋_GBK"/>
          <w:sz w:val="33"/>
          <w:szCs w:val="33"/>
        </w:rPr>
        <w:t>月</w:t>
      </w:r>
      <w:r>
        <w:rPr>
          <w:rFonts w:hint="eastAsia" w:ascii="Times New Roman" w:hAnsi="Times New Roman" w:eastAsia="方正仿宋_GBK"/>
          <w:sz w:val="33"/>
          <w:szCs w:val="33"/>
        </w:rPr>
        <w:t>2</w:t>
      </w:r>
      <w:r>
        <w:rPr>
          <w:rFonts w:hint="eastAsia" w:ascii="Times New Roman" w:hAnsi="Times New Roman" w:eastAsia="方正仿宋_GBK"/>
          <w:sz w:val="33"/>
          <w:szCs w:val="33"/>
          <w:lang w:val="en-US" w:eastAsia="zh-CN"/>
        </w:rPr>
        <w:t>7</w:t>
      </w:r>
      <w:r>
        <w:rPr>
          <w:rFonts w:ascii="Times New Roman" w:hAnsi="Times New Roman" w:eastAsia="方正仿宋_GBK"/>
          <w:sz w:val="33"/>
          <w:szCs w:val="33"/>
        </w:rPr>
        <w:t>日</w:t>
      </w:r>
    </w:p>
    <w:p>
      <w:pPr>
        <w:pStyle w:val="6"/>
        <w:adjustRightInd w:val="0"/>
        <w:snapToGrid w:val="0"/>
        <w:spacing w:before="0" w:line="590" w:lineRule="exact"/>
        <w:jc w:val="left"/>
        <w:rPr>
          <w:rFonts w:ascii="Times New Roman" w:hAnsi="Times New Roman" w:eastAsia="方正仿宋_GBK"/>
          <w:sz w:val="33"/>
          <w:szCs w:val="33"/>
        </w:rPr>
      </w:pPr>
    </w:p>
    <w:p>
      <w:pPr>
        <w:pStyle w:val="6"/>
        <w:adjustRightInd w:val="0"/>
        <w:snapToGrid w:val="0"/>
        <w:spacing w:before="0" w:line="590" w:lineRule="exact"/>
        <w:jc w:val="left"/>
        <w:rPr>
          <w:rFonts w:ascii="Times New Roman" w:hAnsi="Times New Roman" w:eastAsia="方正仿宋_GBK"/>
          <w:sz w:val="33"/>
          <w:szCs w:val="33"/>
        </w:rPr>
      </w:pPr>
      <w:r>
        <w:rPr>
          <w:rFonts w:ascii="Times New Roman" w:hAnsi="Times New Roman" w:eastAsia="方正仿宋_GBK"/>
          <w:sz w:val="33"/>
          <w:szCs w:val="33"/>
        </w:rPr>
        <w:t>第一部分 部门概况……………………………………………</w:t>
      </w:r>
      <w:r>
        <w:rPr>
          <w:rFonts w:hint="eastAsia" w:ascii="Times New Roman" w:hAnsi="Times New Roman" w:eastAsia="方正仿宋_GBK"/>
          <w:sz w:val="33"/>
          <w:szCs w:val="33"/>
        </w:rPr>
        <w:t>..4</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一、部门职责………………………………………………</w:t>
      </w:r>
      <w:r>
        <w:rPr>
          <w:rFonts w:hint="eastAsia" w:ascii="Times New Roman" w:hAnsi="Times New Roman" w:eastAsia="方正仿宋_GBK"/>
          <w:sz w:val="33"/>
          <w:szCs w:val="33"/>
        </w:rPr>
        <w:t>4</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二、机构设置………………………………………………</w:t>
      </w:r>
      <w:r>
        <w:rPr>
          <w:rFonts w:hint="eastAsia" w:ascii="Times New Roman" w:hAnsi="Times New Roman" w:eastAsia="方正仿宋_GBK"/>
          <w:sz w:val="33"/>
          <w:szCs w:val="33"/>
        </w:rPr>
        <w:t>4</w:t>
      </w:r>
    </w:p>
    <w:p>
      <w:pPr>
        <w:pStyle w:val="6"/>
        <w:adjustRightInd w:val="0"/>
        <w:snapToGrid w:val="0"/>
        <w:spacing w:before="0" w:line="590" w:lineRule="exact"/>
        <w:jc w:val="left"/>
        <w:rPr>
          <w:rFonts w:ascii="Times New Roman" w:hAnsi="Times New Roman" w:eastAsia="方正仿宋_GBK"/>
          <w:sz w:val="33"/>
          <w:szCs w:val="33"/>
        </w:rPr>
      </w:pPr>
      <w:r>
        <w:rPr>
          <w:rFonts w:ascii="Times New Roman" w:hAnsi="Times New Roman" w:eastAsia="方正仿宋_GBK"/>
          <w:sz w:val="33"/>
          <w:szCs w:val="33"/>
        </w:rPr>
        <w:t>第二部分 2023年度部门决算情况说明………………………</w:t>
      </w:r>
      <w:r>
        <w:rPr>
          <w:rFonts w:hint="eastAsia" w:ascii="Times New Roman" w:hAnsi="Times New Roman" w:eastAsia="方正仿宋_GBK"/>
          <w:sz w:val="33"/>
          <w:szCs w:val="33"/>
        </w:rPr>
        <w:t>.6</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一、收入支出决算总体情况说明…………………………</w:t>
      </w:r>
      <w:r>
        <w:rPr>
          <w:rFonts w:hint="eastAsia" w:ascii="Times New Roman" w:hAnsi="Times New Roman" w:eastAsia="方正仿宋_GBK"/>
          <w:sz w:val="33"/>
          <w:szCs w:val="33"/>
        </w:rPr>
        <w:t>6</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二、收入决算情况说明……………………………………</w:t>
      </w:r>
      <w:r>
        <w:rPr>
          <w:rFonts w:hint="eastAsia" w:ascii="Times New Roman" w:hAnsi="Times New Roman" w:eastAsia="方正仿宋_GBK"/>
          <w:sz w:val="33"/>
          <w:szCs w:val="33"/>
        </w:rPr>
        <w:t>6</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三、支出决算情况说明……………………………………</w:t>
      </w:r>
      <w:r>
        <w:rPr>
          <w:rFonts w:hint="eastAsia" w:ascii="Times New Roman" w:hAnsi="Times New Roman" w:eastAsia="方正仿宋_GBK"/>
          <w:sz w:val="33"/>
          <w:szCs w:val="33"/>
        </w:rPr>
        <w:t>7</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四、财政拨款收入支出决算总体情况说明………………</w:t>
      </w:r>
      <w:r>
        <w:rPr>
          <w:rFonts w:hint="eastAsia" w:ascii="Times New Roman" w:hAnsi="Times New Roman" w:eastAsia="方正仿宋_GBK"/>
          <w:sz w:val="33"/>
          <w:szCs w:val="33"/>
        </w:rPr>
        <w:t>7</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五、一般公共预算财政拨款支出决算情况说明…………</w:t>
      </w:r>
      <w:r>
        <w:rPr>
          <w:rFonts w:hint="eastAsia" w:ascii="Times New Roman" w:hAnsi="Times New Roman" w:eastAsia="方正仿宋_GBK"/>
          <w:sz w:val="33"/>
          <w:szCs w:val="33"/>
        </w:rPr>
        <w:t>7</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六、一般公共预算财政拨款基本支出决算情况说明……</w:t>
      </w:r>
      <w:r>
        <w:rPr>
          <w:rFonts w:hint="eastAsia" w:ascii="Times New Roman" w:hAnsi="Times New Roman" w:eastAsia="方正仿宋_GBK"/>
          <w:sz w:val="33"/>
          <w:szCs w:val="33"/>
        </w:rPr>
        <w:t>9</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七、财政拨款“三公”经费支出决算情况说明………</w:t>
      </w:r>
      <w:r>
        <w:rPr>
          <w:rFonts w:hint="eastAsia" w:ascii="Times New Roman" w:hAnsi="Times New Roman" w:eastAsia="方正仿宋_GBK"/>
          <w:sz w:val="33"/>
          <w:szCs w:val="33"/>
        </w:rPr>
        <w:t>...</w:t>
      </w:r>
      <w:r>
        <w:rPr>
          <w:rFonts w:ascii="Times New Roman" w:hAnsi="Times New Roman" w:eastAsia="方正仿宋_GBK"/>
          <w:sz w:val="33"/>
          <w:szCs w:val="33"/>
        </w:rPr>
        <w:t>…</w:t>
      </w:r>
      <w:r>
        <w:rPr>
          <w:rFonts w:hint="eastAsia" w:ascii="Times New Roman" w:hAnsi="Times New Roman" w:eastAsia="方正仿宋_GBK"/>
          <w:sz w:val="33"/>
          <w:szCs w:val="33"/>
        </w:rPr>
        <w:t>10</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八、政府性基金预算支出决算情况说明……………</w:t>
      </w:r>
      <w:r>
        <w:rPr>
          <w:rFonts w:hint="eastAsia" w:ascii="Times New Roman" w:hAnsi="Times New Roman" w:eastAsia="方正仿宋_GBK"/>
          <w:sz w:val="33"/>
          <w:szCs w:val="33"/>
        </w:rPr>
        <w:t>.</w:t>
      </w:r>
      <w:r>
        <w:rPr>
          <w:rFonts w:ascii="Times New Roman" w:hAnsi="Times New Roman" w:eastAsia="方正仿宋_GBK"/>
          <w:sz w:val="33"/>
          <w:szCs w:val="33"/>
        </w:rPr>
        <w:t>…</w:t>
      </w:r>
      <w:r>
        <w:rPr>
          <w:rFonts w:hint="eastAsia" w:ascii="Times New Roman" w:hAnsi="Times New Roman" w:eastAsia="方正仿宋_GBK"/>
          <w:sz w:val="33"/>
          <w:szCs w:val="33"/>
        </w:rPr>
        <w:t>..11</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九、国有资本经营预算支出决算情况说明……</w:t>
      </w:r>
      <w:r>
        <w:rPr>
          <w:rFonts w:hint="eastAsia" w:ascii="Times New Roman" w:hAnsi="Times New Roman" w:eastAsia="方正仿宋_GBK"/>
          <w:sz w:val="33"/>
          <w:szCs w:val="33"/>
        </w:rPr>
        <w:t>...</w:t>
      </w:r>
      <w:r>
        <w:rPr>
          <w:rFonts w:ascii="Times New Roman" w:hAnsi="Times New Roman" w:eastAsia="方正仿宋_GBK"/>
          <w:sz w:val="33"/>
          <w:szCs w:val="33"/>
        </w:rPr>
        <w:t>………</w:t>
      </w:r>
      <w:r>
        <w:rPr>
          <w:rFonts w:hint="eastAsia" w:ascii="Times New Roman" w:hAnsi="Times New Roman" w:eastAsia="方正仿宋_GBK"/>
          <w:sz w:val="33"/>
          <w:szCs w:val="33"/>
        </w:rPr>
        <w:t>11</w:t>
      </w:r>
    </w:p>
    <w:p>
      <w:pPr>
        <w:pStyle w:val="7"/>
        <w:adjustRightInd w:val="0"/>
        <w:snapToGrid w:val="0"/>
        <w:spacing w:line="590" w:lineRule="exact"/>
        <w:ind w:left="660"/>
        <w:jc w:val="left"/>
        <w:rPr>
          <w:rFonts w:ascii="Times New Roman" w:hAnsi="Times New Roman" w:eastAsia="方正仿宋_GBK"/>
          <w:sz w:val="33"/>
          <w:szCs w:val="33"/>
        </w:rPr>
      </w:pPr>
      <w:r>
        <w:rPr>
          <w:rStyle w:val="12"/>
          <w:rFonts w:ascii="Times New Roman" w:hAnsi="Times New Roman" w:eastAsia="方正仿宋_GBK"/>
          <w:color w:val="auto"/>
          <w:sz w:val="33"/>
          <w:szCs w:val="33"/>
          <w:u w:val="none"/>
        </w:rPr>
        <w:t>十、</w:t>
      </w:r>
      <w:r>
        <w:rPr>
          <w:rFonts w:ascii="Times New Roman" w:hAnsi="Times New Roman" w:eastAsia="方正仿宋_GBK"/>
          <w:sz w:val="33"/>
          <w:szCs w:val="33"/>
        </w:rPr>
        <w:t>其他重要事项的情况说明…………………………</w:t>
      </w:r>
      <w:r>
        <w:rPr>
          <w:rFonts w:hint="eastAsia" w:ascii="Times New Roman" w:hAnsi="Times New Roman" w:eastAsia="方正仿宋_GBK"/>
          <w:sz w:val="33"/>
          <w:szCs w:val="33"/>
        </w:rPr>
        <w:t>...11</w:t>
      </w:r>
    </w:p>
    <w:p>
      <w:pPr>
        <w:pStyle w:val="6"/>
        <w:adjustRightInd w:val="0"/>
        <w:snapToGrid w:val="0"/>
        <w:spacing w:before="0" w:line="590" w:lineRule="exact"/>
        <w:jc w:val="left"/>
        <w:rPr>
          <w:rFonts w:ascii="Times New Roman" w:hAnsi="Times New Roman" w:eastAsia="方正仿宋_GBK"/>
          <w:sz w:val="33"/>
          <w:szCs w:val="33"/>
        </w:rPr>
      </w:pPr>
      <w:r>
        <w:rPr>
          <w:rFonts w:ascii="Times New Roman" w:hAnsi="Times New Roman" w:eastAsia="方正仿宋_GBK"/>
          <w:sz w:val="33"/>
          <w:szCs w:val="33"/>
        </w:rPr>
        <w:t>第三部分 名词解释…………………………………</w:t>
      </w:r>
      <w:r>
        <w:rPr>
          <w:rFonts w:hint="eastAsia" w:ascii="Times New Roman" w:hAnsi="Times New Roman" w:eastAsia="方正仿宋_GBK"/>
          <w:sz w:val="33"/>
          <w:szCs w:val="33"/>
        </w:rPr>
        <w:t>.</w:t>
      </w:r>
      <w:r>
        <w:rPr>
          <w:rFonts w:ascii="Times New Roman" w:hAnsi="Times New Roman" w:eastAsia="方正仿宋_GBK"/>
          <w:sz w:val="33"/>
          <w:szCs w:val="33"/>
        </w:rPr>
        <w:t>…………</w:t>
      </w:r>
      <w:r>
        <w:rPr>
          <w:rFonts w:hint="eastAsia" w:ascii="Times New Roman" w:hAnsi="Times New Roman" w:eastAsia="方正仿宋_GBK"/>
          <w:sz w:val="33"/>
          <w:szCs w:val="33"/>
        </w:rPr>
        <w:t>13</w:t>
      </w:r>
    </w:p>
    <w:p>
      <w:pPr>
        <w:pStyle w:val="6"/>
        <w:adjustRightInd w:val="0"/>
        <w:snapToGrid w:val="0"/>
        <w:spacing w:before="0" w:line="590" w:lineRule="exact"/>
        <w:jc w:val="left"/>
        <w:rPr>
          <w:rFonts w:ascii="Times New Roman" w:hAnsi="Times New Roman" w:eastAsia="方正仿宋_GBK"/>
          <w:sz w:val="33"/>
          <w:szCs w:val="33"/>
        </w:rPr>
      </w:pPr>
      <w:r>
        <w:rPr>
          <w:rFonts w:ascii="Times New Roman" w:hAnsi="Times New Roman" w:eastAsia="方正仿宋_GBK"/>
          <w:sz w:val="33"/>
          <w:szCs w:val="33"/>
        </w:rPr>
        <w:t>第四部分 附件…………………………………………………</w:t>
      </w:r>
      <w:r>
        <w:rPr>
          <w:rFonts w:hint="eastAsia" w:ascii="Times New Roman" w:hAnsi="Times New Roman" w:eastAsia="方正仿宋_GBK"/>
          <w:sz w:val="33"/>
          <w:szCs w:val="33"/>
        </w:rPr>
        <w:t>.15</w:t>
      </w:r>
    </w:p>
    <w:p>
      <w:pPr>
        <w:pStyle w:val="6"/>
        <w:adjustRightInd w:val="0"/>
        <w:snapToGrid w:val="0"/>
        <w:spacing w:before="0" w:line="590" w:lineRule="exact"/>
        <w:jc w:val="left"/>
        <w:rPr>
          <w:rFonts w:ascii="Times New Roman" w:hAnsi="Times New Roman" w:eastAsia="方正仿宋_GBK"/>
          <w:sz w:val="33"/>
          <w:szCs w:val="33"/>
        </w:rPr>
      </w:pPr>
      <w:r>
        <w:rPr>
          <w:rFonts w:ascii="Times New Roman" w:hAnsi="Times New Roman" w:eastAsia="方正仿宋_GBK"/>
          <w:sz w:val="33"/>
          <w:szCs w:val="33"/>
        </w:rPr>
        <w:t>第五部分 附表……………………………………</w:t>
      </w:r>
      <w:r>
        <w:rPr>
          <w:rFonts w:hint="eastAsia" w:ascii="Times New Roman" w:hAnsi="Times New Roman" w:eastAsia="方正仿宋_GBK"/>
          <w:sz w:val="33"/>
          <w:szCs w:val="33"/>
        </w:rPr>
        <w:t>.</w:t>
      </w:r>
      <w:r>
        <w:rPr>
          <w:rFonts w:ascii="Times New Roman" w:hAnsi="Times New Roman" w:eastAsia="方正仿宋_GBK"/>
          <w:sz w:val="33"/>
          <w:szCs w:val="33"/>
        </w:rPr>
        <w:t>……………</w:t>
      </w:r>
      <w:r>
        <w:rPr>
          <w:rFonts w:hint="eastAsia" w:ascii="Times New Roman" w:hAnsi="Times New Roman" w:eastAsia="方正仿宋_GBK"/>
          <w:sz w:val="33"/>
          <w:szCs w:val="33"/>
        </w:rPr>
        <w:t>21</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一、收入支出决算总表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二、收入决算表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三、支出决算表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四、财政拨款收入支出决算总表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五、财政拨款支出决算明细表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六、一般公共预算财政拨款支出决算表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七、一般公共预算财政拨款支出决算明细表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八、一般公共预算财政拨款基本支出决算明细表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九、一般公共预算财政拨款项目支出决算表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十、政府性基金预算财政拨款收入支出决算表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十一、国有资本经营预算财政拨款收入支出决算表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十二、国有资本经营预算财政拨款支出决算表</w:t>
      </w:r>
    </w:p>
    <w:p>
      <w:pPr>
        <w:pStyle w:val="7"/>
        <w:adjustRightInd w:val="0"/>
        <w:snapToGrid w:val="0"/>
        <w:spacing w:line="590" w:lineRule="exact"/>
        <w:ind w:left="660"/>
        <w:jc w:val="left"/>
        <w:rPr>
          <w:rFonts w:ascii="Times New Roman" w:hAnsi="Times New Roman" w:eastAsia="方正仿宋_GBK"/>
          <w:sz w:val="33"/>
          <w:szCs w:val="33"/>
        </w:rPr>
      </w:pPr>
      <w:r>
        <w:rPr>
          <w:rFonts w:ascii="Times New Roman" w:hAnsi="Times New Roman" w:eastAsia="方正仿宋_GBK"/>
          <w:sz w:val="33"/>
          <w:szCs w:val="33"/>
        </w:rPr>
        <w:t>十三、财政拨款“三公”经费支出决算表</w:t>
      </w:r>
    </w:p>
    <w:p>
      <w:pPr>
        <w:widowControl/>
        <w:jc w:val="left"/>
        <w:rPr>
          <w:rFonts w:cs="Times New Roman"/>
          <w:szCs w:val="33"/>
        </w:rPr>
      </w:pPr>
      <w:r>
        <w:rPr>
          <w:rFonts w:cs="Times New Roman"/>
          <w:szCs w:val="33"/>
        </w:rPr>
        <w:br w:type="page"/>
      </w:r>
    </w:p>
    <w:p>
      <w:pPr>
        <w:overflowPunct w:val="0"/>
        <w:spacing w:line="590" w:lineRule="exact"/>
        <w:jc w:val="center"/>
        <w:rPr>
          <w:rFonts w:ascii="方正黑体_GBK" w:eastAsia="方正黑体_GBK"/>
          <w:sz w:val="44"/>
          <w:szCs w:val="44"/>
        </w:rPr>
      </w:pPr>
      <w:r>
        <w:rPr>
          <w:rFonts w:hint="eastAsia" w:ascii="方正黑体_GBK" w:eastAsia="方正黑体_GBK"/>
          <w:sz w:val="44"/>
          <w:szCs w:val="44"/>
        </w:rPr>
        <w:t>第一部分 部门概况</w:t>
      </w: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黑体_GBK" w:eastAsia="方正黑体_GBK"/>
          <w:szCs w:val="33"/>
        </w:rPr>
      </w:pPr>
      <w:r>
        <w:rPr>
          <w:rFonts w:hint="eastAsia" w:ascii="方正黑体_GBK" w:eastAsia="方正黑体_GBK"/>
          <w:szCs w:val="33"/>
        </w:rPr>
        <w:t>一、部门职责</w:t>
      </w:r>
    </w:p>
    <w:p>
      <w:pPr>
        <w:pStyle w:val="2"/>
        <w:spacing w:after="0" w:line="590" w:lineRule="exact"/>
        <w:ind w:firstLine="660" w:firstLineChars="200"/>
        <w:rPr>
          <w:szCs w:val="33"/>
        </w:rPr>
      </w:pPr>
      <w:r>
        <w:rPr>
          <w:szCs w:val="33"/>
        </w:rPr>
        <w:t>1.贯彻落实党中央关于山水林田湖草生态保护修复工作的方针政策和上级的决策部署。负责开展政策梳理、加强相关政策研究，参与拟订相关贯彻落实政策文件。</w:t>
      </w:r>
    </w:p>
    <w:p>
      <w:pPr>
        <w:pStyle w:val="2"/>
        <w:spacing w:after="0" w:line="590" w:lineRule="exact"/>
        <w:ind w:firstLine="660" w:firstLineChars="200"/>
        <w:rPr>
          <w:szCs w:val="33"/>
        </w:rPr>
      </w:pPr>
      <w:r>
        <w:rPr>
          <w:szCs w:val="33"/>
        </w:rPr>
        <w:t>2.负责动态掌握全县山水林田湖生态资源现状，根据全县国土空间生态修复、环境治理等规划，组织编制矿山环境治理恢复、土地整治与污染修复、生物多样性保护、流域水环境保护治理、重要生态系统保护修复等总体及分年度实施方案，并细化分解落实相关部门工作目标。</w:t>
      </w:r>
    </w:p>
    <w:p>
      <w:pPr>
        <w:pStyle w:val="2"/>
        <w:spacing w:after="0" w:line="590" w:lineRule="exact"/>
        <w:ind w:firstLine="660" w:firstLineChars="200"/>
        <w:rPr>
          <w:szCs w:val="33"/>
        </w:rPr>
      </w:pPr>
      <w:r>
        <w:rPr>
          <w:szCs w:val="33"/>
        </w:rPr>
        <w:t>3.负责指导全县山水林田湖生态保护修复工程项目实施。及时收集报送全县山水林田湖生态保护修复工程建设进展情况，协调解决项目实施有关重大事项。</w:t>
      </w:r>
    </w:p>
    <w:p>
      <w:pPr>
        <w:pStyle w:val="2"/>
        <w:spacing w:after="0" w:line="590" w:lineRule="exact"/>
        <w:ind w:firstLine="660" w:firstLineChars="200"/>
        <w:rPr>
          <w:szCs w:val="33"/>
        </w:rPr>
      </w:pPr>
      <w:r>
        <w:rPr>
          <w:szCs w:val="33"/>
        </w:rPr>
        <w:t>4.负责拟订山水林田湖生态保护修复工程项目量化考核指标体系和办法，组织项目工程实施绩效评价。开展山水林田湖生态修复工程监督检查。</w:t>
      </w:r>
    </w:p>
    <w:p>
      <w:pPr>
        <w:overflowPunct w:val="0"/>
        <w:spacing w:line="590" w:lineRule="exact"/>
        <w:ind w:firstLine="660" w:firstLineChars="200"/>
        <w:rPr>
          <w:szCs w:val="33"/>
        </w:rPr>
      </w:pPr>
      <w:r>
        <w:rPr>
          <w:szCs w:val="33"/>
        </w:rPr>
        <w:t>5.完成县委、县政府和华蓥山区山水林田湖草生态保护修复工作领导小组交办的其他任务。</w:t>
      </w:r>
    </w:p>
    <w:p>
      <w:pPr>
        <w:overflowPunct w:val="0"/>
        <w:spacing w:line="590" w:lineRule="exact"/>
        <w:ind w:firstLine="660" w:firstLineChars="200"/>
        <w:rPr>
          <w:rFonts w:ascii="方正黑体_GBK" w:eastAsia="方正黑体_GBK"/>
          <w:szCs w:val="33"/>
        </w:rPr>
      </w:pPr>
      <w:r>
        <w:rPr>
          <w:rFonts w:hint="eastAsia" w:ascii="方正黑体_GBK" w:eastAsia="方正黑体_GBK"/>
          <w:szCs w:val="33"/>
        </w:rPr>
        <w:t>二、机构设置</w:t>
      </w:r>
    </w:p>
    <w:p>
      <w:pPr>
        <w:overflowPunct w:val="0"/>
        <w:spacing w:line="590" w:lineRule="exact"/>
        <w:ind w:firstLine="825" w:firstLineChars="250"/>
        <w:sectPr>
          <w:pgSz w:w="11906" w:h="16838"/>
          <w:pgMar w:top="2041" w:right="1531" w:bottom="1701" w:left="1531" w:header="851" w:footer="1474" w:gutter="0"/>
          <w:cols w:space="425" w:num="1"/>
          <w:docGrid w:type="lines" w:linePitch="590" w:charSpace="0"/>
        </w:sectPr>
      </w:pPr>
      <w:r>
        <w:rPr>
          <w:rFonts w:hint="eastAsia"/>
        </w:rPr>
        <w:t>邻水县山水林田湖资源保护中心属于独立核算的参公管理事业单位，无下属二级单位，内设股室3个：综合股、项目一股、项目二股。</w:t>
      </w:r>
    </w:p>
    <w:p>
      <w:pPr>
        <w:overflowPunct w:val="0"/>
        <w:spacing w:line="590" w:lineRule="exact"/>
        <w:jc w:val="center"/>
        <w:rPr>
          <w:rFonts w:ascii="方正黑体_GBK" w:hAnsi="仿宋" w:eastAsia="方正黑体_GBK"/>
          <w:sz w:val="44"/>
          <w:szCs w:val="44"/>
        </w:rPr>
      </w:pPr>
      <w:r>
        <w:rPr>
          <w:rFonts w:hint="eastAsia" w:ascii="方正黑体_GBK" w:hAnsi="仿宋" w:eastAsia="方正黑体_GBK"/>
          <w:sz w:val="44"/>
          <w:szCs w:val="44"/>
        </w:rPr>
        <w:t>第二部分 2023年度部门决算情况说明</w:t>
      </w: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黑体_GBK" w:eastAsia="方正黑体_GBK"/>
          <w:szCs w:val="33"/>
        </w:rPr>
      </w:pPr>
      <w:r>
        <w:rPr>
          <w:rFonts w:hint="eastAsia" w:ascii="方正黑体_GBK" w:eastAsia="方正黑体_GBK"/>
          <w:szCs w:val="33"/>
        </w:rPr>
        <w:t>一、收入支出决算总体情况说明</w:t>
      </w:r>
    </w:p>
    <w:p>
      <w:pPr>
        <w:overflowPunct w:val="0"/>
        <w:spacing w:line="590" w:lineRule="exact"/>
        <w:ind w:firstLine="660" w:firstLineChars="200"/>
        <w:rPr>
          <w:rFonts w:cs="Times New Roman"/>
          <w:szCs w:val="33"/>
        </w:rPr>
      </w:pPr>
      <w:r>
        <w:rPr>
          <w:rFonts w:cs="Times New Roman"/>
          <w:szCs w:val="33"/>
        </w:rPr>
        <w:drawing>
          <wp:anchor distT="0" distB="0" distL="114300" distR="114300" simplePos="0" relativeHeight="251658240" behindDoc="0" locked="0" layoutInCell="1" allowOverlap="1">
            <wp:simplePos x="0" y="0"/>
            <wp:positionH relativeFrom="column">
              <wp:posOffset>414020</wp:posOffset>
            </wp:positionH>
            <wp:positionV relativeFrom="paragraph">
              <wp:posOffset>1380490</wp:posOffset>
            </wp:positionV>
            <wp:extent cx="4920615" cy="1630045"/>
            <wp:effectExtent l="19050" t="0" r="13307" b="8282"/>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cs="Times New Roman"/>
          <w:szCs w:val="33"/>
        </w:rPr>
        <w:t>2023年度收、支总计均为</w:t>
      </w:r>
      <w:r>
        <w:rPr>
          <w:rFonts w:hint="eastAsia" w:cs="Times New Roman"/>
          <w:szCs w:val="33"/>
        </w:rPr>
        <w:t>238.23</w:t>
      </w:r>
      <w:r>
        <w:rPr>
          <w:rFonts w:cs="Times New Roman"/>
          <w:szCs w:val="33"/>
        </w:rPr>
        <w:t>万元。与2022年度相比，收</w:t>
      </w:r>
      <w:r>
        <w:rPr>
          <w:rFonts w:hint="eastAsia" w:cs="Times New Roman"/>
          <w:szCs w:val="33"/>
        </w:rPr>
        <w:t>入</w:t>
      </w:r>
      <w:r>
        <w:rPr>
          <w:rFonts w:cs="Times New Roman"/>
          <w:szCs w:val="33"/>
        </w:rPr>
        <w:t>总计增加</w:t>
      </w:r>
      <w:r>
        <w:rPr>
          <w:rFonts w:hint="eastAsia" w:cs="Times New Roman"/>
          <w:szCs w:val="33"/>
        </w:rPr>
        <w:t>22.51</w:t>
      </w:r>
      <w:r>
        <w:rPr>
          <w:rFonts w:cs="Times New Roman"/>
          <w:szCs w:val="33"/>
        </w:rPr>
        <w:t>万元，增长</w:t>
      </w:r>
      <w:r>
        <w:rPr>
          <w:rFonts w:hint="eastAsia" w:cs="Times New Roman"/>
          <w:szCs w:val="33"/>
        </w:rPr>
        <w:t>10.43</w:t>
      </w:r>
      <w:r>
        <w:rPr>
          <w:rFonts w:cs="Times New Roman"/>
          <w:szCs w:val="33"/>
        </w:rPr>
        <w:t>%</w:t>
      </w:r>
      <w:r>
        <w:rPr>
          <w:rFonts w:hint="eastAsia" w:cs="Times New Roman"/>
          <w:szCs w:val="33"/>
        </w:rPr>
        <w:t>，</w:t>
      </w:r>
      <w:r>
        <w:rPr>
          <w:rFonts w:cs="Times New Roman"/>
          <w:szCs w:val="33"/>
        </w:rPr>
        <w:t>支出总计增加</w:t>
      </w:r>
      <w:r>
        <w:rPr>
          <w:rFonts w:hint="eastAsia" w:cs="Times New Roman"/>
          <w:szCs w:val="33"/>
        </w:rPr>
        <w:t>31.11万元，增长15.02%</w:t>
      </w:r>
      <w:r>
        <w:rPr>
          <w:rFonts w:cs="Times New Roman"/>
          <w:szCs w:val="33"/>
        </w:rPr>
        <w:t>。主要变动原因是</w:t>
      </w:r>
      <w:r>
        <w:rPr>
          <w:rFonts w:hint="eastAsia" w:cs="Times New Roman"/>
          <w:szCs w:val="33"/>
        </w:rPr>
        <w:t>人员</w:t>
      </w:r>
      <w:r>
        <w:rPr>
          <w:rFonts w:cs="Times New Roman"/>
          <w:szCs w:val="33"/>
        </w:rPr>
        <w:t>经费支出增加。</w:t>
      </w:r>
    </w:p>
    <w:p>
      <w:pPr>
        <w:overflowPunct w:val="0"/>
        <w:spacing w:line="590" w:lineRule="exact"/>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jc w:val="center"/>
        <w:rPr>
          <w:rFonts w:ascii="方正仿宋_GBK"/>
          <w:szCs w:val="33"/>
        </w:rPr>
      </w:pPr>
      <w:r>
        <w:rPr>
          <w:rFonts w:hint="eastAsia" w:ascii="方正仿宋_GBK"/>
          <w:szCs w:val="33"/>
        </w:rPr>
        <w:t>（</w:t>
      </w:r>
      <w:r>
        <w:rPr>
          <w:rFonts w:cs="Times New Roman"/>
          <w:szCs w:val="33"/>
        </w:rPr>
        <w:t>图1</w:t>
      </w:r>
      <w:r>
        <w:rPr>
          <w:rFonts w:hint="eastAsia" w:ascii="方正仿宋_GBK"/>
          <w:szCs w:val="33"/>
        </w:rPr>
        <w:t>：收、支决算总计变动情况图）</w:t>
      </w:r>
    </w:p>
    <w:p>
      <w:pPr>
        <w:overflowPunct w:val="0"/>
        <w:spacing w:line="590" w:lineRule="exact"/>
        <w:ind w:firstLine="660" w:firstLineChars="200"/>
        <w:rPr>
          <w:rFonts w:ascii="方正黑体_GBK" w:eastAsia="方正黑体_GBK"/>
          <w:szCs w:val="33"/>
        </w:rPr>
      </w:pPr>
      <w:r>
        <w:rPr>
          <w:rFonts w:hint="eastAsia" w:ascii="方正黑体_GBK" w:eastAsia="方正黑体_GBK"/>
          <w:szCs w:val="33"/>
        </w:rPr>
        <w:t>二、收入决算情况说明</w:t>
      </w:r>
    </w:p>
    <w:p>
      <w:pPr>
        <w:overflowPunct w:val="0"/>
        <w:spacing w:line="590" w:lineRule="exact"/>
        <w:ind w:firstLine="660" w:firstLineChars="200"/>
        <w:rPr>
          <w:rFonts w:cs="Times New Roman"/>
          <w:szCs w:val="33"/>
        </w:rPr>
      </w:pPr>
      <w:r>
        <w:rPr>
          <w:rFonts w:cs="Times New Roman"/>
          <w:szCs w:val="33"/>
        </w:rPr>
        <w:t>2023年度本年收入合计</w:t>
      </w:r>
      <w:r>
        <w:rPr>
          <w:rFonts w:hint="eastAsia" w:cs="Times New Roman"/>
          <w:szCs w:val="33"/>
        </w:rPr>
        <w:t>229.63</w:t>
      </w:r>
      <w:r>
        <w:rPr>
          <w:rFonts w:cs="Times New Roman"/>
          <w:szCs w:val="33"/>
        </w:rPr>
        <w:t>万元，其中：一般公共预算财政拨款收入</w:t>
      </w:r>
      <w:r>
        <w:rPr>
          <w:rFonts w:hint="eastAsia" w:cs="Times New Roman"/>
          <w:szCs w:val="33"/>
        </w:rPr>
        <w:t>229.63</w:t>
      </w:r>
      <w:r>
        <w:rPr>
          <w:rFonts w:cs="Times New Roman"/>
          <w:szCs w:val="33"/>
        </w:rPr>
        <w:t>万元，占</w:t>
      </w:r>
      <w:r>
        <w:rPr>
          <w:rFonts w:hint="eastAsia" w:cs="Times New Roman"/>
          <w:szCs w:val="33"/>
        </w:rPr>
        <w:t>100</w:t>
      </w:r>
      <w:r>
        <w:rPr>
          <w:rFonts w:cs="Times New Roman"/>
          <w:szCs w:val="33"/>
        </w:rPr>
        <w:t>%。</w:t>
      </w:r>
    </w:p>
    <w:p>
      <w:pPr>
        <w:overflowPunct w:val="0"/>
        <w:spacing w:line="590" w:lineRule="exact"/>
        <w:ind w:firstLine="660" w:firstLineChars="200"/>
        <w:rPr>
          <w:rFonts w:ascii="方正仿宋_GBK"/>
          <w:szCs w:val="33"/>
        </w:rPr>
      </w:pPr>
      <w:r>
        <w:rPr>
          <w:rFonts w:hint="eastAsia" w:ascii="方正仿宋_GBK"/>
          <w:szCs w:val="33"/>
        </w:rPr>
        <w:drawing>
          <wp:anchor distT="0" distB="0" distL="114300" distR="114300" simplePos="0" relativeHeight="251659264" behindDoc="0" locked="0" layoutInCell="1" allowOverlap="1">
            <wp:simplePos x="0" y="0"/>
            <wp:positionH relativeFrom="column">
              <wp:posOffset>461645</wp:posOffset>
            </wp:positionH>
            <wp:positionV relativeFrom="paragraph">
              <wp:posOffset>303530</wp:posOffset>
            </wp:positionV>
            <wp:extent cx="4974590" cy="1661795"/>
            <wp:effectExtent l="19050" t="0" r="16731" b="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jc w:val="center"/>
        <w:rPr>
          <w:rFonts w:cs="Times New Roman"/>
          <w:szCs w:val="33"/>
        </w:rPr>
      </w:pPr>
      <w:r>
        <w:rPr>
          <w:rFonts w:cs="Times New Roman"/>
          <w:szCs w:val="33"/>
        </w:rPr>
        <w:t>（图2：收入决算结构图）</w:t>
      </w:r>
    </w:p>
    <w:p>
      <w:pPr>
        <w:overflowPunct w:val="0"/>
        <w:spacing w:line="590" w:lineRule="exact"/>
        <w:ind w:firstLine="660" w:firstLineChars="200"/>
        <w:rPr>
          <w:rFonts w:ascii="方正黑体_GBK" w:eastAsia="方正黑体_GBK"/>
          <w:szCs w:val="33"/>
        </w:rPr>
      </w:pPr>
      <w:r>
        <w:rPr>
          <w:rFonts w:hint="eastAsia" w:ascii="方正黑体_GBK" w:eastAsia="方正黑体_GBK"/>
          <w:szCs w:val="33"/>
        </w:rPr>
        <w:t>三、支出决算情况说明</w:t>
      </w:r>
    </w:p>
    <w:p>
      <w:pPr>
        <w:overflowPunct w:val="0"/>
        <w:spacing w:line="590" w:lineRule="exact"/>
        <w:ind w:firstLine="660" w:firstLineChars="200"/>
        <w:rPr>
          <w:rFonts w:cs="Times New Roman"/>
          <w:szCs w:val="33"/>
        </w:rPr>
      </w:pPr>
      <w:r>
        <w:rPr>
          <w:rFonts w:cs="Times New Roman"/>
          <w:szCs w:val="33"/>
        </w:rPr>
        <w:t>2023年度本年支出合计</w:t>
      </w:r>
      <w:r>
        <w:rPr>
          <w:rFonts w:hint="eastAsia" w:cs="Times New Roman"/>
          <w:szCs w:val="33"/>
        </w:rPr>
        <w:t>238.23</w:t>
      </w:r>
      <w:r>
        <w:rPr>
          <w:rFonts w:cs="Times New Roman"/>
          <w:szCs w:val="33"/>
        </w:rPr>
        <w:t>万元，其中：基本支出</w:t>
      </w:r>
      <w:r>
        <w:rPr>
          <w:rFonts w:hint="eastAsia" w:cs="Times New Roman"/>
          <w:szCs w:val="33"/>
        </w:rPr>
        <w:t>218.08</w:t>
      </w:r>
      <w:r>
        <w:rPr>
          <w:rFonts w:cs="Times New Roman"/>
          <w:szCs w:val="33"/>
        </w:rPr>
        <w:t>万元，占</w:t>
      </w:r>
      <w:r>
        <w:rPr>
          <w:rFonts w:hint="eastAsia" w:cs="Times New Roman"/>
          <w:szCs w:val="33"/>
        </w:rPr>
        <w:t>91.54</w:t>
      </w:r>
      <w:r>
        <w:rPr>
          <w:rFonts w:cs="Times New Roman"/>
          <w:szCs w:val="33"/>
        </w:rPr>
        <w:t>%；项目支出</w:t>
      </w:r>
      <w:r>
        <w:rPr>
          <w:rFonts w:hint="eastAsia" w:cs="Times New Roman"/>
          <w:szCs w:val="33"/>
        </w:rPr>
        <w:t>20.15</w:t>
      </w:r>
      <w:r>
        <w:rPr>
          <w:rFonts w:cs="Times New Roman"/>
          <w:szCs w:val="33"/>
        </w:rPr>
        <w:t>万元，占</w:t>
      </w:r>
      <w:r>
        <w:rPr>
          <w:rFonts w:hint="eastAsia" w:cs="Times New Roman"/>
          <w:szCs w:val="33"/>
        </w:rPr>
        <w:t>8.46</w:t>
      </w:r>
      <w:r>
        <w:rPr>
          <w:rFonts w:cs="Times New Roman"/>
          <w:szCs w:val="33"/>
        </w:rPr>
        <w:t>%。</w:t>
      </w:r>
    </w:p>
    <w:p>
      <w:pPr>
        <w:overflowPunct w:val="0"/>
        <w:spacing w:line="590" w:lineRule="exact"/>
        <w:ind w:firstLine="660" w:firstLineChars="200"/>
        <w:rPr>
          <w:rFonts w:ascii="方正仿宋_GBK"/>
          <w:szCs w:val="33"/>
        </w:rPr>
      </w:pPr>
      <w:r>
        <w:rPr>
          <w:rFonts w:hint="eastAsia" w:ascii="方正仿宋_GBK"/>
          <w:szCs w:val="33"/>
        </w:rPr>
        <w:drawing>
          <wp:anchor distT="0" distB="0" distL="114300" distR="114300" simplePos="0" relativeHeight="251660288" behindDoc="0" locked="0" layoutInCell="1" allowOverlap="1">
            <wp:simplePos x="0" y="0"/>
            <wp:positionH relativeFrom="column">
              <wp:posOffset>458470</wp:posOffset>
            </wp:positionH>
            <wp:positionV relativeFrom="paragraph">
              <wp:posOffset>165100</wp:posOffset>
            </wp:positionV>
            <wp:extent cx="4711065" cy="1757045"/>
            <wp:effectExtent l="19050" t="0" r="13059" b="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jc w:val="center"/>
        <w:rPr>
          <w:rFonts w:cs="Times New Roman"/>
          <w:szCs w:val="33"/>
        </w:rPr>
      </w:pPr>
      <w:r>
        <w:rPr>
          <w:rFonts w:cs="Times New Roman"/>
          <w:szCs w:val="33"/>
        </w:rPr>
        <w:t>（图3：支出决算结构图）</w:t>
      </w:r>
    </w:p>
    <w:p>
      <w:pPr>
        <w:overflowPunct w:val="0"/>
        <w:spacing w:line="590" w:lineRule="exact"/>
        <w:ind w:firstLine="660" w:firstLineChars="200"/>
        <w:rPr>
          <w:rFonts w:ascii="方正黑体_GBK" w:eastAsia="方正黑体_GBK"/>
          <w:szCs w:val="33"/>
        </w:rPr>
      </w:pPr>
      <w:r>
        <w:rPr>
          <w:rFonts w:hint="eastAsia" w:ascii="方正黑体_GBK" w:eastAsia="方正黑体_GBK"/>
          <w:szCs w:val="33"/>
        </w:rPr>
        <w:t>四、财政拨款收入支出决算总体情况说明</w:t>
      </w:r>
    </w:p>
    <w:p>
      <w:pPr>
        <w:overflowPunct w:val="0"/>
        <w:spacing w:line="590" w:lineRule="exact"/>
        <w:ind w:firstLine="660" w:firstLineChars="200"/>
        <w:rPr>
          <w:rFonts w:cs="Times New Roman"/>
          <w:szCs w:val="33"/>
        </w:rPr>
      </w:pPr>
      <w:r>
        <w:rPr>
          <w:rFonts w:cs="Times New Roman"/>
          <w:szCs w:val="33"/>
        </w:rPr>
        <w:t>2023年度财政拨款收、支总计均为</w:t>
      </w:r>
      <w:r>
        <w:rPr>
          <w:rFonts w:hint="eastAsia" w:cs="Times New Roman"/>
          <w:szCs w:val="33"/>
        </w:rPr>
        <w:t>238.08</w:t>
      </w:r>
      <w:r>
        <w:rPr>
          <w:rFonts w:cs="Times New Roman"/>
          <w:szCs w:val="33"/>
        </w:rPr>
        <w:t>万元。与2022年度相比，财政拨款收</w:t>
      </w:r>
      <w:r>
        <w:rPr>
          <w:rFonts w:hint="eastAsia" w:cs="Times New Roman"/>
          <w:szCs w:val="33"/>
        </w:rPr>
        <w:t>入</w:t>
      </w:r>
      <w:r>
        <w:rPr>
          <w:rFonts w:cs="Times New Roman"/>
          <w:szCs w:val="33"/>
        </w:rPr>
        <w:t>总计增加</w:t>
      </w:r>
      <w:r>
        <w:rPr>
          <w:rFonts w:hint="eastAsia" w:cs="Times New Roman"/>
          <w:szCs w:val="33"/>
        </w:rPr>
        <w:t>42.36万</w:t>
      </w:r>
      <w:r>
        <w:rPr>
          <w:rFonts w:cs="Times New Roman"/>
          <w:szCs w:val="33"/>
        </w:rPr>
        <w:t>元，增长</w:t>
      </w:r>
      <w:r>
        <w:rPr>
          <w:rFonts w:hint="eastAsia" w:cs="Times New Roman"/>
          <w:szCs w:val="33"/>
        </w:rPr>
        <w:t>21.64</w:t>
      </w:r>
      <w:r>
        <w:rPr>
          <w:rFonts w:cs="Times New Roman"/>
          <w:szCs w:val="33"/>
        </w:rPr>
        <w:t>%</w:t>
      </w:r>
      <w:r>
        <w:rPr>
          <w:rFonts w:hint="eastAsia" w:cs="Times New Roman"/>
          <w:szCs w:val="33"/>
        </w:rPr>
        <w:t>，</w:t>
      </w:r>
      <w:r>
        <w:rPr>
          <w:rFonts w:cs="Times New Roman"/>
          <w:szCs w:val="33"/>
        </w:rPr>
        <w:t>财政拨款支出总计增加</w:t>
      </w:r>
      <w:r>
        <w:rPr>
          <w:rFonts w:hint="eastAsia" w:cs="Times New Roman"/>
          <w:szCs w:val="33"/>
        </w:rPr>
        <w:t>50.82万元，增长27.14%</w:t>
      </w:r>
      <w:r>
        <w:rPr>
          <w:rFonts w:cs="Times New Roman"/>
          <w:szCs w:val="33"/>
        </w:rPr>
        <w:t>。主要变动原因是</w:t>
      </w:r>
      <w:r>
        <w:rPr>
          <w:rFonts w:hint="eastAsia" w:cs="Times New Roman"/>
          <w:szCs w:val="33"/>
        </w:rPr>
        <w:t>项目</w:t>
      </w:r>
      <w:r>
        <w:rPr>
          <w:rFonts w:cs="Times New Roman"/>
          <w:szCs w:val="33"/>
        </w:rPr>
        <w:t>支出纳入财政拨款</w:t>
      </w:r>
      <w:r>
        <w:rPr>
          <w:rFonts w:hint="eastAsia" w:cs="Times New Roman"/>
          <w:szCs w:val="33"/>
        </w:rPr>
        <w:t>。</w:t>
      </w:r>
    </w:p>
    <w:p>
      <w:pPr>
        <w:overflowPunct w:val="0"/>
        <w:spacing w:line="590" w:lineRule="exact"/>
        <w:ind w:firstLine="660" w:firstLineChars="200"/>
        <w:rPr>
          <w:rFonts w:ascii="方正仿宋_GBK"/>
          <w:szCs w:val="33"/>
        </w:rPr>
      </w:pPr>
      <w:r>
        <w:rPr>
          <w:rFonts w:hint="eastAsia" w:ascii="方正仿宋_GBK"/>
          <w:szCs w:val="33"/>
        </w:rPr>
        <w:drawing>
          <wp:anchor distT="0" distB="0" distL="114300" distR="114300" simplePos="0" relativeHeight="251661312" behindDoc="0" locked="0" layoutInCell="1" allowOverlap="1">
            <wp:simplePos x="0" y="0"/>
            <wp:positionH relativeFrom="column">
              <wp:posOffset>461645</wp:posOffset>
            </wp:positionH>
            <wp:positionV relativeFrom="paragraph">
              <wp:posOffset>59055</wp:posOffset>
            </wp:positionV>
            <wp:extent cx="4683125" cy="1924050"/>
            <wp:effectExtent l="19050" t="0" r="22280" b="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jc w:val="center"/>
        <w:rPr>
          <w:rFonts w:cs="Times New Roman"/>
          <w:szCs w:val="33"/>
        </w:rPr>
      </w:pPr>
      <w:r>
        <w:rPr>
          <w:rFonts w:cs="Times New Roman"/>
          <w:szCs w:val="33"/>
        </w:rPr>
        <w:t>（图4：财政拨款收、支决算总计变动情况）</w:t>
      </w:r>
    </w:p>
    <w:p>
      <w:pPr>
        <w:overflowPunct w:val="0"/>
        <w:spacing w:line="590" w:lineRule="exact"/>
        <w:ind w:firstLine="660" w:firstLineChars="200"/>
        <w:rPr>
          <w:rFonts w:ascii="方正黑体_GBK" w:eastAsia="方正黑体_GBK"/>
          <w:szCs w:val="33"/>
        </w:rPr>
      </w:pPr>
      <w:r>
        <w:rPr>
          <w:rFonts w:hint="eastAsia" w:ascii="方正黑体_GBK" w:eastAsia="方正黑体_GBK"/>
          <w:szCs w:val="33"/>
        </w:rPr>
        <w:t>五、一般公共预算财政拨款支出决算情况说明</w:t>
      </w:r>
    </w:p>
    <w:p>
      <w:pPr>
        <w:overflowPunct w:val="0"/>
        <w:spacing w:line="590" w:lineRule="exact"/>
        <w:ind w:firstLine="660" w:firstLineChars="200"/>
        <w:rPr>
          <w:rFonts w:ascii="方正楷体_GBK" w:eastAsia="方正楷体_GBK"/>
          <w:b/>
          <w:szCs w:val="33"/>
        </w:rPr>
      </w:pPr>
      <w:r>
        <w:rPr>
          <w:rFonts w:hint="eastAsia" w:ascii="方正楷体_GBK" w:eastAsia="方正楷体_GBK"/>
          <w:b/>
          <w:szCs w:val="33"/>
        </w:rPr>
        <w:t>（一）一般公共预算财政拨款支出决算总体情况</w:t>
      </w:r>
    </w:p>
    <w:p>
      <w:pPr>
        <w:overflowPunct w:val="0"/>
        <w:spacing w:line="590" w:lineRule="exact"/>
        <w:ind w:firstLine="660" w:firstLineChars="200"/>
        <w:rPr>
          <w:rFonts w:cs="Times New Roman"/>
          <w:szCs w:val="33"/>
        </w:rPr>
      </w:pPr>
      <w:r>
        <w:rPr>
          <w:rFonts w:cs="Times New Roman"/>
          <w:szCs w:val="33"/>
        </w:rPr>
        <w:drawing>
          <wp:anchor distT="0" distB="0" distL="114300" distR="114300" simplePos="0" relativeHeight="251662336" behindDoc="0" locked="0" layoutInCell="1" allowOverlap="1">
            <wp:simplePos x="0" y="0"/>
            <wp:positionH relativeFrom="column">
              <wp:posOffset>660400</wp:posOffset>
            </wp:positionH>
            <wp:positionV relativeFrom="paragraph">
              <wp:posOffset>1486535</wp:posOffset>
            </wp:positionV>
            <wp:extent cx="4529455" cy="1937385"/>
            <wp:effectExtent l="19050" t="0" r="23495" b="571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cs="Times New Roman"/>
          <w:szCs w:val="33"/>
        </w:rPr>
        <w:t>2023年度一般公共预算财政拨款支出</w:t>
      </w:r>
      <w:r>
        <w:rPr>
          <w:rFonts w:hint="eastAsia" w:cs="Times New Roman"/>
          <w:szCs w:val="33"/>
        </w:rPr>
        <w:t>238.08</w:t>
      </w:r>
      <w:r>
        <w:rPr>
          <w:rFonts w:cs="Times New Roman"/>
          <w:szCs w:val="33"/>
        </w:rPr>
        <w:t>万元，占本年支出合计的</w:t>
      </w:r>
      <w:r>
        <w:rPr>
          <w:rFonts w:hint="eastAsia" w:cs="Times New Roman"/>
          <w:szCs w:val="33"/>
        </w:rPr>
        <w:t>99.94</w:t>
      </w:r>
      <w:r>
        <w:rPr>
          <w:rFonts w:cs="Times New Roman"/>
          <w:szCs w:val="33"/>
        </w:rPr>
        <w:t>%。与2022年度相比，一般公共预算财政拨款支出增加</w:t>
      </w:r>
      <w:r>
        <w:rPr>
          <w:rFonts w:hint="eastAsia" w:cs="Times New Roman"/>
          <w:szCs w:val="33"/>
        </w:rPr>
        <w:t>50.82</w:t>
      </w:r>
      <w:r>
        <w:rPr>
          <w:rFonts w:cs="Times New Roman"/>
          <w:szCs w:val="33"/>
        </w:rPr>
        <w:t>万元，增长</w:t>
      </w:r>
      <w:r>
        <w:rPr>
          <w:rFonts w:hint="eastAsia" w:cs="Times New Roman"/>
          <w:szCs w:val="33"/>
        </w:rPr>
        <w:t>27.14</w:t>
      </w:r>
      <w:r>
        <w:rPr>
          <w:rFonts w:cs="Times New Roman"/>
          <w:szCs w:val="33"/>
        </w:rPr>
        <w:t>%。主要变动原因是</w:t>
      </w:r>
      <w:r>
        <w:rPr>
          <w:rFonts w:hint="eastAsia" w:cs="Times New Roman"/>
          <w:szCs w:val="33"/>
        </w:rPr>
        <w:t>人员</w:t>
      </w:r>
      <w:r>
        <w:rPr>
          <w:rFonts w:cs="Times New Roman"/>
          <w:szCs w:val="33"/>
        </w:rPr>
        <w:t>支出增加</w:t>
      </w:r>
      <w:r>
        <w:rPr>
          <w:rFonts w:hint="eastAsia" w:cs="Times New Roman"/>
          <w:szCs w:val="33"/>
        </w:rPr>
        <w:t>，</w:t>
      </w:r>
      <w:r>
        <w:rPr>
          <w:rFonts w:cs="Times New Roman"/>
          <w:szCs w:val="33"/>
        </w:rPr>
        <w:t>项目支出增加</w:t>
      </w:r>
      <w:r>
        <w:rPr>
          <w:rFonts w:hint="eastAsia" w:cs="Times New Roman"/>
          <w:szCs w:val="33"/>
        </w:rPr>
        <w:t>。</w:t>
      </w:r>
    </w:p>
    <w:p>
      <w:pPr>
        <w:overflowPunct w:val="0"/>
        <w:spacing w:line="590" w:lineRule="exact"/>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jc w:val="center"/>
        <w:rPr>
          <w:rFonts w:cs="Times New Roman"/>
          <w:szCs w:val="33"/>
        </w:rPr>
      </w:pPr>
      <w:r>
        <w:rPr>
          <w:rFonts w:cs="Times New Roman"/>
          <w:szCs w:val="33"/>
        </w:rPr>
        <w:t>（图5：一般公共预算财政拨款支出决算变动情况）</w:t>
      </w:r>
    </w:p>
    <w:p>
      <w:pPr>
        <w:overflowPunct w:val="0"/>
        <w:spacing w:line="590" w:lineRule="exact"/>
        <w:ind w:firstLine="660" w:firstLineChars="200"/>
        <w:rPr>
          <w:rFonts w:ascii="方正楷体_GBK" w:eastAsia="方正楷体_GBK"/>
          <w:b/>
          <w:szCs w:val="33"/>
        </w:rPr>
      </w:pPr>
      <w:r>
        <w:rPr>
          <w:rFonts w:hint="eastAsia" w:ascii="方正楷体_GBK" w:eastAsia="方正楷体_GBK"/>
          <w:b/>
          <w:szCs w:val="33"/>
        </w:rPr>
        <w:t>（二）一般公共预算财政拨款支出决算结构情况</w:t>
      </w:r>
    </w:p>
    <w:p>
      <w:pPr>
        <w:overflowPunct w:val="0"/>
        <w:spacing w:line="590" w:lineRule="exact"/>
        <w:ind w:firstLine="660" w:firstLineChars="200"/>
        <w:rPr>
          <w:rFonts w:cs="Times New Roman"/>
          <w:szCs w:val="33"/>
        </w:rPr>
      </w:pPr>
      <w:r>
        <w:rPr>
          <w:rFonts w:cs="Times New Roman"/>
          <w:szCs w:val="33"/>
        </w:rPr>
        <w:t>2023年度一般公共预算财政拨款支出</w:t>
      </w:r>
      <w:r>
        <w:rPr>
          <w:rFonts w:hint="eastAsia" w:cs="Times New Roman"/>
          <w:szCs w:val="33"/>
        </w:rPr>
        <w:t>238.08</w:t>
      </w:r>
      <w:r>
        <w:rPr>
          <w:rFonts w:cs="Times New Roman"/>
          <w:szCs w:val="33"/>
        </w:rPr>
        <w:t>万元，主要用于以下方面</w:t>
      </w:r>
      <w:r>
        <w:rPr>
          <w:rFonts w:hint="eastAsia" w:cs="Times New Roman"/>
          <w:szCs w:val="33"/>
        </w:rPr>
        <w:t>：</w:t>
      </w:r>
      <w:r>
        <w:rPr>
          <w:rFonts w:cs="Times New Roman"/>
          <w:szCs w:val="33"/>
        </w:rPr>
        <w:t>社会保障和就业支出</w:t>
      </w:r>
      <w:r>
        <w:rPr>
          <w:rFonts w:hint="eastAsia" w:cs="Times New Roman"/>
          <w:szCs w:val="33"/>
        </w:rPr>
        <w:t>20.5</w:t>
      </w:r>
      <w:r>
        <w:rPr>
          <w:rFonts w:cs="Times New Roman"/>
          <w:szCs w:val="33"/>
        </w:rPr>
        <w:t>万元，占</w:t>
      </w:r>
      <w:r>
        <w:rPr>
          <w:rFonts w:hint="eastAsia" w:cs="Times New Roman"/>
          <w:szCs w:val="33"/>
        </w:rPr>
        <w:t>8.61</w:t>
      </w:r>
      <w:r>
        <w:rPr>
          <w:rFonts w:cs="Times New Roman"/>
          <w:szCs w:val="33"/>
        </w:rPr>
        <w:t>%；卫生健康支出</w:t>
      </w:r>
      <w:r>
        <w:rPr>
          <w:rFonts w:hint="eastAsia" w:cs="Times New Roman"/>
          <w:szCs w:val="33"/>
        </w:rPr>
        <w:t>7.47</w:t>
      </w:r>
      <w:r>
        <w:rPr>
          <w:rFonts w:cs="Times New Roman"/>
          <w:szCs w:val="33"/>
        </w:rPr>
        <w:t>万元，占</w:t>
      </w:r>
      <w:r>
        <w:rPr>
          <w:rFonts w:hint="eastAsia" w:cs="Times New Roman"/>
          <w:szCs w:val="33"/>
        </w:rPr>
        <w:t>3.13</w:t>
      </w:r>
      <w:r>
        <w:rPr>
          <w:rFonts w:cs="Times New Roman"/>
          <w:szCs w:val="33"/>
        </w:rPr>
        <w:t>%；住房保障支出</w:t>
      </w:r>
      <w:r>
        <w:rPr>
          <w:rFonts w:hint="eastAsia" w:cs="Times New Roman"/>
          <w:szCs w:val="33"/>
        </w:rPr>
        <w:t>17.23</w:t>
      </w:r>
      <w:r>
        <w:rPr>
          <w:rFonts w:cs="Times New Roman"/>
          <w:szCs w:val="33"/>
        </w:rPr>
        <w:t>万元，占</w:t>
      </w:r>
      <w:r>
        <w:rPr>
          <w:rFonts w:hint="eastAsia" w:cs="Times New Roman"/>
          <w:szCs w:val="33"/>
        </w:rPr>
        <w:t>7.24</w:t>
      </w:r>
      <w:r>
        <w:rPr>
          <w:rFonts w:cs="Times New Roman"/>
          <w:szCs w:val="33"/>
        </w:rPr>
        <w:t>%；农林水支出</w:t>
      </w:r>
      <w:r>
        <w:rPr>
          <w:rFonts w:hint="eastAsia" w:cs="Times New Roman"/>
          <w:szCs w:val="33"/>
        </w:rPr>
        <w:t>45.27万元，占19.02%；自然资源海洋气象等支出147.61万元，占62%。</w:t>
      </w:r>
    </w:p>
    <w:p>
      <w:pPr>
        <w:overflowPunct w:val="0"/>
        <w:spacing w:line="590" w:lineRule="exact"/>
        <w:ind w:firstLine="660" w:firstLineChars="200"/>
        <w:rPr>
          <w:rFonts w:ascii="方正仿宋_GBK"/>
          <w:szCs w:val="33"/>
        </w:rPr>
      </w:pPr>
      <w:r>
        <w:rPr>
          <w:rFonts w:hint="eastAsia" w:ascii="方正仿宋_GBK"/>
          <w:szCs w:val="33"/>
        </w:rPr>
        <w:drawing>
          <wp:anchor distT="0" distB="0" distL="114300" distR="114300" simplePos="0" relativeHeight="251663360" behindDoc="0" locked="0" layoutInCell="1" allowOverlap="1">
            <wp:simplePos x="0" y="0"/>
            <wp:positionH relativeFrom="column">
              <wp:posOffset>557530</wp:posOffset>
            </wp:positionH>
            <wp:positionV relativeFrom="paragraph">
              <wp:posOffset>32385</wp:posOffset>
            </wp:positionV>
            <wp:extent cx="4787265" cy="1542415"/>
            <wp:effectExtent l="19050" t="0" r="13225" b="497"/>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ind w:firstLine="660" w:firstLineChars="200"/>
        <w:rPr>
          <w:rFonts w:ascii="方正仿宋_GBK"/>
          <w:szCs w:val="33"/>
        </w:rPr>
      </w:pPr>
    </w:p>
    <w:p>
      <w:pPr>
        <w:overflowPunct w:val="0"/>
        <w:spacing w:line="590" w:lineRule="exact"/>
        <w:jc w:val="center"/>
        <w:rPr>
          <w:rFonts w:cs="Times New Roman"/>
          <w:szCs w:val="33"/>
        </w:rPr>
      </w:pPr>
      <w:r>
        <w:rPr>
          <w:rFonts w:cs="Times New Roman"/>
          <w:szCs w:val="33"/>
        </w:rPr>
        <w:t>（图6：一般公共预算财政拨款支出决算结构）</w:t>
      </w:r>
    </w:p>
    <w:p>
      <w:pPr>
        <w:overflowPunct w:val="0"/>
        <w:spacing w:line="560" w:lineRule="exact"/>
        <w:ind w:firstLine="660" w:firstLineChars="200"/>
        <w:rPr>
          <w:rFonts w:ascii="方正楷体_GBK" w:eastAsia="方正楷体_GBK"/>
          <w:b/>
          <w:szCs w:val="33"/>
        </w:rPr>
      </w:pPr>
      <w:r>
        <w:rPr>
          <w:rFonts w:hint="eastAsia" w:ascii="方正楷体_GBK" w:eastAsia="方正楷体_GBK"/>
          <w:b/>
          <w:szCs w:val="33"/>
        </w:rPr>
        <w:t>（三）一般公共预算财政拨款支出决算具体情况</w:t>
      </w:r>
    </w:p>
    <w:p>
      <w:pPr>
        <w:overflowPunct w:val="0"/>
        <w:spacing w:line="560" w:lineRule="exact"/>
        <w:ind w:firstLine="660" w:firstLineChars="200"/>
        <w:rPr>
          <w:rFonts w:cs="Times New Roman"/>
          <w:b/>
          <w:szCs w:val="33"/>
        </w:rPr>
      </w:pPr>
      <w:r>
        <w:rPr>
          <w:rFonts w:cs="Times New Roman"/>
          <w:b/>
          <w:szCs w:val="33"/>
        </w:rPr>
        <w:t>2023年度一般公共预算支出决算数为</w:t>
      </w:r>
      <w:r>
        <w:rPr>
          <w:rFonts w:hint="eastAsia" w:cs="Times New Roman"/>
          <w:b/>
          <w:szCs w:val="33"/>
        </w:rPr>
        <w:t>238.08万元</w:t>
      </w:r>
      <w:r>
        <w:rPr>
          <w:rFonts w:cs="Times New Roman"/>
          <w:b/>
          <w:szCs w:val="33"/>
        </w:rPr>
        <w:t>，完成预算</w:t>
      </w:r>
      <w:r>
        <w:rPr>
          <w:rFonts w:hint="eastAsia" w:cs="Times New Roman"/>
          <w:b/>
          <w:szCs w:val="33"/>
        </w:rPr>
        <w:t>100</w:t>
      </w:r>
      <w:r>
        <w:rPr>
          <w:rFonts w:cs="Times New Roman"/>
          <w:b/>
          <w:szCs w:val="33"/>
        </w:rPr>
        <w:t>%。其中：</w:t>
      </w:r>
    </w:p>
    <w:p>
      <w:pPr>
        <w:overflowPunct w:val="0"/>
        <w:spacing w:line="560" w:lineRule="exact"/>
        <w:ind w:firstLine="660" w:firstLineChars="200"/>
        <w:rPr>
          <w:rStyle w:val="11"/>
          <w:b w:val="0"/>
          <w:bCs/>
          <w:szCs w:val="33"/>
        </w:rPr>
      </w:pPr>
      <w:r>
        <w:rPr>
          <w:rStyle w:val="11"/>
          <w:bCs/>
          <w:szCs w:val="33"/>
        </w:rPr>
        <w:t>1.社会保障和就业（类）行政事业养老（款）机关事业单位基本养老保险缴费（项）:</w:t>
      </w:r>
      <w:r>
        <w:rPr>
          <w:rStyle w:val="11"/>
          <w:b w:val="0"/>
          <w:bCs/>
          <w:szCs w:val="33"/>
        </w:rPr>
        <w:t>支出决算为</w:t>
      </w:r>
      <w:r>
        <w:rPr>
          <w:rStyle w:val="11"/>
          <w:rFonts w:hint="eastAsia"/>
          <w:b w:val="0"/>
          <w:bCs/>
          <w:szCs w:val="33"/>
        </w:rPr>
        <w:t>20.5</w:t>
      </w:r>
      <w:r>
        <w:rPr>
          <w:rStyle w:val="11"/>
          <w:b w:val="0"/>
          <w:bCs/>
          <w:szCs w:val="33"/>
        </w:rPr>
        <w:t>万元，完成预算100%</w:t>
      </w:r>
      <w:r>
        <w:rPr>
          <w:rStyle w:val="11"/>
          <w:rFonts w:hint="eastAsia"/>
          <w:b w:val="0"/>
          <w:bCs/>
          <w:szCs w:val="33"/>
        </w:rPr>
        <w:t>，</w:t>
      </w:r>
      <w:r>
        <w:rPr>
          <w:rStyle w:val="11"/>
          <w:b w:val="0"/>
          <w:bCs/>
          <w:szCs w:val="33"/>
        </w:rPr>
        <w:t>决算数</w:t>
      </w:r>
      <w:r>
        <w:rPr>
          <w:rStyle w:val="11"/>
          <w:rFonts w:hint="eastAsia"/>
          <w:b w:val="0"/>
          <w:bCs/>
          <w:szCs w:val="33"/>
        </w:rPr>
        <w:t>与</w:t>
      </w:r>
      <w:r>
        <w:rPr>
          <w:rStyle w:val="11"/>
          <w:b w:val="0"/>
          <w:bCs/>
          <w:szCs w:val="33"/>
        </w:rPr>
        <w:t>预算数</w:t>
      </w:r>
      <w:r>
        <w:rPr>
          <w:rStyle w:val="11"/>
          <w:rFonts w:hint="eastAsia"/>
          <w:b w:val="0"/>
          <w:bCs/>
          <w:szCs w:val="33"/>
        </w:rPr>
        <w:t>持平</w:t>
      </w:r>
      <w:r>
        <w:rPr>
          <w:rStyle w:val="11"/>
          <w:b w:val="0"/>
          <w:bCs/>
          <w:szCs w:val="33"/>
        </w:rPr>
        <w:t>。</w:t>
      </w:r>
    </w:p>
    <w:p>
      <w:pPr>
        <w:overflowPunct w:val="0"/>
        <w:spacing w:line="560" w:lineRule="exact"/>
        <w:ind w:firstLine="660" w:firstLineChars="200"/>
        <w:rPr>
          <w:rStyle w:val="11"/>
          <w:b w:val="0"/>
          <w:bCs/>
          <w:szCs w:val="33"/>
        </w:rPr>
      </w:pPr>
      <w:r>
        <w:rPr>
          <w:rStyle w:val="11"/>
          <w:rFonts w:hint="eastAsia"/>
          <w:bCs/>
          <w:szCs w:val="33"/>
        </w:rPr>
        <w:t>2.卫生健康（类）行政事业单位医疗（款）行政单位医疗（项）:</w:t>
      </w:r>
      <w:r>
        <w:rPr>
          <w:rStyle w:val="11"/>
          <w:rFonts w:hint="eastAsia"/>
          <w:b w:val="0"/>
          <w:bCs/>
          <w:szCs w:val="33"/>
        </w:rPr>
        <w:t>支出决算为7.47万元，完成预算100%，</w:t>
      </w:r>
      <w:r>
        <w:rPr>
          <w:rStyle w:val="11"/>
          <w:b w:val="0"/>
          <w:bCs/>
          <w:szCs w:val="33"/>
        </w:rPr>
        <w:t>决算数</w:t>
      </w:r>
      <w:r>
        <w:rPr>
          <w:rStyle w:val="11"/>
          <w:rFonts w:hint="eastAsia"/>
          <w:b w:val="0"/>
          <w:bCs/>
          <w:szCs w:val="33"/>
        </w:rPr>
        <w:t>与</w:t>
      </w:r>
      <w:r>
        <w:rPr>
          <w:rStyle w:val="11"/>
          <w:b w:val="0"/>
          <w:bCs/>
          <w:szCs w:val="33"/>
        </w:rPr>
        <w:t>预算数</w:t>
      </w:r>
      <w:r>
        <w:rPr>
          <w:rStyle w:val="11"/>
          <w:rFonts w:hint="eastAsia"/>
          <w:b w:val="0"/>
          <w:bCs/>
          <w:szCs w:val="33"/>
        </w:rPr>
        <w:t>持平</w:t>
      </w:r>
      <w:r>
        <w:rPr>
          <w:rStyle w:val="11"/>
          <w:b w:val="0"/>
          <w:bCs/>
          <w:szCs w:val="33"/>
        </w:rPr>
        <w:t>。</w:t>
      </w:r>
    </w:p>
    <w:p>
      <w:pPr>
        <w:overflowPunct w:val="0"/>
        <w:spacing w:line="560" w:lineRule="exact"/>
        <w:ind w:firstLine="660" w:firstLineChars="200"/>
        <w:rPr>
          <w:rFonts w:cs="Times New Roman"/>
          <w:szCs w:val="33"/>
        </w:rPr>
      </w:pPr>
      <w:r>
        <w:rPr>
          <w:rFonts w:cs="Times New Roman"/>
          <w:b/>
          <w:szCs w:val="33"/>
        </w:rPr>
        <w:t>3.</w:t>
      </w:r>
      <w:r>
        <w:rPr>
          <w:b/>
          <w:szCs w:val="33"/>
        </w:rPr>
        <w:t>农林水（类）林业和草原（款）森林资源管理（项）</w:t>
      </w:r>
      <w:r>
        <w:rPr>
          <w:rFonts w:hint="eastAsia"/>
          <w:b/>
          <w:szCs w:val="33"/>
        </w:rPr>
        <w:t>：</w:t>
      </w:r>
      <w:r>
        <w:rPr>
          <w:szCs w:val="33"/>
        </w:rPr>
        <w:t>支出决算为</w:t>
      </w:r>
      <w:r>
        <w:rPr>
          <w:rFonts w:hint="eastAsia"/>
          <w:szCs w:val="33"/>
        </w:rPr>
        <w:t>25.27</w:t>
      </w:r>
      <w:r>
        <w:rPr>
          <w:szCs w:val="33"/>
        </w:rPr>
        <w:t>万元，完成预算</w:t>
      </w:r>
      <w:r>
        <w:rPr>
          <w:rFonts w:hint="eastAsia"/>
          <w:szCs w:val="33"/>
        </w:rPr>
        <w:t>100</w:t>
      </w:r>
      <w:r>
        <w:rPr>
          <w:szCs w:val="33"/>
        </w:rPr>
        <w:t>%</w:t>
      </w:r>
      <w:r>
        <w:rPr>
          <w:rFonts w:hint="eastAsia"/>
          <w:szCs w:val="33"/>
        </w:rPr>
        <w:t>，</w:t>
      </w:r>
      <w:r>
        <w:rPr>
          <w:rStyle w:val="11"/>
          <w:b w:val="0"/>
          <w:bCs/>
          <w:szCs w:val="33"/>
        </w:rPr>
        <w:t>决算数</w:t>
      </w:r>
      <w:r>
        <w:rPr>
          <w:rStyle w:val="11"/>
          <w:rFonts w:hint="eastAsia"/>
          <w:b w:val="0"/>
          <w:bCs/>
          <w:szCs w:val="33"/>
        </w:rPr>
        <w:t>与</w:t>
      </w:r>
      <w:r>
        <w:rPr>
          <w:rStyle w:val="11"/>
          <w:b w:val="0"/>
          <w:bCs/>
          <w:szCs w:val="33"/>
        </w:rPr>
        <w:t>预算数</w:t>
      </w:r>
      <w:r>
        <w:rPr>
          <w:rStyle w:val="11"/>
          <w:rFonts w:hint="eastAsia"/>
          <w:b w:val="0"/>
          <w:bCs/>
          <w:szCs w:val="33"/>
        </w:rPr>
        <w:t>持平</w:t>
      </w:r>
      <w:r>
        <w:rPr>
          <w:rStyle w:val="11"/>
          <w:b w:val="0"/>
          <w:bCs/>
          <w:szCs w:val="33"/>
        </w:rPr>
        <w:t>。</w:t>
      </w:r>
    </w:p>
    <w:p>
      <w:pPr>
        <w:overflowPunct w:val="0"/>
        <w:spacing w:line="560" w:lineRule="exact"/>
        <w:ind w:firstLine="660" w:firstLineChars="200"/>
        <w:rPr>
          <w:rFonts w:cs="Times New Roman"/>
          <w:szCs w:val="33"/>
        </w:rPr>
      </w:pPr>
      <w:r>
        <w:rPr>
          <w:rFonts w:cs="Times New Roman"/>
          <w:b/>
          <w:szCs w:val="33"/>
        </w:rPr>
        <w:t>4.</w:t>
      </w:r>
      <w:r>
        <w:rPr>
          <w:b/>
          <w:szCs w:val="33"/>
        </w:rPr>
        <w:t>农林水（类）水利</w:t>
      </w:r>
      <w:r>
        <w:rPr>
          <w:rFonts w:hint="eastAsia"/>
          <w:b/>
          <w:szCs w:val="33"/>
        </w:rPr>
        <w:t>（</w:t>
      </w:r>
      <w:r>
        <w:rPr>
          <w:b/>
          <w:szCs w:val="33"/>
        </w:rPr>
        <w:t>款</w:t>
      </w:r>
      <w:r>
        <w:rPr>
          <w:rFonts w:hint="eastAsia"/>
          <w:b/>
          <w:szCs w:val="33"/>
        </w:rPr>
        <w:t>）江河湖库水系综合整治（项）：</w:t>
      </w:r>
      <w:r>
        <w:rPr>
          <w:szCs w:val="33"/>
        </w:rPr>
        <w:t>支出决算为</w:t>
      </w:r>
      <w:r>
        <w:rPr>
          <w:rFonts w:hint="eastAsia"/>
          <w:szCs w:val="33"/>
        </w:rPr>
        <w:t>20</w:t>
      </w:r>
      <w:r>
        <w:rPr>
          <w:szCs w:val="33"/>
        </w:rPr>
        <w:t>万元，完成预算</w:t>
      </w:r>
      <w:r>
        <w:rPr>
          <w:rFonts w:hint="eastAsia"/>
          <w:szCs w:val="33"/>
        </w:rPr>
        <w:t>100</w:t>
      </w:r>
      <w:r>
        <w:rPr>
          <w:szCs w:val="33"/>
        </w:rPr>
        <w:t>%</w:t>
      </w:r>
      <w:r>
        <w:rPr>
          <w:rFonts w:hint="eastAsia"/>
          <w:szCs w:val="33"/>
        </w:rPr>
        <w:t>，</w:t>
      </w:r>
      <w:r>
        <w:rPr>
          <w:rStyle w:val="11"/>
          <w:b w:val="0"/>
          <w:bCs/>
          <w:szCs w:val="33"/>
        </w:rPr>
        <w:t>决算数</w:t>
      </w:r>
      <w:r>
        <w:rPr>
          <w:rStyle w:val="11"/>
          <w:rFonts w:hint="eastAsia"/>
          <w:b w:val="0"/>
          <w:bCs/>
          <w:szCs w:val="33"/>
        </w:rPr>
        <w:t>与</w:t>
      </w:r>
      <w:r>
        <w:rPr>
          <w:rStyle w:val="11"/>
          <w:b w:val="0"/>
          <w:bCs/>
          <w:szCs w:val="33"/>
        </w:rPr>
        <w:t>预算数</w:t>
      </w:r>
      <w:r>
        <w:rPr>
          <w:rStyle w:val="11"/>
          <w:rFonts w:hint="eastAsia"/>
          <w:b w:val="0"/>
          <w:bCs/>
          <w:szCs w:val="33"/>
        </w:rPr>
        <w:t>持平</w:t>
      </w:r>
      <w:r>
        <w:rPr>
          <w:rStyle w:val="11"/>
          <w:b w:val="0"/>
          <w:bCs/>
          <w:szCs w:val="33"/>
        </w:rPr>
        <w:t>。</w:t>
      </w:r>
    </w:p>
    <w:p>
      <w:pPr>
        <w:overflowPunct w:val="0"/>
        <w:spacing w:line="560" w:lineRule="exact"/>
        <w:ind w:firstLine="660" w:firstLineChars="200"/>
        <w:rPr>
          <w:szCs w:val="33"/>
        </w:rPr>
      </w:pPr>
      <w:r>
        <w:rPr>
          <w:rFonts w:hint="eastAsia" w:cs="Times New Roman"/>
          <w:b/>
          <w:szCs w:val="33"/>
        </w:rPr>
        <w:t>5.</w:t>
      </w:r>
      <w:r>
        <w:rPr>
          <w:b/>
          <w:szCs w:val="33"/>
        </w:rPr>
        <w:t>自然资源海洋气象等（类）自然资源事务（款）其他自然资源事务（项）：</w:t>
      </w:r>
      <w:r>
        <w:rPr>
          <w:szCs w:val="33"/>
        </w:rPr>
        <w:t>支出决算为</w:t>
      </w:r>
      <w:r>
        <w:rPr>
          <w:rFonts w:hint="eastAsia"/>
          <w:szCs w:val="33"/>
        </w:rPr>
        <w:t>147.61</w:t>
      </w:r>
      <w:r>
        <w:rPr>
          <w:szCs w:val="33"/>
        </w:rPr>
        <w:t>万元，完成预算100%</w:t>
      </w:r>
      <w:r>
        <w:rPr>
          <w:rFonts w:hint="eastAsia"/>
          <w:szCs w:val="33"/>
        </w:rPr>
        <w:t>，</w:t>
      </w:r>
      <w:r>
        <w:rPr>
          <w:rStyle w:val="11"/>
          <w:b w:val="0"/>
          <w:bCs/>
          <w:szCs w:val="33"/>
        </w:rPr>
        <w:t>决算数</w:t>
      </w:r>
      <w:r>
        <w:rPr>
          <w:rStyle w:val="11"/>
          <w:rFonts w:hint="eastAsia"/>
          <w:b w:val="0"/>
          <w:bCs/>
          <w:szCs w:val="33"/>
        </w:rPr>
        <w:t>与</w:t>
      </w:r>
      <w:r>
        <w:rPr>
          <w:rStyle w:val="11"/>
          <w:b w:val="0"/>
          <w:bCs/>
          <w:szCs w:val="33"/>
        </w:rPr>
        <w:t>预算数</w:t>
      </w:r>
      <w:r>
        <w:rPr>
          <w:rStyle w:val="11"/>
          <w:rFonts w:hint="eastAsia"/>
          <w:b w:val="0"/>
          <w:bCs/>
          <w:szCs w:val="33"/>
        </w:rPr>
        <w:t>持平</w:t>
      </w:r>
      <w:r>
        <w:rPr>
          <w:rStyle w:val="11"/>
          <w:b w:val="0"/>
          <w:bCs/>
          <w:szCs w:val="33"/>
        </w:rPr>
        <w:t>。</w:t>
      </w:r>
    </w:p>
    <w:p>
      <w:pPr>
        <w:overflowPunct w:val="0"/>
        <w:spacing w:line="560" w:lineRule="exact"/>
        <w:ind w:firstLine="660" w:firstLineChars="200"/>
        <w:rPr>
          <w:rFonts w:cs="Times New Roman"/>
          <w:b/>
          <w:szCs w:val="33"/>
        </w:rPr>
      </w:pPr>
      <w:r>
        <w:rPr>
          <w:rFonts w:hint="eastAsia"/>
          <w:b/>
          <w:szCs w:val="33"/>
        </w:rPr>
        <w:t>6.</w:t>
      </w:r>
      <w:r>
        <w:rPr>
          <w:b/>
          <w:szCs w:val="33"/>
        </w:rPr>
        <w:t>住房保障（类）住房改革（款）住房公积金（项）：</w:t>
      </w:r>
      <w:r>
        <w:rPr>
          <w:szCs w:val="33"/>
        </w:rPr>
        <w:t>支出决算为</w:t>
      </w:r>
      <w:r>
        <w:rPr>
          <w:rFonts w:hint="eastAsia"/>
          <w:szCs w:val="33"/>
        </w:rPr>
        <w:t>17.23</w:t>
      </w:r>
      <w:r>
        <w:rPr>
          <w:szCs w:val="33"/>
        </w:rPr>
        <w:t>万元，完成预算100%</w:t>
      </w:r>
      <w:r>
        <w:rPr>
          <w:rFonts w:hint="eastAsia"/>
          <w:szCs w:val="33"/>
        </w:rPr>
        <w:t>，</w:t>
      </w:r>
      <w:r>
        <w:rPr>
          <w:rStyle w:val="11"/>
          <w:b w:val="0"/>
          <w:bCs/>
          <w:szCs w:val="33"/>
        </w:rPr>
        <w:t>决算数</w:t>
      </w:r>
      <w:r>
        <w:rPr>
          <w:rStyle w:val="11"/>
          <w:rFonts w:hint="eastAsia"/>
          <w:b w:val="0"/>
          <w:bCs/>
          <w:szCs w:val="33"/>
        </w:rPr>
        <w:t>与</w:t>
      </w:r>
      <w:r>
        <w:rPr>
          <w:rStyle w:val="11"/>
          <w:b w:val="0"/>
          <w:bCs/>
          <w:szCs w:val="33"/>
        </w:rPr>
        <w:t>预算数</w:t>
      </w:r>
      <w:r>
        <w:rPr>
          <w:rStyle w:val="11"/>
          <w:rFonts w:hint="eastAsia"/>
          <w:b w:val="0"/>
          <w:bCs/>
          <w:szCs w:val="33"/>
        </w:rPr>
        <w:t>持平</w:t>
      </w:r>
      <w:r>
        <w:rPr>
          <w:rStyle w:val="11"/>
          <w:b w:val="0"/>
          <w:bCs/>
          <w:szCs w:val="33"/>
        </w:rPr>
        <w:t>。</w:t>
      </w:r>
    </w:p>
    <w:p>
      <w:pPr>
        <w:overflowPunct w:val="0"/>
        <w:spacing w:line="560" w:lineRule="exact"/>
        <w:ind w:firstLine="660" w:firstLineChars="200"/>
        <w:rPr>
          <w:rFonts w:ascii="方正黑体_GBK" w:eastAsia="方正黑体_GBK" w:cs="Times New Roman"/>
          <w:szCs w:val="33"/>
        </w:rPr>
      </w:pPr>
      <w:r>
        <w:rPr>
          <w:rFonts w:hint="eastAsia" w:ascii="方正黑体_GBK" w:eastAsia="方正黑体_GBK" w:cs="Times New Roman"/>
          <w:szCs w:val="33"/>
        </w:rPr>
        <w:t>六、一般公共预算财政拨款基本支出决算情况说明</w:t>
      </w:r>
    </w:p>
    <w:p>
      <w:pPr>
        <w:overflowPunct w:val="0"/>
        <w:spacing w:line="560" w:lineRule="exact"/>
        <w:ind w:firstLine="660" w:firstLineChars="200"/>
        <w:rPr>
          <w:rFonts w:cs="Times New Roman"/>
          <w:szCs w:val="33"/>
        </w:rPr>
      </w:pPr>
      <w:r>
        <w:rPr>
          <w:rFonts w:cs="Times New Roman"/>
          <w:szCs w:val="33"/>
        </w:rPr>
        <w:t>2023年度一般公共预算财政拨款基本支出</w:t>
      </w:r>
      <w:r>
        <w:rPr>
          <w:rFonts w:hint="eastAsia" w:cs="Times New Roman"/>
          <w:szCs w:val="33"/>
        </w:rPr>
        <w:t>218.08</w:t>
      </w:r>
      <w:r>
        <w:rPr>
          <w:rFonts w:cs="Times New Roman"/>
          <w:szCs w:val="33"/>
        </w:rPr>
        <w:t>万元，其中：</w:t>
      </w:r>
    </w:p>
    <w:p>
      <w:pPr>
        <w:overflowPunct w:val="0"/>
        <w:spacing w:line="560" w:lineRule="exact"/>
        <w:ind w:firstLine="660" w:firstLineChars="200"/>
        <w:rPr>
          <w:rFonts w:cs="Times New Roman"/>
          <w:szCs w:val="33"/>
        </w:rPr>
      </w:pPr>
      <w:r>
        <w:rPr>
          <w:rFonts w:cs="Times New Roman"/>
          <w:szCs w:val="33"/>
        </w:rPr>
        <w:t>人员经费</w:t>
      </w:r>
      <w:r>
        <w:rPr>
          <w:rFonts w:hint="eastAsia" w:cs="Times New Roman"/>
          <w:szCs w:val="33"/>
        </w:rPr>
        <w:t>199.64</w:t>
      </w:r>
      <w:r>
        <w:rPr>
          <w:rFonts w:cs="Times New Roman"/>
          <w:szCs w:val="33"/>
        </w:rPr>
        <w:t>万元，主要包括：基本工资、津贴补贴、奖金、机关事业单位基本养老保险缴费、其他社会保障缴费、</w:t>
      </w:r>
      <w:r>
        <w:rPr>
          <w:rFonts w:hint="eastAsia" w:cs="Times New Roman"/>
          <w:szCs w:val="33"/>
        </w:rPr>
        <w:t>职工基本医疗保险缴费、</w:t>
      </w:r>
      <w:r>
        <w:rPr>
          <w:rFonts w:cs="Times New Roman"/>
          <w:szCs w:val="33"/>
        </w:rPr>
        <w:t>住房公积金等。</w:t>
      </w:r>
    </w:p>
    <w:p>
      <w:pPr>
        <w:overflowPunct w:val="0"/>
        <w:spacing w:line="560" w:lineRule="exact"/>
        <w:ind w:firstLine="660" w:firstLineChars="200"/>
        <w:rPr>
          <w:rFonts w:cs="Times New Roman"/>
          <w:szCs w:val="33"/>
        </w:rPr>
      </w:pPr>
      <w:r>
        <w:rPr>
          <w:rFonts w:cs="Times New Roman"/>
          <w:szCs w:val="33"/>
        </w:rPr>
        <w:t>公用经费</w:t>
      </w:r>
      <w:r>
        <w:rPr>
          <w:rFonts w:hint="eastAsia" w:cs="Times New Roman"/>
          <w:szCs w:val="33"/>
        </w:rPr>
        <w:t>18.44</w:t>
      </w:r>
      <w:r>
        <w:rPr>
          <w:rFonts w:cs="Times New Roman"/>
          <w:szCs w:val="33"/>
        </w:rPr>
        <w:t>万元，主要包括：办公费、邮电费、差旅费、公务接待费、劳务费、工会经费、福利费、其他交通费等。</w:t>
      </w:r>
    </w:p>
    <w:p>
      <w:pPr>
        <w:overflowPunct w:val="0"/>
        <w:spacing w:line="560" w:lineRule="exact"/>
        <w:ind w:firstLine="660" w:firstLineChars="200"/>
        <w:rPr>
          <w:rFonts w:ascii="方正黑体_GBK" w:eastAsia="方正黑体_GBK" w:cs="Times New Roman"/>
          <w:szCs w:val="33"/>
        </w:rPr>
      </w:pPr>
      <w:r>
        <w:rPr>
          <w:rFonts w:hint="eastAsia" w:ascii="方正黑体_GBK" w:eastAsia="方正黑体_GBK" w:cs="Times New Roman"/>
          <w:szCs w:val="33"/>
        </w:rPr>
        <w:t>七、财政拨款“三公”经费支出决算情况说明</w:t>
      </w:r>
    </w:p>
    <w:p>
      <w:pPr>
        <w:overflowPunct w:val="0"/>
        <w:spacing w:line="560" w:lineRule="exact"/>
        <w:ind w:firstLine="660" w:firstLineChars="200"/>
        <w:rPr>
          <w:rFonts w:ascii="方正楷体_GBK" w:eastAsia="方正楷体_GBK" w:cs="Times New Roman"/>
          <w:b/>
          <w:szCs w:val="33"/>
        </w:rPr>
      </w:pPr>
      <w:r>
        <w:rPr>
          <w:rFonts w:hint="eastAsia" w:ascii="方正楷体_GBK" w:eastAsia="方正楷体_GBK" w:cs="Times New Roman"/>
          <w:b/>
          <w:szCs w:val="33"/>
        </w:rPr>
        <w:t>（一）“三公”经费财政拨款支出决算总体情况说明</w:t>
      </w:r>
    </w:p>
    <w:p>
      <w:pPr>
        <w:overflowPunct w:val="0"/>
        <w:spacing w:line="560" w:lineRule="exact"/>
        <w:ind w:firstLine="660" w:firstLineChars="200"/>
        <w:rPr>
          <w:rFonts w:cs="Times New Roman"/>
          <w:szCs w:val="33"/>
        </w:rPr>
      </w:pPr>
      <w:r>
        <w:rPr>
          <w:rFonts w:hint="eastAsia" w:cs="Times New Roman"/>
          <w:szCs w:val="33"/>
        </w:rPr>
        <w:t>2023年度“三公”经费财政拨款支出决算为0.34万元，完成预算100%，较上年度增加0.17万元，增长100%。决算数与预算数持平。</w:t>
      </w:r>
    </w:p>
    <w:p>
      <w:pPr>
        <w:overflowPunct w:val="0"/>
        <w:spacing w:line="560" w:lineRule="exact"/>
        <w:ind w:firstLine="660" w:firstLineChars="200"/>
        <w:rPr>
          <w:rFonts w:ascii="方正楷体_GBK" w:eastAsia="方正楷体_GBK" w:cs="Times New Roman"/>
          <w:b/>
          <w:szCs w:val="33"/>
        </w:rPr>
      </w:pPr>
      <w:r>
        <w:rPr>
          <w:rFonts w:hint="eastAsia" w:ascii="方正楷体_GBK" w:eastAsia="方正楷体_GBK" w:cs="Times New Roman"/>
          <w:b/>
          <w:szCs w:val="33"/>
        </w:rPr>
        <w:t>（二）“三公”经费财政拨款支出决算具体情况说明</w:t>
      </w:r>
    </w:p>
    <w:p>
      <w:pPr>
        <w:overflowPunct w:val="0"/>
        <w:spacing w:line="560" w:lineRule="exact"/>
        <w:ind w:firstLine="660" w:firstLineChars="200"/>
        <w:rPr>
          <w:rFonts w:cs="Times New Roman"/>
          <w:szCs w:val="33"/>
        </w:rPr>
      </w:pPr>
      <w:r>
        <w:rPr>
          <w:rFonts w:hint="eastAsia" w:cs="Times New Roman"/>
          <w:szCs w:val="33"/>
        </w:rPr>
        <w:t>2023年度“三公”经费财政拨款支出决算中，因公出国（境）费支出决算0万元，占0%；公务用车购置及运行维护费支出决算0万元，占0%；公务接待费支出决算0.34万元，占100%。具体情况如下：</w:t>
      </w:r>
    </w:p>
    <w:p>
      <w:pPr>
        <w:overflowPunct w:val="0"/>
        <w:spacing w:line="590" w:lineRule="exact"/>
        <w:rPr>
          <w:rFonts w:cs="Times New Roman"/>
          <w:szCs w:val="33"/>
        </w:rPr>
      </w:pPr>
      <w:r>
        <w:rPr>
          <w:rFonts w:hint="eastAsia" w:cs="Times New Roman"/>
          <w:szCs w:val="33"/>
        </w:rPr>
        <w:drawing>
          <wp:anchor distT="0" distB="0" distL="114300" distR="114300" simplePos="0" relativeHeight="251664384" behindDoc="0" locked="0" layoutInCell="1" allowOverlap="1">
            <wp:simplePos x="0" y="0"/>
            <wp:positionH relativeFrom="column">
              <wp:posOffset>517525</wp:posOffset>
            </wp:positionH>
            <wp:positionV relativeFrom="paragraph">
              <wp:posOffset>90805</wp:posOffset>
            </wp:positionV>
            <wp:extent cx="4480560" cy="1510665"/>
            <wp:effectExtent l="19050" t="0" r="15019" b="0"/>
            <wp:wrapNone/>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overflowPunct w:val="0"/>
        <w:spacing w:line="590" w:lineRule="exact"/>
        <w:jc w:val="center"/>
        <w:rPr>
          <w:rFonts w:cs="Times New Roman"/>
          <w:szCs w:val="33"/>
        </w:rPr>
      </w:pPr>
    </w:p>
    <w:p>
      <w:pPr>
        <w:overflowPunct w:val="0"/>
        <w:spacing w:line="590" w:lineRule="exact"/>
        <w:jc w:val="center"/>
        <w:rPr>
          <w:rFonts w:cs="Times New Roman"/>
          <w:szCs w:val="33"/>
        </w:rPr>
      </w:pPr>
    </w:p>
    <w:p>
      <w:pPr>
        <w:overflowPunct w:val="0"/>
        <w:spacing w:line="590" w:lineRule="exact"/>
        <w:jc w:val="center"/>
        <w:rPr>
          <w:rFonts w:cs="Times New Roman"/>
          <w:szCs w:val="33"/>
        </w:rPr>
      </w:pPr>
    </w:p>
    <w:p>
      <w:pPr>
        <w:overflowPunct w:val="0"/>
        <w:spacing w:line="590" w:lineRule="exact"/>
        <w:jc w:val="center"/>
        <w:rPr>
          <w:rFonts w:cs="Times New Roman"/>
          <w:szCs w:val="33"/>
        </w:rPr>
      </w:pPr>
    </w:p>
    <w:p>
      <w:pPr>
        <w:overflowPunct w:val="0"/>
        <w:spacing w:line="590" w:lineRule="exact"/>
        <w:jc w:val="center"/>
        <w:rPr>
          <w:rFonts w:cs="Times New Roman"/>
          <w:szCs w:val="33"/>
        </w:rPr>
      </w:pPr>
      <w:r>
        <w:rPr>
          <w:rFonts w:hint="eastAsia" w:cs="Times New Roman"/>
          <w:szCs w:val="33"/>
        </w:rPr>
        <w:t>（图7：“三公”经费财政拨款支出结构）</w:t>
      </w:r>
    </w:p>
    <w:p>
      <w:pPr>
        <w:overflowPunct w:val="0"/>
        <w:spacing w:line="590" w:lineRule="exact"/>
        <w:ind w:firstLine="660" w:firstLineChars="200"/>
        <w:rPr>
          <w:rFonts w:cs="Times New Roman"/>
          <w:szCs w:val="33"/>
        </w:rPr>
      </w:pPr>
      <w:r>
        <w:rPr>
          <w:rFonts w:hint="eastAsia" w:cs="Times New Roman"/>
          <w:b/>
          <w:szCs w:val="33"/>
        </w:rPr>
        <w:t>1.因公出国（境）经费支出</w:t>
      </w:r>
      <w:r>
        <w:rPr>
          <w:rFonts w:hint="eastAsia" w:cs="Times New Roman"/>
          <w:szCs w:val="33"/>
        </w:rPr>
        <w:t>0万元，全年安排因公出国（境）团组0次，出国（境）0人。因公出国（境）支出决算与2022年持平。</w:t>
      </w:r>
    </w:p>
    <w:p>
      <w:pPr>
        <w:overflowPunct w:val="0"/>
        <w:spacing w:line="590" w:lineRule="exact"/>
        <w:ind w:firstLine="660" w:firstLineChars="200"/>
        <w:rPr>
          <w:rFonts w:cs="Times New Roman"/>
          <w:szCs w:val="33"/>
        </w:rPr>
      </w:pPr>
      <w:r>
        <w:rPr>
          <w:rFonts w:hint="eastAsia" w:cs="Times New Roman"/>
          <w:b/>
          <w:szCs w:val="33"/>
        </w:rPr>
        <w:t>2.公务用车购置及运行维护费支出</w:t>
      </w:r>
      <w:r>
        <w:rPr>
          <w:rFonts w:hint="eastAsia" w:cs="Times New Roman"/>
          <w:szCs w:val="33"/>
        </w:rPr>
        <w:t>0万元，公务用车购置及运行维护费支出决算与2022年度持平。</w:t>
      </w:r>
    </w:p>
    <w:p>
      <w:pPr>
        <w:overflowPunct w:val="0"/>
        <w:spacing w:line="590" w:lineRule="exact"/>
        <w:ind w:firstLine="660" w:firstLineChars="200"/>
        <w:rPr>
          <w:rFonts w:cs="Times New Roman"/>
          <w:szCs w:val="33"/>
        </w:rPr>
      </w:pPr>
      <w:r>
        <w:rPr>
          <w:rFonts w:hint="eastAsia" w:cs="Times New Roman"/>
          <w:szCs w:val="33"/>
        </w:rPr>
        <w:t>其中：公务用车购置支出0万元。全年按规定更新购置公务用车0辆。截至2023年12月31日，单位共有公务用车0辆。</w:t>
      </w:r>
    </w:p>
    <w:p>
      <w:pPr>
        <w:overflowPunct w:val="0"/>
        <w:spacing w:line="590" w:lineRule="exact"/>
        <w:ind w:firstLine="660" w:firstLineChars="200"/>
        <w:rPr>
          <w:rFonts w:cs="Times New Roman"/>
          <w:szCs w:val="33"/>
        </w:rPr>
      </w:pPr>
      <w:r>
        <w:rPr>
          <w:rFonts w:hint="eastAsia" w:cs="Times New Roman"/>
          <w:szCs w:val="33"/>
        </w:rPr>
        <w:t>公务用车运行维护费支出0万元。</w:t>
      </w:r>
    </w:p>
    <w:p>
      <w:pPr>
        <w:overflowPunct w:val="0"/>
        <w:spacing w:line="590" w:lineRule="exact"/>
        <w:ind w:firstLine="660" w:firstLineChars="200"/>
        <w:rPr>
          <w:rFonts w:cs="Times New Roman"/>
          <w:szCs w:val="33"/>
        </w:rPr>
      </w:pPr>
      <w:r>
        <w:rPr>
          <w:rFonts w:hint="eastAsia" w:cs="Times New Roman"/>
          <w:b/>
          <w:szCs w:val="33"/>
        </w:rPr>
        <w:t>3.公务接待费支出</w:t>
      </w:r>
      <w:r>
        <w:rPr>
          <w:rFonts w:hint="eastAsia" w:cs="Times New Roman"/>
          <w:szCs w:val="33"/>
        </w:rPr>
        <w:t>0.34万元，完成预算100%。公务接待费支出决算比2022年度增加0.17万元，增长100%。主要原因是迎接上级</w:t>
      </w:r>
      <w:r>
        <w:rPr>
          <w:rFonts w:hint="eastAsia" w:cs="Times New Roman"/>
          <w:szCs w:val="33"/>
          <w:lang w:eastAsia="zh-CN"/>
        </w:rPr>
        <w:t>调研</w:t>
      </w:r>
      <w:r>
        <w:rPr>
          <w:rFonts w:hint="eastAsia" w:cs="Times New Roman"/>
          <w:szCs w:val="33"/>
        </w:rPr>
        <w:t>检查增加。其中：</w:t>
      </w:r>
    </w:p>
    <w:p>
      <w:pPr>
        <w:overflowPunct w:val="0"/>
        <w:spacing w:line="590" w:lineRule="exact"/>
        <w:ind w:firstLine="660" w:firstLineChars="200"/>
        <w:rPr>
          <w:rFonts w:cs="Times New Roman"/>
          <w:szCs w:val="33"/>
        </w:rPr>
      </w:pPr>
      <w:r>
        <w:rPr>
          <w:rFonts w:hint="eastAsia" w:cs="Times New Roman"/>
          <w:szCs w:val="33"/>
        </w:rPr>
        <w:t>国内公务接待支出0.34万元，主要用于接待上级</w:t>
      </w:r>
      <w:r>
        <w:rPr>
          <w:rFonts w:hint="eastAsia" w:cs="Times New Roman"/>
          <w:szCs w:val="33"/>
          <w:lang w:eastAsia="zh-CN"/>
        </w:rPr>
        <w:t>调研</w:t>
      </w:r>
      <w:r>
        <w:rPr>
          <w:rFonts w:hint="eastAsia" w:cs="Times New Roman"/>
          <w:szCs w:val="33"/>
        </w:rPr>
        <w:t>检查开支的用餐费。国内公务接待4批次，25人次（不包括陪同人员），共计支出0.34万元，具体内容包括：现场验收演练、整体验收等工作。</w:t>
      </w:r>
    </w:p>
    <w:p>
      <w:pPr>
        <w:overflowPunct w:val="0"/>
        <w:spacing w:line="590" w:lineRule="exact"/>
        <w:ind w:firstLine="660" w:firstLineChars="200"/>
        <w:rPr>
          <w:rFonts w:cs="Times New Roman"/>
          <w:szCs w:val="33"/>
        </w:rPr>
      </w:pPr>
      <w:r>
        <w:rPr>
          <w:rFonts w:hint="eastAsia" w:cs="Times New Roman"/>
          <w:szCs w:val="33"/>
        </w:rPr>
        <w:t>外事接待支出0万元。</w:t>
      </w:r>
    </w:p>
    <w:p>
      <w:pPr>
        <w:overflowPunct w:val="0"/>
        <w:spacing w:line="590" w:lineRule="exact"/>
        <w:ind w:firstLine="660" w:firstLineChars="200"/>
        <w:rPr>
          <w:rFonts w:ascii="方正黑体_GBK" w:eastAsia="方正黑体_GBK" w:cs="Times New Roman"/>
          <w:szCs w:val="33"/>
        </w:rPr>
      </w:pPr>
      <w:r>
        <w:rPr>
          <w:rFonts w:hint="eastAsia" w:ascii="方正黑体_GBK" w:eastAsia="方正黑体_GBK" w:cs="Times New Roman"/>
          <w:szCs w:val="33"/>
        </w:rPr>
        <w:t>八、政府性基金预算支出决算情况说明</w:t>
      </w:r>
    </w:p>
    <w:p>
      <w:pPr>
        <w:overflowPunct w:val="0"/>
        <w:spacing w:line="590" w:lineRule="exact"/>
        <w:ind w:firstLine="660" w:firstLineChars="200"/>
        <w:rPr>
          <w:rFonts w:cs="Times New Roman"/>
          <w:szCs w:val="33"/>
        </w:rPr>
      </w:pPr>
      <w:r>
        <w:rPr>
          <w:rFonts w:hint="eastAsia" w:cs="Times New Roman"/>
          <w:szCs w:val="33"/>
        </w:rPr>
        <w:t>2023年度政府性基金预算财政拨款支出0万元。</w:t>
      </w:r>
    </w:p>
    <w:p>
      <w:pPr>
        <w:overflowPunct w:val="0"/>
        <w:spacing w:line="590" w:lineRule="exact"/>
        <w:ind w:firstLine="660" w:firstLineChars="200"/>
        <w:rPr>
          <w:rFonts w:ascii="方正黑体_GBK" w:eastAsia="方正黑体_GBK" w:cs="Times New Roman"/>
          <w:szCs w:val="33"/>
        </w:rPr>
      </w:pPr>
      <w:r>
        <w:rPr>
          <w:rFonts w:hint="eastAsia" w:ascii="方正黑体_GBK" w:eastAsia="方正黑体_GBK" w:cs="Times New Roman"/>
          <w:szCs w:val="33"/>
        </w:rPr>
        <w:t>九、国有资本经营预算支出决算情况说明</w:t>
      </w:r>
    </w:p>
    <w:p>
      <w:pPr>
        <w:overflowPunct w:val="0"/>
        <w:spacing w:line="590" w:lineRule="exact"/>
        <w:ind w:firstLine="660" w:firstLineChars="200"/>
        <w:rPr>
          <w:rFonts w:cs="Times New Roman"/>
          <w:szCs w:val="33"/>
        </w:rPr>
      </w:pPr>
      <w:r>
        <w:rPr>
          <w:rFonts w:hint="eastAsia" w:cs="Times New Roman"/>
          <w:szCs w:val="33"/>
        </w:rPr>
        <w:t>2023年度国有资本经营预算财政拨款支出0万元。</w:t>
      </w:r>
    </w:p>
    <w:p>
      <w:pPr>
        <w:overflowPunct w:val="0"/>
        <w:spacing w:line="590" w:lineRule="exact"/>
        <w:ind w:firstLine="660" w:firstLineChars="200"/>
        <w:rPr>
          <w:rFonts w:ascii="方正黑体_GBK" w:eastAsia="方正黑体_GBK" w:cs="Times New Roman"/>
          <w:szCs w:val="33"/>
        </w:rPr>
      </w:pPr>
      <w:r>
        <w:rPr>
          <w:rFonts w:hint="eastAsia" w:ascii="方正黑体_GBK" w:eastAsia="方正黑体_GBK" w:cs="Times New Roman"/>
          <w:szCs w:val="33"/>
        </w:rPr>
        <w:t>十、其他重要事项的情况说明</w:t>
      </w:r>
    </w:p>
    <w:p>
      <w:pPr>
        <w:overflowPunct w:val="0"/>
        <w:spacing w:line="590" w:lineRule="exact"/>
        <w:ind w:firstLine="660" w:firstLineChars="200"/>
        <w:rPr>
          <w:rFonts w:ascii="方正楷体_GBK" w:eastAsia="方正楷体_GBK" w:cs="Times New Roman"/>
          <w:b/>
          <w:szCs w:val="33"/>
        </w:rPr>
      </w:pPr>
      <w:r>
        <w:rPr>
          <w:rFonts w:hint="eastAsia" w:ascii="方正楷体_GBK" w:eastAsia="方正楷体_GBK" w:cs="Times New Roman"/>
          <w:b/>
          <w:szCs w:val="33"/>
        </w:rPr>
        <w:t>（一）机关运行经费支出情况</w:t>
      </w:r>
    </w:p>
    <w:p>
      <w:pPr>
        <w:overflowPunct w:val="0"/>
        <w:spacing w:line="590" w:lineRule="exact"/>
        <w:ind w:firstLine="660" w:firstLineChars="200"/>
        <w:rPr>
          <w:rFonts w:cs="Times New Roman"/>
          <w:szCs w:val="33"/>
        </w:rPr>
      </w:pPr>
      <w:r>
        <w:rPr>
          <w:rFonts w:hint="eastAsia" w:cs="Times New Roman"/>
          <w:szCs w:val="33"/>
        </w:rPr>
        <w:t>2023年度，县山水林田湖资源保护中心机关运行经费支出18.44万元，比2022年度增加0.37万元，增长2.05%。主要原因是其他交通费用增加。</w:t>
      </w:r>
    </w:p>
    <w:p>
      <w:pPr>
        <w:overflowPunct w:val="0"/>
        <w:spacing w:line="590" w:lineRule="exact"/>
        <w:ind w:firstLine="660" w:firstLineChars="200"/>
        <w:rPr>
          <w:rFonts w:ascii="方正楷体_GBK" w:eastAsia="方正楷体_GBK" w:cs="Times New Roman"/>
          <w:b/>
          <w:szCs w:val="33"/>
        </w:rPr>
      </w:pPr>
      <w:r>
        <w:rPr>
          <w:rFonts w:hint="eastAsia" w:ascii="方正楷体_GBK" w:eastAsia="方正楷体_GBK" w:cs="Times New Roman"/>
          <w:b/>
          <w:szCs w:val="33"/>
        </w:rPr>
        <w:t>（二）政府采购支出情况</w:t>
      </w:r>
    </w:p>
    <w:p>
      <w:pPr>
        <w:overflowPunct w:val="0"/>
        <w:spacing w:line="590" w:lineRule="exact"/>
        <w:ind w:firstLine="660" w:firstLineChars="200"/>
        <w:rPr>
          <w:rFonts w:cs="Times New Roman"/>
          <w:szCs w:val="33"/>
        </w:rPr>
      </w:pPr>
      <w:r>
        <w:rPr>
          <w:rFonts w:hint="eastAsia" w:cs="Times New Roman"/>
          <w:szCs w:val="33"/>
        </w:rPr>
        <w:t>2023年度，县山水林田湖资源保护中心政府采购支出总额0万元。</w:t>
      </w:r>
    </w:p>
    <w:p>
      <w:pPr>
        <w:overflowPunct w:val="0"/>
        <w:spacing w:line="590" w:lineRule="exact"/>
        <w:ind w:firstLine="660" w:firstLineChars="200"/>
        <w:rPr>
          <w:rFonts w:ascii="方正楷体_GBK" w:eastAsia="方正楷体_GBK" w:cs="Times New Roman"/>
          <w:b/>
          <w:szCs w:val="33"/>
        </w:rPr>
      </w:pPr>
      <w:r>
        <w:rPr>
          <w:rFonts w:hint="eastAsia" w:ascii="方正楷体_GBK" w:eastAsia="方正楷体_GBK" w:cs="Times New Roman"/>
          <w:b/>
          <w:szCs w:val="33"/>
        </w:rPr>
        <w:t>（三）国有资产占有使用情况</w:t>
      </w:r>
    </w:p>
    <w:p>
      <w:pPr>
        <w:overflowPunct w:val="0"/>
        <w:spacing w:line="590" w:lineRule="exact"/>
        <w:ind w:firstLine="660" w:firstLineChars="200"/>
        <w:rPr>
          <w:rFonts w:cs="Times New Roman"/>
          <w:szCs w:val="33"/>
        </w:rPr>
      </w:pPr>
      <w:r>
        <w:rPr>
          <w:rFonts w:hint="eastAsia" w:cs="Times New Roman"/>
          <w:szCs w:val="33"/>
        </w:rPr>
        <w:t>截至2023年12月31日，县山水林田湖资源保护中心共有车辆0辆，单价100万元以上设备（不含车辆）0台（套）。</w:t>
      </w:r>
    </w:p>
    <w:p>
      <w:pPr>
        <w:overflowPunct w:val="0"/>
        <w:spacing w:line="590" w:lineRule="exact"/>
        <w:ind w:firstLine="660" w:firstLineChars="200"/>
        <w:rPr>
          <w:rFonts w:ascii="方正楷体_GBK" w:eastAsia="方正楷体_GBK" w:cs="Times New Roman"/>
          <w:b/>
          <w:szCs w:val="33"/>
        </w:rPr>
      </w:pPr>
      <w:r>
        <w:rPr>
          <w:rFonts w:hint="eastAsia" w:ascii="方正楷体_GBK" w:eastAsia="方正楷体_GBK" w:cs="Times New Roman"/>
          <w:b/>
          <w:szCs w:val="33"/>
        </w:rPr>
        <w:t>（四）预算绩效管理情况</w:t>
      </w:r>
    </w:p>
    <w:p>
      <w:pPr>
        <w:overflowPunct w:val="0"/>
        <w:spacing w:line="590" w:lineRule="exact"/>
        <w:ind w:firstLine="660" w:firstLineChars="200"/>
        <w:rPr>
          <w:rFonts w:cs="Times New Roman"/>
          <w:szCs w:val="33"/>
        </w:rPr>
      </w:pPr>
      <w:r>
        <w:rPr>
          <w:rFonts w:hint="eastAsia" w:cs="Times New Roman"/>
          <w:szCs w:val="33"/>
        </w:rPr>
        <w:t>根据预算绩效管理要求，本部门在2023年度预算编制阶段，未开展预算事前绩效评估，对1个项目编制了绩效目标，预算执行过程中，选取1个项目开展绩效监控。</w:t>
      </w:r>
    </w:p>
    <w:p>
      <w:pPr>
        <w:overflowPunct w:val="0"/>
        <w:spacing w:line="590" w:lineRule="exact"/>
        <w:ind w:firstLine="660" w:firstLineChars="200"/>
        <w:rPr>
          <w:rFonts w:cs="Times New Roman"/>
          <w:szCs w:val="33"/>
        </w:rPr>
      </w:pPr>
      <w:r>
        <w:rPr>
          <w:rFonts w:hint="eastAsia" w:cs="Times New Roman"/>
          <w:szCs w:val="33"/>
        </w:rPr>
        <w:t>组织对2023年度一般公共预算开展绩效自评，形成邻水县山水林田湖资源保护中心部门整体（含部门预算项目）绩效自评报告其中，邻水县山水林田湖资源保护中心部门整体（含部门预算项目）绩效自评得分为96分，绩效自评综述：预算执行情况良好，预算支出和决算支出情况基本相符。绩效自评报告详见附件。</w:t>
      </w:r>
    </w:p>
    <w:p>
      <w:pPr>
        <w:overflowPunct w:val="0"/>
        <w:spacing w:line="590" w:lineRule="exact"/>
        <w:jc w:val="center"/>
        <w:rPr>
          <w:rFonts w:ascii="方正黑体_GBK" w:eastAsia="方正黑体_GBK" w:cs="Times New Roman"/>
          <w:sz w:val="44"/>
          <w:szCs w:val="44"/>
        </w:rPr>
      </w:pPr>
      <w:r>
        <w:rPr>
          <w:rFonts w:hint="eastAsia" w:ascii="方正黑体_GBK" w:eastAsia="方正黑体_GBK" w:cs="Times New Roman"/>
          <w:sz w:val="44"/>
          <w:szCs w:val="44"/>
        </w:rPr>
        <w:t>第三部分 名称解释</w:t>
      </w:r>
    </w:p>
    <w:p>
      <w:pPr>
        <w:overflowPunct w:val="0"/>
        <w:spacing w:line="590" w:lineRule="exact"/>
        <w:ind w:firstLine="660" w:firstLineChars="200"/>
        <w:rPr>
          <w:rFonts w:cs="Times New Roman"/>
          <w:szCs w:val="33"/>
        </w:rPr>
      </w:pPr>
      <w:r>
        <w:rPr>
          <w:rFonts w:hint="eastAsia" w:cs="Times New Roman"/>
          <w:szCs w:val="33"/>
        </w:rPr>
        <w:t>1.财政拨款收入：指单位从同级财政部门取得的财政预算资金。</w:t>
      </w:r>
    </w:p>
    <w:p>
      <w:pPr>
        <w:overflowPunct w:val="0"/>
        <w:spacing w:line="590" w:lineRule="exact"/>
        <w:ind w:firstLine="660" w:firstLineChars="200"/>
        <w:rPr>
          <w:rFonts w:cs="Times New Roman"/>
          <w:szCs w:val="33"/>
        </w:rPr>
      </w:pPr>
      <w:r>
        <w:rPr>
          <w:rFonts w:hint="eastAsia" w:cs="Times New Roman"/>
          <w:szCs w:val="33"/>
        </w:rPr>
        <w:t>2.社会保障和就业（类）行政事业单位养老（款）行政事业单位基本养老保险缴费（项）：指机关事业单位实施养老保险制度由单位缴纳的基本养老保险费支出。</w:t>
      </w:r>
    </w:p>
    <w:p>
      <w:pPr>
        <w:overflowPunct w:val="0"/>
        <w:spacing w:line="590" w:lineRule="exact"/>
        <w:ind w:firstLine="660" w:firstLineChars="200"/>
        <w:rPr>
          <w:rFonts w:cs="Times New Roman"/>
          <w:szCs w:val="33"/>
        </w:rPr>
      </w:pPr>
      <w:r>
        <w:rPr>
          <w:rFonts w:hint="eastAsia" w:cs="Times New Roman"/>
          <w:szCs w:val="33"/>
        </w:rPr>
        <w:t>3.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pPr>
        <w:overflowPunct w:val="0"/>
        <w:spacing w:line="590" w:lineRule="exact"/>
        <w:ind w:firstLine="660" w:firstLineChars="200"/>
        <w:rPr>
          <w:rFonts w:cs="Times New Roman"/>
          <w:szCs w:val="33"/>
        </w:rPr>
      </w:pPr>
      <w:r>
        <w:rPr>
          <w:rFonts w:hint="eastAsia" w:cs="Times New Roman"/>
          <w:szCs w:val="33"/>
        </w:rPr>
        <w:t>4.农林水（类）林业和草原（款）森林资源管理（项）：指森林资源核查、监测、评估、经营利用、林地保护等方面的支出。</w:t>
      </w:r>
    </w:p>
    <w:p>
      <w:pPr>
        <w:overflowPunct w:val="0"/>
        <w:spacing w:line="590" w:lineRule="exact"/>
        <w:ind w:firstLine="660" w:firstLineChars="200"/>
        <w:rPr>
          <w:rFonts w:cs="Times New Roman"/>
          <w:szCs w:val="33"/>
        </w:rPr>
      </w:pPr>
      <w:r>
        <w:rPr>
          <w:rFonts w:hint="eastAsia" w:cs="Times New Roman"/>
          <w:szCs w:val="33"/>
        </w:rPr>
        <w:t>5.农林水（类）水利（款）江河湖库水系综合整治（项）：指江河湖库水系综合整治方面的支出，包括中小河流治理、水系连通及水美乡村建设。</w:t>
      </w:r>
    </w:p>
    <w:p>
      <w:pPr>
        <w:overflowPunct w:val="0"/>
        <w:spacing w:line="590" w:lineRule="exact"/>
        <w:ind w:firstLine="660" w:firstLineChars="200"/>
        <w:rPr>
          <w:szCs w:val="33"/>
        </w:rPr>
      </w:pPr>
      <w:r>
        <w:rPr>
          <w:rFonts w:hint="eastAsia" w:cs="Times New Roman"/>
          <w:szCs w:val="33"/>
        </w:rPr>
        <w:t>6.</w:t>
      </w:r>
      <w:r>
        <w:rPr>
          <w:szCs w:val="33"/>
        </w:rPr>
        <w:t>自然资源海洋气象等（类）自然资源事务（款）其他自然资源事务（项）：指用于自然资源事务方面的支出。</w:t>
      </w:r>
    </w:p>
    <w:p>
      <w:pPr>
        <w:overflowPunct w:val="0"/>
        <w:spacing w:line="590" w:lineRule="exact"/>
        <w:ind w:firstLine="660" w:firstLineChars="200"/>
        <w:rPr>
          <w:szCs w:val="33"/>
        </w:rPr>
      </w:pPr>
      <w:r>
        <w:rPr>
          <w:rFonts w:hint="eastAsia"/>
          <w:szCs w:val="33"/>
        </w:rPr>
        <w:t>7.住房保障（类）住房改革（款）住房公积金（项）：指行政事业单位按人力资源和社会保障部、财政部规定的基本工资和津贴补贴以及规定比例为职工缴纳的住房公积金。</w:t>
      </w:r>
    </w:p>
    <w:p>
      <w:pPr>
        <w:overflowPunct w:val="0"/>
        <w:spacing w:line="590" w:lineRule="exact"/>
        <w:ind w:firstLine="660" w:firstLineChars="200"/>
        <w:rPr>
          <w:szCs w:val="33"/>
        </w:rPr>
      </w:pPr>
      <w:r>
        <w:rPr>
          <w:rFonts w:hint="eastAsia"/>
          <w:szCs w:val="33"/>
        </w:rPr>
        <w:t>8.基本支出：指为保障机构正常运转、完成日常工作任务而发生的人员支出和公用支出。</w:t>
      </w:r>
    </w:p>
    <w:p>
      <w:pPr>
        <w:overflowPunct w:val="0"/>
        <w:spacing w:line="590" w:lineRule="exact"/>
        <w:ind w:firstLine="660" w:firstLineChars="200"/>
        <w:rPr>
          <w:szCs w:val="33"/>
        </w:rPr>
      </w:pPr>
      <w:r>
        <w:rPr>
          <w:rFonts w:hint="eastAsia"/>
          <w:szCs w:val="33"/>
        </w:rPr>
        <w:t xml:space="preserve">9.项目支出：指在基本支出之外为完成特定行政任务和事业发展目标所发生的支出。 </w:t>
      </w:r>
    </w:p>
    <w:p>
      <w:pPr>
        <w:overflowPunct w:val="0"/>
        <w:spacing w:line="590" w:lineRule="exact"/>
        <w:ind w:firstLine="660" w:firstLineChars="200"/>
        <w:rPr>
          <w:szCs w:val="33"/>
        </w:rPr>
      </w:pPr>
      <w:r>
        <w:rPr>
          <w:rFonts w:hint="eastAsia"/>
          <w:szCs w:val="33"/>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overflowPunct w:val="0"/>
        <w:spacing w:line="590" w:lineRule="exact"/>
        <w:ind w:firstLine="660" w:firstLineChars="200"/>
        <w:rPr>
          <w:szCs w:val="33"/>
        </w:rPr>
      </w:pPr>
      <w:r>
        <w:rPr>
          <w:rFonts w:hint="eastAsia"/>
          <w:szCs w:val="33"/>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spacing w:line="590" w:lineRule="exact"/>
        <w:ind w:firstLine="660" w:firstLineChars="200"/>
        <w:rPr>
          <w:szCs w:val="33"/>
        </w:rPr>
      </w:pPr>
    </w:p>
    <w:p>
      <w:pPr>
        <w:overflowPunct w:val="0"/>
        <w:spacing w:line="590" w:lineRule="exact"/>
        <w:ind w:firstLine="660" w:firstLineChars="200"/>
        <w:rPr>
          <w:szCs w:val="33"/>
        </w:rPr>
      </w:pPr>
    </w:p>
    <w:p>
      <w:pPr>
        <w:overflowPunct w:val="0"/>
        <w:spacing w:line="590" w:lineRule="exact"/>
        <w:ind w:firstLine="660" w:firstLineChars="200"/>
        <w:rPr>
          <w:szCs w:val="33"/>
        </w:rPr>
      </w:pPr>
    </w:p>
    <w:p>
      <w:pPr>
        <w:overflowPunct w:val="0"/>
        <w:spacing w:line="590" w:lineRule="exact"/>
        <w:jc w:val="center"/>
        <w:rPr>
          <w:rFonts w:ascii="方正黑体_GBK" w:eastAsia="方正黑体_GBK" w:cs="Times New Roman"/>
          <w:sz w:val="44"/>
          <w:szCs w:val="44"/>
        </w:rPr>
      </w:pPr>
      <w:r>
        <w:rPr>
          <w:rFonts w:hint="eastAsia" w:ascii="方正黑体_GBK" w:eastAsia="方正黑体_GBK" w:cs="Times New Roman"/>
          <w:sz w:val="44"/>
          <w:szCs w:val="44"/>
        </w:rPr>
        <w:t>第四部分 附件</w:t>
      </w:r>
    </w:p>
    <w:p>
      <w:pPr>
        <w:overflowPunct w:val="0"/>
        <w:spacing w:line="590" w:lineRule="exact"/>
        <w:jc w:val="center"/>
        <w:rPr>
          <w:rFonts w:cs="Times New Roman"/>
          <w:szCs w:val="33"/>
        </w:rPr>
      </w:pPr>
    </w:p>
    <w:p>
      <w:pPr>
        <w:overflowPunct w:val="0"/>
        <w:spacing w:line="700" w:lineRule="exact"/>
        <w:jc w:val="center"/>
        <w:rPr>
          <w:rFonts w:ascii="方正小标宋_GBK" w:eastAsia="方正小标宋_GBK" w:cs="Times New Roman"/>
          <w:b/>
          <w:sz w:val="44"/>
          <w:szCs w:val="44"/>
        </w:rPr>
      </w:pPr>
      <w:r>
        <w:rPr>
          <w:rFonts w:hint="eastAsia" w:ascii="方正小标宋_GBK" w:eastAsia="方正小标宋_GBK" w:cs="Times New Roman"/>
          <w:b/>
          <w:sz w:val="44"/>
          <w:szCs w:val="44"/>
        </w:rPr>
        <w:t>邻水县山水林田湖资源保护中心</w:t>
      </w:r>
    </w:p>
    <w:p>
      <w:pPr>
        <w:overflowPunct w:val="0"/>
        <w:spacing w:line="700" w:lineRule="exact"/>
        <w:jc w:val="center"/>
        <w:rPr>
          <w:rFonts w:ascii="方正小标宋_GBK" w:eastAsia="方正小标宋_GBK" w:cs="Times New Roman"/>
          <w:b/>
          <w:sz w:val="44"/>
          <w:szCs w:val="44"/>
        </w:rPr>
      </w:pPr>
      <w:r>
        <w:rPr>
          <w:rFonts w:hint="eastAsia" w:ascii="方正小标宋_GBK" w:eastAsia="方正小标宋_GBK" w:cs="Times New Roman"/>
          <w:b/>
          <w:sz w:val="44"/>
          <w:szCs w:val="44"/>
        </w:rPr>
        <w:t>部门预算绩效评价报告</w:t>
      </w:r>
    </w:p>
    <w:p>
      <w:pPr>
        <w:overflowPunct w:val="0"/>
        <w:spacing w:line="560" w:lineRule="exact"/>
        <w:ind w:firstLine="660" w:firstLineChars="200"/>
        <w:rPr>
          <w:rFonts w:ascii="方正黑体_GBK" w:eastAsia="方正黑体_GBK"/>
        </w:rPr>
      </w:pPr>
      <w:r>
        <w:rPr>
          <w:rFonts w:hint="eastAsia" w:ascii="方正黑体_GBK" w:eastAsia="方正黑体_GBK"/>
        </w:rPr>
        <w:t>一、部门（单位）基本情况</w:t>
      </w:r>
    </w:p>
    <w:p>
      <w:pPr>
        <w:overflowPunct w:val="0"/>
        <w:spacing w:line="560" w:lineRule="exact"/>
        <w:ind w:firstLine="660" w:firstLineChars="200"/>
        <w:rPr>
          <w:rFonts w:ascii="方正楷体_GBK" w:eastAsia="方正楷体_GBK"/>
          <w:b/>
        </w:rPr>
      </w:pPr>
      <w:r>
        <w:rPr>
          <w:rFonts w:hint="eastAsia" w:ascii="方正楷体_GBK" w:eastAsia="方正楷体_GBK"/>
          <w:b/>
        </w:rPr>
        <w:t>（一）机构组成</w:t>
      </w:r>
    </w:p>
    <w:p>
      <w:pPr>
        <w:overflowPunct w:val="0"/>
        <w:spacing w:line="560" w:lineRule="exact"/>
        <w:ind w:firstLine="660" w:firstLineChars="200"/>
      </w:pPr>
      <w:r>
        <w:t>县山水林田湖资源保护中心</w:t>
      </w:r>
      <w:r>
        <w:rPr>
          <w:rFonts w:hint="eastAsia"/>
        </w:rPr>
        <w:t>为县政府直属正科级公益一类事业单位，财政全额拨款，保留参公管理，</w:t>
      </w:r>
      <w:r>
        <w:t>下设</w:t>
      </w:r>
      <w:r>
        <w:rPr>
          <w:rFonts w:hint="eastAsia"/>
        </w:rPr>
        <w:t>综合股、项目一股和项目二股三个股室。</w:t>
      </w:r>
    </w:p>
    <w:p>
      <w:pPr>
        <w:overflowPunct w:val="0"/>
        <w:spacing w:line="560" w:lineRule="exact"/>
        <w:ind w:firstLine="660" w:firstLineChars="200"/>
        <w:rPr>
          <w:rFonts w:ascii="方正楷体_GBK" w:eastAsia="方正楷体_GBK"/>
          <w:b/>
        </w:rPr>
      </w:pPr>
      <w:r>
        <w:rPr>
          <w:rFonts w:hint="eastAsia" w:ascii="方正楷体_GBK" w:eastAsia="方正楷体_GBK"/>
          <w:b/>
        </w:rPr>
        <w:t>（二）机构职能</w:t>
      </w:r>
    </w:p>
    <w:p>
      <w:pPr>
        <w:overflowPunct w:val="0"/>
        <w:spacing w:line="560" w:lineRule="exact"/>
        <w:ind w:firstLine="660" w:firstLineChars="200"/>
      </w:pPr>
      <w:r>
        <w:rPr>
          <w:rFonts w:hint="eastAsia"/>
        </w:rPr>
        <w:t>1.贯彻落实党中央关于山水林田湖草生态保护修复工作的方针政策和上级的决策部署。负责开展政策梳理、加强相关政策研究，参与拟订相关贯彻落实政策文件。</w:t>
      </w:r>
    </w:p>
    <w:p>
      <w:pPr>
        <w:overflowPunct w:val="0"/>
        <w:spacing w:line="560" w:lineRule="exact"/>
        <w:ind w:firstLine="660" w:firstLineChars="200"/>
      </w:pPr>
      <w:r>
        <w:rPr>
          <w:rFonts w:hint="eastAsia"/>
        </w:rPr>
        <w:t>2.负责动态掌握全县山水林田湖生态资源现状，根据全县国土空间生态修复、环境治理等规划，组织编制矿山环境治理恢复、土地整治与污染修复、生物多样性保护、流域水环境保护治理、重要生态系统保护修复等总体及分年度实施方案，并细化分解落实相关部门工作目标。</w:t>
      </w:r>
    </w:p>
    <w:p>
      <w:pPr>
        <w:overflowPunct w:val="0"/>
        <w:spacing w:line="560" w:lineRule="exact"/>
        <w:ind w:firstLine="660" w:firstLineChars="200"/>
      </w:pPr>
      <w:r>
        <w:rPr>
          <w:rFonts w:hint="eastAsia"/>
        </w:rPr>
        <w:t>3.负责指导全县山水林田湖生态保护修复工程项目实施。及时收集报送全县山水林田湖生态保护修复工程建设进展情况，协调解决项目实施有关重大事项。</w:t>
      </w:r>
    </w:p>
    <w:p>
      <w:pPr>
        <w:overflowPunct w:val="0"/>
        <w:spacing w:line="560" w:lineRule="exact"/>
        <w:ind w:firstLine="660" w:firstLineChars="200"/>
      </w:pPr>
      <w:r>
        <w:rPr>
          <w:rFonts w:hint="eastAsia"/>
        </w:rPr>
        <w:t>4.负责拟订山水林田湖生态保护修复工程项目量化考核指标体系和办法，组织项目工程实施绩效评价。开展山水林田湖生态修复工程监督检查。</w:t>
      </w:r>
    </w:p>
    <w:p>
      <w:pPr>
        <w:overflowPunct w:val="0"/>
        <w:spacing w:line="560" w:lineRule="exact"/>
        <w:ind w:firstLine="660" w:firstLineChars="200"/>
      </w:pPr>
      <w:r>
        <w:rPr>
          <w:rFonts w:hint="eastAsia"/>
        </w:rPr>
        <w:t>5.完成县委、县政府和华蓥山区山水林田湖草生态保护修复工作领导小组交办的其他任务。</w:t>
      </w:r>
    </w:p>
    <w:p>
      <w:pPr>
        <w:overflowPunct w:val="0"/>
        <w:spacing w:line="560" w:lineRule="exact"/>
        <w:ind w:firstLine="660" w:firstLineChars="200"/>
      </w:pPr>
      <w:r>
        <w:rPr>
          <w:rFonts w:hint="eastAsia"/>
        </w:rPr>
        <w:t>6.完成上级政府交办的其</w:t>
      </w:r>
      <w:r>
        <w:rPr>
          <w:rFonts w:hint="eastAsia"/>
          <w:lang w:eastAsia="zh-CN"/>
        </w:rPr>
        <w:t>他</w:t>
      </w:r>
      <w:r>
        <w:rPr>
          <w:rFonts w:hint="eastAsia"/>
        </w:rPr>
        <w:t>事项。</w:t>
      </w:r>
    </w:p>
    <w:p>
      <w:pPr>
        <w:overflowPunct w:val="0"/>
        <w:spacing w:line="560" w:lineRule="exact"/>
        <w:ind w:firstLine="660" w:firstLineChars="200"/>
        <w:rPr>
          <w:rFonts w:ascii="方正楷体_GBK" w:eastAsia="方正楷体_GBK"/>
          <w:b/>
        </w:rPr>
      </w:pPr>
      <w:r>
        <w:rPr>
          <w:rFonts w:hint="eastAsia" w:ascii="方正楷体_GBK" w:eastAsia="方正楷体_GBK"/>
          <w:b/>
        </w:rPr>
        <w:t>（三）人员概况</w:t>
      </w:r>
    </w:p>
    <w:p>
      <w:pPr>
        <w:overflowPunct w:val="0"/>
        <w:spacing w:line="560" w:lineRule="exact"/>
        <w:ind w:firstLine="660" w:firstLineChars="200"/>
      </w:pPr>
      <w:r>
        <w:t>县山水林田湖资源保护中心参公编制</w:t>
      </w:r>
      <w:r>
        <w:rPr>
          <w:rFonts w:hint="eastAsia"/>
        </w:rPr>
        <w:t>11名，截至2023年末，实有人数12人。</w:t>
      </w:r>
    </w:p>
    <w:p>
      <w:pPr>
        <w:overflowPunct w:val="0"/>
        <w:spacing w:line="560" w:lineRule="exact"/>
        <w:ind w:firstLine="660" w:firstLineChars="200"/>
        <w:rPr>
          <w:rFonts w:ascii="方正黑体_GBK" w:eastAsia="方正黑体_GBK"/>
        </w:rPr>
      </w:pPr>
      <w:r>
        <w:rPr>
          <w:rFonts w:hint="eastAsia" w:ascii="方正黑体_GBK" w:eastAsia="方正黑体_GBK"/>
        </w:rPr>
        <w:t>二、部门资金收支情况</w:t>
      </w:r>
      <w:bookmarkStart w:id="0" w:name="_GoBack"/>
      <w:bookmarkEnd w:id="0"/>
    </w:p>
    <w:p>
      <w:pPr>
        <w:overflowPunct w:val="0"/>
        <w:spacing w:line="560" w:lineRule="exact"/>
        <w:ind w:firstLine="660" w:firstLineChars="200"/>
        <w:rPr>
          <w:rFonts w:ascii="方正楷体_GBK" w:eastAsia="方正楷体_GBK"/>
          <w:b/>
        </w:rPr>
      </w:pPr>
      <w:r>
        <w:rPr>
          <w:rFonts w:hint="eastAsia" w:ascii="方正楷体_GBK" w:eastAsia="方正楷体_GBK"/>
          <w:b/>
        </w:rPr>
        <w:t>（一）收入情况</w:t>
      </w:r>
    </w:p>
    <w:p>
      <w:pPr>
        <w:overflowPunct w:val="0"/>
        <w:spacing w:line="560" w:lineRule="exact"/>
        <w:ind w:firstLine="660" w:firstLineChars="200"/>
      </w:pPr>
      <w:r>
        <w:rPr>
          <w:rFonts w:hint="eastAsia"/>
        </w:rPr>
        <w:t>2023年一般公共预算财政拨款收入年初预算数191.96万元，全年预算数229.63万元。</w:t>
      </w:r>
    </w:p>
    <w:p>
      <w:pPr>
        <w:overflowPunct w:val="0"/>
        <w:spacing w:line="560" w:lineRule="exact"/>
        <w:ind w:firstLine="660" w:firstLineChars="200"/>
        <w:rPr>
          <w:rFonts w:ascii="方正楷体_GBK" w:eastAsia="方正楷体_GBK"/>
          <w:b/>
        </w:rPr>
      </w:pPr>
      <w:r>
        <w:rPr>
          <w:rFonts w:hint="eastAsia" w:ascii="方正楷体_GBK" w:eastAsia="方正楷体_GBK"/>
          <w:b/>
        </w:rPr>
        <w:t>（二）支出情况</w:t>
      </w:r>
    </w:p>
    <w:p>
      <w:pPr>
        <w:overflowPunct w:val="0"/>
        <w:spacing w:line="560" w:lineRule="exact"/>
        <w:ind w:firstLine="660" w:firstLineChars="200"/>
        <w:rPr>
          <w:rFonts w:cs="Times New Roman"/>
          <w:szCs w:val="33"/>
        </w:rPr>
      </w:pPr>
      <w:r>
        <w:rPr>
          <w:rFonts w:hint="eastAsia"/>
        </w:rPr>
        <w:t>2023年一般公共预算财政拨款支出229.63万元。其中：基本支出209.63万元，项目支出20万元。</w:t>
      </w:r>
    </w:p>
    <w:p>
      <w:pPr>
        <w:overflowPunct w:val="0"/>
        <w:spacing w:line="560" w:lineRule="exact"/>
        <w:ind w:firstLine="660" w:firstLineChars="200"/>
        <w:rPr>
          <w:rFonts w:ascii="方正楷体_GBK" w:eastAsia="方正楷体_GBK"/>
          <w:b/>
        </w:rPr>
      </w:pPr>
      <w:r>
        <w:rPr>
          <w:rFonts w:hint="eastAsia" w:ascii="方正楷体_GBK" w:eastAsia="方正楷体_GBK"/>
          <w:b/>
        </w:rPr>
        <w:t>（三）结余分配和结转结余情况。</w:t>
      </w:r>
    </w:p>
    <w:p>
      <w:pPr>
        <w:overflowPunct w:val="0"/>
        <w:spacing w:line="560" w:lineRule="exact"/>
        <w:ind w:firstLine="660" w:firstLineChars="200"/>
      </w:pPr>
      <w:r>
        <w:rPr>
          <w:rFonts w:hint="eastAsia"/>
        </w:rPr>
        <w:t>2023年无结转结余情况。</w:t>
      </w:r>
    </w:p>
    <w:p>
      <w:pPr>
        <w:overflowPunct w:val="0"/>
        <w:spacing w:line="560" w:lineRule="exact"/>
        <w:ind w:firstLine="660" w:firstLineChars="200"/>
        <w:rPr>
          <w:rFonts w:ascii="方正黑体_GBK" w:eastAsia="方正黑体_GBK"/>
        </w:rPr>
      </w:pPr>
      <w:r>
        <w:rPr>
          <w:rFonts w:hint="eastAsia" w:ascii="方正黑体_GBK" w:eastAsia="方正黑体_GBK"/>
        </w:rPr>
        <w:t>三、部门预算绩效分析</w:t>
      </w:r>
    </w:p>
    <w:p>
      <w:pPr>
        <w:overflowPunct w:val="0"/>
        <w:spacing w:line="560" w:lineRule="exact"/>
        <w:ind w:firstLine="660" w:firstLineChars="200"/>
        <w:rPr>
          <w:rFonts w:ascii="方正楷体_GBK" w:eastAsia="方正楷体_GBK"/>
          <w:b/>
        </w:rPr>
      </w:pPr>
      <w:r>
        <w:rPr>
          <w:rFonts w:hint="eastAsia" w:ascii="方正楷体_GBK" w:eastAsia="方正楷体_GBK"/>
          <w:b/>
        </w:rPr>
        <w:t>（一）部门预算总体绩效分析</w:t>
      </w:r>
    </w:p>
    <w:p>
      <w:pPr>
        <w:overflowPunct w:val="0"/>
        <w:spacing w:line="560" w:lineRule="exact"/>
        <w:ind w:firstLine="660" w:firstLineChars="200"/>
      </w:pPr>
      <w:r>
        <w:rPr>
          <w:rFonts w:hint="eastAsia"/>
          <w:b/>
        </w:rPr>
        <w:t>1.履职效能。</w:t>
      </w:r>
      <w:r>
        <w:rPr>
          <w:rFonts w:hint="eastAsia"/>
        </w:rPr>
        <w:t>2023年县山水林田湖资源保护中心聚焦山水修复主责主业，全力以赴建设生态文明建设示范县。派专人开展项目后期管护情况调查100余次，开展生态现状调研13次，打造4个迎检现场点，制作宣传展板、宣传手册，高质量通过省级整体验收。履职效能自评得分15分。</w:t>
      </w:r>
    </w:p>
    <w:p>
      <w:pPr>
        <w:overflowPunct w:val="0"/>
        <w:spacing w:line="560" w:lineRule="exact"/>
        <w:ind w:firstLine="660" w:firstLineChars="200"/>
      </w:pPr>
      <w:r>
        <w:rPr>
          <w:rFonts w:hint="eastAsia"/>
          <w:b/>
        </w:rPr>
        <w:t>2.预算管理。</w:t>
      </w:r>
      <w:r>
        <w:rPr>
          <w:rFonts w:hint="eastAsia"/>
        </w:rPr>
        <w:t>按照部门预算编制要求，按时完成部门年初预算编制工作。认真核实部门实际财政供养人数和部门实有编制情况，正确编制人员经费和公用经费等，做到尽量细化项目资金支出预算范围和科目。2023年财政拨款预算偏离度19.62%，一般性支出财政拨款年初预算较上年压减30%，部门预算6月和10月均达到执行进度要求，12月达到执行进度的100%，年终无结转结余。预算管理自评得分21分。</w:t>
      </w:r>
    </w:p>
    <w:p>
      <w:pPr>
        <w:overflowPunct w:val="0"/>
        <w:spacing w:line="560" w:lineRule="exact"/>
        <w:ind w:firstLine="660" w:firstLineChars="200"/>
      </w:pPr>
      <w:r>
        <w:rPr>
          <w:rFonts w:hint="eastAsia"/>
          <w:b/>
        </w:rPr>
        <w:t>3.财务管理。</w:t>
      </w:r>
      <w:r>
        <w:rPr>
          <w:rFonts w:hint="eastAsia"/>
        </w:rPr>
        <w:t>严格落实部门财务管理制度，坚持不相容岗位分离原则，合理设置财务工作岗位，明确职责权限，严格费用报销审批程序，确保资金使用规范。财务管理自评得分10分。</w:t>
      </w:r>
    </w:p>
    <w:p>
      <w:pPr>
        <w:overflowPunct w:val="0"/>
        <w:spacing w:line="560" w:lineRule="exact"/>
        <w:ind w:firstLine="660" w:firstLineChars="200"/>
      </w:pPr>
      <w:r>
        <w:rPr>
          <w:rFonts w:hint="eastAsia"/>
          <w:b/>
        </w:rPr>
        <w:t>4.资产管理。</w:t>
      </w:r>
      <w:r>
        <w:rPr>
          <w:rFonts w:hint="eastAsia"/>
        </w:rPr>
        <w:t>严格资产配置和资产管理，本年度未配置、报废、处置固定资产，固定资产无变化，人均资产变化率为0，办公家具超最低使用年限资产利用率5.29%，办公设备超最低使用年限资产利用率14.33%，无闲置资产。资产管理自评得分9分。</w:t>
      </w:r>
    </w:p>
    <w:p>
      <w:pPr>
        <w:overflowPunct w:val="0"/>
        <w:spacing w:line="560" w:lineRule="exact"/>
        <w:ind w:firstLine="660" w:firstLineChars="200"/>
      </w:pPr>
      <w:r>
        <w:rPr>
          <w:rFonts w:hint="eastAsia"/>
          <w:b/>
        </w:rPr>
        <w:t>5.采购管理。</w:t>
      </w:r>
      <w:r>
        <w:rPr>
          <w:rFonts w:hint="eastAsia"/>
        </w:rPr>
        <w:t>本年度无采购预算，未开展政府采购活动。采购管理自评得分6分。</w:t>
      </w:r>
    </w:p>
    <w:p>
      <w:pPr>
        <w:overflowPunct w:val="0"/>
        <w:spacing w:line="560" w:lineRule="exact"/>
        <w:ind w:firstLine="660" w:firstLineChars="200"/>
        <w:rPr>
          <w:rFonts w:ascii="方正楷体_GBK" w:eastAsia="方正楷体_GBK"/>
          <w:b/>
        </w:rPr>
      </w:pPr>
      <w:r>
        <w:rPr>
          <w:rFonts w:hint="eastAsia" w:ascii="方正楷体_GBK" w:eastAsia="方正楷体_GBK"/>
          <w:b/>
        </w:rPr>
        <w:t>（二）部门预算项目绩效分析</w:t>
      </w:r>
    </w:p>
    <w:p>
      <w:pPr>
        <w:overflowPunct w:val="0"/>
        <w:spacing w:line="560" w:lineRule="exact"/>
        <w:ind w:firstLine="660" w:firstLineChars="200"/>
      </w:pPr>
      <w:r>
        <w:rPr>
          <w:rFonts w:hint="eastAsia"/>
        </w:rPr>
        <w:t>常年项目绩效分析。该类项目总数0个，涉及预算总金额0万元。</w:t>
      </w:r>
    </w:p>
    <w:p>
      <w:pPr>
        <w:overflowPunct w:val="0"/>
        <w:spacing w:line="560" w:lineRule="exact"/>
        <w:ind w:firstLine="660" w:firstLineChars="200"/>
      </w:pPr>
      <w:r>
        <w:rPr>
          <w:rFonts w:hint="eastAsia"/>
        </w:rPr>
        <w:t>阶段（一次性）项目绩效分析。</w:t>
      </w:r>
      <w:r>
        <w:t>该类项目总数</w:t>
      </w:r>
      <w:r>
        <w:rPr>
          <w:rFonts w:hint="eastAsia"/>
        </w:rPr>
        <w:t>1</w:t>
      </w:r>
      <w:r>
        <w:t>个，涉及预算总金额</w:t>
      </w:r>
      <w:r>
        <w:rPr>
          <w:rFonts w:hint="eastAsia"/>
        </w:rPr>
        <w:t>20</w:t>
      </w:r>
      <w:r>
        <w:t>万元，1</w:t>
      </w:r>
      <w:r>
        <w:rPr>
          <w:rFonts w:hint="eastAsia"/>
        </w:rPr>
        <w:t>—</w:t>
      </w:r>
      <w:r>
        <w:t>12月预算执行总体进度为</w:t>
      </w:r>
      <w:r>
        <w:rPr>
          <w:rFonts w:hint="eastAsia"/>
        </w:rPr>
        <w:t>100</w:t>
      </w:r>
      <w:r>
        <w:t>%，其中：预算结余率大于10%的项目共计</w:t>
      </w:r>
      <w:r>
        <w:rPr>
          <w:rFonts w:hint="eastAsia"/>
        </w:rPr>
        <w:t>1</w:t>
      </w:r>
      <w:r>
        <w:t>个。</w:t>
      </w:r>
    </w:p>
    <w:p>
      <w:pPr>
        <w:overflowPunct w:val="0"/>
        <w:spacing w:line="560" w:lineRule="exact"/>
        <w:ind w:firstLine="660" w:firstLineChars="200"/>
      </w:pPr>
      <w:r>
        <w:rPr>
          <w:rFonts w:hint="eastAsia"/>
          <w:b/>
        </w:rPr>
        <w:t>1.项目决策。</w:t>
      </w:r>
      <w:r>
        <w:rPr>
          <w:rFonts w:hint="eastAsia"/>
        </w:rPr>
        <w:t>按规定建立项目库，对项目进行可行性论证，由于年初预算不足，根据工作实际申请追加工作经费并进行了充分的论证，编制明确了项目资金绩效目标，在规定时间内完成项目入库。项目决策自评得分12分。</w:t>
      </w:r>
    </w:p>
    <w:p>
      <w:pPr>
        <w:overflowPunct w:val="0"/>
        <w:spacing w:line="560" w:lineRule="exact"/>
        <w:ind w:firstLine="660" w:firstLineChars="200"/>
      </w:pPr>
      <w:r>
        <w:rPr>
          <w:rFonts w:hint="eastAsia"/>
          <w:b/>
        </w:rPr>
        <w:t>2.项目执行。</w:t>
      </w:r>
      <w:r>
        <w:rPr>
          <w:rFonts w:hint="eastAsia"/>
        </w:rPr>
        <w:t>项目经费主要用于解决开展调研指导项目后续管护和生态现状调查及典型经验总结等工作经费，实际列支内容与绩效目标设置方向相符，2023年共列支山水专项工作经费20万元，无结转结余。项目执行自评得分12分。</w:t>
      </w:r>
    </w:p>
    <w:p>
      <w:pPr>
        <w:overflowPunct w:val="0"/>
        <w:spacing w:line="560" w:lineRule="exact"/>
        <w:ind w:firstLine="660" w:firstLineChars="200"/>
      </w:pPr>
      <w:r>
        <w:rPr>
          <w:rFonts w:hint="eastAsia"/>
          <w:b/>
        </w:rPr>
        <w:t>3.目标实现。</w:t>
      </w:r>
      <w:r>
        <w:rPr>
          <w:rFonts w:hint="eastAsia"/>
        </w:rPr>
        <w:t>根据预算绩效管理要求，严格按照规定时间节点，对项目完成情况开展了绩效监控和管理，确保了项目绩效目标完成。</w:t>
      </w:r>
    </w:p>
    <w:p>
      <w:pPr>
        <w:overflowPunct w:val="0"/>
        <w:spacing w:line="560" w:lineRule="exact"/>
        <w:ind w:firstLine="660" w:firstLineChars="200"/>
        <w:rPr>
          <w:rFonts w:ascii="方正楷体_GBK" w:eastAsia="方正楷体_GBK"/>
          <w:b/>
        </w:rPr>
      </w:pPr>
      <w:r>
        <w:rPr>
          <w:rFonts w:hint="eastAsia" w:ascii="方正楷体_GBK" w:eastAsia="方正楷体_GBK"/>
          <w:b/>
        </w:rPr>
        <w:t>（三）重点领域绩效分析</w:t>
      </w:r>
    </w:p>
    <w:p>
      <w:pPr>
        <w:overflowPunct w:val="0"/>
        <w:spacing w:line="560" w:lineRule="exact"/>
        <w:ind w:firstLine="660" w:firstLineChars="200"/>
      </w:pPr>
      <w:r>
        <w:rPr>
          <w:rFonts w:hint="eastAsia"/>
        </w:rPr>
        <w:t>2023年度不涉及国有资本、行政事业性国有资产、债券资金、政府采购和政府购买服务等工作。</w:t>
      </w:r>
    </w:p>
    <w:p>
      <w:pPr>
        <w:overflowPunct w:val="0"/>
        <w:spacing w:line="560" w:lineRule="exact"/>
        <w:ind w:firstLine="660" w:firstLineChars="200"/>
        <w:rPr>
          <w:rFonts w:ascii="方正楷体_GBK" w:eastAsia="方正楷体_GBK"/>
          <w:b/>
        </w:rPr>
      </w:pPr>
      <w:r>
        <w:rPr>
          <w:rFonts w:hint="eastAsia" w:ascii="方正楷体_GBK" w:eastAsia="方正楷体_GBK"/>
          <w:b/>
        </w:rPr>
        <w:t>（四）绩效结果应用情况</w:t>
      </w:r>
    </w:p>
    <w:p>
      <w:pPr>
        <w:overflowPunct w:val="0"/>
        <w:spacing w:line="560" w:lineRule="exact"/>
        <w:ind w:firstLine="660" w:firstLineChars="200"/>
      </w:pPr>
      <w:r>
        <w:rPr>
          <w:rFonts w:hint="eastAsia"/>
        </w:rPr>
        <w:t>部门预算、部门整体支出绩效目标以及自评包括部门自评情况均按要求及时在县政府门户网站进行了公开，自觉接受监督。针对评价报告中</w:t>
      </w:r>
      <w:r>
        <w:rPr>
          <w:rFonts w:hint="eastAsia"/>
          <w:lang w:eastAsia="zh-CN"/>
        </w:rPr>
        <w:t>反映</w:t>
      </w:r>
      <w:r>
        <w:rPr>
          <w:rFonts w:hint="eastAsia"/>
        </w:rPr>
        <w:t>的问题，本部门认真开展自查自纠，不断加强学习，不断完善绩效评价指标体系，科学编制预算，严格预算执行，优化资源配置、控制节约成本、提高公共服务质量和财政资金使用效益，充分发挥本部门的职能作用。</w:t>
      </w:r>
    </w:p>
    <w:p>
      <w:pPr>
        <w:tabs>
          <w:tab w:val="left" w:pos="567"/>
          <w:tab w:val="left" w:pos="709"/>
          <w:tab w:val="left" w:pos="851"/>
        </w:tabs>
        <w:overflowPunct w:val="0"/>
        <w:spacing w:line="560" w:lineRule="exact"/>
        <w:ind w:firstLine="660" w:firstLineChars="200"/>
        <w:rPr>
          <w:rFonts w:ascii="方正黑体_GBK" w:eastAsia="方正黑体_GBK"/>
        </w:rPr>
      </w:pPr>
      <w:r>
        <w:rPr>
          <w:rFonts w:hint="eastAsia" w:ascii="方正黑体_GBK" w:eastAsia="方正黑体_GBK"/>
        </w:rPr>
        <w:t>四、评价结论及建议</w:t>
      </w:r>
    </w:p>
    <w:p>
      <w:pPr>
        <w:overflowPunct w:val="0"/>
        <w:spacing w:line="560" w:lineRule="exact"/>
        <w:ind w:firstLine="660" w:firstLineChars="200"/>
        <w:rPr>
          <w:rFonts w:ascii="方正楷体_GBK" w:eastAsia="方正楷体_GBK"/>
          <w:b/>
        </w:rPr>
      </w:pPr>
      <w:r>
        <w:rPr>
          <w:rFonts w:hint="eastAsia" w:ascii="方正楷体_GBK" w:eastAsia="方正楷体_GBK"/>
          <w:b/>
        </w:rPr>
        <w:t>（一）评价结论</w:t>
      </w:r>
    </w:p>
    <w:p>
      <w:pPr>
        <w:overflowPunct w:val="0"/>
        <w:spacing w:line="560" w:lineRule="exact"/>
        <w:ind w:firstLine="660" w:firstLineChars="200"/>
      </w:pPr>
      <w:r>
        <w:rPr>
          <w:rFonts w:hint="eastAsia"/>
        </w:rPr>
        <w:t>2023年邻水县山水林田湖资源保护中心支出预算，保障部门日常正常运转，统筹抓好山水林田湖草生态保护修复工作，紧盯项目审计，强化后期管护，推广经验做法，高质量通过省级验收，为全县山水林田湖草系统治理作出了积极的贡献。预算执行情况良好，预算支出和决算支出情况基本相符，自评得分96分。</w:t>
      </w:r>
    </w:p>
    <w:p>
      <w:pPr>
        <w:overflowPunct w:val="0"/>
        <w:spacing w:line="560" w:lineRule="exact"/>
        <w:ind w:firstLine="660" w:firstLineChars="200"/>
        <w:rPr>
          <w:rFonts w:ascii="方正楷体_GBK" w:eastAsia="方正楷体_GBK"/>
          <w:b/>
        </w:rPr>
      </w:pPr>
      <w:r>
        <w:rPr>
          <w:rFonts w:hint="eastAsia" w:ascii="方正楷体_GBK" w:eastAsia="方正楷体_GBK"/>
          <w:b/>
        </w:rPr>
        <w:t>（二）存在问题</w:t>
      </w:r>
    </w:p>
    <w:p>
      <w:pPr>
        <w:overflowPunct w:val="0"/>
        <w:spacing w:line="560" w:lineRule="exact"/>
        <w:ind w:firstLine="660" w:firstLineChars="200"/>
      </w:pPr>
      <w:r>
        <w:t>预算编制不够精准</w:t>
      </w:r>
      <w:r>
        <w:rPr>
          <w:rFonts w:hint="eastAsia"/>
        </w:rPr>
        <w:t>，</w:t>
      </w:r>
      <w:r>
        <w:t>存在预算调整的情况</w:t>
      </w:r>
      <w:r>
        <w:rPr>
          <w:rFonts w:hint="eastAsia"/>
        </w:rPr>
        <w:t>，</w:t>
      </w:r>
      <w:r>
        <w:t>一般性支出预算执行压减力度有待提高</w:t>
      </w:r>
      <w:r>
        <w:rPr>
          <w:rFonts w:hint="eastAsia"/>
        </w:rPr>
        <w:t>，</w:t>
      </w:r>
      <w:r>
        <w:rPr>
          <w:rFonts w:hint="eastAsia" w:cs="Times New Roman"/>
          <w:snapToGrid w:val="0"/>
          <w:color w:val="000000"/>
          <w:kern w:val="0"/>
          <w:szCs w:val="33"/>
        </w:rPr>
        <w:t>绩效目标编制科学性需进一步提高。</w:t>
      </w:r>
    </w:p>
    <w:p>
      <w:pPr>
        <w:overflowPunct w:val="0"/>
        <w:spacing w:line="560" w:lineRule="exact"/>
        <w:ind w:firstLine="660" w:firstLineChars="200"/>
        <w:rPr>
          <w:rFonts w:ascii="方正楷体_GBK" w:eastAsia="方正楷体_GBK"/>
          <w:b/>
        </w:rPr>
      </w:pPr>
      <w:r>
        <w:rPr>
          <w:rFonts w:hint="eastAsia" w:ascii="方正楷体_GBK" w:eastAsia="方正楷体_GBK"/>
          <w:b/>
        </w:rPr>
        <w:t>（三）改进建议</w:t>
      </w:r>
    </w:p>
    <w:p>
      <w:pPr>
        <w:overflowPunct w:val="0"/>
        <w:spacing w:line="560" w:lineRule="exact"/>
        <w:ind w:firstLine="660" w:firstLineChars="200"/>
      </w:pPr>
      <w:r>
        <w:rPr>
          <w:rFonts w:hint="eastAsia"/>
        </w:rPr>
        <w:t>进一步提高预算管理水平，优化支出机构，从严把控一般性支出，继续健全绩效管理制度体系，从严把控绩效目标编制质量，完善绩效结果应用制度。加强与财政的沟通、联系，规范资金使用。</w:t>
      </w:r>
    </w:p>
    <w:p>
      <w:pPr>
        <w:overflowPunct w:val="0"/>
        <w:spacing w:line="560" w:lineRule="exact"/>
        <w:ind w:firstLine="660" w:firstLineChars="200"/>
        <w:rPr>
          <w:rFonts w:cs="Times New Roman"/>
          <w:szCs w:val="33"/>
        </w:rPr>
      </w:pPr>
    </w:p>
    <w:p>
      <w:pPr>
        <w:overflowPunct w:val="0"/>
        <w:spacing w:line="560" w:lineRule="exact"/>
        <w:ind w:firstLine="660" w:firstLineChars="200"/>
        <w:rPr>
          <w:rFonts w:cs="Times New Roman"/>
          <w:szCs w:val="33"/>
        </w:rPr>
      </w:pPr>
      <w:r>
        <w:rPr>
          <w:rFonts w:hint="eastAsia" w:cs="Times New Roman"/>
          <w:szCs w:val="33"/>
        </w:rPr>
        <w:t>附表：部门预算项目支出绩效自评表（2023年度）</w:t>
      </w:r>
    </w:p>
    <w:p>
      <w:pPr>
        <w:overflowPunct w:val="0"/>
        <w:spacing w:line="590" w:lineRule="exact"/>
        <w:ind w:firstLine="660" w:firstLineChars="200"/>
        <w:rPr>
          <w:rFonts w:cs="Times New Roman"/>
          <w:szCs w:val="33"/>
        </w:rPr>
      </w:pPr>
    </w:p>
    <w:p>
      <w:pPr>
        <w:overflowPunct w:val="0"/>
        <w:spacing w:line="590" w:lineRule="exact"/>
        <w:rPr>
          <w:rFonts w:cs="Times New Roman"/>
          <w:szCs w:val="33"/>
        </w:rPr>
      </w:pPr>
    </w:p>
    <w:p>
      <w:pPr>
        <w:overflowPunct w:val="0"/>
        <w:spacing w:line="590" w:lineRule="exact"/>
        <w:rPr>
          <w:rFonts w:cs="Times New Roman"/>
          <w:szCs w:val="33"/>
        </w:rPr>
        <w:sectPr>
          <w:pgSz w:w="11906" w:h="16838"/>
          <w:pgMar w:top="2041" w:right="1531" w:bottom="1701" w:left="1531" w:header="851" w:footer="1474" w:gutter="0"/>
          <w:cols w:space="425" w:num="1"/>
          <w:docGrid w:type="lines" w:linePitch="590" w:charSpace="0"/>
        </w:sectPr>
      </w:pPr>
    </w:p>
    <w:p>
      <w:pPr>
        <w:overflowPunct w:val="0"/>
        <w:spacing w:line="590" w:lineRule="exact"/>
        <w:rPr>
          <w:rFonts w:cs="Times New Roman"/>
          <w:szCs w:val="33"/>
        </w:rPr>
      </w:pPr>
    </w:p>
    <w:tbl>
      <w:tblPr>
        <w:tblStyle w:val="8"/>
        <w:tblW w:w="14274" w:type="dxa"/>
        <w:tblInd w:w="95" w:type="dxa"/>
        <w:tblLayout w:type="fixed"/>
        <w:tblCellMar>
          <w:top w:w="0" w:type="dxa"/>
          <w:left w:w="108" w:type="dxa"/>
          <w:bottom w:w="0" w:type="dxa"/>
          <w:right w:w="108" w:type="dxa"/>
        </w:tblCellMar>
      </w:tblPr>
      <w:tblGrid>
        <w:gridCol w:w="699"/>
        <w:gridCol w:w="2055"/>
        <w:gridCol w:w="1776"/>
        <w:gridCol w:w="2514"/>
        <w:gridCol w:w="261"/>
        <w:gridCol w:w="448"/>
        <w:gridCol w:w="1134"/>
        <w:gridCol w:w="614"/>
        <w:gridCol w:w="1099"/>
        <w:gridCol w:w="130"/>
        <w:gridCol w:w="709"/>
        <w:gridCol w:w="708"/>
        <w:gridCol w:w="2127"/>
      </w:tblGrid>
      <w:tr>
        <w:tblPrEx>
          <w:tblLayout w:type="fixed"/>
          <w:tblCellMar>
            <w:top w:w="0" w:type="dxa"/>
            <w:left w:w="108" w:type="dxa"/>
            <w:bottom w:w="0" w:type="dxa"/>
            <w:right w:w="108" w:type="dxa"/>
          </w:tblCellMar>
        </w:tblPrEx>
        <w:trPr>
          <w:trHeight w:val="454" w:hRule="atLeast"/>
        </w:trPr>
        <w:tc>
          <w:tcPr>
            <w:tcW w:w="14274" w:type="dxa"/>
            <w:gridSpan w:val="13"/>
            <w:tcBorders>
              <w:bottom w:val="single" w:color="auto"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Layout w:type="fixed"/>
          <w:tblCellMar>
            <w:top w:w="0" w:type="dxa"/>
            <w:left w:w="108" w:type="dxa"/>
            <w:bottom w:w="0" w:type="dxa"/>
            <w:right w:w="108" w:type="dxa"/>
          </w:tblCellMar>
        </w:tblPrEx>
        <w:trPr>
          <w:trHeight w:val="285" w:hRule="atLeast"/>
        </w:trPr>
        <w:tc>
          <w:tcPr>
            <w:tcW w:w="27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115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51162323T000009541047-山水专项工作经费</w:t>
            </w:r>
          </w:p>
        </w:tc>
      </w:tr>
      <w:tr>
        <w:tblPrEx>
          <w:tblLayout w:type="fixed"/>
          <w:tblCellMar>
            <w:top w:w="0" w:type="dxa"/>
            <w:left w:w="108" w:type="dxa"/>
            <w:bottom w:w="0" w:type="dxa"/>
            <w:right w:w="108" w:type="dxa"/>
          </w:tblCellMar>
        </w:tblPrEx>
        <w:trPr>
          <w:trHeight w:val="454" w:hRule="atLeast"/>
        </w:trPr>
        <w:tc>
          <w:tcPr>
            <w:tcW w:w="275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6747" w:type="dxa"/>
            <w:gridSpan w:val="6"/>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邻水县山水林田湖资源保护中心部门</w:t>
            </w:r>
          </w:p>
        </w:tc>
        <w:tc>
          <w:tcPr>
            <w:tcW w:w="1099" w:type="dxa"/>
            <w:tcBorders>
              <w:top w:val="single" w:color="auto" w:sz="4" w:space="0"/>
              <w:left w:val="nil"/>
              <w:bottom w:val="nil"/>
              <w:right w:val="nil"/>
            </w:tcBorders>
            <w:shd w:val="clear" w:color="auto" w:fill="auto"/>
            <w:vAlign w:val="center"/>
          </w:tcPr>
          <w:p>
            <w:pPr>
              <w:widowControl/>
              <w:spacing w:line="240" w:lineRule="exac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实施单位 （盖章）</w:t>
            </w:r>
          </w:p>
        </w:tc>
        <w:tc>
          <w:tcPr>
            <w:tcW w:w="3674"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邻水县山水林田湖资源保护中心</w:t>
            </w:r>
          </w:p>
        </w:tc>
      </w:tr>
      <w:tr>
        <w:tblPrEx>
          <w:tblLayout w:type="fixed"/>
          <w:tblCellMar>
            <w:top w:w="0" w:type="dxa"/>
            <w:left w:w="108" w:type="dxa"/>
            <w:bottom w:w="0" w:type="dxa"/>
            <w:right w:w="108" w:type="dxa"/>
          </w:tblCellMar>
        </w:tblPrEx>
        <w:trPr>
          <w:trHeight w:val="285" w:hRule="atLeast"/>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205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6747" w:type="dxa"/>
            <w:gridSpan w:val="6"/>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4773" w:type="dxa"/>
            <w:gridSpan w:val="5"/>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年度目标完成情况</w:t>
            </w:r>
          </w:p>
        </w:tc>
      </w:tr>
      <w:tr>
        <w:tblPrEx>
          <w:tblLayout w:type="fixed"/>
          <w:tblCellMar>
            <w:top w:w="0" w:type="dxa"/>
            <w:left w:w="108" w:type="dxa"/>
            <w:bottom w:w="0" w:type="dxa"/>
            <w:right w:w="108" w:type="dxa"/>
          </w:tblCellMar>
        </w:tblPrEx>
        <w:trPr>
          <w:trHeight w:val="501" w:hRule="atLeas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6747" w:type="dxa"/>
            <w:gridSpan w:val="6"/>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1.开展项目后期管护实地走访跟踪100次；2.开展生态现状调研13次；3.开展项目宣传100次。</w:t>
            </w:r>
          </w:p>
        </w:tc>
        <w:tc>
          <w:tcPr>
            <w:tcW w:w="4773" w:type="dxa"/>
            <w:gridSpan w:val="5"/>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1.开展已完工项目后期管护实地走访跟踪100余次；2.开展生态现状调研13次；3.开展项目宣传100余次。</w:t>
            </w:r>
          </w:p>
        </w:tc>
      </w:tr>
      <w:tr>
        <w:tblPrEx>
          <w:tblLayout w:type="fixed"/>
          <w:tblCellMar>
            <w:top w:w="0" w:type="dxa"/>
            <w:left w:w="108" w:type="dxa"/>
            <w:bottom w:w="0" w:type="dxa"/>
            <w:right w:w="108" w:type="dxa"/>
          </w:tblCellMar>
        </w:tblPrEx>
        <w:trPr>
          <w:trHeight w:val="694" w:hRule="atLeas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11520" w:type="dxa"/>
            <w:gridSpan w:val="11"/>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精干力量，下沉一线督导项目现场，协调解决项目建设中的问题，进一步梳理重要节点资料，高质量通过省级整体验收。紧盯部分项目未完成终验、审计资料不全等问题，及时协调县级审计部门给予专业政策指导，督促各相关部门完成审计。派专人分组开展已完工项目后期管护情况现状调查，收集后期管护意见，向项目责任单位反馈后期管护中存在的问题，督促责任单位加强项目后期管护。</w:t>
            </w:r>
          </w:p>
        </w:tc>
      </w:tr>
      <w:tr>
        <w:tblPrEx>
          <w:tblLayout w:type="fixed"/>
          <w:tblCellMar>
            <w:top w:w="0" w:type="dxa"/>
            <w:left w:w="108" w:type="dxa"/>
            <w:bottom w:w="0" w:type="dxa"/>
            <w:right w:w="108" w:type="dxa"/>
          </w:tblCellMar>
        </w:tblPrEx>
        <w:trPr>
          <w:trHeight w:val="284" w:hRule="exact"/>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1776"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2457" w:type="dxa"/>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2127"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1776"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w:t>
            </w:r>
          </w:p>
        </w:tc>
        <w:tc>
          <w:tcPr>
            <w:tcW w:w="2457" w:type="dxa"/>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12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年初无项目预算，年中根据本年度工作开展实际情况经县政府批准同意后追加项目预算。</w:t>
            </w: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1776"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w:t>
            </w:r>
          </w:p>
        </w:tc>
        <w:tc>
          <w:tcPr>
            <w:tcW w:w="2457" w:type="dxa"/>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127"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Courier New" w:hAnsi="Courier New" w:eastAsia="宋体" w:cs="Courier New"/>
                <w:color w:val="000000"/>
                <w:kern w:val="0"/>
                <w:sz w:val="18"/>
                <w:szCs w:val="18"/>
              </w:rPr>
            </w:pP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1776"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457" w:type="dxa"/>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127"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Courier New" w:hAnsi="Courier New" w:eastAsia="宋体" w:cs="Courier New"/>
                <w:color w:val="000000"/>
                <w:kern w:val="0"/>
                <w:sz w:val="18"/>
                <w:szCs w:val="18"/>
              </w:rPr>
            </w:pP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1776"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457" w:type="dxa"/>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127"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Courier New" w:hAnsi="Courier New" w:eastAsia="宋体" w:cs="Courier New"/>
                <w:color w:val="000000"/>
                <w:kern w:val="0"/>
                <w:sz w:val="18"/>
                <w:szCs w:val="18"/>
              </w:rPr>
            </w:pP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1776"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微软雅黑" w:hAnsi="微软雅黑" w:eastAsia="微软雅黑" w:cs="宋体"/>
                <w:i/>
                <w:iCs/>
                <w:color w:val="000000"/>
                <w:kern w:val="0"/>
                <w:sz w:val="18"/>
                <w:szCs w:val="18"/>
              </w:rPr>
            </w:pP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微软雅黑" w:hAnsi="微软雅黑" w:eastAsia="微软雅黑" w:cs="宋体"/>
                <w:i/>
                <w:iCs/>
                <w:color w:val="000000"/>
                <w:kern w:val="0"/>
                <w:sz w:val="18"/>
                <w:szCs w:val="18"/>
              </w:rPr>
            </w:pPr>
          </w:p>
        </w:tc>
        <w:tc>
          <w:tcPr>
            <w:tcW w:w="2457" w:type="dxa"/>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rPr>
                <w:rFonts w:ascii="微软雅黑" w:hAnsi="微软雅黑" w:eastAsia="微软雅黑" w:cs="宋体"/>
                <w:i/>
                <w:iCs/>
                <w:color w:val="000000"/>
                <w:kern w:val="0"/>
                <w:sz w:val="18"/>
                <w:szCs w:val="18"/>
              </w:rPr>
            </w:pP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微软雅黑" w:hAnsi="微软雅黑" w:eastAsia="微软雅黑" w:cs="宋体"/>
                <w:i/>
                <w:iCs/>
                <w:color w:val="000000"/>
                <w:kern w:val="0"/>
                <w:sz w:val="18"/>
                <w:szCs w:val="18"/>
              </w:rPr>
            </w:pP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127"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Courier New" w:hAnsi="Courier New" w:eastAsia="宋体" w:cs="Courier New"/>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776"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6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2127"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7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项目后期管护实地走访调研</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6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人次</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127"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1776"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项目宣传次数</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6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人次</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127"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1776"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生态现状调研</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6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127"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776"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w:t>
            </w: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对工作的促进作用</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6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127"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84" w:hRule="exact"/>
        </w:trPr>
        <w:tc>
          <w:tcPr>
            <w:tcW w:w="699"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18"/>
                <w:szCs w:val="18"/>
              </w:rPr>
            </w:pPr>
          </w:p>
        </w:tc>
        <w:tc>
          <w:tcPr>
            <w:tcW w:w="205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1776"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25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项目实施周边居民满意度</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61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29"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127"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微软雅黑" w:hAnsi="微软雅黑" w:eastAsia="微软雅黑" w:cs="宋体"/>
                <w:i/>
                <w:iCs/>
                <w:color w:val="000000"/>
                <w:kern w:val="0"/>
                <w:sz w:val="18"/>
                <w:szCs w:val="18"/>
              </w:rPr>
            </w:pPr>
          </w:p>
        </w:tc>
      </w:tr>
      <w:tr>
        <w:tblPrEx>
          <w:tblLayout w:type="fixed"/>
          <w:tblCellMar>
            <w:top w:w="0" w:type="dxa"/>
            <w:left w:w="108" w:type="dxa"/>
            <w:bottom w:w="0" w:type="dxa"/>
            <w:right w:w="108" w:type="dxa"/>
          </w:tblCellMar>
        </w:tblPrEx>
        <w:trPr>
          <w:trHeight w:val="284" w:hRule="exact"/>
        </w:trPr>
        <w:tc>
          <w:tcPr>
            <w:tcW w:w="10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08"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212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13575" w:type="dxa"/>
            <w:gridSpan w:val="12"/>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紧盯部分项目存在的项目未完成终验、审计资料不全等问题，及时协调审计部门给予专业政策指导，督促各相关部门完成项目审计，持续跟踪项目后期管护，积极对接省市相关部门，高质量通过省级验收，为全县山水林田湖草系统治理作出了积极的贡献。项目自评得分100分。</w:t>
            </w:r>
          </w:p>
        </w:tc>
      </w:tr>
      <w:tr>
        <w:tblPrEx>
          <w:tblLayout w:type="fixed"/>
          <w:tblCellMar>
            <w:top w:w="0" w:type="dxa"/>
            <w:left w:w="108" w:type="dxa"/>
            <w:bottom w:w="0" w:type="dxa"/>
            <w:right w:w="108" w:type="dxa"/>
          </w:tblCellMar>
        </w:tblPrEx>
        <w:trPr>
          <w:trHeight w:val="454" w:hRule="atLeast"/>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13575" w:type="dxa"/>
            <w:gridSpan w:val="12"/>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绩效目标编制科学性需进一步提高</w:t>
            </w:r>
          </w:p>
        </w:tc>
      </w:tr>
      <w:tr>
        <w:tblPrEx>
          <w:tblLayout w:type="fixed"/>
          <w:tblCellMar>
            <w:top w:w="0" w:type="dxa"/>
            <w:left w:w="108" w:type="dxa"/>
            <w:bottom w:w="0" w:type="dxa"/>
            <w:right w:w="108" w:type="dxa"/>
          </w:tblCellMar>
        </w:tblPrEx>
        <w:trPr>
          <w:trHeight w:val="454" w:hRule="atLeast"/>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13575" w:type="dxa"/>
            <w:gridSpan w:val="12"/>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继续健全绩效管理制度体系，严把绩效目标编制质量。加强与财政的沟通、联系，规范资金使用。</w:t>
            </w:r>
          </w:p>
        </w:tc>
      </w:tr>
      <w:tr>
        <w:tblPrEx>
          <w:tblLayout w:type="fixed"/>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项目负责人：文强</w:t>
            </w:r>
          </w:p>
        </w:tc>
        <w:tc>
          <w:tcPr>
            <w:tcW w:w="6969" w:type="dxa"/>
            <w:gridSpan w:val="8"/>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财务负责人：甘晟</w:t>
            </w:r>
          </w:p>
        </w:tc>
      </w:tr>
    </w:tbl>
    <w:p>
      <w:pPr>
        <w:overflowPunct w:val="0"/>
        <w:spacing w:line="590" w:lineRule="exact"/>
        <w:rPr>
          <w:rFonts w:cs="Times New Roman"/>
          <w:szCs w:val="33"/>
        </w:rPr>
        <w:sectPr>
          <w:pgSz w:w="16838" w:h="11906" w:orient="landscape"/>
          <w:pgMar w:top="567" w:right="2041" w:bottom="567" w:left="1701" w:header="851" w:footer="1474" w:gutter="0"/>
          <w:cols w:space="425" w:num="1"/>
          <w:docGrid w:type="linesAndChars" w:linePitch="590" w:charSpace="0"/>
        </w:sectPr>
      </w:pPr>
    </w:p>
    <w:p>
      <w:pPr>
        <w:overflowPunct w:val="0"/>
        <w:spacing w:line="590" w:lineRule="exact"/>
        <w:jc w:val="center"/>
        <w:rPr>
          <w:rFonts w:ascii="方正黑体_GBK" w:eastAsia="方正黑体_GBK" w:cs="Times New Roman"/>
          <w:sz w:val="44"/>
          <w:szCs w:val="44"/>
        </w:rPr>
      </w:pPr>
      <w:r>
        <w:rPr>
          <w:rFonts w:hint="eastAsia" w:ascii="方正黑体_GBK" w:eastAsia="方正黑体_GBK" w:cs="Times New Roman"/>
          <w:sz w:val="44"/>
          <w:szCs w:val="44"/>
        </w:rPr>
        <w:t>第五部分 附表</w:t>
      </w:r>
    </w:p>
    <w:p>
      <w:pPr>
        <w:overflowPunct w:val="0"/>
        <w:spacing w:line="590" w:lineRule="exact"/>
        <w:ind w:firstLine="660" w:firstLineChars="200"/>
        <w:rPr>
          <w:rFonts w:cs="Times New Roman"/>
          <w:szCs w:val="33"/>
        </w:rPr>
      </w:pPr>
      <w:r>
        <w:rPr>
          <w:rFonts w:hint="eastAsia" w:cs="Times New Roman"/>
          <w:szCs w:val="33"/>
        </w:rPr>
        <w:t>一、收入支出决算总表</w:t>
      </w:r>
    </w:p>
    <w:p>
      <w:pPr>
        <w:overflowPunct w:val="0"/>
        <w:spacing w:line="590" w:lineRule="exact"/>
        <w:ind w:firstLine="660" w:firstLineChars="200"/>
        <w:rPr>
          <w:rFonts w:cs="Times New Roman"/>
          <w:szCs w:val="33"/>
        </w:rPr>
      </w:pPr>
      <w:r>
        <w:rPr>
          <w:rFonts w:hint="eastAsia" w:cs="Times New Roman"/>
          <w:szCs w:val="33"/>
        </w:rPr>
        <w:t>二、收入决算表</w:t>
      </w:r>
    </w:p>
    <w:p>
      <w:pPr>
        <w:overflowPunct w:val="0"/>
        <w:spacing w:line="590" w:lineRule="exact"/>
        <w:ind w:firstLine="660" w:firstLineChars="200"/>
        <w:rPr>
          <w:rFonts w:cs="Times New Roman"/>
          <w:szCs w:val="33"/>
        </w:rPr>
      </w:pPr>
      <w:r>
        <w:rPr>
          <w:rFonts w:hint="eastAsia" w:cs="Times New Roman"/>
          <w:szCs w:val="33"/>
        </w:rPr>
        <w:t>三、支出决算表</w:t>
      </w:r>
    </w:p>
    <w:p>
      <w:pPr>
        <w:overflowPunct w:val="0"/>
        <w:spacing w:line="590" w:lineRule="exact"/>
        <w:ind w:firstLine="660" w:firstLineChars="200"/>
        <w:rPr>
          <w:rFonts w:cs="Times New Roman"/>
          <w:szCs w:val="33"/>
        </w:rPr>
      </w:pPr>
      <w:r>
        <w:rPr>
          <w:rFonts w:hint="eastAsia" w:cs="Times New Roman"/>
          <w:szCs w:val="33"/>
        </w:rPr>
        <w:t>四、财政拨款收入支出决算总表</w:t>
      </w:r>
    </w:p>
    <w:p>
      <w:pPr>
        <w:overflowPunct w:val="0"/>
        <w:spacing w:line="590" w:lineRule="exact"/>
        <w:ind w:firstLine="660" w:firstLineChars="200"/>
        <w:rPr>
          <w:rFonts w:cs="Times New Roman"/>
          <w:szCs w:val="33"/>
        </w:rPr>
      </w:pPr>
      <w:r>
        <w:rPr>
          <w:rFonts w:hint="eastAsia" w:cs="Times New Roman"/>
          <w:szCs w:val="33"/>
        </w:rPr>
        <w:t>五、财政拨款支出决算明细表</w:t>
      </w:r>
    </w:p>
    <w:p>
      <w:pPr>
        <w:overflowPunct w:val="0"/>
        <w:spacing w:line="590" w:lineRule="exact"/>
        <w:ind w:firstLine="660" w:firstLineChars="200"/>
        <w:rPr>
          <w:rFonts w:cs="Times New Roman"/>
          <w:szCs w:val="33"/>
        </w:rPr>
      </w:pPr>
      <w:r>
        <w:rPr>
          <w:rFonts w:hint="eastAsia" w:cs="Times New Roman"/>
          <w:szCs w:val="33"/>
        </w:rPr>
        <w:t>六、一般公共预算财政拨款支出决算表</w:t>
      </w:r>
    </w:p>
    <w:p>
      <w:pPr>
        <w:overflowPunct w:val="0"/>
        <w:spacing w:line="590" w:lineRule="exact"/>
        <w:ind w:firstLine="660" w:firstLineChars="200"/>
        <w:rPr>
          <w:rFonts w:cs="Times New Roman"/>
          <w:szCs w:val="33"/>
        </w:rPr>
      </w:pPr>
      <w:r>
        <w:rPr>
          <w:rFonts w:hint="eastAsia" w:cs="Times New Roman"/>
          <w:szCs w:val="33"/>
        </w:rPr>
        <w:t>七、一般公共预算财政拨款支出决算明细表</w:t>
      </w:r>
    </w:p>
    <w:p>
      <w:pPr>
        <w:overflowPunct w:val="0"/>
        <w:spacing w:line="590" w:lineRule="exact"/>
        <w:ind w:firstLine="660" w:firstLineChars="200"/>
        <w:rPr>
          <w:rFonts w:cs="Times New Roman"/>
          <w:szCs w:val="33"/>
        </w:rPr>
      </w:pPr>
      <w:r>
        <w:rPr>
          <w:rFonts w:hint="eastAsia" w:cs="Times New Roman"/>
          <w:szCs w:val="33"/>
        </w:rPr>
        <w:t>八、一般公共预算财政拨款基本支出决算表</w:t>
      </w:r>
    </w:p>
    <w:p>
      <w:pPr>
        <w:overflowPunct w:val="0"/>
        <w:spacing w:line="590" w:lineRule="exact"/>
        <w:ind w:firstLine="660" w:firstLineChars="200"/>
        <w:rPr>
          <w:rFonts w:cs="Times New Roman"/>
          <w:szCs w:val="33"/>
        </w:rPr>
      </w:pPr>
      <w:r>
        <w:rPr>
          <w:rFonts w:hint="eastAsia" w:cs="Times New Roman"/>
          <w:szCs w:val="33"/>
        </w:rPr>
        <w:t>九、一般公共预算财政拨款项目支出决算表</w:t>
      </w:r>
    </w:p>
    <w:p>
      <w:pPr>
        <w:overflowPunct w:val="0"/>
        <w:spacing w:line="590" w:lineRule="exact"/>
        <w:ind w:firstLine="660" w:firstLineChars="200"/>
        <w:rPr>
          <w:rFonts w:cs="Times New Roman"/>
          <w:szCs w:val="33"/>
        </w:rPr>
      </w:pPr>
      <w:r>
        <w:rPr>
          <w:rFonts w:hint="eastAsia" w:cs="Times New Roman"/>
          <w:szCs w:val="33"/>
        </w:rPr>
        <w:t>十、政府性基金预算财政拨款收入支出决算表</w:t>
      </w:r>
    </w:p>
    <w:p>
      <w:pPr>
        <w:overflowPunct w:val="0"/>
        <w:spacing w:line="590" w:lineRule="exact"/>
        <w:ind w:firstLine="660" w:firstLineChars="200"/>
        <w:rPr>
          <w:rFonts w:cs="Times New Roman"/>
          <w:szCs w:val="33"/>
        </w:rPr>
      </w:pPr>
      <w:r>
        <w:rPr>
          <w:rFonts w:hint="eastAsia" w:cs="Times New Roman"/>
          <w:szCs w:val="33"/>
        </w:rPr>
        <w:t>十一、国有资本经营预算财政拨款收入支出决算表</w:t>
      </w:r>
    </w:p>
    <w:p>
      <w:pPr>
        <w:overflowPunct w:val="0"/>
        <w:spacing w:line="590" w:lineRule="exact"/>
        <w:ind w:firstLine="660" w:firstLineChars="200"/>
        <w:rPr>
          <w:rFonts w:cs="Times New Roman"/>
          <w:szCs w:val="33"/>
        </w:rPr>
      </w:pPr>
      <w:r>
        <w:rPr>
          <w:rFonts w:hint="eastAsia" w:cs="Times New Roman"/>
          <w:szCs w:val="33"/>
        </w:rPr>
        <w:t>十二、国有资本经营预算财政拨款支出决算表</w:t>
      </w:r>
    </w:p>
    <w:p>
      <w:pPr>
        <w:overflowPunct w:val="0"/>
        <w:spacing w:line="590" w:lineRule="exact"/>
        <w:ind w:firstLine="660" w:firstLineChars="200"/>
        <w:rPr>
          <w:rFonts w:cs="Times New Roman"/>
          <w:szCs w:val="33"/>
        </w:rPr>
      </w:pPr>
      <w:r>
        <w:rPr>
          <w:rFonts w:hint="eastAsia" w:cs="Times New Roman"/>
          <w:szCs w:val="33"/>
        </w:rPr>
        <w:t>十三、财政拨款“三公”经费支出决算表</w:t>
      </w:r>
    </w:p>
    <w:p>
      <w:pPr>
        <w:overflowPunct w:val="0"/>
        <w:spacing w:line="590" w:lineRule="exact"/>
        <w:ind w:firstLine="660" w:firstLineChars="200"/>
        <w:rPr>
          <w:rFonts w:cs="Times New Roman"/>
          <w:szCs w:val="33"/>
        </w:rPr>
      </w:pPr>
    </w:p>
    <w:sectPr>
      <w:pgSz w:w="11906" w:h="16838"/>
      <w:pgMar w:top="2041" w:right="1531" w:bottom="1701" w:left="1531" w:header="851" w:footer="1474" w:gutter="0"/>
      <w:cols w:space="425" w:num="1"/>
      <w:docGrid w:type="lines"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849079"/>
      <w:docPartObj>
        <w:docPartGallery w:val="autotext"/>
      </w:docPartObj>
    </w:sdtPr>
    <w:sdtContent>
      <w:p>
        <w:pPr>
          <w:pStyle w:val="4"/>
          <w:spacing w:line="240" w:lineRule="exact"/>
          <w:ind w:right="330" w:rightChars="100"/>
          <w:jc w:val="right"/>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849089"/>
      <w:docPartObj>
        <w:docPartGallery w:val="autotext"/>
      </w:docPartObj>
    </w:sdtPr>
    <w:sdtContent>
      <w:p>
        <w:pPr>
          <w:pStyle w:val="4"/>
          <w:spacing w:line="240" w:lineRule="atLeast"/>
          <w:ind w:left="330" w:leftChars="100"/>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evenAndOddHeaders w:val="1"/>
  <w:drawingGridHorizontalSpacing w:val="105"/>
  <w:drawingGridVerticalSpacing w:val="295"/>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rsids>
    <w:rsidRoot w:val="00467764"/>
    <w:rsid w:val="000D49FB"/>
    <w:rsid w:val="001500E3"/>
    <w:rsid w:val="00152582"/>
    <w:rsid w:val="001B54BD"/>
    <w:rsid w:val="002B6CBA"/>
    <w:rsid w:val="002E0545"/>
    <w:rsid w:val="00313AAD"/>
    <w:rsid w:val="00327D62"/>
    <w:rsid w:val="00377615"/>
    <w:rsid w:val="003B3BDF"/>
    <w:rsid w:val="00442273"/>
    <w:rsid w:val="00445098"/>
    <w:rsid w:val="00467764"/>
    <w:rsid w:val="004835AD"/>
    <w:rsid w:val="004D5DF6"/>
    <w:rsid w:val="004E774B"/>
    <w:rsid w:val="0069098E"/>
    <w:rsid w:val="007265EA"/>
    <w:rsid w:val="00825678"/>
    <w:rsid w:val="00881479"/>
    <w:rsid w:val="00882EE2"/>
    <w:rsid w:val="008E1733"/>
    <w:rsid w:val="009310CC"/>
    <w:rsid w:val="009A0373"/>
    <w:rsid w:val="00A40163"/>
    <w:rsid w:val="00A97AFB"/>
    <w:rsid w:val="00B76E6C"/>
    <w:rsid w:val="00C241BF"/>
    <w:rsid w:val="00CB7C31"/>
    <w:rsid w:val="00D701A4"/>
    <w:rsid w:val="00DB561C"/>
    <w:rsid w:val="00DB6AB5"/>
    <w:rsid w:val="00E140AE"/>
    <w:rsid w:val="00E603D5"/>
    <w:rsid w:val="00E76148"/>
    <w:rsid w:val="00EB78EF"/>
    <w:rsid w:val="00F32229"/>
    <w:rsid w:val="00F45770"/>
    <w:rsid w:val="00F7378A"/>
    <w:rsid w:val="00F801DF"/>
    <w:rsid w:val="00F87D19"/>
    <w:rsid w:val="00FB3252"/>
    <w:rsid w:val="03AE03C1"/>
    <w:rsid w:val="0BA4140D"/>
    <w:rsid w:val="0C134D3D"/>
    <w:rsid w:val="15EB7304"/>
    <w:rsid w:val="21FD2B15"/>
    <w:rsid w:val="43B14AAC"/>
    <w:rsid w:val="4593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3"/>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unhideWhenUsed/>
    <w:qFormat/>
    <w:uiPriority w:val="99"/>
    <w:pPr>
      <w:spacing w:after="120"/>
    </w:pPr>
    <w:rPr>
      <w:rFonts w:cs="Times New Roman"/>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8296"/>
      </w:tabs>
      <w:suppressAutoHyphens/>
      <w:spacing w:before="93"/>
      <w:jc w:val="center"/>
    </w:pPr>
    <w:rPr>
      <w:rFonts w:ascii="仿宋" w:hAnsi="仿宋" w:eastAsia="仿宋" w:cs="Times New Roman"/>
      <w:sz w:val="28"/>
      <w:szCs w:val="28"/>
    </w:rPr>
  </w:style>
  <w:style w:type="paragraph" w:styleId="7">
    <w:name w:val="toc 2"/>
    <w:basedOn w:val="1"/>
    <w:next w:val="1"/>
    <w:unhideWhenUsed/>
    <w:qFormat/>
    <w:uiPriority w:val="39"/>
    <w:pPr>
      <w:tabs>
        <w:tab w:val="right" w:leader="dot" w:pos="8296"/>
      </w:tabs>
      <w:suppressAutoHyphens/>
      <w:ind w:left="420" w:leftChars="200"/>
    </w:pPr>
    <w:rPr>
      <w:rFonts w:ascii="Calibri" w:hAnsi="Calibri" w:eastAsia="宋体" w:cs="Times New Roman"/>
      <w:sz w:val="21"/>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1">
    <w:name w:val="Strong"/>
    <w:basedOn w:val="10"/>
    <w:qFormat/>
    <w:uiPriority w:val="99"/>
    <w:rPr>
      <w:b/>
    </w:rPr>
  </w:style>
  <w:style w:type="character" w:styleId="12">
    <w:name w:val="Hyperlink"/>
    <w:basedOn w:val="10"/>
    <w:unhideWhenUsed/>
    <w:qFormat/>
    <w:uiPriority w:val="99"/>
    <w:rPr>
      <w:color w:val="0000FF"/>
      <w:u w:val="single"/>
    </w:rPr>
  </w:style>
  <w:style w:type="character" w:customStyle="1" w:styleId="13">
    <w:name w:val="页眉 Char"/>
    <w:basedOn w:val="10"/>
    <w:link w:val="5"/>
    <w:semiHidden/>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正文文本 Char"/>
    <w:basedOn w:val="10"/>
    <w:link w:val="2"/>
    <w:qFormat/>
    <w:uiPriority w:val="99"/>
    <w:rPr>
      <w:rFonts w:ascii="Times New Roman" w:hAnsi="Times New Roman" w:eastAsia="方正仿宋_GBK" w:cs="Times New Roman"/>
      <w:sz w:val="33"/>
      <w:szCs w:val="24"/>
    </w:rPr>
  </w:style>
  <w:style w:type="character" w:customStyle="1" w:styleId="16">
    <w:name w:val="批注框文本 Char"/>
    <w:basedOn w:val="10"/>
    <w:link w:val="3"/>
    <w:semiHidden/>
    <w:uiPriority w:val="99"/>
    <w:rPr>
      <w:rFonts w:ascii="Times New Roman" w:hAnsi="Times New Roman" w:eastAsia="方正仿宋_GBK"/>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delete val="1"/>
          </c:dLbls>
          <c:cat>
            <c:numRef>
              <c:f>Sheet1!$A$2:$A$3</c:f>
              <c:numCache>
                <c:formatCode>General</c:formatCode>
                <c:ptCount val="2"/>
                <c:pt idx="0">
                  <c:v>2023</c:v>
                </c:pt>
                <c:pt idx="1">
                  <c:v>2022</c:v>
                </c:pt>
              </c:numCache>
            </c:numRef>
          </c:cat>
          <c:val>
            <c:numRef>
              <c:f>Sheet1!$B$2:$B$3</c:f>
              <c:numCache>
                <c:formatCode>General</c:formatCode>
                <c:ptCount val="2"/>
                <c:pt idx="0">
                  <c:v>238.23</c:v>
                </c:pt>
                <c:pt idx="1">
                  <c:v>215.72</c:v>
                </c:pt>
              </c:numCache>
            </c:numRef>
          </c:val>
        </c:ser>
        <c:ser>
          <c:idx val="1"/>
          <c:order val="1"/>
          <c:tx>
            <c:strRef>
              <c:f>Sheet1!$C$1</c:f>
              <c:strCache>
                <c:ptCount val="1"/>
                <c:pt idx="0">
                  <c:v>支出</c:v>
                </c:pt>
              </c:strCache>
            </c:strRef>
          </c:tx>
          <c:invertIfNegative val="0"/>
          <c:dLbls>
            <c:delete val="1"/>
          </c:dLbls>
          <c:cat>
            <c:numRef>
              <c:f>Sheet1!$A$2:$A$3</c:f>
              <c:numCache>
                <c:formatCode>General</c:formatCode>
                <c:ptCount val="2"/>
                <c:pt idx="0">
                  <c:v>2023</c:v>
                </c:pt>
                <c:pt idx="1">
                  <c:v>2022</c:v>
                </c:pt>
              </c:numCache>
            </c:numRef>
          </c:cat>
          <c:val>
            <c:numRef>
              <c:f>Sheet1!$C$2:$C$3</c:f>
              <c:numCache>
                <c:formatCode>General</c:formatCode>
                <c:ptCount val="2"/>
                <c:pt idx="0">
                  <c:v>238.23</c:v>
                </c:pt>
                <c:pt idx="1">
                  <c:v>207.12</c:v>
                </c:pt>
              </c:numCache>
            </c:numRef>
          </c:val>
        </c:ser>
        <c:dLbls>
          <c:showLegendKey val="0"/>
          <c:showVal val="0"/>
          <c:showCatName val="0"/>
          <c:showSerName val="0"/>
          <c:showPercent val="0"/>
          <c:showBubbleSize val="0"/>
        </c:dLbls>
        <c:gapWidth val="150"/>
        <c:axId val="45607168"/>
        <c:axId val="191321600"/>
      </c:barChart>
      <c:catAx>
        <c:axId val="4560716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1321600"/>
        <c:crosses val="autoZero"/>
        <c:auto val="1"/>
        <c:lblAlgn val="ctr"/>
        <c:lblOffset val="100"/>
        <c:noMultiLvlLbl val="0"/>
      </c:catAx>
      <c:valAx>
        <c:axId val="1913216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6071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explosion val="0"/>
          <c:dPt>
            <c:idx val="0"/>
            <c:bubble3D val="0"/>
          </c:dPt>
          <c:dLbls>
            <c:delete val="1"/>
          </c:dLbls>
          <c:cat>
            <c:strRef>
              <c:f>Sheet1!$A$2</c:f>
              <c:strCache>
                <c:ptCount val="1"/>
                <c:pt idx="0">
                  <c:v>一般公共预算财政拨款收入</c:v>
                </c:pt>
              </c:strCache>
            </c:strRef>
          </c:cat>
          <c:val>
            <c:numRef>
              <c:f>Sheet1!$B$2</c:f>
              <c:numCache>
                <c:formatCode>General</c:formatCode>
                <c:ptCount val="1"/>
                <c:pt idx="0">
                  <c:v>229.63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explosion val="11"/>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218.08</c:v>
                </c:pt>
                <c:pt idx="1">
                  <c:v>8.46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invertIfNegative val="0"/>
          <c:dLbls>
            <c:delete val="1"/>
          </c:dLbls>
          <c:cat>
            <c:numRef>
              <c:f>Sheet1!$A$2:$A$3</c:f>
              <c:numCache>
                <c:formatCode>General</c:formatCode>
                <c:ptCount val="2"/>
                <c:pt idx="0">
                  <c:v>2023</c:v>
                </c:pt>
                <c:pt idx="1">
                  <c:v>2022</c:v>
                </c:pt>
              </c:numCache>
            </c:numRef>
          </c:cat>
          <c:val>
            <c:numRef>
              <c:f>Sheet1!$B$2:$B$3</c:f>
              <c:numCache>
                <c:formatCode>General</c:formatCode>
                <c:ptCount val="2"/>
                <c:pt idx="0">
                  <c:v>238.02</c:v>
                </c:pt>
                <c:pt idx="1">
                  <c:v>195.72</c:v>
                </c:pt>
              </c:numCache>
            </c:numRef>
          </c:val>
        </c:ser>
        <c:ser>
          <c:idx val="1"/>
          <c:order val="1"/>
          <c:tx>
            <c:strRef>
              <c:f>Sheet1!$C$1</c:f>
              <c:strCache>
                <c:ptCount val="1"/>
                <c:pt idx="0">
                  <c:v>财政拨款支出</c:v>
                </c:pt>
              </c:strCache>
            </c:strRef>
          </c:tx>
          <c:invertIfNegative val="0"/>
          <c:dLbls>
            <c:delete val="1"/>
          </c:dLbls>
          <c:cat>
            <c:numRef>
              <c:f>Sheet1!$A$2:$A$3</c:f>
              <c:numCache>
                <c:formatCode>General</c:formatCode>
                <c:ptCount val="2"/>
                <c:pt idx="0">
                  <c:v>2023</c:v>
                </c:pt>
                <c:pt idx="1">
                  <c:v>2022</c:v>
                </c:pt>
              </c:numCache>
            </c:numRef>
          </c:cat>
          <c:val>
            <c:numRef>
              <c:f>Sheet1!$C$2:$C$3</c:f>
              <c:numCache>
                <c:formatCode>General</c:formatCode>
                <c:ptCount val="2"/>
                <c:pt idx="0">
                  <c:v>238.02</c:v>
                </c:pt>
                <c:pt idx="1">
                  <c:v>187.26</c:v>
                </c:pt>
              </c:numCache>
            </c:numRef>
          </c:val>
        </c:ser>
        <c:dLbls>
          <c:showLegendKey val="0"/>
          <c:showVal val="0"/>
          <c:showCatName val="0"/>
          <c:showSerName val="0"/>
          <c:showPercent val="0"/>
          <c:showBubbleSize val="0"/>
        </c:dLbls>
        <c:gapWidth val="150"/>
        <c:axId val="45588864"/>
        <c:axId val="45590400"/>
      </c:barChart>
      <c:catAx>
        <c:axId val="455888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590400"/>
        <c:crosses val="autoZero"/>
        <c:auto val="1"/>
        <c:lblAlgn val="ctr"/>
        <c:lblOffset val="100"/>
        <c:noMultiLvlLbl val="0"/>
      </c:catAx>
      <c:valAx>
        <c:axId val="45590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5888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c:v>
                </c:pt>
              </c:strCache>
            </c:strRef>
          </c:tx>
          <c:invertIfNegative val="0"/>
          <c:dLbls>
            <c:delete val="1"/>
          </c:dLbls>
          <c:cat>
            <c:numRef>
              <c:f>Sheet1!$A$2:$A$3</c:f>
              <c:numCache>
                <c:formatCode>General</c:formatCode>
                <c:ptCount val="2"/>
                <c:pt idx="0">
                  <c:v>2023</c:v>
                </c:pt>
                <c:pt idx="1">
                  <c:v>2022</c:v>
                </c:pt>
              </c:numCache>
            </c:numRef>
          </c:cat>
          <c:val>
            <c:numRef>
              <c:f>Sheet1!$B$2:$B$3</c:f>
              <c:numCache>
                <c:formatCode>General</c:formatCode>
                <c:ptCount val="2"/>
                <c:pt idx="0">
                  <c:v>238.08</c:v>
                </c:pt>
                <c:pt idx="1">
                  <c:v>187.26</c:v>
                </c:pt>
              </c:numCache>
            </c:numRef>
          </c:val>
        </c:ser>
        <c:dLbls>
          <c:showLegendKey val="0"/>
          <c:showVal val="0"/>
          <c:showCatName val="0"/>
          <c:showSerName val="0"/>
          <c:showPercent val="0"/>
          <c:showBubbleSize val="0"/>
        </c:dLbls>
        <c:gapWidth val="150"/>
        <c:axId val="45597824"/>
        <c:axId val="45599360"/>
      </c:barChart>
      <c:catAx>
        <c:axId val="455978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599360"/>
        <c:crosses val="autoZero"/>
        <c:auto val="1"/>
        <c:lblAlgn val="ctr"/>
        <c:lblOffset val="100"/>
        <c:noMultiLvlLbl val="0"/>
      </c:catAx>
      <c:valAx>
        <c:axId val="45599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5978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社会保障和就业支出</c:v>
                </c:pt>
                <c:pt idx="1">
                  <c:v>卫生健康支出</c:v>
                </c:pt>
                <c:pt idx="2">
                  <c:v>住房保障支出</c:v>
                </c:pt>
                <c:pt idx="3">
                  <c:v>农林水支出</c:v>
                </c:pt>
                <c:pt idx="4">
                  <c:v>自然资源海洋气象等支出</c:v>
                </c:pt>
              </c:strCache>
            </c:strRef>
          </c:cat>
          <c:val>
            <c:numRef>
              <c:f>Sheet1!$B$2:$B$6</c:f>
              <c:numCache>
                <c:formatCode>General</c:formatCode>
                <c:ptCount val="5"/>
                <c:pt idx="0">
                  <c:v>8.61</c:v>
                </c:pt>
                <c:pt idx="1">
                  <c:v>3.13</c:v>
                </c:pt>
                <c:pt idx="2">
                  <c:v>7.24</c:v>
                </c:pt>
                <c:pt idx="3">
                  <c:v>19.02</c:v>
                </c:pt>
                <c:pt idx="4">
                  <c:v>62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Lbls>
            <c:delete val="1"/>
          </c:dLbls>
          <c:cat>
            <c:strRef>
              <c:f>Sheet1!$A$2</c:f>
              <c:strCache>
                <c:ptCount val="1"/>
                <c:pt idx="0">
                  <c:v>公务接待费</c:v>
                </c:pt>
              </c:strCache>
            </c:strRef>
          </c:cat>
          <c:val>
            <c:numRef>
              <c:f>Sheet1!$B$2</c:f>
              <c:numCache>
                <c:formatCode>General</c:formatCode>
                <c:ptCount val="1"/>
                <c:pt idx="0">
                  <c:v>100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3065AE-A776-42CE-86F1-324CAEE7B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1254</Words>
  <Characters>7153</Characters>
  <Lines>59</Lines>
  <Paragraphs>16</Paragraphs>
  <TotalTime>205</TotalTime>
  <ScaleCrop>false</ScaleCrop>
  <LinksUpToDate>false</LinksUpToDate>
  <CharactersWithSpaces>8391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2024-08-20T08:40:00Z</dcterms:created>
  <dc:creator>Administrator</dc:creator>
  <cp:lastModifiedBy>Administrator</cp:lastModifiedBy>
  <cp:lastPrinted>2024-08-21T03:28:00Z</cp:lastPrinted>
  <dcterms:modified xsi:type="dcterms:W3CDTF">2024-08-27T01:42:23Z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