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ind w:firstLine="1440" w:firstLineChars="200"/>
        <w:jc w:val="center"/>
        <w:textAlignment w:val="auto"/>
        <w:outlineLvl w:val="0"/>
        <w:rPr>
          <w:rFonts w:hint="default" w:ascii="Times New Roman" w:hAnsi="Times New Roman" w:eastAsia="方正小标宋简体" w:cs="Times New Roman"/>
          <w:color w:val="000000"/>
          <w:sz w:val="72"/>
          <w:szCs w:val="72"/>
        </w:rPr>
      </w:pPr>
      <w:bookmarkStart w:id="51" w:name="_GoBack"/>
      <w:bookmarkEnd w:id="51"/>
      <w:bookmarkStart w:id="0" w:name="_Toc15306267"/>
    </w:p>
    <w:p>
      <w:pPr>
        <w:pStyle w:val="6"/>
        <w:pageBreakBefore w:val="0"/>
        <w:kinsoku/>
        <w:wordWrap/>
        <w:overflowPunct/>
        <w:topLinePunct w:val="0"/>
        <w:bidi w:val="0"/>
        <w:ind w:firstLine="600" w:firstLineChars="200"/>
        <w:textAlignment w:val="auto"/>
        <w:rPr>
          <w:rFonts w:hint="default" w:ascii="Times New Roman" w:hAnsi="Times New Roman" w:cs="Times New Roman"/>
        </w:rPr>
      </w:pPr>
    </w:p>
    <w:p>
      <w:pPr>
        <w:pageBreakBefore w:val="0"/>
        <w:kinsoku/>
        <w:wordWrap/>
        <w:overflowPunct/>
        <w:topLinePunct w:val="0"/>
        <w:bidi w:val="0"/>
        <w:spacing w:line="600" w:lineRule="exact"/>
        <w:ind w:firstLine="1440" w:firstLineChars="200"/>
        <w:jc w:val="center"/>
        <w:textAlignment w:val="auto"/>
        <w:outlineLvl w:val="0"/>
        <w:rPr>
          <w:rFonts w:hint="default" w:ascii="Times New Roman" w:hAnsi="Times New Roman" w:eastAsia="方正小标宋简体" w:cs="Times New Roman"/>
          <w:color w:val="000000"/>
          <w:sz w:val="72"/>
          <w:szCs w:val="72"/>
        </w:rPr>
      </w:pPr>
    </w:p>
    <w:p>
      <w:pPr>
        <w:pageBreakBefore w:val="0"/>
        <w:kinsoku/>
        <w:wordWrap/>
        <w:overflowPunct/>
        <w:topLinePunct w:val="0"/>
        <w:bidi w:val="0"/>
        <w:spacing w:line="600" w:lineRule="exact"/>
        <w:ind w:firstLine="1440" w:firstLineChars="200"/>
        <w:jc w:val="center"/>
        <w:textAlignment w:val="auto"/>
        <w:outlineLvl w:val="0"/>
        <w:rPr>
          <w:rFonts w:hint="default" w:ascii="Times New Roman" w:hAnsi="Times New Roman" w:eastAsia="方正小标宋简体" w:cs="Times New Roman"/>
          <w:color w:val="000000"/>
          <w:sz w:val="72"/>
          <w:szCs w:val="72"/>
        </w:rPr>
      </w:pPr>
    </w:p>
    <w:p>
      <w:pPr>
        <w:pageBreakBefore w:val="0"/>
        <w:kinsoku/>
        <w:wordWrap/>
        <w:overflowPunct/>
        <w:topLinePunct w:val="0"/>
        <w:bidi w:val="0"/>
        <w:spacing w:line="600" w:lineRule="exact"/>
        <w:ind w:firstLine="1440" w:firstLineChars="200"/>
        <w:jc w:val="center"/>
        <w:textAlignment w:val="auto"/>
        <w:outlineLvl w:val="0"/>
        <w:rPr>
          <w:rFonts w:hint="default" w:ascii="Times New Roman" w:hAnsi="Times New Roman" w:eastAsia="方正小标宋简体" w:cs="Times New Roman"/>
          <w:color w:val="000000"/>
          <w:sz w:val="72"/>
          <w:szCs w:val="72"/>
        </w:rPr>
      </w:pPr>
    </w:p>
    <w:bookmarkEnd w:id="0"/>
    <w:p>
      <w:pPr>
        <w:pStyle w:val="6"/>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1" w:name="_Toc15377194"/>
      <w:bookmarkStart w:id="2" w:name="_Toc15378442"/>
      <w:bookmarkStart w:id="3" w:name="_Toc15396476"/>
      <w:bookmarkStart w:id="4" w:name="_Toc15396598"/>
      <w:bookmarkStart w:id="5" w:name="_Toc15377426"/>
      <w:r>
        <w:rPr>
          <w:rFonts w:hint="eastAsia" w:ascii="方正小标宋简体" w:hAnsi="宋体" w:eastAsia="方正小标宋简体" w:cs="Times New Roman"/>
          <w:color w:val="auto"/>
          <w:kern w:val="2"/>
          <w:sz w:val="44"/>
          <w:szCs w:val="44"/>
          <w:highlight w:val="none"/>
          <w:lang w:val="en-US" w:eastAsia="zh-CN" w:bidi="ar-SA"/>
        </w:rPr>
        <w:t>四川省</w:t>
      </w:r>
      <w:bookmarkStart w:id="6" w:name="_Toc15306268"/>
      <w:r>
        <w:rPr>
          <w:rFonts w:hint="eastAsia" w:ascii="方正小标宋简体" w:hAnsi="宋体" w:eastAsia="方正小标宋简体" w:cs="Times New Roman"/>
          <w:color w:val="auto"/>
          <w:kern w:val="2"/>
          <w:sz w:val="44"/>
          <w:szCs w:val="44"/>
          <w:highlight w:val="none"/>
          <w:lang w:val="en-US" w:eastAsia="zh-CN" w:bidi="ar-SA"/>
        </w:rPr>
        <w:t>邻水县公共资源交易管理服务办公室部门决算</w:t>
      </w:r>
      <w:bookmarkEnd w:id="1"/>
      <w:bookmarkEnd w:id="2"/>
      <w:bookmarkEnd w:id="3"/>
      <w:bookmarkEnd w:id="4"/>
      <w:bookmarkEnd w:id="5"/>
      <w:bookmarkEnd w:id="6"/>
    </w:p>
    <w:p>
      <w:pPr>
        <w:pageBreakBefore w:val="0"/>
        <w:widowControl/>
        <w:kinsoku/>
        <w:wordWrap/>
        <w:overflowPunct/>
        <w:topLinePunct w:val="0"/>
        <w:bidi w:val="0"/>
        <w:ind w:firstLine="720" w:firstLineChars="200"/>
        <w:jc w:val="center"/>
        <w:textAlignment w:val="auto"/>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color w:val="000000"/>
          <w:sz w:val="36"/>
          <w:szCs w:val="36"/>
        </w:rPr>
        <w:br w:type="page"/>
      </w:r>
      <w:r>
        <w:rPr>
          <w:rFonts w:hint="default" w:ascii="Times New Roman" w:hAnsi="Times New Roman" w:eastAsia="黑体" w:cs="Times New Roman"/>
          <w:color w:val="000000"/>
          <w:sz w:val="48"/>
          <w:szCs w:val="48"/>
        </w:rPr>
        <w:t>目录</w:t>
      </w:r>
    </w:p>
    <w:p>
      <w:pPr>
        <w:pageBreakBefore w:val="0"/>
        <w:widowControl/>
        <w:kinsoku/>
        <w:wordWrap/>
        <w:overflowPunct/>
        <w:topLinePunct w:val="0"/>
        <w:bidi w:val="0"/>
        <w:ind w:firstLine="560" w:firstLineChars="200"/>
        <w:jc w:val="center"/>
        <w:textAlignment w:val="auto"/>
        <w:rPr>
          <w:rFonts w:hint="default" w:ascii="Times New Roman" w:hAnsi="Times New Roman" w:eastAsia="黑体" w:cs="Times New Roman"/>
          <w:sz w:val="28"/>
          <w:szCs w:val="28"/>
        </w:rPr>
      </w:pPr>
    </w:p>
    <w:p>
      <w:pPr>
        <w:pStyle w:val="13"/>
        <w:pageBreakBefore w:val="0"/>
        <w:kinsoku/>
        <w:wordWrap/>
        <w:overflowPunct/>
        <w:topLinePunct w:val="0"/>
        <w:bidi w:val="0"/>
        <w:ind w:firstLine="56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公开时间：202</w:t>
      </w:r>
      <w:r>
        <w:rPr>
          <w:rFonts w:hint="default" w:ascii="Times New Roman" w:hAnsi="Times New Roman" w:cs="Times New Roman" w:eastAsiaTheme="minorEastAsia"/>
          <w:lang w:val="en-US" w:eastAsia="zh-CN"/>
        </w:rPr>
        <w:t>4</w:t>
      </w:r>
      <w:r>
        <w:rPr>
          <w:rFonts w:hint="default" w:ascii="Times New Roman" w:hAnsi="Times New Roman" w:cs="Times New Roman" w:eastAsiaTheme="minorEastAsia"/>
        </w:rPr>
        <w:t>年</w:t>
      </w:r>
      <w:r>
        <w:rPr>
          <w:rFonts w:hint="default" w:ascii="Times New Roman" w:hAnsi="Times New Roman" w:cs="Times New Roman" w:eastAsiaTheme="minorEastAsia"/>
          <w:lang w:val="en-US" w:eastAsia="zh-CN"/>
        </w:rPr>
        <w:t>8</w:t>
      </w:r>
      <w:r>
        <w:rPr>
          <w:rFonts w:hint="default" w:ascii="Times New Roman" w:hAnsi="Times New Roman" w:cs="Times New Roman" w:eastAsiaTheme="minorEastAsia"/>
        </w:rPr>
        <w:t>月</w:t>
      </w:r>
      <w:r>
        <w:rPr>
          <w:rFonts w:hint="eastAsia" w:ascii="Times New Roman" w:hAnsi="Times New Roman" w:cs="Times New Roman" w:eastAsiaTheme="minorEastAsia"/>
          <w:lang w:val="en-US" w:eastAsia="zh-CN"/>
        </w:rPr>
        <w:t>28</w:t>
      </w:r>
      <w:r>
        <w:rPr>
          <w:rFonts w:hint="default" w:ascii="Times New Roman" w:hAnsi="Times New Roman" w:cs="Times New Roman" w:eastAsiaTheme="minorEastAsia"/>
        </w:rPr>
        <w:t>日</w:t>
      </w:r>
    </w:p>
    <w:p>
      <w:pPr>
        <w:pageBreakBefore w:val="0"/>
        <w:kinsoku/>
        <w:wordWrap/>
        <w:overflowPunct/>
        <w:topLinePunct w:val="0"/>
        <w:bidi w:val="0"/>
        <w:ind w:firstLine="420" w:firstLineChars="200"/>
        <w:textAlignment w:val="auto"/>
        <w:rPr>
          <w:rFonts w:hint="default" w:ascii="Times New Roman" w:hAnsi="Times New Roman" w:cs="Times New Roman" w:eastAsiaTheme="minorEastAsia"/>
        </w:rPr>
      </w:pP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rPr>
        <w:t>第一部分 部门概况</w:t>
      </w:r>
      <w:r>
        <w:rPr>
          <w:rFonts w:hint="default" w:ascii="Times New Roman" w:hAnsi="Times New Roman" w:cs="Times New Roman" w:eastAsiaTheme="minorEastAsia"/>
        </w:rPr>
        <w:tab/>
      </w:r>
      <w:r>
        <w:rPr>
          <w:rFonts w:hint="default" w:ascii="Times New Roman" w:hAnsi="Times New Roman" w:cs="Times New Roman" w:eastAsiaTheme="minorEastAsia"/>
          <w:sz w:val="24"/>
        </w:rPr>
        <w:t>4</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一、基本职能</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4</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二、机构设置..</w:t>
      </w:r>
      <w:r>
        <w:rPr>
          <w:rFonts w:hint="default" w:ascii="Times New Roman" w:hAnsi="Times New Roman" w:cs="Times New Roman" w:eastAsiaTheme="minorEastAsia"/>
          <w:sz w:val="24"/>
        </w:rPr>
        <w:tab/>
      </w:r>
      <w:r>
        <w:rPr>
          <w:rFonts w:hint="eastAsia" w:ascii="Times New Roman" w:hAnsi="Times New Roman" w:cs="Times New Roman" w:eastAsiaTheme="minorEastAsia"/>
          <w:sz w:val="24"/>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 xml:space="preserve">第二部分 </w:t>
      </w:r>
      <w:r>
        <w:rPr>
          <w:rFonts w:hint="default" w:ascii="Times New Roman" w:hAnsi="Times New Roman" w:cs="Times New Roman" w:eastAsiaTheme="minorEastAsia"/>
          <w:sz w:val="24"/>
          <w:lang w:val="en-US" w:eastAsia="zh-CN"/>
        </w:rPr>
        <w:t>2023年度</w:t>
      </w:r>
      <w:r>
        <w:rPr>
          <w:rFonts w:hint="default" w:ascii="Times New Roman" w:hAnsi="Times New Roman" w:cs="Times New Roman" w:eastAsiaTheme="minorEastAsia"/>
          <w:sz w:val="24"/>
        </w:rPr>
        <w:t>部门决算情况说明.</w:t>
      </w:r>
      <w:r>
        <w:rPr>
          <w:rFonts w:hint="default" w:ascii="Times New Roman" w:hAnsi="Times New Roman" w:cs="Times New Roman" w:eastAsiaTheme="minorEastAsia"/>
          <w:sz w:val="24"/>
        </w:rPr>
        <w:tab/>
      </w:r>
      <w:r>
        <w:rPr>
          <w:rFonts w:hint="eastAsia" w:ascii="Times New Roman" w:hAnsi="Times New Roman" w:cs="Times New Roman" w:eastAsiaTheme="minorEastAsia"/>
          <w:sz w:val="24"/>
          <w:lang w:val="en-US" w:eastAsia="zh-CN"/>
        </w:rPr>
        <w:t>5</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一、收入支出决算总体情况说明</w:t>
      </w:r>
      <w:r>
        <w:rPr>
          <w:rFonts w:hint="default" w:ascii="Times New Roman" w:hAnsi="Times New Roman" w:cs="Times New Roman" w:eastAsiaTheme="minorEastAsia"/>
          <w:sz w:val="24"/>
        </w:rPr>
        <w:tab/>
      </w:r>
      <w:r>
        <w:rPr>
          <w:rFonts w:hint="eastAsia" w:ascii="Times New Roman" w:hAnsi="Times New Roman" w:cs="Times New Roman" w:eastAsiaTheme="minorEastAsia"/>
          <w:sz w:val="24"/>
          <w:lang w:val="en-US" w:eastAsia="zh-CN"/>
        </w:rPr>
        <w:t>5</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二、收入决算情况说明</w:t>
      </w:r>
      <w:r>
        <w:rPr>
          <w:rFonts w:hint="default" w:ascii="Times New Roman" w:hAnsi="Times New Roman" w:cs="Times New Roman" w:eastAsiaTheme="minorEastAsia"/>
          <w:sz w:val="24"/>
        </w:rPr>
        <w:tab/>
      </w:r>
      <w:r>
        <w:rPr>
          <w:rFonts w:hint="eastAsia" w:ascii="Times New Roman" w:hAnsi="Times New Roman" w:cs="Times New Roman" w:eastAsiaTheme="minorEastAsia"/>
          <w:sz w:val="24"/>
          <w:lang w:val="en-US" w:eastAsia="zh-CN"/>
        </w:rPr>
        <w:t>6</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三、支出决算情况说明</w:t>
      </w:r>
      <w:r>
        <w:rPr>
          <w:rFonts w:hint="default" w:ascii="Times New Roman" w:hAnsi="Times New Roman" w:cs="Times New Roman" w:eastAsiaTheme="minorEastAsia"/>
          <w:sz w:val="24"/>
        </w:rPr>
        <w:tab/>
      </w:r>
      <w:r>
        <w:rPr>
          <w:rFonts w:hint="eastAsia" w:ascii="Times New Roman" w:hAnsi="Times New Roman" w:cs="Times New Roman" w:eastAsiaTheme="minorEastAsia"/>
          <w:sz w:val="24"/>
          <w:lang w:val="en-US" w:eastAsia="zh-CN"/>
        </w:rPr>
        <w:t>6</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四、财政拨款收入支出决算总体情况说明</w:t>
      </w:r>
      <w:r>
        <w:rPr>
          <w:rFonts w:hint="default" w:ascii="Times New Roman" w:hAnsi="Times New Roman" w:cs="Times New Roman" w:eastAsiaTheme="minorEastAsia"/>
          <w:sz w:val="24"/>
        </w:rPr>
        <w:tab/>
      </w:r>
      <w:r>
        <w:rPr>
          <w:rFonts w:hint="eastAsia" w:ascii="Times New Roman" w:hAnsi="Times New Roman" w:cs="Times New Roman" w:eastAsiaTheme="minorEastAsia"/>
          <w:sz w:val="24"/>
          <w:lang w:val="en-US" w:eastAsia="zh-CN"/>
        </w:rPr>
        <w:t>7</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五</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rPr>
        <w:t>一般公共预算财政拨款支出决算情况说明</w:t>
      </w:r>
      <w:r>
        <w:rPr>
          <w:rFonts w:hint="default" w:ascii="Times New Roman" w:hAnsi="Times New Roman" w:cs="Times New Roman" w:eastAsiaTheme="minorEastAsia"/>
          <w:sz w:val="24"/>
        </w:rPr>
        <w:tab/>
      </w:r>
      <w:r>
        <w:rPr>
          <w:rFonts w:hint="eastAsia" w:ascii="Times New Roman" w:hAnsi="Times New Roman" w:cs="Times New Roman" w:eastAsiaTheme="minorEastAsia"/>
          <w:sz w:val="24"/>
          <w:lang w:val="en-US" w:eastAsia="zh-CN"/>
        </w:rPr>
        <w:t>8</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eastAsia="zh-CN"/>
        </w:rPr>
        <w:t>六、一般公共预算财政拨款基本支出决算情况说明</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lang w:val="en-US" w:eastAsia="zh-CN"/>
        </w:rPr>
        <w:t>1</w:t>
      </w:r>
      <w:r>
        <w:rPr>
          <w:rFonts w:hint="eastAsia" w:ascii="Times New Roman" w:hAnsi="Times New Roman" w:cs="Times New Roman" w:eastAsiaTheme="minorEastAsia"/>
          <w:sz w:val="24"/>
          <w:lang w:val="en-US" w:eastAsia="zh-CN"/>
        </w:rPr>
        <w:t>1</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eastAsia="zh-CN"/>
        </w:rPr>
        <w:t>七</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eastAsia="zh-CN"/>
        </w:rPr>
        <w:t xml:space="preserve"> “三公”经费财政拨款支出决算情况说明</w:t>
      </w:r>
      <w:r>
        <w:rPr>
          <w:rFonts w:hint="default" w:ascii="Times New Roman" w:hAnsi="Times New Roman" w:cs="Times New Roman" w:eastAsiaTheme="minorEastAsia"/>
          <w:sz w:val="24"/>
          <w:lang w:eastAsia="zh-CN"/>
        </w:rPr>
        <w:tab/>
      </w:r>
      <w:r>
        <w:rPr>
          <w:rFonts w:hint="default" w:ascii="Times New Roman" w:hAnsi="Times New Roman" w:cs="Times New Roman" w:eastAsiaTheme="minorEastAsia"/>
          <w:sz w:val="24"/>
          <w:lang w:val="en-US" w:eastAsia="zh-CN"/>
        </w:rPr>
        <w:t>12</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eastAsia="zh-CN"/>
        </w:rPr>
        <w:t>八</w:t>
      </w:r>
      <w:r>
        <w:rPr>
          <w:rFonts w:hint="default" w:ascii="Times New Roman" w:hAnsi="Times New Roman" w:cs="Times New Roman" w:eastAsiaTheme="minorEastAsia"/>
          <w:sz w:val="24"/>
          <w:lang w:eastAsia="zh-CN"/>
        </w:rPr>
        <w:t>、政府性基金预算支出决算情况说明</w:t>
      </w:r>
      <w:r>
        <w:rPr>
          <w:rFonts w:hint="default" w:ascii="Times New Roman" w:hAnsi="Times New Roman" w:cs="Times New Roman" w:eastAsiaTheme="minorEastAsia"/>
          <w:sz w:val="24"/>
          <w:lang w:eastAsia="zh-CN"/>
        </w:rPr>
        <w:tab/>
      </w:r>
      <w:r>
        <w:rPr>
          <w:rFonts w:hint="default" w:ascii="Times New Roman" w:hAnsi="Times New Roman" w:cs="Times New Roman" w:eastAsiaTheme="minorEastAsia"/>
          <w:sz w:val="24"/>
          <w:lang w:val="en-US" w:eastAsia="zh-CN"/>
        </w:rPr>
        <w:t>1</w:t>
      </w:r>
      <w:r>
        <w:rPr>
          <w:rFonts w:hint="eastAsia" w:ascii="Times New Roman" w:hAnsi="Times New Roman" w:cs="Times New Roman" w:eastAsiaTheme="minorEastAsia"/>
          <w:sz w:val="24"/>
          <w:lang w:val="en-US" w:eastAsia="zh-CN"/>
        </w:rPr>
        <w:t>4</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九</w:t>
      </w:r>
      <w:r>
        <w:rPr>
          <w:rFonts w:hint="default" w:ascii="Times New Roman" w:hAnsi="Times New Roman" w:cs="Times New Roman" w:eastAsiaTheme="minorEastAsia"/>
          <w:sz w:val="24"/>
          <w:lang w:val="en-US" w:eastAsia="zh-CN"/>
        </w:rPr>
        <w:t>、国有资本经营预算支出决算情况说明</w:t>
      </w:r>
      <w:r>
        <w:rPr>
          <w:rFonts w:hint="default" w:ascii="Times New Roman" w:hAnsi="Times New Roman" w:cs="Times New Roman" w:eastAsiaTheme="minorEastAsia"/>
          <w:sz w:val="24"/>
          <w:lang w:eastAsia="zh-CN"/>
        </w:rPr>
        <w:tab/>
      </w:r>
      <w:r>
        <w:rPr>
          <w:rFonts w:hint="default" w:ascii="Times New Roman" w:hAnsi="Times New Roman" w:cs="Times New Roman" w:eastAsiaTheme="minorEastAsia"/>
          <w:sz w:val="24"/>
          <w:lang w:val="en-US" w:eastAsia="zh-CN"/>
        </w:rPr>
        <w:t>1</w:t>
      </w:r>
      <w:r>
        <w:rPr>
          <w:rFonts w:hint="eastAsia" w:ascii="Times New Roman" w:hAnsi="Times New Roman" w:cs="Times New Roman" w:eastAsiaTheme="minorEastAsia"/>
          <w:sz w:val="24"/>
          <w:lang w:val="en-US" w:eastAsia="zh-CN"/>
        </w:rPr>
        <w:t>4</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十、其他重要事项的情况说明</w:t>
      </w:r>
      <w:r>
        <w:rPr>
          <w:rFonts w:hint="default" w:ascii="Times New Roman" w:hAnsi="Times New Roman" w:cs="Times New Roman" w:eastAsiaTheme="minorEastAsia"/>
          <w:sz w:val="24"/>
          <w:lang w:eastAsia="zh-CN"/>
        </w:rPr>
        <w:tab/>
      </w:r>
      <w:r>
        <w:rPr>
          <w:rFonts w:hint="default" w:ascii="Times New Roman" w:hAnsi="Times New Roman" w:cs="Times New Roman" w:eastAsiaTheme="minorEastAsia"/>
          <w:sz w:val="24"/>
          <w:lang w:val="en-US" w:eastAsia="zh-CN"/>
        </w:rPr>
        <w:t>1</w:t>
      </w:r>
      <w:r>
        <w:rPr>
          <w:rFonts w:hint="eastAsia" w:ascii="Times New Roman" w:hAnsi="Times New Roman" w:cs="Times New Roman" w:eastAsiaTheme="minorEastAsia"/>
          <w:sz w:val="24"/>
          <w:lang w:val="en-US" w:eastAsia="zh-CN"/>
        </w:rPr>
        <w:t>4</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eastAsia="zh-CN"/>
        </w:rPr>
        <w:t>第三部分 名词解释</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lang w:val="en-US" w:eastAsia="zh-CN"/>
        </w:rPr>
        <w:t>1</w:t>
      </w:r>
      <w:r>
        <w:rPr>
          <w:rFonts w:hint="eastAsia" w:ascii="Times New Roman" w:hAnsi="Times New Roman" w:cs="Times New Roman" w:eastAsiaTheme="minorEastAsia"/>
          <w:sz w:val="24"/>
          <w:lang w:val="en-US" w:eastAsia="zh-CN"/>
        </w:rPr>
        <w:t>6</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第四部分 附件</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lang w:val="en-US" w:eastAsia="zh-CN"/>
        </w:rPr>
        <w:t>1</w:t>
      </w:r>
      <w:r>
        <w:rPr>
          <w:rFonts w:hint="eastAsia" w:ascii="Times New Roman" w:hAnsi="Times New Roman" w:cs="Times New Roman" w:eastAsiaTheme="minorEastAsia"/>
          <w:sz w:val="24"/>
          <w:lang w:val="en-US" w:eastAsia="zh-CN"/>
        </w:rPr>
        <w:t>8</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附件</w:t>
      </w: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1</w:t>
      </w:r>
      <w:r>
        <w:rPr>
          <w:rFonts w:hint="eastAsia" w:ascii="Times New Roman" w:hAnsi="Times New Roman" w:cs="Times New Roman" w:eastAsiaTheme="minorEastAsia"/>
          <w:sz w:val="24"/>
          <w:lang w:val="en-US" w:eastAsia="zh-CN"/>
        </w:rPr>
        <w:t>8</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附件2</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lang w:val="en-US" w:eastAsia="zh-CN"/>
        </w:rPr>
        <w:t>2</w:t>
      </w:r>
      <w:r>
        <w:rPr>
          <w:rFonts w:hint="eastAsia" w:ascii="Times New Roman" w:hAnsi="Times New Roman" w:cs="Times New Roman" w:eastAsiaTheme="minorEastAsia"/>
          <w:sz w:val="24"/>
          <w:lang w:val="en-US" w:eastAsia="zh-CN"/>
        </w:rPr>
        <w:t>3</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4"/>
          <w:lang w:val="en-US" w:eastAsia="zh-CN"/>
        </w:rPr>
        <w:t>附件3</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lang w:val="en-US" w:eastAsia="zh-CN"/>
        </w:rPr>
        <w:t>2</w:t>
      </w:r>
      <w:r>
        <w:rPr>
          <w:rFonts w:hint="eastAsia" w:ascii="Times New Roman" w:hAnsi="Times New Roman" w:cs="Times New Roman" w:eastAsiaTheme="minorEastAsia"/>
          <w:sz w:val="24"/>
          <w:lang w:val="en-US" w:eastAsia="zh-CN"/>
        </w:rPr>
        <w:t>4</w:t>
      </w:r>
    </w:p>
    <w:p>
      <w:pPr>
        <w:pStyle w:val="13"/>
        <w:keepNext w:val="0"/>
        <w:keepLines w:val="0"/>
        <w:pageBreakBefore w:val="0"/>
        <w:widowControl w:val="0"/>
        <w:kinsoku/>
        <w:wordWrap/>
        <w:overflowPunct/>
        <w:topLinePunct w:val="0"/>
        <w:autoSpaceDE/>
        <w:autoSpaceDN/>
        <w:bidi w:val="0"/>
        <w:adjustRightInd/>
        <w:snapToGrid w:val="0"/>
        <w:spacing w:before="0" w:line="440" w:lineRule="exact"/>
        <w:ind w:firstLine="0" w:firstLineChars="0"/>
        <w:jc w:val="left"/>
        <w:textAlignment w:val="auto"/>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rPr>
        <w:t>第五部分 附表</w:t>
      </w:r>
      <w:r>
        <w:rPr>
          <w:rFonts w:hint="default" w:ascii="Times New Roman" w:hAnsi="Times New Roman" w:cs="Times New Roman" w:eastAsiaTheme="minorEastAsia"/>
          <w:sz w:val="24"/>
        </w:rPr>
        <w:tab/>
      </w:r>
      <w:r>
        <w:rPr>
          <w:rFonts w:hint="default" w:ascii="Times New Roman" w:hAnsi="Times New Roman" w:cs="Times New Roman" w:eastAsiaTheme="minorEastAsia"/>
          <w:sz w:val="24"/>
        </w:rPr>
        <w:t>2</w:t>
      </w:r>
      <w:r>
        <w:rPr>
          <w:rFonts w:hint="eastAsia" w:ascii="Times New Roman" w:hAnsi="Times New Roman" w:cs="Times New Roman" w:eastAsiaTheme="minorEastAsia"/>
          <w:sz w:val="24"/>
          <w:lang w:val="en-US" w:eastAsia="zh-CN"/>
        </w:rPr>
        <w:t>5</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一、</w:t>
      </w:r>
      <w:r>
        <w:rPr>
          <w:rFonts w:hint="default" w:ascii="Times New Roman" w:hAnsi="Times New Roman" w:cs="Times New Roman" w:eastAsiaTheme="minorEastAsia"/>
          <w:sz w:val="24"/>
          <w:lang w:eastAsia="zh-CN"/>
        </w:rPr>
        <w:t>收入支出决算总表</w:t>
      </w:r>
    </w:p>
    <w:p>
      <w:pPr>
        <w:pStyle w:val="13"/>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二、</w:t>
      </w:r>
      <w:r>
        <w:rPr>
          <w:rFonts w:hint="default" w:ascii="Times New Roman" w:hAnsi="Times New Roman" w:cs="Times New Roman" w:eastAsiaTheme="minorEastAsia"/>
          <w:sz w:val="24"/>
          <w:lang w:eastAsia="zh-CN"/>
        </w:rPr>
        <w:t>收入决算表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三、</w:t>
      </w:r>
      <w:r>
        <w:rPr>
          <w:rFonts w:hint="default" w:ascii="Times New Roman" w:hAnsi="Times New Roman" w:cs="Times New Roman" w:eastAsiaTheme="minorEastAsia"/>
          <w:sz w:val="24"/>
          <w:lang w:eastAsia="zh-CN"/>
        </w:rPr>
        <w:t>支出决算表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四、财政拨款收入支出决算总表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五、财政拨款支出决算明细表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六、一般公共预算财政拨款支出决算表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七、一般公共预算财政拨款支出决算明细表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八、一般公共预算财政拨款基本支出决算表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九、一般公共预算财政拨款项目支出决算表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十、政府性基金预算财政拨款收入支出决算表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十一、国有资本经营预算财政拨款收入支出决算表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十二、国有资本经营预算财政拨款支出决算表</w:t>
      </w:r>
    </w:p>
    <w:p>
      <w:pPr>
        <w:pStyle w:val="13"/>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十三、财政拨款“三公”经费支出决算表</w:t>
      </w:r>
    </w:p>
    <w:p>
      <w:pPr>
        <w:pStyle w:val="13"/>
        <w:pageBreakBefore w:val="0"/>
        <w:kinsoku/>
        <w:wordWrap/>
        <w:overflowPunct/>
        <w:topLinePunct w:val="0"/>
        <w:bidi w:val="0"/>
        <w:adjustRightInd w:val="0"/>
        <w:snapToGrid w:val="0"/>
        <w:spacing w:before="0" w:line="440" w:lineRule="exact"/>
        <w:jc w:val="left"/>
        <w:textAlignment w:val="auto"/>
        <w:rPr>
          <w:rFonts w:hint="default" w:ascii="Times New Roman" w:hAnsi="Times New Roman" w:cs="Times New Roman"/>
          <w:sz w:val="24"/>
        </w:rPr>
      </w:pPr>
    </w:p>
    <w:p>
      <w:pPr>
        <w:pageBreakBefore w:val="0"/>
        <w:widowControl/>
        <w:kinsoku/>
        <w:wordWrap/>
        <w:overflowPunct/>
        <w:topLinePunct w:val="0"/>
        <w:bidi w:val="0"/>
        <w:spacing w:line="440" w:lineRule="exact"/>
        <w:ind w:firstLine="481" w:firstLineChars="200"/>
        <w:jc w:val="left"/>
        <w:textAlignment w:val="auto"/>
        <w:rPr>
          <w:rFonts w:hint="default" w:ascii="Times New Roman" w:hAnsi="Times New Roman" w:eastAsia="仿宋" w:cs="Times New Roman"/>
          <w:bCs/>
          <w:kern w:val="44"/>
          <w:sz w:val="24"/>
          <w:highlight w:val="yellow"/>
        </w:rPr>
      </w:pPr>
      <w:bookmarkStart w:id="7" w:name="_Toc15377196"/>
      <w:bookmarkStart w:id="8" w:name="_Toc15396599"/>
      <w:r>
        <w:rPr>
          <w:rFonts w:hint="default" w:ascii="Times New Roman" w:hAnsi="Times New Roman" w:eastAsia="仿宋" w:cs="Times New Roman"/>
          <w:b/>
          <w:sz w:val="24"/>
          <w:highlight w:val="yellow"/>
        </w:rPr>
        <w:br w:type="page"/>
      </w:r>
    </w:p>
    <w:p>
      <w:pPr>
        <w:pStyle w:val="3"/>
        <w:pageBreakBefore w:val="0"/>
        <w:kinsoku/>
        <w:wordWrap/>
        <w:overflowPunct/>
        <w:topLinePunct w:val="0"/>
        <w:bidi w:val="0"/>
        <w:ind w:firstLine="880" w:firstLineChars="200"/>
        <w:jc w:val="center"/>
        <w:textAlignment w:val="auto"/>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b w:val="0"/>
        </w:rPr>
        <w:t xml:space="preserve">第一部分 </w:t>
      </w:r>
      <w:r>
        <w:rPr>
          <w:rStyle w:val="28"/>
          <w:rFonts w:hint="eastAsia" w:ascii="方正小标宋_GBK" w:hAnsi="方正小标宋_GBK" w:eastAsia="方正小标宋_GBK" w:cs="方正小标宋_GBK"/>
          <w:b w:val="0"/>
          <w:bCs w:val="0"/>
        </w:rPr>
        <w:t>部门概况</w:t>
      </w:r>
      <w:bookmarkEnd w:id="7"/>
      <w:bookmarkEnd w:id="8"/>
    </w:p>
    <w:p>
      <w:pPr>
        <w:pStyle w:val="4"/>
        <w:pageBreakBefore w:val="0"/>
        <w:numPr>
          <w:ilvl w:val="0"/>
          <w:numId w:val="0"/>
        </w:numPr>
        <w:kinsoku/>
        <w:wordWrap/>
        <w:overflowPunct/>
        <w:topLinePunct w:val="0"/>
        <w:bidi w:val="0"/>
        <w:ind w:firstLine="640" w:firstLineChars="200"/>
        <w:textAlignment w:val="auto"/>
        <w:rPr>
          <w:rFonts w:hint="default" w:ascii="Times New Roman" w:hAnsi="Times New Roman" w:eastAsia="方正黑体_GBK" w:cs="Times New Roman"/>
          <w:b w:val="0"/>
          <w:bCs/>
          <w:color w:val="000000"/>
          <w:kern w:val="2"/>
          <w:sz w:val="32"/>
          <w:szCs w:val="32"/>
          <w:highlight w:val="none"/>
          <w:lang w:val="en-US" w:eastAsia="zh-CN" w:bidi="ar-SA"/>
        </w:rPr>
      </w:pPr>
      <w:bookmarkStart w:id="9" w:name="_Toc15396600"/>
      <w:bookmarkStart w:id="10" w:name="_Toc15377197"/>
      <w:r>
        <w:rPr>
          <w:rFonts w:hint="default" w:ascii="Times New Roman" w:hAnsi="Times New Roman" w:eastAsia="方正黑体_GBK" w:cs="Times New Roman"/>
          <w:b w:val="0"/>
          <w:bCs/>
          <w:color w:val="000000"/>
          <w:kern w:val="2"/>
          <w:sz w:val="32"/>
          <w:szCs w:val="32"/>
          <w:highlight w:val="none"/>
          <w:lang w:val="en-US" w:eastAsia="zh-CN" w:bidi="ar-SA"/>
        </w:rPr>
        <w:t>一、基本职能</w:t>
      </w:r>
      <w:bookmarkEnd w:id="9"/>
      <w:bookmarkEnd w:id="10"/>
      <w:bookmarkStart w:id="11" w:name="_Toc15378445"/>
      <w:bookmarkStart w:id="12" w:name="_Toc15377198"/>
    </w:p>
    <w:bookmarkEnd w:id="11"/>
    <w:bookmarkEnd w:id="12"/>
    <w:p>
      <w:pPr>
        <w:pStyle w:val="6"/>
        <w:pageBreakBefore w:val="0"/>
        <w:kinsoku/>
        <w:wordWrap/>
        <w:overflowPunct/>
        <w:topLinePunct w:val="0"/>
        <w:bidi w:val="0"/>
        <w:adjustRightInd w:val="0"/>
        <w:snapToGrid w:val="0"/>
        <w:spacing w:before="93" w:line="600" w:lineRule="exact"/>
        <w:ind w:firstLine="640" w:firstLineChars="200"/>
        <w:textAlignment w:val="auto"/>
        <w:outlineLvl w:val="2"/>
        <w:rPr>
          <w:rFonts w:hint="eastAsia" w:ascii="Times New Roman" w:hAnsi="Times New Roman" w:eastAsia="方正仿宋_GBK" w:cs="Times New Roman"/>
          <w:bCs/>
          <w:color w:val="000000"/>
          <w:sz w:val="32"/>
          <w:szCs w:val="32"/>
          <w:highlight w:val="yellow"/>
          <w:lang w:val="en-US" w:eastAsia="zh-CN"/>
        </w:rPr>
      </w:pPr>
      <w:r>
        <w:rPr>
          <w:rFonts w:hint="default" w:ascii="Times New Roman" w:hAnsi="Times New Roman" w:cs="Times New Roman"/>
          <w:bCs/>
          <w:sz w:val="32"/>
          <w:szCs w:val="32"/>
        </w:rPr>
        <w:t>我单位属于事业单位，承担实施公共资源交易服务相关法律、法规和政策，为各类公共资源交易提供交易活动场地、设施、信息、政策、咨询等具体服务；制订公共资源交易管理制度、工作流程并组织实施；承担全县政府投资工程建设项目的招标实施和服务工作；承担全县政府采购实施和服务工作；承担全县国有土地、矿产资源交易实施和服务工作；承担全县国有资产交易实施和服务工作；负责交易大厅、开评标场所秩序的维护；负责公共资源交易网络的日常运行和维护；承担上级交办的其他工作。</w:t>
      </w:r>
    </w:p>
    <w:p>
      <w:pPr>
        <w:pStyle w:val="4"/>
        <w:pageBreakBefore w:val="0"/>
        <w:numPr>
          <w:ilvl w:val="0"/>
          <w:numId w:val="1"/>
        </w:numPr>
        <w:kinsoku/>
        <w:wordWrap/>
        <w:overflowPunct/>
        <w:topLinePunct w:val="0"/>
        <w:bidi w:val="0"/>
        <w:ind w:firstLine="640" w:firstLineChars="200"/>
        <w:textAlignment w:val="auto"/>
        <w:rPr>
          <w:rFonts w:hint="default" w:ascii="Times New Roman" w:hAnsi="Times New Roman" w:eastAsia="方正黑体_GBK" w:cs="Times New Roman"/>
          <w:b w:val="0"/>
          <w:bCs/>
          <w:color w:val="000000"/>
          <w:kern w:val="2"/>
          <w:sz w:val="32"/>
          <w:szCs w:val="32"/>
          <w:highlight w:val="none"/>
          <w:lang w:val="en-US" w:eastAsia="zh-CN" w:bidi="ar-SA"/>
        </w:rPr>
      </w:pPr>
      <w:bookmarkStart w:id="13" w:name="_Toc15396601"/>
      <w:bookmarkStart w:id="14" w:name="_Toc15377200"/>
      <w:r>
        <w:rPr>
          <w:rFonts w:hint="default" w:ascii="Times New Roman" w:hAnsi="Times New Roman" w:eastAsia="方正黑体_GBK" w:cs="Times New Roman"/>
          <w:b w:val="0"/>
          <w:bCs/>
          <w:color w:val="000000"/>
          <w:kern w:val="2"/>
          <w:sz w:val="32"/>
          <w:szCs w:val="32"/>
          <w:highlight w:val="none"/>
          <w:lang w:val="en-US" w:eastAsia="zh-CN" w:bidi="ar-SA"/>
        </w:rPr>
        <w:t xml:space="preserve"> 机构设置</w:t>
      </w:r>
      <w:bookmarkEnd w:id="13"/>
      <w:bookmarkEnd w:id="14"/>
    </w:p>
    <w:p>
      <w:pPr>
        <w:pStyle w:val="4"/>
        <w:pageBreakBefore w:val="0"/>
        <w:kinsoku/>
        <w:wordWrap/>
        <w:overflowPunct/>
        <w:topLinePunct w:val="0"/>
        <w:bidi w:val="0"/>
        <w:ind w:firstLine="640" w:firstLineChars="200"/>
        <w:textAlignment w:val="auto"/>
        <w:rPr>
          <w:rFonts w:hint="eastAsia" w:ascii="Times New Roman" w:hAnsi="Times New Roman" w:eastAsia="方正仿宋_GBK" w:cs="Times New Roman"/>
          <w:b w:val="0"/>
          <w:color w:val="000000"/>
          <w:highlight w:val="yellow"/>
          <w:lang w:val="en-US" w:eastAsia="zh-CN"/>
        </w:rPr>
      </w:pPr>
      <w:r>
        <w:rPr>
          <w:rFonts w:hint="default" w:ascii="Times New Roman" w:hAnsi="Times New Roman" w:eastAsia="方正仿宋_GBK" w:cs="Times New Roman"/>
          <w:b w:val="0"/>
          <w:color w:val="000000"/>
        </w:rPr>
        <w:t>我单位为公益一类事业单位，无下属单位。本单位</w:t>
      </w:r>
      <w:r>
        <w:rPr>
          <w:rFonts w:hint="eastAsia" w:ascii="Times New Roman" w:hAnsi="Times New Roman" w:eastAsia="方正仿宋_GBK" w:cs="Times New Roman"/>
          <w:b w:val="0"/>
          <w:color w:val="000000"/>
          <w:lang w:eastAsia="zh-CN"/>
        </w:rPr>
        <w:t>有</w:t>
      </w:r>
      <w:r>
        <w:rPr>
          <w:rFonts w:hint="default" w:ascii="Times New Roman" w:hAnsi="Times New Roman" w:eastAsia="方正仿宋_GBK" w:cs="Times New Roman"/>
          <w:b w:val="0"/>
          <w:color w:val="000000"/>
        </w:rPr>
        <w:t>事业</w:t>
      </w:r>
      <w:r>
        <w:rPr>
          <w:rFonts w:hint="default" w:ascii="Times New Roman" w:hAnsi="Times New Roman" w:eastAsia="方正仿宋_GBK" w:cs="Times New Roman"/>
          <w:b w:val="0"/>
          <w:color w:val="000000"/>
          <w:highlight w:val="none"/>
        </w:rPr>
        <w:t>编制</w:t>
      </w:r>
      <w:r>
        <w:rPr>
          <w:rFonts w:hint="eastAsia" w:ascii="Times New Roman" w:hAnsi="Times New Roman" w:eastAsia="方正仿宋_GBK" w:cs="Times New Roman"/>
          <w:b w:val="0"/>
          <w:color w:val="000000"/>
          <w:highlight w:val="none"/>
          <w:lang w:val="en-US" w:eastAsia="zh-CN"/>
        </w:rPr>
        <w:t>19</w:t>
      </w:r>
      <w:r>
        <w:rPr>
          <w:rFonts w:hint="default" w:ascii="Times New Roman" w:hAnsi="Times New Roman" w:eastAsia="方正仿宋_GBK" w:cs="Times New Roman"/>
          <w:b w:val="0"/>
          <w:color w:val="000000"/>
          <w:highlight w:val="none"/>
        </w:rPr>
        <w:t>人，</w:t>
      </w:r>
      <w:r>
        <w:rPr>
          <w:rFonts w:hint="eastAsia" w:ascii="Times New Roman" w:hAnsi="Times New Roman" w:eastAsia="方正仿宋_GBK" w:cs="Times New Roman"/>
          <w:b w:val="0"/>
          <w:color w:val="000000"/>
          <w:highlight w:val="none"/>
          <w:lang w:eastAsia="zh-CN"/>
        </w:rPr>
        <w:t>另有高层次引进人才</w:t>
      </w:r>
      <w:r>
        <w:rPr>
          <w:rFonts w:hint="eastAsia" w:ascii="Times New Roman" w:hAnsi="Times New Roman" w:eastAsia="方正仿宋_GBK" w:cs="Times New Roman"/>
          <w:b w:val="0"/>
          <w:color w:val="000000"/>
          <w:highlight w:val="none"/>
          <w:lang w:val="en-US" w:eastAsia="zh-CN"/>
        </w:rPr>
        <w:t>2人，共有21人，单位临时聘用2人。</w:t>
      </w:r>
    </w:p>
    <w:p>
      <w:pPr>
        <w:pageBreakBefore w:val="0"/>
        <w:widowControl/>
        <w:kinsoku/>
        <w:wordWrap/>
        <w:overflowPunct/>
        <w:topLinePunct w:val="0"/>
        <w:bidi w:val="0"/>
        <w:ind w:firstLine="880" w:firstLineChars="200"/>
        <w:jc w:val="left"/>
        <w:textAlignment w:val="auto"/>
        <w:rPr>
          <w:rStyle w:val="28"/>
          <w:rFonts w:hint="default" w:ascii="Times New Roman" w:hAnsi="Times New Roman" w:eastAsia="黑体" w:cs="Times New Roman"/>
          <w:b w:val="0"/>
          <w:bCs w:val="0"/>
        </w:rPr>
      </w:pPr>
      <w:bookmarkStart w:id="15" w:name="_Toc15377204"/>
      <w:bookmarkStart w:id="16" w:name="_Toc15396602"/>
    </w:p>
    <w:p>
      <w:pPr>
        <w:pageBreakBefore w:val="0"/>
        <w:widowControl/>
        <w:kinsoku/>
        <w:wordWrap/>
        <w:overflowPunct/>
        <w:topLinePunct w:val="0"/>
        <w:bidi w:val="0"/>
        <w:ind w:firstLine="880" w:firstLineChars="200"/>
        <w:jc w:val="left"/>
        <w:textAlignment w:val="auto"/>
        <w:rPr>
          <w:rStyle w:val="28"/>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8"/>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8"/>
          <w:rFonts w:hint="default" w:ascii="Times New Roman" w:hAnsi="Times New Roman" w:eastAsia="黑体" w:cs="Times New Roman"/>
          <w:b w:val="0"/>
          <w:bCs w:val="0"/>
        </w:rPr>
      </w:pPr>
    </w:p>
    <w:p>
      <w:pPr>
        <w:pageBreakBefore w:val="0"/>
        <w:widowControl/>
        <w:kinsoku/>
        <w:wordWrap/>
        <w:overflowPunct/>
        <w:topLinePunct w:val="0"/>
        <w:bidi w:val="0"/>
        <w:jc w:val="left"/>
        <w:textAlignment w:val="auto"/>
        <w:rPr>
          <w:rStyle w:val="28"/>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8"/>
          <w:rFonts w:hint="eastAsia" w:ascii="方正小标宋_GBK" w:hAnsi="方正小标宋_GBK" w:eastAsia="方正小标宋_GBK" w:cs="方正小标宋_GBK"/>
          <w:b w:val="0"/>
          <w:bCs w:val="0"/>
        </w:rPr>
      </w:pPr>
      <w:r>
        <w:rPr>
          <w:rStyle w:val="28"/>
          <w:rFonts w:hint="eastAsia" w:ascii="方正小标宋_GBK" w:hAnsi="方正小标宋_GBK" w:eastAsia="方正小标宋_GBK" w:cs="方正小标宋_GBK"/>
          <w:b w:val="0"/>
          <w:bCs w:val="0"/>
        </w:rPr>
        <w:t xml:space="preserve">第二部分 </w:t>
      </w:r>
      <w:r>
        <w:rPr>
          <w:rStyle w:val="28"/>
          <w:rFonts w:hint="eastAsia" w:ascii="方正小标宋_GBK" w:hAnsi="方正小标宋_GBK" w:eastAsia="方正小标宋_GBK" w:cs="方正小标宋_GBK"/>
          <w:b w:val="0"/>
          <w:bCs w:val="0"/>
          <w:lang w:eastAsia="zh-CN"/>
        </w:rPr>
        <w:t>2023</w:t>
      </w:r>
      <w:r>
        <w:rPr>
          <w:rStyle w:val="28"/>
          <w:rFonts w:hint="eastAsia" w:ascii="方正小标宋_GBK" w:hAnsi="方正小标宋_GBK" w:eastAsia="方正小标宋_GBK" w:cs="方正小标宋_GBK"/>
          <w:b w:val="0"/>
          <w:bCs w:val="0"/>
        </w:rPr>
        <w:t>年度部门决算情况说明</w:t>
      </w:r>
      <w:bookmarkEnd w:id="15"/>
      <w:bookmarkEnd w:id="16"/>
    </w:p>
    <w:p>
      <w:pPr>
        <w:pageBreakBefore w:val="0"/>
        <w:kinsoku/>
        <w:wordWrap/>
        <w:overflowPunct/>
        <w:topLinePunct w:val="0"/>
        <w:bidi w:val="0"/>
        <w:ind w:firstLine="420" w:firstLineChars="200"/>
        <w:textAlignment w:val="auto"/>
        <w:rPr>
          <w:rFonts w:hint="default" w:ascii="Times New Roman" w:hAnsi="Times New Roman" w:cs="Times New Roman"/>
        </w:rPr>
      </w:pP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bookmarkStart w:id="17" w:name="_Toc15377205"/>
      <w:bookmarkStart w:id="18" w:name="_Toc15396603"/>
      <w:r>
        <w:rPr>
          <w:rFonts w:hint="default" w:ascii="Times New Roman" w:hAnsi="Times New Roman" w:eastAsia="方正黑体_GBK" w:cs="Times New Roman"/>
          <w:bCs/>
          <w:color w:val="000000"/>
          <w:sz w:val="32"/>
          <w:szCs w:val="32"/>
          <w:highlight w:val="none"/>
          <w:lang w:eastAsia="zh-CN"/>
        </w:rPr>
        <w:t>一、</w:t>
      </w:r>
      <w:r>
        <w:rPr>
          <w:rFonts w:hint="default" w:ascii="Times New Roman" w:hAnsi="Times New Roman" w:eastAsia="方正黑体_GBK" w:cs="Times New Roman"/>
          <w:bCs/>
          <w:color w:val="000000"/>
          <w:sz w:val="32"/>
          <w:szCs w:val="32"/>
          <w:highlight w:val="none"/>
        </w:rPr>
        <w:t>收入支出决算总体情况说明</w:t>
      </w:r>
      <w:bookmarkEnd w:id="17"/>
      <w:bookmarkEnd w:id="18"/>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b w:val="0"/>
          <w:color w:val="000000"/>
          <w:highlight w:val="none"/>
          <w:lang w:eastAsia="zh-CN"/>
        </w:rPr>
      </w:pPr>
      <w:r>
        <w:rPr>
          <w:rFonts w:hint="eastAsia" w:eastAsia="方正仿宋_GBK" w:cs="Times New Roman"/>
          <w:color w:val="000000"/>
          <w:sz w:val="32"/>
          <w:szCs w:val="32"/>
          <w:lang w:eastAsia="zh-CN"/>
        </w:rPr>
        <w:t>2023</w:t>
      </w:r>
      <w:r>
        <w:rPr>
          <w:rFonts w:hint="default" w:ascii="Times New Roman" w:hAnsi="Times New Roman" w:eastAsia="方正仿宋_GBK" w:cs="Times New Roman"/>
          <w:color w:val="000000"/>
          <w:sz w:val="32"/>
          <w:szCs w:val="32"/>
        </w:rPr>
        <w:t>年度收入总计</w:t>
      </w:r>
      <w:r>
        <w:rPr>
          <w:rFonts w:hint="eastAsia" w:eastAsia="方正仿宋_GBK" w:cs="Times New Roman"/>
          <w:color w:val="000000"/>
          <w:sz w:val="32"/>
          <w:szCs w:val="32"/>
          <w:lang w:val="en-US" w:eastAsia="zh-CN"/>
        </w:rPr>
        <w:t>490.41</w:t>
      </w:r>
      <w:r>
        <w:rPr>
          <w:rFonts w:hint="default" w:ascii="Times New Roman" w:hAnsi="Times New Roman" w:eastAsia="方正仿宋_GBK" w:cs="Times New Roman"/>
          <w:color w:val="000000"/>
          <w:sz w:val="32"/>
          <w:szCs w:val="32"/>
        </w:rPr>
        <w:t>万元，支出总计</w:t>
      </w:r>
      <w:r>
        <w:rPr>
          <w:rFonts w:hint="default" w:ascii="Times New Roman" w:hAnsi="Times New Roman" w:eastAsia="方正仿宋_GBK" w:cs="Times New Roman"/>
          <w:color w:val="000000"/>
          <w:sz w:val="32"/>
          <w:szCs w:val="32"/>
          <w:lang w:val="en-US" w:eastAsia="zh-CN"/>
        </w:rPr>
        <w:t>4</w:t>
      </w:r>
      <w:r>
        <w:rPr>
          <w:rFonts w:hint="eastAsia" w:eastAsia="方正仿宋_GBK" w:cs="Times New Roman"/>
          <w:color w:val="000000"/>
          <w:sz w:val="32"/>
          <w:szCs w:val="32"/>
          <w:lang w:val="en-US" w:eastAsia="zh-CN"/>
        </w:rPr>
        <w:t>90.41</w:t>
      </w:r>
      <w:r>
        <w:rPr>
          <w:rFonts w:hint="default" w:ascii="Times New Roman" w:hAnsi="Times New Roman" w:eastAsia="方正仿宋_GBK" w:cs="Times New Roman"/>
          <w:color w:val="000000"/>
          <w:sz w:val="32"/>
          <w:szCs w:val="32"/>
        </w:rPr>
        <w:t>万元。与202</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年相比，收入总计</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32.33</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7.06</w:t>
      </w:r>
      <w:r>
        <w:rPr>
          <w:rFonts w:hint="default" w:ascii="Times New Roman" w:hAnsi="Times New Roman" w:eastAsia="方正仿宋_GBK" w:cs="Times New Roman"/>
          <w:color w:val="000000"/>
          <w:sz w:val="32"/>
          <w:szCs w:val="32"/>
        </w:rPr>
        <w:t>%，支出总计</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32.33</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7.06</w:t>
      </w:r>
      <w:r>
        <w:rPr>
          <w:rFonts w:hint="default" w:ascii="Times New Roman" w:hAnsi="Times New Roman" w:eastAsia="方正仿宋_GBK" w:cs="Times New Roman"/>
          <w:color w:val="000000"/>
          <w:sz w:val="32"/>
          <w:szCs w:val="32"/>
        </w:rPr>
        <w:t>%。主要变动原因是</w:t>
      </w:r>
      <w:r>
        <w:rPr>
          <w:rFonts w:hint="eastAsia" w:ascii="Times New Roman" w:hAnsi="Times New Roman" w:eastAsia="方正仿宋_GBK" w:cs="Times New Roman"/>
          <w:color w:val="000000"/>
          <w:sz w:val="32"/>
          <w:szCs w:val="32"/>
          <w:lang w:eastAsia="zh-CN"/>
        </w:rPr>
        <w:t>2023</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eastAsia="zh-CN"/>
        </w:rPr>
        <w:t>单位有新进人员以及邻水县“示范交易中心”创建回头看升级改造工程，费用增加</w:t>
      </w:r>
      <w:r>
        <w:rPr>
          <w:rFonts w:hint="default" w:ascii="Times New Roman" w:hAnsi="Times New Roman" w:eastAsia="方正仿宋_GBK" w:cs="Times New Roman"/>
          <w:color w:val="000000"/>
          <w:sz w:val="32"/>
          <w:szCs w:val="32"/>
        </w:rPr>
        <w:t>。</w:t>
      </w: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drawing>
          <wp:anchor distT="0" distB="0" distL="114300" distR="114300" simplePos="0" relativeHeight="251659264" behindDoc="1" locked="0" layoutInCell="1" allowOverlap="1">
            <wp:simplePos x="0" y="0"/>
            <wp:positionH relativeFrom="column">
              <wp:posOffset>329565</wp:posOffset>
            </wp:positionH>
            <wp:positionV relativeFrom="paragraph">
              <wp:posOffset>217170</wp:posOffset>
            </wp:positionV>
            <wp:extent cx="4810760" cy="3978910"/>
            <wp:effectExtent l="5080" t="4445" r="15240" b="95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bookmarkStart w:id="19" w:name="_Toc15377206"/>
      <w:bookmarkStart w:id="20" w:name="_Toc15396604"/>
    </w:p>
    <w:p>
      <w:pPr>
        <w:pageBreakBefore w:val="0"/>
        <w:kinsoku/>
        <w:wordWrap/>
        <w:overflowPunct/>
        <w:topLinePunct w:val="0"/>
        <w:bidi w:val="0"/>
        <w:spacing w:line="6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（图1：收、支决算总计变动情况图）</w:t>
      </w: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r>
        <w:rPr>
          <w:rFonts w:hint="default" w:ascii="Times New Roman" w:hAnsi="Times New Roman" w:eastAsia="方正黑体_GBK" w:cs="Times New Roman"/>
          <w:bCs/>
          <w:color w:val="000000"/>
          <w:sz w:val="32"/>
          <w:szCs w:val="32"/>
          <w:highlight w:val="none"/>
        </w:rPr>
        <w:t>二、收入决算情况说明</w:t>
      </w:r>
      <w:bookmarkEnd w:id="19"/>
      <w:bookmarkEnd w:id="20"/>
    </w:p>
    <w:p>
      <w:pPr>
        <w:pStyle w:val="4"/>
        <w:pageBreakBefore w:val="0"/>
        <w:kinsoku/>
        <w:wordWrap/>
        <w:overflowPunct/>
        <w:topLinePunct w:val="0"/>
        <w:bidi w:val="0"/>
        <w:ind w:firstLine="640" w:firstLineChars="200"/>
        <w:textAlignment w:val="auto"/>
        <w:rPr>
          <w:rFonts w:hint="eastAsia" w:ascii="Times New Roman" w:hAnsi="Times New Roman" w:eastAsia="方正仿宋_GBK" w:cs="Times New Roman"/>
          <w:b w:val="0"/>
          <w:color w:val="000000"/>
          <w:lang w:val="en-US" w:eastAsia="zh-CN"/>
        </w:rPr>
      </w:pPr>
      <w:r>
        <w:rPr>
          <w:rFonts w:hint="eastAsia" w:ascii="Times New Roman" w:hAnsi="Times New Roman" w:eastAsia="方正仿宋_GBK" w:cs="Times New Roman"/>
          <w:b w:val="0"/>
          <w:color w:val="000000"/>
          <w:lang w:eastAsia="zh-CN"/>
        </w:rPr>
        <w:t>2023</w:t>
      </w:r>
      <w:r>
        <w:rPr>
          <w:rFonts w:hint="default" w:ascii="Times New Roman" w:hAnsi="Times New Roman" w:eastAsia="方正仿宋_GBK" w:cs="Times New Roman"/>
          <w:b w:val="0"/>
          <w:color w:val="000000"/>
        </w:rPr>
        <w:t>年本年收入合计</w:t>
      </w:r>
      <w:r>
        <w:rPr>
          <w:rFonts w:hint="default" w:ascii="Times New Roman" w:hAnsi="Times New Roman" w:eastAsia="方正仿宋_GBK" w:cs="Times New Roman"/>
          <w:b w:val="0"/>
          <w:color w:val="000000"/>
          <w:lang w:val="en-US" w:eastAsia="zh-CN"/>
        </w:rPr>
        <w:t>4</w:t>
      </w:r>
      <w:r>
        <w:rPr>
          <w:rFonts w:hint="eastAsia" w:ascii="Times New Roman" w:hAnsi="Times New Roman" w:eastAsia="方正仿宋_GBK" w:cs="Times New Roman"/>
          <w:b w:val="0"/>
          <w:color w:val="000000"/>
          <w:lang w:val="en-US" w:eastAsia="zh-CN"/>
        </w:rPr>
        <w:t>90.41</w:t>
      </w:r>
      <w:r>
        <w:rPr>
          <w:rFonts w:hint="default" w:ascii="Times New Roman" w:hAnsi="Times New Roman" w:eastAsia="方正仿宋_GBK" w:cs="Times New Roman"/>
          <w:b w:val="0"/>
          <w:color w:val="000000"/>
        </w:rPr>
        <w:t>万元，其中：一般公共预算财政拨款收入</w:t>
      </w:r>
      <w:r>
        <w:rPr>
          <w:rFonts w:hint="default" w:ascii="Times New Roman" w:hAnsi="Times New Roman" w:eastAsia="方正仿宋_GBK" w:cs="Times New Roman"/>
          <w:b w:val="0"/>
          <w:color w:val="000000"/>
          <w:lang w:val="en-US" w:eastAsia="zh-CN"/>
        </w:rPr>
        <w:t>4</w:t>
      </w:r>
      <w:r>
        <w:rPr>
          <w:rFonts w:hint="eastAsia" w:ascii="Times New Roman" w:hAnsi="Times New Roman" w:eastAsia="方正仿宋_GBK" w:cs="Times New Roman"/>
          <w:b w:val="0"/>
          <w:color w:val="000000"/>
          <w:lang w:val="en-US" w:eastAsia="zh-CN"/>
        </w:rPr>
        <w:t>90.41</w:t>
      </w:r>
      <w:r>
        <w:rPr>
          <w:rFonts w:hint="default" w:ascii="Times New Roman" w:hAnsi="Times New Roman" w:eastAsia="方正仿宋_GBK" w:cs="Times New Roman"/>
          <w:b w:val="0"/>
          <w:color w:val="000000"/>
        </w:rPr>
        <w:t>万元，占100%</w:t>
      </w:r>
      <w:r>
        <w:rPr>
          <w:rFonts w:hint="eastAsia" w:ascii="Times New Roman" w:hAnsi="Times New Roman" w:eastAsia="方正仿宋_GBK" w:cs="Times New Roman"/>
          <w:b w:val="0"/>
          <w:color w:val="000000"/>
          <w:lang w:eastAsia="zh-CN"/>
        </w:rPr>
        <w:t>。</w:t>
      </w:r>
    </w:p>
    <w:p>
      <w:pPr>
        <w:pStyle w:val="6"/>
        <w:pageBreakBefore w:val="0"/>
        <w:kinsoku/>
        <w:wordWrap/>
        <w:overflowPunct/>
        <w:topLinePunct w:val="0"/>
        <w:bidi w:val="0"/>
        <w:spacing w:before="93"/>
        <w:ind w:firstLine="600" w:firstLineChars="200"/>
        <w:textAlignment w:val="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仿宋"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（图2：收入决算结构图）</w:t>
      </w: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rPr>
      </w:pPr>
      <w:bookmarkStart w:id="21" w:name="_Toc15377207"/>
      <w:bookmarkStart w:id="22" w:name="_Toc15396605"/>
      <w:r>
        <w:rPr>
          <w:rFonts w:hint="default" w:ascii="Times New Roman" w:hAnsi="Times New Roman" w:eastAsia="方正黑体_GBK" w:cs="Times New Roman"/>
          <w:bCs/>
          <w:color w:val="000000"/>
          <w:sz w:val="32"/>
          <w:szCs w:val="32"/>
          <w:highlight w:val="none"/>
        </w:rPr>
        <w:t>三、</w:t>
      </w:r>
      <w:r>
        <w:rPr>
          <w:rFonts w:hint="default" w:ascii="Times New Roman" w:hAnsi="Times New Roman" w:eastAsia="方正黑体_GBK" w:cs="Times New Roman"/>
          <w:color w:val="000000"/>
          <w:sz w:val="32"/>
          <w:szCs w:val="32"/>
        </w:rPr>
        <w:t>支</w:t>
      </w:r>
      <w:r>
        <w:rPr>
          <w:rStyle w:val="29"/>
          <w:rFonts w:hint="default" w:ascii="Times New Roman" w:hAnsi="Times New Roman" w:eastAsia="方正黑体_GBK" w:cs="Times New Roman"/>
          <w:b w:val="0"/>
        </w:rPr>
        <w:t>出决算情况说明</w:t>
      </w:r>
      <w:bookmarkEnd w:id="21"/>
      <w:bookmarkEnd w:id="22"/>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bCs/>
          <w:color w:val="000000"/>
          <w:sz w:val="32"/>
          <w:szCs w:val="32"/>
          <w:lang w:val="en-US" w:eastAsia="zh-CN"/>
        </w:rPr>
      </w:pPr>
      <w:r>
        <w:rPr>
          <w:rFonts w:hint="eastAsia" w:eastAsia="方正仿宋_GBK" w:cs="Times New Roman"/>
          <w:bCs/>
          <w:color w:val="000000"/>
          <w:sz w:val="32"/>
          <w:szCs w:val="32"/>
          <w:lang w:eastAsia="zh-CN"/>
        </w:rPr>
        <w:t>2023</w:t>
      </w:r>
      <w:r>
        <w:rPr>
          <w:rFonts w:hint="default" w:ascii="Times New Roman" w:hAnsi="Times New Roman" w:eastAsia="方正仿宋_GBK" w:cs="Times New Roman"/>
          <w:bCs/>
          <w:color w:val="000000"/>
          <w:sz w:val="32"/>
          <w:szCs w:val="32"/>
        </w:rPr>
        <w:t>年本年支出合计</w:t>
      </w:r>
      <w:r>
        <w:rPr>
          <w:rFonts w:hint="default" w:ascii="Times New Roman" w:hAnsi="Times New Roman" w:eastAsia="方正仿宋_GBK" w:cs="Times New Roman"/>
          <w:bCs/>
          <w:color w:val="000000"/>
          <w:sz w:val="32"/>
          <w:szCs w:val="32"/>
          <w:lang w:val="en-US" w:eastAsia="zh-CN"/>
        </w:rPr>
        <w:t>4</w:t>
      </w:r>
      <w:r>
        <w:rPr>
          <w:rFonts w:hint="eastAsia" w:eastAsia="方正仿宋_GBK" w:cs="Times New Roman"/>
          <w:bCs/>
          <w:color w:val="000000"/>
          <w:sz w:val="32"/>
          <w:szCs w:val="32"/>
          <w:lang w:val="en-US" w:eastAsia="zh-CN"/>
        </w:rPr>
        <w:t>90.41</w:t>
      </w:r>
      <w:r>
        <w:rPr>
          <w:rFonts w:hint="default" w:ascii="Times New Roman" w:hAnsi="Times New Roman" w:eastAsia="方正仿宋_GBK" w:cs="Times New Roman"/>
          <w:bCs/>
          <w:color w:val="000000"/>
          <w:sz w:val="32"/>
          <w:szCs w:val="32"/>
        </w:rPr>
        <w:t>万元，其中：基本支出</w:t>
      </w:r>
      <w:r>
        <w:rPr>
          <w:rFonts w:hint="eastAsia" w:eastAsia="方正仿宋_GBK" w:cs="Times New Roman"/>
          <w:bCs/>
          <w:color w:val="000000"/>
          <w:sz w:val="32"/>
          <w:szCs w:val="32"/>
          <w:lang w:val="en-US" w:eastAsia="zh-CN"/>
        </w:rPr>
        <w:t>313.42</w:t>
      </w:r>
      <w:r>
        <w:rPr>
          <w:rFonts w:hint="default" w:ascii="Times New Roman" w:hAnsi="Times New Roman" w:eastAsia="方正仿宋_GBK" w:cs="Times New Roman"/>
          <w:bCs/>
          <w:color w:val="000000"/>
          <w:sz w:val="32"/>
          <w:szCs w:val="32"/>
        </w:rPr>
        <w:t>万元，占</w:t>
      </w:r>
      <w:r>
        <w:rPr>
          <w:rFonts w:hint="eastAsia" w:eastAsia="方正仿宋_GBK" w:cs="Times New Roman"/>
          <w:bCs/>
          <w:color w:val="000000"/>
          <w:sz w:val="32"/>
          <w:szCs w:val="32"/>
          <w:lang w:val="en-US" w:eastAsia="zh-CN"/>
        </w:rPr>
        <w:t>63.9</w:t>
      </w:r>
      <w:r>
        <w:rPr>
          <w:rFonts w:hint="default" w:ascii="Times New Roman" w:hAnsi="Times New Roman" w:eastAsia="方正仿宋_GBK" w:cs="Times New Roman"/>
          <w:bCs/>
          <w:color w:val="000000"/>
          <w:sz w:val="32"/>
          <w:szCs w:val="32"/>
        </w:rPr>
        <w:t>%</w:t>
      </w:r>
      <w:r>
        <w:rPr>
          <w:rFonts w:hint="eastAsia" w:eastAsia="方正仿宋_GBK" w:cs="Times New Roman"/>
          <w:bCs/>
          <w:color w:val="000000"/>
          <w:sz w:val="32"/>
          <w:szCs w:val="32"/>
          <w:lang w:eastAsia="zh-CN"/>
        </w:rPr>
        <w:t>；项目支出</w:t>
      </w:r>
      <w:r>
        <w:rPr>
          <w:rFonts w:hint="eastAsia" w:eastAsia="方正仿宋_GBK" w:cs="Times New Roman"/>
          <w:bCs/>
          <w:color w:val="000000"/>
          <w:sz w:val="32"/>
          <w:szCs w:val="32"/>
          <w:lang w:val="en-US" w:eastAsia="zh-CN"/>
        </w:rPr>
        <w:t>176.99万元，占36.1%。</w:t>
      </w: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bCs/>
          <w:color w:val="000000"/>
          <w:sz w:val="32"/>
          <w:szCs w:val="32"/>
        </w:rPr>
      </w:pPr>
    </w:p>
    <w:p>
      <w:pPr>
        <w:pStyle w:val="6"/>
        <w:pageBreakBefore w:val="0"/>
        <w:kinsoku/>
        <w:wordWrap/>
        <w:overflowPunct/>
        <w:topLinePunct w:val="0"/>
        <w:bidi w:val="0"/>
        <w:spacing w:before="93"/>
        <w:ind w:firstLine="600" w:firstLineChars="200"/>
        <w:textAlignment w:val="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（图3：支出决算结构图）</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FF0000"/>
          <w:sz w:val="32"/>
          <w:szCs w:val="32"/>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方正黑体_GBK" w:cs="Times New Roman"/>
          <w:b w:val="0"/>
          <w:lang w:val="en-US" w:eastAsia="zh-CN" w:bidi="ar-SA"/>
        </w:rPr>
      </w:pPr>
      <w:bookmarkStart w:id="23" w:name="_Toc15396606"/>
      <w:bookmarkStart w:id="24" w:name="_Toc15377208"/>
      <w:r>
        <w:rPr>
          <w:rStyle w:val="29"/>
          <w:rFonts w:hint="eastAsia" w:eastAsia="方正黑体_GBK" w:cs="Times New Roman"/>
          <w:b w:val="0"/>
          <w:lang w:val="en-US" w:eastAsia="zh-CN" w:bidi="ar-SA"/>
        </w:rPr>
        <w:t>四、</w:t>
      </w:r>
      <w:r>
        <w:rPr>
          <w:rStyle w:val="29"/>
          <w:rFonts w:hint="default" w:ascii="Times New Roman" w:hAnsi="Times New Roman" w:eastAsia="方正黑体_GBK" w:cs="Times New Roman"/>
          <w:b w:val="0"/>
          <w:lang w:val="en-US" w:eastAsia="zh-CN" w:bidi="ar-SA"/>
        </w:rPr>
        <w:t>财政拨款收入支出决算总体情况说明</w:t>
      </w:r>
      <w:bookmarkEnd w:id="23"/>
      <w:bookmarkEnd w:id="24"/>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color w:val="000000"/>
          <w:sz w:val="32"/>
          <w:szCs w:val="32"/>
        </w:rPr>
      </w:pPr>
      <w:r>
        <w:rPr>
          <w:rFonts w:hint="eastAsia" w:eastAsia="方正仿宋_GBK" w:cs="Times New Roman"/>
          <w:bCs/>
          <w:color w:val="000000"/>
          <w:sz w:val="32"/>
          <w:szCs w:val="32"/>
          <w:lang w:eastAsia="zh-CN"/>
        </w:rPr>
        <w:t>2023</w:t>
      </w:r>
      <w:r>
        <w:rPr>
          <w:rFonts w:hint="default" w:ascii="Times New Roman" w:hAnsi="Times New Roman" w:eastAsia="方正仿宋_GBK" w:cs="Times New Roman"/>
          <w:bCs/>
          <w:color w:val="000000"/>
          <w:sz w:val="32"/>
          <w:szCs w:val="32"/>
        </w:rPr>
        <w:t>年财政</w:t>
      </w:r>
      <w:r>
        <w:rPr>
          <w:rFonts w:hint="default" w:ascii="Times New Roman" w:hAnsi="Times New Roman" w:eastAsia="方正仿宋_GBK" w:cs="Times New Roman"/>
          <w:bCs/>
          <w:color w:val="000000"/>
          <w:sz w:val="32"/>
          <w:szCs w:val="32"/>
          <w:highlight w:val="none"/>
        </w:rPr>
        <w:t>拨款</w:t>
      </w:r>
      <w:r>
        <w:rPr>
          <w:rFonts w:hint="default" w:ascii="Times New Roman" w:hAnsi="Times New Roman" w:eastAsia="方正仿宋_GBK" w:cs="Times New Roman"/>
          <w:color w:val="000000"/>
          <w:sz w:val="32"/>
          <w:szCs w:val="32"/>
        </w:rPr>
        <w:t>收入总计</w:t>
      </w:r>
      <w:r>
        <w:rPr>
          <w:rFonts w:hint="default" w:ascii="Times New Roman" w:hAnsi="Times New Roman" w:eastAsia="方正仿宋_GBK" w:cs="Times New Roman"/>
          <w:color w:val="000000"/>
          <w:sz w:val="32"/>
          <w:szCs w:val="32"/>
          <w:lang w:val="en-US" w:eastAsia="zh-CN"/>
        </w:rPr>
        <w:t>4</w:t>
      </w:r>
      <w:r>
        <w:rPr>
          <w:rFonts w:hint="eastAsia" w:eastAsia="方正仿宋_GBK" w:cs="Times New Roman"/>
          <w:color w:val="000000"/>
          <w:sz w:val="32"/>
          <w:szCs w:val="32"/>
          <w:lang w:val="en-US" w:eastAsia="zh-CN"/>
        </w:rPr>
        <w:t>90.41</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财政拨款</w:t>
      </w:r>
      <w:r>
        <w:rPr>
          <w:rFonts w:hint="default" w:ascii="Times New Roman" w:hAnsi="Times New Roman" w:eastAsia="方正仿宋_GBK" w:cs="Times New Roman"/>
          <w:color w:val="000000"/>
          <w:sz w:val="32"/>
          <w:szCs w:val="32"/>
        </w:rPr>
        <w:t>支出总计</w:t>
      </w:r>
      <w:r>
        <w:rPr>
          <w:rFonts w:hint="default" w:ascii="Times New Roman" w:hAnsi="Times New Roman" w:eastAsia="方正仿宋_GBK" w:cs="Times New Roman"/>
          <w:color w:val="000000"/>
          <w:sz w:val="32"/>
          <w:szCs w:val="32"/>
          <w:lang w:val="en-US" w:eastAsia="zh-CN"/>
        </w:rPr>
        <w:t>4</w:t>
      </w:r>
      <w:r>
        <w:rPr>
          <w:rFonts w:hint="eastAsia" w:eastAsia="方正仿宋_GBK" w:cs="Times New Roman"/>
          <w:color w:val="000000"/>
          <w:sz w:val="32"/>
          <w:szCs w:val="32"/>
          <w:lang w:val="en-US" w:eastAsia="zh-CN"/>
        </w:rPr>
        <w:t>90.41</w:t>
      </w:r>
      <w:r>
        <w:rPr>
          <w:rFonts w:hint="default" w:ascii="Times New Roman" w:hAnsi="Times New Roman" w:eastAsia="方正仿宋_GBK" w:cs="Times New Roman"/>
          <w:color w:val="000000"/>
          <w:sz w:val="32"/>
          <w:szCs w:val="32"/>
        </w:rPr>
        <w:t>万元。与202</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年相比，</w:t>
      </w:r>
      <w:r>
        <w:rPr>
          <w:rFonts w:hint="default" w:ascii="Times New Roman" w:hAnsi="Times New Roman" w:eastAsia="方正仿宋_GBK" w:cs="Times New Roman"/>
          <w:color w:val="000000"/>
          <w:sz w:val="32"/>
          <w:szCs w:val="32"/>
          <w:lang w:eastAsia="zh-CN"/>
        </w:rPr>
        <w:t>财政拨款</w:t>
      </w:r>
      <w:r>
        <w:rPr>
          <w:rFonts w:hint="default" w:ascii="Times New Roman" w:hAnsi="Times New Roman" w:eastAsia="方正仿宋_GBK" w:cs="Times New Roman"/>
          <w:color w:val="000000"/>
          <w:sz w:val="32"/>
          <w:szCs w:val="32"/>
        </w:rPr>
        <w:t>收入总计增加</w:t>
      </w:r>
      <w:r>
        <w:rPr>
          <w:rFonts w:hint="eastAsia" w:eastAsia="方正仿宋_GBK" w:cs="Times New Roman"/>
          <w:color w:val="000000"/>
          <w:sz w:val="32"/>
          <w:szCs w:val="32"/>
          <w:lang w:val="en-US" w:eastAsia="zh-CN"/>
        </w:rPr>
        <w:t>32.33</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7.06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财政拨款</w:t>
      </w:r>
      <w:r>
        <w:rPr>
          <w:rFonts w:hint="default" w:ascii="Times New Roman" w:hAnsi="Times New Roman" w:eastAsia="方正仿宋_GBK" w:cs="Times New Roman"/>
          <w:color w:val="000000"/>
          <w:sz w:val="32"/>
          <w:szCs w:val="32"/>
        </w:rPr>
        <w:t>支出总计</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32.33</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7.06</w:t>
      </w:r>
      <w:r>
        <w:rPr>
          <w:rFonts w:hint="default" w:ascii="Times New Roman" w:hAnsi="Times New Roman" w:eastAsia="方正仿宋_GBK" w:cs="Times New Roman"/>
          <w:color w:val="000000"/>
          <w:sz w:val="32"/>
          <w:szCs w:val="32"/>
        </w:rPr>
        <w:t>%。</w:t>
      </w:r>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主要变动原因是</w:t>
      </w:r>
      <w:r>
        <w:rPr>
          <w:rFonts w:hint="eastAsia" w:ascii="Times New Roman" w:hAnsi="Times New Roman" w:eastAsia="方正仿宋_GBK" w:cs="Times New Roman"/>
          <w:bCs/>
          <w:color w:val="000000"/>
          <w:sz w:val="32"/>
          <w:szCs w:val="32"/>
          <w:lang w:eastAsia="zh-CN"/>
        </w:rPr>
        <w:t>单位有新进人员以及邻水县“示范交易中心”创建回头看升级改造工程，费</w:t>
      </w:r>
      <w:r>
        <w:rPr>
          <w:rFonts w:hint="eastAsia" w:eastAsia="方正仿宋_GBK" w:cs="Times New Roman"/>
          <w:bCs/>
          <w:color w:val="000000"/>
          <w:sz w:val="32"/>
          <w:szCs w:val="32"/>
          <w:lang w:eastAsia="zh-CN"/>
        </w:rPr>
        <w:t>用增加</w:t>
      </w:r>
      <w:r>
        <w:rPr>
          <w:rFonts w:hint="default" w:ascii="Times New Roman" w:hAnsi="Times New Roman" w:eastAsia="方正仿宋_GBK" w:cs="Times New Roman"/>
          <w:bCs/>
          <w:color w:val="000000"/>
          <w:sz w:val="32"/>
          <w:szCs w:val="32"/>
        </w:rPr>
        <w:t>。</w:t>
      </w:r>
    </w:p>
    <w:p>
      <w:pPr>
        <w:pStyle w:val="6"/>
        <w:pageBreakBefore w:val="0"/>
        <w:kinsoku/>
        <w:wordWrap/>
        <w:overflowPunct/>
        <w:topLinePunct w:val="0"/>
        <w:bidi w:val="0"/>
        <w:spacing w:before="93"/>
        <w:ind w:firstLine="600" w:firstLineChars="200"/>
        <w:textAlignment w:val="auto"/>
        <w:rPr>
          <w:rFonts w:hint="default" w:ascii="Times New Roman" w:hAnsi="Times New Roman" w:cs="Times New Roman"/>
        </w:rPr>
      </w:pPr>
      <w:r>
        <w:rPr>
          <w:rFonts w:hint="default" w:ascii="Times New Roman" w:hAnsi="Times New Roman" w:eastAsia="仿宋" w:cs="Times New Roman"/>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（图4：财政拨款收、支决算总计变动情况）</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 w:cs="Times New Roman"/>
          <w:b/>
          <w:color w:val="00B050"/>
          <w:sz w:val="32"/>
          <w:szCs w:val="32"/>
        </w:rPr>
      </w:pPr>
    </w:p>
    <w:p>
      <w:pPr>
        <w:pageBreakBefore w:val="0"/>
        <w:kinsoku/>
        <w:wordWrap/>
        <w:overflowPunct/>
        <w:topLinePunct w:val="0"/>
        <w:bidi w:val="0"/>
        <w:spacing w:line="600" w:lineRule="exact"/>
        <w:ind w:firstLine="640" w:firstLineChars="200"/>
        <w:textAlignment w:val="auto"/>
        <w:outlineLvl w:val="1"/>
        <w:rPr>
          <w:rStyle w:val="29"/>
          <w:rFonts w:hint="eastAsia" w:ascii="Times New Roman" w:hAnsi="Times New Roman" w:eastAsia="方正黑体_GBK" w:cs="Times New Roman"/>
          <w:b w:val="0"/>
          <w:lang w:val="en-US" w:eastAsia="zh-CN" w:bidi="ar-SA"/>
        </w:rPr>
      </w:pPr>
      <w:bookmarkStart w:id="25" w:name="_Toc15377209"/>
      <w:bookmarkStart w:id="26" w:name="_Toc15396607"/>
      <w:r>
        <w:rPr>
          <w:rStyle w:val="29"/>
          <w:rFonts w:hint="eastAsia" w:ascii="Times New Roman" w:hAnsi="Times New Roman" w:eastAsia="方正黑体_GBK" w:cs="Times New Roman"/>
          <w:b w:val="0"/>
          <w:lang w:val="en-US" w:eastAsia="zh-CN" w:bidi="ar-SA"/>
        </w:rPr>
        <w:t>五、一般公共预算财政拨款支出决算情况说明</w:t>
      </w:r>
      <w:bookmarkEnd w:id="25"/>
      <w:bookmarkEnd w:id="26"/>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27" w:name="_Toc15377210"/>
      <w:r>
        <w:rPr>
          <w:rFonts w:hint="default" w:ascii="Times New Roman" w:hAnsi="Times New Roman" w:eastAsia="方正楷体_GBK" w:cs="Times New Roman"/>
          <w:b/>
          <w:bCs/>
          <w:sz w:val="36"/>
          <w:szCs w:val="36"/>
        </w:rPr>
        <w:t>（一）一般公共预算财政拨款支出决算总体情况</w:t>
      </w:r>
      <w:bookmarkEnd w:id="27"/>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bCs/>
          <w:color w:val="000000"/>
          <w:sz w:val="32"/>
          <w:szCs w:val="32"/>
        </w:rPr>
      </w:pPr>
      <w:r>
        <w:rPr>
          <w:rFonts w:hint="eastAsia" w:eastAsia="方正仿宋_GBK" w:cs="Times New Roman"/>
          <w:color w:val="000000"/>
          <w:sz w:val="32"/>
          <w:szCs w:val="32"/>
          <w:lang w:eastAsia="zh-CN"/>
        </w:rPr>
        <w:t>2023</w:t>
      </w:r>
      <w:r>
        <w:rPr>
          <w:rFonts w:hint="default" w:ascii="Times New Roman" w:hAnsi="Times New Roman" w:eastAsia="方正仿宋_GBK" w:cs="Times New Roman"/>
          <w:color w:val="000000"/>
          <w:sz w:val="32"/>
          <w:szCs w:val="32"/>
        </w:rPr>
        <w:t>年一般公共预算财政拨款支出</w:t>
      </w:r>
      <w:r>
        <w:rPr>
          <w:rFonts w:hint="default" w:ascii="Times New Roman" w:hAnsi="Times New Roman" w:eastAsia="方正仿宋_GBK" w:cs="Times New Roman"/>
          <w:color w:val="000000"/>
          <w:sz w:val="32"/>
          <w:szCs w:val="32"/>
          <w:lang w:val="en-US" w:eastAsia="zh-CN"/>
        </w:rPr>
        <w:t>4</w:t>
      </w:r>
      <w:r>
        <w:rPr>
          <w:rFonts w:hint="eastAsia" w:eastAsia="方正仿宋_GBK" w:cs="Times New Roman"/>
          <w:color w:val="000000"/>
          <w:sz w:val="32"/>
          <w:szCs w:val="32"/>
          <w:lang w:val="en-US" w:eastAsia="zh-CN"/>
        </w:rPr>
        <w:t>90.41</w:t>
      </w:r>
      <w:r>
        <w:rPr>
          <w:rFonts w:hint="default" w:ascii="Times New Roman" w:hAnsi="Times New Roman" w:eastAsia="方正仿宋_GBK" w:cs="Times New Roman"/>
          <w:color w:val="000000"/>
          <w:sz w:val="32"/>
          <w:szCs w:val="32"/>
        </w:rPr>
        <w:t>万元，占本年支出合计的100%。与202</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年相比，一般公共预算财政拨款收、支总计各</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32.33</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eastAsia" w:eastAsia="方正仿宋_GBK" w:cs="Times New Roman"/>
          <w:color w:val="000000"/>
          <w:sz w:val="32"/>
          <w:szCs w:val="32"/>
          <w:lang w:val="en-US" w:eastAsia="zh-CN"/>
        </w:rPr>
        <w:t>7.06</w:t>
      </w:r>
      <w:r>
        <w:rPr>
          <w:rFonts w:hint="default" w:ascii="Times New Roman" w:hAnsi="Times New Roman" w:eastAsia="方正仿宋_GBK" w:cs="Times New Roman"/>
          <w:color w:val="000000"/>
          <w:sz w:val="32"/>
          <w:szCs w:val="32"/>
        </w:rPr>
        <w:t>%。主要变动</w:t>
      </w:r>
      <w:r>
        <w:rPr>
          <w:rFonts w:hint="eastAsia" w:ascii="Times New Roman" w:hAnsi="Times New Roman" w:eastAsia="方正仿宋_GBK" w:cs="Times New Roman"/>
          <w:color w:val="000000"/>
          <w:sz w:val="32"/>
          <w:szCs w:val="32"/>
          <w:lang w:eastAsia="zh-CN"/>
        </w:rPr>
        <w:t>原因是</w:t>
      </w:r>
      <w:r>
        <w:rPr>
          <w:rFonts w:hint="eastAsia" w:eastAsia="方正仿宋_GBK" w:cs="Times New Roman"/>
          <w:bCs/>
          <w:color w:val="000000"/>
          <w:sz w:val="32"/>
          <w:szCs w:val="32"/>
          <w:lang w:eastAsia="zh-CN"/>
        </w:rPr>
        <w:t>单位有新进人员以及</w:t>
      </w:r>
      <w:r>
        <w:rPr>
          <w:rFonts w:hint="eastAsia" w:ascii="Times New Roman" w:hAnsi="Times New Roman" w:eastAsia="方正仿宋_GBK" w:cs="Times New Roman"/>
          <w:bCs/>
          <w:color w:val="000000"/>
          <w:sz w:val="32"/>
          <w:szCs w:val="32"/>
          <w:lang w:eastAsia="zh-CN"/>
        </w:rPr>
        <w:t>邻水县“示范交易中心”创建回头看升级改造工程</w:t>
      </w:r>
      <w:r>
        <w:rPr>
          <w:rFonts w:hint="eastAsia" w:eastAsia="方正仿宋_GBK" w:cs="Times New Roman"/>
          <w:bCs/>
          <w:color w:val="000000"/>
          <w:sz w:val="32"/>
          <w:szCs w:val="32"/>
          <w:lang w:eastAsia="zh-CN"/>
        </w:rPr>
        <w:t>，费用增加</w:t>
      </w:r>
      <w:r>
        <w:rPr>
          <w:rFonts w:hint="default" w:ascii="Times New Roman" w:hAnsi="Times New Roman" w:eastAsia="方正仿宋_GBK" w:cs="Times New Roman"/>
          <w:bCs/>
          <w:color w:val="000000"/>
          <w:sz w:val="32"/>
          <w:szCs w:val="32"/>
        </w:rPr>
        <w:t>。</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p>
    <w:p>
      <w:pPr>
        <w:pStyle w:val="6"/>
        <w:pageBreakBefore w:val="0"/>
        <w:kinsoku/>
        <w:wordWrap/>
        <w:overflowPunct/>
        <w:topLinePunct w:val="0"/>
        <w:bidi w:val="0"/>
        <w:spacing w:before="93"/>
        <w:ind w:firstLine="600" w:firstLineChars="200"/>
        <w:textAlignment w:val="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080000" cy="3810000"/>
            <wp:effectExtent l="4445" t="4445" r="571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仿宋"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（图5：一般公共预算财政拨款支出决算变动情况）</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28" w:name="_Toc15377211"/>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r>
        <w:rPr>
          <w:rFonts w:hint="default" w:ascii="Times New Roman" w:hAnsi="Times New Roman" w:eastAsia="方正楷体_GBK" w:cs="Times New Roman"/>
          <w:b/>
          <w:bCs/>
          <w:sz w:val="36"/>
          <w:szCs w:val="36"/>
        </w:rPr>
        <w:t>（二）一般公共预算财政拨款支出决算结构情况</w:t>
      </w:r>
      <w:bookmarkEnd w:id="28"/>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年一般公共预算财政拨款支出</w:t>
      </w:r>
      <w:r>
        <w:rPr>
          <w:rFonts w:hint="default" w:ascii="Times New Roman" w:hAnsi="Times New Roman" w:eastAsia="仿宋_GB2312" w:cs="Times New Roman"/>
          <w:color w:val="000000"/>
          <w:sz w:val="32"/>
          <w:szCs w:val="32"/>
          <w:lang w:val="en-US" w:eastAsia="zh-CN"/>
        </w:rPr>
        <w:t>4</w:t>
      </w:r>
      <w:r>
        <w:rPr>
          <w:rFonts w:hint="eastAsia" w:eastAsia="仿宋_GB2312" w:cs="Times New Roman"/>
          <w:color w:val="000000"/>
          <w:sz w:val="32"/>
          <w:szCs w:val="32"/>
          <w:lang w:val="en-US" w:eastAsia="zh-CN"/>
        </w:rPr>
        <w:t>90.41</w:t>
      </w:r>
      <w:r>
        <w:rPr>
          <w:rFonts w:hint="default" w:ascii="Times New Roman" w:hAnsi="Times New Roman" w:eastAsia="仿宋_GB2312" w:cs="Times New Roman"/>
          <w:color w:val="000000"/>
          <w:sz w:val="32"/>
          <w:szCs w:val="32"/>
        </w:rPr>
        <w:t>万元，主要用于以下方面:</w:t>
      </w:r>
      <w:r>
        <w:rPr>
          <w:rFonts w:hint="default" w:ascii="Times New Roman" w:hAnsi="Times New Roman" w:eastAsia="仿宋_GB2312" w:cs="Times New Roman"/>
          <w:b/>
          <w:color w:val="000000"/>
          <w:sz w:val="32"/>
          <w:szCs w:val="32"/>
        </w:rPr>
        <w:t>一般公共服务（类）</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4</w:t>
      </w:r>
      <w:r>
        <w:rPr>
          <w:rFonts w:hint="eastAsia" w:eastAsia="仿宋_GB2312" w:cs="Times New Roman"/>
          <w:color w:val="000000"/>
          <w:sz w:val="32"/>
          <w:szCs w:val="32"/>
          <w:lang w:val="en-US" w:eastAsia="zh-CN"/>
        </w:rPr>
        <w:t>14.98</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8</w:t>
      </w:r>
      <w:r>
        <w:rPr>
          <w:rFonts w:hint="eastAsia" w:eastAsia="仿宋_GB2312" w:cs="Times New Roman"/>
          <w:color w:val="000000"/>
          <w:sz w:val="32"/>
          <w:szCs w:val="32"/>
          <w:lang w:val="en-US" w:eastAsia="zh-CN"/>
        </w:rPr>
        <w:t>4.62</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color w:val="000000"/>
          <w:sz w:val="32"/>
          <w:szCs w:val="32"/>
        </w:rPr>
        <w:t>社会保障和就业（类）</w:t>
      </w:r>
      <w:r>
        <w:rPr>
          <w:rFonts w:hint="default" w:ascii="Times New Roman" w:hAnsi="Times New Roman" w:eastAsia="仿宋_GB2312" w:cs="Times New Roman"/>
          <w:color w:val="000000"/>
          <w:sz w:val="32"/>
          <w:szCs w:val="32"/>
        </w:rPr>
        <w:t>支出</w:t>
      </w:r>
      <w:r>
        <w:rPr>
          <w:rFonts w:hint="eastAsia" w:eastAsia="仿宋_GB2312" w:cs="Times New Roman"/>
          <w:color w:val="000000"/>
          <w:sz w:val="32"/>
          <w:szCs w:val="32"/>
          <w:lang w:val="en-US" w:eastAsia="zh-CN"/>
        </w:rPr>
        <w:t>40.59</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8.3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卫生健康支出</w:t>
      </w:r>
      <w:r>
        <w:rPr>
          <w:rFonts w:hint="default" w:ascii="Times New Roman" w:hAnsi="Times New Roman" w:eastAsia="仿宋_GB2312" w:cs="Times New Roman"/>
          <w:color w:val="000000"/>
          <w:sz w:val="32"/>
          <w:szCs w:val="32"/>
          <w:lang w:val="en-US" w:eastAsia="zh-CN"/>
        </w:rPr>
        <w:t>8.</w:t>
      </w:r>
      <w:r>
        <w:rPr>
          <w:rFonts w:hint="eastAsia" w:eastAsia="仿宋_GB2312" w:cs="Times New Roman"/>
          <w:color w:val="000000"/>
          <w:sz w:val="32"/>
          <w:szCs w:val="32"/>
          <w:lang w:val="en-US" w:eastAsia="zh-CN"/>
        </w:rPr>
        <w:t>89</w:t>
      </w:r>
      <w:r>
        <w:rPr>
          <w:rFonts w:hint="default" w:ascii="Times New Roman" w:hAnsi="Times New Roman" w:eastAsia="仿宋_GB2312" w:cs="Times New Roman"/>
          <w:color w:val="000000"/>
          <w:sz w:val="32"/>
          <w:szCs w:val="32"/>
        </w:rPr>
        <w:t>万元，占1</w:t>
      </w:r>
      <w:r>
        <w:rPr>
          <w:rFonts w:hint="default"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住房保障支出</w:t>
      </w:r>
      <w:r>
        <w:rPr>
          <w:rFonts w:hint="eastAsia" w:ascii="Times New Roman" w:hAnsi="Times New Roman" w:eastAsia="仿宋_GB2312" w:cs="Times New Roman"/>
          <w:color w:val="000000"/>
          <w:sz w:val="32"/>
          <w:szCs w:val="32"/>
          <w:lang w:val="en-US" w:eastAsia="zh-CN"/>
        </w:rPr>
        <w:t>25.95</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5.29</w:t>
      </w:r>
      <w:r>
        <w:rPr>
          <w:rFonts w:hint="default" w:ascii="Times New Roman" w:hAnsi="Times New Roman" w:eastAsia="仿宋_GB2312" w:cs="Times New Roman"/>
          <w:color w:val="000000"/>
          <w:sz w:val="32"/>
          <w:szCs w:val="32"/>
        </w:rPr>
        <w:t>%。</w:t>
      </w:r>
    </w:p>
    <w:p>
      <w:pPr>
        <w:pStyle w:val="6"/>
        <w:pageBreakBefore w:val="0"/>
        <w:kinsoku/>
        <w:wordWrap/>
        <w:overflowPunct/>
        <w:topLinePunct w:val="0"/>
        <w:bidi w:val="0"/>
        <w:spacing w:before="93"/>
        <w:ind w:firstLine="600" w:firstLineChars="200"/>
        <w:textAlignment w:val="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4951095" cy="2659380"/>
            <wp:effectExtent l="5080" t="4445" r="12065" b="184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rPr>
      </w:pPr>
      <w:r>
        <w:rPr>
          <w:rFonts w:hint="default" w:ascii="Times New Roman" w:hAnsi="Times New Roman" w:eastAsia="方正仿宋_GBK" w:cs="Times New Roman"/>
          <w:color w:val="000000"/>
          <w:sz w:val="32"/>
          <w:szCs w:val="32"/>
        </w:rPr>
        <w:t>（图6：一般公共预算财政拨款支出决算结构）</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29" w:name="_Toc15377212"/>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r>
        <w:rPr>
          <w:rFonts w:hint="default" w:ascii="Times New Roman" w:hAnsi="Times New Roman" w:eastAsia="方正楷体_GBK" w:cs="Times New Roman"/>
          <w:b/>
          <w:bCs/>
          <w:sz w:val="36"/>
          <w:szCs w:val="36"/>
        </w:rPr>
        <w:t>（三）一般公共预算财政拨款支出决算具体情况</w:t>
      </w:r>
      <w:bookmarkEnd w:id="29"/>
    </w:p>
    <w:p>
      <w:pPr>
        <w:pageBreakBefore w:val="0"/>
        <w:kinsoku/>
        <w:wordWrap/>
        <w:overflowPunct/>
        <w:topLinePunct w:val="0"/>
        <w:bidi w:val="0"/>
        <w:spacing w:line="600" w:lineRule="exact"/>
        <w:ind w:firstLine="642" w:firstLineChars="200"/>
        <w:textAlignment w:val="auto"/>
        <w:outlineLvl w:val="2"/>
        <w:rPr>
          <w:rFonts w:hint="default" w:ascii="Times New Roman" w:hAnsi="Times New Roman" w:eastAsia="仿宋" w:cs="Times New Roman"/>
          <w:color w:val="FF0000"/>
          <w:sz w:val="32"/>
          <w:szCs w:val="32"/>
        </w:rPr>
      </w:pPr>
      <w:bookmarkStart w:id="30" w:name="_Toc15378460"/>
      <w:bookmarkStart w:id="31" w:name="_Toc15377213"/>
      <w:bookmarkStart w:id="32" w:name="_Toc15377444"/>
      <w:r>
        <w:rPr>
          <w:rFonts w:hint="eastAsia" w:eastAsia="仿宋" w:cs="Times New Roman"/>
          <w:b/>
          <w:color w:val="000000"/>
          <w:sz w:val="32"/>
          <w:szCs w:val="32"/>
          <w:lang w:eastAsia="zh-CN"/>
        </w:rPr>
        <w:t>2023</w:t>
      </w:r>
      <w:r>
        <w:rPr>
          <w:rFonts w:hint="default" w:ascii="Times New Roman" w:hAnsi="Times New Roman" w:eastAsia="仿宋" w:cs="Times New Roman"/>
          <w:b/>
          <w:color w:val="000000"/>
          <w:sz w:val="32"/>
          <w:szCs w:val="32"/>
        </w:rPr>
        <w:t>年一般公共预算支出决算数为</w:t>
      </w:r>
      <w:r>
        <w:rPr>
          <w:rFonts w:hint="default" w:ascii="Times New Roman" w:hAnsi="Times New Roman" w:eastAsia="仿宋" w:cs="Times New Roman"/>
          <w:b w:val="0"/>
          <w:bCs/>
          <w:color w:val="000000"/>
          <w:sz w:val="32"/>
          <w:szCs w:val="32"/>
          <w:lang w:val="en-US" w:eastAsia="zh-CN"/>
        </w:rPr>
        <w:t>4</w:t>
      </w:r>
      <w:r>
        <w:rPr>
          <w:rFonts w:hint="eastAsia" w:eastAsia="仿宋" w:cs="Times New Roman"/>
          <w:b w:val="0"/>
          <w:bCs/>
          <w:color w:val="000000"/>
          <w:sz w:val="32"/>
          <w:szCs w:val="32"/>
          <w:lang w:val="en-US" w:eastAsia="zh-CN"/>
        </w:rPr>
        <w:t>90.41</w:t>
      </w:r>
      <w:r>
        <w:rPr>
          <w:rFonts w:hint="default" w:ascii="Times New Roman" w:hAnsi="Times New Roman" w:eastAsia="仿宋" w:cs="Times New Roman"/>
          <w:b/>
          <w:color w:val="000000"/>
          <w:sz w:val="32"/>
          <w:szCs w:val="32"/>
          <w:lang w:val="en-US" w:eastAsia="zh-CN"/>
        </w:rPr>
        <w:t>万元</w:t>
      </w:r>
      <w:r>
        <w:rPr>
          <w:rFonts w:hint="default" w:ascii="Times New Roman" w:hAnsi="Times New Roman" w:eastAsia="仿宋" w:cs="Times New Roman"/>
          <w:color w:val="000000"/>
          <w:sz w:val="32"/>
          <w:szCs w:val="32"/>
        </w:rPr>
        <w:t>，</w:t>
      </w:r>
      <w:r>
        <w:rPr>
          <w:rStyle w:val="18"/>
          <w:rFonts w:hint="default" w:ascii="Times New Roman" w:hAnsi="Times New Roman" w:eastAsia="仿宋" w:cs="Times New Roman"/>
          <w:bCs/>
          <w:color w:val="000000"/>
          <w:sz w:val="32"/>
          <w:szCs w:val="32"/>
        </w:rPr>
        <w:t>完成预算</w:t>
      </w:r>
      <w:r>
        <w:rPr>
          <w:rStyle w:val="18"/>
          <w:rFonts w:hint="default" w:ascii="Times New Roman" w:hAnsi="Times New Roman" w:eastAsia="仿宋" w:cs="Times New Roman"/>
          <w:b w:val="0"/>
          <w:bCs w:val="0"/>
          <w:color w:val="000000"/>
          <w:sz w:val="32"/>
          <w:szCs w:val="32"/>
        </w:rPr>
        <w:t>100%</w:t>
      </w:r>
      <w:r>
        <w:rPr>
          <w:rStyle w:val="18"/>
          <w:rFonts w:hint="default" w:ascii="Times New Roman" w:hAnsi="Times New Roman" w:eastAsia="仿宋" w:cs="Times New Roman"/>
          <w:bCs/>
          <w:color w:val="000000"/>
          <w:sz w:val="32"/>
          <w:szCs w:val="32"/>
        </w:rPr>
        <w:t>。其中：</w:t>
      </w:r>
      <w:bookmarkEnd w:id="30"/>
      <w:bookmarkEnd w:id="31"/>
      <w:bookmarkEnd w:id="32"/>
    </w:p>
    <w:p>
      <w:pPr>
        <w:pageBreakBefore w:val="0"/>
        <w:kinsoku/>
        <w:wordWrap/>
        <w:overflowPunct/>
        <w:topLinePunct w:val="0"/>
        <w:bidi w:val="0"/>
        <w:spacing w:line="600" w:lineRule="exact"/>
        <w:ind w:firstLine="642"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1.一般公共服务（类）政府办公厅（室）及相关机构事务（款）事业运行（项）:</w:t>
      </w:r>
      <w:r>
        <w:rPr>
          <w:rStyle w:val="18"/>
          <w:rFonts w:hint="default" w:ascii="Times New Roman" w:hAnsi="Times New Roman" w:eastAsia="仿宋_GB2312" w:cs="Times New Roman"/>
          <w:b w:val="0"/>
          <w:bCs/>
          <w:color w:val="000000"/>
          <w:sz w:val="32"/>
          <w:szCs w:val="32"/>
        </w:rPr>
        <w:t xml:space="preserve"> 支出决算为</w:t>
      </w:r>
      <w:r>
        <w:rPr>
          <w:rStyle w:val="18"/>
          <w:rFonts w:hint="eastAsia" w:eastAsia="仿宋_GB2312" w:cs="Times New Roman"/>
          <w:b w:val="0"/>
          <w:bCs/>
          <w:color w:val="000000"/>
          <w:sz w:val="32"/>
          <w:szCs w:val="32"/>
          <w:lang w:val="en-US" w:eastAsia="zh-CN"/>
        </w:rPr>
        <w:t>213.77</w:t>
      </w:r>
      <w:r>
        <w:rPr>
          <w:rStyle w:val="18"/>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Style w:val="18"/>
          <w:rFonts w:hint="default" w:ascii="Times New Roman" w:hAnsi="Times New Roman" w:eastAsia="仿宋_GB2312" w:cs="Times New Roman"/>
          <w:b w:val="0"/>
          <w:bCs/>
          <w:color w:val="000000"/>
          <w:sz w:val="32"/>
          <w:szCs w:val="32"/>
        </w:rPr>
      </w:pPr>
      <w:r>
        <w:rPr>
          <w:rStyle w:val="18"/>
          <w:rFonts w:hint="default" w:ascii="Times New Roman" w:hAnsi="Times New Roman" w:eastAsia="仿宋_GB2312" w:cs="Times New Roman"/>
          <w:bCs/>
          <w:color w:val="000000"/>
          <w:sz w:val="32"/>
          <w:szCs w:val="32"/>
        </w:rPr>
        <w:t>2.一般公共服务（类）政府办公厅（室）及相关机构事务（款）其他政府办公厅（室）及相关机构事务支出（项）:</w:t>
      </w:r>
      <w:r>
        <w:rPr>
          <w:rStyle w:val="18"/>
          <w:rFonts w:hint="default" w:ascii="Times New Roman" w:hAnsi="Times New Roman" w:eastAsia="仿宋_GB2312" w:cs="Times New Roman"/>
          <w:b w:val="0"/>
          <w:bCs/>
          <w:color w:val="000000"/>
          <w:sz w:val="32"/>
          <w:szCs w:val="32"/>
        </w:rPr>
        <w:t xml:space="preserve"> 支出决算为</w:t>
      </w:r>
      <w:r>
        <w:rPr>
          <w:rStyle w:val="18"/>
          <w:rFonts w:hint="eastAsia" w:eastAsia="仿宋_GB2312" w:cs="Times New Roman"/>
          <w:b w:val="0"/>
          <w:bCs/>
          <w:color w:val="000000"/>
          <w:sz w:val="32"/>
          <w:szCs w:val="32"/>
          <w:lang w:val="en-US" w:eastAsia="zh-CN"/>
        </w:rPr>
        <w:t>201.21</w:t>
      </w:r>
      <w:r>
        <w:rPr>
          <w:rStyle w:val="18"/>
          <w:rFonts w:hint="default" w:ascii="Times New Roman" w:hAnsi="Times New Roman" w:eastAsia="仿宋_GB2312" w:cs="Times New Roman"/>
          <w:b w:val="0"/>
          <w:bCs/>
          <w:color w:val="000000"/>
          <w:sz w:val="32"/>
          <w:szCs w:val="32"/>
          <w:highlight w:val="none"/>
        </w:rPr>
        <w:t>万元，完</w:t>
      </w:r>
      <w:r>
        <w:rPr>
          <w:rStyle w:val="18"/>
          <w:rFonts w:hint="default" w:ascii="Times New Roman" w:hAnsi="Times New Roman" w:eastAsia="仿宋_GB2312" w:cs="Times New Roman"/>
          <w:b w:val="0"/>
          <w:bCs/>
          <w:color w:val="000000"/>
          <w:sz w:val="32"/>
          <w:szCs w:val="32"/>
        </w:rPr>
        <w:t>成预算100%。</w:t>
      </w:r>
    </w:p>
    <w:p>
      <w:pPr>
        <w:pStyle w:val="6"/>
        <w:keepNext w:val="0"/>
        <w:keepLines w:val="0"/>
        <w:pageBreakBefore w:val="0"/>
        <w:widowControl w:val="0"/>
        <w:kinsoku/>
        <w:wordWrap/>
        <w:overflowPunct/>
        <w:topLinePunct w:val="0"/>
        <w:autoSpaceDE/>
        <w:autoSpaceDN/>
        <w:bidi w:val="0"/>
        <w:adjustRightInd/>
        <w:snapToGrid/>
        <w:ind w:firstLine="642" w:firstLineChars="200"/>
        <w:textAlignment w:val="auto"/>
        <w:rPr>
          <w:rStyle w:val="18"/>
          <w:rFonts w:hint="default" w:ascii="Times New Roman" w:cs="Times New Roman"/>
          <w:b w:val="0"/>
          <w:bCs w:val="0"/>
          <w:color w:val="000000"/>
          <w:sz w:val="32"/>
          <w:szCs w:val="32"/>
          <w:lang w:val="en-US" w:eastAsia="zh-CN"/>
        </w:rPr>
      </w:pPr>
      <w:r>
        <w:rPr>
          <w:rStyle w:val="18"/>
          <w:rFonts w:hint="eastAsia" w:ascii="Times New Roman" w:hAnsi="Times New Roman" w:eastAsia="仿宋_GB2312" w:cs="Times New Roman"/>
          <w:bCs/>
          <w:color w:val="000000"/>
          <w:kern w:val="2"/>
          <w:sz w:val="32"/>
          <w:szCs w:val="32"/>
          <w:lang w:val="en-US" w:eastAsia="zh-CN" w:bidi="ar-SA"/>
        </w:rPr>
        <w:t>3.</w:t>
      </w:r>
      <w:r>
        <w:rPr>
          <w:rStyle w:val="18"/>
          <w:rFonts w:hint="default" w:ascii="Times New Roman" w:hAnsi="Times New Roman" w:eastAsia="仿宋_GB2312" w:cs="Times New Roman"/>
          <w:bCs/>
          <w:color w:val="000000"/>
          <w:kern w:val="2"/>
          <w:sz w:val="32"/>
          <w:szCs w:val="32"/>
          <w:lang w:val="en-US" w:eastAsia="zh-CN" w:bidi="ar-SA"/>
        </w:rPr>
        <w:t>社会保障和就业（类）人力资源和社会保障管理事务</w:t>
      </w:r>
      <w:r>
        <w:rPr>
          <w:rStyle w:val="18"/>
          <w:rFonts w:hint="eastAsia" w:ascii="Times New Roman" w:hAnsi="Times New Roman" w:eastAsia="仿宋_GB2312" w:cs="Times New Roman"/>
          <w:bCs/>
          <w:color w:val="000000"/>
          <w:kern w:val="2"/>
          <w:sz w:val="32"/>
          <w:szCs w:val="32"/>
          <w:lang w:val="en-US" w:eastAsia="zh-CN" w:bidi="ar-SA"/>
        </w:rPr>
        <w:t>(款）引进人才费用支出（项）</w:t>
      </w:r>
      <w:r>
        <w:rPr>
          <w:rStyle w:val="18"/>
          <w:rFonts w:hint="eastAsia" w:ascii="Times New Roman" w:cs="Times New Roman"/>
          <w:bCs/>
          <w:color w:val="000000"/>
          <w:sz w:val="32"/>
          <w:szCs w:val="32"/>
          <w:lang w:val="en-US" w:eastAsia="zh-CN"/>
        </w:rPr>
        <w:t>：</w:t>
      </w:r>
      <w:r>
        <w:rPr>
          <w:rStyle w:val="18"/>
          <w:rFonts w:hint="eastAsia" w:ascii="Times New Roman" w:cs="Times New Roman"/>
          <w:b w:val="0"/>
          <w:bCs w:val="0"/>
          <w:color w:val="000000"/>
          <w:sz w:val="32"/>
          <w:szCs w:val="32"/>
          <w:lang w:val="en-US" w:eastAsia="zh-CN"/>
        </w:rPr>
        <w:t>支出决算为0.5万元，完成预算数100%。</w:t>
      </w:r>
    </w:p>
    <w:p>
      <w:pPr>
        <w:pageBreakBefore w:val="0"/>
        <w:kinsoku/>
        <w:wordWrap/>
        <w:overflowPunct/>
        <w:topLinePunct w:val="0"/>
        <w:bidi w:val="0"/>
        <w:spacing w:line="600" w:lineRule="exact"/>
        <w:ind w:firstLine="642" w:firstLineChars="200"/>
        <w:textAlignment w:val="auto"/>
        <w:rPr>
          <w:rStyle w:val="18"/>
          <w:rFonts w:hint="default" w:ascii="Times New Roman" w:hAnsi="Times New Roman" w:eastAsia="仿宋_GB2312" w:cs="Times New Roman"/>
          <w:b w:val="0"/>
          <w:bCs/>
          <w:color w:val="000000"/>
          <w:sz w:val="32"/>
          <w:szCs w:val="32"/>
        </w:rPr>
      </w:pPr>
      <w:r>
        <w:rPr>
          <w:rStyle w:val="18"/>
          <w:rFonts w:hint="eastAsia" w:eastAsia="仿宋_GB2312" w:cs="Times New Roman"/>
          <w:bCs/>
          <w:color w:val="000000"/>
          <w:sz w:val="32"/>
          <w:szCs w:val="32"/>
          <w:lang w:val="en-US" w:eastAsia="zh-CN"/>
        </w:rPr>
        <w:t>4.</w:t>
      </w:r>
      <w:r>
        <w:rPr>
          <w:rStyle w:val="18"/>
          <w:rFonts w:hint="default" w:ascii="Times New Roman" w:hAnsi="Times New Roman" w:eastAsia="仿宋_GB2312" w:cs="Times New Roman"/>
          <w:bCs/>
          <w:color w:val="000000"/>
          <w:sz w:val="32"/>
          <w:szCs w:val="32"/>
        </w:rPr>
        <w:t>社会保障和就业（类）行政事业单位养老支出（款） 机关事业单位基本养老保险缴费支出（项）:</w:t>
      </w:r>
      <w:r>
        <w:rPr>
          <w:rStyle w:val="18"/>
          <w:rFonts w:hint="default" w:ascii="Times New Roman" w:hAnsi="Times New Roman" w:eastAsia="仿宋_GB2312" w:cs="Times New Roman"/>
          <w:b w:val="0"/>
          <w:bCs/>
          <w:color w:val="000000"/>
          <w:sz w:val="32"/>
          <w:szCs w:val="32"/>
        </w:rPr>
        <w:t xml:space="preserve"> 支出</w:t>
      </w:r>
      <w:r>
        <w:rPr>
          <w:rStyle w:val="18"/>
          <w:rFonts w:hint="default" w:ascii="Times New Roman" w:hAnsi="Times New Roman" w:eastAsia="仿宋_GB2312" w:cs="Times New Roman"/>
          <w:b w:val="0"/>
          <w:bCs/>
          <w:color w:val="000000"/>
          <w:sz w:val="32"/>
          <w:szCs w:val="32"/>
          <w:highlight w:val="none"/>
        </w:rPr>
        <w:t>决算为</w:t>
      </w:r>
      <w:r>
        <w:rPr>
          <w:rStyle w:val="18"/>
          <w:rFonts w:hint="eastAsia" w:eastAsia="仿宋_GB2312" w:cs="Times New Roman"/>
          <w:b w:val="0"/>
          <w:bCs/>
          <w:color w:val="000000"/>
          <w:sz w:val="32"/>
          <w:szCs w:val="32"/>
          <w:highlight w:val="none"/>
          <w:lang w:val="en-US" w:eastAsia="zh-CN"/>
        </w:rPr>
        <w:t>31.47</w:t>
      </w:r>
      <w:r>
        <w:rPr>
          <w:rStyle w:val="18"/>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Style w:val="18"/>
          <w:rFonts w:hint="default" w:ascii="Times New Roman" w:hAnsi="Times New Roman" w:eastAsia="仿宋_GB2312" w:cs="Times New Roman"/>
          <w:b w:val="0"/>
          <w:bCs/>
          <w:color w:val="000000"/>
          <w:sz w:val="32"/>
          <w:szCs w:val="32"/>
        </w:rPr>
      </w:pPr>
      <w:r>
        <w:rPr>
          <w:rStyle w:val="18"/>
          <w:rFonts w:hint="eastAsia" w:ascii="Times New Roman" w:hAnsi="Times New Roman" w:eastAsia="仿宋_GB2312" w:cs="Times New Roman"/>
          <w:bCs/>
          <w:color w:val="000000"/>
          <w:sz w:val="32"/>
          <w:szCs w:val="32"/>
          <w:lang w:val="en-US" w:eastAsia="zh-CN"/>
        </w:rPr>
        <w:t>5.</w:t>
      </w:r>
      <w:r>
        <w:rPr>
          <w:rStyle w:val="18"/>
          <w:rFonts w:hint="default" w:ascii="Times New Roman" w:hAnsi="Times New Roman" w:eastAsia="仿宋_GB2312" w:cs="Times New Roman"/>
          <w:bCs/>
          <w:color w:val="000000"/>
          <w:sz w:val="32"/>
          <w:szCs w:val="32"/>
        </w:rPr>
        <w:t>社会保障和就业（类）行政事业单位养老支出（款）</w:t>
      </w:r>
      <w:r>
        <w:rPr>
          <w:rStyle w:val="18"/>
          <w:rFonts w:hint="eastAsia" w:ascii="Times New Roman" w:hAnsi="Times New Roman" w:eastAsia="仿宋_GB2312" w:cs="Times New Roman"/>
          <w:bCs/>
          <w:color w:val="000000"/>
          <w:sz w:val="32"/>
          <w:szCs w:val="32"/>
          <w:lang w:eastAsia="zh-CN"/>
        </w:rPr>
        <w:t>事业单位离退休</w:t>
      </w:r>
      <w:r>
        <w:rPr>
          <w:rStyle w:val="18"/>
          <w:rFonts w:hint="default" w:ascii="Times New Roman" w:hAnsi="Times New Roman" w:eastAsia="仿宋_GB2312" w:cs="Times New Roman"/>
          <w:bCs/>
          <w:color w:val="000000"/>
          <w:sz w:val="32"/>
          <w:szCs w:val="32"/>
        </w:rPr>
        <w:t>（项）:</w:t>
      </w:r>
      <w:r>
        <w:rPr>
          <w:rStyle w:val="18"/>
          <w:rFonts w:hint="default" w:ascii="Times New Roman" w:hAnsi="Times New Roman" w:eastAsia="仿宋_GB2312" w:cs="Times New Roman"/>
          <w:b w:val="0"/>
          <w:bCs/>
          <w:color w:val="000000"/>
          <w:sz w:val="32"/>
          <w:szCs w:val="32"/>
        </w:rPr>
        <w:t xml:space="preserve"> 支出</w:t>
      </w:r>
      <w:r>
        <w:rPr>
          <w:rStyle w:val="18"/>
          <w:rFonts w:hint="default" w:ascii="Times New Roman" w:hAnsi="Times New Roman" w:eastAsia="仿宋_GB2312" w:cs="Times New Roman"/>
          <w:b w:val="0"/>
          <w:bCs/>
          <w:color w:val="000000"/>
          <w:sz w:val="32"/>
          <w:szCs w:val="32"/>
          <w:highlight w:val="none"/>
        </w:rPr>
        <w:t>决算为</w:t>
      </w:r>
      <w:r>
        <w:rPr>
          <w:rStyle w:val="18"/>
          <w:rFonts w:hint="eastAsia" w:ascii="Times New Roman" w:hAnsi="Times New Roman" w:eastAsia="仿宋_GB2312" w:cs="Times New Roman"/>
          <w:b w:val="0"/>
          <w:bCs/>
          <w:color w:val="000000"/>
          <w:sz w:val="32"/>
          <w:szCs w:val="32"/>
          <w:highlight w:val="none"/>
          <w:lang w:val="en-US" w:eastAsia="zh-CN"/>
        </w:rPr>
        <w:t>1.15</w:t>
      </w:r>
      <w:r>
        <w:rPr>
          <w:rStyle w:val="18"/>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Style w:val="18"/>
          <w:rFonts w:hint="default" w:ascii="Times New Roman" w:hAnsi="Times New Roman" w:eastAsia="仿宋_GB2312" w:cs="Times New Roman"/>
          <w:b w:val="0"/>
          <w:bCs/>
          <w:color w:val="000000"/>
          <w:sz w:val="32"/>
          <w:szCs w:val="32"/>
        </w:rPr>
      </w:pPr>
      <w:r>
        <w:rPr>
          <w:rStyle w:val="18"/>
          <w:rFonts w:hint="eastAsia" w:ascii="Times New Roman" w:hAnsi="Times New Roman" w:eastAsia="仿宋_GB2312" w:cs="Times New Roman"/>
          <w:bCs/>
          <w:color w:val="000000"/>
          <w:sz w:val="32"/>
          <w:szCs w:val="32"/>
          <w:lang w:val="en-US" w:eastAsia="zh-CN"/>
        </w:rPr>
        <w:t>6.</w:t>
      </w:r>
      <w:r>
        <w:rPr>
          <w:rStyle w:val="18"/>
          <w:rFonts w:hint="default" w:ascii="Times New Roman" w:hAnsi="Times New Roman" w:eastAsia="仿宋_GB2312" w:cs="Times New Roman"/>
          <w:bCs/>
          <w:color w:val="000000"/>
          <w:sz w:val="32"/>
          <w:szCs w:val="32"/>
        </w:rPr>
        <w:t xml:space="preserve">社会保障和就业（类）行政事业单位养老支出（款） </w:t>
      </w:r>
      <w:r>
        <w:rPr>
          <w:rStyle w:val="18"/>
          <w:rFonts w:hint="eastAsia" w:ascii="Times New Roman" w:hAnsi="Times New Roman" w:eastAsia="仿宋_GB2312" w:cs="Times New Roman"/>
          <w:bCs/>
          <w:color w:val="000000"/>
          <w:sz w:val="32"/>
          <w:szCs w:val="32"/>
          <w:lang w:eastAsia="zh-CN"/>
        </w:rPr>
        <w:t>机关事业单位职业年金缴费支出</w:t>
      </w:r>
      <w:r>
        <w:rPr>
          <w:rStyle w:val="18"/>
          <w:rFonts w:hint="default" w:ascii="Times New Roman" w:hAnsi="Times New Roman" w:eastAsia="仿宋_GB2312" w:cs="Times New Roman"/>
          <w:bCs/>
          <w:color w:val="000000"/>
          <w:sz w:val="32"/>
          <w:szCs w:val="32"/>
        </w:rPr>
        <w:t>（项）:</w:t>
      </w:r>
      <w:r>
        <w:rPr>
          <w:rStyle w:val="18"/>
          <w:rFonts w:hint="default" w:ascii="Times New Roman" w:hAnsi="Times New Roman" w:eastAsia="仿宋_GB2312" w:cs="Times New Roman"/>
          <w:b w:val="0"/>
          <w:bCs/>
          <w:color w:val="000000"/>
          <w:sz w:val="32"/>
          <w:szCs w:val="32"/>
        </w:rPr>
        <w:t xml:space="preserve"> 支出</w:t>
      </w:r>
      <w:r>
        <w:rPr>
          <w:rStyle w:val="18"/>
          <w:rFonts w:hint="default" w:ascii="Times New Roman" w:hAnsi="Times New Roman" w:eastAsia="仿宋_GB2312" w:cs="Times New Roman"/>
          <w:b w:val="0"/>
          <w:bCs/>
          <w:color w:val="000000"/>
          <w:sz w:val="32"/>
          <w:szCs w:val="32"/>
          <w:highlight w:val="none"/>
        </w:rPr>
        <w:t>决算为</w:t>
      </w:r>
      <w:r>
        <w:rPr>
          <w:rStyle w:val="18"/>
          <w:rFonts w:hint="eastAsia" w:ascii="Times New Roman" w:hAnsi="Times New Roman" w:eastAsia="仿宋_GB2312" w:cs="Times New Roman"/>
          <w:b w:val="0"/>
          <w:bCs/>
          <w:color w:val="000000"/>
          <w:sz w:val="32"/>
          <w:szCs w:val="32"/>
          <w:highlight w:val="none"/>
          <w:lang w:val="en-US" w:eastAsia="zh-CN"/>
        </w:rPr>
        <w:t>7.43</w:t>
      </w:r>
      <w:r>
        <w:rPr>
          <w:rStyle w:val="18"/>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Fonts w:hint="default"/>
        </w:rPr>
      </w:pPr>
      <w:r>
        <w:rPr>
          <w:rStyle w:val="18"/>
          <w:rFonts w:hint="eastAsia" w:ascii="Times New Roman" w:hAnsi="Times New Roman" w:eastAsia="仿宋_GB2312" w:cs="Times New Roman"/>
          <w:bCs/>
          <w:color w:val="000000"/>
          <w:sz w:val="32"/>
          <w:szCs w:val="32"/>
          <w:lang w:val="en-US" w:eastAsia="zh-CN"/>
        </w:rPr>
        <w:t>7.</w:t>
      </w:r>
      <w:r>
        <w:rPr>
          <w:rStyle w:val="18"/>
          <w:rFonts w:hint="default" w:ascii="Times New Roman" w:hAnsi="Times New Roman" w:eastAsia="仿宋_GB2312" w:cs="Times New Roman"/>
          <w:bCs/>
          <w:color w:val="000000"/>
          <w:sz w:val="32"/>
          <w:szCs w:val="32"/>
        </w:rPr>
        <w:t xml:space="preserve">社会保障和就业（类）行政事业单位养老支出（款） </w:t>
      </w:r>
      <w:r>
        <w:rPr>
          <w:rStyle w:val="18"/>
          <w:rFonts w:hint="eastAsia" w:ascii="Times New Roman" w:hAnsi="Times New Roman" w:eastAsia="仿宋_GB2312" w:cs="Times New Roman"/>
          <w:bCs/>
          <w:color w:val="000000"/>
          <w:sz w:val="32"/>
          <w:szCs w:val="32"/>
          <w:lang w:eastAsia="zh-CN"/>
        </w:rPr>
        <w:t>其他行政事业单位养老支出</w:t>
      </w:r>
      <w:r>
        <w:rPr>
          <w:rStyle w:val="18"/>
          <w:rFonts w:hint="default" w:ascii="Times New Roman" w:hAnsi="Times New Roman" w:eastAsia="仿宋_GB2312" w:cs="Times New Roman"/>
          <w:bCs/>
          <w:color w:val="000000"/>
          <w:sz w:val="32"/>
          <w:szCs w:val="32"/>
        </w:rPr>
        <w:t>（项）:</w:t>
      </w:r>
      <w:r>
        <w:rPr>
          <w:rStyle w:val="18"/>
          <w:rFonts w:hint="default" w:ascii="Times New Roman" w:hAnsi="Times New Roman" w:eastAsia="仿宋_GB2312" w:cs="Times New Roman"/>
          <w:b w:val="0"/>
          <w:bCs/>
          <w:color w:val="000000"/>
          <w:sz w:val="32"/>
          <w:szCs w:val="32"/>
        </w:rPr>
        <w:t xml:space="preserve"> 支出</w:t>
      </w:r>
      <w:r>
        <w:rPr>
          <w:rStyle w:val="18"/>
          <w:rFonts w:hint="default" w:ascii="Times New Roman" w:hAnsi="Times New Roman" w:eastAsia="仿宋_GB2312" w:cs="Times New Roman"/>
          <w:b w:val="0"/>
          <w:bCs/>
          <w:color w:val="000000"/>
          <w:sz w:val="32"/>
          <w:szCs w:val="32"/>
          <w:highlight w:val="none"/>
        </w:rPr>
        <w:t>决算为</w:t>
      </w:r>
      <w:r>
        <w:rPr>
          <w:rStyle w:val="18"/>
          <w:rFonts w:hint="eastAsia" w:ascii="Times New Roman" w:hAnsi="Times New Roman" w:eastAsia="仿宋_GB2312" w:cs="Times New Roman"/>
          <w:b w:val="0"/>
          <w:bCs/>
          <w:color w:val="000000"/>
          <w:sz w:val="32"/>
          <w:szCs w:val="32"/>
          <w:highlight w:val="none"/>
          <w:lang w:val="en-US" w:eastAsia="zh-CN"/>
        </w:rPr>
        <w:t>0.04</w:t>
      </w:r>
      <w:r>
        <w:rPr>
          <w:rStyle w:val="18"/>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r>
        <w:rPr>
          <w:rStyle w:val="18"/>
          <w:rFonts w:hint="eastAsia" w:eastAsia="仿宋_GB2312" w:cs="Times New Roman"/>
          <w:bCs/>
          <w:color w:val="000000"/>
          <w:sz w:val="32"/>
          <w:szCs w:val="32"/>
          <w:lang w:val="en-US" w:eastAsia="zh-CN"/>
        </w:rPr>
        <w:t>8</w:t>
      </w:r>
      <w:r>
        <w:rPr>
          <w:rStyle w:val="18"/>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color w:val="000000"/>
          <w:sz w:val="32"/>
          <w:szCs w:val="32"/>
        </w:rPr>
        <w:t>卫生健康</w:t>
      </w:r>
      <w:r>
        <w:rPr>
          <w:rStyle w:val="18"/>
          <w:rFonts w:hint="default" w:ascii="Times New Roman" w:hAnsi="Times New Roman" w:eastAsia="仿宋_GB2312" w:cs="Times New Roman"/>
          <w:bCs/>
          <w:color w:val="000000"/>
          <w:sz w:val="32"/>
          <w:szCs w:val="32"/>
        </w:rPr>
        <w:t>（类）行政事业单位医疗（款）事业单位医疗（项）:</w:t>
      </w:r>
      <w:r>
        <w:rPr>
          <w:rStyle w:val="18"/>
          <w:rFonts w:hint="default" w:ascii="Times New Roman" w:hAnsi="Times New Roman" w:eastAsia="仿宋_GB2312" w:cs="Times New Roman"/>
          <w:b w:val="0"/>
          <w:bCs/>
          <w:color w:val="000000"/>
          <w:sz w:val="32"/>
          <w:szCs w:val="32"/>
        </w:rPr>
        <w:t>支出决算为</w:t>
      </w:r>
      <w:r>
        <w:rPr>
          <w:rStyle w:val="18"/>
          <w:rFonts w:hint="eastAsia" w:eastAsia="仿宋_GB2312" w:cs="Times New Roman"/>
          <w:b w:val="0"/>
          <w:bCs/>
          <w:color w:val="000000"/>
          <w:sz w:val="32"/>
          <w:szCs w:val="32"/>
          <w:lang w:val="en-US" w:eastAsia="zh-CN"/>
        </w:rPr>
        <w:t>8.89</w:t>
      </w:r>
      <w:r>
        <w:rPr>
          <w:rStyle w:val="18"/>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r>
        <w:rPr>
          <w:rFonts w:hint="eastAsia" w:eastAsia="仿宋_GB2312" w:cs="Times New Roman"/>
          <w:b/>
          <w:bCs/>
          <w:color w:val="000000"/>
          <w:sz w:val="32"/>
          <w:szCs w:val="32"/>
          <w:lang w:val="en-US" w:eastAsia="zh-CN"/>
        </w:rPr>
        <w:t>9</w:t>
      </w:r>
      <w:r>
        <w:rPr>
          <w:rFonts w:hint="default" w:ascii="Times New Roman" w:hAnsi="Times New Roman" w:eastAsia="仿宋_GB2312" w:cs="Times New Roman"/>
          <w:b/>
          <w:bCs/>
          <w:color w:val="000000"/>
          <w:sz w:val="32"/>
          <w:szCs w:val="32"/>
        </w:rPr>
        <w:t>.住房保障支出（类）住房改革支出（款） 住房公积金（项）：</w:t>
      </w:r>
      <w:r>
        <w:rPr>
          <w:rFonts w:hint="default" w:ascii="Times New Roman" w:hAnsi="Times New Roman" w:eastAsia="仿宋_GB2312" w:cs="Times New Roman"/>
          <w:color w:val="000000"/>
          <w:sz w:val="32"/>
          <w:szCs w:val="32"/>
        </w:rPr>
        <w:t>支出就算为</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5.95</w:t>
      </w:r>
      <w:r>
        <w:rPr>
          <w:rFonts w:hint="default" w:ascii="Times New Roman" w:hAnsi="Times New Roman" w:eastAsia="仿宋_GB2312" w:cs="Times New Roman"/>
          <w:color w:val="000000"/>
          <w:sz w:val="32"/>
          <w:szCs w:val="32"/>
        </w:rPr>
        <w:t>万元，完成预算100%。</w:t>
      </w:r>
    </w:p>
    <w:p>
      <w:pPr>
        <w:pageBreakBefore w:val="0"/>
        <w:tabs>
          <w:tab w:val="right" w:pos="8306"/>
        </w:tabs>
        <w:kinsoku/>
        <w:wordWrap/>
        <w:overflowPunct/>
        <w:topLinePunct w:val="0"/>
        <w:bidi w:val="0"/>
        <w:spacing w:line="600" w:lineRule="exact"/>
        <w:ind w:firstLine="640" w:firstLineChars="200"/>
        <w:textAlignment w:val="auto"/>
        <w:outlineLvl w:val="1"/>
        <w:rPr>
          <w:rStyle w:val="29"/>
          <w:rFonts w:hint="default" w:ascii="Times New Roman" w:hAnsi="Times New Roman" w:cs="Times New Roman"/>
        </w:rPr>
      </w:pPr>
      <w:bookmarkStart w:id="33" w:name="_Toc15377214"/>
      <w:bookmarkStart w:id="34" w:name="_Toc15396608"/>
      <w:r>
        <w:rPr>
          <w:rStyle w:val="29"/>
          <w:rFonts w:hint="default" w:ascii="Times New Roman" w:hAnsi="Times New Roman" w:eastAsia="方正黑体_GBK" w:cs="Times New Roman"/>
          <w:b w:val="0"/>
          <w:lang w:val="en-US" w:eastAsia="zh-CN" w:bidi="ar-SA"/>
        </w:rPr>
        <w:t>六、一般公共预算财政拨款基本支出决算情况说明</w:t>
      </w:r>
      <w:bookmarkEnd w:id="33"/>
      <w:bookmarkEnd w:id="34"/>
      <w:r>
        <w:rPr>
          <w:rStyle w:val="29"/>
          <w:rFonts w:hint="default" w:ascii="Times New Roman" w:hAnsi="Times New Roman" w:eastAsia="黑体" w:cs="Times New Roman"/>
          <w:b w:val="0"/>
        </w:rPr>
        <w:tab/>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eastAsia="zh-CN"/>
        </w:rPr>
        <w:t>2023</w:t>
      </w:r>
      <w:r>
        <w:rPr>
          <w:rFonts w:hint="default" w:ascii="Times New Roman" w:hAnsi="Times New Roman" w:eastAsia="方正仿宋_GBK" w:cs="Times New Roman"/>
          <w:color w:val="000000"/>
          <w:sz w:val="32"/>
          <w:szCs w:val="32"/>
        </w:rPr>
        <w:t>年一般公共预算财政拨款基本支出</w:t>
      </w:r>
      <w:r>
        <w:rPr>
          <w:rFonts w:hint="eastAsia" w:eastAsia="方正仿宋_GBK" w:cs="Times New Roman"/>
          <w:color w:val="000000"/>
          <w:sz w:val="32"/>
          <w:szCs w:val="32"/>
          <w:lang w:val="en-US" w:eastAsia="zh-CN"/>
        </w:rPr>
        <w:t>313.42</w:t>
      </w:r>
      <w:r>
        <w:rPr>
          <w:rFonts w:hint="default" w:ascii="Times New Roman" w:hAnsi="Times New Roman" w:eastAsia="方正仿宋_GBK" w:cs="Times New Roman"/>
          <w:color w:val="000000"/>
          <w:sz w:val="32"/>
          <w:szCs w:val="32"/>
        </w:rPr>
        <w:t>万元，其中：</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highlight w:val="none"/>
        </w:rPr>
        <w:t>人员经费</w:t>
      </w:r>
      <w:r>
        <w:rPr>
          <w:rFonts w:hint="eastAsia" w:eastAsia="方正仿宋_GBK" w:cs="Times New Roman"/>
          <w:color w:val="000000"/>
          <w:sz w:val="32"/>
          <w:szCs w:val="32"/>
          <w:highlight w:val="none"/>
          <w:lang w:val="en-US" w:eastAsia="zh-CN"/>
        </w:rPr>
        <w:t>295.49</w:t>
      </w:r>
      <w:r>
        <w:rPr>
          <w:rFonts w:hint="default" w:ascii="Times New Roman" w:hAnsi="Times New Roman" w:eastAsia="方正仿宋_GBK" w:cs="Times New Roman"/>
          <w:color w:val="000000"/>
          <w:sz w:val="32"/>
          <w:szCs w:val="32"/>
          <w:highlight w:val="none"/>
        </w:rPr>
        <w:t>万元，主</w:t>
      </w:r>
      <w:r>
        <w:rPr>
          <w:rFonts w:hint="default" w:ascii="Times New Roman" w:hAnsi="Times New Roman" w:eastAsia="方正仿宋_GBK" w:cs="Times New Roman"/>
          <w:color w:val="000000"/>
          <w:sz w:val="32"/>
          <w:szCs w:val="32"/>
        </w:rPr>
        <w:t>要包括：基本工资、津贴补贴、奖金、绩效工资、机关事业单位基本养老保险缴费、职工基本医疗保险缴费</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住房公积金、对个人和家庭的补助</w:t>
      </w:r>
      <w:r>
        <w:rPr>
          <w:rFonts w:hint="eastAsia" w:eastAsia="方正仿宋_GBK" w:cs="Times New Roman"/>
          <w:color w:val="000000"/>
          <w:sz w:val="32"/>
          <w:szCs w:val="32"/>
          <w:lang w:eastAsia="zh-CN"/>
        </w:rPr>
        <w:t>、生活补助、奖励金</w:t>
      </w:r>
      <w:r>
        <w:rPr>
          <w:rFonts w:hint="default" w:ascii="Times New Roman" w:hAnsi="Times New Roman" w:eastAsia="方正仿宋_GBK" w:cs="Times New Roman"/>
          <w:color w:val="000000"/>
          <w:sz w:val="32"/>
          <w:szCs w:val="32"/>
        </w:rPr>
        <w:t>等。</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color w:val="000000"/>
          <w:sz w:val="32"/>
          <w:szCs w:val="32"/>
          <w:highlight w:val="none"/>
        </w:rPr>
        <w:t>公用经费</w:t>
      </w:r>
      <w:r>
        <w:rPr>
          <w:rFonts w:hint="eastAsia" w:eastAsia="方正仿宋_GBK" w:cs="Times New Roman"/>
          <w:color w:val="000000"/>
          <w:sz w:val="32"/>
          <w:szCs w:val="32"/>
          <w:highlight w:val="none"/>
          <w:lang w:val="en-US" w:eastAsia="zh-CN"/>
        </w:rPr>
        <w:t>17.93</w:t>
      </w:r>
      <w:r>
        <w:rPr>
          <w:rFonts w:hint="default" w:ascii="Times New Roman" w:hAnsi="Times New Roman" w:eastAsia="方正仿宋_GBK" w:cs="Times New Roman"/>
          <w:color w:val="000000"/>
          <w:sz w:val="32"/>
          <w:szCs w:val="32"/>
          <w:highlight w:val="none"/>
        </w:rPr>
        <w:t>万元，</w:t>
      </w:r>
      <w:r>
        <w:rPr>
          <w:rFonts w:hint="default" w:ascii="Times New Roman" w:hAnsi="Times New Roman" w:eastAsia="方正仿宋_GBK" w:cs="Times New Roman"/>
          <w:color w:val="000000"/>
          <w:sz w:val="32"/>
          <w:szCs w:val="32"/>
        </w:rPr>
        <w:t>主要包括：办公费、水费、电费、邮电费、维修（护）费、培训费、公务接待费、劳务费、工会经费</w:t>
      </w:r>
      <w:r>
        <w:rPr>
          <w:rFonts w:hint="eastAsia" w:eastAsia="方正仿宋_GBK" w:cs="Times New Roman"/>
          <w:color w:val="000000"/>
          <w:sz w:val="32"/>
          <w:szCs w:val="32"/>
          <w:lang w:eastAsia="zh-CN"/>
        </w:rPr>
        <w:t>、福利费</w:t>
      </w:r>
      <w:r>
        <w:rPr>
          <w:rFonts w:hint="default" w:ascii="Times New Roman" w:hAnsi="Times New Roman" w:eastAsia="方正仿宋_GBK" w:cs="Times New Roman"/>
          <w:color w:val="000000"/>
          <w:sz w:val="32"/>
          <w:szCs w:val="32"/>
        </w:rPr>
        <w:t>等。</w:t>
      </w:r>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方正黑体_GBK" w:cs="Times New Roman"/>
          <w:b w:val="0"/>
          <w:lang w:val="en-US" w:eastAsia="zh-CN" w:bidi="ar-SA"/>
        </w:rPr>
      </w:pPr>
      <w:r>
        <w:rPr>
          <w:rStyle w:val="29"/>
          <w:rFonts w:hint="eastAsia" w:eastAsia="方正黑体_GBK" w:cs="Times New Roman"/>
          <w:b w:val="0"/>
          <w:lang w:val="en-US" w:eastAsia="zh-CN" w:bidi="ar-SA"/>
        </w:rPr>
        <w:t>七、财政拨款“三公”经费支出决算情况说明</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35" w:name="_Toc15377216"/>
      <w:r>
        <w:rPr>
          <w:rFonts w:hint="default" w:ascii="Times New Roman" w:hAnsi="Times New Roman" w:eastAsia="方正楷体_GBK" w:cs="Times New Roman"/>
          <w:b/>
          <w:bCs/>
          <w:sz w:val="36"/>
          <w:szCs w:val="36"/>
        </w:rPr>
        <w:t>（一）“三公”经费财政拨款支出决算总体情况说明</w:t>
      </w:r>
      <w:bookmarkEnd w:id="35"/>
    </w:p>
    <w:p>
      <w:pPr>
        <w:pageBreakBefore w:val="0"/>
        <w:kinsoku/>
        <w:wordWrap/>
        <w:overflowPunct/>
        <w:topLinePunct w:val="0"/>
        <w:bidi w:val="0"/>
        <w:spacing w:line="60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eastAsia" w:eastAsia="方正仿宋_GBK" w:cs="Times New Roman"/>
          <w:color w:val="000000"/>
          <w:sz w:val="32"/>
          <w:szCs w:val="32"/>
          <w:highlight w:val="none"/>
          <w:lang w:eastAsia="zh-CN"/>
        </w:rPr>
        <w:t>2023</w:t>
      </w:r>
      <w:r>
        <w:rPr>
          <w:rFonts w:hint="default" w:ascii="Times New Roman" w:hAnsi="Times New Roman" w:eastAsia="方正仿宋_GBK" w:cs="Times New Roman"/>
          <w:color w:val="000000"/>
          <w:sz w:val="32"/>
          <w:szCs w:val="32"/>
          <w:highlight w:val="none"/>
        </w:rPr>
        <w:t>年“三公”经费财政拨款支出决算为</w:t>
      </w:r>
      <w:r>
        <w:rPr>
          <w:rFonts w:hint="eastAsia" w:eastAsia="方正仿宋_GBK" w:cs="Times New Roman"/>
          <w:color w:val="000000"/>
          <w:sz w:val="32"/>
          <w:szCs w:val="32"/>
          <w:highlight w:val="none"/>
          <w:lang w:val="en-US" w:eastAsia="zh-CN"/>
        </w:rPr>
        <w:t>0.96</w:t>
      </w:r>
      <w:r>
        <w:rPr>
          <w:rFonts w:hint="default" w:ascii="Times New Roman" w:hAnsi="Times New Roman" w:eastAsia="方正仿宋_GBK" w:cs="Times New Roman"/>
          <w:color w:val="000000"/>
          <w:sz w:val="32"/>
          <w:szCs w:val="32"/>
          <w:highlight w:val="none"/>
        </w:rPr>
        <w:t>万元，完成预算</w:t>
      </w:r>
      <w:r>
        <w:rPr>
          <w:rFonts w:hint="eastAsia" w:eastAsia="方正仿宋_GBK" w:cs="Times New Roman"/>
          <w:color w:val="000000"/>
          <w:sz w:val="32"/>
          <w:szCs w:val="32"/>
          <w:highlight w:val="none"/>
          <w:lang w:val="en-US" w:eastAsia="zh-CN"/>
        </w:rPr>
        <w:t>100</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sz w:val="32"/>
          <w:szCs w:val="32"/>
          <w:highlight w:val="none"/>
        </w:rPr>
        <w:t>比</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减少</w:t>
      </w:r>
      <w:r>
        <w:rPr>
          <w:rFonts w:hint="eastAsia" w:eastAsia="方正仿宋_GBK" w:cs="Times New Roman"/>
          <w:sz w:val="32"/>
          <w:szCs w:val="32"/>
          <w:lang w:val="en-US" w:eastAsia="zh-CN"/>
        </w:rPr>
        <w:t>0.84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减少</w:t>
      </w:r>
      <w:r>
        <w:rPr>
          <w:rFonts w:hint="eastAsia" w:eastAsia="方正仿宋_GBK" w:cs="Times New Roman"/>
          <w:sz w:val="32"/>
          <w:szCs w:val="32"/>
          <w:lang w:val="en-US" w:eastAsia="zh-CN"/>
        </w:rPr>
        <w:t>47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highlight w:val="none"/>
        </w:rPr>
        <w:t>主要原因</w:t>
      </w:r>
      <w:r>
        <w:rPr>
          <w:rFonts w:hint="eastAsia" w:eastAsia="方正仿宋_GBK" w:cs="Times New Roman"/>
          <w:sz w:val="32"/>
          <w:szCs w:val="32"/>
          <w:highlight w:val="none"/>
          <w:lang w:eastAsia="zh-CN"/>
        </w:rPr>
        <w:t>是严格执行中央八项规定精神，厉行节约。</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36" w:name="_Toc15377217"/>
      <w:r>
        <w:rPr>
          <w:rFonts w:hint="default" w:ascii="Times New Roman" w:hAnsi="Times New Roman" w:eastAsia="方正楷体_GBK" w:cs="Times New Roman"/>
          <w:b/>
          <w:bCs/>
          <w:sz w:val="36"/>
          <w:szCs w:val="36"/>
        </w:rPr>
        <w:t>（二）“三公”经费财政拨款支出决算具体情况说明</w:t>
      </w:r>
      <w:bookmarkEnd w:id="36"/>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eastAsia="zh-CN"/>
        </w:rPr>
        <w:t>2023</w:t>
      </w:r>
      <w:r>
        <w:rPr>
          <w:rFonts w:hint="default" w:ascii="Times New Roman" w:hAnsi="Times New Roman" w:eastAsia="方正仿宋_GBK" w:cs="Times New Roman"/>
          <w:color w:val="000000"/>
          <w:sz w:val="32"/>
          <w:szCs w:val="32"/>
        </w:rPr>
        <w:t>年“三公”经费财政拨款支出</w:t>
      </w:r>
      <w:r>
        <w:rPr>
          <w:rFonts w:hint="eastAsia" w:eastAsia="方正仿宋_GBK" w:cs="Times New Roman"/>
          <w:color w:val="000000"/>
          <w:sz w:val="32"/>
          <w:szCs w:val="32"/>
          <w:lang w:val="en-US" w:eastAsia="zh-CN"/>
        </w:rPr>
        <w:t>0.96</w:t>
      </w:r>
      <w:r>
        <w:rPr>
          <w:rFonts w:hint="default" w:ascii="Times New Roman" w:hAnsi="Times New Roman" w:eastAsia="方正仿宋_GBK" w:cs="Times New Roman"/>
          <w:sz w:val="32"/>
          <w:szCs w:val="32"/>
        </w:rPr>
        <w:t>万元，比202</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减少</w:t>
      </w:r>
      <w:r>
        <w:rPr>
          <w:rFonts w:hint="eastAsia" w:eastAsia="方正仿宋_GBK" w:cs="Times New Roman"/>
          <w:sz w:val="32"/>
          <w:szCs w:val="32"/>
          <w:lang w:val="en-US" w:eastAsia="zh-CN"/>
        </w:rPr>
        <w:t>0.84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减少</w:t>
      </w:r>
      <w:r>
        <w:rPr>
          <w:rFonts w:hint="eastAsia" w:eastAsia="方正仿宋_GBK" w:cs="Times New Roman"/>
          <w:sz w:val="32"/>
          <w:szCs w:val="32"/>
          <w:lang w:val="en-US" w:eastAsia="zh-CN"/>
        </w:rPr>
        <w:t>47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highlight w:val="none"/>
        </w:rPr>
        <w:t>主要原因是</w:t>
      </w:r>
      <w:r>
        <w:rPr>
          <w:rFonts w:hint="eastAsia" w:eastAsia="方正仿宋_GBK" w:cs="Times New Roman"/>
          <w:sz w:val="32"/>
          <w:szCs w:val="32"/>
          <w:highlight w:val="none"/>
          <w:lang w:eastAsia="zh-CN"/>
        </w:rPr>
        <w:t>2023</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压缩“三公”经费财政拨款支出</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b/>
          <w:bCs/>
          <w:color w:val="000000"/>
          <w:sz w:val="32"/>
          <w:szCs w:val="32"/>
          <w:highlight w:val="none"/>
        </w:rPr>
        <w:t>因公出国（境）费支出</w:t>
      </w:r>
      <w:r>
        <w:rPr>
          <w:rFonts w:hint="default" w:ascii="Times New Roman" w:hAnsi="Times New Roman" w:eastAsia="方正仿宋_GBK" w:cs="Times New Roman"/>
          <w:color w:val="000000"/>
          <w:sz w:val="32"/>
          <w:szCs w:val="32"/>
          <w:highlight w:val="none"/>
        </w:rPr>
        <w:t>决算0万元，占0%；</w:t>
      </w:r>
      <w:r>
        <w:rPr>
          <w:rFonts w:hint="default" w:ascii="Times New Roman" w:hAnsi="Times New Roman" w:eastAsia="方正仿宋_GBK" w:cs="Times New Roman"/>
          <w:b/>
          <w:bCs/>
          <w:color w:val="000000"/>
          <w:sz w:val="32"/>
          <w:szCs w:val="32"/>
          <w:highlight w:val="none"/>
        </w:rPr>
        <w:t>公务用车购置及运行维护费支出</w:t>
      </w:r>
      <w:r>
        <w:rPr>
          <w:rFonts w:hint="default" w:ascii="Times New Roman" w:hAnsi="Times New Roman" w:eastAsia="方正仿宋_GBK" w:cs="Times New Roman"/>
          <w:color w:val="000000"/>
          <w:sz w:val="32"/>
          <w:szCs w:val="32"/>
          <w:highlight w:val="none"/>
        </w:rPr>
        <w:t>决算</w:t>
      </w:r>
      <w:r>
        <w:rPr>
          <w:rFonts w:hint="eastAsia" w:ascii="Times New Roman" w:hAnsi="Times New Roman" w:eastAsia="方正仿宋_GBK" w:cs="Times New Roman"/>
          <w:color w:val="000000"/>
          <w:sz w:val="32"/>
          <w:szCs w:val="32"/>
          <w:highlight w:val="none"/>
          <w:lang w:val="en-US" w:eastAsia="zh-CN"/>
        </w:rPr>
        <w:t>0</w:t>
      </w:r>
      <w:r>
        <w:rPr>
          <w:rFonts w:hint="default" w:ascii="Times New Roman" w:hAnsi="Times New Roman" w:eastAsia="方正仿宋_GBK" w:cs="Times New Roman"/>
          <w:color w:val="000000"/>
          <w:sz w:val="32"/>
          <w:szCs w:val="32"/>
          <w:highlight w:val="none"/>
        </w:rPr>
        <w:t>万元，占</w:t>
      </w:r>
      <w:r>
        <w:rPr>
          <w:rFonts w:hint="eastAsia" w:ascii="Times New Roman" w:hAnsi="Times New Roman" w:eastAsia="方正仿宋_GBK" w:cs="Times New Roman"/>
          <w:color w:val="000000"/>
          <w:sz w:val="32"/>
          <w:szCs w:val="32"/>
          <w:highlight w:val="none"/>
          <w:lang w:val="en-US" w:eastAsia="zh-CN"/>
        </w:rPr>
        <w:t>0</w:t>
      </w:r>
      <w:r>
        <w:rPr>
          <w:rFonts w:hint="default" w:ascii="Times New Roman" w:hAnsi="Times New Roman" w:eastAsia="方正仿宋_GBK" w:cs="Times New Roman"/>
          <w:color w:val="000000"/>
          <w:sz w:val="32"/>
          <w:szCs w:val="32"/>
          <w:highlight w:val="none"/>
        </w:rPr>
        <w:t>%；</w:t>
      </w:r>
      <w:r>
        <w:rPr>
          <w:rFonts w:hint="eastAsia" w:eastAsia="方正仿宋_GBK" w:cs="Times New Roman"/>
          <w:b/>
          <w:bCs/>
          <w:sz w:val="32"/>
          <w:szCs w:val="32"/>
          <w:highlight w:val="none"/>
          <w:lang w:eastAsia="zh-CN"/>
        </w:rPr>
        <w:t>国内公务接待支出</w:t>
      </w:r>
      <w:r>
        <w:rPr>
          <w:rFonts w:hint="eastAsia" w:eastAsia="方正仿宋_GBK" w:cs="Times New Roman"/>
          <w:sz w:val="32"/>
          <w:szCs w:val="32"/>
          <w:highlight w:val="none"/>
          <w:lang w:val="en-US" w:eastAsia="zh-CN"/>
        </w:rPr>
        <w:t>0.96万元，主要用于公务接待、交易业务活动开支，</w:t>
      </w:r>
      <w:r>
        <w:rPr>
          <w:rFonts w:hint="default" w:ascii="Times New Roman" w:hAnsi="Times New Roman" w:eastAsia="方正仿宋_GBK" w:cs="Times New Roman"/>
          <w:color w:val="000000"/>
          <w:sz w:val="32"/>
          <w:szCs w:val="32"/>
        </w:rPr>
        <w:t>具体情况如下：</w:t>
      </w:r>
    </w:p>
    <w:p>
      <w:pPr>
        <w:pStyle w:val="6"/>
        <w:pageBreakBefore w:val="0"/>
        <w:kinsoku/>
        <w:wordWrap/>
        <w:overflowPunct/>
        <w:topLinePunct w:val="0"/>
        <w:bidi w:val="0"/>
        <w:spacing w:before="93"/>
        <w:ind w:firstLine="600" w:firstLineChars="200"/>
        <w:jc w:val="center"/>
        <w:textAlignment w:val="auto"/>
        <w:rPr>
          <w:rFonts w:hint="default" w:ascii="Times New Roman" w:hAnsi="Times New Roman" w:cs="Times New Roman"/>
        </w:rPr>
      </w:pPr>
      <w:r>
        <w:rPr>
          <w:rFonts w:hint="default" w:ascii="Times New Roman" w:hAnsi="Times New Roman" w:eastAsia="仿宋" w:cs="Times New Roman"/>
        </w:rPr>
        <w:drawing>
          <wp:inline distT="0" distB="0" distL="114300" distR="114300">
            <wp:extent cx="4104640" cy="2945765"/>
            <wp:effectExtent l="4445" t="4445" r="5715"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rPr>
        <w:t>（图7：“三公”经费财政拨款支出结</w:t>
      </w:r>
      <w:r>
        <w:rPr>
          <w:rFonts w:hint="default" w:ascii="Times New Roman" w:hAnsi="Times New Roman" w:eastAsia="仿宋" w:cs="Times New Roman"/>
          <w:color w:val="000000"/>
          <w:sz w:val="32"/>
          <w:szCs w:val="32"/>
          <w:highlight w:val="none"/>
        </w:rPr>
        <w:t>构）（饼状图）</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lang w:eastAsia="zh-CN"/>
        </w:rPr>
      </w:pPr>
      <w:r>
        <w:rPr>
          <w:rFonts w:hint="eastAsia"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因公出国（境）经费支出0万元</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方正仿宋_GBK" w:cs="Times New Roman"/>
          <w:color w:val="000000"/>
          <w:sz w:val="33"/>
          <w:szCs w:val="33"/>
          <w:lang w:eastAsia="zh-CN"/>
        </w:rPr>
        <w:t>完成预算</w:t>
      </w:r>
      <w:r>
        <w:rPr>
          <w:rFonts w:hint="default" w:ascii="Times New Roman" w:hAnsi="Times New Roman" w:eastAsia="方正仿宋_GBK" w:cs="Times New Roman"/>
          <w:color w:val="000000"/>
          <w:sz w:val="33"/>
          <w:szCs w:val="33"/>
          <w:lang w:val="en-US" w:eastAsia="zh-CN"/>
        </w:rPr>
        <w:t>0%，与202</w:t>
      </w:r>
      <w:r>
        <w:rPr>
          <w:rFonts w:hint="eastAsia" w:eastAsia="方正仿宋_GBK" w:cs="Times New Roman"/>
          <w:color w:val="000000"/>
          <w:sz w:val="33"/>
          <w:szCs w:val="33"/>
          <w:lang w:val="en-US" w:eastAsia="zh-CN"/>
        </w:rPr>
        <w:t>2</w:t>
      </w:r>
      <w:r>
        <w:rPr>
          <w:rFonts w:hint="default" w:ascii="Times New Roman" w:hAnsi="Times New Roman" w:eastAsia="方正仿宋_GBK" w:cs="Times New Roman"/>
          <w:color w:val="000000"/>
          <w:sz w:val="33"/>
          <w:szCs w:val="33"/>
          <w:lang w:val="en-US" w:eastAsia="zh-CN"/>
        </w:rPr>
        <w:t>年相同，主要原因是</w:t>
      </w:r>
      <w:r>
        <w:rPr>
          <w:rFonts w:hint="eastAsia" w:eastAsia="方正仿宋_GBK" w:cs="Times New Roman"/>
          <w:color w:val="000000"/>
          <w:sz w:val="33"/>
          <w:szCs w:val="33"/>
          <w:lang w:val="en-US" w:eastAsia="zh-CN"/>
        </w:rPr>
        <w:t>2023</w:t>
      </w:r>
      <w:r>
        <w:rPr>
          <w:rFonts w:hint="default" w:ascii="Times New Roman" w:hAnsi="Times New Roman" w:eastAsia="方正仿宋_GBK" w:cs="Times New Roman"/>
          <w:color w:val="000000"/>
          <w:sz w:val="33"/>
          <w:szCs w:val="33"/>
          <w:lang w:val="en-US" w:eastAsia="zh-CN"/>
        </w:rPr>
        <w:t>年我部门没有</w:t>
      </w:r>
      <w:r>
        <w:rPr>
          <w:rFonts w:hint="default" w:ascii="Times New Roman" w:hAnsi="Times New Roman" w:eastAsia="方正仿宋_GBK" w:cs="Times New Roman"/>
          <w:color w:val="000000"/>
          <w:sz w:val="33"/>
          <w:szCs w:val="33"/>
        </w:rPr>
        <w:t>因公出国（境）经费支出。全年安排因公出国（境）团组0次，出国（境）0人。因公出国（境）支出决算</w:t>
      </w:r>
      <w:r>
        <w:rPr>
          <w:rFonts w:hint="default" w:ascii="Times New Roman" w:hAnsi="Times New Roman" w:eastAsia="方正仿宋_GBK" w:cs="Times New Roman"/>
          <w:color w:val="000000"/>
          <w:sz w:val="33"/>
          <w:szCs w:val="33"/>
          <w:lang w:eastAsia="zh-CN"/>
        </w:rPr>
        <w:t>与</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2</w:t>
      </w:r>
      <w:r>
        <w:rPr>
          <w:rFonts w:hint="default" w:ascii="Times New Roman" w:hAnsi="Times New Roman" w:eastAsia="方正仿宋_GBK" w:cs="Times New Roman"/>
          <w:color w:val="000000"/>
          <w:sz w:val="33"/>
          <w:szCs w:val="33"/>
        </w:rPr>
        <w:t>年</w:t>
      </w:r>
      <w:r>
        <w:rPr>
          <w:rFonts w:hint="default" w:ascii="Times New Roman" w:hAnsi="Times New Roman" w:eastAsia="方正仿宋_GBK" w:cs="Times New Roman"/>
          <w:color w:val="000000"/>
          <w:sz w:val="33"/>
          <w:szCs w:val="33"/>
          <w:lang w:eastAsia="zh-CN"/>
        </w:rPr>
        <w:t>相同，为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方正仿宋_GBK" w:cs="Times New Roman"/>
          <w:color w:val="000000"/>
          <w:sz w:val="33"/>
          <w:szCs w:val="33"/>
        </w:rPr>
        <w:t>万元</w:t>
      </w:r>
      <w:r>
        <w:rPr>
          <w:rFonts w:hint="default" w:ascii="Times New Roman" w:hAnsi="Times New Roman" w:eastAsia="仿宋_GB2312" w:cs="Times New Roman"/>
          <w:color w:val="000000"/>
          <w:sz w:val="32"/>
          <w:szCs w:val="32"/>
        </w:rPr>
        <w:t>，</w:t>
      </w:r>
      <w:r>
        <w:rPr>
          <w:rFonts w:hint="default" w:ascii="Times New Roman" w:hAnsi="Times New Roman" w:eastAsia="方正仿宋_GBK" w:cs="Times New Roman"/>
          <w:color w:val="000000"/>
          <w:sz w:val="33"/>
          <w:szCs w:val="33"/>
          <w:lang w:val="en-US" w:eastAsia="zh-CN"/>
        </w:rPr>
        <w:t>主要原因是</w:t>
      </w:r>
      <w:r>
        <w:rPr>
          <w:rFonts w:hint="eastAsia" w:eastAsia="方正仿宋_GBK" w:cs="Times New Roman"/>
          <w:color w:val="000000"/>
          <w:sz w:val="33"/>
          <w:szCs w:val="33"/>
          <w:lang w:val="en-US" w:eastAsia="zh-CN"/>
        </w:rPr>
        <w:t>2023</w:t>
      </w:r>
      <w:r>
        <w:rPr>
          <w:rFonts w:hint="default" w:ascii="Times New Roman" w:hAnsi="Times New Roman" w:eastAsia="方正仿宋_GBK" w:cs="Times New Roman"/>
          <w:color w:val="000000"/>
          <w:sz w:val="33"/>
          <w:szCs w:val="33"/>
          <w:lang w:val="en-US" w:eastAsia="zh-CN"/>
        </w:rPr>
        <w:t>年我部门没有</w:t>
      </w:r>
      <w:r>
        <w:rPr>
          <w:rFonts w:hint="default" w:ascii="Times New Roman" w:hAnsi="Times New Roman" w:eastAsia="方正仿宋_GBK" w:cs="Times New Roman"/>
          <w:color w:val="000000"/>
          <w:sz w:val="33"/>
          <w:szCs w:val="33"/>
        </w:rPr>
        <w:t>因公出国（境）经费支出</w:t>
      </w:r>
      <w:r>
        <w:rPr>
          <w:rFonts w:hint="default" w:ascii="Times New Roman" w:hAnsi="Times New Roman" w:eastAsia="仿宋_GB2312" w:cs="Times New Roman"/>
          <w:color w:val="000000"/>
          <w:sz w:val="32"/>
          <w:szCs w:val="32"/>
        </w:rPr>
        <w:t>。</w:t>
      </w:r>
    </w:p>
    <w:p>
      <w:pPr>
        <w:pageBreakBefore w:val="0"/>
        <w:numPr>
          <w:ilvl w:val="0"/>
          <w:numId w:val="0"/>
        </w:numPr>
        <w:kinsoku/>
        <w:wordWrap/>
        <w:overflowPunct/>
        <w:topLinePunct w:val="0"/>
        <w:bidi w:val="0"/>
        <w:spacing w:line="600" w:lineRule="exact"/>
        <w:ind w:firstLine="642" w:firstLineChars="200"/>
        <w:textAlignment w:val="auto"/>
        <w:rPr>
          <w:rFonts w:hint="eastAsia"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b/>
          <w:color w:val="000000"/>
          <w:sz w:val="32"/>
          <w:szCs w:val="32"/>
          <w:highlight w:val="none"/>
        </w:rPr>
        <w:t>.公务用车购置及运行维护费支出</w:t>
      </w:r>
      <w:r>
        <w:rPr>
          <w:rFonts w:hint="default" w:ascii="Times New Roman" w:hAnsi="Times New Roman" w:eastAsia="仿宋_GB2312" w:cs="Times New Roman"/>
          <w:b/>
          <w:color w:val="000000"/>
          <w:sz w:val="32"/>
          <w:szCs w:val="32"/>
          <w:highlight w:val="none"/>
          <w:lang w:val="en-US" w:eastAsia="zh-CN"/>
        </w:rPr>
        <w:t>0</w:t>
      </w:r>
      <w:r>
        <w:rPr>
          <w:rFonts w:hint="default" w:ascii="Times New Roman" w:hAnsi="Times New Roman" w:eastAsia="仿宋_GB2312" w:cs="Times New Roman"/>
          <w:b/>
          <w:color w:val="000000"/>
          <w:sz w:val="32"/>
          <w:szCs w:val="32"/>
          <w:highlight w:val="none"/>
        </w:rPr>
        <w:t>万元</w:t>
      </w:r>
      <w:r>
        <w:rPr>
          <w:rFonts w:hint="eastAsia" w:ascii="仿宋_GB2312" w:hAnsi="仿宋_GB2312" w:eastAsia="仿宋_GB2312" w:cs="仿宋_GB2312"/>
          <w:color w:val="000000"/>
          <w:sz w:val="32"/>
          <w:szCs w:val="32"/>
          <w:highlight w:val="none"/>
        </w:rPr>
        <w:t>,</w:t>
      </w:r>
      <w:r>
        <w:rPr>
          <w:rFonts w:hint="eastAsia" w:ascii="Times New Roman" w:hAnsi="Times New Roman" w:eastAsia="仿宋_GB2312" w:cs="Times New Roman"/>
          <w:color w:val="000000"/>
          <w:sz w:val="32"/>
          <w:szCs w:val="32"/>
          <w:highlight w:val="none"/>
        </w:rPr>
        <w:t>完成预算</w:t>
      </w:r>
      <w:r>
        <w:rPr>
          <w:rStyle w:val="18"/>
          <w:rFonts w:hint="default" w:ascii="Times New Roman" w:hAnsi="Times New Roman" w:eastAsia="仿宋" w:cs="Times New Roman"/>
          <w:b w:val="0"/>
          <w:bCs/>
          <w:color w:val="000000"/>
          <w:sz w:val="32"/>
          <w:szCs w:val="32"/>
          <w:highlight w:val="none"/>
        </w:rPr>
        <w:t>100%</w:t>
      </w:r>
      <w:r>
        <w:rPr>
          <w:rStyle w:val="18"/>
          <w:rFonts w:hint="eastAsia" w:eastAsia="仿宋" w:cs="Times New Roman"/>
          <w:b w:val="0"/>
          <w:bCs/>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主要原因是</w:t>
      </w:r>
      <w:r>
        <w:rPr>
          <w:rFonts w:hint="eastAsia" w:eastAsia="仿宋_GB2312" w:cs="Times New Roman"/>
          <w:color w:val="000000"/>
          <w:sz w:val="32"/>
          <w:szCs w:val="32"/>
          <w:highlight w:val="none"/>
          <w:lang w:eastAsia="zh-CN"/>
        </w:rPr>
        <w:t>无</w:t>
      </w:r>
      <w:r>
        <w:rPr>
          <w:rFonts w:hint="eastAsia" w:ascii="Times New Roman" w:hAnsi="Times New Roman" w:eastAsia="仿宋_GB2312" w:cs="Times New Roman"/>
          <w:color w:val="000000"/>
          <w:sz w:val="32"/>
          <w:szCs w:val="32"/>
          <w:highlight w:val="none"/>
          <w:lang w:eastAsia="zh-CN"/>
        </w:rPr>
        <w:t>公务用车</w:t>
      </w:r>
      <w:r>
        <w:rPr>
          <w:rFonts w:hint="eastAsia" w:eastAsia="仿宋_GB2312" w:cs="Times New Roman"/>
          <w:color w:val="000000"/>
          <w:sz w:val="32"/>
          <w:szCs w:val="32"/>
          <w:highlight w:val="none"/>
          <w:lang w:eastAsia="zh-CN"/>
        </w:rPr>
        <w:t>，未产生</w:t>
      </w:r>
      <w:r>
        <w:rPr>
          <w:rFonts w:hint="eastAsia" w:ascii="Times New Roman" w:hAnsi="Times New Roman" w:eastAsia="仿宋_GB2312" w:cs="Times New Roman"/>
          <w:color w:val="000000"/>
          <w:sz w:val="32"/>
          <w:szCs w:val="32"/>
          <w:highlight w:val="none"/>
          <w:lang w:eastAsia="zh-CN"/>
        </w:rPr>
        <w:t>购置及运行维护</w:t>
      </w:r>
      <w:r>
        <w:rPr>
          <w:rFonts w:hint="eastAsia" w:eastAsia="仿宋_GB2312" w:cs="Times New Roman"/>
          <w:color w:val="000000"/>
          <w:sz w:val="32"/>
          <w:szCs w:val="32"/>
          <w:highlight w:val="none"/>
          <w:lang w:eastAsia="zh-CN"/>
        </w:rPr>
        <w:t>等</w:t>
      </w:r>
      <w:r>
        <w:rPr>
          <w:rFonts w:hint="eastAsia" w:ascii="Times New Roman" w:hAnsi="Times New Roman" w:eastAsia="仿宋_GB2312" w:cs="Times New Roman"/>
          <w:color w:val="000000"/>
          <w:sz w:val="32"/>
          <w:szCs w:val="32"/>
          <w:highlight w:val="none"/>
          <w:lang w:eastAsia="zh-CN"/>
        </w:rPr>
        <w:t>情况。</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公务用车购置支出0元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截至</w:t>
      </w:r>
      <w:r>
        <w:rPr>
          <w:rFonts w:hint="eastAsia"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年12月底，单</w:t>
      </w:r>
      <w:r>
        <w:rPr>
          <w:rFonts w:hint="default" w:ascii="Times New Roman" w:hAnsi="Times New Roman" w:eastAsia="仿宋_GB2312" w:cs="Times New Roman"/>
          <w:color w:val="000000"/>
          <w:sz w:val="32"/>
          <w:szCs w:val="32"/>
          <w:highlight w:val="none"/>
        </w:rPr>
        <w:t>位共有公务用车</w:t>
      </w:r>
      <w:r>
        <w:rPr>
          <w:rFonts w:hint="eastAsia"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辆，其中：轿车</w:t>
      </w:r>
      <w:r>
        <w:rPr>
          <w:rFonts w:hint="eastAsia"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辆。</w:t>
      </w:r>
    </w:p>
    <w:p>
      <w:pPr>
        <w:pageBreakBefore w:val="0"/>
        <w:kinsoku/>
        <w:wordWrap/>
        <w:overflowPunct/>
        <w:topLinePunct w:val="0"/>
        <w:bidi w:val="0"/>
        <w:spacing w:line="600" w:lineRule="exact"/>
        <w:ind w:firstLine="642" w:firstLineChars="200"/>
        <w:textAlignment w:val="auto"/>
        <w:rPr>
          <w:rFonts w:hint="eastAsia" w:ascii="Times New Roman" w:hAnsi="Times New Roman" w:eastAsia="仿宋_GB2312" w:cs="Times New Roman"/>
          <w:color w:val="000000"/>
          <w:sz w:val="32"/>
          <w:szCs w:val="32"/>
          <w:highlight w:val="yellow"/>
          <w:lang w:eastAsia="zh-CN"/>
        </w:rPr>
      </w:pP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highlight w:val="none"/>
        </w:rPr>
        <w:t>元，主要原因是</w:t>
      </w:r>
      <w:r>
        <w:rPr>
          <w:rFonts w:hint="eastAsia" w:ascii="Times New Roman" w:hAnsi="Times New Roman" w:eastAsia="仿宋_GB2312" w:cs="Times New Roman"/>
          <w:sz w:val="32"/>
          <w:szCs w:val="32"/>
          <w:highlight w:val="none"/>
          <w:lang w:eastAsia="zh-CN"/>
        </w:rPr>
        <w:t>未产生车辆维修等情况。</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仿宋_GB2312" w:cs="Times New Roman"/>
          <w:b/>
          <w:color w:val="000000"/>
          <w:sz w:val="32"/>
          <w:szCs w:val="32"/>
        </w:rPr>
        <w:t>3.公务接待费支出</w:t>
      </w:r>
      <w:r>
        <w:rPr>
          <w:rFonts w:hint="eastAsia" w:eastAsia="仿宋_GB2312" w:cs="Times New Roman"/>
          <w:b/>
          <w:color w:val="000000"/>
          <w:sz w:val="32"/>
          <w:szCs w:val="32"/>
          <w:lang w:val="en-US" w:eastAsia="zh-CN"/>
        </w:rPr>
        <w:t>0.96</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highlight w:val="none"/>
        </w:rPr>
        <w:t>完成预算</w:t>
      </w:r>
      <w:r>
        <w:rPr>
          <w:rFonts w:hint="eastAsia"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color w:val="000000"/>
          <w:sz w:val="32"/>
          <w:szCs w:val="32"/>
          <w:highlight w:val="none"/>
        </w:rPr>
        <w:t>%。公务接待费支出决算比202</w:t>
      </w:r>
      <w:r>
        <w:rPr>
          <w:rFonts w:hint="eastAsia"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年</w:t>
      </w:r>
      <w:r>
        <w:rPr>
          <w:rFonts w:hint="eastAsia" w:eastAsia="仿宋_GB2312" w:cs="Times New Roman"/>
          <w:color w:val="000000"/>
          <w:sz w:val="32"/>
          <w:szCs w:val="32"/>
          <w:highlight w:val="none"/>
          <w:lang w:eastAsia="zh-CN"/>
        </w:rPr>
        <w:t>减少</w:t>
      </w:r>
      <w:r>
        <w:rPr>
          <w:rFonts w:hint="eastAsia" w:eastAsia="仿宋_GB2312" w:cs="Times New Roman"/>
          <w:color w:val="000000"/>
          <w:sz w:val="32"/>
          <w:szCs w:val="32"/>
          <w:highlight w:val="none"/>
          <w:lang w:val="en-US" w:eastAsia="zh-CN"/>
        </w:rPr>
        <w:t>0.84</w:t>
      </w:r>
      <w:r>
        <w:rPr>
          <w:rFonts w:hint="default" w:ascii="Times New Roman" w:hAnsi="Times New Roman" w:eastAsia="仿宋_GB2312" w:cs="Times New Roman"/>
          <w:color w:val="000000"/>
          <w:sz w:val="32"/>
          <w:szCs w:val="32"/>
          <w:highlight w:val="none"/>
        </w:rPr>
        <w:t>万元，</w:t>
      </w:r>
      <w:r>
        <w:rPr>
          <w:rFonts w:hint="eastAsia" w:eastAsia="仿宋_GB2312" w:cs="Times New Roman"/>
          <w:color w:val="000000"/>
          <w:sz w:val="32"/>
          <w:szCs w:val="32"/>
          <w:highlight w:val="none"/>
          <w:lang w:eastAsia="zh-CN"/>
        </w:rPr>
        <w:t>下降</w:t>
      </w:r>
      <w:r>
        <w:rPr>
          <w:rFonts w:hint="eastAsia" w:eastAsia="仿宋_GB2312" w:cs="Times New Roman"/>
          <w:color w:val="000000"/>
          <w:sz w:val="32"/>
          <w:szCs w:val="32"/>
          <w:highlight w:val="none"/>
          <w:lang w:val="en-US" w:eastAsia="zh-CN"/>
        </w:rPr>
        <w:t>47</w:t>
      </w:r>
      <w:r>
        <w:rPr>
          <w:rFonts w:hint="default" w:ascii="Times New Roman" w:hAnsi="Times New Roman" w:eastAsia="仿宋_GB2312" w:cs="Times New Roman"/>
          <w:color w:val="000000"/>
          <w:sz w:val="32"/>
          <w:szCs w:val="32"/>
          <w:highlight w:val="none"/>
        </w:rPr>
        <w:t>%。主要原因是</w:t>
      </w:r>
      <w:r>
        <w:rPr>
          <w:rFonts w:hint="eastAsia" w:eastAsia="方正仿宋_GBK" w:cs="Times New Roman"/>
          <w:sz w:val="32"/>
          <w:szCs w:val="32"/>
          <w:highlight w:val="none"/>
          <w:lang w:eastAsia="zh-CN"/>
        </w:rPr>
        <w:t>2023</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压缩“三公”经费财政拨款支出</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eastAsia="zh-CN"/>
        </w:rPr>
        <w:t>国内公务接待</w:t>
      </w:r>
      <w:r>
        <w:rPr>
          <w:rFonts w:hint="eastAsia" w:eastAsia="方正仿宋_GBK" w:cs="Times New Roman"/>
          <w:sz w:val="32"/>
          <w:szCs w:val="32"/>
          <w:highlight w:val="none"/>
          <w:lang w:val="en-US" w:eastAsia="zh-CN"/>
        </w:rPr>
        <w:t>2批次（30人次），广安市公共资源交易中心来邻调研用餐共计支出950元，岳池县公共资源交易中心来邻交流学习用餐共计支出760元；邻土储【2020】4号、5号地块拍卖用餐26人次，共计1590元；邻土储【2022】15号地块拍卖用餐14人次，共计835.2元；邻土储【2022】61号地块拍卖用餐26人次，共计1564.8元；邻土储【2023】13号用餐22人次，共计1300元；邻土储【2023】72号、73号地块拍卖用餐23人次，共计1380元，邻土储【2023】13号地块拍卖用餐20人，共计1220元。</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仿宋" w:cs="Times New Roman"/>
          <w:b/>
          <w:color w:val="000000"/>
          <w:sz w:val="32"/>
          <w:szCs w:val="32"/>
        </w:rPr>
        <w:t>外事接待支出</w:t>
      </w:r>
      <w:r>
        <w:rPr>
          <w:rFonts w:hint="default" w:ascii="Times New Roman" w:hAnsi="Times New Roman" w:eastAsia="仿宋" w:cs="Times New Roman"/>
          <w:color w:val="000000"/>
          <w:sz w:val="32"/>
          <w:szCs w:val="32"/>
        </w:rPr>
        <w:t>0</w:t>
      </w:r>
      <w:r>
        <w:rPr>
          <w:rFonts w:hint="default" w:ascii="Times New Roman" w:hAnsi="Times New Roman" w:eastAsia="仿宋_GB2312" w:cs="Times New Roman"/>
          <w:color w:val="000000"/>
          <w:sz w:val="32"/>
          <w:szCs w:val="32"/>
        </w:rPr>
        <w:t>万元。</w:t>
      </w:r>
      <w:bookmarkStart w:id="37" w:name="_Toc15377218"/>
      <w:bookmarkStart w:id="38" w:name="_Toc15396610"/>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方正黑体_GBK" w:cs="Times New Roman"/>
          <w:b w:val="0"/>
          <w:lang w:val="en-US" w:eastAsia="zh-CN" w:bidi="ar-SA"/>
        </w:rPr>
      </w:pPr>
      <w:r>
        <w:rPr>
          <w:rStyle w:val="29"/>
          <w:rFonts w:hint="eastAsia" w:eastAsia="方正黑体_GBK" w:cs="Times New Roman"/>
          <w:b w:val="0"/>
          <w:lang w:val="en-US" w:eastAsia="zh-CN" w:bidi="ar-SA"/>
        </w:rPr>
        <w:t>八</w:t>
      </w:r>
      <w:r>
        <w:rPr>
          <w:rStyle w:val="29"/>
          <w:rFonts w:hint="default" w:ascii="Times New Roman" w:hAnsi="Times New Roman" w:eastAsia="方正黑体_GBK" w:cs="Times New Roman"/>
          <w:b w:val="0"/>
          <w:lang w:val="en-US" w:eastAsia="zh-CN" w:bidi="ar-SA"/>
        </w:rPr>
        <w:t>、政府性基金预算支出决算情况说明</w:t>
      </w:r>
      <w:bookmarkEnd w:id="37"/>
      <w:bookmarkEnd w:id="38"/>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年政府性基金预算拨款支出0万元。</w:t>
      </w:r>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方正黑体_GBK" w:cs="Times New Roman"/>
          <w:b w:val="0"/>
          <w:lang w:val="en-US" w:eastAsia="zh-CN" w:bidi="ar-SA"/>
        </w:rPr>
      </w:pPr>
      <w:bookmarkStart w:id="39" w:name="_Toc15377219"/>
      <w:bookmarkStart w:id="40" w:name="_Toc15396611"/>
      <w:r>
        <w:rPr>
          <w:rStyle w:val="29"/>
          <w:rFonts w:hint="eastAsia" w:eastAsia="方正黑体_GBK" w:cs="Times New Roman"/>
          <w:b w:val="0"/>
          <w:lang w:val="en-US" w:eastAsia="zh-CN" w:bidi="ar-SA"/>
        </w:rPr>
        <w:t>九</w:t>
      </w:r>
      <w:r>
        <w:rPr>
          <w:rStyle w:val="29"/>
          <w:rFonts w:hint="default" w:ascii="Times New Roman" w:hAnsi="Times New Roman" w:eastAsia="方正黑体_GBK" w:cs="Times New Roman"/>
          <w:b w:val="0"/>
          <w:lang w:val="en-US" w:eastAsia="zh-CN" w:bidi="ar-SA"/>
        </w:rPr>
        <w:t>、国有资本经营预算支出决算情况说明</w:t>
      </w:r>
      <w:bookmarkEnd w:id="39"/>
      <w:bookmarkEnd w:id="40"/>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小标宋简体" w:cs="Times New Roman"/>
          <w:sz w:val="44"/>
          <w:szCs w:val="44"/>
        </w:rPr>
      </w:pPr>
      <w:r>
        <w:rPr>
          <w:rFonts w:hint="eastAsia"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年国有资本经营预算拨款支出0万元。</w:t>
      </w:r>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方正黑体_GBK" w:cs="Times New Roman"/>
          <w:b w:val="0"/>
          <w:lang w:val="en-US" w:eastAsia="zh-CN" w:bidi="ar-SA"/>
        </w:rPr>
      </w:pPr>
      <w:bookmarkStart w:id="41" w:name="_Toc15377221"/>
      <w:bookmarkStart w:id="42" w:name="_Toc15396612"/>
      <w:r>
        <w:rPr>
          <w:rStyle w:val="29"/>
          <w:rFonts w:hint="default" w:ascii="Times New Roman" w:hAnsi="Times New Roman" w:eastAsia="方正黑体_GBK" w:cs="Times New Roman"/>
          <w:b w:val="0"/>
          <w:lang w:val="en-US" w:eastAsia="zh-CN" w:bidi="ar-SA"/>
        </w:rPr>
        <w:t>十、其他重要事项的情况说明</w:t>
      </w:r>
      <w:bookmarkEnd w:id="41"/>
      <w:bookmarkEnd w:id="42"/>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43" w:name="_Toc15377222"/>
      <w:r>
        <w:rPr>
          <w:rFonts w:hint="default" w:ascii="Times New Roman" w:hAnsi="Times New Roman" w:eastAsia="方正楷体_GBK" w:cs="Times New Roman"/>
          <w:b/>
          <w:bCs/>
          <w:sz w:val="36"/>
          <w:szCs w:val="36"/>
        </w:rPr>
        <w:t>（一）机关运行经费支出情况</w:t>
      </w:r>
      <w:bookmarkEnd w:id="43"/>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bookmarkStart w:id="44" w:name="_Toc15377223"/>
      <w:r>
        <w:rPr>
          <w:rFonts w:hint="default" w:ascii="Times New Roman" w:hAnsi="Times New Roman" w:eastAsia="仿宋_GB2312" w:cs="Times New Roman"/>
          <w:color w:val="000000"/>
          <w:sz w:val="32"/>
          <w:szCs w:val="32"/>
        </w:rPr>
        <w:t>我部门为事业单位，</w:t>
      </w:r>
      <w:r>
        <w:rPr>
          <w:rFonts w:hint="eastAsia"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年无机关运行经费支出。</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r>
        <w:rPr>
          <w:rFonts w:hint="default" w:ascii="Times New Roman" w:hAnsi="Times New Roman" w:eastAsia="方正楷体_GBK" w:cs="Times New Roman"/>
          <w:b/>
          <w:bCs/>
          <w:sz w:val="36"/>
          <w:szCs w:val="36"/>
        </w:rPr>
        <w:t>（二）政府采购支出情况</w:t>
      </w:r>
      <w:bookmarkEnd w:id="44"/>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年，我部门</w:t>
      </w:r>
      <w:r>
        <w:rPr>
          <w:rFonts w:hint="eastAsia" w:eastAsia="仿宋_GB2312" w:cs="Times New Roman"/>
          <w:color w:val="000000"/>
          <w:sz w:val="32"/>
          <w:szCs w:val="32"/>
          <w:lang w:eastAsia="zh-CN"/>
        </w:rPr>
        <w:t>无</w:t>
      </w:r>
      <w:r>
        <w:rPr>
          <w:rFonts w:hint="default" w:ascii="Times New Roman" w:hAnsi="Times New Roman" w:eastAsia="仿宋_GB2312" w:cs="Times New Roman"/>
          <w:color w:val="000000"/>
          <w:sz w:val="32"/>
          <w:szCs w:val="32"/>
          <w:highlight w:val="none"/>
        </w:rPr>
        <w:t>政府采购支出</w:t>
      </w:r>
      <w:r>
        <w:rPr>
          <w:rFonts w:hint="default" w:ascii="Times New Roman" w:hAnsi="Times New Roman" w:eastAsia="仿宋_GB2312" w:cs="Times New Roman"/>
          <w:color w:val="000000"/>
          <w:sz w:val="32"/>
          <w:szCs w:val="32"/>
        </w:rPr>
        <w:t>。</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45" w:name="_Toc15377224"/>
      <w:r>
        <w:rPr>
          <w:rFonts w:hint="default" w:ascii="Times New Roman" w:hAnsi="Times New Roman" w:eastAsia="方正楷体_GBK" w:cs="Times New Roman"/>
          <w:b/>
          <w:bCs/>
          <w:sz w:val="36"/>
          <w:szCs w:val="36"/>
        </w:rPr>
        <w:t>（三）国有资产占有使用情况</w:t>
      </w:r>
      <w:bookmarkEnd w:id="45"/>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sz w:val="32"/>
          <w:szCs w:val="32"/>
        </w:rPr>
        <w:t>截至</w:t>
      </w:r>
      <w:r>
        <w:rPr>
          <w:rFonts w:hint="eastAsia"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年12月31日，邻水县公共资源交易管理服务办公室共有车辆</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辆，其中：主要领导干部用车0辆、机要通信用车0辆、应急保障用车0辆、其他用车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themeColor="text1"/>
          <w:sz w:val="32"/>
          <w:szCs w:val="32"/>
          <w14:textFill>
            <w14:solidFill>
              <w14:schemeClr w14:val="tx1"/>
            </w14:solidFill>
          </w14:textFill>
        </w:rPr>
        <w:t>其他用车主要是用于开展日常项目踏勘工作、扶贫下乡。单价50万元以上通用设备0台（套），单价100</w:t>
      </w:r>
      <w:r>
        <w:rPr>
          <w:rFonts w:hint="default" w:ascii="Times New Roman" w:hAnsi="Times New Roman" w:eastAsia="仿宋_GB2312" w:cs="Times New Roman"/>
          <w:color w:val="000000"/>
          <w:sz w:val="32"/>
          <w:szCs w:val="32"/>
        </w:rPr>
        <w:t>万元以上专用设备0台（套）。</w:t>
      </w:r>
    </w:p>
    <w:p>
      <w:pPr>
        <w:keepNext w:val="0"/>
        <w:keepLines w:val="0"/>
        <w:pageBreakBefore w:val="0"/>
        <w:widowControl w:val="0"/>
        <w:kinsoku/>
        <w:wordWrap/>
        <w:overflowPunct/>
        <w:topLinePunct w:val="0"/>
        <w:bidi w:val="0"/>
        <w:snapToGrid/>
        <w:spacing w:line="590" w:lineRule="exact"/>
        <w:ind w:firstLine="722" w:firstLineChars="200"/>
        <w:textAlignment w:val="auto"/>
        <w:rPr>
          <w:rFonts w:hint="default" w:ascii="Times New Roman" w:hAnsi="Times New Roman" w:eastAsia="方正楷体_GBK" w:cs="Times New Roman"/>
          <w:b/>
          <w:bCs/>
          <w:sz w:val="36"/>
          <w:szCs w:val="36"/>
        </w:rPr>
      </w:pPr>
      <w:r>
        <w:rPr>
          <w:rFonts w:hint="default" w:ascii="Times New Roman" w:hAnsi="Times New Roman" w:eastAsia="方正楷体_GBK" w:cs="Times New Roman"/>
          <w:b/>
          <w:bCs/>
          <w:sz w:val="36"/>
          <w:szCs w:val="36"/>
        </w:rPr>
        <w:t>（四）预算绩效管理情况</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根据预算绩效管理要求，本部门在年初预算编制阶段，</w:t>
      </w:r>
      <w:r>
        <w:rPr>
          <w:rFonts w:hint="default" w:ascii="Times New Roman" w:hAnsi="Times New Roman" w:eastAsia="仿宋_GB2312" w:cs="Times New Roman"/>
          <w:sz w:val="32"/>
          <w:szCs w:val="32"/>
          <w:highlight w:val="none"/>
        </w:rPr>
        <w:t>对1个项目</w:t>
      </w:r>
      <w:r>
        <w:rPr>
          <w:rFonts w:hint="default" w:ascii="Times New Roman" w:hAnsi="Times New Roman" w:eastAsia="仿宋_GB2312" w:cs="Times New Roman"/>
          <w:sz w:val="32"/>
          <w:szCs w:val="32"/>
        </w:rPr>
        <w:t>全部编制了绩效目标，预算执行过程中，经财政预算调整，年初项目支出预算调整为基本支出预算，调整后本部门无专项预算项目，</w:t>
      </w:r>
      <w:r>
        <w:rPr>
          <w:rFonts w:hint="eastAsia" w:eastAsia="仿宋_GB2312" w:cs="Times New Roman"/>
          <w:sz w:val="32"/>
          <w:szCs w:val="32"/>
          <w:lang w:eastAsia="zh-CN"/>
        </w:rPr>
        <w:t>仅对公共资源交易项目情况进行</w:t>
      </w:r>
      <w:r>
        <w:rPr>
          <w:rFonts w:hint="default" w:ascii="Times New Roman" w:hAnsi="Times New Roman" w:eastAsia="仿宋_GB2312" w:cs="Times New Roman"/>
          <w:sz w:val="32"/>
          <w:szCs w:val="32"/>
        </w:rPr>
        <w:t>绩效目标</w:t>
      </w:r>
      <w:r>
        <w:rPr>
          <w:rFonts w:hint="eastAsia" w:eastAsia="仿宋_GB2312" w:cs="Times New Roman"/>
          <w:sz w:val="32"/>
          <w:szCs w:val="32"/>
          <w:lang w:eastAsia="zh-CN"/>
        </w:rPr>
        <w:t>监控，并按要求对绩效完成</w:t>
      </w:r>
      <w:r>
        <w:rPr>
          <w:rFonts w:hint="default" w:ascii="Times New Roman" w:hAnsi="Times New Roman" w:eastAsia="仿宋_GB2312" w:cs="Times New Roman"/>
          <w:sz w:val="32"/>
          <w:szCs w:val="32"/>
        </w:rPr>
        <w:t>情况</w:t>
      </w:r>
      <w:r>
        <w:rPr>
          <w:rFonts w:hint="eastAsia" w:eastAsia="仿宋_GB2312" w:cs="Times New Roman"/>
          <w:sz w:val="32"/>
          <w:szCs w:val="32"/>
          <w:lang w:eastAsia="zh-CN"/>
        </w:rPr>
        <w:t>进行</w:t>
      </w:r>
      <w:r>
        <w:rPr>
          <w:rFonts w:hint="default" w:ascii="Times New Roman" w:hAnsi="Times New Roman" w:eastAsia="仿宋_GB2312" w:cs="Times New Roman"/>
          <w:sz w:val="32"/>
          <w:szCs w:val="32"/>
        </w:rPr>
        <w:t>自评。</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w:t>
      </w:r>
      <w:r>
        <w:rPr>
          <w:rFonts w:hint="eastAsia" w:eastAsia="仿宋_GB2312" w:cs="Times New Roman"/>
          <w:sz w:val="32"/>
          <w:szCs w:val="32"/>
          <w:lang w:eastAsia="zh-CN"/>
        </w:rPr>
        <w:t>2023</w:t>
      </w:r>
      <w:r>
        <w:rPr>
          <w:rFonts w:hint="default" w:ascii="Times New Roman" w:hAnsi="Times New Roman" w:eastAsia="仿宋_GB2312" w:cs="Times New Roman"/>
          <w:sz w:val="32"/>
          <w:szCs w:val="32"/>
        </w:rPr>
        <w:t>年部门整体支</w:t>
      </w:r>
      <w:r>
        <w:rPr>
          <w:rFonts w:hint="default" w:ascii="Times New Roman" w:hAnsi="Times New Roman" w:eastAsia="仿宋_GB2312" w:cs="Times New Roman"/>
          <w:sz w:val="32"/>
          <w:szCs w:val="32"/>
          <w:highlight w:val="none"/>
        </w:rPr>
        <w:t>出开展绩效自评，</w:t>
      </w:r>
      <w:r>
        <w:rPr>
          <w:rFonts w:hint="default" w:ascii="Times New Roman" w:hAnsi="Times New Roman" w:eastAsia="仿宋_GB2312" w:cs="Times New Roman"/>
          <w:sz w:val="32"/>
          <w:szCs w:val="32"/>
        </w:rPr>
        <w:t>从评价情况来看，保障了政府采购工作的高效运转，</w:t>
      </w:r>
      <w:r>
        <w:rPr>
          <w:rFonts w:hint="default" w:ascii="Times New Roman" w:hAnsi="Times New Roman" w:eastAsia="仿宋_GB2312" w:cs="Times New Roman"/>
          <w:bCs/>
          <w:sz w:val="32"/>
          <w:szCs w:val="28"/>
        </w:rPr>
        <w:t>完善了硬件配套设施。完善招标采购的配套硬件设施建设，为交易工作提供更好的服务环境，</w:t>
      </w:r>
      <w:r>
        <w:rPr>
          <w:rFonts w:hint="default" w:ascii="Times New Roman" w:hAnsi="Times New Roman" w:eastAsia="仿宋_GB2312" w:cs="Times New Roman"/>
          <w:sz w:val="32"/>
          <w:szCs w:val="32"/>
        </w:rPr>
        <w:t>有力促进了邻水经济的健康有序发展，为全县的经济发展作出了应有的贡献。本部门无专项预算项目，因此未组织开展项目支出绩效评价。</w:t>
      </w:r>
    </w:p>
    <w:p>
      <w:pPr>
        <w:pStyle w:val="6"/>
        <w:rPr>
          <w:rFonts w:hint="eastAsia" w:ascii="Times New Roman" w:hAnsi="Times New Roman" w:eastAsia="仿宋_GB2312" w:cs="Times New Roman"/>
          <w:sz w:val="32"/>
          <w:szCs w:val="32"/>
          <w:lang w:eastAsia="zh-CN"/>
        </w:rPr>
      </w:pPr>
      <w:bookmarkStart w:id="46" w:name="_Toc15396613"/>
      <w:bookmarkStart w:id="47" w:name="_Toc15377225"/>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rPr>
          <w:rFonts w:hint="eastAsia" w:ascii="Times New Roman" w:hAnsi="Times New Roman" w:eastAsia="仿宋_GB2312" w:cs="Times New Roman"/>
          <w:sz w:val="32"/>
          <w:szCs w:val="32"/>
          <w:lang w:eastAsia="zh-CN"/>
        </w:rPr>
      </w:pPr>
    </w:p>
    <w:p>
      <w:pPr>
        <w:pStyle w:val="6"/>
        <w:pageBreakBefore w:val="0"/>
        <w:kinsoku/>
        <w:wordWrap/>
        <w:overflowPunct/>
        <w:topLinePunct w:val="0"/>
        <w:bidi w:val="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2"/>
        </w:numPr>
        <w:kinsoku/>
        <w:wordWrap/>
        <w:overflowPunct/>
        <w:topLinePunct w:val="0"/>
        <w:bidi w:val="0"/>
        <w:snapToGrid/>
        <w:spacing w:line="600" w:lineRule="exact"/>
        <w:ind w:firstLine="880" w:firstLineChars="200"/>
        <w:jc w:val="center"/>
        <w:textAlignment w:val="auto"/>
        <w:outlineLvl w:val="0"/>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名词解释</w:t>
      </w:r>
      <w:bookmarkEnd w:id="46"/>
      <w:bookmarkEnd w:id="47"/>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bookmarkStart w:id="48" w:name="_Toc15396614"/>
      <w:bookmarkStart w:id="49" w:name="_Toc15377226"/>
      <w:r>
        <w:rPr>
          <w:rFonts w:hint="default" w:ascii="Times New Roman" w:hAnsi="Times New Roman" w:eastAsia="仿宋_GB2312" w:cs="Times New Roman"/>
          <w:sz w:val="32"/>
          <w:szCs w:val="32"/>
        </w:rPr>
        <w:t>1.财政拨款收入：指单位从同级财政部门取得的财政预算资金。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2.一般公共服务（类）政府办公厅（室）及相关机构事务（款）事业运行（项）：指为保障机构正常运转、完成日常工作任务而发生的人员支出和公用支出。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3.一般公共服务（类）政府办公厅（室）及相关机构事务（款）其他政府办公厅（室）及相关机构事务支出（项）指为保障机构正常运转、完成日常工作任务而发生的人员支出和公用支出。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4.社会保障和就业（类）行政事业单位养老支出（款） 机关事业单位基本养老保险缴费支出（项）：指单位为工作人员缴纳养老保险及失业工伤保险而发生的支出。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.社会保障和就业（类）行政事业单位养老支出（款）  机关事业单位职业年金缴费支出（项）：指单位为工作人员缴纳</w:t>
      </w:r>
      <w:r>
        <w:rPr>
          <w:rFonts w:hint="default" w:ascii="Times New Roman" w:hAnsi="Times New Roman" w:eastAsia="仿宋_GB2312" w:cs="Times New Roman"/>
          <w:color w:val="000000"/>
          <w:kern w:val="0"/>
          <w:sz w:val="32"/>
          <w:szCs w:val="32"/>
          <w:lang w:eastAsia="zh-CN"/>
        </w:rPr>
        <w:t>职业年金</w:t>
      </w:r>
      <w:r>
        <w:rPr>
          <w:rFonts w:hint="default" w:ascii="Times New Roman" w:hAnsi="Times New Roman" w:eastAsia="仿宋_GB2312" w:cs="Times New Roman"/>
          <w:color w:val="000000"/>
          <w:kern w:val="0"/>
          <w:sz w:val="32"/>
          <w:szCs w:val="32"/>
        </w:rPr>
        <w:t>而发生的支出。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.卫生健康（类）计划生育事务（款）其他计划生育事务支出（项）:指单位为工作人员缴纳医疗保险而发生的支出。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.卫生健康（类）行政事业单位医疗（款）事业单位医疗（项）:指单位为工作人员缴纳医疗保险而发生的支出。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.住房保障支出（类）住房改革支出（款） 住房公积金（项）：指单位为工作人员购买住房公积金发生的支出。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pStyle w:val="26"/>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600" w:lineRule="exact"/>
        <w:ind w:firstLine="640" w:firstLineChars="200"/>
        <w:jc w:val="left"/>
        <w:textAlignment w:val="auto"/>
        <w:outlineLvl w:val="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cs="Times New Roman"/>
          <w:sz w:val="32"/>
          <w:szCs w:val="32"/>
          <w:lang w:eastAsia="zh-CN"/>
        </w:rPr>
        <w:t>。</w:t>
      </w:r>
    </w:p>
    <w:p>
      <w:pPr>
        <w:pageBreakBefore w:val="0"/>
        <w:kinsoku/>
        <w:wordWrap/>
        <w:overflowPunct/>
        <w:topLinePunct w:val="0"/>
        <w:bidi w:val="0"/>
        <w:spacing w:line="600" w:lineRule="exact"/>
        <w:ind w:firstLine="640" w:firstLineChars="200"/>
        <w:jc w:val="center"/>
        <w:textAlignment w:val="auto"/>
        <w:outlineLvl w:val="0"/>
        <w:rPr>
          <w:rFonts w:hint="default" w:ascii="Times New Roman" w:hAnsi="Times New Roman" w:eastAsia="仿宋_GB2312" w:cs="Times New Roman"/>
          <w:sz w:val="32"/>
          <w:szCs w:val="32"/>
        </w:rPr>
      </w:pPr>
    </w:p>
    <w:p>
      <w:pPr>
        <w:pStyle w:val="6"/>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jc w:val="both"/>
        <w:textAlignment w:val="auto"/>
        <w:outlineLvl w:val="0"/>
        <w:rPr>
          <w:rFonts w:hint="default" w:ascii="Times New Roman" w:hAnsi="Times New Roman" w:eastAsia="黑体" w:cs="Times New Roman"/>
          <w:color w:val="000000"/>
          <w:sz w:val="44"/>
          <w:szCs w:val="44"/>
        </w:rPr>
      </w:pPr>
    </w:p>
    <w:p>
      <w:pPr>
        <w:pStyle w:val="6"/>
        <w:rPr>
          <w:rFonts w:hint="default" w:ascii="Times New Roman" w:hAnsi="Times New Roman" w:eastAsia="黑体" w:cs="Times New Roman"/>
          <w:color w:val="000000"/>
          <w:sz w:val="44"/>
          <w:szCs w:val="44"/>
        </w:rPr>
      </w:pPr>
    </w:p>
    <w:p>
      <w:pPr>
        <w:pStyle w:val="6"/>
        <w:rPr>
          <w:rFonts w:hint="default" w:ascii="Times New Roman" w:hAnsi="Times New Roman" w:eastAsia="黑体" w:cs="Times New Roman"/>
          <w:color w:val="000000"/>
          <w:sz w:val="44"/>
          <w:szCs w:val="44"/>
        </w:rPr>
      </w:pPr>
    </w:p>
    <w:p>
      <w:pPr>
        <w:pStyle w:val="6"/>
        <w:rPr>
          <w:rFonts w:hint="default" w:ascii="Times New Roman" w:hAnsi="Times New Roman" w:eastAsia="黑体" w:cs="Times New Roman"/>
          <w:color w:val="000000"/>
          <w:sz w:val="44"/>
          <w:szCs w:val="44"/>
        </w:rPr>
      </w:pPr>
    </w:p>
    <w:p>
      <w:pPr>
        <w:keepNext w:val="0"/>
        <w:keepLines w:val="0"/>
        <w:pageBreakBefore w:val="0"/>
        <w:widowControl w:val="0"/>
        <w:numPr>
          <w:ilvl w:val="0"/>
          <w:numId w:val="0"/>
        </w:numPr>
        <w:kinsoku/>
        <w:wordWrap/>
        <w:overflowPunct/>
        <w:topLinePunct w:val="0"/>
        <w:bidi w:val="0"/>
        <w:snapToGrid/>
        <w:spacing w:line="600" w:lineRule="exact"/>
        <w:jc w:val="center"/>
        <w:textAlignment w:val="auto"/>
        <w:outlineLvl w:val="0"/>
        <w:rPr>
          <w:rFonts w:hint="default" w:ascii="方正小标宋_GBK" w:hAnsi="方正小标宋_GBK" w:eastAsia="方正小标宋_GBK" w:cs="方正小标宋_GBK"/>
          <w:color w:val="000000"/>
          <w:sz w:val="44"/>
          <w:szCs w:val="44"/>
        </w:rPr>
      </w:pPr>
      <w:r>
        <w:rPr>
          <w:rFonts w:hint="default" w:ascii="方正小标宋_GBK" w:hAnsi="方正小标宋_GBK" w:eastAsia="方正小标宋_GBK" w:cs="方正小标宋_GBK"/>
          <w:color w:val="000000"/>
          <w:sz w:val="44"/>
          <w:szCs w:val="44"/>
        </w:rPr>
        <w:t>第四部分 附件</w:t>
      </w:r>
      <w:bookmarkEnd w:id="48"/>
    </w:p>
    <w:p>
      <w:pPr>
        <w:pageBreakBefore w:val="0"/>
        <w:kinsoku/>
        <w:wordWrap/>
        <w:overflowPunct/>
        <w:topLinePunct w:val="0"/>
        <w:bidi w:val="0"/>
        <w:spacing w:line="600" w:lineRule="exact"/>
        <w:ind w:firstLine="640" w:firstLineChars="200"/>
        <w:jc w:val="left"/>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Style w:val="2"/>
        <w:rPr>
          <w:rFonts w:hint="default"/>
        </w:rPr>
      </w:pPr>
    </w:p>
    <w:p>
      <w:pPr>
        <w:widowControl/>
        <w:spacing w:line="700" w:lineRule="exact"/>
        <w:contextualSpacing/>
        <w:jc w:val="center"/>
        <w:rPr>
          <w:rFonts w:hint="default"/>
        </w:rPr>
      </w:pPr>
      <w:r>
        <w:rPr>
          <w:rFonts w:hint="default" w:ascii="Times New Roman" w:hAnsi="Times New Roman" w:eastAsia="方正小标宋_GBK" w:cs="Times New Roman"/>
          <w:sz w:val="44"/>
          <w:szCs w:val="44"/>
          <w:shd w:val="clear" w:color="auto" w:fill="FFFFFF"/>
          <w:lang w:eastAsia="zh-CN"/>
        </w:rPr>
        <w:t>邻水县公共资源交易管理服务办公室</w:t>
      </w:r>
      <w:r>
        <w:rPr>
          <w:rFonts w:hint="default" w:ascii="Times New Roman" w:hAnsi="Times New Roman" w:eastAsia="方正小标宋_GBK" w:cs="Times New Roman"/>
          <w:sz w:val="44"/>
          <w:szCs w:val="44"/>
          <w:shd w:val="clear" w:color="auto" w:fill="FFFFFF"/>
        </w:rPr>
        <w:t>部门</w:t>
      </w:r>
      <w:r>
        <w:rPr>
          <w:rFonts w:hint="default" w:ascii="Times New Roman" w:hAnsi="Times New Roman" w:eastAsia="方正小标宋_GBK" w:cs="Times New Roman"/>
          <w:sz w:val="44"/>
          <w:szCs w:val="44"/>
          <w:shd w:val="clear" w:color="auto" w:fill="FFFFFF"/>
          <w:lang w:eastAsia="zh-CN"/>
        </w:rPr>
        <w:t>预算</w:t>
      </w:r>
      <w:r>
        <w:rPr>
          <w:rFonts w:hint="default" w:ascii="Times New Roman" w:hAnsi="Times New Roman" w:eastAsia="方正小标宋_GBK" w:cs="Times New Roman"/>
          <w:sz w:val="44"/>
          <w:szCs w:val="44"/>
          <w:shd w:val="clear" w:color="auto" w:fill="FFFFFF"/>
        </w:rPr>
        <w:t>绩效</w:t>
      </w:r>
      <w:r>
        <w:rPr>
          <w:rFonts w:hint="eastAsia" w:eastAsia="方正小标宋_GBK" w:cs="Times New Roman"/>
          <w:sz w:val="44"/>
          <w:szCs w:val="44"/>
          <w:shd w:val="clear" w:color="auto" w:fill="FFFFFF"/>
          <w:lang w:eastAsia="zh-CN"/>
        </w:rPr>
        <w:t>评价</w:t>
      </w:r>
      <w:r>
        <w:rPr>
          <w:rFonts w:hint="default" w:ascii="Times New Roman" w:hAnsi="Times New Roman" w:eastAsia="方正小标宋_GBK" w:cs="Times New Roman"/>
          <w:sz w:val="44"/>
          <w:szCs w:val="44"/>
          <w:shd w:val="clear" w:color="auto" w:fill="FFFFFF"/>
        </w:rPr>
        <w:t>报告</w:t>
      </w:r>
    </w:p>
    <w:p>
      <w:pPr>
        <w:adjustRightInd w:val="0"/>
        <w:snapToGrid w:val="0"/>
        <w:spacing w:line="590" w:lineRule="exact"/>
        <w:ind w:firstLine="660" w:firstLineChars="200"/>
        <w:contextualSpacing/>
        <w:rPr>
          <w:rFonts w:hint="default" w:ascii="Times New Roman" w:hAnsi="Times New Roman" w:eastAsia="方正黑体_GBK" w:cs="Times New Roman"/>
          <w:color w:val="000000"/>
          <w:kern w:val="0"/>
          <w:sz w:val="33"/>
          <w:szCs w:val="33"/>
          <w:shd w:val="clear" w:color="auto" w:fill="FFFFFF"/>
          <w:lang w:val="zh-CN"/>
        </w:rPr>
      </w:pPr>
      <w:r>
        <w:rPr>
          <w:rFonts w:hint="default" w:ascii="Times New Roman" w:hAnsi="Times New Roman" w:eastAsia="方正黑体_GBK" w:cs="Times New Roman"/>
          <w:color w:val="000000"/>
          <w:kern w:val="0"/>
          <w:sz w:val="33"/>
          <w:szCs w:val="33"/>
          <w:shd w:val="clear" w:color="auto" w:fill="FFFFFF"/>
        </w:rPr>
        <w:t>一、</w:t>
      </w:r>
      <w:r>
        <w:rPr>
          <w:rFonts w:hint="default" w:ascii="Times New Roman" w:hAnsi="Times New Roman" w:eastAsia="方正黑体_GBK" w:cs="Times New Roman"/>
          <w:color w:val="000000"/>
          <w:kern w:val="0"/>
          <w:sz w:val="33"/>
          <w:szCs w:val="33"/>
          <w:shd w:val="clear" w:color="auto" w:fill="FFFFFF"/>
          <w:lang w:val="zh-CN"/>
        </w:rPr>
        <w:t>部门（单位）概况</w:t>
      </w:r>
    </w:p>
    <w:p>
      <w:pPr>
        <w:adjustRightInd w:val="0"/>
        <w:snapToGrid w:val="0"/>
        <w:spacing w:line="590" w:lineRule="exact"/>
        <w:ind w:firstLine="662"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（一）机构组成。</w:t>
      </w:r>
      <w:r>
        <w:rPr>
          <w:rFonts w:hint="default" w:ascii="Times New Roman" w:hAnsi="Times New Roman" w:eastAsia="方正仿宋_GBK" w:cs="Times New Roman"/>
          <w:color w:val="000000"/>
          <w:sz w:val="32"/>
          <w:szCs w:val="32"/>
        </w:rPr>
        <w:t>邻水县公共资源交易</w:t>
      </w:r>
      <w:r>
        <w:rPr>
          <w:rFonts w:hint="default" w:ascii="Times New Roman" w:hAnsi="Times New Roman" w:eastAsia="方正仿宋_GBK" w:cs="Times New Roman"/>
          <w:color w:val="000000"/>
          <w:sz w:val="32"/>
          <w:szCs w:val="32"/>
          <w:lang w:eastAsia="zh-CN"/>
        </w:rPr>
        <w:t>管理服务办公室为邻水县人民政府管理的公益一类正科级</w:t>
      </w:r>
      <w:r>
        <w:rPr>
          <w:rFonts w:hint="default" w:ascii="Times New Roman" w:hAnsi="Times New Roman" w:eastAsia="方正仿宋_GBK" w:cs="Times New Roman"/>
          <w:color w:val="000000"/>
          <w:sz w:val="32"/>
          <w:szCs w:val="32"/>
        </w:rPr>
        <w:t>事业单位，内设</w:t>
      </w:r>
      <w:r>
        <w:rPr>
          <w:rFonts w:hint="default" w:ascii="Times New Roman" w:hAnsi="Times New Roman" w:eastAsia="方正仿宋_GBK" w:cs="Times New Roman"/>
          <w:color w:val="000000"/>
          <w:sz w:val="32"/>
          <w:szCs w:val="32"/>
          <w:lang w:eastAsia="zh-CN"/>
        </w:rPr>
        <w:t>综合股、交易受理股、交易编审股、交易组织股、交易评审股、交易监督股、信息技术股七个股室。</w:t>
      </w:r>
    </w:p>
    <w:p>
      <w:pPr>
        <w:numPr>
          <w:ilvl w:val="0"/>
          <w:numId w:val="3"/>
        </w:numPr>
        <w:adjustRightInd w:val="0"/>
        <w:snapToGrid w:val="0"/>
        <w:spacing w:line="590" w:lineRule="exact"/>
        <w:ind w:firstLine="662" w:firstLineChars="200"/>
        <w:contextualSpacing/>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楷体_GBK" w:cs="Times New Roman"/>
          <w:b/>
          <w:bCs/>
          <w:color w:val="000000"/>
          <w:kern w:val="0"/>
          <w:sz w:val="33"/>
          <w:szCs w:val="33"/>
          <w:shd w:val="clear" w:color="auto" w:fill="FFFFFF"/>
          <w:lang w:val="zh-CN"/>
        </w:rPr>
        <w:t>机构职能。</w:t>
      </w:r>
      <w:r>
        <w:rPr>
          <w:rFonts w:hint="default" w:ascii="Times New Roman" w:hAnsi="Times New Roman" w:eastAsia="方正仿宋_GBK" w:cs="Times New Roman"/>
          <w:sz w:val="32"/>
          <w:szCs w:val="32"/>
        </w:rPr>
        <w:t>贯彻实施公共资源交易服务相关法律、法规和政策，</w:t>
      </w:r>
      <w:r>
        <w:rPr>
          <w:rFonts w:hint="default" w:ascii="Times New Roman" w:hAnsi="Times New Roman" w:eastAsia="方正仿宋_GBK" w:cs="Times New Roman"/>
          <w:sz w:val="32"/>
          <w:szCs w:val="32"/>
          <w:lang w:eastAsia="zh-CN"/>
        </w:rPr>
        <w:t>落实中省市县关于公共资源交易的决策部署。拟定全县公共资源交易管理</w:t>
      </w:r>
      <w:r>
        <w:rPr>
          <w:rFonts w:hint="default" w:ascii="Times New Roman" w:hAnsi="Times New Roman" w:eastAsia="方正仿宋_GBK" w:cs="Times New Roman"/>
          <w:color w:val="000000"/>
          <w:sz w:val="32"/>
          <w:szCs w:val="32"/>
          <w:lang w:eastAsia="zh-CN"/>
        </w:rPr>
        <w:t>办法和交易规则经研究后组织实施。对全县公共资源交易项目和农村产权交易项目进行综</w:t>
      </w:r>
      <w:r>
        <w:rPr>
          <w:rFonts w:hint="default" w:ascii="Times New Roman" w:hAnsi="Times New Roman" w:eastAsia="方正仿宋_GBK" w:cs="Times New Roman"/>
          <w:sz w:val="32"/>
          <w:szCs w:val="32"/>
          <w:lang w:eastAsia="zh-CN"/>
        </w:rPr>
        <w:t>合管理和协调服务。受广安市公共资源交易中心委托，承担邻水县区域的公共资源交易实施和服务工作；负责公共资源交易目录以外项目交易实施和服务工作。承担县级公共资源交易平台和农村产权交易平台建设和管理服务工作。指导县级各部门（单位）、乡镇公共资源交易综合效益评价、评估工作。</w:t>
      </w:r>
    </w:p>
    <w:p>
      <w:pPr>
        <w:numPr>
          <w:ilvl w:val="0"/>
          <w:numId w:val="3"/>
        </w:numPr>
        <w:adjustRightInd w:val="0"/>
        <w:snapToGrid w:val="0"/>
        <w:spacing w:line="590" w:lineRule="exact"/>
        <w:ind w:left="0" w:leftChars="0" w:firstLine="662" w:firstLineChars="200"/>
        <w:contextualSpacing/>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方正楷体_GBK" w:cs="Times New Roman"/>
          <w:b/>
          <w:bCs/>
          <w:color w:val="000000"/>
          <w:kern w:val="0"/>
          <w:sz w:val="33"/>
          <w:szCs w:val="33"/>
          <w:shd w:val="clear" w:color="auto" w:fill="FFFFFF"/>
          <w:lang w:val="zh-CN"/>
        </w:rPr>
        <w:t>人员概况。</w:t>
      </w:r>
      <w:r>
        <w:rPr>
          <w:rFonts w:hint="default" w:ascii="Times New Roman" w:hAnsi="Times New Roman" w:eastAsia="方正仿宋_GBK" w:cs="Times New Roman"/>
          <w:sz w:val="32"/>
          <w:szCs w:val="32"/>
          <w:lang w:val="zh-CN" w:eastAsia="zh-CN"/>
        </w:rPr>
        <w:t>截至</w:t>
      </w:r>
      <w:r>
        <w:rPr>
          <w:rFonts w:hint="default" w:ascii="Times New Roman" w:hAnsi="Times New Roman" w:eastAsia="方正仿宋_GBK" w:cs="Times New Roman"/>
          <w:sz w:val="32"/>
          <w:szCs w:val="32"/>
          <w:lang w:val="en-US" w:eastAsia="zh-CN"/>
        </w:rPr>
        <w:t>2023年末，邻水县公共资源交易管理服务办公室核定编制19名，主任1名，副主任2名，股级领导职数7名。年末实有人数21名，其中高层次引进人才2名。</w:t>
      </w:r>
    </w:p>
    <w:p>
      <w:pPr>
        <w:adjustRightInd w:val="0"/>
        <w:snapToGrid w:val="0"/>
        <w:spacing w:line="590" w:lineRule="exact"/>
        <w:ind w:firstLine="660" w:firstLineChars="200"/>
        <w:contextualSpacing/>
        <w:rPr>
          <w:rFonts w:hint="default" w:ascii="Times New Roman" w:hAnsi="Times New Roman" w:eastAsia="方正黑体_GBK" w:cs="Times New Roman"/>
          <w:color w:val="000000"/>
          <w:kern w:val="0"/>
          <w:sz w:val="33"/>
          <w:szCs w:val="33"/>
          <w:shd w:val="clear" w:color="auto" w:fill="FFFFFF"/>
        </w:rPr>
      </w:pPr>
      <w:r>
        <w:rPr>
          <w:rFonts w:hint="default" w:ascii="Times New Roman" w:hAnsi="Times New Roman" w:eastAsia="方正黑体_GBK" w:cs="Times New Roman"/>
          <w:color w:val="000000"/>
          <w:kern w:val="0"/>
          <w:sz w:val="33"/>
          <w:szCs w:val="33"/>
          <w:shd w:val="clear" w:color="auto" w:fill="FFFFFF"/>
        </w:rPr>
        <w:t>二、部门资金收支情况</w:t>
      </w:r>
    </w:p>
    <w:p>
      <w:pPr>
        <w:adjustRightInd w:val="0"/>
        <w:snapToGrid w:val="0"/>
        <w:spacing w:line="590" w:lineRule="exact"/>
        <w:ind w:firstLine="662" w:firstLineChars="200"/>
        <w:contextualSpacing/>
        <w:rPr>
          <w:rFonts w:hint="default" w:ascii="Times New Roman" w:hAnsi="Times New Roman" w:eastAsia="仿宋_GB2312" w:cs="Times New Roman"/>
          <w:sz w:val="32"/>
          <w:szCs w:val="32"/>
          <w:lang w:val="en-US" w:eastAsia="zh-CN"/>
        </w:rPr>
      </w:pPr>
      <w:r>
        <w:rPr>
          <w:rFonts w:hint="default" w:ascii="Times New Roman" w:hAnsi="Times New Roman" w:eastAsia="方正楷体_GBK" w:cs="Times New Roman"/>
          <w:b/>
          <w:bCs/>
          <w:color w:val="000000"/>
          <w:kern w:val="0"/>
          <w:sz w:val="33"/>
          <w:szCs w:val="33"/>
          <w:shd w:val="clear" w:color="auto" w:fill="FFFFFF"/>
          <w:lang w:val="zh-CN"/>
        </w:rPr>
        <w:t>（一）收入情况。</w:t>
      </w:r>
      <w:r>
        <w:rPr>
          <w:rFonts w:hint="default" w:ascii="Times New Roman" w:hAnsi="Times New Roman" w:eastAsia="方正仿宋_GBK" w:cs="Times New Roman"/>
          <w:sz w:val="32"/>
          <w:szCs w:val="32"/>
          <w:lang w:val="en-US" w:eastAsia="zh-CN"/>
        </w:rPr>
        <w:t>2023年财政年初预算收入285.22万元，调整后预算数490.41万元，其中：一般公共预算拨款收入490.41万元，政府性基金预算拨款收入0万元，事业收入0万元，调整后预算数与决算报表收入一致。</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contextualSpacing/>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color w:val="000000"/>
          <w:kern w:val="0"/>
          <w:sz w:val="33"/>
          <w:szCs w:val="33"/>
          <w:shd w:val="clear" w:color="auto" w:fill="FFFFFF"/>
          <w:lang w:val="zh-CN" w:eastAsia="zh-CN"/>
        </w:rPr>
        <w:t>（二）</w:t>
      </w:r>
      <w:r>
        <w:rPr>
          <w:rFonts w:hint="default" w:ascii="Times New Roman" w:hAnsi="Times New Roman" w:eastAsia="方正楷体_GBK" w:cs="Times New Roman"/>
          <w:b/>
          <w:bCs/>
          <w:color w:val="000000"/>
          <w:kern w:val="0"/>
          <w:sz w:val="33"/>
          <w:szCs w:val="33"/>
          <w:shd w:val="clear" w:color="auto" w:fill="FFFFFF"/>
          <w:lang w:val="zh-CN"/>
        </w:rPr>
        <w:t>支出情况。</w:t>
      </w:r>
      <w:r>
        <w:rPr>
          <w:rFonts w:hint="default" w:ascii="Times New Roman" w:hAnsi="Times New Roman" w:eastAsia="方正仿宋_GBK" w:cs="Times New Roman"/>
          <w:sz w:val="32"/>
          <w:szCs w:val="32"/>
          <w:lang w:val="en-US" w:eastAsia="zh-CN"/>
        </w:rPr>
        <w:t>2023年</w:t>
      </w:r>
      <w:r>
        <w:rPr>
          <w:rFonts w:hint="default" w:ascii="Times New Roman" w:hAnsi="Times New Roman" w:eastAsia="方正仿宋_GBK" w:cs="Times New Roman"/>
          <w:sz w:val="32"/>
          <w:szCs w:val="32"/>
        </w:rPr>
        <w:t>邻水县公共资源交易</w:t>
      </w:r>
      <w:r>
        <w:rPr>
          <w:rFonts w:hint="default" w:ascii="Times New Roman" w:hAnsi="Times New Roman" w:eastAsia="方正仿宋_GBK" w:cs="Times New Roman"/>
          <w:sz w:val="32"/>
          <w:szCs w:val="32"/>
          <w:lang w:eastAsia="zh-CN"/>
        </w:rPr>
        <w:t>管理服务办</w:t>
      </w:r>
      <w:r>
        <w:rPr>
          <w:rFonts w:hint="default" w:ascii="Times New Roman" w:hAnsi="Times New Roman" w:eastAsia="方正仿宋_GBK" w:cs="Times New Roman"/>
          <w:sz w:val="32"/>
          <w:szCs w:val="32"/>
          <w:highlight w:val="none"/>
          <w:lang w:eastAsia="zh-CN"/>
        </w:rPr>
        <w:t>公室</w:t>
      </w:r>
      <w:r>
        <w:rPr>
          <w:rFonts w:hint="default" w:ascii="Times New Roman" w:hAnsi="Times New Roman" w:eastAsia="方正仿宋_GBK" w:cs="Times New Roman"/>
          <w:sz w:val="32"/>
          <w:szCs w:val="32"/>
          <w:highlight w:val="none"/>
        </w:rPr>
        <w:t>支出总额为</w:t>
      </w:r>
      <w:r>
        <w:rPr>
          <w:rFonts w:hint="default" w:ascii="Times New Roman" w:hAnsi="Times New Roman" w:eastAsia="方正仿宋_GBK" w:cs="Times New Roman"/>
          <w:sz w:val="32"/>
          <w:szCs w:val="32"/>
          <w:highlight w:val="none"/>
          <w:lang w:val="en-US" w:eastAsia="zh-CN"/>
        </w:rPr>
        <w:t>285.22</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调整后预算数</w:t>
      </w:r>
      <w:r>
        <w:rPr>
          <w:rFonts w:hint="default" w:ascii="Times New Roman" w:hAnsi="Times New Roman" w:eastAsia="方正仿宋_GBK" w:cs="Times New Roman"/>
          <w:sz w:val="32"/>
          <w:szCs w:val="32"/>
          <w:highlight w:val="none"/>
          <w:lang w:val="en-US" w:eastAsia="zh-CN"/>
        </w:rPr>
        <w:t>490.41万元，</w:t>
      </w:r>
      <w:r>
        <w:rPr>
          <w:rFonts w:hint="default" w:ascii="Times New Roman" w:hAnsi="Times New Roman" w:eastAsia="方正仿宋_GBK" w:cs="Times New Roman"/>
          <w:sz w:val="32"/>
          <w:szCs w:val="32"/>
          <w:highlight w:val="none"/>
        </w:rPr>
        <w:t>其中：</w:t>
      </w:r>
      <w:bookmarkStart w:id="50" w:name="_Hlk131866630"/>
      <w:r>
        <w:rPr>
          <w:rFonts w:hint="default" w:ascii="Times New Roman" w:hAnsi="Times New Roman" w:eastAsia="方正仿宋_GBK" w:cs="Times New Roman"/>
          <w:sz w:val="32"/>
          <w:szCs w:val="32"/>
          <w:highlight w:val="none"/>
        </w:rPr>
        <w:t>一般公共服务支出</w:t>
      </w:r>
      <w:r>
        <w:rPr>
          <w:rFonts w:hint="default" w:ascii="Times New Roman" w:hAnsi="Times New Roman" w:eastAsia="方正仿宋_GBK" w:cs="Times New Roman"/>
          <w:sz w:val="32"/>
          <w:szCs w:val="32"/>
          <w:highlight w:val="none"/>
          <w:lang w:val="en-US" w:eastAsia="zh-CN"/>
        </w:rPr>
        <w:t>414.98</w:t>
      </w:r>
      <w:r>
        <w:rPr>
          <w:rFonts w:hint="default" w:ascii="Times New Roman" w:hAnsi="Times New Roman" w:eastAsia="方正仿宋_GBK" w:cs="Times New Roman"/>
          <w:sz w:val="32"/>
          <w:szCs w:val="32"/>
          <w:highlight w:val="none"/>
        </w:rPr>
        <w:t>万元、社会保障和就业支出</w:t>
      </w:r>
      <w:r>
        <w:rPr>
          <w:rFonts w:hint="default" w:ascii="Times New Roman" w:hAnsi="Times New Roman" w:eastAsia="方正仿宋_GBK" w:cs="Times New Roman"/>
          <w:sz w:val="32"/>
          <w:szCs w:val="32"/>
          <w:highlight w:val="none"/>
          <w:lang w:val="en-US" w:eastAsia="zh-CN"/>
        </w:rPr>
        <w:t>40.59</w:t>
      </w:r>
      <w:r>
        <w:rPr>
          <w:rFonts w:hint="default" w:ascii="Times New Roman" w:hAnsi="Times New Roman" w:eastAsia="方正仿宋_GBK" w:cs="Times New Roman"/>
          <w:sz w:val="32"/>
          <w:szCs w:val="32"/>
          <w:highlight w:val="none"/>
        </w:rPr>
        <w:t>万元、卫生健康支出</w:t>
      </w:r>
      <w:r>
        <w:rPr>
          <w:rFonts w:hint="default" w:ascii="Times New Roman" w:hAnsi="Times New Roman" w:eastAsia="方正仿宋_GBK" w:cs="Times New Roman"/>
          <w:sz w:val="32"/>
          <w:szCs w:val="32"/>
          <w:highlight w:val="none"/>
          <w:lang w:val="en-US" w:eastAsia="zh-CN"/>
        </w:rPr>
        <w:t>8.89</w:t>
      </w:r>
      <w:r>
        <w:rPr>
          <w:rFonts w:hint="default" w:ascii="Times New Roman" w:hAnsi="Times New Roman" w:eastAsia="方正仿宋_GBK" w:cs="Times New Roman"/>
          <w:sz w:val="32"/>
          <w:szCs w:val="32"/>
          <w:highlight w:val="none"/>
        </w:rPr>
        <w:t>万元、住房保障支出</w:t>
      </w:r>
      <w:r>
        <w:rPr>
          <w:rFonts w:hint="default" w:ascii="Times New Roman" w:hAnsi="Times New Roman" w:eastAsia="方正仿宋_GBK" w:cs="Times New Roman"/>
          <w:sz w:val="32"/>
          <w:szCs w:val="32"/>
          <w:highlight w:val="none"/>
          <w:lang w:val="en-US" w:eastAsia="zh-CN"/>
        </w:rPr>
        <w:t>25.95</w:t>
      </w:r>
      <w:r>
        <w:rPr>
          <w:rFonts w:hint="default" w:ascii="Times New Roman" w:hAnsi="Times New Roman" w:eastAsia="方正仿宋_GBK" w:cs="Times New Roman"/>
          <w:sz w:val="32"/>
          <w:szCs w:val="32"/>
          <w:highlight w:val="none"/>
        </w:rPr>
        <w:t>万元</w:t>
      </w:r>
      <w:bookmarkEnd w:id="50"/>
      <w:r>
        <w:rPr>
          <w:rFonts w:hint="default" w:ascii="Times New Roman" w:hAnsi="Times New Roman" w:eastAsia="方正仿宋_GBK" w:cs="Times New Roman"/>
          <w:sz w:val="32"/>
          <w:szCs w:val="32"/>
          <w:highlight w:val="none"/>
          <w:lang w:eastAsia="zh-CN"/>
        </w:rPr>
        <w:t>，调整后预算数与</w:t>
      </w:r>
      <w:r>
        <w:rPr>
          <w:rFonts w:hint="default" w:ascii="Times New Roman" w:hAnsi="Times New Roman" w:eastAsia="方正仿宋_GBK" w:cs="Times New Roman"/>
          <w:sz w:val="32"/>
          <w:szCs w:val="32"/>
          <w:lang w:eastAsia="zh-CN"/>
        </w:rPr>
        <w:t>决算报表支出一致。</w:t>
      </w:r>
    </w:p>
    <w:p>
      <w:pPr>
        <w:pStyle w:val="6"/>
        <w:keepNext w:val="0"/>
        <w:keepLines w:val="0"/>
        <w:pageBreakBefore w:val="0"/>
        <w:widowControl w:val="0"/>
        <w:kinsoku/>
        <w:wordWrap/>
        <w:overflowPunct/>
        <w:topLinePunct w:val="0"/>
        <w:autoSpaceDE/>
        <w:autoSpaceDN/>
        <w:bidi w:val="0"/>
        <w:adjustRightInd w:val="0"/>
        <w:snapToGrid w:val="0"/>
        <w:spacing w:after="0" w:line="590" w:lineRule="exact"/>
        <w:ind w:firstLine="662" w:firstLineChars="200"/>
        <w:textAlignment w:val="auto"/>
        <w:rPr>
          <w:rFonts w:hint="default" w:ascii="Times New Roman" w:hAnsi="Times New Roman" w:eastAsia="方正楷体_GBK" w:cs="Times New Roman"/>
          <w:b/>
          <w:bCs/>
          <w:color w:val="000000"/>
          <w:kern w:val="0"/>
          <w:sz w:val="33"/>
          <w:szCs w:val="33"/>
          <w:shd w:val="clear" w:color="auto" w:fill="FFFFFF"/>
          <w:lang w:val="zh-CN" w:eastAsia="zh-CN" w:bidi="ar-SA"/>
        </w:rPr>
      </w:pPr>
      <w:r>
        <w:rPr>
          <w:rFonts w:hint="default" w:ascii="Times New Roman" w:hAnsi="Times New Roman" w:eastAsia="方正楷体_GBK" w:cs="Times New Roman"/>
          <w:b/>
          <w:bCs/>
          <w:color w:val="000000"/>
          <w:kern w:val="0"/>
          <w:sz w:val="33"/>
          <w:szCs w:val="33"/>
          <w:shd w:val="clear" w:color="auto" w:fill="FFFFFF"/>
          <w:lang w:val="zh-CN" w:eastAsia="zh-CN" w:bidi="ar-SA"/>
        </w:rPr>
        <w:t>（三）结余分配和结转结余情况。</w:t>
      </w:r>
      <w:r>
        <w:rPr>
          <w:rFonts w:hint="default" w:ascii="Times New Roman" w:hAnsi="Times New Roman" w:eastAsia="方正仿宋_GBK" w:cs="Times New Roman"/>
          <w:sz w:val="32"/>
          <w:szCs w:val="32"/>
        </w:rPr>
        <w:t>邻水县公共资源交易</w:t>
      </w:r>
      <w:r>
        <w:rPr>
          <w:rFonts w:hint="default" w:ascii="Times New Roman" w:hAnsi="Times New Roman" w:eastAsia="方正仿宋_GBK" w:cs="Times New Roman"/>
          <w:sz w:val="32"/>
          <w:szCs w:val="32"/>
          <w:lang w:eastAsia="zh-CN"/>
        </w:rPr>
        <w:t>管理服务办公室</w:t>
      </w:r>
      <w:r>
        <w:rPr>
          <w:rFonts w:hint="default" w:ascii="Times New Roman" w:hAnsi="Times New Roman" w:eastAsia="方正仿宋_GBK" w:cs="Times New Roman"/>
          <w:sz w:val="32"/>
          <w:szCs w:val="32"/>
          <w:lang w:val="en-US" w:eastAsia="zh-CN"/>
        </w:rPr>
        <w:t>2023年无结余分配和结转结余情况。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contextualSpacing/>
        <w:textAlignment w:val="auto"/>
        <w:rPr>
          <w:rFonts w:hint="default" w:ascii="Times New Roman" w:hAnsi="Times New Roman" w:eastAsia="方正黑体_GBK" w:cs="Times New Roman"/>
          <w:color w:val="000000"/>
          <w:kern w:val="0"/>
          <w:sz w:val="33"/>
          <w:szCs w:val="33"/>
          <w:shd w:val="clear" w:color="auto" w:fill="FFFFFF"/>
          <w:lang w:eastAsia="zh-CN"/>
        </w:rPr>
      </w:pPr>
      <w:r>
        <w:rPr>
          <w:rFonts w:hint="default" w:ascii="Times New Roman" w:hAnsi="Times New Roman" w:eastAsia="方正黑体_GBK" w:cs="Times New Roman"/>
          <w:color w:val="000000"/>
          <w:kern w:val="0"/>
          <w:sz w:val="33"/>
          <w:szCs w:val="33"/>
          <w:shd w:val="clear" w:color="auto" w:fill="FFFFFF"/>
        </w:rPr>
        <w:t>三、部门预算绩效</w:t>
      </w:r>
      <w:r>
        <w:rPr>
          <w:rFonts w:hint="default" w:ascii="Times New Roman" w:hAnsi="Times New Roman" w:eastAsia="方正黑体_GBK" w:cs="Times New Roman"/>
          <w:color w:val="000000"/>
          <w:kern w:val="0"/>
          <w:sz w:val="33"/>
          <w:szCs w:val="33"/>
          <w:shd w:val="clear" w:color="auto" w:fill="FFFFFF"/>
          <w:lang w:eastAsia="zh-CN"/>
        </w:rPr>
        <w:t>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contextualSpacing/>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bCs/>
          <w:color w:val="000000"/>
          <w:kern w:val="0"/>
          <w:sz w:val="33"/>
          <w:szCs w:val="33"/>
          <w:shd w:val="clear" w:color="auto" w:fill="FFFFFF"/>
          <w:lang w:val="zh-CN" w:eastAsia="zh-CN" w:bidi="ar-SA"/>
        </w:rPr>
        <w:t>（一）部门预算总体绩效分析</w:t>
      </w:r>
    </w:p>
    <w:p>
      <w:pPr>
        <w:adjustRightInd w:val="0"/>
        <w:snapToGrid w:val="0"/>
        <w:spacing w:line="590" w:lineRule="exact"/>
        <w:ind w:firstLine="642" w:firstLineChars="200"/>
        <w:contextualSpacing/>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1.履职效能。</w:t>
      </w:r>
      <w:r>
        <w:rPr>
          <w:rFonts w:hint="default" w:ascii="Times New Roman" w:hAnsi="Times New Roman" w:eastAsia="方正仿宋_GBK" w:cs="Times New Roman"/>
          <w:color w:val="auto"/>
          <w:sz w:val="32"/>
          <w:szCs w:val="32"/>
          <w:lang w:val="en-US" w:eastAsia="zh-CN"/>
        </w:rPr>
        <w:t>2023年我办高效完成了整体绩效目标，严格执行相关政策，保障了全年工资及时、足额发放，按时、足额缴纳社保，预算编制科学合理；全面保障评标项目开展，共完成交易办理333宗，为政府节资5929.13万元，确保资金有效使用，避免了财政资金的浪费；严格按照县财政局要求完成年度预算、决算、绩效等信息公开工作，确保资金使用的透明度，保证公众对交易服务工作的监督。</w:t>
      </w:r>
    </w:p>
    <w:p>
      <w:pPr>
        <w:adjustRightInd w:val="0"/>
        <w:snapToGrid w:val="0"/>
        <w:spacing w:line="590" w:lineRule="exact"/>
        <w:ind w:firstLine="642" w:firstLineChars="200"/>
        <w:contextualSpacing/>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2.预算管理。</w:t>
      </w:r>
      <w:r>
        <w:rPr>
          <w:rFonts w:hint="default" w:ascii="Times New Roman" w:hAnsi="Times New Roman" w:eastAsia="方正仿宋_GBK" w:cs="Times New Roman"/>
          <w:color w:val="auto"/>
          <w:sz w:val="32"/>
          <w:szCs w:val="32"/>
        </w:rPr>
        <w:t>严格按照中央、省、市、县各级财务规定，管好、用好</w:t>
      </w:r>
      <w:r>
        <w:rPr>
          <w:rFonts w:hint="default" w:ascii="Times New Roman" w:hAnsi="Times New Roman" w:eastAsia="方正仿宋_GBK" w:cs="Times New Roman"/>
          <w:color w:val="auto"/>
          <w:sz w:val="32"/>
          <w:szCs w:val="32"/>
          <w:lang w:eastAsia="zh-CN"/>
        </w:rPr>
        <w:t>财政</w:t>
      </w:r>
      <w:r>
        <w:rPr>
          <w:rFonts w:hint="default" w:ascii="Times New Roman" w:hAnsi="Times New Roman" w:eastAsia="方正仿宋_GBK" w:cs="Times New Roman"/>
          <w:color w:val="auto"/>
          <w:sz w:val="32"/>
          <w:szCs w:val="32"/>
        </w:rPr>
        <w:t>资金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结合单位实际，准确编制人员经费和公用经费，做好单位收入支出统筹工作，并按照规定程序上报县财政局相关股室进行审核。2023年</w:t>
      </w:r>
      <w:r>
        <w:rPr>
          <w:rFonts w:hint="default" w:ascii="Times New Roman" w:hAnsi="Times New Roman" w:eastAsia="方正仿宋_GBK" w:cs="Times New Roman"/>
          <w:color w:val="auto"/>
          <w:sz w:val="32"/>
          <w:szCs w:val="32"/>
          <w:lang w:val="zh-CN" w:eastAsia="zh-CN"/>
        </w:rPr>
        <w:t>部门绩效目标实现程度与预期目标基本一致，</w:t>
      </w:r>
      <w:r>
        <w:rPr>
          <w:rFonts w:hint="default" w:ascii="Times New Roman" w:hAnsi="Times New Roman" w:eastAsia="方正仿宋_GBK" w:cs="Times New Roman"/>
          <w:color w:val="auto"/>
          <w:sz w:val="32"/>
          <w:szCs w:val="32"/>
          <w:lang w:eastAsia="zh-CN"/>
        </w:rPr>
        <w:t>且做到了决算数与财务账一致，部门预算在</w:t>
      </w:r>
      <w:r>
        <w:rPr>
          <w:rFonts w:hint="default" w:ascii="Times New Roman" w:hAnsi="Times New Roman" w:eastAsia="方正仿宋_GBK" w:cs="Times New Roman"/>
          <w:color w:val="auto"/>
          <w:sz w:val="32"/>
          <w:szCs w:val="32"/>
          <w:lang w:val="en-US" w:eastAsia="zh-CN"/>
        </w:rPr>
        <w:t>12月份达到执行进度的100%，无资金结余结存。</w:t>
      </w:r>
    </w:p>
    <w:p>
      <w:pPr>
        <w:adjustRightInd w:val="0"/>
        <w:snapToGrid w:val="0"/>
        <w:spacing w:line="590" w:lineRule="exact"/>
        <w:ind w:firstLine="642" w:firstLineChars="200"/>
        <w:contextualSpacing/>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3.财务管理。</w:t>
      </w:r>
      <w:r>
        <w:rPr>
          <w:rFonts w:hint="default" w:ascii="Times New Roman" w:hAnsi="Times New Roman" w:eastAsia="方正仿宋_GBK" w:cs="Times New Roman"/>
          <w:color w:val="auto"/>
          <w:sz w:val="32"/>
          <w:szCs w:val="32"/>
          <w:lang w:val="en-US" w:eastAsia="zh-CN"/>
        </w:rPr>
        <w:t>严格落实财务管理政策制度和财经纪律，依照《行政事业单位会计制度》规范财务工作程序，结合年初预算开展日常工作，合理配置财务岗位，设置出纳1名、会计1名、财务分管负责人1名；在资金使用方面，坚持量财务核算和资金支付等基础工作，</w:t>
      </w:r>
      <w:r>
        <w:rPr>
          <w:rFonts w:hint="default" w:ascii="Times New Roman" w:hAnsi="Times New Roman" w:eastAsia="方正仿宋_GBK" w:cs="Times New Roman"/>
          <w:color w:val="auto"/>
          <w:sz w:val="32"/>
          <w:szCs w:val="32"/>
        </w:rPr>
        <w:t>严格执行中央八项规定</w:t>
      </w:r>
      <w:r>
        <w:rPr>
          <w:rFonts w:hint="default" w:ascii="Times New Roman" w:hAnsi="Times New Roman" w:eastAsia="方正仿宋_GBK" w:cs="Times New Roman"/>
          <w:color w:val="auto"/>
          <w:sz w:val="32"/>
          <w:szCs w:val="32"/>
          <w:lang w:eastAsia="zh-CN"/>
        </w:rPr>
        <w:t>精神</w:t>
      </w:r>
      <w:r>
        <w:rPr>
          <w:rFonts w:hint="default" w:ascii="Times New Roman" w:hAnsi="Times New Roman" w:eastAsia="方正仿宋_GBK" w:cs="Times New Roman"/>
          <w:color w:val="auto"/>
          <w:sz w:val="32"/>
          <w:szCs w:val="32"/>
        </w:rPr>
        <w:t>，控制“三公”经费预算支出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全年无因公出国（境）费用</w:t>
      </w:r>
      <w:r>
        <w:rPr>
          <w:rFonts w:hint="default" w:ascii="Times New Roman" w:hAnsi="Times New Roman" w:eastAsia="方正仿宋_GBK" w:cs="Times New Roman"/>
          <w:color w:val="auto"/>
          <w:sz w:val="32"/>
          <w:szCs w:val="32"/>
          <w:lang w:eastAsia="zh-CN"/>
        </w:rPr>
        <w:t>。</w:t>
      </w:r>
    </w:p>
    <w:p>
      <w:pPr>
        <w:adjustRightInd w:val="0"/>
        <w:snapToGrid w:val="0"/>
        <w:spacing w:line="590" w:lineRule="exact"/>
        <w:ind w:firstLine="642" w:firstLineChars="200"/>
        <w:contextualSpacing/>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4.资产管理。</w:t>
      </w:r>
      <w:r>
        <w:rPr>
          <w:rFonts w:hint="default" w:ascii="Times New Roman" w:hAnsi="Times New Roman" w:eastAsia="方正仿宋_GBK" w:cs="Times New Roman"/>
          <w:color w:val="auto"/>
          <w:sz w:val="32"/>
          <w:szCs w:val="32"/>
          <w:lang w:val="en-US" w:eastAsia="zh-CN"/>
        </w:rPr>
        <w:t>严格执行《行政事业单位国有资产管理办法》，建立健全国有资产管理制度，合理配备、使用固定资产，并按照规定程序编制固定资产预算、计划采购、验收入库、登记入账，并做好相关资产管理和财务核算工作。2023年人均资产变化率较小，资产利用率较高、资产盘活率较高。</w:t>
      </w:r>
    </w:p>
    <w:p>
      <w:pPr>
        <w:adjustRightInd w:val="0"/>
        <w:snapToGrid w:val="0"/>
        <w:spacing w:line="590" w:lineRule="exact"/>
        <w:ind w:firstLine="642" w:firstLineChars="200"/>
        <w:contextualSpacing/>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5.采购管理。</w:t>
      </w:r>
      <w:r>
        <w:rPr>
          <w:rFonts w:hint="default" w:ascii="Times New Roman" w:hAnsi="Times New Roman" w:eastAsia="方正仿宋_GBK" w:cs="Times New Roman"/>
          <w:color w:val="auto"/>
          <w:sz w:val="32"/>
          <w:szCs w:val="32"/>
          <w:lang w:val="en-US" w:eastAsia="zh-CN"/>
        </w:rPr>
        <w:t>严格执行《四川省政府集中采购目录及标准》相关要求，结合单位实际，在规定品目及预算限额内进行物资采购。2023年末，固定资产入账25万元，全面保障了公共资源交易服务工作高质量运转。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Chars="0" w:firstLine="662" w:firstLineChars="200"/>
        <w:contextualSpacing/>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bCs/>
          <w:color w:val="000000"/>
          <w:kern w:val="0"/>
          <w:sz w:val="33"/>
          <w:szCs w:val="33"/>
          <w:shd w:val="clear" w:color="auto" w:fill="FFFFFF"/>
          <w:lang w:val="zh-CN" w:eastAsia="zh-CN" w:bidi="ar-SA"/>
        </w:rPr>
        <w:t>（二）部门预算项目绩效分析。</w:t>
      </w:r>
      <w:r>
        <w:rPr>
          <w:rFonts w:hint="default" w:ascii="Times New Roman" w:hAnsi="Times New Roman" w:eastAsia="方正仿宋_GBK" w:cs="Times New Roman"/>
          <w:sz w:val="32"/>
          <w:szCs w:val="32"/>
        </w:rPr>
        <w:t>邻水县公共资源交易</w:t>
      </w:r>
      <w:r>
        <w:rPr>
          <w:rFonts w:hint="default" w:ascii="Times New Roman" w:hAnsi="Times New Roman" w:eastAsia="方正仿宋_GBK" w:cs="Times New Roman"/>
          <w:sz w:val="32"/>
          <w:szCs w:val="32"/>
          <w:lang w:eastAsia="zh-CN"/>
        </w:rPr>
        <w:t>管理服务办公室</w:t>
      </w:r>
      <w:r>
        <w:rPr>
          <w:rFonts w:hint="default" w:ascii="Times New Roman" w:hAnsi="Times New Roman" w:eastAsia="方正仿宋_GBK" w:cs="Times New Roman"/>
          <w:color w:val="auto"/>
          <w:kern w:val="2"/>
          <w:sz w:val="32"/>
          <w:szCs w:val="32"/>
          <w:lang w:val="en-US" w:eastAsia="zh-CN" w:bidi="ar-SA"/>
        </w:rPr>
        <w:t>2023年无项目支出预算。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Chars="0" w:firstLine="662" w:firstLineChars="200"/>
        <w:contextualSpacing/>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bCs/>
          <w:color w:val="000000"/>
          <w:kern w:val="0"/>
          <w:sz w:val="33"/>
          <w:szCs w:val="33"/>
          <w:shd w:val="clear" w:color="auto" w:fill="FFFFFF"/>
          <w:lang w:val="en-US" w:eastAsia="zh-CN" w:bidi="ar-SA"/>
        </w:rPr>
        <w:t>（三）重点领域绩效分析。</w:t>
      </w:r>
      <w:r>
        <w:rPr>
          <w:rFonts w:hint="default" w:ascii="Times New Roman" w:hAnsi="Times New Roman" w:eastAsia="方正仿宋_GBK" w:cs="Times New Roman"/>
          <w:sz w:val="32"/>
          <w:szCs w:val="32"/>
        </w:rPr>
        <w:t>邻水县公共资源交易</w:t>
      </w:r>
      <w:r>
        <w:rPr>
          <w:rFonts w:hint="default" w:ascii="Times New Roman" w:hAnsi="Times New Roman" w:eastAsia="方正仿宋_GBK" w:cs="Times New Roman"/>
          <w:sz w:val="32"/>
          <w:szCs w:val="32"/>
          <w:lang w:eastAsia="zh-CN"/>
        </w:rPr>
        <w:t>管理服务办公室</w:t>
      </w:r>
      <w:r>
        <w:rPr>
          <w:rFonts w:hint="default" w:ascii="Times New Roman" w:hAnsi="Times New Roman" w:eastAsia="方正仿宋_GBK" w:cs="Times New Roman"/>
          <w:color w:val="auto"/>
          <w:kern w:val="2"/>
          <w:sz w:val="32"/>
          <w:szCs w:val="32"/>
          <w:lang w:val="en-US" w:eastAsia="zh-CN" w:bidi="ar-SA"/>
        </w:rPr>
        <w:t>2023年未涉及相关重点领域。</w:t>
      </w:r>
    </w:p>
    <w:p>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590" w:lineRule="exact"/>
        <w:ind w:left="0" w:leftChars="0" w:firstLine="662"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bCs/>
          <w:color w:val="000000"/>
          <w:kern w:val="0"/>
          <w:sz w:val="33"/>
          <w:szCs w:val="33"/>
          <w:shd w:val="clear" w:color="auto" w:fill="FFFFFF"/>
          <w:lang w:val="en-US" w:eastAsia="zh-CN" w:bidi="ar-SA"/>
        </w:rPr>
        <w:t>绩效结果应用情况</w:t>
      </w:r>
      <w:r>
        <w:rPr>
          <w:rFonts w:hint="default" w:ascii="Times New Roman" w:hAnsi="Times New Roman" w:eastAsia="方正仿宋_GBK" w:cs="Times New Roman"/>
          <w:kern w:val="2"/>
          <w:sz w:val="32"/>
          <w:szCs w:val="32"/>
          <w:lang w:val="en-US" w:eastAsia="zh-CN" w:bidi="ar-SA"/>
        </w:rPr>
        <w:t>。对照绩效评价工作中发现的问题，结合绩效评价报告中提出的整改意见，进一步完善预算管理机制，规范资金使用，强化监督检查，及时对相关资金的使用情况进行公示公开，强化资金管理水平，严格执行收支两条线，合理安排资金支出进度，切实提高资金使用效率，充分发挥预算资金使用绩效。</w:t>
      </w:r>
    </w:p>
    <w:p>
      <w:pPr>
        <w:adjustRightInd w:val="0"/>
        <w:snapToGrid w:val="0"/>
        <w:spacing w:line="590" w:lineRule="exact"/>
        <w:ind w:firstLine="660" w:firstLineChars="200"/>
        <w:contextualSpacing/>
        <w:rPr>
          <w:rFonts w:hint="default" w:ascii="Times New Roman" w:hAnsi="Times New Roman" w:eastAsia="方正黑体_GBK" w:cs="Times New Roman"/>
          <w:color w:val="000000"/>
          <w:kern w:val="0"/>
          <w:sz w:val="33"/>
          <w:szCs w:val="33"/>
          <w:shd w:val="clear" w:color="auto" w:fill="FFFFFF"/>
        </w:rPr>
      </w:pPr>
      <w:r>
        <w:rPr>
          <w:rFonts w:hint="default" w:ascii="Times New Roman" w:hAnsi="Times New Roman" w:eastAsia="方正黑体_GBK" w:cs="Times New Roman"/>
          <w:color w:val="000000"/>
          <w:kern w:val="0"/>
          <w:sz w:val="33"/>
          <w:szCs w:val="33"/>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contextualSpacing/>
        <w:textAlignment w:val="auto"/>
        <w:rPr>
          <w:rFonts w:hint="default" w:ascii="Times New Roman" w:hAnsi="Times New Roman" w:eastAsia="方正楷体_GBK" w:cs="Times New Roman"/>
          <w:b/>
          <w:bCs/>
          <w:color w:val="000000"/>
          <w:kern w:val="0"/>
          <w:sz w:val="33"/>
          <w:szCs w:val="33"/>
          <w:shd w:val="clear" w:color="auto" w:fill="FFFFFF"/>
          <w:lang w:val="zh-CN" w:eastAsia="zh-CN" w:bidi="ar-SA"/>
        </w:rPr>
      </w:pPr>
      <w:r>
        <w:rPr>
          <w:rFonts w:hint="default" w:ascii="Times New Roman" w:hAnsi="Times New Roman" w:eastAsia="方正楷体_GBK" w:cs="Times New Roman"/>
          <w:b/>
          <w:bCs/>
          <w:color w:val="000000"/>
          <w:kern w:val="0"/>
          <w:sz w:val="33"/>
          <w:szCs w:val="33"/>
          <w:shd w:val="clear" w:color="auto" w:fill="FFFFFF"/>
          <w:lang w:val="zh-CN" w:eastAsia="zh-CN" w:bidi="ar-SA"/>
        </w:rPr>
        <w:t>（一）评价结论</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contextualSpacing/>
        <w:textAlignment w:val="auto"/>
        <w:rPr>
          <w:rFonts w:hint="default" w:ascii="Times New Roman" w:hAnsi="Times New Roman" w:eastAsia="方正仿宋_GBK" w:cs="Times New Roman"/>
          <w:color w:val="auto"/>
          <w:kern w:val="2"/>
          <w:sz w:val="33"/>
          <w:szCs w:val="33"/>
          <w:lang w:val="zh-CN" w:eastAsia="zh-CN" w:bidi="ar-SA"/>
        </w:rPr>
      </w:pPr>
      <w:r>
        <w:rPr>
          <w:rFonts w:hint="default" w:ascii="Times New Roman" w:hAnsi="Times New Roman" w:eastAsia="方正仿宋_GBK" w:cs="Times New Roman"/>
          <w:color w:val="auto"/>
          <w:kern w:val="2"/>
          <w:sz w:val="33"/>
          <w:szCs w:val="33"/>
          <w:lang w:val="en-US" w:eastAsia="zh-CN" w:bidi="ar-SA"/>
        </w:rPr>
        <w:t>2023年县公共资源交易管理服务办公室部门支出预算，保障了部门日常正常运转，</w:t>
      </w:r>
      <w:r>
        <w:rPr>
          <w:rFonts w:hint="default" w:ascii="Times New Roman" w:hAnsi="Times New Roman" w:eastAsia="方正仿宋_GBK" w:cs="Times New Roman"/>
          <w:color w:val="auto"/>
          <w:sz w:val="32"/>
          <w:szCs w:val="32"/>
          <w:lang w:val="zh-CN"/>
        </w:rPr>
        <w:t>同时</w:t>
      </w:r>
      <w:r>
        <w:rPr>
          <w:rFonts w:hint="default" w:ascii="Times New Roman" w:hAnsi="Times New Roman" w:eastAsia="方正仿宋_GBK" w:cs="Times New Roman"/>
          <w:color w:val="auto"/>
          <w:kern w:val="2"/>
          <w:sz w:val="33"/>
          <w:szCs w:val="33"/>
          <w:lang w:val="en-US" w:eastAsia="zh-CN" w:bidi="ar-SA"/>
        </w:rPr>
        <w:t>加大资金投入，</w:t>
      </w:r>
      <w:r>
        <w:rPr>
          <w:rFonts w:hint="default" w:ascii="Times New Roman" w:hAnsi="Times New Roman" w:eastAsia="方正仿宋_GBK" w:cs="Times New Roman"/>
          <w:color w:val="auto"/>
          <w:kern w:val="2"/>
          <w:sz w:val="33"/>
          <w:szCs w:val="33"/>
          <w:highlight w:val="none"/>
          <w:lang w:val="en-US" w:eastAsia="zh-CN" w:bidi="ar-SA"/>
        </w:rPr>
        <w:t>完</w:t>
      </w:r>
      <w:r>
        <w:rPr>
          <w:rFonts w:hint="default" w:ascii="Times New Roman" w:hAnsi="Times New Roman" w:eastAsia="方正仿宋_GBK" w:cs="Times New Roman"/>
          <w:color w:val="auto"/>
          <w:kern w:val="2"/>
          <w:sz w:val="33"/>
          <w:szCs w:val="33"/>
          <w:lang w:val="en-US" w:eastAsia="zh-CN" w:bidi="ar-SA"/>
        </w:rPr>
        <w:t>善招标采购的配套硬件设施建设，为交易工作提供更好的服务环境，圆满完成了全年政府采购、招投标业务，有力促进了邻水经济的健康有序发展，为全县经济发展作出了应有的贡献。2023年部门预算支出绩效自评得分</w:t>
      </w:r>
      <w:r>
        <w:rPr>
          <w:rFonts w:hint="eastAsia" w:ascii="Times New Roman" w:hAnsi="Times New Roman" w:eastAsia="方正仿宋_GBK" w:cs="Times New Roman"/>
          <w:color w:val="auto"/>
          <w:kern w:val="2"/>
          <w:sz w:val="33"/>
          <w:szCs w:val="33"/>
          <w:lang w:val="en-US" w:eastAsia="zh-CN" w:bidi="ar-SA"/>
        </w:rPr>
        <w:t>99</w:t>
      </w:r>
      <w:r>
        <w:rPr>
          <w:rFonts w:hint="default" w:ascii="Times New Roman" w:hAnsi="Times New Roman" w:eastAsia="方正仿宋_GBK" w:cs="Times New Roman"/>
          <w:color w:val="auto"/>
          <w:kern w:val="2"/>
          <w:sz w:val="33"/>
          <w:szCs w:val="33"/>
          <w:lang w:val="en-US" w:eastAsia="zh-CN" w:bidi="ar-SA"/>
        </w:rPr>
        <w:t>分。</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contextualSpacing/>
        <w:textAlignment w:val="auto"/>
        <w:rPr>
          <w:rFonts w:hint="default" w:ascii="Times New Roman" w:hAnsi="Times New Roman" w:eastAsia="方正楷体_GBK" w:cs="Times New Roman"/>
          <w:b/>
          <w:bCs/>
          <w:color w:val="000000"/>
          <w:kern w:val="0"/>
          <w:sz w:val="33"/>
          <w:szCs w:val="33"/>
          <w:shd w:val="clear" w:color="auto" w:fill="FFFFFF"/>
          <w:lang w:val="zh-CN" w:eastAsia="zh-CN" w:bidi="ar-SA"/>
        </w:rPr>
      </w:pPr>
      <w:r>
        <w:rPr>
          <w:rFonts w:hint="default" w:ascii="Times New Roman" w:hAnsi="Times New Roman" w:eastAsia="方正楷体_GBK" w:cs="Times New Roman"/>
          <w:b/>
          <w:bCs/>
          <w:color w:val="000000"/>
          <w:kern w:val="0"/>
          <w:sz w:val="33"/>
          <w:szCs w:val="33"/>
          <w:shd w:val="clear" w:color="auto" w:fill="FFFFFF"/>
          <w:lang w:val="zh-CN" w:eastAsia="zh-CN" w:bidi="ar-SA"/>
        </w:rPr>
        <w:t>（二）存在问题</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contextualSpacing/>
        <w:textAlignment w:val="auto"/>
        <w:rPr>
          <w:rFonts w:hint="default" w:ascii="Times New Roman" w:hAnsi="Times New Roman" w:eastAsia="方正仿宋_GBK" w:cs="Times New Roman"/>
          <w:color w:val="auto"/>
          <w:kern w:val="2"/>
          <w:sz w:val="33"/>
          <w:szCs w:val="33"/>
          <w:lang w:val="zh-CN" w:eastAsia="zh-CN" w:bidi="ar-SA"/>
        </w:rPr>
      </w:pPr>
      <w:r>
        <w:rPr>
          <w:rFonts w:hint="default" w:ascii="Times New Roman" w:hAnsi="Times New Roman" w:eastAsia="方正仿宋_GBK" w:cs="Times New Roman"/>
          <w:color w:val="auto"/>
          <w:kern w:val="2"/>
          <w:sz w:val="33"/>
          <w:szCs w:val="33"/>
          <w:lang w:val="en-US" w:eastAsia="zh-CN" w:bidi="ar-SA"/>
        </w:rPr>
        <w:t>部分资料收集不够完善，归档不够规范；对项目的跟踪服务不够主动；财务人员的专业能力有待提高。</w:t>
      </w:r>
    </w:p>
    <w:p>
      <w:pPr>
        <w:keepNext w:val="0"/>
        <w:keepLines w:val="0"/>
        <w:pageBreakBefore w:val="0"/>
        <w:widowControl w:val="0"/>
        <w:kinsoku/>
        <w:wordWrap/>
        <w:overflowPunct/>
        <w:topLinePunct w:val="0"/>
        <w:autoSpaceDE/>
        <w:autoSpaceDN/>
        <w:bidi w:val="0"/>
        <w:adjustRightInd w:val="0"/>
        <w:snapToGrid w:val="0"/>
        <w:spacing w:line="590" w:lineRule="exact"/>
        <w:ind w:firstLine="662" w:firstLineChars="200"/>
        <w:contextualSpacing/>
        <w:textAlignment w:val="auto"/>
        <w:rPr>
          <w:rFonts w:hint="default" w:ascii="Times New Roman" w:hAnsi="Times New Roman" w:eastAsia="方正楷体_GBK" w:cs="Times New Roman"/>
          <w:b/>
          <w:bCs/>
          <w:color w:val="000000"/>
          <w:kern w:val="0"/>
          <w:sz w:val="33"/>
          <w:szCs w:val="33"/>
          <w:shd w:val="clear" w:color="auto" w:fill="FFFFFF"/>
          <w:lang w:val="zh-CN" w:eastAsia="zh-CN" w:bidi="ar-SA"/>
        </w:rPr>
      </w:pPr>
      <w:r>
        <w:rPr>
          <w:rFonts w:hint="default" w:ascii="Times New Roman" w:hAnsi="Times New Roman" w:eastAsia="方正楷体_GBK" w:cs="Times New Roman"/>
          <w:b/>
          <w:bCs/>
          <w:color w:val="000000"/>
          <w:kern w:val="0"/>
          <w:sz w:val="33"/>
          <w:szCs w:val="33"/>
          <w:shd w:val="clear" w:color="auto" w:fill="FFFFFF"/>
          <w:lang w:val="zh-CN" w:eastAsia="zh-CN" w:bidi="ar-SA"/>
        </w:rPr>
        <w:t>（三）改进建议</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1.细化预算编制工作，认真做好预算的编制。进一步加强单位内部机构各股室的预算管理意识，严格按照预算编制的相关制度和要求进行预算编制。</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2.加强财务管理，严格财务审核。加强单位财务管理，健全单位财务管理制度体系，规范单位财务行为。在费用报账支付时，按照预算规定的费用项目和用途进行资金使用审核、支付、财务核算，杜绝超支现象的发生。</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合理压缩“三公”经费支出，做好经费支出的审核、审批、报销，杜绝挪用和挤占其他预算资金行为。</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4.加强人员培训，提升业务技能。组织相关财务工作人员全面学习《中华人民共和国预算法》《行政事业单位会计制度》《行政单位财务规则》</w:t>
      </w:r>
      <w:r>
        <w:rPr>
          <w:rFonts w:hint="default" w:ascii="Times New Roman" w:hAnsi="Times New Roman" w:eastAsia="方正仿宋_GBK" w:cs="Times New Roman"/>
          <w:color w:val="auto"/>
          <w:sz w:val="32"/>
          <w:szCs w:val="32"/>
          <w:lang w:val="en-US" w:eastAsia="zh-CN"/>
        </w:rPr>
        <w:t>《行政事业单位国有资产管理办法》</w:t>
      </w:r>
      <w:r>
        <w:rPr>
          <w:rFonts w:hint="default" w:ascii="Times New Roman" w:hAnsi="Times New Roman" w:eastAsia="方正仿宋_GBK" w:cs="Times New Roman"/>
          <w:color w:val="auto"/>
          <w:kern w:val="2"/>
          <w:sz w:val="33"/>
          <w:szCs w:val="33"/>
          <w:lang w:val="en-US" w:eastAsia="zh-CN" w:bidi="ar-SA"/>
        </w:rPr>
        <w:t>等相关政策法规，组织参加财务相关工作的培训，熟悉财务系统的操作流程，进一步规范部门预算收支核算，切实提高部门预算收支管理水平。</w:t>
      </w:r>
    </w:p>
    <w:p>
      <w:pPr>
        <w:pStyle w:val="6"/>
        <w:keepNext w:val="0"/>
        <w:keepLines w:val="0"/>
        <w:pageBreakBefore w:val="0"/>
        <w:widowControl w:val="0"/>
        <w:kinsoku/>
        <w:wordWrap/>
        <w:overflowPunct/>
        <w:topLinePunct w:val="0"/>
        <w:autoSpaceDE/>
        <w:autoSpaceDN/>
        <w:bidi w:val="0"/>
        <w:spacing w:line="590" w:lineRule="exact"/>
        <w:textAlignment w:val="auto"/>
        <w:rPr>
          <w:rFonts w:hint="default" w:ascii="Times New Roman" w:hAnsi="Times New Roman" w:eastAsia="方正仿宋_GBK" w:cs="Times New Roman"/>
          <w:color w:val="auto"/>
          <w:kern w:val="2"/>
          <w:sz w:val="33"/>
          <w:szCs w:val="33"/>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kern w:val="2"/>
          <w:sz w:val="33"/>
          <w:szCs w:val="33"/>
          <w:lang w:val="en-US" w:eastAsia="zh-CN" w:bidi="ar-SA"/>
        </w:rPr>
      </w:pPr>
      <w:r>
        <w:rPr>
          <w:rFonts w:hint="default" w:ascii="Times New Roman" w:hAnsi="Times New Roman" w:eastAsia="方正仿宋_GBK" w:cs="Times New Roman"/>
          <w:color w:val="auto"/>
          <w:kern w:val="2"/>
          <w:sz w:val="33"/>
          <w:szCs w:val="33"/>
          <w:lang w:val="en-US" w:eastAsia="zh-CN" w:bidi="ar-SA"/>
        </w:rPr>
        <w:t>附表:部门整体支出绩效完成情况自评表</w:t>
      </w:r>
      <w:r>
        <w:rPr>
          <w:rFonts w:hint="eastAsia" w:ascii="Times New Roman" w:eastAsia="方正仿宋_GBK" w:cs="Times New Roman"/>
          <w:color w:val="auto"/>
          <w:kern w:val="2"/>
          <w:sz w:val="33"/>
          <w:szCs w:val="33"/>
          <w:lang w:val="en-US" w:eastAsia="zh-CN" w:bidi="ar-SA"/>
        </w:rPr>
        <w:t>（2023年度）</w:t>
      </w:r>
      <w:r>
        <w:rPr>
          <w:rFonts w:hint="default" w:ascii="Times New Roman" w:hAnsi="Times New Roman" w:eastAsia="方正仿宋_GBK" w:cs="Times New Roman"/>
          <w:color w:val="auto"/>
          <w:kern w:val="2"/>
          <w:sz w:val="33"/>
          <w:szCs w:val="33"/>
          <w:lang w:val="en-US" w:eastAsia="zh-CN" w:bidi="ar-SA"/>
        </w:rPr>
        <w:t xml:space="preserve"> </w:t>
      </w:r>
    </w:p>
    <w:p>
      <w:pPr>
        <w:pStyle w:val="6"/>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p>
      <w:pPr>
        <w:pStyle w:val="6"/>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bookmarkEnd w:id="49"/>
    <w:p>
      <w:pPr>
        <w:pageBreakBefore w:val="0"/>
        <w:kinsoku/>
        <w:wordWrap/>
        <w:overflowPunct/>
        <w:topLinePunct w:val="0"/>
        <w:bidi w:val="0"/>
        <w:spacing w:line="580" w:lineRule="exact"/>
        <w:textAlignment w:val="auto"/>
        <w:rPr>
          <w:rFonts w:hint="default" w:ascii="Times New Roman" w:hAnsi="Times New Roman" w:eastAsia="黑体" w:cs="Times New Roman"/>
          <w:sz w:val="32"/>
          <w:szCs w:val="32"/>
        </w:rPr>
      </w:pPr>
    </w:p>
    <w:p>
      <w:pPr>
        <w:pageBreakBefore w:val="0"/>
        <w:kinsoku/>
        <w:wordWrap/>
        <w:overflowPunct/>
        <w:topLinePunct w:val="0"/>
        <w:bidi w:val="0"/>
        <w:spacing w:line="580" w:lineRule="exact"/>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仿宋_GB2312" w:cs="Times New Roman"/>
          <w:b w:val="0"/>
          <w:bCs w:val="0"/>
          <w:color w:val="auto"/>
          <w:sz w:val="32"/>
          <w:szCs w:val="32"/>
          <w:highlight w:val="none"/>
          <w:lang w:val="en-US" w:eastAsia="zh-CN"/>
        </w:rPr>
        <w:t>2</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000000"/>
          <w:kern w:val="0"/>
          <w:sz w:val="44"/>
          <w:szCs w:val="44"/>
          <w:lang w:val="zh-CN"/>
        </w:rPr>
      </w:pPr>
      <w:r>
        <w:rPr>
          <w:rFonts w:hint="eastAsia" w:eastAsia="方正小标宋简体" w:cs="Times New Roman"/>
          <w:color w:val="000000"/>
          <w:kern w:val="0"/>
          <w:sz w:val="44"/>
          <w:szCs w:val="44"/>
          <w:lang w:val="zh-CN"/>
        </w:rPr>
        <w:t>专项预算</w:t>
      </w:r>
      <w:r>
        <w:rPr>
          <w:rFonts w:hint="default" w:ascii="Times New Roman" w:hAnsi="Times New Roman" w:eastAsia="方正小标宋简体" w:cs="Times New Roman"/>
          <w:color w:val="000000"/>
          <w:kern w:val="0"/>
          <w:sz w:val="44"/>
          <w:szCs w:val="44"/>
          <w:lang w:val="zh-CN"/>
        </w:rPr>
        <w:t>项目绩效评价报告</w:t>
      </w:r>
      <w:r>
        <w:rPr>
          <w:rFonts w:hint="eastAsia" w:eastAsia="方正小标宋简体" w:cs="Times New Roman"/>
          <w:color w:val="000000"/>
          <w:kern w:val="0"/>
          <w:sz w:val="44"/>
          <w:szCs w:val="44"/>
          <w:lang w:val="zh-CN"/>
        </w:rPr>
        <w:t>（</w:t>
      </w:r>
      <w:r>
        <w:rPr>
          <w:rFonts w:hint="eastAsia" w:eastAsia="方正小标宋简体" w:cs="Times New Roman"/>
          <w:color w:val="000000"/>
          <w:kern w:val="0"/>
          <w:sz w:val="44"/>
          <w:szCs w:val="44"/>
          <w:lang w:val="en-US" w:eastAsia="zh-CN"/>
        </w:rPr>
        <w:t>2023年度</w:t>
      </w:r>
      <w:r>
        <w:rPr>
          <w:rFonts w:hint="eastAsia" w:eastAsia="方正小标宋简体" w:cs="Times New Roman"/>
          <w:color w:val="000000"/>
          <w:kern w:val="0"/>
          <w:sz w:val="44"/>
          <w:szCs w:val="44"/>
          <w:lang w:val="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2023</w:t>
      </w:r>
      <w:r>
        <w:rPr>
          <w:rFonts w:hint="default" w:ascii="Times New Roman" w:hAnsi="Times New Roman" w:eastAsia="方正仿宋_GBK" w:cs="Times New Roman"/>
          <w:color w:val="auto"/>
          <w:kern w:val="2"/>
          <w:sz w:val="33"/>
          <w:szCs w:val="33"/>
          <w:lang w:val="en-US" w:eastAsia="zh-CN" w:bidi="ar-SA"/>
        </w:rPr>
        <w:t>年根据预算绩效管理要求，本部门在预算执行过程中，经财政预算调整，年初项目支出预算调整为基本支出预算，调整后本部门无专项预算项目</w:t>
      </w:r>
      <w:r>
        <w:rPr>
          <w:rFonts w:hint="eastAsia" w:ascii="Times New Roman" w:hAnsi="Times New Roman" w:eastAsia="方正仿宋_GBK" w:cs="Times New Roman"/>
          <w:color w:val="auto"/>
          <w:kern w:val="2"/>
          <w:sz w:val="33"/>
          <w:szCs w:val="33"/>
          <w:lang w:val="en-US" w:eastAsia="zh-CN" w:bidi="ar-SA"/>
        </w:rPr>
        <w:t>，2023</w:t>
      </w:r>
      <w:r>
        <w:rPr>
          <w:rFonts w:hint="default" w:ascii="Times New Roman" w:hAnsi="Times New Roman" w:eastAsia="方正仿宋_GBK" w:cs="Times New Roman"/>
          <w:color w:val="auto"/>
          <w:kern w:val="2"/>
          <w:sz w:val="33"/>
          <w:szCs w:val="33"/>
          <w:lang w:val="en-US" w:eastAsia="zh-CN" w:bidi="ar-SA"/>
        </w:rPr>
        <w:t>年无项目绩效评价报告。</w:t>
      </w: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eastAsia="zh-CN"/>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eastAsia="zh-CN"/>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eastAsia="zh-CN"/>
        </w:rPr>
      </w:pPr>
    </w:p>
    <w:p>
      <w:pPr>
        <w:pageBreakBefore w:val="0"/>
        <w:kinsoku/>
        <w:wordWrap/>
        <w:overflowPunct/>
        <w:topLinePunct w:val="0"/>
        <w:bidi w:val="0"/>
        <w:spacing w:line="580" w:lineRule="exact"/>
        <w:textAlignment w:val="auto"/>
        <w:rPr>
          <w:rFonts w:hint="default" w:ascii="Times New Roman" w:hAnsi="Times New Roman" w:eastAsia="黑体" w:cs="Times New Roman"/>
          <w:sz w:val="32"/>
          <w:szCs w:val="32"/>
          <w:lang w:eastAsia="zh-CN"/>
        </w:rPr>
      </w:pPr>
    </w:p>
    <w:p>
      <w:pPr>
        <w:pageBreakBefore w:val="0"/>
        <w:kinsoku/>
        <w:wordWrap/>
        <w:overflowPunct/>
        <w:topLinePunct w:val="0"/>
        <w:bidi w:val="0"/>
        <w:spacing w:line="5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pStyle w:val="6"/>
        <w:rPr>
          <w:rFonts w:hint="default"/>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color w:val="000000"/>
          <w:kern w:val="0"/>
          <w:sz w:val="44"/>
          <w:szCs w:val="44"/>
          <w:lang w:val="en-US" w:eastAsia="zh-CN"/>
        </w:rPr>
      </w:pPr>
      <w:r>
        <w:rPr>
          <w:rFonts w:hint="eastAsia" w:eastAsia="仿宋_GB2312" w:cs="Times New Roman"/>
          <w:b/>
          <w:bCs/>
          <w:color w:val="auto"/>
          <w:sz w:val="44"/>
          <w:szCs w:val="44"/>
          <w:highlight w:val="none"/>
          <w:lang w:val="en-US" w:eastAsia="zh-CN"/>
        </w:rPr>
        <w:t>2023</w:t>
      </w:r>
      <w:r>
        <w:rPr>
          <w:rFonts w:hint="default" w:ascii="Times New Roman" w:hAnsi="Times New Roman" w:eastAsia="方正小标宋简体" w:cs="Times New Roman"/>
          <w:color w:val="000000"/>
          <w:kern w:val="0"/>
          <w:sz w:val="44"/>
          <w:szCs w:val="44"/>
          <w:lang w:val="en-US" w:eastAsia="zh-CN"/>
        </w:rPr>
        <w:t>年部门预算项目绩效目标自评表</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lang w:val="en-US" w:eastAsia="zh-CN" w:bidi="ar-SA"/>
        </w:rPr>
      </w:pPr>
      <w:r>
        <w:rPr>
          <w:rFonts w:hint="eastAsia" w:ascii="Times New Roman" w:hAnsi="Times New Roman" w:eastAsia="方正仿宋_GBK" w:cs="Times New Roman"/>
          <w:color w:val="auto"/>
          <w:kern w:val="2"/>
          <w:sz w:val="33"/>
          <w:szCs w:val="33"/>
          <w:lang w:val="en-US" w:eastAsia="zh-CN" w:bidi="ar-SA"/>
        </w:rPr>
        <w:t>2023</w:t>
      </w:r>
      <w:r>
        <w:rPr>
          <w:rFonts w:hint="default" w:ascii="Times New Roman" w:hAnsi="Times New Roman" w:eastAsia="方正仿宋_GBK" w:cs="Times New Roman"/>
          <w:color w:val="auto"/>
          <w:kern w:val="2"/>
          <w:sz w:val="33"/>
          <w:szCs w:val="33"/>
          <w:lang w:val="en-US" w:eastAsia="zh-CN" w:bidi="ar-SA"/>
        </w:rPr>
        <w:t>年根据预算绩效管理要求，本部门在预算执行过程中，经财政预算调整，年初项目支出预算调整为基本支出预算，调整后本部门无专项预算项目，</w:t>
      </w:r>
      <w:r>
        <w:rPr>
          <w:rFonts w:hint="eastAsia" w:ascii="Times New Roman" w:hAnsi="Times New Roman" w:eastAsia="方正仿宋_GBK" w:cs="Times New Roman"/>
          <w:color w:val="auto"/>
          <w:kern w:val="2"/>
          <w:sz w:val="33"/>
          <w:szCs w:val="33"/>
          <w:lang w:val="en-US" w:eastAsia="zh-CN" w:bidi="ar-SA"/>
        </w:rPr>
        <w:t>2023</w:t>
      </w:r>
      <w:r>
        <w:rPr>
          <w:rFonts w:hint="default" w:ascii="Times New Roman" w:hAnsi="Times New Roman" w:eastAsia="方正仿宋_GBK" w:cs="Times New Roman"/>
          <w:color w:val="auto"/>
          <w:kern w:val="2"/>
          <w:sz w:val="33"/>
          <w:szCs w:val="33"/>
          <w:lang w:val="en-US" w:eastAsia="zh-CN" w:bidi="ar-SA"/>
        </w:rPr>
        <w:t>年未开展部门预算项目绩效自评。</w:t>
      </w: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textAlignment w:val="auto"/>
        <w:rPr>
          <w:rStyle w:val="29"/>
          <w:rFonts w:hint="default" w:ascii="Times New Roman" w:hAnsi="Times New Roman" w:eastAsia="方正小标宋简体" w:cs="Times New Roman"/>
          <w:b w:val="0"/>
          <w:bCs w:val="0"/>
          <w:sz w:val="44"/>
          <w:szCs w:val="44"/>
        </w:rPr>
      </w:pPr>
    </w:p>
    <w:p>
      <w:pPr>
        <w:pStyle w:val="6"/>
        <w:pageBreakBefore w:val="0"/>
        <w:kinsoku/>
        <w:wordWrap/>
        <w:overflowPunct/>
        <w:topLinePunct w:val="0"/>
        <w:bidi w:val="0"/>
        <w:spacing w:before="93"/>
        <w:ind w:firstLine="880" w:firstLineChars="200"/>
        <w:textAlignment w:val="auto"/>
        <w:rPr>
          <w:rStyle w:val="29"/>
          <w:rFonts w:hint="default" w:ascii="Times New Roman" w:hAnsi="Times New Roman" w:eastAsia="方正小标宋简体" w:cs="Times New Roman"/>
          <w:b w:val="0"/>
          <w:bCs w:val="0"/>
          <w:sz w:val="44"/>
          <w:szCs w:val="44"/>
        </w:rPr>
      </w:pPr>
      <w:r>
        <w:rPr>
          <w:rStyle w:val="29"/>
          <w:rFonts w:hint="default" w:ascii="Times New Roman" w:hAnsi="Times New Roman" w:eastAsia="方正小标宋简体" w:cs="Times New Roman"/>
          <w:b w:val="0"/>
          <w:bCs w:val="0"/>
          <w:sz w:val="44"/>
          <w:szCs w:val="44"/>
        </w:rPr>
        <w:t>第五部分：附表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kern w:val="2"/>
          <w:sz w:val="32"/>
          <w:szCs w:val="32"/>
          <w:lang w:val="en-US" w:eastAsia="zh-CN" w:bidi="ar-SA"/>
        </w:rPr>
        <w:t>收入支出决算总表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收入决算表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支出决算表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四、财政拨款收入支出决算总表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五、财政拨款支出决算明细表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六、一般公共预算财政拨款支出决算表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七、一般公共预算财政拨款支出决算明细表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八、一般公共预算财政拨款基本支出决算表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九、一般公共预算财政拨款项目支出决算表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十、政府性基金预算财政拨款收入支出决算表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十一、国有资本经营预算财政拨款收入支出决算表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十二、国有资本经营预算财政拨款支出决算表</w:t>
      </w:r>
    </w:p>
    <w:p>
      <w:pPr>
        <w:pStyle w:val="13"/>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十三、财政拨款“三公”经费支出决算表</w:t>
      </w:r>
    </w:p>
    <w:p>
      <w:pPr>
        <w:pStyle w:val="6"/>
        <w:keepNext w:val="0"/>
        <w:keepLines w:val="0"/>
        <w:pageBreakBefore w:val="0"/>
        <w:widowControl w:val="0"/>
        <w:kinsoku/>
        <w:wordWrap/>
        <w:overflowPunct/>
        <w:topLinePunct w:val="0"/>
        <w:autoSpaceDE/>
        <w:autoSpaceDN/>
        <w:bidi w:val="0"/>
        <w:spacing w:before="93"/>
        <w:ind w:firstLine="600" w:firstLineChars="200"/>
        <w:textAlignment w:val="auto"/>
        <w:rPr>
          <w:rFonts w:hint="default" w:ascii="Times New Roman" w:hAnsi="Times New Roman" w:cs="Times New Roman"/>
        </w:rPr>
      </w:pPr>
    </w:p>
    <w:p>
      <w:pPr>
        <w:pStyle w:val="6"/>
        <w:pageBreakBefore w:val="0"/>
        <w:kinsoku/>
        <w:wordWrap/>
        <w:overflowPunct/>
        <w:topLinePunct w:val="0"/>
        <w:bidi w:val="0"/>
        <w:spacing w:before="93"/>
        <w:ind w:firstLine="600" w:firstLineChars="200"/>
        <w:textAlignment w:val="auto"/>
        <w:rPr>
          <w:rFonts w:hint="default" w:ascii="Times New Roman" w:hAnsi="Times New Roman" w:cs="Times New Roman"/>
        </w:rPr>
      </w:pPr>
    </w:p>
    <w:p>
      <w:pPr>
        <w:pStyle w:val="4"/>
        <w:pageBreakBefore w:val="0"/>
        <w:kinsoku/>
        <w:wordWrap/>
        <w:overflowPunct/>
        <w:topLinePunct w:val="0"/>
        <w:bidi w:val="0"/>
        <w:ind w:firstLine="642" w:firstLineChars="200"/>
        <w:textAlignment w:val="auto"/>
        <w:rPr>
          <w:rFonts w:hint="default" w:ascii="Times New Roman" w:hAnsi="Times New Roman" w:eastAsia="仿宋" w:cs="Times New Roman"/>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BE49D"/>
    <w:multiLevelType w:val="singleLevel"/>
    <w:tmpl w:val="CA9BE49D"/>
    <w:lvl w:ilvl="0" w:tentative="0">
      <w:start w:val="2"/>
      <w:numFmt w:val="chineseCounting"/>
      <w:suff w:val="nothing"/>
      <w:lvlText w:val="（%1）"/>
      <w:lvlJc w:val="left"/>
      <w:rPr>
        <w:rFonts w:hint="eastAsia" w:ascii="方正楷体_GBK" w:hAnsi="方正楷体_GBK" w:eastAsia="方正楷体_GBK" w:cs="方正楷体_GBK"/>
        <w:b/>
        <w:bCs/>
        <w:sz w:val="33"/>
        <w:szCs w:val="33"/>
      </w:rPr>
    </w:lvl>
  </w:abstractNum>
  <w:abstractNum w:abstractNumId="1">
    <w:nsid w:val="E2FA047D"/>
    <w:multiLevelType w:val="singleLevel"/>
    <w:tmpl w:val="E2FA047D"/>
    <w:lvl w:ilvl="0" w:tentative="0">
      <w:start w:val="3"/>
      <w:numFmt w:val="chineseCounting"/>
      <w:suff w:val="space"/>
      <w:lvlText w:val="第%1部分"/>
      <w:lvlJc w:val="left"/>
      <w:rPr>
        <w:rFonts w:hint="eastAsia" w:ascii="方正小标宋_GBK" w:hAnsi="方正小标宋_GBK" w:eastAsia="方正小标宋_GBK" w:cs="方正小标宋_GBK"/>
        <w:sz w:val="44"/>
        <w:szCs w:val="44"/>
      </w:rPr>
    </w:lvl>
  </w:abstractNum>
  <w:abstractNum w:abstractNumId="2">
    <w:nsid w:val="57DCDBBD"/>
    <w:multiLevelType w:val="singleLevel"/>
    <w:tmpl w:val="57DCDBBD"/>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NTcxZWM2M2M4MDZhZTBhMzJjYzNmNTk0YzQ1NjU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0187"/>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66B6B"/>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17B26"/>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6978"/>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6D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2F72AEC"/>
    <w:rsid w:val="03136D67"/>
    <w:rsid w:val="04E672BC"/>
    <w:rsid w:val="04FD0F5D"/>
    <w:rsid w:val="0669648E"/>
    <w:rsid w:val="069129D9"/>
    <w:rsid w:val="06B801E1"/>
    <w:rsid w:val="074D27E3"/>
    <w:rsid w:val="07593D76"/>
    <w:rsid w:val="08217FA4"/>
    <w:rsid w:val="09285C46"/>
    <w:rsid w:val="09831C8A"/>
    <w:rsid w:val="09B3669D"/>
    <w:rsid w:val="0A2032A3"/>
    <w:rsid w:val="0ACB72E5"/>
    <w:rsid w:val="0B6301E6"/>
    <w:rsid w:val="0BD1285F"/>
    <w:rsid w:val="0BEF20F5"/>
    <w:rsid w:val="0D9E714C"/>
    <w:rsid w:val="0DE21480"/>
    <w:rsid w:val="0E65240A"/>
    <w:rsid w:val="0EA43B14"/>
    <w:rsid w:val="102D1798"/>
    <w:rsid w:val="10C055FF"/>
    <w:rsid w:val="10E87F18"/>
    <w:rsid w:val="118107EC"/>
    <w:rsid w:val="12C86253"/>
    <w:rsid w:val="143B2804"/>
    <w:rsid w:val="16494EC1"/>
    <w:rsid w:val="16BB723D"/>
    <w:rsid w:val="174137E6"/>
    <w:rsid w:val="1793097A"/>
    <w:rsid w:val="184B3046"/>
    <w:rsid w:val="18534BA8"/>
    <w:rsid w:val="19375FF7"/>
    <w:rsid w:val="1A045202"/>
    <w:rsid w:val="1A644AB4"/>
    <w:rsid w:val="1C7E2327"/>
    <w:rsid w:val="1D155CEE"/>
    <w:rsid w:val="1DC54782"/>
    <w:rsid w:val="1E422BA2"/>
    <w:rsid w:val="1E8B5456"/>
    <w:rsid w:val="1EE0794A"/>
    <w:rsid w:val="1F267C46"/>
    <w:rsid w:val="1F2B3E6A"/>
    <w:rsid w:val="21667363"/>
    <w:rsid w:val="21B43707"/>
    <w:rsid w:val="233C469F"/>
    <w:rsid w:val="240371BF"/>
    <w:rsid w:val="24270C66"/>
    <w:rsid w:val="243855B5"/>
    <w:rsid w:val="246D4839"/>
    <w:rsid w:val="253B107F"/>
    <w:rsid w:val="26172211"/>
    <w:rsid w:val="263C19B7"/>
    <w:rsid w:val="27194E78"/>
    <w:rsid w:val="277C78F6"/>
    <w:rsid w:val="27800519"/>
    <w:rsid w:val="283642FF"/>
    <w:rsid w:val="299D3B3E"/>
    <w:rsid w:val="29FD04D3"/>
    <w:rsid w:val="2A982D35"/>
    <w:rsid w:val="2BD58DEE"/>
    <w:rsid w:val="2BDC73E3"/>
    <w:rsid w:val="2CF92D3D"/>
    <w:rsid w:val="2DFE01DB"/>
    <w:rsid w:val="2E5D0A8E"/>
    <w:rsid w:val="2F0401BB"/>
    <w:rsid w:val="2F5D990D"/>
    <w:rsid w:val="3044116F"/>
    <w:rsid w:val="30B97C74"/>
    <w:rsid w:val="31981078"/>
    <w:rsid w:val="319F7F4E"/>
    <w:rsid w:val="31C06AA2"/>
    <w:rsid w:val="3207424B"/>
    <w:rsid w:val="33354F1E"/>
    <w:rsid w:val="33A06705"/>
    <w:rsid w:val="34585C73"/>
    <w:rsid w:val="34CD0532"/>
    <w:rsid w:val="34D66C80"/>
    <w:rsid w:val="36F358E7"/>
    <w:rsid w:val="37574EED"/>
    <w:rsid w:val="37940F14"/>
    <w:rsid w:val="37A8284F"/>
    <w:rsid w:val="384F1DA4"/>
    <w:rsid w:val="387E5813"/>
    <w:rsid w:val="399A2F0D"/>
    <w:rsid w:val="39B90593"/>
    <w:rsid w:val="3A63048C"/>
    <w:rsid w:val="3A8B515E"/>
    <w:rsid w:val="3C072580"/>
    <w:rsid w:val="3C66733D"/>
    <w:rsid w:val="3D065BAF"/>
    <w:rsid w:val="3D3F73AB"/>
    <w:rsid w:val="3DA74B34"/>
    <w:rsid w:val="3EB2326D"/>
    <w:rsid w:val="3FA823D0"/>
    <w:rsid w:val="3FFA232E"/>
    <w:rsid w:val="404E284D"/>
    <w:rsid w:val="40E26EDF"/>
    <w:rsid w:val="41697413"/>
    <w:rsid w:val="4194777E"/>
    <w:rsid w:val="421666B2"/>
    <w:rsid w:val="44B335A2"/>
    <w:rsid w:val="4574072F"/>
    <w:rsid w:val="46245B4E"/>
    <w:rsid w:val="465B295F"/>
    <w:rsid w:val="46777686"/>
    <w:rsid w:val="47B01E42"/>
    <w:rsid w:val="47C27547"/>
    <w:rsid w:val="482A15FB"/>
    <w:rsid w:val="49A30776"/>
    <w:rsid w:val="4A7D37C7"/>
    <w:rsid w:val="4E325838"/>
    <w:rsid w:val="4E6E319C"/>
    <w:rsid w:val="4EBB1DB6"/>
    <w:rsid w:val="4ECE2238"/>
    <w:rsid w:val="4EFC3A63"/>
    <w:rsid w:val="4F907F99"/>
    <w:rsid w:val="503244F3"/>
    <w:rsid w:val="50667B86"/>
    <w:rsid w:val="5100039B"/>
    <w:rsid w:val="51267386"/>
    <w:rsid w:val="51DC2191"/>
    <w:rsid w:val="53927A32"/>
    <w:rsid w:val="54D062C6"/>
    <w:rsid w:val="558FE1D5"/>
    <w:rsid w:val="55C04EA2"/>
    <w:rsid w:val="56920B76"/>
    <w:rsid w:val="56C9FFDE"/>
    <w:rsid w:val="57002E75"/>
    <w:rsid w:val="57DB4A0B"/>
    <w:rsid w:val="58211797"/>
    <w:rsid w:val="584011B8"/>
    <w:rsid w:val="5A6C4845"/>
    <w:rsid w:val="5A79266A"/>
    <w:rsid w:val="5B377C37"/>
    <w:rsid w:val="5B9E7A42"/>
    <w:rsid w:val="5DA327CA"/>
    <w:rsid w:val="5DEA68CD"/>
    <w:rsid w:val="5F0D5088"/>
    <w:rsid w:val="5FFD1A70"/>
    <w:rsid w:val="60CD4EE0"/>
    <w:rsid w:val="6160373D"/>
    <w:rsid w:val="631122C9"/>
    <w:rsid w:val="63A808FD"/>
    <w:rsid w:val="656D05F8"/>
    <w:rsid w:val="66342A30"/>
    <w:rsid w:val="668B5700"/>
    <w:rsid w:val="67704F2B"/>
    <w:rsid w:val="67771F8D"/>
    <w:rsid w:val="686455DF"/>
    <w:rsid w:val="697E0D23"/>
    <w:rsid w:val="69EF0C64"/>
    <w:rsid w:val="6A7F3982"/>
    <w:rsid w:val="6A80152E"/>
    <w:rsid w:val="6AB346DE"/>
    <w:rsid w:val="6C4A05C8"/>
    <w:rsid w:val="6CEE2D6F"/>
    <w:rsid w:val="6D4D6A44"/>
    <w:rsid w:val="6DCE3657"/>
    <w:rsid w:val="6E7A7577"/>
    <w:rsid w:val="6E817694"/>
    <w:rsid w:val="6ED36BA4"/>
    <w:rsid w:val="6EE36145"/>
    <w:rsid w:val="6F072F89"/>
    <w:rsid w:val="6F97123E"/>
    <w:rsid w:val="70C075D3"/>
    <w:rsid w:val="71967AEE"/>
    <w:rsid w:val="71D23000"/>
    <w:rsid w:val="71F25676"/>
    <w:rsid w:val="72734D90"/>
    <w:rsid w:val="75585ABA"/>
    <w:rsid w:val="759B6318"/>
    <w:rsid w:val="76950A1B"/>
    <w:rsid w:val="774F572B"/>
    <w:rsid w:val="781C51FB"/>
    <w:rsid w:val="78395EF6"/>
    <w:rsid w:val="7908556B"/>
    <w:rsid w:val="7A3F02C0"/>
    <w:rsid w:val="7B6BF4D3"/>
    <w:rsid w:val="7C716CEE"/>
    <w:rsid w:val="7CDC7CD3"/>
    <w:rsid w:val="7FAF5630"/>
    <w:rsid w:val="B9BDA6A3"/>
    <w:rsid w:val="EFFEF9CE"/>
    <w:rsid w:val="F73557F3"/>
    <w:rsid w:val="FDEA2DE3"/>
    <w:rsid w:val="FED51A50"/>
    <w:rsid w:val="FEEFAD60"/>
    <w:rsid w:val="FFFF39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10"/>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4">
    <w:name w:val="List Paragraph"/>
    <w:basedOn w:val="1"/>
    <w:qFormat/>
    <w:uiPriority w:val="99"/>
    <w:pPr>
      <w:ind w:firstLine="420" w:firstLineChars="200"/>
    </w:pPr>
  </w:style>
  <w:style w:type="paragraph" w:styleId="35">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3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842563783447"/>
          <c:y val="0.026191822121726"/>
          <c:w val="0.82005"/>
          <c:h val="0.883066666666667"/>
        </c:manualLayout>
      </c:layout>
      <c:barChart>
        <c:barDir val="col"/>
        <c:grouping val="clustered"/>
        <c:varyColors val="0"/>
        <c:ser>
          <c:idx val="0"/>
          <c:order val="0"/>
          <c:tx>
            <c:strRef>
              <c:f>Sheet1!$B$1</c:f>
              <c:strCache>
                <c:ptCount val="1"/>
                <c:pt idx="0">
                  <c:v>金额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2023收入合计</c:v>
                </c:pt>
                <c:pt idx="1">
                  <c:v>2023支出合计</c:v>
                </c:pt>
                <c:pt idx="2">
                  <c:v>2022收入合计</c:v>
                </c:pt>
                <c:pt idx="3">
                  <c:v>2022支出合计</c:v>
                </c:pt>
              </c:strCache>
            </c:strRef>
          </c:cat>
          <c:val>
            <c:numRef>
              <c:f>Sheet1!$B$2:$B$5</c:f>
              <c:numCache>
                <c:formatCode>#,##0.00</c:formatCode>
                <c:ptCount val="4"/>
                <c:pt idx="0">
                  <c:v>490.41</c:v>
                </c:pt>
                <c:pt idx="1">
                  <c:v>490.41</c:v>
                </c:pt>
                <c:pt idx="2">
                  <c:v>458.08</c:v>
                </c:pt>
                <c:pt idx="3">
                  <c:v>458.08</c:v>
                </c:pt>
              </c:numCache>
            </c:numRef>
          </c:val>
        </c:ser>
        <c:ser>
          <c:idx val="2"/>
          <c:order val="1"/>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2023收入合计</c:v>
                </c:pt>
                <c:pt idx="1">
                  <c:v>2023支出合计</c:v>
                </c:pt>
                <c:pt idx="2">
                  <c:v>2022收入合计</c:v>
                </c:pt>
                <c:pt idx="3">
                  <c:v>2022支出合计</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32889980"/>
        <c:axId val="763839756"/>
      </c:barChart>
      <c:catAx>
        <c:axId val="1328899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3839756"/>
        <c:crosses val="autoZero"/>
        <c:auto val="1"/>
        <c:lblAlgn val="ctr"/>
        <c:lblOffset val="100"/>
        <c:noMultiLvlLbl val="0"/>
      </c:catAx>
      <c:valAx>
        <c:axId val="7638397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8899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Sheet1!$A$2:$B$2</c:f>
              <c:strCache>
                <c:ptCount val="2"/>
                <c:pt idx="0">
                  <c:v>一般公共预算财政拨款收入</c:v>
                </c:pt>
                <c:pt idx="1">
                  <c:v>490.41</c:v>
                </c:pt>
              </c:strCache>
            </c:strRef>
          </c:cat>
          <c:val>
            <c:numRef>
              <c:f>Sheet1!$B$2</c:f>
              <c:numCache>
                <c:formatCode>General</c:formatCode>
                <c:ptCount val="1"/>
                <c:pt idx="0">
                  <c:v>490.41</c:v>
                </c:pt>
              </c:numCache>
            </c:numRef>
          </c:val>
        </c:ser>
        <c:ser>
          <c:idx val="1"/>
          <c:order val="1"/>
          <c:tx>
            <c:strRef>
              <c:f>Sheet1!$C$1</c:f>
              <c:strCache>
                <c:ptCount val="1"/>
                <c:pt idx="0">
                  <c:v>比例</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Sheet1!$A$2:$B$2</c:f>
              <c:strCache>
                <c:ptCount val="2"/>
                <c:pt idx="0">
                  <c:v>一般公共预算财政拨款收入</c:v>
                </c:pt>
                <c:pt idx="1">
                  <c:v>490.41</c:v>
                </c:pt>
              </c:strCache>
            </c:strRef>
          </c:cat>
          <c:val>
            <c:numRef>
              <c:f>Sheet1!$C$2:$C$8</c:f>
              <c:numCache>
                <c:formatCode>0%</c:formatCode>
                <c:ptCount val="7"/>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313.42</c:v>
                </c:pt>
                <c:pt idx="1">
                  <c:v>176.99</c:v>
                </c:pt>
              </c:numCache>
            </c:numRef>
          </c:val>
        </c:ser>
        <c:ser>
          <c:idx val="1"/>
          <c:order val="1"/>
          <c:tx>
            <c:strRef>
              <c:f>Sheet1!$C$1</c:f>
              <c:strCache>
                <c:ptCount val="1"/>
                <c:pt idx="0">
                  <c:v>比例</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Sheet1!$C$2:$C$3</c:f>
              <c:numCache>
                <c:formatCode>0%</c:formatCode>
                <c:ptCount val="2"/>
                <c:pt idx="0">
                  <c:v>0.639</c:v>
                </c:pt>
                <c:pt idx="1" c:formatCode="General">
                  <c:v>36.1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325"/>
          <c:y val="0.005"/>
          <c:w val="0.8528"/>
          <c:h val="0.76083333333333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Sheet1!$B$2:$B$3</c:f>
              <c:numCache>
                <c:formatCode>#,##0.00</c:formatCode>
                <c:ptCount val="2"/>
                <c:pt idx="0">
                  <c:v>458.08</c:v>
                </c:pt>
                <c:pt idx="1">
                  <c:v>490.41</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2023</c:v>
                </c:pt>
              </c:numCache>
            </c:numRef>
          </c:cat>
          <c:val>
            <c:numRef>
              <c:f>Sheet1!$C$2:$C$3</c:f>
              <c:numCache>
                <c:formatCode>#,##0.00</c:formatCode>
                <c:ptCount val="2"/>
                <c:pt idx="0">
                  <c:v>458.08</c:v>
                </c:pt>
                <c:pt idx="1">
                  <c:v>490.41</c:v>
                </c:pt>
              </c:numCache>
            </c:numRef>
          </c:val>
        </c:ser>
        <c:dLbls>
          <c:showLegendKey val="0"/>
          <c:showVal val="0"/>
          <c:showCatName val="0"/>
          <c:showSerName val="0"/>
          <c:showPercent val="0"/>
          <c:showBubbleSize val="0"/>
        </c:dLbls>
        <c:gapWidth val="219"/>
        <c:overlap val="-27"/>
        <c:axId val="634325927"/>
        <c:axId val="58120615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numRef>
                    <c:extLst>
                      <c:ext uri="{02D57815-91ED-43cb-92C2-25804820EDAC}">
                        <c15:fullRef>
                          <c15:sqref/>
                        </c15:fullRef>
                        <c15:formulaRef>
                          <c15:sqref>Sheet1!$A$2:$A$3</c15:sqref>
                        </c15:formulaRef>
                      </c:ext>
                    </c:extLst>
                    <c:numCache>
                      <c:formatCode>General</c:formatCode>
                      <c:ptCount val="2"/>
                      <c:pt idx="0">
                        <c:v>2022</c:v>
                      </c:pt>
                      <c:pt idx="1">
                        <c:v>2023</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3"/>
                <c:order val="3"/>
                <c:tx>
                  <c:strRef>
                    <c:extLst>
                      <c:ext uri="{02D57815-91ED-43cb-92C2-25804820EDAC}">
                        <c15:formulaRef>
                          <c15:sqref>Sheet1!#REF!</c15:sqref>
                        </c15:formulaRef>
                      </c:ext>
                    </c:extLst>
                    <c:strCache>
                      <c:ptCount val="1"/>
                      <c:pt idx="0">
                        <c:v/>
                      </c:pt>
                    </c:strCache>
                  </c:strRef>
                </c:tx>
                <c:spPr>
                  <a:solidFill>
                    <a:schemeClr val="accent4"/>
                  </a:solidFill>
                  <a:ln>
                    <a:noFill/>
                  </a:ln>
                  <a:effectLst/>
                </c:spPr>
                <c:invertIfNegative val="0"/>
                <c:dLbls>
                  <c:delete val="1"/>
                </c:dLbls>
                <c:cat>
                  <c:numRef>
                    <c:extLst>
                      <c:ext uri="{02D57815-91ED-43cb-92C2-25804820EDAC}">
                        <c15:fullRef>
                          <c15:sqref/>
                        </c15:fullRef>
                        <c15:formulaRef>
                          <c15:sqref>Sheet1!$A$2:$A$3</c15:sqref>
                        </c15:formulaRef>
                      </c:ext>
                    </c:extLst>
                    <c:numCache>
                      <c:formatCode>General</c:formatCode>
                      <c:ptCount val="2"/>
                      <c:pt idx="0">
                        <c:v>2022</c:v>
                      </c:pt>
                      <c:pt idx="1">
                        <c:v>2023</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3432592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206150"/>
        <c:crosses val="autoZero"/>
        <c:auto val="1"/>
        <c:lblAlgn val="ctr"/>
        <c:lblOffset val="100"/>
        <c:noMultiLvlLbl val="0"/>
      </c:catAx>
      <c:valAx>
        <c:axId val="58120615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325927"/>
        <c:crosses val="autoZero"/>
        <c:crossBetween val="between"/>
      </c:valAx>
      <c:spPr>
        <a:noFill/>
        <a:ln>
          <a:noFill/>
        </a:ln>
        <a:effectLst/>
      </c:spPr>
    </c:plotArea>
    <c:legend>
      <c:legendPos val="b"/>
      <c:layout>
        <c:manualLayout>
          <c:xMode val="edge"/>
          <c:yMode val="edge"/>
          <c:x val="0.3994375"/>
          <c:y val="0.90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325"/>
          <c:y val="0.005"/>
          <c:w val="0.8528"/>
          <c:h val="0.760833333333333"/>
        </c:manualLayout>
      </c:layout>
      <c:barChart>
        <c:barDir val="col"/>
        <c:grouping val="clustered"/>
        <c:varyColors val="0"/>
        <c:ser>
          <c:idx val="0"/>
          <c:order val="0"/>
          <c:tx>
            <c:strRef>
              <c:f>Sheet1!$B$1</c:f>
              <c:strCache>
                <c:ptCount val="1"/>
                <c:pt idx="0">
                  <c:v>本年度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Sheet1!$A$3</c:f>
              <c:strCache>
                <c:ptCount val="1"/>
                <c:pt idx="0">
                  <c:v>支出情况</c:v>
                </c:pt>
              </c:strCache>
            </c:strRef>
          </c:cat>
          <c:val>
            <c:numRef>
              <c:extLst>
                <c:ext xmlns:c15="http://schemas.microsoft.com/office/drawing/2012/chart" uri="{02D57815-91ED-43cb-92C2-25804820EDAC}">
                  <c15:fullRef>
                    <c15:sqref>Sheet1!$B$2:$B$3</c15:sqref>
                  </c15:fullRef>
                </c:ext>
              </c:extLst>
              <c:f>Sheet1!$B$3</c:f>
              <c:numCache>
                <c:formatCode>#,##0.00</c:formatCode>
                <c:ptCount val="1"/>
                <c:pt idx="0">
                  <c:v>490.41</c:v>
                </c:pt>
              </c:numCache>
            </c:numRef>
          </c:val>
        </c:ser>
        <c:ser>
          <c:idx val="1"/>
          <c:order val="1"/>
          <c:tx>
            <c:strRef>
              <c:f>Sheet1!$C$1</c:f>
              <c:strCache>
                <c:ptCount val="1"/>
                <c:pt idx="0">
                  <c:v>上年度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Sheet1!$A$3</c:f>
              <c:strCache>
                <c:ptCount val="1"/>
                <c:pt idx="0">
                  <c:v>支出情况</c:v>
                </c:pt>
              </c:strCache>
            </c:strRef>
          </c:cat>
          <c:val>
            <c:numRef>
              <c:extLst>
                <c:ext xmlns:c15="http://schemas.microsoft.com/office/drawing/2012/chart" uri="{02D57815-91ED-43cb-92C2-25804820EDAC}">
                  <c15:fullRef>
                    <c15:sqref>Sheet1!$C$2:$C$3</c15:sqref>
                  </c15:fullRef>
                </c:ext>
              </c:extLst>
              <c:f>Sheet1!$C$3</c:f>
              <c:numCache>
                <c:formatCode>#,##0.00</c:formatCode>
                <c:ptCount val="1"/>
                <c:pt idx="0">
                  <c:v>458.08</c:v>
                </c:pt>
              </c:numCache>
            </c:numRef>
          </c:val>
        </c:ser>
        <c:ser>
          <c:idx val="2"/>
          <c:order val="2"/>
          <c:tx>
            <c:strRef>
              <c:f>Sheet1!$D$1</c:f>
              <c:strCache>
                <c:ptCount val="1"/>
                <c:pt idx="0">
                  <c:v>比上年增减</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Sheet1!$A$3</c:f>
              <c:strCache>
                <c:ptCount val="1"/>
                <c:pt idx="0">
                  <c:v>支出情况</c:v>
                </c:pt>
              </c:strCache>
            </c:strRef>
          </c:cat>
          <c:val>
            <c:numRef>
              <c:extLst>
                <c:ext xmlns:c15="http://schemas.microsoft.com/office/drawing/2012/chart" uri="{02D57815-91ED-43cb-92C2-25804820EDAC}">
                  <c15:fullRef>
                    <c15:sqref>Sheet1!$D$2:$D$3</c15:sqref>
                  </c15:fullRef>
                </c:ext>
              </c:extLst>
              <c:f>Sheet1!$D$3</c:f>
              <c:numCache>
                <c:formatCode>#,##0.00</c:formatCode>
                <c:ptCount val="1"/>
                <c:pt idx="0">
                  <c:v>32.33</c:v>
                </c:pt>
              </c:numCache>
            </c:numRef>
          </c:val>
        </c:ser>
        <c:ser>
          <c:idx val="3"/>
          <c:order val="3"/>
          <c:tx>
            <c:strRef>
              <c:f>Sheet1!$E$1</c:f>
              <c:strCache>
                <c:ptCount val="1"/>
                <c:pt idx="0">
                  <c:v>增减％</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Sheet1!$A$3</c:f>
              <c:strCache>
                <c:ptCount val="1"/>
                <c:pt idx="0">
                  <c:v>支出情况</c:v>
                </c:pt>
              </c:strCache>
            </c:strRef>
          </c:cat>
          <c:val>
            <c:numRef>
              <c:extLst>
                <c:ext xmlns:c15="http://schemas.microsoft.com/office/drawing/2012/chart" uri="{02D57815-91ED-43cb-92C2-25804820EDAC}">
                  <c15:fullRef>
                    <c15:sqref>Sheet1!$E$2:$E$3</c15:sqref>
                  </c15:fullRef>
                </c:ext>
              </c:extLst>
              <c:f>Sheet1!$E$3</c:f>
              <c:numCache>
                <c:formatCode>General</c:formatCode>
                <c:ptCount val="1"/>
                <c:pt idx="0">
                  <c:v>7.06</c:v>
                </c:pt>
              </c:numCache>
            </c:numRef>
          </c:val>
        </c:ser>
        <c:dLbls>
          <c:showLegendKey val="0"/>
          <c:showVal val="0"/>
          <c:showCatName val="0"/>
          <c:showSerName val="0"/>
          <c:showPercent val="0"/>
          <c:showBubbleSize val="0"/>
        </c:dLbls>
        <c:gapWidth val="219"/>
        <c:overlap val="-27"/>
        <c:axId val="634325927"/>
        <c:axId val="581206150"/>
      </c:barChart>
      <c:catAx>
        <c:axId val="63432592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206150"/>
        <c:crosses val="autoZero"/>
        <c:auto val="1"/>
        <c:lblAlgn val="ctr"/>
        <c:lblOffset val="100"/>
        <c:noMultiLvlLbl val="0"/>
      </c:catAx>
      <c:valAx>
        <c:axId val="58120615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3259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manualLayout>
          <c:xMode val="edge"/>
          <c:yMode val="edge"/>
          <c:x val="0.292514924230828"/>
          <c:y val="0.00681818181818182"/>
        </c:manualLayout>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414.98</c:v>
                </c:pt>
                <c:pt idx="1" c:formatCode="#,##0.00">
                  <c:v>40.59</c:v>
                </c:pt>
                <c:pt idx="2" c:formatCode="#,##0.00">
                  <c:v>8.89</c:v>
                </c:pt>
                <c:pt idx="3" c:formatCode="#,##0.00">
                  <c:v>25.95</c:v>
                </c:pt>
              </c:numCache>
            </c:numRef>
          </c:val>
        </c:ser>
        <c:ser>
          <c:idx val="1"/>
          <c:order val="1"/>
          <c:tx>
            <c:strRef>
              <c:f>Sheet1!$C$1</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Sheet1!$C$2:$C$5</c:f>
              <c:numCache>
                <c:formatCode>0.00%</c:formatCode>
                <c:ptCount val="4"/>
                <c:pt idx="0">
                  <c:v>0.8462</c:v>
                </c:pt>
                <c:pt idx="1">
                  <c:v>0.083</c:v>
                </c:pt>
                <c:pt idx="2">
                  <c:v>0.018</c:v>
                </c:pt>
                <c:pt idx="3">
                  <c:v>0.0529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本年度</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Sheet1!$A$3</c:f>
              <c:strCache>
                <c:ptCount val="1"/>
                <c:pt idx="0">
                  <c:v>公务接待费</c:v>
                </c:pt>
              </c:strCache>
            </c:strRef>
          </c:cat>
          <c:val>
            <c:numRef>
              <c:extLst>
                <c:ext xmlns:c15="http://schemas.microsoft.com/office/drawing/2012/chart" uri="{02D57815-91ED-43cb-92C2-25804820EDAC}">
                  <c15:fullRef>
                    <c15:sqref>Sheet1!$B$2:$B$3</c15:sqref>
                  </c15:fullRef>
                </c:ext>
              </c:extLst>
              <c:f>Sheet1!$B$3</c:f>
              <c:numCache>
                <c:formatCode>#,##0.00</c:formatCode>
                <c:ptCount val="1"/>
                <c:pt idx="0">
                  <c:v>0.96</c:v>
                </c:pt>
              </c:numCache>
            </c:numRef>
          </c:val>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上年度</c:v>
                      </c:pt>
                    </c:strCache>
                  </c:strRef>
                </c:tx>
                <c:spPr/>
                <c:explosion val="0"/>
                <c:dPt>
                  <c:idx val="0"/>
                  <c:bubble3D val="0"/>
                  <c:spPr>
                    <a:solidFill>
                      <a:schemeClr val="accent1"/>
                    </a:solidFill>
                    <a:ln w="19050">
                      <a:solidFill>
                        <a:schemeClr val="lt1"/>
                      </a:solidFill>
                    </a:ln>
                    <a:effectLst/>
                  </c:spPr>
                </c:dPt>
                <c:dLbls>
                  <c:delete val="1"/>
                </c:dLbls>
                <c:cat>
                  <c:strRef>
                    <c:extLst>
                      <c:ext uri="{02D57815-91ED-43cb-92C2-25804820EDAC}">
                        <c15:fullRef>
                          <c15:sqref>Sheet1!$A$2:$A$3</c15:sqref>
                        </c15:fullRef>
                        <c15:formulaRef>
                          <c15:sqref>Sheet1!$A$3</c15:sqref>
                        </c15:formulaRef>
                      </c:ext>
                    </c:extLst>
                    <c:strCache>
                      <c:ptCount val="1"/>
                      <c:pt idx="0">
                        <c:v>公务接待费</c:v>
                      </c:pt>
                    </c:strCache>
                  </c:strRef>
                </c:cat>
                <c:val>
                  <c:numRef>
                    <c:extLst>
                      <c:ext uri="{02D57815-91ED-43cb-92C2-25804820EDAC}">
                        <c15:fullRef>
                          <c15:sqref>Sheet1!$C$2:$C$3</c15:sqref>
                        </c15:fullRef>
                        <c15:formulaRef>
                          <c15:sqref>Sheet1!$C$3</c15:sqref>
                        </c15:formulaRef>
                      </c:ext>
                    </c:extLst>
                    <c:numCache>
                      <c:formatCode>#,##0.00</c:formatCode>
                      <c:ptCount val="1"/>
                      <c:pt idx="0">
                        <c:v>1.8</c:v>
                      </c:pt>
                    </c:numCache>
                  </c:numRef>
                </c:val>
              </c15:ser>
            </c15:filteredPieSeries>
            <c15:filteredPieSeries>
              <c15:ser>
                <c:idx val="2"/>
                <c:order val="2"/>
                <c:tx>
                  <c:strRef>
                    <c:extLst>
                      <c:ext uri="{02D57815-91ED-43cb-92C2-25804820EDAC}">
                        <c15:formulaRef>
                          <c15:sqref>Sheet1!$D$1</c15:sqref>
                        </c15:formulaRef>
                      </c:ext>
                    </c:extLst>
                    <c:strCache>
                      <c:ptCount val="1"/>
                      <c:pt idx="0">
                        <c:v>比上年增减</c:v>
                      </c:pt>
                    </c:strCache>
                  </c:strRef>
                </c:tx>
                <c:spPr/>
                <c:explosion val="0"/>
                <c:dPt>
                  <c:idx val="0"/>
                  <c:bubble3D val="0"/>
                  <c:spPr>
                    <a:solidFill>
                      <a:schemeClr val="accent1"/>
                    </a:solidFill>
                    <a:ln w="19050">
                      <a:solidFill>
                        <a:schemeClr val="lt1"/>
                      </a:solidFill>
                    </a:ln>
                    <a:effectLst/>
                  </c:spPr>
                </c:dPt>
                <c:dLbls>
                  <c:delete val="1"/>
                </c:dLbls>
                <c:cat>
                  <c:strRef>
                    <c:extLst>
                      <c:ext uri="{02D57815-91ED-43cb-92C2-25804820EDAC}">
                        <c15:fullRef>
                          <c15:sqref>Sheet1!$A$2:$A$3</c15:sqref>
                        </c15:fullRef>
                        <c15:formulaRef>
                          <c15:sqref>Sheet1!$A$3</c15:sqref>
                        </c15:formulaRef>
                      </c:ext>
                    </c:extLst>
                    <c:strCache>
                      <c:ptCount val="1"/>
                      <c:pt idx="0">
                        <c:v>公务接待费</c:v>
                      </c:pt>
                    </c:strCache>
                  </c:strRef>
                </c:cat>
                <c:val>
                  <c:numRef>
                    <c:extLst>
                      <c:ext uri="{02D57815-91ED-43cb-92C2-25804820EDAC}">
                        <c15:fullRef>
                          <c15:sqref>Sheet1!$D$2:$D$3</c15:sqref>
                        </c15:fullRef>
                        <c15:formulaRef>
                          <c15:sqref>Sheet1!$D$3</c15:sqref>
                        </c15:formulaRef>
                      </c:ext>
                    </c:extLst>
                    <c:numCache>
                      <c:formatCode>#,##0.00</c:formatCode>
                      <c:ptCount val="1"/>
                      <c:pt idx="0">
                        <c:v>-0.84</c:v>
                      </c:pt>
                    </c:numCache>
                  </c:numRef>
                </c:val>
              </c15:ser>
            </c15:filteredPieSeries>
            <c15:filteredPieSeries>
              <c15:ser>
                <c:idx val="3"/>
                <c:order val="3"/>
                <c:tx>
                  <c:strRef>
                    <c:extLst>
                      <c:ext uri="{02D57815-91ED-43cb-92C2-25804820EDAC}">
                        <c15:formulaRef>
                          <c15:sqref>Sheet1!$E$1</c15:sqref>
                        </c15:formulaRef>
                      </c:ext>
                    </c:extLst>
                    <c:strCache>
                      <c:ptCount val="1"/>
                      <c:pt idx="0">
                        <c:v>增减％</c:v>
                      </c:pt>
                    </c:strCache>
                  </c:strRef>
                </c:tx>
                <c:spPr/>
                <c:explosion val="0"/>
                <c:dPt>
                  <c:idx val="0"/>
                  <c:bubble3D val="0"/>
                  <c:spPr>
                    <a:solidFill>
                      <a:schemeClr val="accent1"/>
                    </a:solidFill>
                    <a:ln w="19050">
                      <a:solidFill>
                        <a:schemeClr val="lt1"/>
                      </a:solidFill>
                    </a:ln>
                    <a:effectLst/>
                  </c:spPr>
                </c:dPt>
                <c:dLbls>
                  <c:delete val="1"/>
                </c:dLbls>
                <c:cat>
                  <c:strRef>
                    <c:extLst>
                      <c:ext uri="{02D57815-91ED-43cb-92C2-25804820EDAC}">
                        <c15:fullRef>
                          <c15:sqref>Sheet1!$A$2:$A$3</c15:sqref>
                        </c15:fullRef>
                        <c15:formulaRef>
                          <c15:sqref>Sheet1!$A$3</c15:sqref>
                        </c15:formulaRef>
                      </c:ext>
                    </c:extLst>
                    <c:strCache>
                      <c:ptCount val="1"/>
                      <c:pt idx="0">
                        <c:v>公务接待费</c:v>
                      </c:pt>
                    </c:strCache>
                  </c:strRef>
                </c:cat>
                <c:val>
                  <c:numRef>
                    <c:extLst>
                      <c:ext uri="{02D57815-91ED-43cb-92C2-25804820EDAC}">
                        <c15:fullRef>
                          <c15:sqref>Sheet1!$E$2:$E$3</c15:sqref>
                        </c15:fullRef>
                        <c15:formulaRef>
                          <c15:sqref>Sheet1!$E$3</c15:sqref>
                        </c15:formulaRef>
                      </c:ext>
                    </c:extLst>
                    <c:numCache>
                      <c:formatCode>General</c:formatCode>
                      <c:ptCount val="1"/>
                      <c:pt idx="0">
                        <c:v>-47</c:v>
                      </c:pt>
                    </c:numCache>
                  </c:numRef>
                </c:val>
              </c15:ser>
            </c15:filteredPieSeries>
          </c:ext>
        </c:extLst>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7173</Words>
  <Characters>7760</Characters>
  <Lines>59</Lines>
  <Paragraphs>16</Paragraphs>
  <TotalTime>91</TotalTime>
  <ScaleCrop>false</ScaleCrop>
  <LinksUpToDate>false</LinksUpToDate>
  <CharactersWithSpaces>7806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kylin</cp:lastModifiedBy>
  <cp:lastPrinted>2024-08-28T23:06:00Z</cp:lastPrinted>
  <dcterms:modified xsi:type="dcterms:W3CDTF">2024-12-18T17:48:45Z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A7CC4C2DDE9F40988ED213F6995DF56F_13</vt:lpwstr>
  </property>
</Properties>
</file>