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600" w:lineRule="exact"/>
        <w:ind w:firstLine="1440" w:firstLineChars="200"/>
        <w:jc w:val="center"/>
        <w:textAlignment w:val="auto"/>
        <w:outlineLvl w:val="0"/>
        <w:rPr>
          <w:rFonts w:hint="default" w:ascii="Times New Roman" w:hAnsi="Times New Roman" w:eastAsia="方正小标宋简体" w:cs="Times New Roman"/>
          <w:color w:val="000000"/>
          <w:sz w:val="72"/>
          <w:szCs w:val="72"/>
        </w:rPr>
      </w:pPr>
      <w:bookmarkStart w:id="0" w:name="_Toc15306267"/>
      <w:bookmarkStart w:id="59" w:name="_GoBack"/>
      <w:bookmarkEnd w:id="59"/>
    </w:p>
    <w:p>
      <w:pPr>
        <w:pStyle w:val="2"/>
        <w:pageBreakBefore w:val="0"/>
        <w:kinsoku/>
        <w:wordWrap/>
        <w:overflowPunct/>
        <w:topLinePunct w:val="0"/>
        <w:bidi w:val="0"/>
        <w:ind w:firstLine="600" w:firstLineChars="200"/>
        <w:textAlignment w:val="auto"/>
        <w:rPr>
          <w:rFonts w:hint="default" w:ascii="Times New Roman" w:hAnsi="Times New Roman" w:cs="Times New Roman"/>
        </w:rPr>
      </w:pPr>
    </w:p>
    <w:p>
      <w:pPr>
        <w:pageBreakBefore w:val="0"/>
        <w:kinsoku/>
        <w:wordWrap/>
        <w:overflowPunct/>
        <w:topLinePunct w:val="0"/>
        <w:bidi w:val="0"/>
        <w:spacing w:line="600" w:lineRule="exact"/>
        <w:ind w:firstLine="1440" w:firstLineChars="200"/>
        <w:jc w:val="center"/>
        <w:textAlignment w:val="auto"/>
        <w:outlineLvl w:val="0"/>
        <w:rPr>
          <w:rFonts w:hint="default" w:ascii="Times New Roman" w:hAnsi="Times New Roman" w:eastAsia="方正小标宋简体" w:cs="Times New Roman"/>
          <w:color w:val="000000"/>
          <w:sz w:val="72"/>
          <w:szCs w:val="72"/>
        </w:rPr>
      </w:pPr>
    </w:p>
    <w:p>
      <w:pPr>
        <w:pageBreakBefore w:val="0"/>
        <w:kinsoku/>
        <w:wordWrap/>
        <w:overflowPunct/>
        <w:topLinePunct w:val="0"/>
        <w:bidi w:val="0"/>
        <w:spacing w:line="600" w:lineRule="exact"/>
        <w:ind w:firstLine="1440" w:firstLineChars="200"/>
        <w:jc w:val="center"/>
        <w:textAlignment w:val="auto"/>
        <w:outlineLvl w:val="0"/>
        <w:rPr>
          <w:rFonts w:hint="default" w:ascii="Times New Roman" w:hAnsi="Times New Roman" w:eastAsia="方正小标宋简体" w:cs="Times New Roman"/>
          <w:color w:val="000000"/>
          <w:sz w:val="72"/>
          <w:szCs w:val="72"/>
        </w:rPr>
      </w:pPr>
    </w:p>
    <w:p>
      <w:pPr>
        <w:pageBreakBefore w:val="0"/>
        <w:kinsoku/>
        <w:wordWrap/>
        <w:overflowPunct/>
        <w:topLinePunct w:val="0"/>
        <w:bidi w:val="0"/>
        <w:spacing w:line="600" w:lineRule="exact"/>
        <w:ind w:firstLine="1440" w:firstLineChars="200"/>
        <w:jc w:val="center"/>
        <w:textAlignment w:val="auto"/>
        <w:outlineLvl w:val="0"/>
        <w:rPr>
          <w:rFonts w:hint="default" w:ascii="Times New Roman" w:hAnsi="Times New Roman" w:eastAsia="方正小标宋简体" w:cs="Times New Roman"/>
          <w:color w:val="000000"/>
          <w:sz w:val="72"/>
          <w:szCs w:val="72"/>
        </w:rPr>
      </w:pPr>
    </w:p>
    <w:p>
      <w:pPr>
        <w:pageBreakBefore w:val="0"/>
        <w:kinsoku/>
        <w:wordWrap/>
        <w:overflowPunct/>
        <w:topLinePunct w:val="0"/>
        <w:bidi w:val="0"/>
        <w:adjustRightInd w:val="0"/>
        <w:snapToGrid w:val="0"/>
        <w:spacing w:line="360" w:lineRule="auto"/>
        <w:jc w:val="center"/>
        <w:textAlignment w:val="auto"/>
        <w:outlineLvl w:val="0"/>
        <w:rPr>
          <w:rFonts w:hint="eastAsia" w:ascii="方正小标宋_GBK" w:hAnsi="方正小标宋_GBK" w:eastAsia="方正小标宋_GBK" w:cs="方正小标宋_GBK"/>
          <w:color w:val="000000"/>
          <w:sz w:val="72"/>
          <w:szCs w:val="72"/>
        </w:rPr>
      </w:pPr>
      <w:bookmarkStart w:id="1" w:name="_Toc15377425"/>
      <w:bookmarkStart w:id="2" w:name="_Toc15396597"/>
      <w:bookmarkStart w:id="3" w:name="_Toc15377193"/>
      <w:bookmarkStart w:id="4" w:name="_Toc15396475"/>
      <w:bookmarkStart w:id="5" w:name="_Toc15378441"/>
      <w:r>
        <w:rPr>
          <w:rFonts w:hint="eastAsia" w:ascii="方正小标宋_GBK" w:hAnsi="方正小标宋_GBK" w:eastAsia="方正小标宋_GBK" w:cs="方正小标宋_GBK"/>
          <w:color w:val="000000"/>
          <w:sz w:val="72"/>
          <w:szCs w:val="72"/>
        </w:rPr>
        <w:t>202</w:t>
      </w:r>
      <w:r>
        <w:rPr>
          <w:rFonts w:hint="eastAsia" w:ascii="方正小标宋_GBK" w:hAnsi="方正小标宋_GBK" w:eastAsia="方正小标宋_GBK" w:cs="方正小标宋_GBK"/>
          <w:color w:val="000000"/>
          <w:sz w:val="72"/>
          <w:szCs w:val="72"/>
          <w:lang w:val="en-US" w:eastAsia="zh-CN"/>
        </w:rPr>
        <w:t>2</w:t>
      </w:r>
      <w:r>
        <w:rPr>
          <w:rFonts w:hint="eastAsia" w:ascii="方正小标宋_GBK" w:hAnsi="方正小标宋_GBK" w:eastAsia="方正小标宋_GBK" w:cs="方正小标宋_GBK"/>
          <w:color w:val="000000"/>
          <w:sz w:val="72"/>
          <w:szCs w:val="72"/>
        </w:rPr>
        <w:t>年度</w:t>
      </w:r>
      <w:bookmarkEnd w:id="0"/>
      <w:bookmarkEnd w:id="1"/>
      <w:bookmarkEnd w:id="2"/>
      <w:bookmarkEnd w:id="3"/>
      <w:bookmarkEnd w:id="4"/>
      <w:bookmarkEnd w:id="5"/>
      <w:bookmarkStart w:id="6" w:name="_Toc15396476"/>
      <w:bookmarkStart w:id="7" w:name="_Toc15378442"/>
      <w:bookmarkStart w:id="8" w:name="_Toc15377194"/>
      <w:bookmarkStart w:id="9" w:name="_Toc15306268"/>
      <w:bookmarkStart w:id="10" w:name="_Toc15396598"/>
      <w:bookmarkStart w:id="11" w:name="_Toc15377426"/>
    </w:p>
    <w:p>
      <w:pPr>
        <w:pageBreakBefore w:val="0"/>
        <w:kinsoku/>
        <w:wordWrap/>
        <w:overflowPunct/>
        <w:topLinePunct w:val="0"/>
        <w:bidi w:val="0"/>
        <w:adjustRightInd w:val="0"/>
        <w:snapToGrid w:val="0"/>
        <w:spacing w:line="360" w:lineRule="auto"/>
        <w:jc w:val="center"/>
        <w:textAlignment w:val="auto"/>
        <w:outlineLvl w:val="0"/>
        <w:rPr>
          <w:rFonts w:hint="eastAsia" w:ascii="方正小标宋_GBK" w:hAnsi="方正小标宋_GBK" w:eastAsia="方正小标宋_GBK" w:cs="方正小标宋_GBK"/>
          <w:color w:val="000000"/>
          <w:sz w:val="72"/>
          <w:szCs w:val="72"/>
        </w:rPr>
      </w:pPr>
      <w:r>
        <w:rPr>
          <w:rFonts w:hint="eastAsia" w:ascii="方正小标宋_GBK" w:hAnsi="方正小标宋_GBK" w:eastAsia="方正小标宋_GBK" w:cs="方正小标宋_GBK"/>
          <w:color w:val="000000"/>
          <w:sz w:val="72"/>
          <w:szCs w:val="72"/>
        </w:rPr>
        <w:t>邻水县公共资源交易管理服务办公室部门决算</w:t>
      </w:r>
      <w:bookmarkEnd w:id="6"/>
      <w:bookmarkEnd w:id="7"/>
      <w:bookmarkEnd w:id="8"/>
      <w:bookmarkEnd w:id="9"/>
      <w:bookmarkEnd w:id="10"/>
      <w:bookmarkEnd w:id="11"/>
      <w:r>
        <w:rPr>
          <w:rFonts w:hint="eastAsia" w:ascii="方正小标宋_GBK" w:hAnsi="方正小标宋_GBK" w:eastAsia="方正小标宋_GBK" w:cs="方正小标宋_GBK"/>
          <w:color w:val="000000"/>
          <w:sz w:val="72"/>
          <w:szCs w:val="72"/>
        </w:rPr>
        <w:t>编制说明</w:t>
      </w:r>
    </w:p>
    <w:p>
      <w:pPr>
        <w:pageBreakBefore w:val="0"/>
        <w:widowControl/>
        <w:kinsoku/>
        <w:wordWrap/>
        <w:overflowPunct/>
        <w:topLinePunct w:val="0"/>
        <w:bidi w:val="0"/>
        <w:ind w:firstLine="720" w:firstLineChars="200"/>
        <w:jc w:val="center"/>
        <w:textAlignment w:val="auto"/>
        <w:rPr>
          <w:rFonts w:hint="default" w:ascii="Times New Roman" w:hAnsi="Times New Roman" w:eastAsia="黑体" w:cs="Times New Roman"/>
          <w:color w:val="000000"/>
          <w:sz w:val="48"/>
          <w:szCs w:val="48"/>
        </w:rPr>
      </w:pPr>
      <w:r>
        <w:rPr>
          <w:rFonts w:hint="default" w:ascii="Times New Roman" w:hAnsi="Times New Roman" w:eastAsia="方正小标宋简体" w:cs="Times New Roman"/>
          <w:color w:val="000000"/>
          <w:sz w:val="36"/>
          <w:szCs w:val="36"/>
        </w:rPr>
        <w:br w:type="page"/>
      </w:r>
      <w:r>
        <w:rPr>
          <w:rFonts w:hint="default" w:ascii="Times New Roman" w:hAnsi="Times New Roman" w:eastAsia="黑体" w:cs="Times New Roman"/>
          <w:color w:val="000000"/>
          <w:sz w:val="48"/>
          <w:szCs w:val="48"/>
        </w:rPr>
        <w:t>目录</w:t>
      </w:r>
    </w:p>
    <w:p>
      <w:pPr>
        <w:pageBreakBefore w:val="0"/>
        <w:widowControl/>
        <w:kinsoku/>
        <w:wordWrap/>
        <w:overflowPunct/>
        <w:topLinePunct w:val="0"/>
        <w:bidi w:val="0"/>
        <w:ind w:firstLine="560" w:firstLineChars="200"/>
        <w:jc w:val="center"/>
        <w:textAlignment w:val="auto"/>
        <w:rPr>
          <w:rFonts w:hint="default" w:ascii="Times New Roman" w:hAnsi="Times New Roman" w:eastAsia="黑体" w:cs="Times New Roman"/>
          <w:sz w:val="28"/>
          <w:szCs w:val="28"/>
        </w:rPr>
      </w:pPr>
    </w:p>
    <w:p>
      <w:pPr>
        <w:pStyle w:val="10"/>
        <w:pageBreakBefore w:val="0"/>
        <w:kinsoku/>
        <w:wordWrap/>
        <w:overflowPunct/>
        <w:topLinePunct w:val="0"/>
        <w:bidi w:val="0"/>
        <w:ind w:firstLine="560" w:firstLineChars="200"/>
        <w:textAlignment w:val="auto"/>
        <w:rPr>
          <w:rFonts w:hint="default" w:ascii="Times New Roman" w:hAnsi="Times New Roman" w:cs="Times New Roman"/>
        </w:rPr>
      </w:pPr>
      <w:r>
        <w:rPr>
          <w:rFonts w:hint="default" w:ascii="Times New Roman" w:hAnsi="Times New Roman" w:cs="Times New Roman"/>
        </w:rPr>
        <w:t>公开时间：202</w:t>
      </w:r>
      <w:r>
        <w:rPr>
          <w:rFonts w:hint="default" w:ascii="Times New Roman" w:hAnsi="Times New Roman" w:cs="Times New Roman"/>
          <w:lang w:val="en-US" w:eastAsia="zh-CN"/>
        </w:rPr>
        <w:t>3</w:t>
      </w:r>
      <w:r>
        <w:rPr>
          <w:rFonts w:hint="default" w:ascii="Times New Roman" w:hAnsi="Times New Roman" w:cs="Times New Roman"/>
        </w:rPr>
        <w:t>年</w:t>
      </w:r>
      <w:r>
        <w:rPr>
          <w:rFonts w:hint="default" w:ascii="Times New Roman" w:hAnsi="Times New Roman" w:cs="Times New Roman"/>
          <w:lang w:val="en-US" w:eastAsia="zh-CN"/>
        </w:rPr>
        <w:t>9</w:t>
      </w:r>
      <w:r>
        <w:rPr>
          <w:rFonts w:hint="default" w:ascii="Times New Roman" w:hAnsi="Times New Roman" w:cs="Times New Roman"/>
        </w:rPr>
        <w:t>月</w:t>
      </w:r>
      <w:r>
        <w:rPr>
          <w:rFonts w:hint="eastAsia" w:ascii="Times New Roman" w:hAnsi="Times New Roman" w:cs="Times New Roman"/>
          <w:lang w:val="en-US" w:eastAsia="zh-CN"/>
        </w:rPr>
        <w:t>12</w:t>
      </w:r>
      <w:r>
        <w:rPr>
          <w:rFonts w:hint="default" w:ascii="Times New Roman" w:hAnsi="Times New Roman" w:cs="Times New Roman"/>
        </w:rPr>
        <w:t>日</w:t>
      </w:r>
    </w:p>
    <w:p>
      <w:pPr>
        <w:pageBreakBefore w:val="0"/>
        <w:kinsoku/>
        <w:wordWrap/>
        <w:overflowPunct/>
        <w:topLinePunct w:val="0"/>
        <w:bidi w:val="0"/>
        <w:ind w:firstLine="420" w:firstLineChars="200"/>
        <w:textAlignment w:val="auto"/>
        <w:rPr>
          <w:rFonts w:hint="default" w:ascii="Times New Roman" w:hAnsi="Times New Roman" w:cs="Times New Roman"/>
        </w:rPr>
      </w:pPr>
    </w:p>
    <w:p>
      <w:pPr>
        <w:pStyle w:val="10"/>
        <w:keepNext w:val="0"/>
        <w:keepLines w:val="0"/>
        <w:pageBreakBefore w:val="0"/>
        <w:widowControl w:val="0"/>
        <w:kinsoku/>
        <w:wordWrap/>
        <w:overflowPunct/>
        <w:topLinePunct w:val="0"/>
        <w:autoSpaceDE/>
        <w:autoSpaceDN/>
        <w:bidi w:val="0"/>
        <w:adjustRightInd w:val="0"/>
        <w:snapToGrid w:val="0"/>
        <w:spacing w:before="0" w:line="440" w:lineRule="exact"/>
        <w:ind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rPr>
        <w:t>第一部分 部门概况</w:t>
      </w:r>
      <w:r>
        <w:rPr>
          <w:rFonts w:hint="default" w:ascii="Times New Roman" w:hAnsi="Times New Roman" w:cs="Times New Roman"/>
        </w:rPr>
        <w:tab/>
      </w:r>
      <w:r>
        <w:rPr>
          <w:rFonts w:hint="default" w:ascii="Times New Roman" w:hAnsi="Times New Roman" w:cs="Times New Roman"/>
          <w:sz w:val="24"/>
        </w:rPr>
        <w:t>4</w:t>
      </w:r>
    </w:p>
    <w:p>
      <w:pPr>
        <w:pStyle w:val="10"/>
        <w:pageBreakBefore w:val="0"/>
        <w:kinsoku/>
        <w:wordWrap/>
        <w:overflowPunct/>
        <w:topLinePunct w:val="0"/>
        <w:bidi w:val="0"/>
        <w:adjustRightInd w:val="0"/>
        <w:snapToGrid w:val="0"/>
        <w:spacing w:before="0" w:line="440" w:lineRule="exact"/>
        <w:ind w:firstLine="480" w:firstLineChars="200"/>
        <w:jc w:val="left"/>
        <w:textAlignment w:val="auto"/>
        <w:rPr>
          <w:rFonts w:hint="default" w:ascii="Times New Roman" w:hAnsi="Times New Roman" w:cs="Times New Roman"/>
          <w:sz w:val="24"/>
        </w:rPr>
      </w:pPr>
      <w:r>
        <w:rPr>
          <w:rFonts w:hint="default" w:ascii="Times New Roman" w:hAnsi="Times New Roman" w:cs="Times New Roman"/>
          <w:sz w:val="24"/>
        </w:rPr>
        <w:t>一、基本职能及主要工作</w:t>
      </w:r>
      <w:r>
        <w:rPr>
          <w:rFonts w:hint="default" w:ascii="Times New Roman" w:hAnsi="Times New Roman" w:cs="Times New Roman"/>
          <w:sz w:val="24"/>
        </w:rPr>
        <w:tab/>
      </w:r>
      <w:r>
        <w:rPr>
          <w:rFonts w:hint="default" w:ascii="Times New Roman" w:hAnsi="Times New Roman" w:cs="Times New Roman"/>
          <w:sz w:val="24"/>
        </w:rPr>
        <w:t>4</w:t>
      </w:r>
    </w:p>
    <w:p>
      <w:pPr>
        <w:pStyle w:val="10"/>
        <w:pageBreakBefore w:val="0"/>
        <w:kinsoku/>
        <w:wordWrap/>
        <w:overflowPunct/>
        <w:topLinePunct w:val="0"/>
        <w:bidi w:val="0"/>
        <w:adjustRightInd w:val="0"/>
        <w:snapToGrid w:val="0"/>
        <w:spacing w:before="0" w:line="440" w:lineRule="exact"/>
        <w:ind w:firstLine="480" w:firstLineChars="200"/>
        <w:jc w:val="left"/>
        <w:textAlignment w:val="auto"/>
        <w:rPr>
          <w:rFonts w:hint="default" w:ascii="Times New Roman" w:hAnsi="Times New Roman" w:cs="Times New Roman"/>
          <w:sz w:val="24"/>
        </w:rPr>
      </w:pPr>
      <w:r>
        <w:rPr>
          <w:rFonts w:hint="default" w:ascii="Times New Roman" w:hAnsi="Times New Roman" w:cs="Times New Roman"/>
          <w:sz w:val="24"/>
        </w:rPr>
        <w:t>二、机构设置..</w:t>
      </w:r>
      <w:r>
        <w:rPr>
          <w:rFonts w:hint="default" w:ascii="Times New Roman" w:hAnsi="Times New Roman" w:cs="Times New Roman"/>
          <w:sz w:val="24"/>
        </w:rPr>
        <w:tab/>
      </w:r>
      <w:r>
        <w:rPr>
          <w:rFonts w:hint="default" w:ascii="Times New Roman" w:hAnsi="Times New Roman" w:cs="Times New Roman"/>
          <w:sz w:val="24"/>
        </w:rPr>
        <w:t>5</w:t>
      </w:r>
    </w:p>
    <w:p>
      <w:pPr>
        <w:pStyle w:val="10"/>
        <w:keepNext w:val="0"/>
        <w:keepLines w:val="0"/>
        <w:pageBreakBefore w:val="0"/>
        <w:widowControl w:val="0"/>
        <w:kinsoku/>
        <w:wordWrap/>
        <w:overflowPunct/>
        <w:topLinePunct w:val="0"/>
        <w:autoSpaceDE/>
        <w:autoSpaceDN/>
        <w:bidi w:val="0"/>
        <w:adjustRightInd w:val="0"/>
        <w:snapToGrid w:val="0"/>
        <w:spacing w:before="0" w:line="440" w:lineRule="exact"/>
        <w:ind w:firstLine="0" w:firstLineChars="0"/>
        <w:jc w:val="left"/>
        <w:textAlignment w:val="auto"/>
        <w:rPr>
          <w:rFonts w:hint="default" w:ascii="Times New Roman" w:hAnsi="Times New Roman" w:cs="Times New Roman"/>
          <w:sz w:val="24"/>
        </w:rPr>
      </w:pPr>
      <w:r>
        <w:rPr>
          <w:rFonts w:hint="default" w:ascii="Times New Roman" w:hAnsi="Times New Roman" w:cs="Times New Roman"/>
          <w:sz w:val="24"/>
        </w:rPr>
        <w:t xml:space="preserve">第二部分 </w:t>
      </w:r>
      <w:r>
        <w:rPr>
          <w:rFonts w:hint="eastAsia" w:ascii="Times New Roman" w:hAnsi="Times New Roman" w:cs="Times New Roman"/>
          <w:sz w:val="24"/>
          <w:lang w:val="en-US" w:eastAsia="zh-CN"/>
        </w:rPr>
        <w:t>2022年度</w:t>
      </w:r>
      <w:r>
        <w:rPr>
          <w:rFonts w:hint="default" w:ascii="Times New Roman" w:hAnsi="Times New Roman" w:cs="Times New Roman"/>
          <w:sz w:val="24"/>
        </w:rPr>
        <w:t>部门决算情况说明.</w:t>
      </w:r>
      <w:r>
        <w:rPr>
          <w:rFonts w:hint="default" w:ascii="Times New Roman" w:hAnsi="Times New Roman" w:cs="Times New Roman"/>
          <w:sz w:val="24"/>
        </w:rPr>
        <w:tab/>
      </w:r>
      <w:r>
        <w:rPr>
          <w:rFonts w:hint="default" w:ascii="Times New Roman" w:hAnsi="Times New Roman" w:cs="Times New Roman"/>
          <w:sz w:val="24"/>
        </w:rPr>
        <w:t>6</w:t>
      </w:r>
    </w:p>
    <w:p>
      <w:pPr>
        <w:pStyle w:val="10"/>
        <w:pageBreakBefore w:val="0"/>
        <w:kinsoku/>
        <w:wordWrap/>
        <w:overflowPunct/>
        <w:topLinePunct w:val="0"/>
        <w:bidi w:val="0"/>
        <w:adjustRightInd w:val="0"/>
        <w:snapToGrid w:val="0"/>
        <w:spacing w:before="0" w:line="440" w:lineRule="exact"/>
        <w:ind w:firstLine="480" w:firstLineChars="200"/>
        <w:jc w:val="left"/>
        <w:textAlignment w:val="auto"/>
        <w:rPr>
          <w:rFonts w:hint="default" w:ascii="Times New Roman" w:hAnsi="Times New Roman" w:cs="Times New Roman"/>
          <w:sz w:val="24"/>
        </w:rPr>
      </w:pPr>
      <w:r>
        <w:rPr>
          <w:rFonts w:hint="default" w:ascii="Times New Roman" w:hAnsi="Times New Roman" w:cs="Times New Roman"/>
          <w:sz w:val="24"/>
        </w:rPr>
        <w:t>一、收入支出决算总体情况说明</w:t>
      </w:r>
      <w:r>
        <w:rPr>
          <w:rFonts w:hint="default" w:ascii="Times New Roman" w:hAnsi="Times New Roman" w:cs="Times New Roman"/>
          <w:sz w:val="24"/>
        </w:rPr>
        <w:tab/>
      </w:r>
      <w:r>
        <w:rPr>
          <w:rFonts w:hint="default" w:ascii="Times New Roman" w:hAnsi="Times New Roman" w:cs="Times New Roman"/>
          <w:sz w:val="24"/>
        </w:rPr>
        <w:t>6</w:t>
      </w:r>
    </w:p>
    <w:p>
      <w:pPr>
        <w:pStyle w:val="10"/>
        <w:pageBreakBefore w:val="0"/>
        <w:kinsoku/>
        <w:wordWrap/>
        <w:overflowPunct/>
        <w:topLinePunct w:val="0"/>
        <w:bidi w:val="0"/>
        <w:adjustRightInd w:val="0"/>
        <w:snapToGrid w:val="0"/>
        <w:spacing w:before="0" w:line="440" w:lineRule="exact"/>
        <w:ind w:firstLine="480" w:firstLineChars="200"/>
        <w:jc w:val="left"/>
        <w:textAlignment w:val="auto"/>
        <w:rPr>
          <w:rFonts w:hint="eastAsia" w:ascii="Times New Roman" w:hAnsi="Times New Roman" w:eastAsia="仿宋" w:cs="Times New Roman"/>
          <w:sz w:val="24"/>
          <w:lang w:val="en-US" w:eastAsia="zh-CN"/>
        </w:rPr>
      </w:pPr>
      <w:r>
        <w:rPr>
          <w:rFonts w:hint="default" w:ascii="Times New Roman" w:hAnsi="Times New Roman" w:cs="Times New Roman"/>
          <w:sz w:val="24"/>
        </w:rPr>
        <w:t>二、收入决算情况说明</w:t>
      </w:r>
      <w:r>
        <w:rPr>
          <w:rFonts w:hint="default" w:ascii="Times New Roman" w:hAnsi="Times New Roman" w:cs="Times New Roman"/>
          <w:sz w:val="24"/>
        </w:rPr>
        <w:tab/>
      </w:r>
      <w:r>
        <w:rPr>
          <w:rFonts w:hint="eastAsia" w:ascii="Times New Roman" w:hAnsi="Times New Roman" w:cs="Times New Roman"/>
          <w:sz w:val="24"/>
          <w:lang w:val="en-US" w:eastAsia="zh-CN"/>
        </w:rPr>
        <w:t>7</w:t>
      </w:r>
    </w:p>
    <w:p>
      <w:pPr>
        <w:pStyle w:val="10"/>
        <w:pageBreakBefore w:val="0"/>
        <w:kinsoku/>
        <w:wordWrap/>
        <w:overflowPunct/>
        <w:topLinePunct w:val="0"/>
        <w:bidi w:val="0"/>
        <w:adjustRightInd w:val="0"/>
        <w:snapToGrid w:val="0"/>
        <w:spacing w:before="0" w:line="440" w:lineRule="exact"/>
        <w:ind w:firstLine="480" w:firstLineChars="200"/>
        <w:jc w:val="left"/>
        <w:textAlignment w:val="auto"/>
        <w:rPr>
          <w:rFonts w:hint="eastAsia" w:ascii="Times New Roman" w:hAnsi="Times New Roman" w:eastAsia="仿宋" w:cs="Times New Roman"/>
          <w:sz w:val="24"/>
          <w:lang w:val="en-US" w:eastAsia="zh-CN"/>
        </w:rPr>
      </w:pPr>
      <w:r>
        <w:rPr>
          <w:rFonts w:hint="default" w:ascii="Times New Roman" w:hAnsi="Times New Roman" w:cs="Times New Roman"/>
          <w:sz w:val="24"/>
        </w:rPr>
        <w:t>三、支出决算情况说明</w:t>
      </w:r>
      <w:r>
        <w:rPr>
          <w:rFonts w:hint="default" w:ascii="Times New Roman" w:hAnsi="Times New Roman" w:cs="Times New Roman"/>
          <w:sz w:val="24"/>
        </w:rPr>
        <w:tab/>
      </w:r>
      <w:r>
        <w:rPr>
          <w:rFonts w:hint="eastAsia" w:ascii="Times New Roman" w:hAnsi="Times New Roman" w:cs="Times New Roman"/>
          <w:sz w:val="24"/>
          <w:lang w:val="en-US" w:eastAsia="zh-CN"/>
        </w:rPr>
        <w:t>7</w:t>
      </w:r>
    </w:p>
    <w:p>
      <w:pPr>
        <w:pStyle w:val="10"/>
        <w:pageBreakBefore w:val="0"/>
        <w:kinsoku/>
        <w:wordWrap/>
        <w:overflowPunct/>
        <w:topLinePunct w:val="0"/>
        <w:bidi w:val="0"/>
        <w:adjustRightInd w:val="0"/>
        <w:snapToGrid w:val="0"/>
        <w:spacing w:before="0" w:line="440" w:lineRule="exact"/>
        <w:ind w:firstLine="480" w:firstLineChars="200"/>
        <w:jc w:val="left"/>
        <w:textAlignment w:val="auto"/>
        <w:rPr>
          <w:rFonts w:hint="eastAsia" w:ascii="Times New Roman" w:hAnsi="Times New Roman" w:eastAsia="仿宋" w:cs="Times New Roman"/>
          <w:sz w:val="24"/>
          <w:lang w:val="en-US" w:eastAsia="zh-CN"/>
        </w:rPr>
      </w:pPr>
      <w:r>
        <w:rPr>
          <w:rFonts w:hint="default" w:ascii="Times New Roman" w:hAnsi="Times New Roman" w:cs="Times New Roman"/>
          <w:sz w:val="24"/>
        </w:rPr>
        <w:t>四、财政拨款收入支出决算总体情况说明</w:t>
      </w:r>
      <w:r>
        <w:rPr>
          <w:rFonts w:hint="default" w:ascii="Times New Roman" w:hAnsi="Times New Roman" w:cs="Times New Roman"/>
          <w:sz w:val="24"/>
        </w:rPr>
        <w:tab/>
      </w:r>
      <w:r>
        <w:rPr>
          <w:rFonts w:hint="eastAsia" w:ascii="Times New Roman" w:hAnsi="Times New Roman" w:cs="Times New Roman"/>
          <w:sz w:val="24"/>
          <w:lang w:val="en-US" w:eastAsia="zh-CN"/>
        </w:rPr>
        <w:t>8</w:t>
      </w:r>
    </w:p>
    <w:p>
      <w:pPr>
        <w:pStyle w:val="10"/>
        <w:pageBreakBefore w:val="0"/>
        <w:kinsoku/>
        <w:wordWrap/>
        <w:overflowPunct/>
        <w:topLinePunct w:val="0"/>
        <w:bidi w:val="0"/>
        <w:adjustRightInd w:val="0"/>
        <w:snapToGrid w:val="0"/>
        <w:spacing w:before="0" w:line="440" w:lineRule="exact"/>
        <w:ind w:firstLine="480" w:firstLineChars="200"/>
        <w:jc w:val="left"/>
        <w:textAlignment w:val="auto"/>
        <w:rPr>
          <w:rFonts w:hint="eastAsia" w:ascii="Times New Roman" w:hAnsi="Times New Roman" w:eastAsia="仿宋" w:cs="Times New Roman"/>
          <w:sz w:val="24"/>
          <w:lang w:val="en-US" w:eastAsia="zh-CN"/>
        </w:rPr>
      </w:pPr>
      <w:r>
        <w:rPr>
          <w:rFonts w:hint="default" w:ascii="Times New Roman" w:hAnsi="Times New Roman" w:cs="Times New Roman"/>
          <w:sz w:val="24"/>
        </w:rPr>
        <w:t>五</w:t>
      </w:r>
      <w:r>
        <w:rPr>
          <w:rFonts w:hint="eastAsia" w:ascii="Times New Roman" w:hAnsi="Times New Roman" w:cs="Times New Roman"/>
          <w:sz w:val="24"/>
          <w:lang w:eastAsia="zh-CN"/>
        </w:rPr>
        <w:t>、</w:t>
      </w:r>
      <w:r>
        <w:rPr>
          <w:rFonts w:hint="default" w:ascii="Times New Roman" w:hAnsi="Times New Roman" w:cs="Times New Roman"/>
          <w:sz w:val="24"/>
        </w:rPr>
        <w:t>一般公共预算财政拨款支出决算情况说明</w:t>
      </w:r>
      <w:r>
        <w:rPr>
          <w:rFonts w:hint="default" w:ascii="Times New Roman" w:hAnsi="Times New Roman" w:cs="Times New Roman"/>
          <w:sz w:val="24"/>
        </w:rPr>
        <w:tab/>
      </w:r>
      <w:r>
        <w:rPr>
          <w:rFonts w:hint="eastAsia" w:ascii="Times New Roman" w:hAnsi="Times New Roman" w:cs="Times New Roman"/>
          <w:sz w:val="24"/>
          <w:lang w:val="en-US" w:eastAsia="zh-CN"/>
        </w:rPr>
        <w:t>9</w:t>
      </w:r>
    </w:p>
    <w:p>
      <w:pPr>
        <w:pStyle w:val="10"/>
        <w:pageBreakBefore w:val="0"/>
        <w:kinsoku/>
        <w:wordWrap/>
        <w:overflowPunct/>
        <w:topLinePunct w:val="0"/>
        <w:bidi w:val="0"/>
        <w:adjustRightInd w:val="0"/>
        <w:snapToGrid w:val="0"/>
        <w:spacing w:before="0" w:line="440" w:lineRule="exact"/>
        <w:ind w:firstLine="480" w:firstLineChars="200"/>
        <w:jc w:val="left"/>
        <w:textAlignment w:val="auto"/>
        <w:rPr>
          <w:rFonts w:hint="eastAsia" w:ascii="Times New Roman" w:hAnsi="Times New Roman" w:eastAsia="仿宋" w:cs="Times New Roman"/>
          <w:sz w:val="24"/>
          <w:lang w:val="en-US" w:eastAsia="zh-CN"/>
        </w:rPr>
      </w:pPr>
      <w:r>
        <w:rPr>
          <w:rFonts w:hint="eastAsia" w:ascii="Times New Roman" w:hAnsi="Times New Roman" w:cs="Times New Roman"/>
          <w:sz w:val="24"/>
          <w:lang w:eastAsia="zh-CN"/>
        </w:rPr>
        <w:t>六、一般公共预算财政拨款基本支出决算情况说明</w:t>
      </w:r>
      <w:r>
        <w:rPr>
          <w:rFonts w:hint="default" w:ascii="Times New Roman" w:hAnsi="Times New Roman" w:cs="Times New Roman"/>
          <w:sz w:val="24"/>
        </w:rPr>
        <w:tab/>
      </w:r>
      <w:r>
        <w:rPr>
          <w:rFonts w:hint="default" w:ascii="Times New Roman" w:hAnsi="Times New Roman" w:cs="Times New Roman"/>
          <w:sz w:val="24"/>
          <w:lang w:val="en-US" w:eastAsia="zh-CN"/>
        </w:rPr>
        <w:t>1</w:t>
      </w:r>
      <w:r>
        <w:rPr>
          <w:rFonts w:hint="eastAsia" w:ascii="Times New Roman" w:hAnsi="Times New Roman" w:cs="Times New Roman"/>
          <w:sz w:val="24"/>
          <w:lang w:val="en-US" w:eastAsia="zh-CN"/>
        </w:rPr>
        <w:t>2</w:t>
      </w:r>
    </w:p>
    <w:p>
      <w:pPr>
        <w:pStyle w:val="10"/>
        <w:pageBreakBefore w:val="0"/>
        <w:kinsoku/>
        <w:wordWrap/>
        <w:overflowPunct/>
        <w:topLinePunct w:val="0"/>
        <w:bidi w:val="0"/>
        <w:adjustRightInd w:val="0"/>
        <w:snapToGrid w:val="0"/>
        <w:spacing w:before="0" w:line="440" w:lineRule="exact"/>
        <w:ind w:firstLine="480" w:firstLineChars="200"/>
        <w:jc w:val="left"/>
        <w:textAlignment w:val="auto"/>
        <w:rPr>
          <w:rFonts w:hint="default" w:ascii="Times New Roman" w:hAnsi="Times New Roman" w:cs="Times New Roman"/>
          <w:sz w:val="24"/>
          <w:lang w:val="en-US" w:eastAsia="zh-CN"/>
        </w:rPr>
      </w:pPr>
      <w:r>
        <w:rPr>
          <w:rFonts w:hint="eastAsia" w:ascii="Times New Roman" w:hAnsi="Times New Roman" w:cs="Times New Roman"/>
          <w:sz w:val="24"/>
          <w:lang w:eastAsia="zh-CN"/>
        </w:rPr>
        <w:t>七</w:t>
      </w:r>
      <w:r>
        <w:rPr>
          <w:rFonts w:hint="default" w:ascii="Times New Roman" w:hAnsi="Times New Roman" w:cs="Times New Roman"/>
          <w:sz w:val="24"/>
        </w:rPr>
        <w:t>、</w:t>
      </w:r>
      <w:r>
        <w:rPr>
          <w:rFonts w:hint="eastAsia" w:ascii="Times New Roman" w:hAnsi="Times New Roman" w:cs="Times New Roman"/>
          <w:sz w:val="24"/>
          <w:lang w:eastAsia="zh-CN"/>
        </w:rPr>
        <w:t>一般公共预算财政拨款项目支出决算情况说明</w:t>
      </w:r>
      <w:r>
        <w:rPr>
          <w:rFonts w:hint="default" w:ascii="Times New Roman" w:hAnsi="Times New Roman" w:cs="Times New Roman"/>
          <w:sz w:val="24"/>
          <w:lang w:eastAsia="zh-CN"/>
        </w:rPr>
        <w:tab/>
      </w:r>
      <w:r>
        <w:rPr>
          <w:rFonts w:hint="eastAsia" w:ascii="Times New Roman" w:hAnsi="Times New Roman" w:cs="Times New Roman"/>
          <w:sz w:val="24"/>
          <w:lang w:val="en-US" w:eastAsia="zh-CN"/>
        </w:rPr>
        <w:t>12</w:t>
      </w:r>
    </w:p>
    <w:p>
      <w:pPr>
        <w:pStyle w:val="10"/>
        <w:pageBreakBefore w:val="0"/>
        <w:kinsoku/>
        <w:wordWrap/>
        <w:overflowPunct/>
        <w:topLinePunct w:val="0"/>
        <w:bidi w:val="0"/>
        <w:adjustRightInd w:val="0"/>
        <w:snapToGrid w:val="0"/>
        <w:spacing w:before="0" w:line="440" w:lineRule="exact"/>
        <w:ind w:firstLine="480" w:firstLineChars="200"/>
        <w:jc w:val="left"/>
        <w:textAlignment w:val="auto"/>
        <w:rPr>
          <w:rFonts w:hint="default" w:ascii="Times New Roman" w:hAnsi="Times New Roman" w:cs="Times New Roman"/>
          <w:sz w:val="24"/>
          <w:lang w:val="en-US" w:eastAsia="zh-CN"/>
        </w:rPr>
      </w:pPr>
      <w:r>
        <w:rPr>
          <w:rFonts w:hint="eastAsia" w:ascii="Times New Roman" w:hAnsi="Times New Roman" w:cs="Times New Roman"/>
          <w:sz w:val="24"/>
          <w:lang w:eastAsia="zh-CN"/>
        </w:rPr>
        <w:t>八</w:t>
      </w:r>
      <w:r>
        <w:rPr>
          <w:rFonts w:hint="default" w:ascii="Times New Roman" w:hAnsi="Times New Roman" w:cs="Times New Roman"/>
          <w:sz w:val="24"/>
          <w:lang w:eastAsia="zh-CN"/>
        </w:rPr>
        <w:t xml:space="preserve">、 </w:t>
      </w:r>
      <w:r>
        <w:rPr>
          <w:rFonts w:hint="eastAsia" w:ascii="Times New Roman" w:hAnsi="Times New Roman" w:cs="Times New Roman"/>
          <w:sz w:val="24"/>
          <w:lang w:eastAsia="zh-CN"/>
        </w:rPr>
        <w:t>“三公”经费财政拨款支出决算情况说明</w:t>
      </w:r>
      <w:r>
        <w:rPr>
          <w:rFonts w:hint="default" w:ascii="Times New Roman" w:hAnsi="Times New Roman" w:cs="Times New Roman"/>
          <w:sz w:val="24"/>
          <w:lang w:eastAsia="zh-CN"/>
        </w:rPr>
        <w:tab/>
      </w:r>
      <w:r>
        <w:rPr>
          <w:rFonts w:hint="default" w:ascii="Times New Roman" w:hAnsi="Times New Roman" w:cs="Times New Roman"/>
          <w:sz w:val="24"/>
          <w:lang w:val="en-US" w:eastAsia="zh-CN"/>
        </w:rPr>
        <w:t>1</w:t>
      </w:r>
      <w:r>
        <w:rPr>
          <w:rFonts w:hint="eastAsia" w:ascii="Times New Roman" w:hAnsi="Times New Roman" w:cs="Times New Roman"/>
          <w:sz w:val="24"/>
          <w:lang w:val="en-US" w:eastAsia="zh-CN"/>
        </w:rPr>
        <w:t>2</w:t>
      </w:r>
    </w:p>
    <w:p>
      <w:pPr>
        <w:pStyle w:val="10"/>
        <w:pageBreakBefore w:val="0"/>
        <w:kinsoku/>
        <w:wordWrap/>
        <w:overflowPunct/>
        <w:topLinePunct w:val="0"/>
        <w:bidi w:val="0"/>
        <w:adjustRightInd w:val="0"/>
        <w:snapToGrid w:val="0"/>
        <w:spacing w:before="0" w:line="440" w:lineRule="exact"/>
        <w:ind w:firstLine="480" w:firstLineChars="200"/>
        <w:jc w:val="left"/>
        <w:textAlignment w:val="auto"/>
        <w:rPr>
          <w:rFonts w:hint="eastAsia" w:ascii="Times New Roman" w:hAnsi="Times New Roman" w:cs="Times New Roman"/>
          <w:sz w:val="24"/>
          <w:lang w:val="en-US" w:eastAsia="zh-CN"/>
        </w:rPr>
      </w:pPr>
      <w:r>
        <w:rPr>
          <w:rFonts w:hint="eastAsia" w:ascii="Times New Roman" w:hAnsi="Times New Roman" w:cs="Times New Roman"/>
          <w:sz w:val="24"/>
          <w:lang w:eastAsia="zh-CN"/>
        </w:rPr>
        <w:t>九</w:t>
      </w:r>
      <w:r>
        <w:rPr>
          <w:rFonts w:hint="default" w:ascii="Times New Roman" w:hAnsi="Times New Roman" w:cs="Times New Roman"/>
          <w:sz w:val="24"/>
          <w:lang w:eastAsia="zh-CN"/>
        </w:rPr>
        <w:t>、</w:t>
      </w:r>
      <w:r>
        <w:rPr>
          <w:rFonts w:hint="eastAsia" w:ascii="Times New Roman" w:hAnsi="Times New Roman" w:cs="Times New Roman"/>
          <w:sz w:val="24"/>
          <w:lang w:eastAsia="zh-CN"/>
        </w:rPr>
        <w:t>政府性基金预算支出决算情况说明</w:t>
      </w:r>
      <w:r>
        <w:rPr>
          <w:rFonts w:hint="default" w:ascii="Times New Roman" w:hAnsi="Times New Roman" w:cs="Times New Roman"/>
          <w:sz w:val="24"/>
          <w:lang w:eastAsia="zh-CN"/>
        </w:rPr>
        <w:tab/>
      </w:r>
      <w:r>
        <w:rPr>
          <w:rFonts w:hint="default" w:ascii="Times New Roman" w:hAnsi="Times New Roman" w:cs="Times New Roman"/>
          <w:sz w:val="24"/>
          <w:lang w:val="en-US" w:eastAsia="zh-CN"/>
        </w:rPr>
        <w:t>1</w:t>
      </w:r>
      <w:r>
        <w:rPr>
          <w:rFonts w:hint="eastAsia" w:ascii="Times New Roman" w:hAnsi="Times New Roman" w:cs="Times New Roman"/>
          <w:sz w:val="24"/>
          <w:lang w:val="en-US" w:eastAsia="zh-CN"/>
        </w:rPr>
        <w:t>5</w:t>
      </w:r>
    </w:p>
    <w:p>
      <w:pPr>
        <w:pStyle w:val="10"/>
        <w:pageBreakBefore w:val="0"/>
        <w:kinsoku/>
        <w:wordWrap/>
        <w:overflowPunct/>
        <w:topLinePunct w:val="0"/>
        <w:bidi w:val="0"/>
        <w:adjustRightInd w:val="0"/>
        <w:snapToGrid w:val="0"/>
        <w:spacing w:before="0" w:line="440" w:lineRule="exact"/>
        <w:ind w:firstLine="480" w:firstLineChars="200"/>
        <w:jc w:val="lef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十、国有资本经营预算支出决算情况说明</w:t>
      </w:r>
      <w:r>
        <w:rPr>
          <w:rFonts w:hint="default" w:ascii="Times New Roman" w:hAnsi="Times New Roman" w:cs="Times New Roman"/>
          <w:sz w:val="24"/>
          <w:lang w:eastAsia="zh-CN"/>
        </w:rPr>
        <w:tab/>
      </w:r>
      <w:r>
        <w:rPr>
          <w:rFonts w:hint="eastAsia" w:ascii="Times New Roman" w:hAnsi="Times New Roman" w:cs="Times New Roman"/>
          <w:sz w:val="24"/>
          <w:lang w:val="en-US" w:eastAsia="zh-CN"/>
        </w:rPr>
        <w:t>15</w:t>
      </w:r>
    </w:p>
    <w:p>
      <w:pPr>
        <w:pStyle w:val="10"/>
        <w:pageBreakBefore w:val="0"/>
        <w:kinsoku/>
        <w:wordWrap/>
        <w:overflowPunct/>
        <w:topLinePunct w:val="0"/>
        <w:bidi w:val="0"/>
        <w:adjustRightInd w:val="0"/>
        <w:snapToGrid w:val="0"/>
        <w:spacing w:before="0" w:line="440" w:lineRule="exact"/>
        <w:ind w:firstLine="480" w:firstLineChars="200"/>
        <w:jc w:val="left"/>
        <w:textAlignment w:val="auto"/>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十一、其他重要事项的情况说明</w:t>
      </w:r>
      <w:r>
        <w:rPr>
          <w:rFonts w:hint="default" w:ascii="Times New Roman" w:hAnsi="Times New Roman" w:cs="Times New Roman"/>
          <w:sz w:val="24"/>
          <w:lang w:eastAsia="zh-CN"/>
        </w:rPr>
        <w:tab/>
      </w:r>
      <w:r>
        <w:rPr>
          <w:rFonts w:hint="eastAsia" w:ascii="Times New Roman" w:hAnsi="Times New Roman" w:cs="Times New Roman"/>
          <w:sz w:val="24"/>
          <w:lang w:val="en-US" w:eastAsia="zh-CN"/>
        </w:rPr>
        <w:t>15</w:t>
      </w:r>
    </w:p>
    <w:p>
      <w:pPr>
        <w:pStyle w:val="10"/>
        <w:keepNext w:val="0"/>
        <w:keepLines w:val="0"/>
        <w:pageBreakBefore w:val="0"/>
        <w:widowControl w:val="0"/>
        <w:kinsoku/>
        <w:wordWrap/>
        <w:overflowPunct/>
        <w:topLinePunct w:val="0"/>
        <w:autoSpaceDE/>
        <w:autoSpaceDN/>
        <w:bidi w:val="0"/>
        <w:adjustRightInd w:val="0"/>
        <w:snapToGrid w:val="0"/>
        <w:spacing w:before="0" w:line="440" w:lineRule="exact"/>
        <w:ind w:firstLine="0" w:firstLineChars="0"/>
        <w:jc w:val="left"/>
        <w:textAlignment w:val="auto"/>
        <w:rPr>
          <w:rFonts w:hint="eastAsia" w:ascii="Times New Roman" w:hAnsi="Times New Roman" w:eastAsia="仿宋" w:cs="Times New Roman"/>
          <w:sz w:val="24"/>
          <w:lang w:val="en-US" w:eastAsia="zh-CN"/>
        </w:rPr>
      </w:pPr>
      <w:r>
        <w:rPr>
          <w:rFonts w:hint="default" w:ascii="Times New Roman" w:hAnsi="Times New Roman" w:cs="Times New Roman"/>
          <w:sz w:val="24"/>
          <w:lang w:eastAsia="zh-CN"/>
        </w:rPr>
        <w:t>第三部分 名词解释</w:t>
      </w:r>
      <w:r>
        <w:rPr>
          <w:rFonts w:hint="default" w:ascii="Times New Roman" w:hAnsi="Times New Roman" w:cs="Times New Roman"/>
          <w:sz w:val="24"/>
        </w:rPr>
        <w:tab/>
      </w:r>
      <w:r>
        <w:rPr>
          <w:rFonts w:hint="default" w:ascii="Times New Roman" w:hAnsi="Times New Roman" w:cs="Times New Roman"/>
          <w:sz w:val="24"/>
          <w:lang w:val="en-US" w:eastAsia="zh-CN"/>
        </w:rPr>
        <w:t>1</w:t>
      </w:r>
      <w:r>
        <w:rPr>
          <w:rFonts w:hint="eastAsia" w:ascii="Times New Roman" w:hAnsi="Times New Roman" w:cs="Times New Roman"/>
          <w:sz w:val="24"/>
          <w:lang w:val="en-US" w:eastAsia="zh-CN"/>
        </w:rPr>
        <w:t>7</w:t>
      </w:r>
    </w:p>
    <w:p>
      <w:pPr>
        <w:pStyle w:val="10"/>
        <w:keepNext w:val="0"/>
        <w:keepLines w:val="0"/>
        <w:pageBreakBefore w:val="0"/>
        <w:widowControl w:val="0"/>
        <w:kinsoku/>
        <w:wordWrap/>
        <w:overflowPunct/>
        <w:topLinePunct w:val="0"/>
        <w:autoSpaceDE/>
        <w:autoSpaceDN/>
        <w:bidi w:val="0"/>
        <w:adjustRightInd w:val="0"/>
        <w:snapToGrid w:val="0"/>
        <w:spacing w:before="0" w:line="440" w:lineRule="exact"/>
        <w:ind w:firstLine="0" w:firstLineChars="0"/>
        <w:jc w:val="left"/>
        <w:textAlignment w:val="auto"/>
        <w:rPr>
          <w:rFonts w:hint="eastAsia" w:ascii="Times New Roman" w:hAnsi="Times New Roman" w:eastAsia="仿宋" w:cs="Times New Roman"/>
          <w:sz w:val="24"/>
          <w:lang w:val="en-US" w:eastAsia="zh-CN"/>
        </w:rPr>
      </w:pPr>
      <w:r>
        <w:rPr>
          <w:rFonts w:hint="default" w:ascii="Times New Roman" w:hAnsi="Times New Roman" w:cs="Times New Roman"/>
          <w:sz w:val="24"/>
        </w:rPr>
        <w:t>第四部分 附件</w:t>
      </w:r>
      <w:r>
        <w:rPr>
          <w:rFonts w:hint="default" w:ascii="Times New Roman" w:hAnsi="Times New Roman" w:cs="Times New Roman"/>
          <w:sz w:val="24"/>
        </w:rPr>
        <w:tab/>
      </w:r>
      <w:r>
        <w:rPr>
          <w:rFonts w:hint="default" w:ascii="Times New Roman" w:hAnsi="Times New Roman" w:cs="Times New Roman"/>
          <w:sz w:val="24"/>
          <w:lang w:val="en-US" w:eastAsia="zh-CN"/>
        </w:rPr>
        <w:t>1</w:t>
      </w:r>
      <w:r>
        <w:rPr>
          <w:rFonts w:hint="eastAsia" w:ascii="Times New Roman" w:hAnsi="Times New Roman" w:cs="Times New Roman"/>
          <w:sz w:val="24"/>
          <w:lang w:val="en-US" w:eastAsia="zh-CN"/>
        </w:rPr>
        <w:t>9</w:t>
      </w:r>
    </w:p>
    <w:p>
      <w:pPr>
        <w:pStyle w:val="10"/>
        <w:pageBreakBefore w:val="0"/>
        <w:kinsoku/>
        <w:wordWrap/>
        <w:overflowPunct/>
        <w:topLinePunct w:val="0"/>
        <w:bidi w:val="0"/>
        <w:adjustRightInd w:val="0"/>
        <w:snapToGrid w:val="0"/>
        <w:spacing w:before="0" w:line="440" w:lineRule="exact"/>
        <w:ind w:firstLine="480" w:firstLineChars="200"/>
        <w:jc w:val="left"/>
        <w:textAlignment w:val="auto"/>
        <w:rPr>
          <w:rFonts w:hint="eastAsia" w:ascii="Times New Roman" w:hAnsi="Times New Roman" w:eastAsia="仿宋" w:cs="Times New Roman"/>
          <w:sz w:val="24"/>
          <w:lang w:val="en-US" w:eastAsia="zh-CN"/>
        </w:rPr>
      </w:pPr>
      <w:r>
        <w:rPr>
          <w:rFonts w:hint="default" w:ascii="Times New Roman" w:hAnsi="Times New Roman" w:cs="Times New Roman"/>
          <w:sz w:val="24"/>
        </w:rPr>
        <w:t>附件</w:t>
      </w:r>
      <w:r>
        <w:rPr>
          <w:rFonts w:hint="default" w:ascii="Times New Roman" w:hAnsi="Times New Roman" w:cs="Times New Roman"/>
          <w:sz w:val="24"/>
          <w:lang w:val="en-US" w:eastAsia="zh-CN"/>
        </w:rPr>
        <w:t>1</w:t>
      </w:r>
      <w:r>
        <w:rPr>
          <w:rFonts w:hint="default" w:ascii="Times New Roman" w:hAnsi="Times New Roman" w:cs="Times New Roman"/>
          <w:sz w:val="24"/>
        </w:rPr>
        <w:tab/>
      </w:r>
      <w:r>
        <w:rPr>
          <w:rFonts w:hint="default" w:ascii="Times New Roman" w:hAnsi="Times New Roman" w:cs="Times New Roman"/>
          <w:sz w:val="24"/>
        </w:rPr>
        <w:t>1</w:t>
      </w:r>
      <w:r>
        <w:rPr>
          <w:rFonts w:hint="eastAsia" w:ascii="Times New Roman" w:hAnsi="Times New Roman" w:cs="Times New Roman"/>
          <w:sz w:val="24"/>
          <w:lang w:val="en-US" w:eastAsia="zh-CN"/>
        </w:rPr>
        <w:t>9</w:t>
      </w:r>
    </w:p>
    <w:p>
      <w:pPr>
        <w:pStyle w:val="10"/>
        <w:pageBreakBefore w:val="0"/>
        <w:kinsoku/>
        <w:wordWrap/>
        <w:overflowPunct/>
        <w:topLinePunct w:val="0"/>
        <w:bidi w:val="0"/>
        <w:adjustRightInd w:val="0"/>
        <w:snapToGrid w:val="0"/>
        <w:spacing w:before="0" w:line="440" w:lineRule="exact"/>
        <w:ind w:firstLine="480" w:firstLineChars="200"/>
        <w:jc w:val="left"/>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t>附件2</w:t>
      </w:r>
      <w:r>
        <w:rPr>
          <w:rFonts w:hint="default" w:ascii="Times New Roman" w:hAnsi="Times New Roman" w:cs="Times New Roman"/>
          <w:sz w:val="24"/>
        </w:rPr>
        <w:tab/>
      </w:r>
      <w:r>
        <w:rPr>
          <w:rFonts w:hint="default" w:ascii="Times New Roman" w:hAnsi="Times New Roman" w:cs="Times New Roman"/>
          <w:sz w:val="24"/>
          <w:lang w:val="en-US" w:eastAsia="zh-CN"/>
        </w:rPr>
        <w:t>24</w:t>
      </w:r>
    </w:p>
    <w:p>
      <w:pPr>
        <w:pStyle w:val="10"/>
        <w:pageBreakBefore w:val="0"/>
        <w:kinsoku/>
        <w:wordWrap/>
        <w:overflowPunct/>
        <w:topLinePunct w:val="0"/>
        <w:bidi w:val="0"/>
        <w:adjustRightInd w:val="0"/>
        <w:snapToGrid w:val="0"/>
        <w:spacing w:before="0" w:line="440" w:lineRule="exact"/>
        <w:ind w:firstLine="480" w:firstLineChars="200"/>
        <w:jc w:val="left"/>
        <w:textAlignment w:val="auto"/>
        <w:rPr>
          <w:rFonts w:hint="default"/>
          <w:lang w:val="en-US" w:eastAsia="zh-CN"/>
        </w:rPr>
      </w:pPr>
      <w:r>
        <w:rPr>
          <w:rFonts w:hint="default" w:ascii="Times New Roman" w:hAnsi="Times New Roman" w:cs="Times New Roman"/>
          <w:sz w:val="24"/>
          <w:lang w:val="en-US" w:eastAsia="zh-CN"/>
        </w:rPr>
        <w:t>附件</w:t>
      </w:r>
      <w:r>
        <w:rPr>
          <w:rFonts w:hint="eastAsia" w:ascii="Times New Roman" w:hAnsi="Times New Roman" w:cs="Times New Roman"/>
          <w:sz w:val="24"/>
          <w:lang w:val="en-US" w:eastAsia="zh-CN"/>
        </w:rPr>
        <w:t>3</w:t>
      </w:r>
      <w:r>
        <w:rPr>
          <w:rFonts w:hint="default" w:ascii="Times New Roman" w:hAnsi="Times New Roman" w:cs="Times New Roman"/>
          <w:sz w:val="24"/>
        </w:rPr>
        <w:tab/>
      </w:r>
      <w:r>
        <w:rPr>
          <w:rFonts w:hint="default" w:ascii="Times New Roman" w:hAnsi="Times New Roman" w:cs="Times New Roman"/>
          <w:sz w:val="24"/>
          <w:lang w:val="en-US" w:eastAsia="zh-CN"/>
        </w:rPr>
        <w:t>2</w:t>
      </w:r>
      <w:r>
        <w:rPr>
          <w:rFonts w:hint="eastAsia" w:ascii="Times New Roman" w:hAnsi="Times New Roman" w:cs="Times New Roman"/>
          <w:sz w:val="24"/>
          <w:lang w:val="en-US" w:eastAsia="zh-CN"/>
        </w:rPr>
        <w:t>5</w:t>
      </w:r>
    </w:p>
    <w:p>
      <w:pPr>
        <w:pStyle w:val="10"/>
        <w:keepNext w:val="0"/>
        <w:keepLines w:val="0"/>
        <w:pageBreakBefore w:val="0"/>
        <w:widowControl w:val="0"/>
        <w:kinsoku/>
        <w:wordWrap/>
        <w:overflowPunct/>
        <w:topLinePunct w:val="0"/>
        <w:autoSpaceDE/>
        <w:autoSpaceDN/>
        <w:bidi w:val="0"/>
        <w:adjustRightInd/>
        <w:snapToGrid w:val="0"/>
        <w:spacing w:before="0" w:line="440" w:lineRule="exact"/>
        <w:ind w:firstLine="0" w:firstLineChars="0"/>
        <w:jc w:val="left"/>
        <w:textAlignment w:val="auto"/>
        <w:rPr>
          <w:rFonts w:hint="default" w:ascii="Times New Roman" w:hAnsi="Times New Roman" w:cs="Times New Roman"/>
          <w:sz w:val="24"/>
          <w:lang w:val="en-US" w:eastAsia="zh-CN"/>
        </w:rPr>
      </w:pPr>
      <w:r>
        <w:rPr>
          <w:rFonts w:hint="default" w:ascii="Times New Roman" w:hAnsi="Times New Roman" w:cs="Times New Roman"/>
          <w:sz w:val="24"/>
        </w:rPr>
        <w:t>第五部分 附表</w:t>
      </w:r>
      <w:r>
        <w:rPr>
          <w:rFonts w:hint="default" w:ascii="Times New Roman" w:hAnsi="Times New Roman" w:cs="Times New Roman"/>
          <w:sz w:val="24"/>
        </w:rPr>
        <w:tab/>
      </w:r>
      <w:r>
        <w:rPr>
          <w:rFonts w:hint="default" w:ascii="Times New Roman" w:hAnsi="Times New Roman" w:cs="Times New Roman"/>
          <w:sz w:val="24"/>
        </w:rPr>
        <w:t>2</w:t>
      </w:r>
      <w:r>
        <w:rPr>
          <w:rFonts w:hint="default" w:ascii="Times New Roman" w:hAnsi="Times New Roman" w:cs="Times New Roman"/>
          <w:sz w:val="24"/>
          <w:lang w:val="en-US" w:eastAsia="zh-CN"/>
        </w:rPr>
        <w:t>6</w:t>
      </w:r>
    </w:p>
    <w:p>
      <w:pPr>
        <w:pStyle w:val="10"/>
        <w:pageBreakBefore w:val="0"/>
        <w:kinsoku/>
        <w:wordWrap/>
        <w:overflowPunct/>
        <w:topLinePunct w:val="0"/>
        <w:bidi w:val="0"/>
        <w:adjustRightInd w:val="0"/>
        <w:snapToGrid w:val="0"/>
        <w:spacing w:before="0" w:line="440" w:lineRule="exact"/>
        <w:ind w:firstLine="480" w:firstLineChars="200"/>
        <w:jc w:val="left"/>
        <w:textAlignment w:val="auto"/>
        <w:rPr>
          <w:rFonts w:hint="eastAsia" w:ascii="Times New Roman" w:hAnsi="Times New Roman" w:eastAsia="仿宋" w:cs="Times New Roman"/>
          <w:sz w:val="24"/>
          <w:lang w:eastAsia="zh-CN"/>
        </w:rPr>
      </w:pPr>
      <w:r>
        <w:rPr>
          <w:rFonts w:hint="default" w:ascii="Times New Roman" w:hAnsi="Times New Roman" w:cs="Times New Roman"/>
          <w:sz w:val="24"/>
        </w:rPr>
        <w:t>一、</w:t>
      </w:r>
      <w:r>
        <w:rPr>
          <w:rFonts w:hint="eastAsia" w:ascii="Times New Roman" w:hAnsi="Times New Roman" w:cs="Times New Roman"/>
          <w:sz w:val="24"/>
          <w:lang w:eastAsia="zh-CN"/>
        </w:rPr>
        <w:t>收入支出决算总表</w:t>
      </w:r>
    </w:p>
    <w:p>
      <w:pPr>
        <w:pStyle w:val="10"/>
        <w:pageBreakBefore w:val="0"/>
        <w:kinsoku/>
        <w:wordWrap/>
        <w:overflowPunct/>
        <w:topLinePunct w:val="0"/>
        <w:bidi w:val="0"/>
        <w:adjustRightInd w:val="0"/>
        <w:snapToGrid w:val="0"/>
        <w:spacing w:before="0" w:line="440" w:lineRule="exact"/>
        <w:ind w:firstLine="480" w:firstLineChars="200"/>
        <w:jc w:val="left"/>
        <w:textAlignment w:val="auto"/>
        <w:rPr>
          <w:rFonts w:hint="eastAsia" w:ascii="Times New Roman" w:hAnsi="Times New Roman" w:eastAsia="仿宋" w:cs="Times New Roman"/>
          <w:sz w:val="24"/>
          <w:lang w:eastAsia="zh-CN"/>
        </w:rPr>
      </w:pPr>
      <w:r>
        <w:rPr>
          <w:rFonts w:hint="default" w:ascii="Times New Roman" w:hAnsi="Times New Roman" w:cs="Times New Roman"/>
          <w:sz w:val="24"/>
        </w:rPr>
        <w:t>二、</w:t>
      </w:r>
      <w:r>
        <w:rPr>
          <w:rFonts w:hint="eastAsia" w:ascii="Times New Roman" w:hAnsi="Times New Roman" w:cs="Times New Roman"/>
          <w:sz w:val="24"/>
          <w:lang w:eastAsia="zh-CN"/>
        </w:rPr>
        <w:t>收入决算表</w:t>
      </w:r>
    </w:p>
    <w:p>
      <w:pPr>
        <w:pStyle w:val="10"/>
        <w:keepNext w:val="0"/>
        <w:keepLines w:val="0"/>
        <w:pageBreakBefore w:val="0"/>
        <w:widowControl w:val="0"/>
        <w:kinsoku/>
        <w:wordWrap/>
        <w:overflowPunct/>
        <w:topLinePunct w:val="0"/>
        <w:autoSpaceDE/>
        <w:autoSpaceDN/>
        <w:bidi w:val="0"/>
        <w:adjustRightInd w:val="0"/>
        <w:snapToGrid w:val="0"/>
        <w:spacing w:before="0" w:line="440" w:lineRule="exact"/>
        <w:ind w:firstLine="480" w:firstLineChars="200"/>
        <w:jc w:val="left"/>
        <w:textAlignment w:val="auto"/>
        <w:rPr>
          <w:rFonts w:hint="eastAsia" w:ascii="Times New Roman" w:hAnsi="Times New Roman" w:eastAsia="仿宋" w:cs="Times New Roman"/>
          <w:sz w:val="24"/>
          <w:lang w:eastAsia="zh-CN"/>
        </w:rPr>
      </w:pPr>
      <w:r>
        <w:rPr>
          <w:rFonts w:hint="default" w:ascii="Times New Roman" w:hAnsi="Times New Roman" w:cs="Times New Roman"/>
          <w:sz w:val="24"/>
        </w:rPr>
        <w:t>三、</w:t>
      </w:r>
      <w:r>
        <w:rPr>
          <w:rFonts w:hint="eastAsia" w:ascii="Times New Roman" w:hAnsi="Times New Roman" w:cs="Times New Roman"/>
          <w:sz w:val="24"/>
          <w:lang w:eastAsia="zh-CN"/>
        </w:rPr>
        <w:t>支出决算表</w:t>
      </w:r>
    </w:p>
    <w:p>
      <w:pPr>
        <w:pStyle w:val="10"/>
        <w:keepNext w:val="0"/>
        <w:keepLines w:val="0"/>
        <w:pageBreakBefore w:val="0"/>
        <w:widowControl w:val="0"/>
        <w:kinsoku/>
        <w:wordWrap/>
        <w:overflowPunct/>
        <w:topLinePunct w:val="0"/>
        <w:autoSpaceDE/>
        <w:autoSpaceDN/>
        <w:bidi w:val="0"/>
        <w:adjustRightInd w:val="0"/>
        <w:snapToGrid w:val="0"/>
        <w:spacing w:before="0" w:line="440" w:lineRule="exact"/>
        <w:ind w:firstLine="480" w:firstLineChars="200"/>
        <w:jc w:val="left"/>
        <w:textAlignment w:val="auto"/>
        <w:rPr>
          <w:rFonts w:hint="default" w:ascii="Times New Roman" w:hAnsi="Times New Roman" w:cs="Times New Roman"/>
          <w:sz w:val="24"/>
        </w:rPr>
      </w:pPr>
      <w:r>
        <w:rPr>
          <w:rFonts w:hint="default" w:ascii="Times New Roman" w:hAnsi="Times New Roman" w:cs="Times New Roman"/>
          <w:sz w:val="24"/>
        </w:rPr>
        <w:t>四、财政拨款收入支出决算总表</w:t>
      </w:r>
    </w:p>
    <w:p>
      <w:pPr>
        <w:pStyle w:val="10"/>
        <w:keepNext w:val="0"/>
        <w:keepLines w:val="0"/>
        <w:pageBreakBefore w:val="0"/>
        <w:widowControl w:val="0"/>
        <w:kinsoku/>
        <w:wordWrap/>
        <w:overflowPunct/>
        <w:topLinePunct w:val="0"/>
        <w:autoSpaceDE/>
        <w:autoSpaceDN/>
        <w:bidi w:val="0"/>
        <w:adjustRightInd w:val="0"/>
        <w:snapToGrid w:val="0"/>
        <w:spacing w:before="0" w:line="440" w:lineRule="exact"/>
        <w:ind w:firstLine="480" w:firstLineChars="200"/>
        <w:jc w:val="lef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五、财政拨款支出决算明细表</w:t>
      </w:r>
    </w:p>
    <w:p>
      <w:pPr>
        <w:pStyle w:val="10"/>
        <w:keepNext w:val="0"/>
        <w:keepLines w:val="0"/>
        <w:pageBreakBefore w:val="0"/>
        <w:widowControl w:val="0"/>
        <w:kinsoku/>
        <w:wordWrap/>
        <w:overflowPunct/>
        <w:topLinePunct w:val="0"/>
        <w:autoSpaceDE/>
        <w:autoSpaceDN/>
        <w:bidi w:val="0"/>
        <w:adjustRightInd w:val="0"/>
        <w:snapToGrid w:val="0"/>
        <w:spacing w:before="0" w:line="440" w:lineRule="exact"/>
        <w:ind w:firstLine="480" w:firstLineChars="200"/>
        <w:jc w:val="lef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六、一般公共预算财政拨款支出决算表</w:t>
      </w:r>
    </w:p>
    <w:p>
      <w:pPr>
        <w:pStyle w:val="10"/>
        <w:keepNext w:val="0"/>
        <w:keepLines w:val="0"/>
        <w:pageBreakBefore w:val="0"/>
        <w:widowControl w:val="0"/>
        <w:kinsoku/>
        <w:wordWrap/>
        <w:overflowPunct/>
        <w:topLinePunct w:val="0"/>
        <w:autoSpaceDE/>
        <w:autoSpaceDN/>
        <w:bidi w:val="0"/>
        <w:adjustRightInd w:val="0"/>
        <w:snapToGrid w:val="0"/>
        <w:spacing w:before="0" w:line="440" w:lineRule="exact"/>
        <w:ind w:firstLine="480" w:firstLineChars="200"/>
        <w:jc w:val="lef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七、一般公共预算财政拨款支出决算明细表</w:t>
      </w:r>
    </w:p>
    <w:p>
      <w:pPr>
        <w:pStyle w:val="10"/>
        <w:keepNext w:val="0"/>
        <w:keepLines w:val="0"/>
        <w:pageBreakBefore w:val="0"/>
        <w:widowControl w:val="0"/>
        <w:kinsoku/>
        <w:wordWrap/>
        <w:overflowPunct/>
        <w:topLinePunct w:val="0"/>
        <w:autoSpaceDE/>
        <w:autoSpaceDN/>
        <w:bidi w:val="0"/>
        <w:adjustRightInd w:val="0"/>
        <w:snapToGrid w:val="0"/>
        <w:spacing w:before="0" w:line="440" w:lineRule="exact"/>
        <w:ind w:firstLine="480" w:firstLineChars="200"/>
        <w:jc w:val="lef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八、一般公共预算财政拨款基本支出决算明细表</w:t>
      </w:r>
    </w:p>
    <w:p>
      <w:pPr>
        <w:pStyle w:val="10"/>
        <w:keepNext w:val="0"/>
        <w:keepLines w:val="0"/>
        <w:pageBreakBefore w:val="0"/>
        <w:widowControl w:val="0"/>
        <w:kinsoku/>
        <w:wordWrap/>
        <w:overflowPunct/>
        <w:topLinePunct w:val="0"/>
        <w:autoSpaceDE/>
        <w:autoSpaceDN/>
        <w:bidi w:val="0"/>
        <w:adjustRightInd w:val="0"/>
        <w:snapToGrid w:val="0"/>
        <w:spacing w:before="0" w:line="440" w:lineRule="exact"/>
        <w:ind w:firstLine="480" w:firstLineChars="200"/>
        <w:jc w:val="lef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九、一般公共预算财政拨款项目支出决算表</w:t>
      </w:r>
    </w:p>
    <w:p>
      <w:pPr>
        <w:pStyle w:val="10"/>
        <w:keepNext w:val="0"/>
        <w:keepLines w:val="0"/>
        <w:pageBreakBefore w:val="0"/>
        <w:widowControl w:val="0"/>
        <w:kinsoku/>
        <w:wordWrap/>
        <w:overflowPunct/>
        <w:topLinePunct w:val="0"/>
        <w:autoSpaceDE/>
        <w:autoSpaceDN/>
        <w:bidi w:val="0"/>
        <w:adjustRightInd w:val="0"/>
        <w:snapToGrid w:val="0"/>
        <w:spacing w:before="0" w:line="440" w:lineRule="exact"/>
        <w:ind w:firstLine="480" w:firstLineChars="200"/>
        <w:jc w:val="lef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十、政府性基金预算财政拨款收入支出决算表</w:t>
      </w:r>
    </w:p>
    <w:p>
      <w:pPr>
        <w:pStyle w:val="10"/>
        <w:keepNext w:val="0"/>
        <w:keepLines w:val="0"/>
        <w:pageBreakBefore w:val="0"/>
        <w:widowControl w:val="0"/>
        <w:kinsoku/>
        <w:wordWrap/>
        <w:overflowPunct/>
        <w:topLinePunct w:val="0"/>
        <w:autoSpaceDE/>
        <w:autoSpaceDN/>
        <w:bidi w:val="0"/>
        <w:adjustRightInd w:val="0"/>
        <w:snapToGrid w:val="0"/>
        <w:spacing w:before="0" w:line="440" w:lineRule="exact"/>
        <w:ind w:firstLine="480" w:firstLineChars="200"/>
        <w:jc w:val="lef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十一、国有资本经营预算财政拨款收入支出决算表</w:t>
      </w:r>
    </w:p>
    <w:p>
      <w:pPr>
        <w:pStyle w:val="10"/>
        <w:keepNext w:val="0"/>
        <w:keepLines w:val="0"/>
        <w:pageBreakBefore w:val="0"/>
        <w:widowControl w:val="0"/>
        <w:kinsoku/>
        <w:wordWrap/>
        <w:overflowPunct/>
        <w:topLinePunct w:val="0"/>
        <w:autoSpaceDE/>
        <w:autoSpaceDN/>
        <w:bidi w:val="0"/>
        <w:adjustRightInd w:val="0"/>
        <w:snapToGrid w:val="0"/>
        <w:spacing w:before="0" w:line="440" w:lineRule="exact"/>
        <w:ind w:firstLine="480" w:firstLineChars="200"/>
        <w:jc w:val="lef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十二、国有资本经营预算财政拨款支出决算表</w:t>
      </w:r>
    </w:p>
    <w:p>
      <w:pPr>
        <w:pStyle w:val="10"/>
        <w:keepNext w:val="0"/>
        <w:keepLines w:val="0"/>
        <w:pageBreakBefore w:val="0"/>
        <w:widowControl w:val="0"/>
        <w:kinsoku/>
        <w:wordWrap/>
        <w:overflowPunct/>
        <w:topLinePunct w:val="0"/>
        <w:autoSpaceDE/>
        <w:autoSpaceDN/>
        <w:bidi w:val="0"/>
        <w:adjustRightInd w:val="0"/>
        <w:snapToGrid w:val="0"/>
        <w:spacing w:before="0" w:line="440" w:lineRule="exact"/>
        <w:ind w:firstLine="480" w:firstLineChars="200"/>
        <w:jc w:val="lef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十三、财政拨款“三公”经费支出决算表</w:t>
      </w:r>
    </w:p>
    <w:p>
      <w:pPr>
        <w:pStyle w:val="10"/>
        <w:pageBreakBefore w:val="0"/>
        <w:kinsoku/>
        <w:wordWrap/>
        <w:overflowPunct/>
        <w:topLinePunct w:val="0"/>
        <w:bidi w:val="0"/>
        <w:adjustRightInd w:val="0"/>
        <w:snapToGrid w:val="0"/>
        <w:spacing w:before="0" w:line="440" w:lineRule="exact"/>
        <w:jc w:val="left"/>
        <w:textAlignment w:val="auto"/>
        <w:rPr>
          <w:rFonts w:hint="default" w:ascii="Times New Roman" w:hAnsi="Times New Roman" w:cs="Times New Roman"/>
          <w:sz w:val="24"/>
        </w:rPr>
      </w:pPr>
    </w:p>
    <w:p>
      <w:pPr>
        <w:pageBreakBefore w:val="0"/>
        <w:widowControl/>
        <w:kinsoku/>
        <w:wordWrap/>
        <w:overflowPunct/>
        <w:topLinePunct w:val="0"/>
        <w:bidi w:val="0"/>
        <w:spacing w:line="440" w:lineRule="exact"/>
        <w:ind w:firstLine="481" w:firstLineChars="200"/>
        <w:jc w:val="left"/>
        <w:textAlignment w:val="auto"/>
        <w:rPr>
          <w:rFonts w:hint="default" w:ascii="Times New Roman" w:hAnsi="Times New Roman" w:eastAsia="仿宋" w:cs="Times New Roman"/>
          <w:bCs/>
          <w:kern w:val="44"/>
          <w:sz w:val="24"/>
          <w:highlight w:val="yellow"/>
        </w:rPr>
      </w:pPr>
      <w:bookmarkStart w:id="12" w:name="_Toc15396599"/>
      <w:bookmarkStart w:id="13" w:name="_Toc15377196"/>
      <w:r>
        <w:rPr>
          <w:rFonts w:hint="default" w:ascii="Times New Roman" w:hAnsi="Times New Roman" w:eastAsia="仿宋" w:cs="Times New Roman"/>
          <w:b/>
          <w:sz w:val="24"/>
          <w:highlight w:val="yellow"/>
        </w:rPr>
        <w:br w:type="page"/>
      </w:r>
    </w:p>
    <w:p>
      <w:pPr>
        <w:pStyle w:val="3"/>
        <w:pageBreakBefore w:val="0"/>
        <w:kinsoku/>
        <w:wordWrap/>
        <w:overflowPunct/>
        <w:topLinePunct w:val="0"/>
        <w:bidi w:val="0"/>
        <w:ind w:firstLine="880" w:firstLineChars="200"/>
        <w:jc w:val="center"/>
        <w:textAlignment w:val="auto"/>
        <w:rPr>
          <w:rFonts w:hint="eastAsia" w:ascii="方正小标宋_GBK" w:hAnsi="方正小标宋_GBK" w:eastAsia="方正小标宋_GBK" w:cs="方正小标宋_GBK"/>
          <w:color w:val="000000"/>
          <w:sz w:val="32"/>
          <w:szCs w:val="32"/>
        </w:rPr>
      </w:pPr>
      <w:r>
        <w:rPr>
          <w:rFonts w:hint="eastAsia" w:ascii="方正小标宋_GBK" w:hAnsi="方正小标宋_GBK" w:eastAsia="方正小标宋_GBK" w:cs="方正小标宋_GBK"/>
          <w:b w:val="0"/>
        </w:rPr>
        <w:t xml:space="preserve">第一部分 </w:t>
      </w:r>
      <w:r>
        <w:rPr>
          <w:rStyle w:val="24"/>
          <w:rFonts w:hint="eastAsia" w:ascii="方正小标宋_GBK" w:hAnsi="方正小标宋_GBK" w:eastAsia="方正小标宋_GBK" w:cs="方正小标宋_GBK"/>
          <w:b w:val="0"/>
          <w:bCs w:val="0"/>
        </w:rPr>
        <w:t>部门概况</w:t>
      </w:r>
      <w:bookmarkEnd w:id="12"/>
      <w:bookmarkEnd w:id="13"/>
    </w:p>
    <w:p>
      <w:pPr>
        <w:pStyle w:val="4"/>
        <w:pageBreakBefore w:val="0"/>
        <w:numPr>
          <w:ilvl w:val="0"/>
          <w:numId w:val="0"/>
        </w:numPr>
        <w:kinsoku/>
        <w:wordWrap/>
        <w:overflowPunct/>
        <w:topLinePunct w:val="0"/>
        <w:bidi w:val="0"/>
        <w:ind w:firstLine="640" w:firstLineChars="200"/>
        <w:textAlignment w:val="auto"/>
        <w:rPr>
          <w:rFonts w:hint="default" w:ascii="Times New Roman" w:hAnsi="Times New Roman" w:eastAsia="方正黑体_GBK" w:cs="Times New Roman"/>
          <w:b w:val="0"/>
          <w:bCs/>
          <w:color w:val="000000"/>
          <w:kern w:val="2"/>
          <w:sz w:val="32"/>
          <w:szCs w:val="32"/>
          <w:highlight w:val="none"/>
          <w:lang w:val="en-US" w:eastAsia="zh-CN" w:bidi="ar-SA"/>
        </w:rPr>
      </w:pPr>
      <w:bookmarkStart w:id="14" w:name="_Toc15396600"/>
      <w:bookmarkStart w:id="15" w:name="_Toc15377197"/>
      <w:r>
        <w:rPr>
          <w:rFonts w:hint="default" w:ascii="Times New Roman" w:hAnsi="Times New Roman" w:eastAsia="方正黑体_GBK" w:cs="Times New Roman"/>
          <w:b w:val="0"/>
          <w:bCs/>
          <w:color w:val="000000"/>
          <w:kern w:val="2"/>
          <w:sz w:val="32"/>
          <w:szCs w:val="32"/>
          <w:highlight w:val="none"/>
          <w:lang w:val="en-US" w:eastAsia="zh-CN" w:bidi="ar-SA"/>
        </w:rPr>
        <w:t>一、基本职能及主要工作</w:t>
      </w:r>
      <w:bookmarkEnd w:id="14"/>
      <w:bookmarkEnd w:id="15"/>
      <w:bookmarkStart w:id="16" w:name="_Toc15378445"/>
      <w:bookmarkStart w:id="17" w:name="_Toc15377198"/>
    </w:p>
    <w:p>
      <w:pPr>
        <w:pageBreakBefore w:val="0"/>
        <w:kinsoku/>
        <w:wordWrap/>
        <w:overflowPunct/>
        <w:topLinePunct w:val="0"/>
        <w:bidi w:val="0"/>
        <w:ind w:firstLine="722" w:firstLineChars="200"/>
        <w:textAlignment w:val="auto"/>
        <w:rPr>
          <w:rFonts w:hint="default" w:ascii="Times New Roman" w:hAnsi="Times New Roman" w:eastAsia="方正楷体_GBK" w:cs="Times New Roman"/>
          <w:b/>
          <w:bCs/>
          <w:sz w:val="36"/>
          <w:szCs w:val="36"/>
        </w:rPr>
      </w:pPr>
      <w:r>
        <w:rPr>
          <w:rFonts w:hint="default" w:ascii="Times New Roman" w:hAnsi="Times New Roman" w:eastAsia="方正楷体_GBK" w:cs="Times New Roman"/>
          <w:b/>
          <w:bCs/>
          <w:sz w:val="36"/>
          <w:szCs w:val="36"/>
        </w:rPr>
        <w:t>（一）主要职能</w:t>
      </w:r>
      <w:bookmarkEnd w:id="16"/>
      <w:bookmarkEnd w:id="17"/>
    </w:p>
    <w:p>
      <w:pPr>
        <w:pStyle w:val="2"/>
        <w:pageBreakBefore w:val="0"/>
        <w:kinsoku/>
        <w:wordWrap/>
        <w:overflowPunct/>
        <w:topLinePunct w:val="0"/>
        <w:bidi w:val="0"/>
        <w:adjustRightInd w:val="0"/>
        <w:snapToGrid w:val="0"/>
        <w:spacing w:before="93" w:line="600" w:lineRule="exact"/>
        <w:ind w:firstLine="640" w:firstLineChars="200"/>
        <w:textAlignment w:val="auto"/>
        <w:outlineLvl w:val="2"/>
        <w:rPr>
          <w:rFonts w:hint="default" w:ascii="Times New Roman" w:hAnsi="Times New Roman" w:cs="Times New Roman"/>
          <w:bCs/>
          <w:sz w:val="32"/>
          <w:szCs w:val="32"/>
        </w:rPr>
      </w:pPr>
      <w:r>
        <w:rPr>
          <w:rFonts w:hint="default" w:ascii="Times New Roman" w:hAnsi="Times New Roman" w:cs="Times New Roman"/>
          <w:bCs/>
          <w:sz w:val="32"/>
          <w:szCs w:val="32"/>
        </w:rPr>
        <w:t>我单位属于事业单位，承担实施公共资源交易服务相关法律、法规和政策，为各类公共资源交易提供交易活动场地、设施、信息、政策、咨询等具体服务；制订公共资源交易管理制度、工作流程并组织实施；承担全县政府投资工程建设项目的招标实施和服务工作；承担全县政府采购实施和服务工作；承担全县国有土地、矿产资源交易实施和服务工作；承担全县国有资产交易实施和服务工作；负责交易大厅、开评标场所秩序的维护；负责公共资源交易网络的日常运行和维护；承担上级交办的其他工作。</w:t>
      </w:r>
    </w:p>
    <w:p>
      <w:pPr>
        <w:pageBreakBefore w:val="0"/>
        <w:kinsoku/>
        <w:wordWrap/>
        <w:overflowPunct/>
        <w:topLinePunct w:val="0"/>
        <w:bidi w:val="0"/>
        <w:ind w:firstLine="722" w:firstLineChars="200"/>
        <w:textAlignment w:val="auto"/>
        <w:rPr>
          <w:rFonts w:hint="default" w:ascii="Times New Roman" w:hAnsi="Times New Roman" w:eastAsia="方正楷体_GBK" w:cs="Times New Roman"/>
          <w:b/>
          <w:bCs/>
          <w:sz w:val="36"/>
          <w:szCs w:val="36"/>
        </w:rPr>
      </w:pPr>
      <w:bookmarkStart w:id="18" w:name="_Toc15377199"/>
      <w:bookmarkStart w:id="19" w:name="_Toc15378446"/>
      <w:r>
        <w:rPr>
          <w:rFonts w:hint="default" w:ascii="Times New Roman" w:hAnsi="Times New Roman" w:eastAsia="方正楷体_GBK" w:cs="Times New Roman"/>
          <w:b/>
          <w:bCs/>
          <w:sz w:val="36"/>
          <w:szCs w:val="36"/>
        </w:rPr>
        <w:t>（二）202</w:t>
      </w:r>
      <w:r>
        <w:rPr>
          <w:rFonts w:hint="default" w:ascii="Times New Roman" w:hAnsi="Times New Roman" w:eastAsia="方正楷体_GBK" w:cs="Times New Roman"/>
          <w:b/>
          <w:bCs/>
          <w:sz w:val="36"/>
          <w:szCs w:val="36"/>
          <w:lang w:val="en-US" w:eastAsia="zh-CN"/>
        </w:rPr>
        <w:t>2</w:t>
      </w:r>
      <w:r>
        <w:rPr>
          <w:rFonts w:hint="default" w:ascii="Times New Roman" w:hAnsi="Times New Roman" w:eastAsia="方正楷体_GBK" w:cs="Times New Roman"/>
          <w:b/>
          <w:bCs/>
          <w:sz w:val="36"/>
          <w:szCs w:val="36"/>
        </w:rPr>
        <w:t>年重点工作完成情况</w:t>
      </w:r>
      <w:bookmarkEnd w:id="18"/>
      <w:bookmarkEnd w:id="19"/>
    </w:p>
    <w:p>
      <w:pPr>
        <w:pStyle w:val="31"/>
        <w:keepNext w:val="0"/>
        <w:keepLines w:val="0"/>
        <w:pageBreakBefore w:val="0"/>
        <w:widowControl w:val="0"/>
        <w:kinsoku/>
        <w:wordWrap/>
        <w:overflowPunct w:val="0"/>
        <w:topLinePunct w:val="0"/>
        <w:autoSpaceDE/>
        <w:autoSpaceDN/>
        <w:bidi w:val="0"/>
        <w:adjustRightInd/>
        <w:spacing w:line="590" w:lineRule="exact"/>
        <w:ind w:firstLine="660" w:firstLineChars="200"/>
        <w:textAlignment w:val="auto"/>
        <w:rPr>
          <w:rFonts w:hint="default" w:eastAsia="方正仿宋_GBK" w:cs="Times New Roman"/>
          <w:spacing w:val="4"/>
          <w:sz w:val="33"/>
          <w:szCs w:val="32"/>
          <w:lang w:val="en-US" w:eastAsia="zh-CN"/>
        </w:rPr>
      </w:pPr>
      <w:r>
        <w:rPr>
          <w:rFonts w:hint="eastAsia" w:eastAsia="方正仿宋_GBK" w:cs="Times New Roman"/>
          <w:sz w:val="33"/>
          <w:szCs w:val="32"/>
          <w:lang w:val="en-US" w:eastAsia="zh-CN"/>
        </w:rPr>
        <w:t>2022年，</w:t>
      </w:r>
      <w:r>
        <w:rPr>
          <w:rFonts w:hint="eastAsia" w:ascii="Times New Roman" w:hAnsi="Times New Roman" w:eastAsia="方正仿宋_GBK" w:cs="Times New Roman"/>
          <w:sz w:val="33"/>
          <w:szCs w:val="32"/>
          <w:lang w:val="en-US" w:eastAsia="zh-CN"/>
        </w:rPr>
        <w:t>县公管办</w:t>
      </w:r>
      <w:r>
        <w:rPr>
          <w:rFonts w:hint="eastAsia" w:eastAsia="方正仿宋_GBK" w:cs="Times New Roman"/>
          <w:sz w:val="33"/>
          <w:szCs w:val="32"/>
          <w:lang w:val="en-US" w:eastAsia="zh-CN"/>
        </w:rPr>
        <w:t>按照</w:t>
      </w:r>
      <w:r>
        <w:rPr>
          <w:rFonts w:hint="eastAsia" w:ascii="Times New Roman" w:hAnsi="Times New Roman" w:eastAsia="方正仿宋_GBK" w:cs="Times New Roman"/>
          <w:sz w:val="33"/>
          <w:szCs w:val="32"/>
          <w:lang w:val="en-US" w:eastAsia="zh-CN"/>
        </w:rPr>
        <w:t>“规范、高效、公正、廉洁”工作要求，全力深化“互联网+交易”改革，</w:t>
      </w:r>
      <w:r>
        <w:rPr>
          <w:rFonts w:hint="eastAsia" w:ascii="Times New Roman" w:hAnsi="Times New Roman" w:eastAsia="方正仿宋_GBK"/>
          <w:spacing w:val="4"/>
          <w:sz w:val="33"/>
          <w:szCs w:val="32"/>
          <w:lang w:eastAsia="zh-CN"/>
        </w:rPr>
        <w:t>全力强化交易队伍建设</w:t>
      </w:r>
      <w:r>
        <w:rPr>
          <w:rFonts w:hint="eastAsia" w:ascii="方正仿宋_GBK" w:eastAsia="方正仿宋_GBK"/>
          <w:sz w:val="33"/>
          <w:szCs w:val="32"/>
          <w:lang w:eastAsia="zh-CN"/>
        </w:rPr>
        <w:t>，</w:t>
      </w:r>
      <w:r>
        <w:rPr>
          <w:rFonts w:hint="eastAsia" w:ascii="Times New Roman" w:hAnsi="Times New Roman" w:eastAsia="方正仿宋_GBK"/>
          <w:spacing w:val="4"/>
          <w:sz w:val="33"/>
          <w:szCs w:val="32"/>
          <w:lang w:eastAsia="zh-CN"/>
        </w:rPr>
        <w:t>全力</w:t>
      </w:r>
      <w:r>
        <w:rPr>
          <w:rFonts w:hint="eastAsia" w:eastAsia="方正仿宋_GBK"/>
          <w:spacing w:val="4"/>
          <w:sz w:val="33"/>
          <w:szCs w:val="32"/>
          <w:lang w:eastAsia="zh-CN"/>
        </w:rPr>
        <w:t>抓实</w:t>
      </w:r>
      <w:r>
        <w:rPr>
          <w:rFonts w:hint="eastAsia" w:ascii="Times New Roman" w:hAnsi="Times New Roman" w:eastAsia="方正仿宋_GBK"/>
          <w:spacing w:val="4"/>
          <w:sz w:val="33"/>
          <w:szCs w:val="32"/>
          <w:lang w:eastAsia="zh-CN"/>
        </w:rPr>
        <w:t>疫情防控工作，全力优化</w:t>
      </w:r>
      <w:r>
        <w:rPr>
          <w:rFonts w:hint="eastAsia" w:ascii="方正仿宋_GBK" w:eastAsia="方正仿宋_GBK"/>
          <w:sz w:val="33"/>
          <w:szCs w:val="32"/>
          <w:lang w:eastAsia="zh-CN"/>
        </w:rPr>
        <w:t>“两个”环境</w:t>
      </w:r>
      <w:r>
        <w:rPr>
          <w:rFonts w:hint="eastAsia" w:ascii="方正仿宋_GBK" w:eastAsia="方正仿宋_GBK"/>
          <w:sz w:val="33"/>
          <w:szCs w:val="32"/>
        </w:rPr>
        <w:t>，激发</w:t>
      </w:r>
      <w:r>
        <w:rPr>
          <w:rFonts w:hint="eastAsia" w:ascii="方正仿宋_GBK" w:eastAsia="方正仿宋_GBK"/>
          <w:sz w:val="33"/>
          <w:szCs w:val="32"/>
          <w:lang w:eastAsia="zh-CN"/>
        </w:rPr>
        <w:t>公共资源交易</w:t>
      </w:r>
      <w:r>
        <w:rPr>
          <w:rFonts w:hint="eastAsia" w:ascii="方正仿宋_GBK" w:eastAsia="方正仿宋_GBK"/>
          <w:sz w:val="33"/>
          <w:szCs w:val="32"/>
        </w:rPr>
        <w:t>市场活力，为加快</w:t>
      </w:r>
      <w:r>
        <w:rPr>
          <w:rStyle w:val="32"/>
          <w:rFonts w:hint="eastAsia" w:ascii="Times New Roman" w:hAnsi="Times New Roman" w:eastAsia="方正仿宋_GBK" w:cs="Times New Roman"/>
          <w:b w:val="0"/>
          <w:i w:val="0"/>
          <w:caps w:val="0"/>
          <w:color w:val="auto"/>
          <w:spacing w:val="0"/>
          <w:w w:val="100"/>
          <w:kern w:val="0"/>
          <w:sz w:val="33"/>
          <w:szCs w:val="32"/>
          <w:lang w:val="en-US" w:eastAsia="zh-CN" w:bidi="ar-SA"/>
        </w:rPr>
        <w:t>建成重庆都市圈新型卫星城</w:t>
      </w:r>
      <w:r>
        <w:rPr>
          <w:rFonts w:hint="eastAsia" w:ascii="方正仿宋_GBK" w:eastAsia="方正仿宋_GBK"/>
          <w:sz w:val="33"/>
          <w:szCs w:val="32"/>
          <w:lang w:eastAsia="zh-CN"/>
        </w:rPr>
        <w:t>贡献了交易力量</w:t>
      </w:r>
      <w:r>
        <w:rPr>
          <w:rFonts w:hint="eastAsia" w:ascii="方正仿宋_GBK" w:eastAsia="方正仿宋_GBK"/>
          <w:spacing w:val="-6"/>
          <w:sz w:val="33"/>
          <w:szCs w:val="32"/>
        </w:rPr>
        <w:t>。</w:t>
      </w:r>
      <w:r>
        <w:rPr>
          <w:rFonts w:hint="eastAsia" w:ascii="Times New Roman" w:hAnsi="Times New Roman" w:eastAsia="方正仿宋_GBK" w:cs="Times New Roman"/>
          <w:spacing w:val="4"/>
          <w:sz w:val="33"/>
          <w:szCs w:val="32"/>
          <w:lang w:val="en-US" w:eastAsia="zh-CN"/>
        </w:rPr>
        <w:t>1</w:t>
      </w:r>
      <w:r>
        <w:rPr>
          <w:rFonts w:hint="eastAsia" w:eastAsia="方正仿宋_GBK" w:cs="Times New Roman"/>
          <w:spacing w:val="4"/>
          <w:sz w:val="33"/>
          <w:szCs w:val="32"/>
          <w:lang w:val="en-US" w:eastAsia="zh-CN"/>
        </w:rPr>
        <w:t>—12</w:t>
      </w:r>
      <w:r>
        <w:rPr>
          <w:rFonts w:hint="eastAsia" w:ascii="Times New Roman" w:hAnsi="Times New Roman" w:eastAsia="方正仿宋_GBK" w:cs="Times New Roman"/>
          <w:spacing w:val="4"/>
          <w:sz w:val="33"/>
          <w:szCs w:val="32"/>
          <w:lang w:val="en-US" w:eastAsia="zh-CN"/>
        </w:rPr>
        <w:t>月，共</w:t>
      </w:r>
      <w:r>
        <w:rPr>
          <w:rFonts w:hint="eastAsia" w:eastAsia="方正仿宋_GBK" w:cs="Times New Roman"/>
          <w:spacing w:val="4"/>
          <w:sz w:val="33"/>
          <w:szCs w:val="32"/>
          <w:lang w:val="en-US" w:eastAsia="zh-CN"/>
        </w:rPr>
        <w:t>成功</w:t>
      </w:r>
      <w:r>
        <w:rPr>
          <w:rFonts w:hint="eastAsia" w:ascii="Times New Roman" w:hAnsi="Times New Roman" w:eastAsia="方正仿宋_GBK" w:cs="Times New Roman"/>
          <w:spacing w:val="4"/>
          <w:sz w:val="33"/>
          <w:szCs w:val="32"/>
          <w:lang w:val="en-US" w:eastAsia="zh-CN"/>
        </w:rPr>
        <w:t>办理交易项目</w:t>
      </w:r>
      <w:r>
        <w:rPr>
          <w:rFonts w:hint="eastAsia" w:eastAsia="方正仿宋_GBK" w:cs="Times New Roman"/>
          <w:spacing w:val="4"/>
          <w:sz w:val="33"/>
          <w:szCs w:val="32"/>
          <w:lang w:val="en-US" w:eastAsia="zh-CN"/>
        </w:rPr>
        <w:t>258</w:t>
      </w:r>
      <w:r>
        <w:rPr>
          <w:rFonts w:hint="eastAsia" w:ascii="Times New Roman" w:hAnsi="Times New Roman" w:eastAsia="方正仿宋_GBK" w:cs="Times New Roman"/>
          <w:spacing w:val="4"/>
          <w:sz w:val="33"/>
          <w:szCs w:val="32"/>
          <w:lang w:val="en-US" w:eastAsia="zh-CN"/>
        </w:rPr>
        <w:t>宗，交易金额</w:t>
      </w:r>
      <w:r>
        <w:rPr>
          <w:rFonts w:hint="eastAsia" w:eastAsia="方正仿宋_GBK" w:cs="Times New Roman"/>
          <w:spacing w:val="4"/>
          <w:sz w:val="33"/>
          <w:szCs w:val="32"/>
          <w:lang w:val="en-US" w:eastAsia="zh-CN"/>
        </w:rPr>
        <w:t>12.33</w:t>
      </w:r>
      <w:r>
        <w:rPr>
          <w:rFonts w:hint="eastAsia" w:ascii="Times New Roman" w:hAnsi="Times New Roman" w:eastAsia="方正仿宋_GBK" w:cs="Times New Roman"/>
          <w:spacing w:val="4"/>
          <w:sz w:val="33"/>
          <w:szCs w:val="32"/>
          <w:lang w:val="en-US" w:eastAsia="zh-CN"/>
        </w:rPr>
        <w:t>亿元</w:t>
      </w:r>
      <w:r>
        <w:rPr>
          <w:rFonts w:hint="eastAsia" w:eastAsia="方正仿宋_GBK" w:cs="Times New Roman"/>
          <w:spacing w:val="4"/>
          <w:sz w:val="33"/>
          <w:szCs w:val="32"/>
          <w:lang w:val="en-US" w:eastAsia="zh-CN"/>
        </w:rPr>
        <w:t>，增收节资0.73亿元。</w:t>
      </w:r>
    </w:p>
    <w:p>
      <w:pPr>
        <w:pageBreakBefore w:val="0"/>
        <w:kinsoku/>
        <w:wordWrap/>
        <w:overflowPunct/>
        <w:topLinePunct w:val="0"/>
        <w:bidi w:val="0"/>
        <w:adjustRightInd w:val="0"/>
        <w:snapToGrid w:val="0"/>
        <w:spacing w:line="600" w:lineRule="exact"/>
        <w:ind w:firstLine="640" w:firstLineChars="200"/>
        <w:textAlignment w:val="auto"/>
        <w:rPr>
          <w:rFonts w:hint="eastAsia" w:ascii="Times New Roman" w:hAnsi="Times New Roman" w:eastAsia="方正仿宋_GBK" w:cs="Times New Roman"/>
          <w:bCs/>
          <w:color w:val="000000"/>
          <w:sz w:val="32"/>
          <w:szCs w:val="32"/>
          <w:highlight w:val="yellow"/>
          <w:lang w:val="en-US" w:eastAsia="zh-CN"/>
        </w:rPr>
      </w:pPr>
    </w:p>
    <w:p>
      <w:pPr>
        <w:pStyle w:val="4"/>
        <w:pageBreakBefore w:val="0"/>
        <w:numPr>
          <w:ilvl w:val="0"/>
          <w:numId w:val="1"/>
        </w:numPr>
        <w:kinsoku/>
        <w:wordWrap/>
        <w:overflowPunct/>
        <w:topLinePunct w:val="0"/>
        <w:bidi w:val="0"/>
        <w:ind w:firstLine="640" w:firstLineChars="200"/>
        <w:textAlignment w:val="auto"/>
        <w:rPr>
          <w:rFonts w:hint="default" w:ascii="Times New Roman" w:hAnsi="Times New Roman" w:eastAsia="方正黑体_GBK" w:cs="Times New Roman"/>
          <w:b w:val="0"/>
          <w:bCs/>
          <w:color w:val="000000"/>
          <w:kern w:val="2"/>
          <w:sz w:val="32"/>
          <w:szCs w:val="32"/>
          <w:highlight w:val="none"/>
          <w:lang w:val="en-US" w:eastAsia="zh-CN" w:bidi="ar-SA"/>
        </w:rPr>
      </w:pPr>
      <w:bookmarkStart w:id="20" w:name="_Toc15396601"/>
      <w:bookmarkStart w:id="21" w:name="_Toc15377200"/>
      <w:r>
        <w:rPr>
          <w:rFonts w:hint="default" w:ascii="Times New Roman" w:hAnsi="Times New Roman" w:eastAsia="方正黑体_GBK" w:cs="Times New Roman"/>
          <w:b w:val="0"/>
          <w:bCs/>
          <w:color w:val="000000"/>
          <w:kern w:val="2"/>
          <w:sz w:val="32"/>
          <w:szCs w:val="32"/>
          <w:highlight w:val="none"/>
          <w:lang w:val="en-US" w:eastAsia="zh-CN" w:bidi="ar-SA"/>
        </w:rPr>
        <w:t xml:space="preserve"> 机构设置</w:t>
      </w:r>
      <w:bookmarkEnd w:id="20"/>
      <w:bookmarkEnd w:id="21"/>
    </w:p>
    <w:p>
      <w:pPr>
        <w:pStyle w:val="4"/>
        <w:pageBreakBefore w:val="0"/>
        <w:kinsoku/>
        <w:wordWrap/>
        <w:overflowPunct/>
        <w:topLinePunct w:val="0"/>
        <w:bidi w:val="0"/>
        <w:ind w:firstLine="640" w:firstLineChars="200"/>
        <w:textAlignment w:val="auto"/>
        <w:rPr>
          <w:rFonts w:hint="eastAsia" w:ascii="Times New Roman" w:hAnsi="Times New Roman" w:eastAsia="方正仿宋_GBK" w:cs="Times New Roman"/>
          <w:b w:val="0"/>
          <w:color w:val="000000"/>
          <w:highlight w:val="yellow"/>
          <w:lang w:val="en-US" w:eastAsia="zh-CN"/>
        </w:rPr>
      </w:pPr>
      <w:r>
        <w:rPr>
          <w:rFonts w:hint="default" w:ascii="Times New Roman" w:hAnsi="Times New Roman" w:eastAsia="方正仿宋_GBK" w:cs="Times New Roman"/>
          <w:b w:val="0"/>
          <w:color w:val="000000"/>
        </w:rPr>
        <w:t>我单位为公益一类事业单位，无下属单位。本单位事业</w:t>
      </w:r>
      <w:r>
        <w:rPr>
          <w:rFonts w:hint="default" w:ascii="Times New Roman" w:hAnsi="Times New Roman" w:eastAsia="方正仿宋_GBK" w:cs="Times New Roman"/>
          <w:b w:val="0"/>
          <w:color w:val="000000"/>
          <w:highlight w:val="none"/>
        </w:rPr>
        <w:t>编制</w:t>
      </w:r>
      <w:r>
        <w:rPr>
          <w:rFonts w:hint="eastAsia" w:ascii="Times New Roman" w:hAnsi="Times New Roman" w:eastAsia="方正仿宋_GBK" w:cs="Times New Roman"/>
          <w:b w:val="0"/>
          <w:color w:val="000000"/>
          <w:highlight w:val="none"/>
          <w:lang w:val="en-US" w:eastAsia="zh-CN"/>
        </w:rPr>
        <w:t>19</w:t>
      </w:r>
      <w:r>
        <w:rPr>
          <w:rFonts w:hint="default" w:ascii="Times New Roman" w:hAnsi="Times New Roman" w:eastAsia="方正仿宋_GBK" w:cs="Times New Roman"/>
          <w:b w:val="0"/>
          <w:color w:val="000000"/>
          <w:highlight w:val="none"/>
        </w:rPr>
        <w:t>人，</w:t>
      </w:r>
      <w:r>
        <w:rPr>
          <w:rFonts w:hint="eastAsia" w:ascii="Times New Roman" w:hAnsi="Times New Roman" w:eastAsia="方正仿宋_GBK" w:cs="Times New Roman"/>
          <w:b w:val="0"/>
          <w:color w:val="000000"/>
          <w:highlight w:val="none"/>
          <w:lang w:eastAsia="zh-CN"/>
        </w:rPr>
        <w:t>另有高层次引进人才</w:t>
      </w:r>
      <w:r>
        <w:rPr>
          <w:rFonts w:hint="eastAsia" w:ascii="Times New Roman" w:hAnsi="Times New Roman" w:eastAsia="方正仿宋_GBK" w:cs="Times New Roman"/>
          <w:b w:val="0"/>
          <w:color w:val="000000"/>
          <w:highlight w:val="none"/>
          <w:lang w:val="en-US" w:eastAsia="zh-CN"/>
        </w:rPr>
        <w:t>1人，</w:t>
      </w:r>
      <w:r>
        <w:rPr>
          <w:rFonts w:hint="eastAsia" w:ascii="Times New Roman" w:hAnsi="Times New Roman" w:eastAsia="方正仿宋_GBK" w:cs="Times New Roman"/>
          <w:b w:val="0"/>
          <w:color w:val="000000"/>
          <w:highlight w:val="none"/>
          <w:lang w:eastAsia="zh-CN"/>
        </w:rPr>
        <w:t>新增</w:t>
      </w:r>
      <w:r>
        <w:rPr>
          <w:rFonts w:hint="eastAsia" w:ascii="Times New Roman" w:hAnsi="Times New Roman" w:eastAsia="方正仿宋_GBK" w:cs="Times New Roman"/>
          <w:b w:val="0"/>
          <w:color w:val="000000"/>
          <w:highlight w:val="none"/>
          <w:lang w:val="en-US" w:eastAsia="zh-CN"/>
        </w:rPr>
        <w:t>1</w:t>
      </w:r>
      <w:r>
        <w:rPr>
          <w:rFonts w:hint="eastAsia" w:ascii="Times New Roman" w:hAnsi="Times New Roman" w:eastAsia="方正仿宋_GBK" w:cs="Times New Roman"/>
          <w:b w:val="0"/>
          <w:color w:val="000000"/>
          <w:highlight w:val="none"/>
          <w:lang w:eastAsia="zh-CN"/>
        </w:rPr>
        <w:t>人为新调入副主任</w:t>
      </w:r>
      <w:r>
        <w:rPr>
          <w:rFonts w:hint="eastAsia" w:ascii="Times New Roman" w:hAnsi="Times New Roman" w:eastAsia="方正仿宋_GBK" w:cs="Times New Roman"/>
          <w:b w:val="0"/>
          <w:color w:val="000000"/>
          <w:highlight w:val="none"/>
          <w:lang w:val="en-US" w:eastAsia="zh-CN"/>
        </w:rPr>
        <w:t>1</w:t>
      </w:r>
      <w:r>
        <w:rPr>
          <w:rFonts w:hint="eastAsia" w:ascii="Times New Roman" w:hAnsi="Times New Roman" w:eastAsia="方正仿宋_GBK" w:cs="Times New Roman"/>
          <w:b w:val="0"/>
          <w:color w:val="000000"/>
          <w:highlight w:val="none"/>
          <w:lang w:eastAsia="zh-CN"/>
        </w:rPr>
        <w:t>名，</w:t>
      </w:r>
      <w:r>
        <w:rPr>
          <w:rFonts w:hint="eastAsia" w:ascii="Times New Roman" w:hAnsi="Times New Roman" w:eastAsia="方正仿宋_GBK" w:cs="Times New Roman"/>
          <w:b w:val="0"/>
          <w:color w:val="000000"/>
          <w:highlight w:val="none"/>
          <w:lang w:val="en-US" w:eastAsia="zh-CN"/>
        </w:rPr>
        <w:t>共有20人，</w:t>
      </w:r>
      <w:r>
        <w:rPr>
          <w:rFonts w:hint="default" w:ascii="Times New Roman" w:hAnsi="Times New Roman" w:eastAsia="方正仿宋_GBK" w:cs="Times New Roman"/>
          <w:b w:val="0"/>
          <w:color w:val="000000"/>
          <w:highlight w:val="none"/>
        </w:rPr>
        <w:t>单位临时聘用 2人</w:t>
      </w:r>
      <w:r>
        <w:rPr>
          <w:rFonts w:hint="eastAsia" w:ascii="Times New Roman" w:hAnsi="Times New Roman" w:eastAsia="方正仿宋_GBK" w:cs="Times New Roman"/>
          <w:b w:val="0"/>
          <w:color w:val="000000"/>
          <w:highlight w:val="none"/>
          <w:lang w:eastAsia="zh-CN"/>
        </w:rPr>
        <w:t>。</w:t>
      </w:r>
    </w:p>
    <w:p>
      <w:pPr>
        <w:pageBreakBefore w:val="0"/>
        <w:widowControl/>
        <w:kinsoku/>
        <w:wordWrap/>
        <w:overflowPunct/>
        <w:topLinePunct w:val="0"/>
        <w:bidi w:val="0"/>
        <w:ind w:firstLine="880" w:firstLineChars="200"/>
        <w:jc w:val="left"/>
        <w:textAlignment w:val="auto"/>
        <w:rPr>
          <w:rStyle w:val="24"/>
          <w:rFonts w:hint="default" w:ascii="Times New Roman" w:hAnsi="Times New Roman" w:eastAsia="黑体" w:cs="Times New Roman"/>
          <w:b w:val="0"/>
          <w:bCs w:val="0"/>
        </w:rPr>
      </w:pPr>
      <w:bookmarkStart w:id="22" w:name="_Toc15396602"/>
      <w:bookmarkStart w:id="23" w:name="_Toc15377204"/>
    </w:p>
    <w:p>
      <w:pPr>
        <w:pageBreakBefore w:val="0"/>
        <w:widowControl/>
        <w:kinsoku/>
        <w:wordWrap/>
        <w:overflowPunct/>
        <w:topLinePunct w:val="0"/>
        <w:bidi w:val="0"/>
        <w:ind w:firstLine="880" w:firstLineChars="200"/>
        <w:jc w:val="left"/>
        <w:textAlignment w:val="auto"/>
        <w:rPr>
          <w:rStyle w:val="24"/>
          <w:rFonts w:hint="default" w:ascii="Times New Roman" w:hAnsi="Times New Roman" w:eastAsia="黑体" w:cs="Times New Roman"/>
          <w:b w:val="0"/>
          <w:bCs w:val="0"/>
        </w:rPr>
      </w:pPr>
    </w:p>
    <w:p>
      <w:pPr>
        <w:pageBreakBefore w:val="0"/>
        <w:widowControl/>
        <w:kinsoku/>
        <w:wordWrap/>
        <w:overflowPunct/>
        <w:topLinePunct w:val="0"/>
        <w:bidi w:val="0"/>
        <w:ind w:firstLine="880" w:firstLineChars="200"/>
        <w:jc w:val="left"/>
        <w:textAlignment w:val="auto"/>
        <w:rPr>
          <w:rStyle w:val="24"/>
          <w:rFonts w:hint="default" w:ascii="Times New Roman" w:hAnsi="Times New Roman" w:eastAsia="黑体" w:cs="Times New Roman"/>
          <w:b w:val="0"/>
          <w:bCs w:val="0"/>
        </w:rPr>
      </w:pPr>
    </w:p>
    <w:p>
      <w:pPr>
        <w:pageBreakBefore w:val="0"/>
        <w:widowControl/>
        <w:kinsoku/>
        <w:wordWrap/>
        <w:overflowPunct/>
        <w:topLinePunct w:val="0"/>
        <w:bidi w:val="0"/>
        <w:ind w:firstLine="880" w:firstLineChars="200"/>
        <w:jc w:val="left"/>
        <w:textAlignment w:val="auto"/>
        <w:rPr>
          <w:rStyle w:val="24"/>
          <w:rFonts w:hint="default" w:ascii="Times New Roman" w:hAnsi="Times New Roman" w:eastAsia="黑体" w:cs="Times New Roman"/>
          <w:b w:val="0"/>
          <w:bCs w:val="0"/>
        </w:rPr>
      </w:pPr>
    </w:p>
    <w:p>
      <w:pPr>
        <w:pageBreakBefore w:val="0"/>
        <w:widowControl/>
        <w:kinsoku/>
        <w:wordWrap/>
        <w:overflowPunct/>
        <w:topLinePunct w:val="0"/>
        <w:bidi w:val="0"/>
        <w:ind w:firstLine="880" w:firstLineChars="200"/>
        <w:jc w:val="left"/>
        <w:textAlignment w:val="auto"/>
        <w:rPr>
          <w:rStyle w:val="24"/>
          <w:rFonts w:hint="default" w:ascii="Times New Roman" w:hAnsi="Times New Roman" w:eastAsia="黑体" w:cs="Times New Roman"/>
          <w:b w:val="0"/>
          <w:bCs w:val="0"/>
        </w:rPr>
      </w:pPr>
    </w:p>
    <w:p>
      <w:pPr>
        <w:pageBreakBefore w:val="0"/>
        <w:widowControl/>
        <w:kinsoku/>
        <w:wordWrap/>
        <w:overflowPunct/>
        <w:topLinePunct w:val="0"/>
        <w:bidi w:val="0"/>
        <w:ind w:firstLine="880" w:firstLineChars="200"/>
        <w:jc w:val="left"/>
        <w:textAlignment w:val="auto"/>
        <w:rPr>
          <w:rStyle w:val="24"/>
          <w:rFonts w:hint="default" w:ascii="Times New Roman" w:hAnsi="Times New Roman" w:eastAsia="黑体" w:cs="Times New Roman"/>
          <w:b w:val="0"/>
          <w:bCs w:val="0"/>
        </w:rPr>
      </w:pPr>
    </w:p>
    <w:p>
      <w:pPr>
        <w:pageBreakBefore w:val="0"/>
        <w:widowControl/>
        <w:kinsoku/>
        <w:wordWrap/>
        <w:overflowPunct/>
        <w:topLinePunct w:val="0"/>
        <w:bidi w:val="0"/>
        <w:ind w:firstLine="880" w:firstLineChars="200"/>
        <w:jc w:val="left"/>
        <w:textAlignment w:val="auto"/>
        <w:rPr>
          <w:rStyle w:val="24"/>
          <w:rFonts w:hint="default" w:ascii="Times New Roman" w:hAnsi="Times New Roman" w:eastAsia="黑体" w:cs="Times New Roman"/>
          <w:b w:val="0"/>
          <w:bCs w:val="0"/>
        </w:rPr>
      </w:pPr>
    </w:p>
    <w:p>
      <w:pPr>
        <w:pageBreakBefore w:val="0"/>
        <w:widowControl/>
        <w:kinsoku/>
        <w:wordWrap/>
        <w:overflowPunct/>
        <w:topLinePunct w:val="0"/>
        <w:bidi w:val="0"/>
        <w:ind w:firstLine="880" w:firstLineChars="200"/>
        <w:jc w:val="left"/>
        <w:textAlignment w:val="auto"/>
        <w:rPr>
          <w:rStyle w:val="24"/>
          <w:rFonts w:hint="default" w:ascii="Times New Roman" w:hAnsi="Times New Roman" w:eastAsia="黑体" w:cs="Times New Roman"/>
          <w:b w:val="0"/>
          <w:bCs w:val="0"/>
        </w:rPr>
      </w:pPr>
    </w:p>
    <w:p>
      <w:pPr>
        <w:pageBreakBefore w:val="0"/>
        <w:widowControl/>
        <w:kinsoku/>
        <w:wordWrap/>
        <w:overflowPunct/>
        <w:topLinePunct w:val="0"/>
        <w:bidi w:val="0"/>
        <w:ind w:firstLine="880" w:firstLineChars="200"/>
        <w:jc w:val="left"/>
        <w:textAlignment w:val="auto"/>
        <w:rPr>
          <w:rStyle w:val="24"/>
          <w:rFonts w:hint="default" w:ascii="Times New Roman" w:hAnsi="Times New Roman" w:eastAsia="黑体" w:cs="Times New Roman"/>
          <w:b w:val="0"/>
          <w:bCs w:val="0"/>
        </w:rPr>
      </w:pPr>
    </w:p>
    <w:p>
      <w:pPr>
        <w:pageBreakBefore w:val="0"/>
        <w:widowControl/>
        <w:kinsoku/>
        <w:wordWrap/>
        <w:overflowPunct/>
        <w:topLinePunct w:val="0"/>
        <w:bidi w:val="0"/>
        <w:ind w:firstLine="880" w:firstLineChars="200"/>
        <w:jc w:val="left"/>
        <w:textAlignment w:val="auto"/>
        <w:rPr>
          <w:rStyle w:val="24"/>
          <w:rFonts w:hint="default" w:ascii="Times New Roman" w:hAnsi="Times New Roman" w:eastAsia="黑体" w:cs="Times New Roman"/>
          <w:b w:val="0"/>
          <w:bCs w:val="0"/>
        </w:rPr>
      </w:pPr>
    </w:p>
    <w:p>
      <w:pPr>
        <w:pageBreakBefore w:val="0"/>
        <w:widowControl/>
        <w:kinsoku/>
        <w:wordWrap/>
        <w:overflowPunct/>
        <w:topLinePunct w:val="0"/>
        <w:bidi w:val="0"/>
        <w:ind w:firstLine="880" w:firstLineChars="200"/>
        <w:jc w:val="left"/>
        <w:textAlignment w:val="auto"/>
        <w:rPr>
          <w:rStyle w:val="24"/>
          <w:rFonts w:hint="default" w:ascii="Times New Roman" w:hAnsi="Times New Roman" w:eastAsia="黑体" w:cs="Times New Roman"/>
          <w:b w:val="0"/>
          <w:bCs w:val="0"/>
        </w:rPr>
      </w:pPr>
    </w:p>
    <w:p>
      <w:pPr>
        <w:pageBreakBefore w:val="0"/>
        <w:widowControl/>
        <w:kinsoku/>
        <w:wordWrap/>
        <w:overflowPunct/>
        <w:topLinePunct w:val="0"/>
        <w:bidi w:val="0"/>
        <w:ind w:firstLine="880" w:firstLineChars="200"/>
        <w:jc w:val="left"/>
        <w:textAlignment w:val="auto"/>
        <w:rPr>
          <w:rStyle w:val="24"/>
          <w:rFonts w:hint="default" w:ascii="Times New Roman" w:hAnsi="Times New Roman" w:eastAsia="黑体" w:cs="Times New Roman"/>
          <w:b w:val="0"/>
          <w:bCs w:val="0"/>
        </w:rPr>
      </w:pPr>
    </w:p>
    <w:p>
      <w:pPr>
        <w:pageBreakBefore w:val="0"/>
        <w:widowControl/>
        <w:kinsoku/>
        <w:wordWrap/>
        <w:overflowPunct/>
        <w:topLinePunct w:val="0"/>
        <w:bidi w:val="0"/>
        <w:ind w:firstLine="880" w:firstLineChars="200"/>
        <w:jc w:val="left"/>
        <w:textAlignment w:val="auto"/>
        <w:rPr>
          <w:rStyle w:val="24"/>
          <w:rFonts w:hint="default" w:ascii="Times New Roman" w:hAnsi="Times New Roman" w:eastAsia="黑体" w:cs="Times New Roman"/>
          <w:b w:val="0"/>
          <w:bCs w:val="0"/>
        </w:rPr>
      </w:pPr>
    </w:p>
    <w:p>
      <w:pPr>
        <w:pageBreakBefore w:val="0"/>
        <w:widowControl/>
        <w:kinsoku/>
        <w:wordWrap/>
        <w:overflowPunct/>
        <w:topLinePunct w:val="0"/>
        <w:bidi w:val="0"/>
        <w:ind w:firstLine="880" w:firstLineChars="200"/>
        <w:jc w:val="left"/>
        <w:textAlignment w:val="auto"/>
        <w:rPr>
          <w:rStyle w:val="24"/>
          <w:rFonts w:hint="default" w:ascii="Times New Roman" w:hAnsi="Times New Roman" w:eastAsia="黑体" w:cs="Times New Roman"/>
          <w:b w:val="0"/>
          <w:bCs w:val="0"/>
        </w:rPr>
      </w:pPr>
    </w:p>
    <w:p>
      <w:pPr>
        <w:pageBreakBefore w:val="0"/>
        <w:widowControl/>
        <w:kinsoku/>
        <w:wordWrap/>
        <w:overflowPunct/>
        <w:topLinePunct w:val="0"/>
        <w:bidi w:val="0"/>
        <w:ind w:firstLine="880" w:firstLineChars="200"/>
        <w:jc w:val="left"/>
        <w:textAlignment w:val="auto"/>
        <w:rPr>
          <w:rStyle w:val="24"/>
          <w:rFonts w:hint="default" w:ascii="Times New Roman" w:hAnsi="Times New Roman" w:eastAsia="黑体" w:cs="Times New Roman"/>
          <w:b w:val="0"/>
          <w:bCs w:val="0"/>
        </w:rPr>
      </w:pPr>
    </w:p>
    <w:p>
      <w:pPr>
        <w:pageBreakBefore w:val="0"/>
        <w:widowControl/>
        <w:kinsoku/>
        <w:wordWrap/>
        <w:overflowPunct/>
        <w:topLinePunct w:val="0"/>
        <w:bidi w:val="0"/>
        <w:ind w:firstLine="880" w:firstLineChars="200"/>
        <w:jc w:val="left"/>
        <w:textAlignment w:val="auto"/>
        <w:rPr>
          <w:rStyle w:val="24"/>
          <w:rFonts w:hint="default" w:ascii="Times New Roman" w:hAnsi="Times New Roman" w:eastAsia="黑体" w:cs="Times New Roman"/>
          <w:b w:val="0"/>
          <w:bCs w:val="0"/>
        </w:rPr>
      </w:pPr>
    </w:p>
    <w:p>
      <w:pPr>
        <w:pageBreakBefore w:val="0"/>
        <w:widowControl/>
        <w:kinsoku/>
        <w:wordWrap/>
        <w:overflowPunct/>
        <w:topLinePunct w:val="0"/>
        <w:bidi w:val="0"/>
        <w:ind w:firstLine="880" w:firstLineChars="200"/>
        <w:jc w:val="left"/>
        <w:textAlignment w:val="auto"/>
        <w:rPr>
          <w:rStyle w:val="24"/>
          <w:rFonts w:hint="default" w:ascii="Times New Roman" w:hAnsi="Times New Roman" w:eastAsia="黑体" w:cs="Times New Roman"/>
          <w:b w:val="0"/>
          <w:bCs w:val="0"/>
        </w:rPr>
      </w:pPr>
    </w:p>
    <w:p>
      <w:pPr>
        <w:pageBreakBefore w:val="0"/>
        <w:widowControl/>
        <w:kinsoku/>
        <w:wordWrap/>
        <w:overflowPunct/>
        <w:topLinePunct w:val="0"/>
        <w:bidi w:val="0"/>
        <w:ind w:firstLine="880" w:firstLineChars="200"/>
        <w:jc w:val="left"/>
        <w:textAlignment w:val="auto"/>
        <w:rPr>
          <w:rStyle w:val="24"/>
          <w:rFonts w:hint="eastAsia" w:ascii="方正小标宋_GBK" w:hAnsi="方正小标宋_GBK" w:eastAsia="方正小标宋_GBK" w:cs="方正小标宋_GBK"/>
          <w:b w:val="0"/>
          <w:bCs w:val="0"/>
        </w:rPr>
      </w:pPr>
      <w:r>
        <w:rPr>
          <w:rStyle w:val="24"/>
          <w:rFonts w:hint="eastAsia" w:ascii="方正小标宋_GBK" w:hAnsi="方正小标宋_GBK" w:eastAsia="方正小标宋_GBK" w:cs="方正小标宋_GBK"/>
          <w:b w:val="0"/>
          <w:bCs w:val="0"/>
        </w:rPr>
        <w:t>第二部分 202</w:t>
      </w:r>
      <w:r>
        <w:rPr>
          <w:rStyle w:val="24"/>
          <w:rFonts w:hint="eastAsia" w:ascii="方正小标宋_GBK" w:hAnsi="方正小标宋_GBK" w:eastAsia="方正小标宋_GBK" w:cs="方正小标宋_GBK"/>
          <w:b w:val="0"/>
          <w:bCs w:val="0"/>
          <w:lang w:val="en-US" w:eastAsia="zh-CN"/>
        </w:rPr>
        <w:t>2</w:t>
      </w:r>
      <w:r>
        <w:rPr>
          <w:rStyle w:val="24"/>
          <w:rFonts w:hint="eastAsia" w:ascii="方正小标宋_GBK" w:hAnsi="方正小标宋_GBK" w:eastAsia="方正小标宋_GBK" w:cs="方正小标宋_GBK"/>
          <w:b w:val="0"/>
          <w:bCs w:val="0"/>
        </w:rPr>
        <w:t>年度部门决算情况说明</w:t>
      </w:r>
      <w:bookmarkEnd w:id="22"/>
      <w:bookmarkEnd w:id="23"/>
    </w:p>
    <w:p>
      <w:pPr>
        <w:pageBreakBefore w:val="0"/>
        <w:kinsoku/>
        <w:wordWrap/>
        <w:overflowPunct/>
        <w:topLinePunct w:val="0"/>
        <w:bidi w:val="0"/>
        <w:ind w:firstLine="420" w:firstLineChars="200"/>
        <w:textAlignment w:val="auto"/>
        <w:rPr>
          <w:rFonts w:hint="default" w:ascii="Times New Roman" w:hAnsi="Times New Roman" w:cs="Times New Roman"/>
        </w:rPr>
      </w:pPr>
    </w:p>
    <w:p>
      <w:pPr>
        <w:pStyle w:val="23"/>
        <w:pageBreakBefore w:val="0"/>
        <w:kinsoku/>
        <w:wordWrap/>
        <w:overflowPunct/>
        <w:topLinePunct w:val="0"/>
        <w:bidi w:val="0"/>
        <w:spacing w:line="600" w:lineRule="exact"/>
        <w:ind w:firstLine="640" w:firstLineChars="200"/>
        <w:textAlignment w:val="auto"/>
        <w:outlineLvl w:val="1"/>
        <w:rPr>
          <w:rFonts w:hint="default" w:ascii="Times New Roman" w:hAnsi="Times New Roman" w:eastAsia="方正黑体_GBK" w:cs="Times New Roman"/>
          <w:bCs/>
          <w:color w:val="000000"/>
          <w:sz w:val="32"/>
          <w:szCs w:val="32"/>
          <w:highlight w:val="none"/>
        </w:rPr>
      </w:pPr>
      <w:bookmarkStart w:id="24" w:name="_Toc15377205"/>
      <w:bookmarkStart w:id="25" w:name="_Toc15396603"/>
      <w:r>
        <w:rPr>
          <w:rFonts w:hint="default" w:ascii="Times New Roman" w:hAnsi="Times New Roman" w:eastAsia="方正黑体_GBK" w:cs="Times New Roman"/>
          <w:bCs/>
          <w:color w:val="000000"/>
          <w:sz w:val="32"/>
          <w:szCs w:val="32"/>
          <w:highlight w:val="none"/>
          <w:lang w:eastAsia="zh-CN"/>
        </w:rPr>
        <w:t>一、</w:t>
      </w:r>
      <w:r>
        <w:rPr>
          <w:rFonts w:hint="default" w:ascii="Times New Roman" w:hAnsi="Times New Roman" w:eastAsia="方正黑体_GBK" w:cs="Times New Roman"/>
          <w:bCs/>
          <w:color w:val="000000"/>
          <w:sz w:val="32"/>
          <w:szCs w:val="32"/>
          <w:highlight w:val="none"/>
        </w:rPr>
        <w:t>收入支出决算总体情况说明</w:t>
      </w:r>
      <w:bookmarkEnd w:id="24"/>
      <w:bookmarkEnd w:id="25"/>
    </w:p>
    <w:p>
      <w:pPr>
        <w:pageBreakBefore w:val="0"/>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年度收入总计</w:t>
      </w:r>
      <w:r>
        <w:rPr>
          <w:rFonts w:hint="default" w:ascii="Times New Roman" w:hAnsi="Times New Roman" w:eastAsia="方正仿宋_GBK" w:cs="Times New Roman"/>
          <w:color w:val="000000"/>
          <w:sz w:val="32"/>
          <w:szCs w:val="32"/>
          <w:lang w:val="en-US" w:eastAsia="zh-CN"/>
        </w:rPr>
        <w:t>458.08</w:t>
      </w:r>
      <w:r>
        <w:rPr>
          <w:rFonts w:hint="default" w:ascii="Times New Roman" w:hAnsi="Times New Roman" w:eastAsia="方正仿宋_GBK" w:cs="Times New Roman"/>
          <w:color w:val="000000"/>
          <w:sz w:val="32"/>
          <w:szCs w:val="32"/>
        </w:rPr>
        <w:t>万元，支出总计</w:t>
      </w:r>
      <w:r>
        <w:rPr>
          <w:rFonts w:hint="default" w:ascii="Times New Roman" w:hAnsi="Times New Roman" w:eastAsia="方正仿宋_GBK" w:cs="Times New Roman"/>
          <w:color w:val="000000"/>
          <w:sz w:val="32"/>
          <w:szCs w:val="32"/>
          <w:lang w:val="en-US" w:eastAsia="zh-CN"/>
        </w:rPr>
        <w:t>458.08</w:t>
      </w:r>
      <w:r>
        <w:rPr>
          <w:rFonts w:hint="default" w:ascii="Times New Roman" w:hAnsi="Times New Roman" w:eastAsia="方正仿宋_GBK" w:cs="Times New Roman"/>
          <w:color w:val="000000"/>
          <w:sz w:val="32"/>
          <w:szCs w:val="32"/>
        </w:rPr>
        <w:t>万元。与202</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年相比，收入总计</w:t>
      </w:r>
      <w:r>
        <w:rPr>
          <w:rFonts w:hint="default" w:ascii="Times New Roman" w:hAnsi="Times New Roman" w:eastAsia="方正仿宋_GBK" w:cs="Times New Roman"/>
          <w:color w:val="000000"/>
          <w:sz w:val="32"/>
          <w:szCs w:val="32"/>
          <w:lang w:eastAsia="zh-CN"/>
        </w:rPr>
        <w:t>增加</w:t>
      </w:r>
      <w:r>
        <w:rPr>
          <w:rFonts w:hint="default" w:ascii="Times New Roman" w:hAnsi="Times New Roman" w:eastAsia="方正仿宋_GBK" w:cs="Times New Roman"/>
          <w:color w:val="000000"/>
          <w:sz w:val="32"/>
          <w:szCs w:val="32"/>
          <w:lang w:val="en-US" w:eastAsia="zh-CN"/>
        </w:rPr>
        <w:t>13.71</w:t>
      </w:r>
      <w:r>
        <w:rPr>
          <w:rFonts w:hint="default" w:ascii="Times New Roman" w:hAnsi="Times New Roman" w:eastAsia="方正仿宋_GBK" w:cs="Times New Roman"/>
          <w:color w:val="000000"/>
          <w:sz w:val="32"/>
          <w:szCs w:val="32"/>
        </w:rPr>
        <w:t>万元，</w:t>
      </w:r>
      <w:r>
        <w:rPr>
          <w:rFonts w:hint="default" w:ascii="Times New Roman" w:hAnsi="Times New Roman" w:eastAsia="方正仿宋_GBK" w:cs="Times New Roman"/>
          <w:color w:val="000000"/>
          <w:sz w:val="32"/>
          <w:szCs w:val="32"/>
          <w:lang w:eastAsia="zh-CN"/>
        </w:rPr>
        <w:t>增加</w:t>
      </w:r>
      <w:r>
        <w:rPr>
          <w:rFonts w:hint="default" w:ascii="Times New Roman" w:hAnsi="Times New Roman" w:eastAsia="方正仿宋_GBK" w:cs="Times New Roman"/>
          <w:color w:val="000000"/>
          <w:sz w:val="32"/>
          <w:szCs w:val="32"/>
          <w:lang w:val="en-US" w:eastAsia="zh-CN"/>
        </w:rPr>
        <w:t>3.08</w:t>
      </w:r>
      <w:r>
        <w:rPr>
          <w:rFonts w:hint="default" w:ascii="Times New Roman" w:hAnsi="Times New Roman" w:eastAsia="方正仿宋_GBK" w:cs="Times New Roman"/>
          <w:color w:val="000000"/>
          <w:sz w:val="32"/>
          <w:szCs w:val="32"/>
        </w:rPr>
        <w:t>%，支出总计</w:t>
      </w:r>
      <w:r>
        <w:rPr>
          <w:rFonts w:hint="default" w:ascii="Times New Roman" w:hAnsi="Times New Roman" w:eastAsia="方正仿宋_GBK" w:cs="Times New Roman"/>
          <w:color w:val="000000"/>
          <w:sz w:val="32"/>
          <w:szCs w:val="32"/>
          <w:lang w:eastAsia="zh-CN"/>
        </w:rPr>
        <w:t>增加</w:t>
      </w:r>
      <w:r>
        <w:rPr>
          <w:rFonts w:hint="default" w:ascii="Times New Roman" w:hAnsi="Times New Roman" w:eastAsia="方正仿宋_GBK" w:cs="Times New Roman"/>
          <w:color w:val="000000"/>
          <w:sz w:val="32"/>
          <w:szCs w:val="32"/>
          <w:lang w:val="en-US" w:eastAsia="zh-CN"/>
        </w:rPr>
        <w:t>13.71</w:t>
      </w:r>
      <w:r>
        <w:rPr>
          <w:rFonts w:hint="default" w:ascii="Times New Roman" w:hAnsi="Times New Roman" w:eastAsia="方正仿宋_GBK" w:cs="Times New Roman"/>
          <w:color w:val="000000"/>
          <w:sz w:val="32"/>
          <w:szCs w:val="32"/>
        </w:rPr>
        <w:t>万元，</w:t>
      </w:r>
      <w:r>
        <w:rPr>
          <w:rFonts w:hint="default" w:ascii="Times New Roman" w:hAnsi="Times New Roman" w:eastAsia="方正仿宋_GBK" w:cs="Times New Roman"/>
          <w:color w:val="000000"/>
          <w:sz w:val="32"/>
          <w:szCs w:val="32"/>
          <w:lang w:eastAsia="zh-CN"/>
        </w:rPr>
        <w:t>增加</w:t>
      </w:r>
      <w:r>
        <w:rPr>
          <w:rFonts w:hint="default" w:ascii="Times New Roman" w:hAnsi="Times New Roman" w:eastAsia="方正仿宋_GBK" w:cs="Times New Roman"/>
          <w:color w:val="000000"/>
          <w:sz w:val="32"/>
          <w:szCs w:val="32"/>
          <w:lang w:val="en-US" w:eastAsia="zh-CN"/>
        </w:rPr>
        <w:t>3.08</w:t>
      </w:r>
      <w:r>
        <w:rPr>
          <w:rFonts w:hint="default" w:ascii="Times New Roman" w:hAnsi="Times New Roman" w:eastAsia="方正仿宋_GBK" w:cs="Times New Roman"/>
          <w:color w:val="000000"/>
          <w:sz w:val="32"/>
          <w:szCs w:val="32"/>
        </w:rPr>
        <w:t>%。</w:t>
      </w:r>
    </w:p>
    <w:p>
      <w:pPr>
        <w:pStyle w:val="4"/>
        <w:pageBreakBefore w:val="0"/>
        <w:kinsoku/>
        <w:wordWrap/>
        <w:overflowPunct/>
        <w:topLinePunct w:val="0"/>
        <w:bidi w:val="0"/>
        <w:ind w:firstLine="640" w:firstLineChars="200"/>
        <w:textAlignment w:val="auto"/>
        <w:rPr>
          <w:rFonts w:hint="default" w:ascii="Times New Roman" w:hAnsi="Times New Roman" w:eastAsia="方正仿宋_GBK" w:cs="Times New Roman"/>
          <w:b w:val="0"/>
          <w:color w:val="000000"/>
          <w:highlight w:val="none"/>
          <w:lang w:eastAsia="zh-CN"/>
        </w:rPr>
      </w:pPr>
      <w:r>
        <w:rPr>
          <w:rFonts w:hint="default" w:ascii="Times New Roman" w:hAnsi="Times New Roman" w:eastAsia="方正仿宋_GBK" w:cs="Times New Roman"/>
          <w:b w:val="0"/>
          <w:color w:val="000000"/>
          <w:highlight w:val="none"/>
        </w:rPr>
        <w:t>主要变动原因是202</w:t>
      </w:r>
      <w:r>
        <w:rPr>
          <w:rFonts w:hint="default" w:ascii="Times New Roman" w:hAnsi="Times New Roman" w:eastAsia="方正仿宋_GBK" w:cs="Times New Roman"/>
          <w:b w:val="0"/>
          <w:color w:val="000000"/>
          <w:highlight w:val="none"/>
          <w:lang w:val="en-US" w:eastAsia="zh-CN"/>
        </w:rPr>
        <w:t>2</w:t>
      </w:r>
      <w:r>
        <w:rPr>
          <w:rFonts w:hint="default" w:ascii="Times New Roman" w:hAnsi="Times New Roman" w:eastAsia="方正仿宋_GBK" w:cs="Times New Roman"/>
          <w:b w:val="0"/>
          <w:color w:val="000000"/>
          <w:highlight w:val="none"/>
        </w:rPr>
        <w:t>年</w:t>
      </w:r>
      <w:r>
        <w:rPr>
          <w:rFonts w:hint="eastAsia" w:ascii="Times New Roman" w:hAnsi="Times New Roman" w:eastAsia="方正仿宋_GBK" w:cs="Times New Roman"/>
          <w:b w:val="0"/>
          <w:color w:val="000000"/>
          <w:highlight w:val="none"/>
          <w:lang w:eastAsia="zh-CN"/>
        </w:rPr>
        <w:t>单位有新进人员，费用增加</w:t>
      </w:r>
      <w:r>
        <w:rPr>
          <w:rFonts w:hint="default" w:ascii="Times New Roman" w:hAnsi="Times New Roman" w:eastAsia="方正仿宋_GBK" w:cs="Times New Roman"/>
          <w:b w:val="0"/>
          <w:color w:val="000000"/>
          <w:highlight w:val="none"/>
        </w:rPr>
        <w:t>。</w:t>
      </w:r>
    </w:p>
    <w:p>
      <w:pPr>
        <w:pageBreakBefore w:val="0"/>
        <w:kinsoku/>
        <w:wordWrap/>
        <w:overflowPunct/>
        <w:topLinePunct w:val="0"/>
        <w:bidi w:val="0"/>
        <w:spacing w:line="60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drawing>
          <wp:anchor distT="0" distB="0" distL="114300" distR="114300" simplePos="0" relativeHeight="251659264" behindDoc="1" locked="0" layoutInCell="1" allowOverlap="1">
            <wp:simplePos x="0" y="0"/>
            <wp:positionH relativeFrom="column">
              <wp:posOffset>329565</wp:posOffset>
            </wp:positionH>
            <wp:positionV relativeFrom="paragraph">
              <wp:posOffset>217170</wp:posOffset>
            </wp:positionV>
            <wp:extent cx="4810760" cy="3978910"/>
            <wp:effectExtent l="5080" t="4445" r="15240" b="952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ageBreakBefore w:val="0"/>
        <w:kinsoku/>
        <w:wordWrap/>
        <w:overflowPunct/>
        <w:topLinePunct w:val="0"/>
        <w:bidi w:val="0"/>
        <w:spacing w:line="600" w:lineRule="exact"/>
        <w:ind w:firstLine="640" w:firstLineChars="200"/>
        <w:jc w:val="left"/>
        <w:textAlignment w:val="auto"/>
        <w:rPr>
          <w:rFonts w:hint="default" w:ascii="Times New Roman" w:hAnsi="Times New Roman" w:eastAsia="仿宋_GB2312" w:cs="Times New Roman"/>
          <w:color w:val="000000"/>
          <w:sz w:val="32"/>
          <w:szCs w:val="32"/>
        </w:rPr>
      </w:pPr>
    </w:p>
    <w:p>
      <w:pPr>
        <w:pageBreakBefore w:val="0"/>
        <w:kinsoku/>
        <w:wordWrap/>
        <w:overflowPunct/>
        <w:topLinePunct w:val="0"/>
        <w:bidi w:val="0"/>
        <w:spacing w:line="600" w:lineRule="exact"/>
        <w:ind w:firstLine="640" w:firstLineChars="200"/>
        <w:jc w:val="left"/>
        <w:textAlignment w:val="auto"/>
        <w:rPr>
          <w:rFonts w:hint="default" w:ascii="Times New Roman" w:hAnsi="Times New Roman" w:eastAsia="仿宋_GB2312" w:cs="Times New Roman"/>
          <w:color w:val="000000"/>
          <w:sz w:val="32"/>
          <w:szCs w:val="32"/>
        </w:rPr>
      </w:pPr>
    </w:p>
    <w:p>
      <w:pPr>
        <w:pageBreakBefore w:val="0"/>
        <w:kinsoku/>
        <w:wordWrap/>
        <w:overflowPunct/>
        <w:topLinePunct w:val="0"/>
        <w:bidi w:val="0"/>
        <w:spacing w:line="600" w:lineRule="exact"/>
        <w:ind w:firstLine="640" w:firstLineChars="200"/>
        <w:jc w:val="left"/>
        <w:textAlignment w:val="auto"/>
        <w:rPr>
          <w:rFonts w:hint="default" w:ascii="Times New Roman" w:hAnsi="Times New Roman" w:eastAsia="仿宋_GB2312" w:cs="Times New Roman"/>
          <w:color w:val="000000"/>
          <w:sz w:val="32"/>
          <w:szCs w:val="32"/>
        </w:rPr>
      </w:pPr>
    </w:p>
    <w:p>
      <w:pPr>
        <w:pageBreakBefore w:val="0"/>
        <w:kinsoku/>
        <w:wordWrap/>
        <w:overflowPunct/>
        <w:topLinePunct w:val="0"/>
        <w:bidi w:val="0"/>
        <w:spacing w:line="600" w:lineRule="exact"/>
        <w:ind w:firstLine="640" w:firstLineChars="200"/>
        <w:jc w:val="left"/>
        <w:textAlignment w:val="auto"/>
        <w:rPr>
          <w:rFonts w:hint="default" w:ascii="Times New Roman" w:hAnsi="Times New Roman" w:eastAsia="仿宋_GB2312" w:cs="Times New Roman"/>
          <w:color w:val="000000"/>
          <w:sz w:val="32"/>
          <w:szCs w:val="32"/>
        </w:rPr>
      </w:pPr>
    </w:p>
    <w:p>
      <w:pPr>
        <w:pageBreakBefore w:val="0"/>
        <w:kinsoku/>
        <w:wordWrap/>
        <w:overflowPunct/>
        <w:topLinePunct w:val="0"/>
        <w:bidi w:val="0"/>
        <w:spacing w:line="600" w:lineRule="exact"/>
        <w:ind w:firstLine="640" w:firstLineChars="200"/>
        <w:jc w:val="left"/>
        <w:textAlignment w:val="auto"/>
        <w:rPr>
          <w:rFonts w:hint="default" w:ascii="Times New Roman" w:hAnsi="Times New Roman" w:eastAsia="仿宋_GB2312" w:cs="Times New Roman"/>
          <w:color w:val="000000"/>
          <w:sz w:val="32"/>
          <w:szCs w:val="32"/>
        </w:rPr>
      </w:pPr>
    </w:p>
    <w:p>
      <w:pPr>
        <w:pageBreakBefore w:val="0"/>
        <w:kinsoku/>
        <w:wordWrap/>
        <w:overflowPunct/>
        <w:topLinePunct w:val="0"/>
        <w:bidi w:val="0"/>
        <w:spacing w:line="600" w:lineRule="exact"/>
        <w:ind w:firstLine="640" w:firstLineChars="200"/>
        <w:jc w:val="left"/>
        <w:textAlignment w:val="auto"/>
        <w:rPr>
          <w:rFonts w:hint="default" w:ascii="Times New Roman" w:hAnsi="Times New Roman" w:eastAsia="仿宋_GB2312" w:cs="Times New Roman"/>
          <w:color w:val="000000"/>
          <w:sz w:val="32"/>
          <w:szCs w:val="32"/>
        </w:rPr>
      </w:pPr>
    </w:p>
    <w:p>
      <w:pPr>
        <w:pageBreakBefore w:val="0"/>
        <w:kinsoku/>
        <w:wordWrap/>
        <w:overflowPunct/>
        <w:topLinePunct w:val="0"/>
        <w:bidi w:val="0"/>
        <w:spacing w:line="600" w:lineRule="exact"/>
        <w:ind w:firstLine="640" w:firstLineChars="200"/>
        <w:jc w:val="left"/>
        <w:textAlignment w:val="auto"/>
        <w:rPr>
          <w:rFonts w:hint="default" w:ascii="Times New Roman" w:hAnsi="Times New Roman" w:eastAsia="仿宋_GB2312" w:cs="Times New Roman"/>
          <w:color w:val="000000"/>
          <w:sz w:val="32"/>
          <w:szCs w:val="32"/>
        </w:rPr>
      </w:pPr>
    </w:p>
    <w:p>
      <w:pPr>
        <w:pageBreakBefore w:val="0"/>
        <w:kinsoku/>
        <w:wordWrap/>
        <w:overflowPunct/>
        <w:topLinePunct w:val="0"/>
        <w:bidi w:val="0"/>
        <w:spacing w:line="600" w:lineRule="exact"/>
        <w:ind w:firstLine="640" w:firstLineChars="200"/>
        <w:jc w:val="left"/>
        <w:textAlignment w:val="auto"/>
        <w:rPr>
          <w:rFonts w:hint="default" w:ascii="Times New Roman" w:hAnsi="Times New Roman" w:eastAsia="仿宋_GB2312" w:cs="Times New Roman"/>
          <w:color w:val="000000"/>
          <w:sz w:val="32"/>
          <w:szCs w:val="32"/>
        </w:rPr>
      </w:pPr>
    </w:p>
    <w:p>
      <w:pPr>
        <w:pageBreakBefore w:val="0"/>
        <w:kinsoku/>
        <w:wordWrap/>
        <w:overflowPunct/>
        <w:topLinePunct w:val="0"/>
        <w:bidi w:val="0"/>
        <w:spacing w:line="600" w:lineRule="exact"/>
        <w:ind w:firstLine="640" w:firstLineChars="200"/>
        <w:jc w:val="left"/>
        <w:textAlignment w:val="auto"/>
        <w:rPr>
          <w:rFonts w:hint="default" w:ascii="Times New Roman" w:hAnsi="Times New Roman" w:eastAsia="仿宋_GB2312" w:cs="Times New Roman"/>
          <w:color w:val="000000"/>
          <w:sz w:val="32"/>
          <w:szCs w:val="32"/>
        </w:rPr>
      </w:pPr>
    </w:p>
    <w:p>
      <w:pPr>
        <w:pStyle w:val="23"/>
        <w:pageBreakBefore w:val="0"/>
        <w:kinsoku/>
        <w:wordWrap/>
        <w:overflowPunct/>
        <w:topLinePunct w:val="0"/>
        <w:bidi w:val="0"/>
        <w:spacing w:line="600" w:lineRule="exact"/>
        <w:ind w:firstLine="640" w:firstLineChars="200"/>
        <w:textAlignment w:val="auto"/>
        <w:outlineLvl w:val="1"/>
        <w:rPr>
          <w:rFonts w:hint="default" w:ascii="Times New Roman" w:hAnsi="Times New Roman" w:eastAsia="方正黑体_GBK" w:cs="Times New Roman"/>
          <w:bCs/>
          <w:color w:val="000000"/>
          <w:sz w:val="32"/>
          <w:szCs w:val="32"/>
          <w:highlight w:val="none"/>
        </w:rPr>
      </w:pPr>
      <w:bookmarkStart w:id="26" w:name="_Toc15377206"/>
      <w:bookmarkStart w:id="27" w:name="_Toc15396604"/>
    </w:p>
    <w:p>
      <w:pPr>
        <w:pageBreakBefore w:val="0"/>
        <w:kinsoku/>
        <w:wordWrap/>
        <w:overflowPunct/>
        <w:topLinePunct w:val="0"/>
        <w:bidi w:val="0"/>
        <w:spacing w:line="60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（图1：收、支决算总计变动情况图）</w:t>
      </w:r>
    </w:p>
    <w:p>
      <w:pPr>
        <w:pStyle w:val="23"/>
        <w:pageBreakBefore w:val="0"/>
        <w:kinsoku/>
        <w:wordWrap/>
        <w:overflowPunct/>
        <w:topLinePunct w:val="0"/>
        <w:bidi w:val="0"/>
        <w:spacing w:line="600" w:lineRule="exact"/>
        <w:ind w:firstLine="640" w:firstLineChars="200"/>
        <w:textAlignment w:val="auto"/>
        <w:outlineLvl w:val="1"/>
        <w:rPr>
          <w:rFonts w:hint="default" w:ascii="Times New Roman" w:hAnsi="Times New Roman" w:eastAsia="方正黑体_GBK" w:cs="Times New Roman"/>
          <w:bCs/>
          <w:color w:val="000000"/>
          <w:sz w:val="32"/>
          <w:szCs w:val="32"/>
          <w:highlight w:val="none"/>
        </w:rPr>
      </w:pPr>
    </w:p>
    <w:p>
      <w:pPr>
        <w:pStyle w:val="23"/>
        <w:pageBreakBefore w:val="0"/>
        <w:kinsoku/>
        <w:wordWrap/>
        <w:overflowPunct/>
        <w:topLinePunct w:val="0"/>
        <w:bidi w:val="0"/>
        <w:spacing w:line="600" w:lineRule="exact"/>
        <w:ind w:firstLine="640" w:firstLineChars="200"/>
        <w:textAlignment w:val="auto"/>
        <w:outlineLvl w:val="1"/>
        <w:rPr>
          <w:rFonts w:hint="default" w:ascii="Times New Roman" w:hAnsi="Times New Roman" w:eastAsia="方正黑体_GBK" w:cs="Times New Roman"/>
          <w:bCs/>
          <w:color w:val="000000"/>
          <w:sz w:val="32"/>
          <w:szCs w:val="32"/>
          <w:highlight w:val="none"/>
        </w:rPr>
      </w:pPr>
    </w:p>
    <w:p>
      <w:pPr>
        <w:pStyle w:val="23"/>
        <w:pageBreakBefore w:val="0"/>
        <w:kinsoku/>
        <w:wordWrap/>
        <w:overflowPunct/>
        <w:topLinePunct w:val="0"/>
        <w:bidi w:val="0"/>
        <w:spacing w:line="600" w:lineRule="exact"/>
        <w:ind w:firstLine="640" w:firstLineChars="200"/>
        <w:textAlignment w:val="auto"/>
        <w:outlineLvl w:val="1"/>
        <w:rPr>
          <w:rFonts w:hint="default" w:ascii="Times New Roman" w:hAnsi="Times New Roman" w:eastAsia="方正黑体_GBK" w:cs="Times New Roman"/>
          <w:bCs/>
          <w:color w:val="000000"/>
          <w:sz w:val="32"/>
          <w:szCs w:val="32"/>
          <w:highlight w:val="none"/>
        </w:rPr>
      </w:pPr>
    </w:p>
    <w:p>
      <w:pPr>
        <w:pStyle w:val="23"/>
        <w:pageBreakBefore w:val="0"/>
        <w:kinsoku/>
        <w:wordWrap/>
        <w:overflowPunct/>
        <w:topLinePunct w:val="0"/>
        <w:bidi w:val="0"/>
        <w:spacing w:line="600" w:lineRule="exact"/>
        <w:ind w:firstLine="640" w:firstLineChars="200"/>
        <w:textAlignment w:val="auto"/>
        <w:outlineLvl w:val="1"/>
        <w:rPr>
          <w:rFonts w:hint="default" w:ascii="Times New Roman" w:hAnsi="Times New Roman" w:eastAsia="方正黑体_GBK" w:cs="Times New Roman"/>
          <w:bCs/>
          <w:color w:val="000000"/>
          <w:sz w:val="32"/>
          <w:szCs w:val="32"/>
          <w:highlight w:val="none"/>
        </w:rPr>
      </w:pPr>
      <w:r>
        <w:rPr>
          <w:rFonts w:hint="default" w:ascii="Times New Roman" w:hAnsi="Times New Roman" w:eastAsia="方正黑体_GBK" w:cs="Times New Roman"/>
          <w:bCs/>
          <w:color w:val="000000"/>
          <w:sz w:val="32"/>
          <w:szCs w:val="32"/>
          <w:highlight w:val="none"/>
        </w:rPr>
        <w:t>二、收入决算情况说明</w:t>
      </w:r>
      <w:bookmarkEnd w:id="26"/>
      <w:bookmarkEnd w:id="27"/>
    </w:p>
    <w:p>
      <w:pPr>
        <w:pStyle w:val="4"/>
        <w:pageBreakBefore w:val="0"/>
        <w:kinsoku/>
        <w:wordWrap/>
        <w:overflowPunct/>
        <w:topLinePunct w:val="0"/>
        <w:bidi w:val="0"/>
        <w:ind w:firstLine="640" w:firstLineChars="200"/>
        <w:textAlignment w:val="auto"/>
        <w:rPr>
          <w:rFonts w:hint="eastAsia" w:ascii="Times New Roman" w:hAnsi="Times New Roman" w:eastAsia="方正仿宋_GBK" w:cs="Times New Roman"/>
          <w:b w:val="0"/>
          <w:color w:val="000000"/>
          <w:lang w:val="en-US" w:eastAsia="zh-CN"/>
        </w:rPr>
      </w:pPr>
      <w:r>
        <w:rPr>
          <w:rFonts w:hint="default" w:ascii="Times New Roman" w:hAnsi="Times New Roman" w:eastAsia="方正仿宋_GBK" w:cs="Times New Roman"/>
          <w:b w:val="0"/>
          <w:color w:val="000000"/>
        </w:rPr>
        <w:t>202</w:t>
      </w:r>
      <w:r>
        <w:rPr>
          <w:rFonts w:hint="default" w:ascii="Times New Roman" w:hAnsi="Times New Roman" w:eastAsia="方正仿宋_GBK" w:cs="Times New Roman"/>
          <w:b w:val="0"/>
          <w:color w:val="000000"/>
          <w:lang w:val="en-US" w:eastAsia="zh-CN"/>
        </w:rPr>
        <w:t>2</w:t>
      </w:r>
      <w:r>
        <w:rPr>
          <w:rFonts w:hint="default" w:ascii="Times New Roman" w:hAnsi="Times New Roman" w:eastAsia="方正仿宋_GBK" w:cs="Times New Roman"/>
          <w:b w:val="0"/>
          <w:color w:val="000000"/>
        </w:rPr>
        <w:t>年本年收入合计</w:t>
      </w:r>
      <w:r>
        <w:rPr>
          <w:rFonts w:hint="default" w:ascii="Times New Roman" w:hAnsi="Times New Roman" w:eastAsia="方正仿宋_GBK" w:cs="Times New Roman"/>
          <w:b w:val="0"/>
          <w:color w:val="000000"/>
          <w:lang w:val="en-US" w:eastAsia="zh-CN"/>
        </w:rPr>
        <w:t>458.08</w:t>
      </w:r>
      <w:r>
        <w:rPr>
          <w:rFonts w:hint="default" w:ascii="Times New Roman" w:hAnsi="Times New Roman" w:eastAsia="方正仿宋_GBK" w:cs="Times New Roman"/>
          <w:b w:val="0"/>
          <w:color w:val="000000"/>
        </w:rPr>
        <w:t>万元，其中：一般公共预算财政拨款收入</w:t>
      </w:r>
      <w:r>
        <w:rPr>
          <w:rFonts w:hint="default" w:ascii="Times New Roman" w:hAnsi="Times New Roman" w:eastAsia="方正仿宋_GBK" w:cs="Times New Roman"/>
          <w:b w:val="0"/>
          <w:color w:val="000000"/>
          <w:lang w:val="en-US" w:eastAsia="zh-CN"/>
        </w:rPr>
        <w:t>458.08</w:t>
      </w:r>
      <w:r>
        <w:rPr>
          <w:rFonts w:hint="default" w:ascii="Times New Roman" w:hAnsi="Times New Roman" w:eastAsia="方正仿宋_GBK" w:cs="Times New Roman"/>
          <w:b w:val="0"/>
          <w:color w:val="000000"/>
        </w:rPr>
        <w:t>万元，占100%</w:t>
      </w:r>
      <w:r>
        <w:rPr>
          <w:rFonts w:hint="eastAsia" w:ascii="Times New Roman" w:hAnsi="Times New Roman" w:eastAsia="方正仿宋_GBK" w:cs="Times New Roman"/>
          <w:b w:val="0"/>
          <w:color w:val="000000"/>
          <w:lang w:eastAsia="zh-CN"/>
        </w:rPr>
        <w:t>。</w:t>
      </w:r>
    </w:p>
    <w:p>
      <w:pPr>
        <w:pStyle w:val="2"/>
        <w:pageBreakBefore w:val="0"/>
        <w:kinsoku/>
        <w:wordWrap/>
        <w:overflowPunct/>
        <w:topLinePunct w:val="0"/>
        <w:bidi w:val="0"/>
        <w:spacing w:before="93"/>
        <w:ind w:firstLine="600" w:firstLineChars="200"/>
        <w:textAlignment w:val="auto"/>
        <w:rPr>
          <w:rFonts w:hint="default" w:ascii="Times New Roman" w:hAnsi="Times New Roman" w:eastAsia="仿宋" w:cs="Times New Roman"/>
        </w:rPr>
      </w:pPr>
      <w:r>
        <w:rPr>
          <w:rFonts w:hint="default" w:ascii="Times New Roman" w:hAnsi="Times New Roman" w:eastAsia="仿宋" w:cs="Times New Roman"/>
        </w:rPr>
        <w:drawing>
          <wp:inline distT="0" distB="0" distL="114300" distR="114300">
            <wp:extent cx="5080000" cy="3810000"/>
            <wp:effectExtent l="4445" t="4445" r="5715" b="1079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ageBreakBefore w:val="0"/>
        <w:kinsoku/>
        <w:wordWrap/>
        <w:overflowPunct/>
        <w:topLinePunct w:val="0"/>
        <w:bidi w:val="0"/>
        <w:spacing w:line="600" w:lineRule="exact"/>
        <w:ind w:firstLine="640" w:firstLineChars="200"/>
        <w:jc w:val="center"/>
        <w:textAlignment w:val="auto"/>
        <w:rPr>
          <w:rFonts w:hint="default" w:ascii="Times New Roman" w:hAnsi="Times New Roman" w:eastAsia="仿宋" w:cs="Times New Roman"/>
        </w:rPr>
      </w:pPr>
      <w:r>
        <w:rPr>
          <w:rFonts w:hint="default" w:ascii="Times New Roman" w:hAnsi="Times New Roman" w:eastAsia="方正仿宋_GBK" w:cs="Times New Roman"/>
          <w:color w:val="000000" w:themeColor="text1"/>
          <w:sz w:val="32"/>
          <w:szCs w:val="32"/>
          <w14:textFill>
            <w14:solidFill>
              <w14:schemeClr w14:val="tx1"/>
            </w14:solidFill>
          </w14:textFill>
        </w:rPr>
        <w:t>（图2：收入决算结构图）</w:t>
      </w:r>
    </w:p>
    <w:p>
      <w:pPr>
        <w:pStyle w:val="23"/>
        <w:pageBreakBefore w:val="0"/>
        <w:kinsoku/>
        <w:wordWrap/>
        <w:overflowPunct/>
        <w:topLinePunct w:val="0"/>
        <w:bidi w:val="0"/>
        <w:spacing w:line="600" w:lineRule="exact"/>
        <w:ind w:firstLine="640" w:firstLineChars="200"/>
        <w:textAlignment w:val="auto"/>
        <w:outlineLvl w:val="1"/>
        <w:rPr>
          <w:rFonts w:hint="default" w:ascii="Times New Roman" w:hAnsi="Times New Roman" w:eastAsia="方正黑体_GBK" w:cs="Times New Roman"/>
          <w:bCs/>
          <w:color w:val="000000"/>
          <w:sz w:val="32"/>
          <w:szCs w:val="32"/>
        </w:rPr>
      </w:pPr>
      <w:bookmarkStart w:id="28" w:name="_Toc15396605"/>
      <w:bookmarkStart w:id="29" w:name="_Toc15377207"/>
      <w:r>
        <w:rPr>
          <w:rFonts w:hint="default" w:ascii="Times New Roman" w:hAnsi="Times New Roman" w:eastAsia="方正黑体_GBK" w:cs="Times New Roman"/>
          <w:bCs/>
          <w:color w:val="000000"/>
          <w:sz w:val="32"/>
          <w:szCs w:val="32"/>
          <w:highlight w:val="none"/>
        </w:rPr>
        <w:t>三、</w:t>
      </w:r>
      <w:r>
        <w:rPr>
          <w:rFonts w:hint="default" w:ascii="Times New Roman" w:hAnsi="Times New Roman" w:eastAsia="方正黑体_GBK" w:cs="Times New Roman"/>
          <w:color w:val="000000"/>
          <w:sz w:val="32"/>
          <w:szCs w:val="32"/>
        </w:rPr>
        <w:t>支</w:t>
      </w:r>
      <w:r>
        <w:rPr>
          <w:rStyle w:val="25"/>
          <w:rFonts w:hint="default" w:ascii="Times New Roman" w:hAnsi="Times New Roman" w:eastAsia="方正黑体_GBK" w:cs="Times New Roman"/>
          <w:b w:val="0"/>
        </w:rPr>
        <w:t>出决算情况说明</w:t>
      </w:r>
      <w:bookmarkEnd w:id="28"/>
      <w:bookmarkEnd w:id="29"/>
    </w:p>
    <w:p>
      <w:pPr>
        <w:pStyle w:val="23"/>
        <w:pageBreakBefore w:val="0"/>
        <w:kinsoku/>
        <w:wordWrap/>
        <w:overflowPunct/>
        <w:topLinePunct w:val="0"/>
        <w:bidi w:val="0"/>
        <w:spacing w:line="600" w:lineRule="exact"/>
        <w:ind w:firstLine="640" w:firstLineChars="200"/>
        <w:textAlignment w:val="auto"/>
        <w:outlineLvl w:val="1"/>
        <w:rPr>
          <w:rFonts w:hint="eastAsia" w:ascii="Times New Roman" w:hAnsi="Times New Roman" w:eastAsia="方正仿宋_GBK" w:cs="Times New Roman"/>
          <w:bCs/>
          <w:color w:val="000000"/>
          <w:sz w:val="32"/>
          <w:szCs w:val="32"/>
          <w:lang w:eastAsia="zh-CN"/>
        </w:rPr>
      </w:pPr>
      <w:r>
        <w:rPr>
          <w:rFonts w:hint="default" w:ascii="Times New Roman" w:hAnsi="Times New Roman" w:eastAsia="方正仿宋_GBK" w:cs="Times New Roman"/>
          <w:bCs/>
          <w:color w:val="000000"/>
          <w:sz w:val="32"/>
          <w:szCs w:val="32"/>
        </w:rPr>
        <w:t>202</w:t>
      </w:r>
      <w:r>
        <w:rPr>
          <w:rFonts w:hint="default" w:ascii="Times New Roman" w:hAnsi="Times New Roman" w:eastAsia="方正仿宋_GBK" w:cs="Times New Roman"/>
          <w:bCs/>
          <w:color w:val="000000"/>
          <w:sz w:val="32"/>
          <w:szCs w:val="32"/>
          <w:lang w:val="en-US" w:eastAsia="zh-CN"/>
        </w:rPr>
        <w:t>2</w:t>
      </w:r>
      <w:r>
        <w:rPr>
          <w:rFonts w:hint="default" w:ascii="Times New Roman" w:hAnsi="Times New Roman" w:eastAsia="方正仿宋_GBK" w:cs="Times New Roman"/>
          <w:bCs/>
          <w:color w:val="000000"/>
          <w:sz w:val="32"/>
          <w:szCs w:val="32"/>
        </w:rPr>
        <w:t>年本年支出合计</w:t>
      </w:r>
      <w:r>
        <w:rPr>
          <w:rFonts w:hint="default" w:ascii="Times New Roman" w:hAnsi="Times New Roman" w:eastAsia="方正仿宋_GBK" w:cs="Times New Roman"/>
          <w:bCs/>
          <w:color w:val="000000"/>
          <w:sz w:val="32"/>
          <w:szCs w:val="32"/>
          <w:lang w:val="en-US" w:eastAsia="zh-CN"/>
        </w:rPr>
        <w:t>458.08</w:t>
      </w:r>
      <w:r>
        <w:rPr>
          <w:rFonts w:hint="default" w:ascii="Times New Roman" w:hAnsi="Times New Roman" w:eastAsia="方正仿宋_GBK" w:cs="Times New Roman"/>
          <w:bCs/>
          <w:color w:val="000000"/>
          <w:sz w:val="32"/>
          <w:szCs w:val="32"/>
        </w:rPr>
        <w:t>万元，其中：基本支出</w:t>
      </w:r>
      <w:r>
        <w:rPr>
          <w:rFonts w:hint="default" w:ascii="Times New Roman" w:hAnsi="Times New Roman" w:eastAsia="方正仿宋_GBK" w:cs="Times New Roman"/>
          <w:bCs/>
          <w:color w:val="000000"/>
          <w:sz w:val="32"/>
          <w:szCs w:val="32"/>
          <w:lang w:val="en-US" w:eastAsia="zh-CN"/>
        </w:rPr>
        <w:t>458.08</w:t>
      </w:r>
      <w:r>
        <w:rPr>
          <w:rFonts w:hint="default" w:ascii="Times New Roman" w:hAnsi="Times New Roman" w:eastAsia="方正仿宋_GBK" w:cs="Times New Roman"/>
          <w:bCs/>
          <w:color w:val="000000"/>
          <w:sz w:val="32"/>
          <w:szCs w:val="32"/>
        </w:rPr>
        <w:t>万元，占100%</w:t>
      </w:r>
      <w:r>
        <w:rPr>
          <w:rFonts w:hint="eastAsia" w:eastAsia="方正仿宋_GBK" w:cs="Times New Roman"/>
          <w:bCs/>
          <w:color w:val="000000"/>
          <w:sz w:val="32"/>
          <w:szCs w:val="32"/>
          <w:lang w:eastAsia="zh-CN"/>
        </w:rPr>
        <w:t>。</w:t>
      </w:r>
    </w:p>
    <w:p>
      <w:pPr>
        <w:pStyle w:val="23"/>
        <w:pageBreakBefore w:val="0"/>
        <w:kinsoku/>
        <w:wordWrap/>
        <w:overflowPunct/>
        <w:topLinePunct w:val="0"/>
        <w:bidi w:val="0"/>
        <w:spacing w:line="600" w:lineRule="exact"/>
        <w:ind w:firstLine="640" w:firstLineChars="200"/>
        <w:textAlignment w:val="auto"/>
        <w:outlineLvl w:val="1"/>
        <w:rPr>
          <w:rFonts w:hint="default" w:ascii="Times New Roman" w:hAnsi="Times New Roman" w:eastAsia="方正仿宋_GBK" w:cs="Times New Roman"/>
          <w:bCs/>
          <w:color w:val="000000"/>
          <w:sz w:val="32"/>
          <w:szCs w:val="32"/>
        </w:rPr>
      </w:pPr>
    </w:p>
    <w:p>
      <w:pPr>
        <w:pStyle w:val="2"/>
        <w:pageBreakBefore w:val="0"/>
        <w:kinsoku/>
        <w:wordWrap/>
        <w:overflowPunct/>
        <w:topLinePunct w:val="0"/>
        <w:bidi w:val="0"/>
        <w:spacing w:before="93"/>
        <w:ind w:firstLine="600" w:firstLineChars="200"/>
        <w:textAlignment w:val="auto"/>
        <w:rPr>
          <w:rFonts w:hint="default" w:ascii="Times New Roman" w:hAnsi="Times New Roman" w:eastAsia="仿宋" w:cs="Times New Roman"/>
        </w:rPr>
      </w:pPr>
      <w:r>
        <w:rPr>
          <w:rFonts w:hint="default" w:ascii="Times New Roman" w:hAnsi="Times New Roman" w:eastAsia="仿宋" w:cs="Times New Roman"/>
        </w:rPr>
        <w:drawing>
          <wp:inline distT="0" distB="0" distL="114300" distR="114300">
            <wp:extent cx="5080000" cy="3810000"/>
            <wp:effectExtent l="4445" t="4445" r="5715" b="1079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ageBreakBefore w:val="0"/>
        <w:kinsoku/>
        <w:wordWrap/>
        <w:overflowPunct/>
        <w:topLinePunct w:val="0"/>
        <w:bidi w:val="0"/>
        <w:spacing w:line="600" w:lineRule="exact"/>
        <w:ind w:firstLine="640" w:firstLineChars="20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（图3：支出决算结构图）</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FF0000"/>
          <w:sz w:val="32"/>
          <w:szCs w:val="32"/>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5"/>
          <w:rFonts w:hint="default" w:ascii="Times New Roman" w:hAnsi="Times New Roman" w:eastAsia="方正黑体_GBK" w:cs="Times New Roman"/>
          <w:b w:val="0"/>
          <w:lang w:val="en-US" w:eastAsia="zh-CN" w:bidi="ar-SA"/>
        </w:rPr>
      </w:pPr>
      <w:bookmarkStart w:id="30" w:name="_Toc15396606"/>
      <w:bookmarkStart w:id="31" w:name="_Toc15377208"/>
      <w:r>
        <w:rPr>
          <w:rStyle w:val="25"/>
          <w:rFonts w:hint="eastAsia" w:eastAsia="方正黑体_GBK" w:cs="Times New Roman"/>
          <w:b w:val="0"/>
          <w:lang w:val="en-US" w:eastAsia="zh-CN" w:bidi="ar-SA"/>
        </w:rPr>
        <w:t>四、</w:t>
      </w:r>
      <w:r>
        <w:rPr>
          <w:rStyle w:val="25"/>
          <w:rFonts w:hint="default" w:ascii="Times New Roman" w:hAnsi="Times New Roman" w:eastAsia="方正黑体_GBK" w:cs="Times New Roman"/>
          <w:b w:val="0"/>
          <w:lang w:val="en-US" w:eastAsia="zh-CN" w:bidi="ar-SA"/>
        </w:rPr>
        <w:t>财政拨款收入支出决算总体情况说明</w:t>
      </w:r>
      <w:bookmarkEnd w:id="30"/>
      <w:bookmarkEnd w:id="31"/>
    </w:p>
    <w:p>
      <w:pPr>
        <w:pageBreakBefore w:val="0"/>
        <w:kinsoku/>
        <w:wordWrap/>
        <w:overflowPunct/>
        <w:topLinePunct w:val="0"/>
        <w:bidi w:val="0"/>
        <w:spacing w:line="600" w:lineRule="exact"/>
        <w:ind w:firstLine="640" w:firstLineChars="200"/>
        <w:textAlignment w:val="auto"/>
        <w:outlineLvl w:val="1"/>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Cs/>
          <w:color w:val="000000"/>
          <w:sz w:val="32"/>
          <w:szCs w:val="32"/>
        </w:rPr>
        <w:t>202</w:t>
      </w:r>
      <w:r>
        <w:rPr>
          <w:rFonts w:hint="default" w:ascii="Times New Roman" w:hAnsi="Times New Roman" w:eastAsia="方正仿宋_GBK" w:cs="Times New Roman"/>
          <w:bCs/>
          <w:color w:val="000000"/>
          <w:sz w:val="32"/>
          <w:szCs w:val="32"/>
          <w:lang w:val="en-US" w:eastAsia="zh-CN"/>
        </w:rPr>
        <w:t>2</w:t>
      </w:r>
      <w:r>
        <w:rPr>
          <w:rFonts w:hint="default" w:ascii="Times New Roman" w:hAnsi="Times New Roman" w:eastAsia="方正仿宋_GBK" w:cs="Times New Roman"/>
          <w:bCs/>
          <w:color w:val="000000"/>
          <w:sz w:val="32"/>
          <w:szCs w:val="32"/>
        </w:rPr>
        <w:t>年财政</w:t>
      </w:r>
      <w:r>
        <w:rPr>
          <w:rFonts w:hint="default" w:ascii="Times New Roman" w:hAnsi="Times New Roman" w:eastAsia="方正仿宋_GBK" w:cs="Times New Roman"/>
          <w:bCs/>
          <w:color w:val="000000"/>
          <w:sz w:val="32"/>
          <w:szCs w:val="32"/>
          <w:highlight w:val="none"/>
        </w:rPr>
        <w:t>拨款</w:t>
      </w:r>
      <w:r>
        <w:rPr>
          <w:rFonts w:hint="default" w:ascii="Times New Roman" w:hAnsi="Times New Roman" w:eastAsia="方正仿宋_GBK" w:cs="Times New Roman"/>
          <w:color w:val="000000"/>
          <w:sz w:val="32"/>
          <w:szCs w:val="32"/>
        </w:rPr>
        <w:t>收入总计</w:t>
      </w:r>
      <w:r>
        <w:rPr>
          <w:rFonts w:hint="default" w:ascii="Times New Roman" w:hAnsi="Times New Roman" w:eastAsia="方正仿宋_GBK" w:cs="Times New Roman"/>
          <w:color w:val="000000"/>
          <w:sz w:val="32"/>
          <w:szCs w:val="32"/>
          <w:lang w:val="en-US" w:eastAsia="zh-CN"/>
        </w:rPr>
        <w:t>458.08</w:t>
      </w:r>
      <w:r>
        <w:rPr>
          <w:rFonts w:hint="default" w:ascii="Times New Roman" w:hAnsi="Times New Roman" w:eastAsia="方正仿宋_GBK" w:cs="Times New Roman"/>
          <w:color w:val="000000"/>
          <w:sz w:val="32"/>
          <w:szCs w:val="32"/>
        </w:rPr>
        <w:t>万元，</w:t>
      </w:r>
      <w:r>
        <w:rPr>
          <w:rFonts w:hint="default" w:ascii="Times New Roman" w:hAnsi="Times New Roman" w:eastAsia="方正仿宋_GBK" w:cs="Times New Roman"/>
          <w:color w:val="000000"/>
          <w:sz w:val="32"/>
          <w:szCs w:val="32"/>
          <w:lang w:eastAsia="zh-CN"/>
        </w:rPr>
        <w:t>财政拨款</w:t>
      </w:r>
      <w:r>
        <w:rPr>
          <w:rFonts w:hint="default" w:ascii="Times New Roman" w:hAnsi="Times New Roman" w:eastAsia="方正仿宋_GBK" w:cs="Times New Roman"/>
          <w:color w:val="000000"/>
          <w:sz w:val="32"/>
          <w:szCs w:val="32"/>
        </w:rPr>
        <w:t>支出总计</w:t>
      </w:r>
      <w:r>
        <w:rPr>
          <w:rFonts w:hint="default" w:ascii="Times New Roman" w:hAnsi="Times New Roman" w:eastAsia="方正仿宋_GBK" w:cs="Times New Roman"/>
          <w:color w:val="000000"/>
          <w:sz w:val="32"/>
          <w:szCs w:val="32"/>
          <w:lang w:val="en-US" w:eastAsia="zh-CN"/>
        </w:rPr>
        <w:t>458.08</w:t>
      </w:r>
      <w:r>
        <w:rPr>
          <w:rFonts w:hint="default" w:ascii="Times New Roman" w:hAnsi="Times New Roman" w:eastAsia="方正仿宋_GBK" w:cs="Times New Roman"/>
          <w:color w:val="000000"/>
          <w:sz w:val="32"/>
          <w:szCs w:val="32"/>
        </w:rPr>
        <w:t>万元。与202</w:t>
      </w:r>
      <w:r>
        <w:rPr>
          <w:rFonts w:hint="eastAsia"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年相比，</w:t>
      </w:r>
      <w:r>
        <w:rPr>
          <w:rFonts w:hint="default" w:ascii="Times New Roman" w:hAnsi="Times New Roman" w:eastAsia="方正仿宋_GBK" w:cs="Times New Roman"/>
          <w:color w:val="000000"/>
          <w:sz w:val="32"/>
          <w:szCs w:val="32"/>
          <w:lang w:eastAsia="zh-CN"/>
        </w:rPr>
        <w:t>财政拨款</w:t>
      </w:r>
      <w:r>
        <w:rPr>
          <w:rFonts w:hint="default" w:ascii="Times New Roman" w:hAnsi="Times New Roman" w:eastAsia="方正仿宋_GBK" w:cs="Times New Roman"/>
          <w:color w:val="000000"/>
          <w:sz w:val="32"/>
          <w:szCs w:val="32"/>
        </w:rPr>
        <w:t>收入总计增加</w:t>
      </w:r>
      <w:r>
        <w:rPr>
          <w:rFonts w:hint="default" w:ascii="Times New Roman" w:hAnsi="Times New Roman" w:eastAsia="方正仿宋_GBK" w:cs="Times New Roman"/>
          <w:color w:val="000000"/>
          <w:sz w:val="32"/>
          <w:szCs w:val="32"/>
          <w:lang w:val="en-US" w:eastAsia="zh-CN"/>
        </w:rPr>
        <w:t>13.71</w:t>
      </w:r>
      <w:r>
        <w:rPr>
          <w:rFonts w:hint="default" w:ascii="Times New Roman" w:hAnsi="Times New Roman" w:eastAsia="方正仿宋_GBK" w:cs="Times New Roman"/>
          <w:color w:val="000000"/>
          <w:sz w:val="32"/>
          <w:szCs w:val="32"/>
        </w:rPr>
        <w:t>万元，</w:t>
      </w:r>
      <w:r>
        <w:rPr>
          <w:rFonts w:hint="default" w:ascii="Times New Roman" w:hAnsi="Times New Roman" w:eastAsia="方正仿宋_GBK" w:cs="Times New Roman"/>
          <w:color w:val="000000"/>
          <w:sz w:val="32"/>
          <w:szCs w:val="32"/>
          <w:lang w:eastAsia="zh-CN"/>
        </w:rPr>
        <w:t>增加</w:t>
      </w:r>
      <w:r>
        <w:rPr>
          <w:rFonts w:hint="default" w:ascii="Times New Roman" w:hAnsi="Times New Roman" w:eastAsia="方正仿宋_GBK" w:cs="Times New Roman"/>
          <w:color w:val="000000"/>
          <w:sz w:val="32"/>
          <w:szCs w:val="32"/>
          <w:lang w:val="en-US" w:eastAsia="zh-CN"/>
        </w:rPr>
        <w:t>3.08</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财政拨款</w:t>
      </w:r>
      <w:r>
        <w:rPr>
          <w:rFonts w:hint="default" w:ascii="Times New Roman" w:hAnsi="Times New Roman" w:eastAsia="方正仿宋_GBK" w:cs="Times New Roman"/>
          <w:color w:val="000000"/>
          <w:sz w:val="32"/>
          <w:szCs w:val="32"/>
        </w:rPr>
        <w:t>支出总计</w:t>
      </w:r>
      <w:r>
        <w:rPr>
          <w:rFonts w:hint="default" w:ascii="Times New Roman" w:hAnsi="Times New Roman" w:eastAsia="方正仿宋_GBK" w:cs="Times New Roman"/>
          <w:color w:val="000000"/>
          <w:sz w:val="32"/>
          <w:szCs w:val="32"/>
          <w:lang w:eastAsia="zh-CN"/>
        </w:rPr>
        <w:t>增加</w:t>
      </w:r>
      <w:r>
        <w:rPr>
          <w:rFonts w:hint="default" w:ascii="Times New Roman" w:hAnsi="Times New Roman" w:eastAsia="方正仿宋_GBK" w:cs="Times New Roman"/>
          <w:color w:val="000000"/>
          <w:sz w:val="32"/>
          <w:szCs w:val="32"/>
          <w:lang w:val="en-US" w:eastAsia="zh-CN"/>
        </w:rPr>
        <w:t>13.71</w:t>
      </w:r>
      <w:r>
        <w:rPr>
          <w:rFonts w:hint="default" w:ascii="Times New Roman" w:hAnsi="Times New Roman" w:eastAsia="方正仿宋_GBK" w:cs="Times New Roman"/>
          <w:color w:val="000000"/>
          <w:sz w:val="32"/>
          <w:szCs w:val="32"/>
        </w:rPr>
        <w:t>万元，</w:t>
      </w:r>
      <w:r>
        <w:rPr>
          <w:rFonts w:hint="default" w:ascii="Times New Roman" w:hAnsi="Times New Roman" w:eastAsia="方正仿宋_GBK" w:cs="Times New Roman"/>
          <w:color w:val="000000"/>
          <w:sz w:val="32"/>
          <w:szCs w:val="32"/>
          <w:lang w:eastAsia="zh-CN"/>
        </w:rPr>
        <w:t>增加</w:t>
      </w:r>
      <w:r>
        <w:rPr>
          <w:rFonts w:hint="default" w:ascii="Times New Roman" w:hAnsi="Times New Roman" w:eastAsia="方正仿宋_GBK" w:cs="Times New Roman"/>
          <w:color w:val="000000"/>
          <w:sz w:val="32"/>
          <w:szCs w:val="32"/>
          <w:lang w:val="en-US" w:eastAsia="zh-CN"/>
        </w:rPr>
        <w:t>3.08</w:t>
      </w:r>
      <w:r>
        <w:rPr>
          <w:rFonts w:hint="default" w:ascii="Times New Roman" w:hAnsi="Times New Roman" w:eastAsia="方正仿宋_GBK" w:cs="Times New Roman"/>
          <w:color w:val="000000"/>
          <w:sz w:val="32"/>
          <w:szCs w:val="32"/>
        </w:rPr>
        <w:t>%。</w:t>
      </w:r>
    </w:p>
    <w:p>
      <w:pPr>
        <w:pageBreakBefore w:val="0"/>
        <w:kinsoku/>
        <w:wordWrap/>
        <w:overflowPunct/>
        <w:topLinePunct w:val="0"/>
        <w:bidi w:val="0"/>
        <w:spacing w:line="600" w:lineRule="exact"/>
        <w:ind w:firstLine="640" w:firstLineChars="200"/>
        <w:textAlignment w:val="auto"/>
        <w:outlineLvl w:val="1"/>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主要变动原因是</w:t>
      </w:r>
      <w:r>
        <w:rPr>
          <w:rFonts w:hint="eastAsia" w:eastAsia="方正仿宋_GBK" w:cs="Times New Roman"/>
          <w:bCs/>
          <w:color w:val="000000"/>
          <w:sz w:val="32"/>
          <w:szCs w:val="32"/>
          <w:lang w:eastAsia="zh-CN"/>
        </w:rPr>
        <w:t>单位有新进人员，费用增加</w:t>
      </w:r>
      <w:r>
        <w:rPr>
          <w:rFonts w:hint="default" w:ascii="Times New Roman" w:hAnsi="Times New Roman" w:eastAsia="方正仿宋_GBK" w:cs="Times New Roman"/>
          <w:bCs/>
          <w:color w:val="000000"/>
          <w:sz w:val="32"/>
          <w:szCs w:val="32"/>
        </w:rPr>
        <w:t>。</w:t>
      </w:r>
    </w:p>
    <w:p>
      <w:pPr>
        <w:pStyle w:val="2"/>
        <w:pageBreakBefore w:val="0"/>
        <w:kinsoku/>
        <w:wordWrap/>
        <w:overflowPunct/>
        <w:topLinePunct w:val="0"/>
        <w:bidi w:val="0"/>
        <w:spacing w:before="93"/>
        <w:ind w:firstLine="600" w:firstLineChars="200"/>
        <w:textAlignment w:val="auto"/>
        <w:rPr>
          <w:rFonts w:hint="default" w:ascii="Times New Roman" w:hAnsi="Times New Roman" w:cs="Times New Roman"/>
        </w:rPr>
      </w:pPr>
      <w:r>
        <w:rPr>
          <w:rFonts w:hint="default" w:ascii="Times New Roman" w:hAnsi="Times New Roman" w:cs="Times New Roman"/>
        </w:rPr>
        <w:drawing>
          <wp:inline distT="0" distB="0" distL="114300" distR="114300">
            <wp:extent cx="5080000" cy="3810000"/>
            <wp:effectExtent l="4445" t="4445" r="5715" b="1079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ageBreakBefore w:val="0"/>
        <w:kinsoku/>
        <w:wordWrap/>
        <w:overflowPunct/>
        <w:topLinePunct w:val="0"/>
        <w:bidi w:val="0"/>
        <w:spacing w:line="600" w:lineRule="exact"/>
        <w:ind w:firstLine="640" w:firstLineChars="200"/>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（图4：财政拨款收、支决算总计变动情况）（柱状图）</w:t>
      </w:r>
    </w:p>
    <w:p>
      <w:pPr>
        <w:pageBreakBefore w:val="0"/>
        <w:kinsoku/>
        <w:wordWrap/>
        <w:overflowPunct/>
        <w:topLinePunct w:val="0"/>
        <w:bidi w:val="0"/>
        <w:spacing w:line="600" w:lineRule="exact"/>
        <w:ind w:firstLine="642" w:firstLineChars="200"/>
        <w:textAlignment w:val="auto"/>
        <w:rPr>
          <w:rFonts w:hint="default" w:ascii="Times New Roman" w:hAnsi="Times New Roman" w:eastAsia="仿宋" w:cs="Times New Roman"/>
          <w:b/>
          <w:color w:val="00B050"/>
          <w:sz w:val="32"/>
          <w:szCs w:val="32"/>
        </w:rPr>
      </w:pPr>
    </w:p>
    <w:p>
      <w:pPr>
        <w:pageBreakBefore w:val="0"/>
        <w:kinsoku/>
        <w:wordWrap/>
        <w:overflowPunct/>
        <w:topLinePunct w:val="0"/>
        <w:bidi w:val="0"/>
        <w:spacing w:line="600" w:lineRule="exact"/>
        <w:ind w:firstLine="640" w:firstLineChars="200"/>
        <w:textAlignment w:val="auto"/>
        <w:outlineLvl w:val="1"/>
        <w:rPr>
          <w:rStyle w:val="25"/>
          <w:rFonts w:hint="eastAsia" w:ascii="Times New Roman" w:hAnsi="Times New Roman" w:eastAsia="方正黑体_GBK" w:cs="Times New Roman"/>
          <w:b w:val="0"/>
          <w:lang w:val="en-US" w:eastAsia="zh-CN" w:bidi="ar-SA"/>
        </w:rPr>
      </w:pPr>
      <w:bookmarkStart w:id="32" w:name="_Toc15396607"/>
      <w:bookmarkStart w:id="33" w:name="_Toc15377209"/>
      <w:r>
        <w:rPr>
          <w:rStyle w:val="25"/>
          <w:rFonts w:hint="eastAsia" w:ascii="Times New Roman" w:hAnsi="Times New Roman" w:eastAsia="方正黑体_GBK" w:cs="Times New Roman"/>
          <w:b w:val="0"/>
          <w:lang w:val="en-US" w:eastAsia="zh-CN" w:bidi="ar-SA"/>
        </w:rPr>
        <w:t>五、一般公共预算财政拨款支出决算情况说明</w:t>
      </w:r>
      <w:bookmarkEnd w:id="32"/>
      <w:bookmarkEnd w:id="33"/>
    </w:p>
    <w:p>
      <w:pPr>
        <w:pageBreakBefore w:val="0"/>
        <w:kinsoku/>
        <w:wordWrap/>
        <w:overflowPunct/>
        <w:topLinePunct w:val="0"/>
        <w:bidi w:val="0"/>
        <w:ind w:firstLine="722" w:firstLineChars="200"/>
        <w:textAlignment w:val="auto"/>
        <w:rPr>
          <w:rFonts w:hint="default" w:ascii="Times New Roman" w:hAnsi="Times New Roman" w:eastAsia="方正楷体_GBK" w:cs="Times New Roman"/>
          <w:b/>
          <w:bCs/>
          <w:sz w:val="36"/>
          <w:szCs w:val="36"/>
        </w:rPr>
      </w:pPr>
      <w:bookmarkStart w:id="34" w:name="_Toc15377210"/>
      <w:r>
        <w:rPr>
          <w:rFonts w:hint="default" w:ascii="Times New Roman" w:hAnsi="Times New Roman" w:eastAsia="方正楷体_GBK" w:cs="Times New Roman"/>
          <w:b/>
          <w:bCs/>
          <w:sz w:val="36"/>
          <w:szCs w:val="36"/>
        </w:rPr>
        <w:t>（一）一般公共预算财政拨款支出决算总体情况</w:t>
      </w:r>
      <w:bookmarkEnd w:id="34"/>
    </w:p>
    <w:p>
      <w:pPr>
        <w:pageBreakBefore w:val="0"/>
        <w:kinsoku/>
        <w:wordWrap/>
        <w:overflowPunct/>
        <w:topLinePunct w:val="0"/>
        <w:bidi w:val="0"/>
        <w:spacing w:line="600" w:lineRule="exact"/>
        <w:ind w:firstLine="640" w:firstLineChars="200"/>
        <w:textAlignment w:val="auto"/>
        <w:outlineLvl w:val="1"/>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年一般公共预算财政拨款支出</w:t>
      </w:r>
      <w:r>
        <w:rPr>
          <w:rFonts w:hint="default" w:ascii="Times New Roman" w:hAnsi="Times New Roman" w:eastAsia="方正仿宋_GBK" w:cs="Times New Roman"/>
          <w:color w:val="000000"/>
          <w:sz w:val="32"/>
          <w:szCs w:val="32"/>
          <w:lang w:val="en-US" w:eastAsia="zh-CN"/>
        </w:rPr>
        <w:t>458.08</w:t>
      </w:r>
      <w:r>
        <w:rPr>
          <w:rFonts w:hint="default" w:ascii="Times New Roman" w:hAnsi="Times New Roman" w:eastAsia="方正仿宋_GBK" w:cs="Times New Roman"/>
          <w:color w:val="000000"/>
          <w:sz w:val="32"/>
          <w:szCs w:val="32"/>
        </w:rPr>
        <w:t>万元，占本年支出合计的100%。与202</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年相比，一般公共预算财政拨款收、支总计各</w:t>
      </w:r>
      <w:r>
        <w:rPr>
          <w:rFonts w:hint="default" w:ascii="Times New Roman" w:hAnsi="Times New Roman" w:eastAsia="方正仿宋_GBK" w:cs="Times New Roman"/>
          <w:color w:val="000000"/>
          <w:sz w:val="32"/>
          <w:szCs w:val="32"/>
          <w:lang w:eastAsia="zh-CN"/>
        </w:rPr>
        <w:t>增加</w:t>
      </w:r>
      <w:r>
        <w:rPr>
          <w:rFonts w:hint="default" w:ascii="Times New Roman" w:hAnsi="Times New Roman" w:eastAsia="方正仿宋_GBK" w:cs="Times New Roman"/>
          <w:color w:val="000000"/>
          <w:sz w:val="32"/>
          <w:szCs w:val="32"/>
          <w:lang w:val="en-US" w:eastAsia="zh-CN"/>
        </w:rPr>
        <w:t>13.71</w:t>
      </w:r>
      <w:r>
        <w:rPr>
          <w:rFonts w:hint="default" w:ascii="Times New Roman" w:hAnsi="Times New Roman" w:eastAsia="方正仿宋_GBK" w:cs="Times New Roman"/>
          <w:color w:val="000000"/>
          <w:sz w:val="32"/>
          <w:szCs w:val="32"/>
        </w:rPr>
        <w:t>万元，</w:t>
      </w:r>
      <w:r>
        <w:rPr>
          <w:rFonts w:hint="default" w:ascii="Times New Roman" w:hAnsi="Times New Roman" w:eastAsia="方正仿宋_GBK" w:cs="Times New Roman"/>
          <w:color w:val="000000"/>
          <w:sz w:val="32"/>
          <w:szCs w:val="32"/>
          <w:lang w:eastAsia="zh-CN"/>
        </w:rPr>
        <w:t>增加</w:t>
      </w:r>
      <w:r>
        <w:rPr>
          <w:rFonts w:hint="default" w:ascii="Times New Roman" w:hAnsi="Times New Roman" w:eastAsia="方正仿宋_GBK" w:cs="Times New Roman"/>
          <w:color w:val="000000"/>
          <w:sz w:val="32"/>
          <w:szCs w:val="32"/>
          <w:lang w:val="en-US" w:eastAsia="zh-CN"/>
        </w:rPr>
        <w:t>3.08</w:t>
      </w:r>
      <w:r>
        <w:rPr>
          <w:rFonts w:hint="default" w:ascii="Times New Roman" w:hAnsi="Times New Roman" w:eastAsia="方正仿宋_GBK" w:cs="Times New Roman"/>
          <w:color w:val="000000"/>
          <w:sz w:val="32"/>
          <w:szCs w:val="32"/>
        </w:rPr>
        <w:t>%。主要变动</w:t>
      </w:r>
      <w:r>
        <w:rPr>
          <w:rFonts w:hint="eastAsia" w:ascii="Times New Roman" w:hAnsi="Times New Roman" w:eastAsia="方正仿宋_GBK" w:cs="Times New Roman"/>
          <w:color w:val="000000"/>
          <w:sz w:val="32"/>
          <w:szCs w:val="32"/>
          <w:lang w:eastAsia="zh-CN"/>
        </w:rPr>
        <w:t>原因是</w:t>
      </w:r>
      <w:r>
        <w:rPr>
          <w:rFonts w:hint="eastAsia" w:eastAsia="方正仿宋_GBK" w:cs="Times New Roman"/>
          <w:bCs/>
          <w:color w:val="000000"/>
          <w:sz w:val="32"/>
          <w:szCs w:val="32"/>
          <w:lang w:eastAsia="zh-CN"/>
        </w:rPr>
        <w:t>单位有新进人员，费用增加</w:t>
      </w:r>
      <w:r>
        <w:rPr>
          <w:rFonts w:hint="default" w:ascii="Times New Roman" w:hAnsi="Times New Roman" w:eastAsia="方正仿宋_GBK" w:cs="Times New Roman"/>
          <w:bCs/>
          <w:color w:val="000000"/>
          <w:sz w:val="32"/>
          <w:szCs w:val="32"/>
        </w:rPr>
        <w:t>。</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sz w:val="32"/>
          <w:szCs w:val="32"/>
        </w:rPr>
      </w:pPr>
    </w:p>
    <w:p>
      <w:pPr>
        <w:pStyle w:val="2"/>
        <w:pageBreakBefore w:val="0"/>
        <w:kinsoku/>
        <w:wordWrap/>
        <w:overflowPunct/>
        <w:topLinePunct w:val="0"/>
        <w:bidi w:val="0"/>
        <w:spacing w:before="93"/>
        <w:ind w:firstLine="600" w:firstLineChars="200"/>
        <w:textAlignment w:val="auto"/>
        <w:rPr>
          <w:rFonts w:hint="default" w:ascii="Times New Roman" w:hAnsi="Times New Roman" w:eastAsia="仿宋" w:cs="Times New Roman"/>
        </w:rPr>
      </w:pPr>
      <w:r>
        <w:rPr>
          <w:rFonts w:hint="default" w:ascii="Times New Roman" w:hAnsi="Times New Roman" w:eastAsia="仿宋" w:cs="Times New Roman"/>
        </w:rPr>
        <w:drawing>
          <wp:inline distT="0" distB="0" distL="114300" distR="114300">
            <wp:extent cx="5080000" cy="3810000"/>
            <wp:effectExtent l="4445" t="4445" r="5715" b="1079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ageBreakBefore w:val="0"/>
        <w:kinsoku/>
        <w:wordWrap/>
        <w:overflowPunct/>
        <w:topLinePunct w:val="0"/>
        <w:bidi w:val="0"/>
        <w:spacing w:line="600" w:lineRule="exact"/>
        <w:ind w:firstLine="640" w:firstLineChars="200"/>
        <w:jc w:val="center"/>
        <w:textAlignment w:val="auto"/>
        <w:rPr>
          <w:rFonts w:hint="default" w:ascii="Times New Roman" w:hAnsi="Times New Roman" w:eastAsia="仿宋" w:cs="Times New Roman"/>
        </w:rPr>
      </w:pPr>
      <w:r>
        <w:rPr>
          <w:rFonts w:hint="default" w:ascii="Times New Roman" w:hAnsi="Times New Roman" w:eastAsia="方正仿宋_GBK" w:cs="Times New Roman"/>
          <w:color w:val="000000" w:themeColor="text1"/>
          <w:sz w:val="32"/>
          <w:szCs w:val="32"/>
          <w14:textFill>
            <w14:solidFill>
              <w14:schemeClr w14:val="tx1"/>
            </w14:solidFill>
          </w14:textFill>
        </w:rPr>
        <w:t>（图5：一般公共预算财政拨款支出决算变动情况）（柱状图）</w:t>
      </w:r>
    </w:p>
    <w:p>
      <w:pPr>
        <w:pageBreakBefore w:val="0"/>
        <w:kinsoku/>
        <w:wordWrap/>
        <w:overflowPunct/>
        <w:topLinePunct w:val="0"/>
        <w:bidi w:val="0"/>
        <w:ind w:firstLine="722" w:firstLineChars="200"/>
        <w:textAlignment w:val="auto"/>
        <w:rPr>
          <w:rFonts w:hint="default" w:ascii="Times New Roman" w:hAnsi="Times New Roman" w:eastAsia="方正楷体_GBK" w:cs="Times New Roman"/>
          <w:b/>
          <w:bCs/>
          <w:sz w:val="36"/>
          <w:szCs w:val="36"/>
        </w:rPr>
      </w:pPr>
      <w:bookmarkStart w:id="35" w:name="_Toc15377211"/>
      <w:r>
        <w:rPr>
          <w:rFonts w:hint="default" w:ascii="Times New Roman" w:hAnsi="Times New Roman" w:eastAsia="方正楷体_GBK" w:cs="Times New Roman"/>
          <w:b/>
          <w:bCs/>
          <w:sz w:val="36"/>
          <w:szCs w:val="36"/>
        </w:rPr>
        <w:t>（二）一般公共预算财政拨款支出决算结构情况</w:t>
      </w:r>
      <w:bookmarkEnd w:id="35"/>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年一般公共预算财政拨款支出</w:t>
      </w:r>
      <w:r>
        <w:rPr>
          <w:rFonts w:hint="default" w:ascii="Times New Roman" w:hAnsi="Times New Roman" w:eastAsia="仿宋_GB2312" w:cs="Times New Roman"/>
          <w:color w:val="000000"/>
          <w:sz w:val="32"/>
          <w:szCs w:val="32"/>
          <w:lang w:val="en-US" w:eastAsia="zh-CN"/>
        </w:rPr>
        <w:t>458.08</w:t>
      </w:r>
      <w:r>
        <w:rPr>
          <w:rFonts w:hint="default" w:ascii="Times New Roman" w:hAnsi="Times New Roman" w:eastAsia="仿宋_GB2312" w:cs="Times New Roman"/>
          <w:color w:val="000000"/>
          <w:sz w:val="32"/>
          <w:szCs w:val="32"/>
        </w:rPr>
        <w:t>万元，主要用于以下方面:</w:t>
      </w:r>
      <w:r>
        <w:rPr>
          <w:rFonts w:hint="default" w:ascii="Times New Roman" w:hAnsi="Times New Roman" w:eastAsia="仿宋_GB2312" w:cs="Times New Roman"/>
          <w:b/>
          <w:color w:val="000000"/>
          <w:sz w:val="32"/>
          <w:szCs w:val="32"/>
        </w:rPr>
        <w:t>一般公共服务（类）</w:t>
      </w:r>
      <w:r>
        <w:rPr>
          <w:rFonts w:hint="default" w:ascii="Times New Roman" w:hAnsi="Times New Roman" w:eastAsia="仿宋_GB2312" w:cs="Times New Roman"/>
          <w:color w:val="000000"/>
          <w:sz w:val="32"/>
          <w:szCs w:val="32"/>
        </w:rPr>
        <w:t>支出</w:t>
      </w:r>
      <w:r>
        <w:rPr>
          <w:rFonts w:hint="default" w:ascii="Times New Roman" w:hAnsi="Times New Roman" w:eastAsia="仿宋_GB2312" w:cs="Times New Roman"/>
          <w:color w:val="000000"/>
          <w:sz w:val="32"/>
          <w:szCs w:val="32"/>
          <w:lang w:val="en-US" w:eastAsia="zh-CN"/>
        </w:rPr>
        <w:t>404.6</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88.33</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b/>
          <w:color w:val="000000"/>
          <w:sz w:val="32"/>
          <w:szCs w:val="32"/>
        </w:rPr>
        <w:t>社会保障和就业（类）</w:t>
      </w:r>
      <w:r>
        <w:rPr>
          <w:rFonts w:hint="default" w:ascii="Times New Roman" w:hAnsi="Times New Roman" w:eastAsia="仿宋_GB2312" w:cs="Times New Roman"/>
          <w:color w:val="000000"/>
          <w:sz w:val="32"/>
          <w:szCs w:val="32"/>
        </w:rPr>
        <w:t>支出</w:t>
      </w:r>
      <w:r>
        <w:rPr>
          <w:rFonts w:hint="default" w:ascii="Times New Roman" w:hAnsi="Times New Roman" w:eastAsia="仿宋_GB2312" w:cs="Times New Roman"/>
          <w:color w:val="000000"/>
          <w:sz w:val="32"/>
          <w:szCs w:val="32"/>
          <w:lang w:val="en-US" w:eastAsia="zh-CN"/>
        </w:rPr>
        <w:t>20.48</w:t>
      </w:r>
      <w:r>
        <w:rPr>
          <w:rFonts w:hint="default" w:ascii="Times New Roman" w:hAnsi="Times New Roman" w:eastAsia="仿宋_GB2312" w:cs="Times New Roman"/>
          <w:color w:val="000000"/>
          <w:sz w:val="32"/>
          <w:szCs w:val="32"/>
        </w:rPr>
        <w:t>万元，占</w:t>
      </w:r>
      <w:r>
        <w:rPr>
          <w:rFonts w:hint="eastAsia" w:eastAsia="仿宋_GB2312" w:cs="Times New Roman"/>
          <w:color w:val="000000"/>
          <w:sz w:val="32"/>
          <w:szCs w:val="32"/>
          <w:lang w:val="en-US" w:eastAsia="zh-CN"/>
        </w:rPr>
        <w:t>4.47</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bCs/>
          <w:color w:val="000000"/>
          <w:sz w:val="32"/>
          <w:szCs w:val="32"/>
        </w:rPr>
        <w:t>卫生健康支出</w:t>
      </w:r>
      <w:r>
        <w:rPr>
          <w:rFonts w:hint="default" w:ascii="Times New Roman" w:hAnsi="Times New Roman" w:eastAsia="仿宋_GB2312" w:cs="Times New Roman"/>
          <w:color w:val="000000"/>
          <w:sz w:val="32"/>
          <w:szCs w:val="32"/>
          <w:lang w:val="en-US" w:eastAsia="zh-CN"/>
        </w:rPr>
        <w:t>8.04</w:t>
      </w:r>
      <w:r>
        <w:rPr>
          <w:rFonts w:hint="default" w:ascii="Times New Roman" w:hAnsi="Times New Roman" w:eastAsia="仿宋_GB2312" w:cs="Times New Roman"/>
          <w:color w:val="000000"/>
          <w:sz w:val="32"/>
          <w:szCs w:val="32"/>
        </w:rPr>
        <w:t>万元，占1</w:t>
      </w:r>
      <w:r>
        <w:rPr>
          <w:rFonts w:hint="default" w:ascii="Times New Roman" w:hAnsi="Times New Roman" w:eastAsia="仿宋_GB2312" w:cs="Times New Roman"/>
          <w:color w:val="000000"/>
          <w:sz w:val="32"/>
          <w:szCs w:val="32"/>
          <w:lang w:val="en-US" w:eastAsia="zh-CN"/>
        </w:rPr>
        <w:t>.</w:t>
      </w:r>
      <w:r>
        <w:rPr>
          <w:rFonts w:hint="eastAsia" w:eastAsia="仿宋_GB2312" w:cs="Times New Roman"/>
          <w:color w:val="000000"/>
          <w:sz w:val="32"/>
          <w:szCs w:val="32"/>
          <w:lang w:val="en-US" w:eastAsia="zh-CN"/>
        </w:rPr>
        <w:t>76</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bCs/>
          <w:color w:val="000000"/>
          <w:sz w:val="32"/>
          <w:szCs w:val="32"/>
        </w:rPr>
        <w:t>住房保障支出</w:t>
      </w:r>
      <w:r>
        <w:rPr>
          <w:rFonts w:hint="default" w:ascii="Times New Roman" w:hAnsi="Times New Roman" w:eastAsia="仿宋_GB2312" w:cs="Times New Roman"/>
          <w:color w:val="000000"/>
          <w:sz w:val="32"/>
          <w:szCs w:val="32"/>
          <w:lang w:val="en-US" w:eastAsia="zh-CN"/>
        </w:rPr>
        <w:t>24.96</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5</w:t>
      </w:r>
      <w:r>
        <w:rPr>
          <w:rFonts w:hint="eastAsia" w:eastAsia="仿宋_GB2312" w:cs="Times New Roman"/>
          <w:color w:val="000000"/>
          <w:sz w:val="32"/>
          <w:szCs w:val="32"/>
          <w:lang w:val="en-US" w:eastAsia="zh-CN"/>
        </w:rPr>
        <w:t>.44</w:t>
      </w:r>
      <w:r>
        <w:rPr>
          <w:rFonts w:hint="default" w:ascii="Times New Roman" w:hAnsi="Times New Roman" w:eastAsia="仿宋_GB2312" w:cs="Times New Roman"/>
          <w:color w:val="000000"/>
          <w:sz w:val="32"/>
          <w:szCs w:val="32"/>
        </w:rPr>
        <w:t>%。</w:t>
      </w:r>
    </w:p>
    <w:p>
      <w:pPr>
        <w:pStyle w:val="2"/>
        <w:pageBreakBefore w:val="0"/>
        <w:kinsoku/>
        <w:wordWrap/>
        <w:overflowPunct/>
        <w:topLinePunct w:val="0"/>
        <w:bidi w:val="0"/>
        <w:spacing w:before="93"/>
        <w:ind w:firstLine="600" w:firstLineChars="200"/>
        <w:textAlignment w:val="auto"/>
        <w:rPr>
          <w:rFonts w:hint="default" w:ascii="Times New Roman" w:hAnsi="Times New Roman" w:eastAsia="仿宋" w:cs="Times New Roman"/>
        </w:rPr>
      </w:pPr>
      <w:r>
        <w:rPr>
          <w:rFonts w:hint="default" w:ascii="Times New Roman" w:hAnsi="Times New Roman" w:eastAsia="仿宋" w:cs="Times New Roman"/>
        </w:rPr>
        <w:drawing>
          <wp:inline distT="0" distB="0" distL="114300" distR="114300">
            <wp:extent cx="4951095" cy="2659380"/>
            <wp:effectExtent l="5080" t="4445" r="12065" b="1841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ageBreakBefore w:val="0"/>
        <w:kinsoku/>
        <w:wordWrap/>
        <w:overflowPunct/>
        <w:topLinePunct w:val="0"/>
        <w:bidi w:val="0"/>
        <w:spacing w:line="600" w:lineRule="exact"/>
        <w:ind w:firstLine="640" w:firstLineChars="20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（图6：一般公共预算财政拨款支出决算结构）（饼状图）</w:t>
      </w:r>
    </w:p>
    <w:p>
      <w:pPr>
        <w:pStyle w:val="2"/>
        <w:rPr>
          <w:rFonts w:hint="default"/>
        </w:rPr>
      </w:pPr>
    </w:p>
    <w:p>
      <w:pPr>
        <w:pageBreakBefore w:val="0"/>
        <w:kinsoku/>
        <w:wordWrap/>
        <w:overflowPunct/>
        <w:topLinePunct w:val="0"/>
        <w:bidi w:val="0"/>
        <w:ind w:firstLine="722" w:firstLineChars="200"/>
        <w:textAlignment w:val="auto"/>
        <w:rPr>
          <w:rFonts w:hint="default" w:ascii="Times New Roman" w:hAnsi="Times New Roman" w:eastAsia="方正楷体_GBK" w:cs="Times New Roman"/>
          <w:b/>
          <w:bCs/>
          <w:sz w:val="36"/>
          <w:szCs w:val="36"/>
        </w:rPr>
      </w:pPr>
      <w:bookmarkStart w:id="36" w:name="_Toc15377212"/>
      <w:r>
        <w:rPr>
          <w:rFonts w:hint="default" w:ascii="Times New Roman" w:hAnsi="Times New Roman" w:eastAsia="方正楷体_GBK" w:cs="Times New Roman"/>
          <w:b/>
          <w:bCs/>
          <w:sz w:val="36"/>
          <w:szCs w:val="36"/>
        </w:rPr>
        <w:t>（三）一般公共预算财政拨款支出决算具体情况</w:t>
      </w:r>
      <w:bookmarkEnd w:id="36"/>
    </w:p>
    <w:p>
      <w:pPr>
        <w:pageBreakBefore w:val="0"/>
        <w:kinsoku/>
        <w:wordWrap/>
        <w:overflowPunct/>
        <w:topLinePunct w:val="0"/>
        <w:bidi w:val="0"/>
        <w:spacing w:line="600" w:lineRule="exact"/>
        <w:ind w:firstLine="642" w:firstLineChars="200"/>
        <w:textAlignment w:val="auto"/>
        <w:outlineLvl w:val="2"/>
        <w:rPr>
          <w:rFonts w:hint="default" w:ascii="Times New Roman" w:hAnsi="Times New Roman" w:eastAsia="仿宋" w:cs="Times New Roman"/>
          <w:color w:val="FF0000"/>
          <w:sz w:val="32"/>
          <w:szCs w:val="32"/>
        </w:rPr>
      </w:pPr>
      <w:bookmarkStart w:id="37" w:name="_Toc15377213"/>
      <w:bookmarkStart w:id="38" w:name="_Toc15377444"/>
      <w:bookmarkStart w:id="39" w:name="_Toc15378460"/>
      <w:r>
        <w:rPr>
          <w:rFonts w:hint="default" w:ascii="Times New Roman" w:hAnsi="Times New Roman" w:eastAsia="仿宋" w:cs="Times New Roman"/>
          <w:b/>
          <w:color w:val="000000"/>
          <w:sz w:val="32"/>
          <w:szCs w:val="32"/>
        </w:rPr>
        <w:t>202</w:t>
      </w:r>
      <w:r>
        <w:rPr>
          <w:rFonts w:hint="default" w:ascii="Times New Roman" w:hAnsi="Times New Roman" w:eastAsia="仿宋" w:cs="Times New Roman"/>
          <w:b/>
          <w:color w:val="000000"/>
          <w:sz w:val="32"/>
          <w:szCs w:val="32"/>
          <w:lang w:val="en-US" w:eastAsia="zh-CN"/>
        </w:rPr>
        <w:t>2</w:t>
      </w:r>
      <w:r>
        <w:rPr>
          <w:rFonts w:hint="default" w:ascii="Times New Roman" w:hAnsi="Times New Roman" w:eastAsia="仿宋" w:cs="Times New Roman"/>
          <w:b/>
          <w:color w:val="000000"/>
          <w:sz w:val="32"/>
          <w:szCs w:val="32"/>
        </w:rPr>
        <w:t>年一般公共预算支出决算数为</w:t>
      </w:r>
      <w:r>
        <w:rPr>
          <w:rFonts w:hint="default" w:ascii="Times New Roman" w:hAnsi="Times New Roman" w:eastAsia="仿宋" w:cs="Times New Roman"/>
          <w:b w:val="0"/>
          <w:bCs/>
          <w:color w:val="000000"/>
          <w:sz w:val="32"/>
          <w:szCs w:val="32"/>
          <w:lang w:val="en-US" w:eastAsia="zh-CN"/>
        </w:rPr>
        <w:t>458.08</w:t>
      </w:r>
      <w:r>
        <w:rPr>
          <w:rFonts w:hint="default" w:ascii="Times New Roman" w:hAnsi="Times New Roman" w:eastAsia="仿宋" w:cs="Times New Roman"/>
          <w:b/>
          <w:color w:val="000000"/>
          <w:sz w:val="32"/>
          <w:szCs w:val="32"/>
          <w:lang w:val="en-US" w:eastAsia="zh-CN"/>
        </w:rPr>
        <w:t>万元</w:t>
      </w:r>
      <w:r>
        <w:rPr>
          <w:rFonts w:hint="default" w:ascii="Times New Roman" w:hAnsi="Times New Roman" w:eastAsia="仿宋" w:cs="Times New Roman"/>
          <w:color w:val="000000"/>
          <w:sz w:val="32"/>
          <w:szCs w:val="32"/>
        </w:rPr>
        <w:t>，</w:t>
      </w:r>
      <w:r>
        <w:rPr>
          <w:rStyle w:val="14"/>
          <w:rFonts w:hint="default" w:ascii="Times New Roman" w:hAnsi="Times New Roman" w:eastAsia="仿宋" w:cs="Times New Roman"/>
          <w:bCs/>
          <w:color w:val="000000"/>
          <w:sz w:val="32"/>
          <w:szCs w:val="32"/>
        </w:rPr>
        <w:t>完成预算</w:t>
      </w:r>
      <w:r>
        <w:rPr>
          <w:rStyle w:val="14"/>
          <w:rFonts w:hint="default" w:ascii="Times New Roman" w:hAnsi="Times New Roman" w:eastAsia="仿宋" w:cs="Times New Roman"/>
          <w:b w:val="0"/>
          <w:bCs w:val="0"/>
          <w:color w:val="000000"/>
          <w:sz w:val="32"/>
          <w:szCs w:val="32"/>
        </w:rPr>
        <w:t>100%</w:t>
      </w:r>
      <w:r>
        <w:rPr>
          <w:rStyle w:val="14"/>
          <w:rFonts w:hint="default" w:ascii="Times New Roman" w:hAnsi="Times New Roman" w:eastAsia="仿宋" w:cs="Times New Roman"/>
          <w:bCs/>
          <w:color w:val="000000"/>
          <w:sz w:val="32"/>
          <w:szCs w:val="32"/>
        </w:rPr>
        <w:t>。其中：</w:t>
      </w:r>
      <w:bookmarkEnd w:id="37"/>
      <w:bookmarkEnd w:id="38"/>
      <w:bookmarkEnd w:id="39"/>
    </w:p>
    <w:p>
      <w:pPr>
        <w:pageBreakBefore w:val="0"/>
        <w:kinsoku/>
        <w:wordWrap/>
        <w:overflowPunct/>
        <w:topLinePunct w:val="0"/>
        <w:bidi w:val="0"/>
        <w:spacing w:line="600" w:lineRule="exact"/>
        <w:ind w:firstLine="642" w:firstLineChars="200"/>
        <w:textAlignment w:val="auto"/>
        <w:rPr>
          <w:rStyle w:val="14"/>
          <w:rFonts w:hint="default" w:ascii="Times New Roman" w:hAnsi="Times New Roman" w:eastAsia="仿宋_GB2312" w:cs="Times New Roman"/>
          <w:b w:val="0"/>
          <w:bCs/>
          <w:color w:val="000000"/>
          <w:sz w:val="32"/>
          <w:szCs w:val="32"/>
        </w:rPr>
      </w:pPr>
      <w:r>
        <w:rPr>
          <w:rStyle w:val="14"/>
          <w:rFonts w:hint="default" w:ascii="Times New Roman" w:hAnsi="Times New Roman" w:eastAsia="仿宋_GB2312" w:cs="Times New Roman"/>
          <w:bCs/>
          <w:color w:val="000000"/>
          <w:sz w:val="32"/>
          <w:szCs w:val="32"/>
        </w:rPr>
        <w:t>1.一般公共服务（类）政府办公厅（室）及相关机构事务（款）事业运行（项）:</w:t>
      </w:r>
      <w:r>
        <w:rPr>
          <w:rStyle w:val="14"/>
          <w:rFonts w:hint="default" w:ascii="Times New Roman" w:hAnsi="Times New Roman" w:eastAsia="仿宋_GB2312" w:cs="Times New Roman"/>
          <w:b w:val="0"/>
          <w:bCs/>
          <w:color w:val="000000"/>
          <w:sz w:val="32"/>
          <w:szCs w:val="32"/>
        </w:rPr>
        <w:t xml:space="preserve"> 支出决算为</w:t>
      </w:r>
      <w:r>
        <w:rPr>
          <w:rStyle w:val="14"/>
          <w:rFonts w:hint="eastAsia" w:ascii="Times New Roman" w:hAnsi="Times New Roman" w:eastAsia="仿宋_GB2312" w:cs="Times New Roman"/>
          <w:b w:val="0"/>
          <w:bCs/>
          <w:color w:val="000000"/>
          <w:sz w:val="32"/>
          <w:szCs w:val="32"/>
          <w:lang w:val="en-US" w:eastAsia="zh-CN"/>
        </w:rPr>
        <w:t>0.94</w:t>
      </w:r>
      <w:r>
        <w:rPr>
          <w:rStyle w:val="14"/>
          <w:rFonts w:hint="default" w:ascii="Times New Roman" w:hAnsi="Times New Roman" w:eastAsia="仿宋_GB2312" w:cs="Times New Roman"/>
          <w:b w:val="0"/>
          <w:bCs/>
          <w:color w:val="000000"/>
          <w:sz w:val="32"/>
          <w:szCs w:val="32"/>
        </w:rPr>
        <w:t>万元，完成预算100%。</w:t>
      </w:r>
    </w:p>
    <w:p>
      <w:pPr>
        <w:pageBreakBefore w:val="0"/>
        <w:kinsoku/>
        <w:wordWrap/>
        <w:overflowPunct/>
        <w:topLinePunct w:val="0"/>
        <w:bidi w:val="0"/>
        <w:spacing w:line="600" w:lineRule="exact"/>
        <w:ind w:firstLine="642" w:firstLineChars="200"/>
        <w:textAlignment w:val="auto"/>
        <w:rPr>
          <w:rStyle w:val="14"/>
          <w:rFonts w:hint="default" w:ascii="Times New Roman" w:hAnsi="Times New Roman" w:eastAsia="仿宋_GB2312" w:cs="Times New Roman"/>
          <w:b w:val="0"/>
          <w:bCs/>
          <w:color w:val="000000"/>
          <w:sz w:val="32"/>
          <w:szCs w:val="32"/>
        </w:rPr>
      </w:pPr>
      <w:r>
        <w:rPr>
          <w:rStyle w:val="14"/>
          <w:rFonts w:hint="default" w:ascii="Times New Roman" w:hAnsi="Times New Roman" w:eastAsia="仿宋_GB2312" w:cs="Times New Roman"/>
          <w:bCs/>
          <w:color w:val="000000"/>
          <w:sz w:val="32"/>
          <w:szCs w:val="32"/>
        </w:rPr>
        <w:t>2.一般公共服务（类）政府办公厅（室）及相关机构事务（款）其他政府办公厅（室）及相关机构事务支出（项）:</w:t>
      </w:r>
      <w:r>
        <w:rPr>
          <w:rStyle w:val="14"/>
          <w:rFonts w:hint="default" w:ascii="Times New Roman" w:hAnsi="Times New Roman" w:eastAsia="仿宋_GB2312" w:cs="Times New Roman"/>
          <w:b w:val="0"/>
          <w:bCs/>
          <w:color w:val="000000"/>
          <w:sz w:val="32"/>
          <w:szCs w:val="32"/>
        </w:rPr>
        <w:t xml:space="preserve"> 支出决算为</w:t>
      </w:r>
      <w:r>
        <w:rPr>
          <w:rStyle w:val="14"/>
          <w:rFonts w:hint="default" w:ascii="Times New Roman" w:hAnsi="Times New Roman" w:eastAsia="仿宋_GB2312" w:cs="Times New Roman"/>
          <w:b w:val="0"/>
          <w:bCs/>
          <w:color w:val="000000"/>
          <w:sz w:val="32"/>
          <w:szCs w:val="32"/>
          <w:highlight w:val="none"/>
          <w:lang w:val="en-US" w:eastAsia="zh-CN"/>
        </w:rPr>
        <w:t>40</w:t>
      </w:r>
      <w:r>
        <w:rPr>
          <w:rStyle w:val="14"/>
          <w:rFonts w:hint="eastAsia" w:ascii="Times New Roman" w:hAnsi="Times New Roman" w:eastAsia="仿宋_GB2312" w:cs="Times New Roman"/>
          <w:b w:val="0"/>
          <w:bCs/>
          <w:color w:val="000000"/>
          <w:sz w:val="32"/>
          <w:szCs w:val="32"/>
          <w:highlight w:val="none"/>
          <w:lang w:val="en-US" w:eastAsia="zh-CN"/>
        </w:rPr>
        <w:t>3.66</w:t>
      </w:r>
      <w:r>
        <w:rPr>
          <w:rStyle w:val="14"/>
          <w:rFonts w:hint="default" w:ascii="Times New Roman" w:hAnsi="Times New Roman" w:eastAsia="仿宋_GB2312" w:cs="Times New Roman"/>
          <w:b w:val="0"/>
          <w:bCs/>
          <w:color w:val="000000"/>
          <w:sz w:val="32"/>
          <w:szCs w:val="32"/>
          <w:highlight w:val="none"/>
        </w:rPr>
        <w:t>万元，完</w:t>
      </w:r>
      <w:r>
        <w:rPr>
          <w:rStyle w:val="14"/>
          <w:rFonts w:hint="default" w:ascii="Times New Roman" w:hAnsi="Times New Roman" w:eastAsia="仿宋_GB2312" w:cs="Times New Roman"/>
          <w:b w:val="0"/>
          <w:bCs/>
          <w:color w:val="000000"/>
          <w:sz w:val="32"/>
          <w:szCs w:val="32"/>
        </w:rPr>
        <w:t>成预算100%。</w:t>
      </w:r>
    </w:p>
    <w:p>
      <w:pPr>
        <w:pStyle w:val="2"/>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eastAsia="仿宋_GB2312"/>
          <w:lang w:val="en-US" w:eastAsia="zh-CN"/>
        </w:rPr>
      </w:pPr>
      <w:r>
        <w:rPr>
          <w:rStyle w:val="14"/>
          <w:rFonts w:hint="eastAsia" w:ascii="Times New Roman" w:hAnsi="Times New Roman" w:eastAsia="仿宋_GB2312" w:cs="Times New Roman"/>
          <w:bCs/>
          <w:color w:val="000000"/>
          <w:kern w:val="2"/>
          <w:sz w:val="32"/>
          <w:szCs w:val="32"/>
          <w:lang w:val="en-US" w:eastAsia="zh-CN" w:bidi="ar-SA"/>
        </w:rPr>
        <w:t>3.</w:t>
      </w:r>
      <w:r>
        <w:rPr>
          <w:rStyle w:val="14"/>
          <w:rFonts w:hint="default" w:ascii="Times New Roman" w:hAnsi="Times New Roman" w:eastAsia="仿宋_GB2312" w:cs="Times New Roman"/>
          <w:bCs/>
          <w:color w:val="000000"/>
          <w:kern w:val="2"/>
          <w:sz w:val="32"/>
          <w:szCs w:val="32"/>
          <w:lang w:val="en-US" w:eastAsia="zh-CN" w:bidi="ar-SA"/>
        </w:rPr>
        <w:t>社会保障和就业（类）人力资源和社会保障管理事务</w:t>
      </w:r>
      <w:r>
        <w:rPr>
          <w:rStyle w:val="14"/>
          <w:rFonts w:hint="eastAsia" w:ascii="Times New Roman" w:hAnsi="Times New Roman" w:eastAsia="仿宋_GB2312" w:cs="Times New Roman"/>
          <w:bCs/>
          <w:color w:val="000000"/>
          <w:kern w:val="2"/>
          <w:sz w:val="32"/>
          <w:szCs w:val="32"/>
          <w:lang w:val="en-US" w:eastAsia="zh-CN" w:bidi="ar-SA"/>
        </w:rPr>
        <w:t>(款）引进人才费用支出（项）</w:t>
      </w:r>
      <w:r>
        <w:rPr>
          <w:rStyle w:val="14"/>
          <w:rFonts w:hint="eastAsia" w:ascii="Times New Roman" w:cs="Times New Roman"/>
          <w:bCs/>
          <w:color w:val="000000"/>
          <w:sz w:val="32"/>
          <w:szCs w:val="32"/>
          <w:lang w:val="en-US" w:eastAsia="zh-CN"/>
        </w:rPr>
        <w:t>：</w:t>
      </w:r>
      <w:r>
        <w:rPr>
          <w:rStyle w:val="14"/>
          <w:rFonts w:hint="eastAsia" w:ascii="Times New Roman" w:cs="Times New Roman"/>
          <w:b w:val="0"/>
          <w:bCs w:val="0"/>
          <w:color w:val="000000"/>
          <w:sz w:val="32"/>
          <w:szCs w:val="32"/>
          <w:lang w:val="en-US" w:eastAsia="zh-CN"/>
        </w:rPr>
        <w:t>支出决算为0.5万元，完成预算数100%。</w:t>
      </w:r>
    </w:p>
    <w:p>
      <w:pPr>
        <w:pageBreakBefore w:val="0"/>
        <w:kinsoku/>
        <w:wordWrap/>
        <w:overflowPunct/>
        <w:topLinePunct w:val="0"/>
        <w:bidi w:val="0"/>
        <w:spacing w:line="600" w:lineRule="exact"/>
        <w:ind w:firstLine="642" w:firstLineChars="200"/>
        <w:textAlignment w:val="auto"/>
        <w:rPr>
          <w:rStyle w:val="14"/>
          <w:rFonts w:hint="default" w:ascii="Times New Roman" w:hAnsi="Times New Roman" w:eastAsia="仿宋_GB2312" w:cs="Times New Roman"/>
          <w:b w:val="0"/>
          <w:bCs/>
          <w:color w:val="000000"/>
          <w:sz w:val="32"/>
          <w:szCs w:val="32"/>
        </w:rPr>
      </w:pPr>
      <w:r>
        <w:rPr>
          <w:rStyle w:val="14"/>
          <w:rFonts w:hint="eastAsia" w:eastAsia="仿宋_GB2312" w:cs="Times New Roman"/>
          <w:bCs/>
          <w:color w:val="000000"/>
          <w:sz w:val="32"/>
          <w:szCs w:val="32"/>
          <w:lang w:val="en-US" w:eastAsia="zh-CN"/>
        </w:rPr>
        <w:t>4</w:t>
      </w:r>
      <w:r>
        <w:rPr>
          <w:rStyle w:val="14"/>
          <w:rFonts w:hint="default" w:ascii="Times New Roman" w:hAnsi="Times New Roman" w:eastAsia="仿宋_GB2312" w:cs="Times New Roman"/>
          <w:bCs/>
          <w:color w:val="000000"/>
          <w:sz w:val="32"/>
          <w:szCs w:val="32"/>
        </w:rPr>
        <w:t>.社会保障和就业（类）行政事业单位养老支出（款） 机关事业单位基本养老保险缴费支出（项）:</w:t>
      </w:r>
      <w:r>
        <w:rPr>
          <w:rStyle w:val="14"/>
          <w:rFonts w:hint="default" w:ascii="Times New Roman" w:hAnsi="Times New Roman" w:eastAsia="仿宋_GB2312" w:cs="Times New Roman"/>
          <w:b w:val="0"/>
          <w:bCs/>
          <w:color w:val="000000"/>
          <w:sz w:val="32"/>
          <w:szCs w:val="32"/>
        </w:rPr>
        <w:t xml:space="preserve"> 支出</w:t>
      </w:r>
      <w:r>
        <w:rPr>
          <w:rStyle w:val="14"/>
          <w:rFonts w:hint="default" w:ascii="Times New Roman" w:hAnsi="Times New Roman" w:eastAsia="仿宋_GB2312" w:cs="Times New Roman"/>
          <w:b w:val="0"/>
          <w:bCs/>
          <w:color w:val="000000"/>
          <w:sz w:val="32"/>
          <w:szCs w:val="32"/>
          <w:highlight w:val="none"/>
        </w:rPr>
        <w:t>决算为</w:t>
      </w:r>
      <w:r>
        <w:rPr>
          <w:rStyle w:val="14"/>
          <w:rFonts w:hint="eastAsia" w:ascii="Times New Roman" w:hAnsi="Times New Roman" w:eastAsia="仿宋_GB2312" w:cs="Times New Roman"/>
          <w:b w:val="0"/>
          <w:bCs/>
          <w:color w:val="000000"/>
          <w:sz w:val="32"/>
          <w:szCs w:val="32"/>
          <w:highlight w:val="none"/>
          <w:lang w:val="en-US" w:eastAsia="zh-CN"/>
        </w:rPr>
        <w:t>19.98</w:t>
      </w:r>
      <w:r>
        <w:rPr>
          <w:rStyle w:val="14"/>
          <w:rFonts w:hint="default" w:ascii="Times New Roman" w:hAnsi="Times New Roman" w:eastAsia="仿宋_GB2312" w:cs="Times New Roman"/>
          <w:b w:val="0"/>
          <w:bCs/>
          <w:color w:val="000000"/>
          <w:sz w:val="32"/>
          <w:szCs w:val="32"/>
        </w:rPr>
        <w:t>万元，完成预算100%。</w:t>
      </w:r>
    </w:p>
    <w:p>
      <w:pPr>
        <w:pageBreakBefore w:val="0"/>
        <w:kinsoku/>
        <w:wordWrap/>
        <w:overflowPunct/>
        <w:topLinePunct w:val="0"/>
        <w:bidi w:val="0"/>
        <w:spacing w:line="600" w:lineRule="exact"/>
        <w:ind w:firstLine="642" w:firstLineChars="200"/>
        <w:textAlignment w:val="auto"/>
        <w:rPr>
          <w:rFonts w:hint="default" w:ascii="Times New Roman" w:hAnsi="Times New Roman" w:eastAsia="仿宋_GB2312" w:cs="Times New Roman"/>
          <w:b/>
          <w:color w:val="000000"/>
          <w:sz w:val="32"/>
          <w:szCs w:val="32"/>
        </w:rPr>
      </w:pPr>
      <w:r>
        <w:rPr>
          <w:rStyle w:val="14"/>
          <w:rFonts w:hint="eastAsia" w:eastAsia="仿宋_GB2312" w:cs="Times New Roman"/>
          <w:bCs/>
          <w:color w:val="000000"/>
          <w:sz w:val="32"/>
          <w:szCs w:val="32"/>
          <w:lang w:val="en-US" w:eastAsia="zh-CN"/>
        </w:rPr>
        <w:t>5</w:t>
      </w:r>
      <w:r>
        <w:rPr>
          <w:rStyle w:val="14"/>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
          <w:bCs/>
          <w:color w:val="000000"/>
          <w:sz w:val="32"/>
          <w:szCs w:val="32"/>
        </w:rPr>
        <w:t>卫生健康</w:t>
      </w:r>
      <w:r>
        <w:rPr>
          <w:rStyle w:val="14"/>
          <w:rFonts w:hint="default" w:ascii="Times New Roman" w:hAnsi="Times New Roman" w:eastAsia="仿宋_GB2312" w:cs="Times New Roman"/>
          <w:bCs/>
          <w:color w:val="000000"/>
          <w:sz w:val="32"/>
          <w:szCs w:val="32"/>
        </w:rPr>
        <w:t>（类）计划生育事务（款）其他计划生育事务支出（项）</w:t>
      </w:r>
      <w:r>
        <w:rPr>
          <w:rStyle w:val="14"/>
          <w:rFonts w:hint="default" w:ascii="Times New Roman" w:hAnsi="Times New Roman" w:eastAsia="仿宋_GB2312" w:cs="Times New Roman"/>
          <w:bCs/>
          <w:color w:val="000000"/>
          <w:sz w:val="32"/>
          <w:szCs w:val="32"/>
          <w:highlight w:val="none"/>
        </w:rPr>
        <w:t>:</w:t>
      </w:r>
      <w:r>
        <w:rPr>
          <w:rStyle w:val="14"/>
          <w:rFonts w:hint="default" w:ascii="Times New Roman" w:hAnsi="Times New Roman" w:eastAsia="仿宋_GB2312" w:cs="Times New Roman"/>
          <w:b w:val="0"/>
          <w:bCs/>
          <w:color w:val="000000"/>
          <w:sz w:val="32"/>
          <w:szCs w:val="32"/>
          <w:highlight w:val="none"/>
        </w:rPr>
        <w:t>支出决算为0.0</w:t>
      </w:r>
      <w:r>
        <w:rPr>
          <w:rStyle w:val="14"/>
          <w:rFonts w:hint="default" w:ascii="Times New Roman" w:hAnsi="Times New Roman" w:eastAsia="仿宋_GB2312" w:cs="Times New Roman"/>
          <w:b w:val="0"/>
          <w:bCs/>
          <w:color w:val="000000"/>
          <w:sz w:val="32"/>
          <w:szCs w:val="32"/>
          <w:highlight w:val="none"/>
          <w:lang w:val="en-US" w:eastAsia="zh-CN"/>
        </w:rPr>
        <w:t>5</w:t>
      </w:r>
      <w:r>
        <w:rPr>
          <w:rStyle w:val="14"/>
          <w:rFonts w:hint="default" w:ascii="Times New Roman" w:hAnsi="Times New Roman" w:eastAsia="仿宋_GB2312" w:cs="Times New Roman"/>
          <w:b w:val="0"/>
          <w:bCs/>
          <w:color w:val="000000"/>
          <w:sz w:val="32"/>
          <w:szCs w:val="32"/>
          <w:highlight w:val="none"/>
        </w:rPr>
        <w:t>万元，</w:t>
      </w:r>
      <w:r>
        <w:rPr>
          <w:rStyle w:val="14"/>
          <w:rFonts w:hint="default" w:ascii="Times New Roman" w:hAnsi="Times New Roman" w:eastAsia="仿宋_GB2312" w:cs="Times New Roman"/>
          <w:b w:val="0"/>
          <w:bCs/>
          <w:color w:val="000000"/>
          <w:sz w:val="32"/>
          <w:szCs w:val="32"/>
        </w:rPr>
        <w:t>完成预算100%。</w:t>
      </w:r>
    </w:p>
    <w:p>
      <w:pPr>
        <w:pageBreakBefore w:val="0"/>
        <w:kinsoku/>
        <w:wordWrap/>
        <w:overflowPunct/>
        <w:topLinePunct w:val="0"/>
        <w:bidi w:val="0"/>
        <w:spacing w:line="600" w:lineRule="exact"/>
        <w:ind w:firstLine="642" w:firstLineChars="200"/>
        <w:textAlignment w:val="auto"/>
        <w:rPr>
          <w:rFonts w:hint="default" w:ascii="Times New Roman" w:hAnsi="Times New Roman" w:eastAsia="仿宋_GB2312" w:cs="Times New Roman"/>
          <w:b/>
          <w:color w:val="000000"/>
          <w:sz w:val="32"/>
          <w:szCs w:val="32"/>
        </w:rPr>
      </w:pPr>
      <w:r>
        <w:rPr>
          <w:rStyle w:val="14"/>
          <w:rFonts w:hint="eastAsia" w:eastAsia="仿宋_GB2312" w:cs="Times New Roman"/>
          <w:bCs/>
          <w:color w:val="000000"/>
          <w:sz w:val="32"/>
          <w:szCs w:val="32"/>
          <w:lang w:val="en-US" w:eastAsia="zh-CN"/>
        </w:rPr>
        <w:t>6</w:t>
      </w:r>
      <w:r>
        <w:rPr>
          <w:rStyle w:val="14"/>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
          <w:bCs/>
          <w:color w:val="000000"/>
          <w:sz w:val="32"/>
          <w:szCs w:val="32"/>
        </w:rPr>
        <w:t>卫生健康</w:t>
      </w:r>
      <w:r>
        <w:rPr>
          <w:rStyle w:val="14"/>
          <w:rFonts w:hint="default" w:ascii="Times New Roman" w:hAnsi="Times New Roman" w:eastAsia="仿宋_GB2312" w:cs="Times New Roman"/>
          <w:bCs/>
          <w:color w:val="000000"/>
          <w:sz w:val="32"/>
          <w:szCs w:val="32"/>
        </w:rPr>
        <w:t>（类）行政事业单位医疗（款）事业单位医疗（项）:</w:t>
      </w:r>
      <w:r>
        <w:rPr>
          <w:rStyle w:val="14"/>
          <w:rFonts w:hint="default" w:ascii="Times New Roman" w:hAnsi="Times New Roman" w:eastAsia="仿宋_GB2312" w:cs="Times New Roman"/>
          <w:b w:val="0"/>
          <w:bCs/>
          <w:color w:val="000000"/>
          <w:sz w:val="32"/>
          <w:szCs w:val="32"/>
        </w:rPr>
        <w:t>支出决算为</w:t>
      </w:r>
      <w:r>
        <w:rPr>
          <w:rStyle w:val="14"/>
          <w:rFonts w:hint="default" w:ascii="Times New Roman" w:hAnsi="Times New Roman" w:eastAsia="仿宋_GB2312" w:cs="Times New Roman"/>
          <w:b w:val="0"/>
          <w:bCs/>
          <w:color w:val="000000"/>
          <w:sz w:val="32"/>
          <w:szCs w:val="32"/>
          <w:lang w:val="en-US" w:eastAsia="zh-CN"/>
        </w:rPr>
        <w:t>7.99</w:t>
      </w:r>
      <w:r>
        <w:rPr>
          <w:rStyle w:val="14"/>
          <w:rFonts w:hint="default" w:ascii="Times New Roman" w:hAnsi="Times New Roman" w:eastAsia="仿宋_GB2312" w:cs="Times New Roman"/>
          <w:b w:val="0"/>
          <w:bCs/>
          <w:color w:val="000000"/>
          <w:sz w:val="32"/>
          <w:szCs w:val="32"/>
        </w:rPr>
        <w:t>万元，完成预算100%。</w:t>
      </w:r>
    </w:p>
    <w:p>
      <w:pPr>
        <w:pageBreakBefore w:val="0"/>
        <w:kinsoku/>
        <w:wordWrap/>
        <w:overflowPunct/>
        <w:topLinePunct w:val="0"/>
        <w:bidi w:val="0"/>
        <w:spacing w:line="600" w:lineRule="exact"/>
        <w:ind w:firstLine="642" w:firstLineChars="200"/>
        <w:textAlignment w:val="auto"/>
        <w:rPr>
          <w:rFonts w:hint="default" w:ascii="Times New Roman" w:hAnsi="Times New Roman" w:eastAsia="仿宋_GB2312" w:cs="Times New Roman"/>
          <w:b/>
          <w:color w:val="000000"/>
          <w:sz w:val="32"/>
          <w:szCs w:val="32"/>
        </w:rPr>
      </w:pPr>
      <w:r>
        <w:rPr>
          <w:rFonts w:hint="eastAsia" w:eastAsia="仿宋_GB2312" w:cs="Times New Roman"/>
          <w:b/>
          <w:bCs/>
          <w:color w:val="000000"/>
          <w:sz w:val="32"/>
          <w:szCs w:val="32"/>
          <w:lang w:val="en-US" w:eastAsia="zh-CN"/>
        </w:rPr>
        <w:t>7</w:t>
      </w:r>
      <w:r>
        <w:rPr>
          <w:rFonts w:hint="default" w:ascii="Times New Roman" w:hAnsi="Times New Roman" w:eastAsia="仿宋_GB2312" w:cs="Times New Roman"/>
          <w:b/>
          <w:bCs/>
          <w:color w:val="000000"/>
          <w:sz w:val="32"/>
          <w:szCs w:val="32"/>
        </w:rPr>
        <w:t>.住房保障支出（类）住房改革支出（款） 住房公积金（项）：</w:t>
      </w:r>
      <w:r>
        <w:rPr>
          <w:rFonts w:hint="default" w:ascii="Times New Roman" w:hAnsi="Times New Roman" w:eastAsia="仿宋_GB2312" w:cs="Times New Roman"/>
          <w:color w:val="000000"/>
          <w:sz w:val="32"/>
          <w:szCs w:val="32"/>
        </w:rPr>
        <w:t>支出就算为</w:t>
      </w:r>
      <w:r>
        <w:rPr>
          <w:rFonts w:hint="default" w:ascii="Times New Roman" w:hAnsi="Times New Roman" w:eastAsia="仿宋_GB2312" w:cs="Times New Roman"/>
          <w:color w:val="000000"/>
          <w:sz w:val="32"/>
          <w:szCs w:val="32"/>
          <w:lang w:val="en-US" w:eastAsia="zh-CN"/>
        </w:rPr>
        <w:t>24.96</w:t>
      </w:r>
      <w:r>
        <w:rPr>
          <w:rFonts w:hint="default" w:ascii="Times New Roman" w:hAnsi="Times New Roman" w:eastAsia="仿宋_GB2312" w:cs="Times New Roman"/>
          <w:color w:val="000000"/>
          <w:sz w:val="32"/>
          <w:szCs w:val="32"/>
        </w:rPr>
        <w:t>万元，完成预算100%。</w:t>
      </w:r>
    </w:p>
    <w:p>
      <w:pPr>
        <w:pageBreakBefore w:val="0"/>
        <w:tabs>
          <w:tab w:val="right" w:pos="8306"/>
        </w:tabs>
        <w:kinsoku/>
        <w:wordWrap/>
        <w:overflowPunct/>
        <w:topLinePunct w:val="0"/>
        <w:bidi w:val="0"/>
        <w:spacing w:line="600" w:lineRule="exact"/>
        <w:ind w:firstLine="640" w:firstLineChars="200"/>
        <w:textAlignment w:val="auto"/>
        <w:outlineLvl w:val="1"/>
        <w:rPr>
          <w:rStyle w:val="25"/>
          <w:rFonts w:hint="default" w:ascii="Times New Roman" w:hAnsi="Times New Roman" w:cs="Times New Roman"/>
        </w:rPr>
      </w:pPr>
      <w:bookmarkStart w:id="40" w:name="_Toc15377214"/>
      <w:bookmarkStart w:id="41" w:name="_Toc15396608"/>
      <w:r>
        <w:rPr>
          <w:rStyle w:val="25"/>
          <w:rFonts w:hint="default" w:ascii="Times New Roman" w:hAnsi="Times New Roman" w:eastAsia="方正黑体_GBK" w:cs="Times New Roman"/>
          <w:b w:val="0"/>
          <w:lang w:val="en-US" w:eastAsia="zh-CN" w:bidi="ar-SA"/>
        </w:rPr>
        <w:t>六、一般公共预算财政拨款基本支出决算情况说明</w:t>
      </w:r>
      <w:bookmarkEnd w:id="40"/>
      <w:bookmarkEnd w:id="41"/>
      <w:r>
        <w:rPr>
          <w:rStyle w:val="25"/>
          <w:rFonts w:hint="default" w:ascii="Times New Roman" w:hAnsi="Times New Roman" w:eastAsia="黑体" w:cs="Times New Roman"/>
          <w:b w:val="0"/>
        </w:rPr>
        <w:tab/>
      </w:r>
    </w:p>
    <w:p>
      <w:pPr>
        <w:pageBreakBefore w:val="0"/>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年一般公共预算财政拨款基本支出</w:t>
      </w:r>
      <w:r>
        <w:rPr>
          <w:rFonts w:hint="default" w:ascii="Times New Roman" w:hAnsi="Times New Roman" w:eastAsia="方正仿宋_GBK" w:cs="Times New Roman"/>
          <w:color w:val="000000"/>
          <w:sz w:val="32"/>
          <w:szCs w:val="32"/>
          <w:lang w:val="en-US" w:eastAsia="zh-CN"/>
        </w:rPr>
        <w:t>458.08</w:t>
      </w:r>
      <w:r>
        <w:rPr>
          <w:rFonts w:hint="default" w:ascii="Times New Roman" w:hAnsi="Times New Roman" w:eastAsia="方正仿宋_GBK" w:cs="Times New Roman"/>
          <w:color w:val="000000"/>
          <w:sz w:val="32"/>
          <w:szCs w:val="32"/>
        </w:rPr>
        <w:t>万元，其中：</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highlight w:val="none"/>
        </w:rPr>
        <w:t>人员经费</w:t>
      </w:r>
      <w:r>
        <w:rPr>
          <w:rFonts w:hint="eastAsia" w:ascii="Times New Roman" w:hAnsi="Times New Roman" w:eastAsia="方正仿宋_GBK" w:cs="Times New Roman"/>
          <w:color w:val="000000"/>
          <w:sz w:val="32"/>
          <w:szCs w:val="32"/>
          <w:highlight w:val="none"/>
          <w:lang w:val="en-US" w:eastAsia="zh-CN"/>
        </w:rPr>
        <w:t>266.50</w:t>
      </w:r>
      <w:r>
        <w:rPr>
          <w:rFonts w:hint="default" w:ascii="Times New Roman" w:hAnsi="Times New Roman" w:eastAsia="方正仿宋_GBK" w:cs="Times New Roman"/>
          <w:color w:val="000000"/>
          <w:sz w:val="32"/>
          <w:szCs w:val="32"/>
          <w:highlight w:val="none"/>
        </w:rPr>
        <w:t>万元，主</w:t>
      </w:r>
      <w:r>
        <w:rPr>
          <w:rFonts w:hint="default" w:ascii="Times New Roman" w:hAnsi="Times New Roman" w:eastAsia="方正仿宋_GBK" w:cs="Times New Roman"/>
          <w:color w:val="000000"/>
          <w:sz w:val="32"/>
          <w:szCs w:val="32"/>
        </w:rPr>
        <w:t>要包括：基本工资、津贴补贴、奖金、绩效工资、机关事业单位基本养老保险缴费、职工基本医疗保险缴费</w:t>
      </w:r>
      <w:r>
        <w:rPr>
          <w:rFonts w:hint="eastAsia"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住房公积金、对个人和家庭的补助</w:t>
      </w:r>
      <w:r>
        <w:rPr>
          <w:rFonts w:hint="eastAsia" w:eastAsia="方正仿宋_GBK" w:cs="Times New Roman"/>
          <w:color w:val="000000"/>
          <w:sz w:val="32"/>
          <w:szCs w:val="32"/>
          <w:lang w:eastAsia="zh-CN"/>
        </w:rPr>
        <w:t>、生活补助、奖励金</w:t>
      </w:r>
      <w:r>
        <w:rPr>
          <w:rFonts w:hint="default" w:ascii="Times New Roman" w:hAnsi="Times New Roman" w:eastAsia="方正仿宋_GBK" w:cs="Times New Roman"/>
          <w:color w:val="000000"/>
          <w:sz w:val="32"/>
          <w:szCs w:val="32"/>
        </w:rPr>
        <w:t>等。</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方正仿宋_GBK" w:cs="Times New Roman"/>
          <w:b/>
          <w:color w:val="FF0000"/>
          <w:sz w:val="32"/>
          <w:szCs w:val="32"/>
        </w:rPr>
      </w:pPr>
      <w:r>
        <w:rPr>
          <w:rFonts w:hint="default" w:ascii="Times New Roman" w:hAnsi="Times New Roman" w:eastAsia="方正仿宋_GBK" w:cs="Times New Roman"/>
          <w:color w:val="000000"/>
          <w:sz w:val="32"/>
          <w:szCs w:val="32"/>
          <w:highlight w:val="none"/>
        </w:rPr>
        <w:t>日常公用经费</w:t>
      </w:r>
      <w:r>
        <w:rPr>
          <w:rFonts w:hint="eastAsia" w:ascii="Times New Roman" w:hAnsi="Times New Roman" w:eastAsia="方正仿宋_GBK" w:cs="Times New Roman"/>
          <w:color w:val="000000"/>
          <w:sz w:val="32"/>
          <w:szCs w:val="32"/>
          <w:highlight w:val="none"/>
          <w:lang w:val="en-US" w:eastAsia="zh-CN"/>
        </w:rPr>
        <w:t>191.58</w:t>
      </w:r>
      <w:r>
        <w:rPr>
          <w:rFonts w:hint="default" w:ascii="Times New Roman" w:hAnsi="Times New Roman" w:eastAsia="方正仿宋_GBK" w:cs="Times New Roman"/>
          <w:color w:val="000000"/>
          <w:sz w:val="32"/>
          <w:szCs w:val="32"/>
          <w:highlight w:val="none"/>
        </w:rPr>
        <w:t>万元，</w:t>
      </w:r>
      <w:r>
        <w:rPr>
          <w:rFonts w:hint="default" w:ascii="Times New Roman" w:hAnsi="Times New Roman" w:eastAsia="方正仿宋_GBK" w:cs="Times New Roman"/>
          <w:color w:val="000000"/>
          <w:sz w:val="32"/>
          <w:szCs w:val="32"/>
        </w:rPr>
        <w:t>主要包括：办公费、水费、电费、邮电费、差旅费、维修（护）费、租赁费、会议费、培训费、公务接待费、劳务费、工会经费等。</w:t>
      </w:r>
    </w:p>
    <w:p>
      <w:pPr>
        <w:pageBreakBefore w:val="0"/>
        <w:kinsoku/>
        <w:wordWrap/>
        <w:overflowPunct/>
        <w:topLinePunct w:val="0"/>
        <w:bidi w:val="0"/>
        <w:spacing w:line="600" w:lineRule="exact"/>
        <w:ind w:firstLine="640" w:firstLineChars="200"/>
        <w:textAlignment w:val="auto"/>
        <w:outlineLvl w:val="1"/>
        <w:rPr>
          <w:rStyle w:val="25"/>
          <w:rFonts w:hint="default" w:ascii="Times New Roman" w:hAnsi="Times New Roman" w:eastAsia="方正黑体_GBK" w:cs="Times New Roman"/>
          <w:b w:val="0"/>
          <w:lang w:val="en-US" w:eastAsia="zh-CN" w:bidi="ar-SA"/>
        </w:rPr>
      </w:pPr>
      <w:r>
        <w:rPr>
          <w:rStyle w:val="25"/>
          <w:rFonts w:hint="eastAsia" w:eastAsia="方正黑体_GBK" w:cs="Times New Roman"/>
          <w:b w:val="0"/>
          <w:lang w:val="en-US" w:eastAsia="zh-CN" w:bidi="ar-SA"/>
        </w:rPr>
        <w:t>七、</w:t>
      </w:r>
      <w:r>
        <w:rPr>
          <w:rStyle w:val="25"/>
          <w:rFonts w:hint="default" w:ascii="Times New Roman" w:hAnsi="Times New Roman" w:eastAsia="方正黑体_GBK" w:cs="Times New Roman"/>
          <w:b w:val="0"/>
          <w:lang w:val="en-US" w:eastAsia="zh-CN" w:bidi="ar-SA"/>
        </w:rPr>
        <w:t>一般公共预算财政拨款项目支出决算情况说明</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年一般公共预算财政拨款项目支出0万元。</w:t>
      </w:r>
    </w:p>
    <w:p>
      <w:pPr>
        <w:pageBreakBefore w:val="0"/>
        <w:kinsoku/>
        <w:wordWrap/>
        <w:overflowPunct/>
        <w:topLinePunct w:val="0"/>
        <w:bidi w:val="0"/>
        <w:spacing w:line="600" w:lineRule="exact"/>
        <w:ind w:firstLine="640" w:firstLineChars="200"/>
        <w:textAlignment w:val="auto"/>
        <w:outlineLvl w:val="1"/>
        <w:rPr>
          <w:rStyle w:val="25"/>
          <w:rFonts w:hint="default" w:ascii="Times New Roman" w:hAnsi="Times New Roman" w:eastAsia="方正黑体_GBK" w:cs="Times New Roman"/>
          <w:b w:val="0"/>
          <w:lang w:val="en-US" w:eastAsia="zh-CN" w:bidi="ar-SA"/>
        </w:rPr>
      </w:pPr>
      <w:bookmarkStart w:id="42" w:name="_Toc15396609"/>
      <w:bookmarkStart w:id="43" w:name="_Toc15377215"/>
      <w:r>
        <w:rPr>
          <w:rStyle w:val="25"/>
          <w:rFonts w:hint="default" w:ascii="Times New Roman" w:hAnsi="Times New Roman" w:eastAsia="方正黑体_GBK" w:cs="Times New Roman"/>
          <w:b w:val="0"/>
          <w:lang w:val="en-US" w:eastAsia="zh-CN" w:bidi="ar-SA"/>
        </w:rPr>
        <w:t>八、“三公”经费财政拨款支出决算情况说明</w:t>
      </w:r>
      <w:bookmarkEnd w:id="42"/>
      <w:bookmarkEnd w:id="43"/>
    </w:p>
    <w:p>
      <w:pPr>
        <w:pageBreakBefore w:val="0"/>
        <w:kinsoku/>
        <w:wordWrap/>
        <w:overflowPunct/>
        <w:topLinePunct w:val="0"/>
        <w:bidi w:val="0"/>
        <w:ind w:firstLine="722" w:firstLineChars="200"/>
        <w:textAlignment w:val="auto"/>
        <w:rPr>
          <w:rFonts w:hint="default" w:ascii="Times New Roman" w:hAnsi="Times New Roman" w:eastAsia="方正楷体_GBK" w:cs="Times New Roman"/>
          <w:b/>
          <w:bCs/>
          <w:sz w:val="36"/>
          <w:szCs w:val="36"/>
        </w:rPr>
      </w:pPr>
      <w:bookmarkStart w:id="44" w:name="_Toc15377216"/>
      <w:r>
        <w:rPr>
          <w:rFonts w:hint="default" w:ascii="Times New Roman" w:hAnsi="Times New Roman" w:eastAsia="方正楷体_GBK" w:cs="Times New Roman"/>
          <w:b/>
          <w:bCs/>
          <w:sz w:val="36"/>
          <w:szCs w:val="36"/>
        </w:rPr>
        <w:t>（一）“三公”经费财政拨款支出决算总体情况说明</w:t>
      </w:r>
      <w:bookmarkEnd w:id="44"/>
    </w:p>
    <w:p>
      <w:pPr>
        <w:pageBreakBefore w:val="0"/>
        <w:kinsoku/>
        <w:wordWrap/>
        <w:overflowPunct/>
        <w:topLinePunct w:val="0"/>
        <w:bidi w:val="0"/>
        <w:spacing w:line="600"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highlight w:val="none"/>
        </w:rPr>
        <w:t>202</w:t>
      </w:r>
      <w:r>
        <w:rPr>
          <w:rFonts w:hint="default" w:ascii="Times New Roman" w:hAnsi="Times New Roman" w:eastAsia="方正仿宋_GBK" w:cs="Times New Roman"/>
          <w:color w:val="000000"/>
          <w:sz w:val="32"/>
          <w:szCs w:val="32"/>
          <w:highlight w:val="none"/>
          <w:lang w:val="en-US" w:eastAsia="zh-CN"/>
        </w:rPr>
        <w:t>2</w:t>
      </w:r>
      <w:r>
        <w:rPr>
          <w:rFonts w:hint="default" w:ascii="Times New Roman" w:hAnsi="Times New Roman" w:eastAsia="方正仿宋_GBK" w:cs="Times New Roman"/>
          <w:color w:val="000000"/>
          <w:sz w:val="32"/>
          <w:szCs w:val="32"/>
          <w:highlight w:val="none"/>
        </w:rPr>
        <w:t>年“三公”经费财政拨款支出决算为</w:t>
      </w:r>
      <w:r>
        <w:rPr>
          <w:rFonts w:hint="default" w:ascii="Times New Roman" w:hAnsi="Times New Roman" w:eastAsia="方正仿宋_GBK" w:cs="Times New Roman"/>
          <w:color w:val="000000"/>
          <w:sz w:val="32"/>
          <w:szCs w:val="32"/>
          <w:highlight w:val="none"/>
          <w:lang w:val="en-US" w:eastAsia="zh-CN"/>
        </w:rPr>
        <w:t>1.8</w:t>
      </w:r>
      <w:r>
        <w:rPr>
          <w:rFonts w:hint="default" w:ascii="Times New Roman" w:hAnsi="Times New Roman" w:eastAsia="方正仿宋_GBK" w:cs="Times New Roman"/>
          <w:color w:val="000000"/>
          <w:sz w:val="32"/>
          <w:szCs w:val="32"/>
          <w:highlight w:val="none"/>
        </w:rPr>
        <w:t>万元，完成预算</w:t>
      </w:r>
      <w:r>
        <w:rPr>
          <w:rFonts w:hint="eastAsia" w:eastAsia="方正仿宋_GBK" w:cs="Times New Roman"/>
          <w:color w:val="000000"/>
          <w:sz w:val="32"/>
          <w:szCs w:val="32"/>
          <w:highlight w:val="none"/>
          <w:lang w:val="en-US" w:eastAsia="zh-CN"/>
        </w:rPr>
        <w:t>100</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sz w:val="32"/>
          <w:szCs w:val="32"/>
          <w:highlight w:val="none"/>
        </w:rPr>
        <w:t>比</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lang w:val="en-US" w:eastAsia="zh-CN"/>
        </w:rPr>
        <w:t>1.13</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lang w:val="en-US" w:eastAsia="zh-CN"/>
        </w:rPr>
        <w:t>39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highlight w:val="none"/>
        </w:rPr>
        <w:t>主要原因</w:t>
      </w:r>
      <w:r>
        <w:rPr>
          <w:rFonts w:hint="eastAsia" w:eastAsia="方正仿宋_GBK" w:cs="Times New Roman"/>
          <w:sz w:val="32"/>
          <w:szCs w:val="32"/>
          <w:highlight w:val="none"/>
          <w:lang w:eastAsia="zh-CN"/>
        </w:rPr>
        <w:t>是严格执行中央八项规定精神，厉行节约。</w:t>
      </w:r>
    </w:p>
    <w:p>
      <w:pPr>
        <w:pageBreakBefore w:val="0"/>
        <w:kinsoku/>
        <w:wordWrap/>
        <w:overflowPunct/>
        <w:topLinePunct w:val="0"/>
        <w:bidi w:val="0"/>
        <w:ind w:firstLine="722" w:firstLineChars="200"/>
        <w:textAlignment w:val="auto"/>
        <w:rPr>
          <w:rFonts w:hint="default" w:ascii="Times New Roman" w:hAnsi="Times New Roman" w:eastAsia="方正楷体_GBK" w:cs="Times New Roman"/>
          <w:b/>
          <w:bCs/>
          <w:sz w:val="36"/>
          <w:szCs w:val="36"/>
        </w:rPr>
      </w:pPr>
      <w:bookmarkStart w:id="45" w:name="_Toc15377217"/>
      <w:r>
        <w:rPr>
          <w:rFonts w:hint="default" w:ascii="Times New Roman" w:hAnsi="Times New Roman" w:eastAsia="方正楷体_GBK" w:cs="Times New Roman"/>
          <w:b/>
          <w:bCs/>
          <w:sz w:val="36"/>
          <w:szCs w:val="36"/>
        </w:rPr>
        <w:t>（二）“三公”经费财政拨款支出决算具体情况说明</w:t>
      </w:r>
      <w:bookmarkEnd w:id="45"/>
    </w:p>
    <w:p>
      <w:pPr>
        <w:pageBreakBefore w:val="0"/>
        <w:kinsoku/>
        <w:wordWrap/>
        <w:overflowPunct/>
        <w:topLinePunct w:val="0"/>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202</w:t>
      </w:r>
      <w:r>
        <w:rPr>
          <w:rFonts w:hint="eastAsia"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年“三公”经费财政拨款支出</w:t>
      </w:r>
      <w:r>
        <w:rPr>
          <w:rFonts w:hint="default" w:ascii="Times New Roman" w:hAnsi="Times New Roman" w:eastAsia="方正仿宋_GBK" w:cs="Times New Roman"/>
          <w:color w:val="000000"/>
          <w:sz w:val="32"/>
          <w:szCs w:val="32"/>
          <w:lang w:val="en-US" w:eastAsia="zh-CN"/>
        </w:rPr>
        <w:t>1.8</w:t>
      </w:r>
      <w:r>
        <w:rPr>
          <w:rFonts w:hint="default" w:ascii="Times New Roman" w:hAnsi="Times New Roman" w:eastAsia="方正仿宋_GBK" w:cs="Times New Roman"/>
          <w:sz w:val="32"/>
          <w:szCs w:val="32"/>
        </w:rPr>
        <w:t>万元，比202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lang w:val="en-US" w:eastAsia="zh-CN"/>
        </w:rPr>
        <w:t>1.13</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lang w:val="en-US" w:eastAsia="zh-CN"/>
        </w:rPr>
        <w:t>39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highlight w:val="none"/>
        </w:rPr>
        <w:t>主要原因是202</w:t>
      </w: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压缩“三公”经费财政拨款支出</w:t>
      </w:r>
      <w:r>
        <w:rPr>
          <w:rFonts w:hint="default" w:ascii="Times New Roman" w:hAnsi="Times New Roman" w:eastAsia="方正仿宋_GBK" w:cs="Times New Roman"/>
          <w:sz w:val="32"/>
          <w:szCs w:val="32"/>
          <w:highlight w:val="none"/>
        </w:rPr>
        <w:t>。其中：</w:t>
      </w:r>
      <w:r>
        <w:rPr>
          <w:rFonts w:hint="default" w:ascii="Times New Roman" w:hAnsi="Times New Roman" w:eastAsia="方正仿宋_GBK" w:cs="Times New Roman"/>
          <w:color w:val="000000"/>
          <w:sz w:val="32"/>
          <w:szCs w:val="32"/>
          <w:highlight w:val="none"/>
        </w:rPr>
        <w:t>因公出国（境）费支出决算0万元，占0%；公务用车购置及运行维护费支出决算</w:t>
      </w:r>
      <w:r>
        <w:rPr>
          <w:rFonts w:hint="eastAsia" w:ascii="Times New Roman" w:hAnsi="Times New Roman" w:eastAsia="方正仿宋_GBK" w:cs="Times New Roman"/>
          <w:color w:val="000000"/>
          <w:sz w:val="32"/>
          <w:szCs w:val="32"/>
          <w:highlight w:val="none"/>
          <w:lang w:val="en-US" w:eastAsia="zh-CN"/>
        </w:rPr>
        <w:t>0</w:t>
      </w:r>
      <w:r>
        <w:rPr>
          <w:rFonts w:hint="default" w:ascii="Times New Roman" w:hAnsi="Times New Roman" w:eastAsia="方正仿宋_GBK" w:cs="Times New Roman"/>
          <w:color w:val="000000"/>
          <w:sz w:val="32"/>
          <w:szCs w:val="32"/>
          <w:highlight w:val="none"/>
        </w:rPr>
        <w:t>万元，占</w:t>
      </w:r>
      <w:r>
        <w:rPr>
          <w:rFonts w:hint="eastAsia" w:ascii="Times New Roman" w:hAnsi="Times New Roman" w:eastAsia="方正仿宋_GBK" w:cs="Times New Roman"/>
          <w:color w:val="000000"/>
          <w:sz w:val="32"/>
          <w:szCs w:val="32"/>
          <w:highlight w:val="none"/>
          <w:lang w:val="en-US" w:eastAsia="zh-CN"/>
        </w:rPr>
        <w:t>0</w:t>
      </w:r>
      <w:r>
        <w:rPr>
          <w:rFonts w:hint="default" w:ascii="Times New Roman" w:hAnsi="Times New Roman" w:eastAsia="方正仿宋_GBK" w:cs="Times New Roman"/>
          <w:color w:val="000000"/>
          <w:sz w:val="32"/>
          <w:szCs w:val="32"/>
          <w:highlight w:val="none"/>
        </w:rPr>
        <w:t>%；公务接待费支出决算</w:t>
      </w:r>
      <w:r>
        <w:rPr>
          <w:rFonts w:hint="eastAsia" w:ascii="Times New Roman" w:hAnsi="Times New Roman" w:eastAsia="方正仿宋_GBK" w:cs="Times New Roman"/>
          <w:color w:val="000000"/>
          <w:sz w:val="32"/>
          <w:szCs w:val="32"/>
          <w:highlight w:val="none"/>
          <w:lang w:val="en-US" w:eastAsia="zh-CN"/>
        </w:rPr>
        <w:t>1.8</w:t>
      </w:r>
      <w:r>
        <w:rPr>
          <w:rFonts w:hint="default" w:ascii="Times New Roman" w:hAnsi="Times New Roman" w:eastAsia="方正仿宋_GBK" w:cs="Times New Roman"/>
          <w:color w:val="000000"/>
          <w:sz w:val="32"/>
          <w:szCs w:val="32"/>
          <w:highlight w:val="none"/>
        </w:rPr>
        <w:t>万元，占</w:t>
      </w:r>
      <w:r>
        <w:rPr>
          <w:rFonts w:hint="eastAsia" w:ascii="Times New Roman" w:hAnsi="Times New Roman" w:eastAsia="方正仿宋_GBK" w:cs="Times New Roman"/>
          <w:color w:val="000000"/>
          <w:sz w:val="32"/>
          <w:szCs w:val="32"/>
          <w:highlight w:val="none"/>
          <w:lang w:val="en-US" w:eastAsia="zh-CN"/>
        </w:rPr>
        <w:t>100</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rPr>
        <w:t>具体情况如下：</w:t>
      </w:r>
    </w:p>
    <w:p>
      <w:pPr>
        <w:pStyle w:val="2"/>
        <w:pageBreakBefore w:val="0"/>
        <w:kinsoku/>
        <w:wordWrap/>
        <w:overflowPunct/>
        <w:topLinePunct w:val="0"/>
        <w:bidi w:val="0"/>
        <w:spacing w:before="93"/>
        <w:ind w:firstLine="600" w:firstLineChars="200"/>
        <w:jc w:val="center"/>
        <w:textAlignment w:val="auto"/>
        <w:rPr>
          <w:rFonts w:hint="default" w:ascii="Times New Roman" w:hAnsi="Times New Roman" w:cs="Times New Roman"/>
        </w:rPr>
      </w:pPr>
      <w:r>
        <w:rPr>
          <w:rFonts w:hint="default" w:ascii="Times New Roman" w:hAnsi="Times New Roman" w:eastAsia="仿宋" w:cs="Times New Roman"/>
        </w:rPr>
        <w:drawing>
          <wp:inline distT="0" distB="0" distL="114300" distR="114300">
            <wp:extent cx="4104640" cy="2945765"/>
            <wp:effectExtent l="4445" t="4445" r="5715" b="2159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ageBreakBefore w:val="0"/>
        <w:kinsoku/>
        <w:wordWrap/>
        <w:overflowPunct/>
        <w:topLinePunct w:val="0"/>
        <w:bidi w:val="0"/>
        <w:spacing w:line="600" w:lineRule="exact"/>
        <w:ind w:firstLine="640" w:firstLineChars="200"/>
        <w:jc w:val="center"/>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rPr>
        <w:t>（图7：“三公”经费财政拨款支出结</w:t>
      </w:r>
      <w:r>
        <w:rPr>
          <w:rFonts w:hint="default" w:ascii="Times New Roman" w:hAnsi="Times New Roman" w:eastAsia="仿宋" w:cs="Times New Roman"/>
          <w:color w:val="000000"/>
          <w:sz w:val="32"/>
          <w:szCs w:val="32"/>
          <w:highlight w:val="none"/>
        </w:rPr>
        <w:t>构）（饼状图）</w:t>
      </w:r>
    </w:p>
    <w:p>
      <w:pPr>
        <w:pageBreakBefore w:val="0"/>
        <w:kinsoku/>
        <w:wordWrap/>
        <w:overflowPunct/>
        <w:topLinePunct w:val="0"/>
        <w:bidi w:val="0"/>
        <w:spacing w:line="600" w:lineRule="exact"/>
        <w:ind w:firstLine="642" w:firstLineChars="200"/>
        <w:textAlignment w:val="auto"/>
        <w:rPr>
          <w:rFonts w:hint="default" w:ascii="Times New Roman" w:hAnsi="Times New Roman" w:eastAsia="仿宋_GB2312" w:cs="Times New Roman"/>
          <w:b/>
          <w:color w:val="000000"/>
          <w:sz w:val="32"/>
          <w:szCs w:val="32"/>
        </w:rPr>
      </w:pPr>
    </w:p>
    <w:p>
      <w:pPr>
        <w:pageBreakBefore w:val="0"/>
        <w:kinsoku/>
        <w:wordWrap/>
        <w:overflowPunct/>
        <w:topLinePunct w:val="0"/>
        <w:bidi w:val="0"/>
        <w:spacing w:line="600" w:lineRule="exact"/>
        <w:ind w:firstLine="642" w:firstLineChars="200"/>
        <w:textAlignment w:val="auto"/>
        <w:rPr>
          <w:rFonts w:hint="default" w:ascii="Times New Roman" w:hAnsi="Times New Roman" w:eastAsia="仿宋_GB2312" w:cs="Times New Roman"/>
          <w:b/>
          <w:color w:val="000000"/>
          <w:sz w:val="32"/>
          <w:szCs w:val="32"/>
          <w:lang w:eastAsia="zh-CN"/>
        </w:rPr>
      </w:pPr>
      <w:r>
        <w:rPr>
          <w:rFonts w:hint="default" w:ascii="Times New Roman" w:hAnsi="Times New Roman" w:eastAsia="仿宋_GB2312" w:cs="Times New Roman"/>
          <w:b/>
          <w:color w:val="000000"/>
          <w:sz w:val="32"/>
          <w:szCs w:val="32"/>
        </w:rPr>
        <w:t>因公出国（境）经费支出0万元</w:t>
      </w:r>
      <w:r>
        <w:rPr>
          <w:rFonts w:hint="default" w:ascii="Times New Roman" w:hAnsi="Times New Roman" w:eastAsia="仿宋_GB2312" w:cs="Times New Roman"/>
          <w:b/>
          <w:color w:val="000000"/>
          <w:sz w:val="32"/>
          <w:szCs w:val="32"/>
          <w:lang w:eastAsia="zh-CN"/>
        </w:rPr>
        <w:t>，</w:t>
      </w:r>
      <w:r>
        <w:rPr>
          <w:rFonts w:hint="default" w:ascii="Times New Roman" w:hAnsi="Times New Roman" w:eastAsia="方正仿宋_GBK" w:cs="Times New Roman"/>
          <w:color w:val="000000"/>
          <w:sz w:val="33"/>
          <w:szCs w:val="33"/>
          <w:lang w:eastAsia="zh-CN"/>
        </w:rPr>
        <w:t>完成预算</w:t>
      </w:r>
      <w:r>
        <w:rPr>
          <w:rFonts w:hint="default" w:ascii="Times New Roman" w:hAnsi="Times New Roman" w:eastAsia="方正仿宋_GBK" w:cs="Times New Roman"/>
          <w:color w:val="000000"/>
          <w:sz w:val="33"/>
          <w:szCs w:val="33"/>
          <w:lang w:val="en-US" w:eastAsia="zh-CN"/>
        </w:rPr>
        <w:t>0%，与2021年相同，主要原因是2022年我部门没有</w:t>
      </w:r>
      <w:r>
        <w:rPr>
          <w:rFonts w:hint="default" w:ascii="Times New Roman" w:hAnsi="Times New Roman" w:eastAsia="方正仿宋_GBK" w:cs="Times New Roman"/>
          <w:color w:val="000000"/>
          <w:sz w:val="33"/>
          <w:szCs w:val="33"/>
        </w:rPr>
        <w:t>因公出国（境）经费支出。全年安排因公出国（境）团组0次，出国（境）0人。因公出国（境）支出决算</w:t>
      </w:r>
      <w:r>
        <w:rPr>
          <w:rFonts w:hint="default" w:ascii="Times New Roman" w:hAnsi="Times New Roman" w:eastAsia="方正仿宋_GBK" w:cs="Times New Roman"/>
          <w:color w:val="000000"/>
          <w:sz w:val="33"/>
          <w:szCs w:val="33"/>
          <w:lang w:eastAsia="zh-CN"/>
        </w:rPr>
        <w:t>与</w:t>
      </w: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21</w:t>
      </w:r>
      <w:r>
        <w:rPr>
          <w:rFonts w:hint="default" w:ascii="Times New Roman" w:hAnsi="Times New Roman" w:eastAsia="方正仿宋_GBK" w:cs="Times New Roman"/>
          <w:color w:val="000000"/>
          <w:sz w:val="33"/>
          <w:szCs w:val="33"/>
        </w:rPr>
        <w:t>年</w:t>
      </w:r>
      <w:r>
        <w:rPr>
          <w:rFonts w:hint="default" w:ascii="Times New Roman" w:hAnsi="Times New Roman" w:eastAsia="方正仿宋_GBK" w:cs="Times New Roman"/>
          <w:color w:val="000000"/>
          <w:sz w:val="33"/>
          <w:szCs w:val="33"/>
          <w:lang w:eastAsia="zh-CN"/>
        </w:rPr>
        <w:t>相同，为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方正仿宋_GBK" w:cs="Times New Roman"/>
          <w:color w:val="000000"/>
          <w:sz w:val="33"/>
          <w:szCs w:val="33"/>
        </w:rPr>
        <w:t>万元</w:t>
      </w:r>
      <w:r>
        <w:rPr>
          <w:rFonts w:hint="default" w:ascii="Times New Roman" w:hAnsi="Times New Roman" w:eastAsia="仿宋_GB2312" w:cs="Times New Roman"/>
          <w:color w:val="000000"/>
          <w:sz w:val="32"/>
          <w:szCs w:val="32"/>
        </w:rPr>
        <w:t>，</w:t>
      </w:r>
      <w:r>
        <w:rPr>
          <w:rFonts w:hint="default" w:ascii="Times New Roman" w:hAnsi="Times New Roman" w:eastAsia="方正仿宋_GBK" w:cs="Times New Roman"/>
          <w:color w:val="000000"/>
          <w:sz w:val="33"/>
          <w:szCs w:val="33"/>
          <w:lang w:val="en-US" w:eastAsia="zh-CN"/>
        </w:rPr>
        <w:t>主要原因是2022年我部门没有</w:t>
      </w:r>
      <w:r>
        <w:rPr>
          <w:rFonts w:hint="default" w:ascii="Times New Roman" w:hAnsi="Times New Roman" w:eastAsia="方正仿宋_GBK" w:cs="Times New Roman"/>
          <w:color w:val="000000"/>
          <w:sz w:val="33"/>
          <w:szCs w:val="33"/>
        </w:rPr>
        <w:t>因公出国（境）经费支出</w:t>
      </w:r>
      <w:r>
        <w:rPr>
          <w:rFonts w:hint="default" w:ascii="Times New Roman" w:hAnsi="Times New Roman" w:eastAsia="仿宋_GB2312" w:cs="Times New Roman"/>
          <w:color w:val="000000"/>
          <w:sz w:val="32"/>
          <w:szCs w:val="32"/>
        </w:rPr>
        <w:t>。</w:t>
      </w:r>
    </w:p>
    <w:p>
      <w:pPr>
        <w:pageBreakBefore w:val="0"/>
        <w:numPr>
          <w:ilvl w:val="0"/>
          <w:numId w:val="0"/>
        </w:numPr>
        <w:kinsoku/>
        <w:wordWrap/>
        <w:overflowPunct/>
        <w:topLinePunct w:val="0"/>
        <w:bidi w:val="0"/>
        <w:spacing w:line="600" w:lineRule="exact"/>
        <w:ind w:firstLine="642" w:firstLineChars="200"/>
        <w:textAlignment w:val="auto"/>
        <w:rPr>
          <w:rFonts w:hint="eastAsia" w:ascii="Times New Roman" w:hAnsi="Times New Roman" w:eastAsia="仿宋_GB2312" w:cs="Times New Roman"/>
          <w:b/>
          <w:color w:val="000000"/>
          <w:sz w:val="32"/>
          <w:szCs w:val="32"/>
          <w:lang w:eastAsia="zh-CN"/>
        </w:rPr>
      </w:pPr>
      <w:r>
        <w:rPr>
          <w:rFonts w:hint="default" w:ascii="Times New Roman" w:hAnsi="Times New Roman" w:eastAsia="仿宋_GB2312" w:cs="Times New Roman"/>
          <w:b/>
          <w:color w:val="000000"/>
          <w:sz w:val="32"/>
          <w:szCs w:val="32"/>
        </w:rPr>
        <w:t>2</w:t>
      </w:r>
      <w:r>
        <w:rPr>
          <w:rFonts w:hint="default" w:ascii="Times New Roman" w:hAnsi="Times New Roman" w:eastAsia="仿宋_GB2312" w:cs="Times New Roman"/>
          <w:b/>
          <w:color w:val="000000"/>
          <w:sz w:val="32"/>
          <w:szCs w:val="32"/>
          <w:highlight w:val="none"/>
        </w:rPr>
        <w:t>.公务用车购置及运行维护费支出</w:t>
      </w:r>
      <w:r>
        <w:rPr>
          <w:rFonts w:hint="default" w:ascii="Times New Roman" w:hAnsi="Times New Roman" w:eastAsia="仿宋_GB2312" w:cs="Times New Roman"/>
          <w:b/>
          <w:color w:val="000000"/>
          <w:sz w:val="32"/>
          <w:szCs w:val="32"/>
          <w:highlight w:val="none"/>
          <w:lang w:val="en-US" w:eastAsia="zh-CN"/>
        </w:rPr>
        <w:t>0</w:t>
      </w:r>
      <w:r>
        <w:rPr>
          <w:rFonts w:hint="default" w:ascii="Times New Roman" w:hAnsi="Times New Roman" w:eastAsia="仿宋_GB2312" w:cs="Times New Roman"/>
          <w:b/>
          <w:color w:val="000000"/>
          <w:sz w:val="32"/>
          <w:szCs w:val="32"/>
          <w:highlight w:val="none"/>
        </w:rPr>
        <w:t>万元</w:t>
      </w:r>
      <w:r>
        <w:rPr>
          <w:rFonts w:hint="eastAsia" w:ascii="仿宋_GB2312" w:hAnsi="仿宋_GB2312" w:eastAsia="仿宋_GB2312" w:cs="仿宋_GB2312"/>
          <w:color w:val="000000"/>
          <w:sz w:val="32"/>
          <w:szCs w:val="32"/>
          <w:highlight w:val="none"/>
        </w:rPr>
        <w:t>,</w:t>
      </w:r>
      <w:r>
        <w:rPr>
          <w:rFonts w:hint="eastAsia" w:ascii="Times New Roman" w:hAnsi="Times New Roman" w:eastAsia="仿宋_GB2312" w:cs="Times New Roman"/>
          <w:color w:val="000000"/>
          <w:sz w:val="32"/>
          <w:szCs w:val="32"/>
          <w:highlight w:val="none"/>
        </w:rPr>
        <w:t>完成预算</w:t>
      </w:r>
      <w:r>
        <w:rPr>
          <w:rStyle w:val="14"/>
          <w:rFonts w:hint="default" w:ascii="Times New Roman" w:hAnsi="Times New Roman" w:eastAsia="仿宋" w:cs="Times New Roman"/>
          <w:b w:val="0"/>
          <w:bCs/>
          <w:color w:val="000000"/>
          <w:sz w:val="32"/>
          <w:szCs w:val="32"/>
          <w:highlight w:val="none"/>
        </w:rPr>
        <w:t>100%。</w:t>
      </w:r>
      <w:r>
        <w:rPr>
          <w:rFonts w:hint="default" w:ascii="Times New Roman" w:hAnsi="Times New Roman" w:eastAsia="仿宋_GB2312" w:cs="Times New Roman"/>
          <w:color w:val="000000"/>
          <w:sz w:val="32"/>
          <w:szCs w:val="32"/>
          <w:highlight w:val="none"/>
        </w:rPr>
        <w:t>公务用车购置及运行维护费支出决算比202</w:t>
      </w: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减少</w:t>
      </w:r>
      <w:r>
        <w:rPr>
          <w:rFonts w:hint="default" w:ascii="Times New Roman" w:hAnsi="Times New Roman" w:eastAsia="仿宋_GB2312" w:cs="Times New Roman"/>
          <w:color w:val="000000"/>
          <w:sz w:val="32"/>
          <w:szCs w:val="32"/>
          <w:highlight w:val="none"/>
        </w:rPr>
        <w:t>2.55万元，</w:t>
      </w:r>
      <w:r>
        <w:rPr>
          <w:rFonts w:hint="eastAsia" w:ascii="Times New Roman" w:hAnsi="Times New Roman" w:eastAsia="仿宋_GB2312" w:cs="Times New Roman"/>
          <w:color w:val="000000"/>
          <w:sz w:val="32"/>
          <w:szCs w:val="32"/>
          <w:highlight w:val="none"/>
          <w:lang w:eastAsia="zh-CN"/>
        </w:rPr>
        <w:t>减少</w:t>
      </w:r>
      <w:r>
        <w:rPr>
          <w:rFonts w:hint="eastAsia" w:ascii="Times New Roman" w:hAnsi="Times New Roman" w:eastAsia="仿宋_GB2312" w:cs="Times New Roman"/>
          <w:color w:val="000000"/>
          <w:sz w:val="32"/>
          <w:szCs w:val="32"/>
          <w:highlight w:val="none"/>
          <w:lang w:val="en-US" w:eastAsia="zh-CN"/>
        </w:rPr>
        <w:t>100</w:t>
      </w:r>
      <w:r>
        <w:rPr>
          <w:rFonts w:hint="default" w:ascii="Times New Roman" w:hAnsi="Times New Roman" w:eastAsia="仿宋_GB2312" w:cs="Times New Roman"/>
          <w:color w:val="000000"/>
          <w:sz w:val="32"/>
          <w:szCs w:val="32"/>
          <w:highlight w:val="none"/>
        </w:rPr>
        <w:t>%。主要原因是</w:t>
      </w:r>
      <w:r>
        <w:rPr>
          <w:rFonts w:hint="eastAsia" w:eastAsia="仿宋_GB2312" w:cs="Times New Roman"/>
          <w:color w:val="000000"/>
          <w:sz w:val="32"/>
          <w:szCs w:val="32"/>
          <w:highlight w:val="none"/>
          <w:lang w:eastAsia="zh-CN"/>
        </w:rPr>
        <w:t>无</w:t>
      </w:r>
      <w:r>
        <w:rPr>
          <w:rFonts w:hint="eastAsia" w:ascii="Times New Roman" w:hAnsi="Times New Roman" w:eastAsia="仿宋_GB2312" w:cs="Times New Roman"/>
          <w:color w:val="000000"/>
          <w:sz w:val="32"/>
          <w:szCs w:val="32"/>
          <w:highlight w:val="none"/>
          <w:lang w:eastAsia="zh-CN"/>
        </w:rPr>
        <w:t>公务用车</w:t>
      </w:r>
      <w:r>
        <w:rPr>
          <w:rFonts w:hint="eastAsia" w:eastAsia="仿宋_GB2312" w:cs="Times New Roman"/>
          <w:color w:val="000000"/>
          <w:sz w:val="32"/>
          <w:szCs w:val="32"/>
          <w:highlight w:val="none"/>
          <w:lang w:eastAsia="zh-CN"/>
        </w:rPr>
        <w:t>，未产生</w:t>
      </w:r>
      <w:r>
        <w:rPr>
          <w:rFonts w:hint="eastAsia" w:ascii="Times New Roman" w:hAnsi="Times New Roman" w:eastAsia="仿宋_GB2312" w:cs="Times New Roman"/>
          <w:color w:val="000000"/>
          <w:sz w:val="32"/>
          <w:szCs w:val="32"/>
          <w:highlight w:val="none"/>
          <w:lang w:eastAsia="zh-CN"/>
        </w:rPr>
        <w:t>购置及运行维护</w:t>
      </w:r>
      <w:r>
        <w:rPr>
          <w:rFonts w:hint="eastAsia" w:eastAsia="仿宋_GB2312" w:cs="Times New Roman"/>
          <w:color w:val="000000"/>
          <w:sz w:val="32"/>
          <w:szCs w:val="32"/>
          <w:highlight w:val="none"/>
          <w:lang w:eastAsia="zh-CN"/>
        </w:rPr>
        <w:t>等</w:t>
      </w:r>
      <w:r>
        <w:rPr>
          <w:rFonts w:hint="eastAsia" w:ascii="Times New Roman" w:hAnsi="Times New Roman" w:eastAsia="仿宋_GB2312" w:cs="Times New Roman"/>
          <w:color w:val="000000"/>
          <w:sz w:val="32"/>
          <w:szCs w:val="32"/>
          <w:highlight w:val="none"/>
          <w:lang w:eastAsia="zh-CN"/>
        </w:rPr>
        <w:t>情况。</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rPr>
        <w:t>其中：</w:t>
      </w:r>
      <w:r>
        <w:rPr>
          <w:rFonts w:hint="default" w:ascii="Times New Roman" w:hAnsi="Times New Roman" w:eastAsia="仿宋_GB2312" w:cs="Times New Roman"/>
          <w:b/>
          <w:color w:val="000000"/>
          <w:sz w:val="32"/>
          <w:szCs w:val="32"/>
        </w:rPr>
        <w:t>公务用车购置支出0元</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rPr>
        <w:t>截至202</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年12月底，单</w:t>
      </w:r>
      <w:r>
        <w:rPr>
          <w:rFonts w:hint="default" w:ascii="Times New Roman" w:hAnsi="Times New Roman" w:eastAsia="仿宋_GB2312" w:cs="Times New Roman"/>
          <w:color w:val="000000"/>
          <w:sz w:val="32"/>
          <w:szCs w:val="32"/>
          <w:highlight w:val="none"/>
        </w:rPr>
        <w:t>位共有公务用车</w:t>
      </w:r>
      <w:r>
        <w:rPr>
          <w:rFonts w:hint="eastAsia" w:eastAsia="仿宋_GB2312" w:cs="Times New Roman"/>
          <w:color w:val="000000"/>
          <w:sz w:val="32"/>
          <w:szCs w:val="32"/>
          <w:highlight w:val="none"/>
          <w:lang w:val="en-US" w:eastAsia="zh-CN"/>
        </w:rPr>
        <w:t>0</w:t>
      </w:r>
      <w:r>
        <w:rPr>
          <w:rFonts w:hint="default" w:ascii="Times New Roman" w:hAnsi="Times New Roman" w:eastAsia="仿宋_GB2312" w:cs="Times New Roman"/>
          <w:color w:val="000000"/>
          <w:sz w:val="32"/>
          <w:szCs w:val="32"/>
          <w:highlight w:val="none"/>
        </w:rPr>
        <w:t>辆，其中：轿车</w:t>
      </w:r>
      <w:r>
        <w:rPr>
          <w:rFonts w:hint="eastAsia" w:eastAsia="仿宋_GB2312" w:cs="Times New Roman"/>
          <w:color w:val="000000"/>
          <w:sz w:val="32"/>
          <w:szCs w:val="32"/>
          <w:highlight w:val="none"/>
          <w:lang w:val="en-US" w:eastAsia="zh-CN"/>
        </w:rPr>
        <w:t>0</w:t>
      </w:r>
      <w:r>
        <w:rPr>
          <w:rFonts w:hint="default" w:ascii="Times New Roman" w:hAnsi="Times New Roman" w:eastAsia="仿宋_GB2312" w:cs="Times New Roman"/>
          <w:color w:val="000000"/>
          <w:sz w:val="32"/>
          <w:szCs w:val="32"/>
          <w:highlight w:val="none"/>
        </w:rPr>
        <w:t>辆。</w:t>
      </w:r>
    </w:p>
    <w:p>
      <w:pPr>
        <w:pageBreakBefore w:val="0"/>
        <w:kinsoku/>
        <w:wordWrap/>
        <w:overflowPunct/>
        <w:topLinePunct w:val="0"/>
        <w:bidi w:val="0"/>
        <w:spacing w:line="600" w:lineRule="exact"/>
        <w:ind w:firstLine="642" w:firstLineChars="200"/>
        <w:textAlignment w:val="auto"/>
        <w:rPr>
          <w:rFonts w:hint="eastAsia" w:ascii="Times New Roman" w:hAnsi="Times New Roman" w:eastAsia="仿宋_GB2312" w:cs="Times New Roman"/>
          <w:color w:val="000000"/>
          <w:sz w:val="32"/>
          <w:szCs w:val="32"/>
          <w:highlight w:val="yellow"/>
          <w:lang w:eastAsia="zh-CN"/>
        </w:rPr>
      </w:pPr>
      <w:r>
        <w:rPr>
          <w:rFonts w:hint="default" w:ascii="Times New Roman" w:hAnsi="Times New Roman" w:eastAsia="仿宋_GB2312" w:cs="Times New Roman"/>
          <w:b/>
          <w:color w:val="000000"/>
          <w:sz w:val="32"/>
          <w:szCs w:val="32"/>
        </w:rPr>
        <w:t>公务用车运行维护费支出</w:t>
      </w:r>
      <w:r>
        <w:rPr>
          <w:rFonts w:hint="default" w:ascii="Times New Roman" w:hAnsi="Times New Roman" w:eastAsia="仿宋_GB2312" w:cs="Times New Roman"/>
          <w:b/>
          <w:color w:val="000000"/>
          <w:sz w:val="32"/>
          <w:szCs w:val="32"/>
          <w:lang w:val="en-US" w:eastAsia="zh-CN"/>
        </w:rPr>
        <w:t>0</w:t>
      </w:r>
      <w:r>
        <w:rPr>
          <w:rFonts w:hint="default" w:ascii="Times New Roman" w:hAnsi="Times New Roman" w:eastAsia="仿宋_GB2312" w:cs="Times New Roman"/>
          <w:sz w:val="32"/>
          <w:szCs w:val="32"/>
        </w:rPr>
        <w:t>万</w:t>
      </w:r>
      <w:r>
        <w:rPr>
          <w:rFonts w:hint="default" w:ascii="Times New Roman" w:hAnsi="Times New Roman" w:eastAsia="仿宋_GB2312" w:cs="Times New Roman"/>
          <w:sz w:val="32"/>
          <w:szCs w:val="32"/>
          <w:highlight w:val="none"/>
        </w:rPr>
        <w:t>元，比</w:t>
      </w:r>
      <w:r>
        <w:rPr>
          <w:rFonts w:hint="default" w:ascii="Times New Roman" w:hAnsi="Times New Roman" w:eastAsia="仿宋_GB2312" w:cs="Times New Roman"/>
          <w:color w:val="000000"/>
          <w:sz w:val="32"/>
          <w:szCs w:val="32"/>
          <w:highlight w:val="none"/>
        </w:rPr>
        <w:t>202</w:t>
      </w: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eastAsia="zh-CN"/>
        </w:rPr>
        <w:t>减少</w:t>
      </w:r>
      <w:r>
        <w:rPr>
          <w:rFonts w:hint="default" w:ascii="Times New Roman" w:hAnsi="Times New Roman" w:eastAsia="仿宋_GB2312" w:cs="Times New Roman"/>
          <w:sz w:val="32"/>
          <w:szCs w:val="32"/>
          <w:highlight w:val="none"/>
        </w:rPr>
        <w:t>2.55万元，</w:t>
      </w:r>
      <w:r>
        <w:rPr>
          <w:rFonts w:hint="eastAsia" w:ascii="Times New Roman" w:hAnsi="Times New Roman" w:eastAsia="仿宋_GB2312" w:cs="Times New Roman"/>
          <w:sz w:val="32"/>
          <w:szCs w:val="32"/>
          <w:highlight w:val="none"/>
          <w:lang w:eastAsia="zh-CN"/>
        </w:rPr>
        <w:t>减少</w:t>
      </w:r>
      <w:r>
        <w:rPr>
          <w:rFonts w:hint="default" w:ascii="Times New Roman" w:hAnsi="Times New Roman" w:eastAsia="仿宋_GB2312" w:cs="Times New Roman"/>
          <w:sz w:val="32"/>
          <w:szCs w:val="32"/>
          <w:highlight w:val="none"/>
        </w:rPr>
        <w:t>100%，主要原因是</w:t>
      </w:r>
      <w:r>
        <w:rPr>
          <w:rFonts w:hint="eastAsia" w:ascii="Times New Roman" w:hAnsi="Times New Roman" w:eastAsia="仿宋_GB2312" w:cs="Times New Roman"/>
          <w:sz w:val="32"/>
          <w:szCs w:val="32"/>
          <w:highlight w:val="none"/>
          <w:lang w:eastAsia="zh-CN"/>
        </w:rPr>
        <w:t>未产生车辆维修等情况。</w:t>
      </w:r>
    </w:p>
    <w:p>
      <w:pPr>
        <w:pageBreakBefore w:val="0"/>
        <w:kinsoku/>
        <w:wordWrap/>
        <w:overflowPunct/>
        <w:topLinePunct w:val="0"/>
        <w:bidi w:val="0"/>
        <w:spacing w:line="600" w:lineRule="exact"/>
        <w:ind w:firstLine="642" w:firstLineChars="200"/>
        <w:textAlignment w:val="auto"/>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color w:val="000000"/>
          <w:sz w:val="32"/>
          <w:szCs w:val="32"/>
        </w:rPr>
        <w:t>3.公务接待费支出</w:t>
      </w:r>
      <w:r>
        <w:rPr>
          <w:rFonts w:hint="default" w:ascii="Times New Roman" w:hAnsi="Times New Roman" w:eastAsia="仿宋_GB2312" w:cs="Times New Roman"/>
          <w:b w:val="0"/>
          <w:bCs/>
          <w:color w:val="000000"/>
          <w:sz w:val="32"/>
          <w:szCs w:val="32"/>
          <w:lang w:val="en-US" w:eastAsia="zh-CN"/>
        </w:rPr>
        <w:t>1.8</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highlight w:val="none"/>
        </w:rPr>
        <w:t>完成预算</w:t>
      </w:r>
      <w:r>
        <w:rPr>
          <w:rFonts w:hint="eastAsia" w:ascii="Times New Roman" w:hAnsi="Times New Roman" w:eastAsia="仿宋_GB2312" w:cs="Times New Roman"/>
          <w:color w:val="000000"/>
          <w:sz w:val="32"/>
          <w:szCs w:val="32"/>
          <w:highlight w:val="none"/>
          <w:lang w:val="en-US" w:eastAsia="zh-CN"/>
        </w:rPr>
        <w:t>100</w:t>
      </w:r>
      <w:r>
        <w:rPr>
          <w:rFonts w:hint="default" w:ascii="Times New Roman" w:hAnsi="Times New Roman" w:eastAsia="仿宋_GB2312" w:cs="Times New Roman"/>
          <w:color w:val="000000"/>
          <w:sz w:val="32"/>
          <w:szCs w:val="32"/>
          <w:highlight w:val="none"/>
        </w:rPr>
        <w:t>%。公务接待费支出决算比202</w:t>
      </w: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年</w:t>
      </w:r>
      <w:r>
        <w:rPr>
          <w:rFonts w:hint="default" w:ascii="Times New Roman" w:hAnsi="Times New Roman" w:eastAsia="仿宋_GB2312" w:cs="Times New Roman"/>
          <w:color w:val="000000"/>
          <w:sz w:val="32"/>
          <w:szCs w:val="32"/>
          <w:highlight w:val="none"/>
          <w:lang w:eastAsia="zh-CN"/>
        </w:rPr>
        <w:t>增加</w:t>
      </w:r>
      <w:r>
        <w:rPr>
          <w:rFonts w:hint="default" w:ascii="Times New Roman" w:hAnsi="Times New Roman" w:eastAsia="仿宋_GB2312" w:cs="Times New Roman"/>
          <w:color w:val="000000"/>
          <w:sz w:val="32"/>
          <w:szCs w:val="32"/>
          <w:highlight w:val="none"/>
          <w:lang w:val="en-US" w:eastAsia="zh-CN"/>
        </w:rPr>
        <w:t>1.42</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color w:val="000000"/>
          <w:sz w:val="32"/>
          <w:szCs w:val="32"/>
          <w:highlight w:val="none"/>
          <w:lang w:eastAsia="zh-CN"/>
        </w:rPr>
        <w:t>增长</w:t>
      </w:r>
      <w:r>
        <w:rPr>
          <w:rFonts w:hint="default" w:ascii="Times New Roman" w:hAnsi="Times New Roman" w:eastAsia="仿宋_GB2312" w:cs="Times New Roman"/>
          <w:color w:val="000000"/>
          <w:sz w:val="32"/>
          <w:szCs w:val="32"/>
          <w:highlight w:val="none"/>
          <w:lang w:val="en-US" w:eastAsia="zh-CN"/>
        </w:rPr>
        <w:t>37</w:t>
      </w:r>
      <w:r>
        <w:rPr>
          <w:rFonts w:hint="eastAsia" w:ascii="Times New Roman" w:hAnsi="Times New Roman" w:eastAsia="仿宋_GB2312" w:cs="Times New Roman"/>
          <w:color w:val="000000"/>
          <w:sz w:val="32"/>
          <w:szCs w:val="32"/>
          <w:highlight w:val="none"/>
          <w:lang w:val="en-US" w:eastAsia="zh-CN"/>
        </w:rPr>
        <w:t>5.56</w:t>
      </w:r>
      <w:r>
        <w:rPr>
          <w:rFonts w:hint="default" w:ascii="Times New Roman" w:hAnsi="Times New Roman" w:eastAsia="仿宋_GB2312" w:cs="Times New Roman"/>
          <w:color w:val="000000"/>
          <w:sz w:val="32"/>
          <w:szCs w:val="32"/>
          <w:highlight w:val="none"/>
        </w:rPr>
        <w:t>%。主要原因是</w:t>
      </w:r>
      <w:r>
        <w:rPr>
          <w:rFonts w:hint="eastAsia" w:eastAsia="仿宋_GB2312" w:cs="Times New Roman"/>
          <w:color w:val="000000"/>
          <w:sz w:val="32"/>
          <w:szCs w:val="32"/>
          <w:highlight w:val="none"/>
          <w:lang w:eastAsia="zh-CN"/>
        </w:rPr>
        <w:t>受疫情影响</w:t>
      </w:r>
      <w:r>
        <w:rPr>
          <w:rFonts w:hint="default" w:ascii="Times New Roman" w:hAnsi="Times New Roman" w:eastAsia="仿宋_GB2312" w:cs="Times New Roman"/>
          <w:color w:val="000000"/>
          <w:sz w:val="32"/>
          <w:szCs w:val="32"/>
        </w:rPr>
        <w:t>。其中：</w:t>
      </w:r>
      <w:r>
        <w:rPr>
          <w:rFonts w:hint="eastAsia" w:eastAsia="仿宋_GB2312" w:cs="Times New Roman"/>
          <w:color w:val="000000"/>
          <w:sz w:val="32"/>
          <w:szCs w:val="32"/>
          <w:lang w:val="en-US" w:eastAsia="zh-CN"/>
        </w:rPr>
        <w:t xml:space="preserve"> </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highlight w:val="none"/>
        </w:rPr>
        <w:t>国内公务接待支出</w:t>
      </w:r>
      <w:r>
        <w:rPr>
          <w:rFonts w:hint="eastAsia" w:ascii="Times New Roman" w:hAnsi="Times New Roman" w:eastAsia="仿宋_GB2312" w:cs="Times New Roman"/>
          <w:color w:val="000000"/>
          <w:sz w:val="32"/>
          <w:szCs w:val="32"/>
          <w:highlight w:val="none"/>
          <w:lang w:val="en-US" w:eastAsia="zh-CN"/>
        </w:rPr>
        <w:t>1.8</w:t>
      </w:r>
      <w:r>
        <w:rPr>
          <w:rFonts w:hint="default" w:ascii="Times New Roman" w:hAnsi="Times New Roman" w:eastAsia="仿宋_GB2312" w:cs="Times New Roman"/>
          <w:color w:val="000000"/>
          <w:sz w:val="32"/>
          <w:szCs w:val="32"/>
          <w:highlight w:val="none"/>
        </w:rPr>
        <w:t>万元，比202</w:t>
      </w:r>
      <w:r>
        <w:rPr>
          <w:rFonts w:hint="eastAsia"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增加</w:t>
      </w:r>
      <w:r>
        <w:rPr>
          <w:rFonts w:hint="eastAsia" w:ascii="Times New Roman" w:hAnsi="Times New Roman" w:eastAsia="仿宋_GB2312" w:cs="Times New Roman"/>
          <w:color w:val="000000"/>
          <w:sz w:val="32"/>
          <w:szCs w:val="32"/>
          <w:highlight w:val="none"/>
          <w:lang w:val="en-US" w:eastAsia="zh-CN"/>
        </w:rPr>
        <w:t>1.42</w:t>
      </w:r>
      <w:r>
        <w:rPr>
          <w:rFonts w:hint="default" w:ascii="Times New Roman" w:hAnsi="Times New Roman" w:eastAsia="仿宋_GB2312" w:cs="Times New Roman"/>
          <w:color w:val="000000"/>
          <w:sz w:val="32"/>
          <w:szCs w:val="32"/>
          <w:highlight w:val="none"/>
        </w:rPr>
        <w:t>万元，</w:t>
      </w:r>
      <w:r>
        <w:rPr>
          <w:rFonts w:hint="eastAsia" w:ascii="Times New Roman" w:hAnsi="Times New Roman" w:eastAsia="仿宋_GB2312" w:cs="Times New Roman"/>
          <w:color w:val="000000"/>
          <w:sz w:val="32"/>
          <w:szCs w:val="32"/>
          <w:highlight w:val="none"/>
          <w:lang w:eastAsia="zh-CN"/>
        </w:rPr>
        <w:t>增加</w:t>
      </w:r>
      <w:r>
        <w:rPr>
          <w:rFonts w:hint="eastAsia" w:ascii="Times New Roman" w:hAnsi="Times New Roman" w:eastAsia="仿宋_GB2312" w:cs="Times New Roman"/>
          <w:color w:val="000000"/>
          <w:sz w:val="32"/>
          <w:szCs w:val="32"/>
          <w:highlight w:val="none"/>
          <w:lang w:val="en-US" w:eastAsia="zh-CN"/>
        </w:rPr>
        <w:t>374</w:t>
      </w:r>
      <w:r>
        <w:rPr>
          <w:rFonts w:hint="default" w:ascii="Times New Roman" w:hAnsi="Times New Roman" w:eastAsia="仿宋_GB2312" w:cs="Times New Roman"/>
          <w:color w:val="000000"/>
          <w:sz w:val="32"/>
          <w:szCs w:val="32"/>
          <w:highlight w:val="none"/>
        </w:rPr>
        <w:t>%，主要原因是</w:t>
      </w:r>
      <w:r>
        <w:rPr>
          <w:rFonts w:hint="eastAsia" w:eastAsia="仿宋_GB2312" w:cs="Times New Roman"/>
          <w:color w:val="000000"/>
          <w:sz w:val="32"/>
          <w:szCs w:val="32"/>
          <w:highlight w:val="none"/>
          <w:lang w:eastAsia="zh-CN"/>
        </w:rPr>
        <w:t>受疫情影响产生相关费用</w:t>
      </w:r>
      <w:r>
        <w:rPr>
          <w:rFonts w:hint="default" w:ascii="Times New Roman" w:hAnsi="Times New Roman" w:eastAsia="仿宋_GB2312" w:cs="Times New Roman"/>
          <w:color w:val="000000"/>
          <w:sz w:val="32"/>
          <w:szCs w:val="32"/>
          <w:highlight w:val="none"/>
        </w:rPr>
        <w:t>。国内公务接待</w:t>
      </w:r>
      <w:r>
        <w:rPr>
          <w:rFonts w:hint="eastAsia"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批次</w:t>
      </w:r>
      <w:r>
        <w:rPr>
          <w:rFonts w:hint="eastAsia" w:eastAsia="仿宋_GB2312" w:cs="Times New Roman"/>
          <w:color w:val="000000"/>
          <w:sz w:val="32"/>
          <w:szCs w:val="32"/>
          <w:highlight w:val="none"/>
          <w:lang w:eastAsia="zh-CN"/>
        </w:rPr>
        <w:t>（</w:t>
      </w:r>
      <w:r>
        <w:rPr>
          <w:rFonts w:hint="eastAsia"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rPr>
        <w:t>人次</w:t>
      </w:r>
      <w:r>
        <w:rPr>
          <w:rFonts w:hint="eastAsia" w:eastAsia="仿宋_GB2312" w:cs="Times New Roman"/>
          <w:color w:val="000000"/>
          <w:sz w:val="32"/>
          <w:szCs w:val="32"/>
          <w:highlight w:val="none"/>
          <w:lang w:eastAsia="zh-CN"/>
        </w:rPr>
        <w:t>），</w:t>
      </w:r>
      <w:r>
        <w:rPr>
          <w:rFonts w:hint="eastAsia" w:eastAsia="仿宋_GB2312" w:cs="Times New Roman"/>
          <w:color w:val="000000"/>
          <w:sz w:val="32"/>
          <w:szCs w:val="32"/>
          <w:lang w:eastAsia="zh-CN"/>
        </w:rPr>
        <w:t>省中心领导来邻调研</w:t>
      </w:r>
      <w:r>
        <w:rPr>
          <w:rFonts w:hint="default" w:ascii="Times New Roman" w:hAnsi="Times New Roman" w:eastAsia="仿宋_GB2312" w:cs="Times New Roman"/>
          <w:color w:val="000000"/>
          <w:sz w:val="32"/>
          <w:szCs w:val="32"/>
        </w:rPr>
        <w:t>接待用餐共计</w:t>
      </w:r>
      <w:r>
        <w:rPr>
          <w:rFonts w:hint="eastAsia" w:eastAsia="仿宋_GB2312" w:cs="Times New Roman"/>
          <w:color w:val="000000"/>
          <w:sz w:val="32"/>
          <w:szCs w:val="32"/>
          <w:lang w:eastAsia="zh-CN"/>
        </w:rPr>
        <w:t>支出</w:t>
      </w:r>
      <w:r>
        <w:rPr>
          <w:rFonts w:hint="default" w:ascii="Times New Roman" w:hAnsi="Times New Roman" w:eastAsia="仿宋_GB2312" w:cs="Times New Roman"/>
          <w:color w:val="000000"/>
          <w:sz w:val="32"/>
          <w:szCs w:val="32"/>
        </w:rPr>
        <w:t>0.</w:t>
      </w:r>
      <w:r>
        <w:rPr>
          <w:rFonts w:hint="eastAsia" w:eastAsia="仿宋_GB2312" w:cs="Times New Roman"/>
          <w:color w:val="000000"/>
          <w:sz w:val="32"/>
          <w:szCs w:val="32"/>
          <w:lang w:val="en-US" w:eastAsia="zh-CN"/>
        </w:rPr>
        <w:t>13</w:t>
      </w:r>
      <w:r>
        <w:rPr>
          <w:rFonts w:hint="default" w:ascii="Times New Roman" w:hAnsi="Times New Roman" w:eastAsia="仿宋_GB2312" w:cs="Times New Roman"/>
          <w:color w:val="000000"/>
          <w:sz w:val="32"/>
          <w:szCs w:val="32"/>
        </w:rPr>
        <w:t>万元；</w:t>
      </w:r>
      <w:r>
        <w:rPr>
          <w:rFonts w:hint="eastAsia" w:eastAsia="仿宋_GB2312" w:cs="Times New Roman"/>
          <w:color w:val="000000"/>
          <w:sz w:val="32"/>
          <w:szCs w:val="32"/>
          <w:lang w:val="en-US" w:eastAsia="zh-CN"/>
        </w:rPr>
        <w:t>5月10日至5月30日，疫情值班值守用餐180人次，共计8400元，11月12日至12月5日，疫情值班值守用餐131人次，共计5880元，创新文明城市值守人员用餐36人次，共计2382元。</w:t>
      </w:r>
    </w:p>
    <w:p>
      <w:pPr>
        <w:pageBreakBefore w:val="0"/>
        <w:kinsoku/>
        <w:wordWrap/>
        <w:overflowPunct/>
        <w:topLinePunct w:val="0"/>
        <w:bidi w:val="0"/>
        <w:spacing w:line="600" w:lineRule="exact"/>
        <w:ind w:firstLine="642"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仿宋" w:cs="Times New Roman"/>
          <w:b/>
          <w:color w:val="000000"/>
          <w:sz w:val="32"/>
          <w:szCs w:val="32"/>
        </w:rPr>
        <w:t>外事接待支出</w:t>
      </w:r>
      <w:r>
        <w:rPr>
          <w:rFonts w:hint="default" w:ascii="Times New Roman" w:hAnsi="Times New Roman" w:eastAsia="仿宋" w:cs="Times New Roman"/>
          <w:color w:val="000000"/>
          <w:sz w:val="32"/>
          <w:szCs w:val="32"/>
        </w:rPr>
        <w:t>0</w:t>
      </w:r>
      <w:r>
        <w:rPr>
          <w:rFonts w:hint="default" w:ascii="Times New Roman" w:hAnsi="Times New Roman" w:eastAsia="仿宋_GB2312" w:cs="Times New Roman"/>
          <w:color w:val="000000"/>
          <w:sz w:val="32"/>
          <w:szCs w:val="32"/>
        </w:rPr>
        <w:t>万元。</w:t>
      </w:r>
      <w:bookmarkStart w:id="46" w:name="_Toc15377218"/>
      <w:bookmarkStart w:id="47" w:name="_Toc15396610"/>
    </w:p>
    <w:p>
      <w:pPr>
        <w:pageBreakBefore w:val="0"/>
        <w:kinsoku/>
        <w:wordWrap/>
        <w:overflowPunct/>
        <w:topLinePunct w:val="0"/>
        <w:bidi w:val="0"/>
        <w:spacing w:line="600" w:lineRule="exact"/>
        <w:ind w:firstLine="640" w:firstLineChars="200"/>
        <w:textAlignment w:val="auto"/>
        <w:outlineLvl w:val="1"/>
        <w:rPr>
          <w:rStyle w:val="25"/>
          <w:rFonts w:hint="default" w:ascii="Times New Roman" w:hAnsi="Times New Roman" w:eastAsia="方正黑体_GBK" w:cs="Times New Roman"/>
          <w:b w:val="0"/>
          <w:lang w:val="en-US" w:eastAsia="zh-CN" w:bidi="ar-SA"/>
        </w:rPr>
      </w:pPr>
      <w:r>
        <w:rPr>
          <w:rStyle w:val="25"/>
          <w:rFonts w:hint="default" w:ascii="Times New Roman" w:hAnsi="Times New Roman" w:eastAsia="方正黑体_GBK" w:cs="Times New Roman"/>
          <w:b w:val="0"/>
          <w:lang w:val="en-US" w:eastAsia="zh-CN" w:bidi="ar-SA"/>
        </w:rPr>
        <w:t>九、政府性基金预算支出决算情况说明</w:t>
      </w:r>
      <w:bookmarkEnd w:id="46"/>
      <w:bookmarkEnd w:id="47"/>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年政府性基金预算拨款支出0万元。</w:t>
      </w:r>
    </w:p>
    <w:p>
      <w:pPr>
        <w:pageBreakBefore w:val="0"/>
        <w:kinsoku/>
        <w:wordWrap/>
        <w:overflowPunct/>
        <w:topLinePunct w:val="0"/>
        <w:bidi w:val="0"/>
        <w:spacing w:line="600" w:lineRule="exact"/>
        <w:ind w:firstLine="640" w:firstLineChars="200"/>
        <w:textAlignment w:val="auto"/>
        <w:outlineLvl w:val="1"/>
        <w:rPr>
          <w:rStyle w:val="25"/>
          <w:rFonts w:hint="default" w:ascii="Times New Roman" w:hAnsi="Times New Roman" w:eastAsia="方正黑体_GBK" w:cs="Times New Roman"/>
          <w:b w:val="0"/>
          <w:lang w:val="en-US" w:eastAsia="zh-CN" w:bidi="ar-SA"/>
        </w:rPr>
      </w:pPr>
      <w:bookmarkStart w:id="48" w:name="_Toc15396611"/>
      <w:bookmarkStart w:id="49" w:name="_Toc15377219"/>
      <w:r>
        <w:rPr>
          <w:rStyle w:val="25"/>
          <w:rFonts w:hint="default" w:ascii="Times New Roman" w:hAnsi="Times New Roman" w:eastAsia="方正黑体_GBK" w:cs="Times New Roman"/>
          <w:b w:val="0"/>
          <w:lang w:val="en-US" w:eastAsia="zh-CN" w:bidi="ar-SA"/>
        </w:rPr>
        <w:t>十、国有资本经营预算支出决算情况说明</w:t>
      </w:r>
      <w:bookmarkEnd w:id="48"/>
      <w:bookmarkEnd w:id="49"/>
    </w:p>
    <w:p>
      <w:pPr>
        <w:pageBreakBefore w:val="0"/>
        <w:kinsoku/>
        <w:wordWrap/>
        <w:overflowPunct/>
        <w:topLinePunct w:val="0"/>
        <w:bidi w:val="0"/>
        <w:spacing w:line="600" w:lineRule="exact"/>
        <w:ind w:firstLine="640" w:firstLineChars="200"/>
        <w:textAlignment w:val="auto"/>
        <w:rPr>
          <w:rFonts w:hint="default" w:ascii="Times New Roman" w:hAnsi="Times New Roman" w:eastAsia="方正小标宋简体" w:cs="Times New Roman"/>
          <w:sz w:val="44"/>
          <w:szCs w:val="44"/>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年国有资本经营预算拨款支出0万元。</w:t>
      </w:r>
    </w:p>
    <w:p>
      <w:pPr>
        <w:pageBreakBefore w:val="0"/>
        <w:kinsoku/>
        <w:wordWrap/>
        <w:overflowPunct/>
        <w:topLinePunct w:val="0"/>
        <w:bidi w:val="0"/>
        <w:spacing w:line="600" w:lineRule="exact"/>
        <w:ind w:firstLine="640" w:firstLineChars="200"/>
        <w:textAlignment w:val="auto"/>
        <w:outlineLvl w:val="1"/>
        <w:rPr>
          <w:rStyle w:val="25"/>
          <w:rFonts w:hint="default" w:ascii="Times New Roman" w:hAnsi="Times New Roman" w:eastAsia="方正黑体_GBK" w:cs="Times New Roman"/>
          <w:b w:val="0"/>
          <w:lang w:val="en-US" w:eastAsia="zh-CN" w:bidi="ar-SA"/>
        </w:rPr>
      </w:pPr>
      <w:bookmarkStart w:id="50" w:name="_Toc15396612"/>
      <w:bookmarkStart w:id="51" w:name="_Toc15377221"/>
      <w:r>
        <w:rPr>
          <w:rStyle w:val="25"/>
          <w:rFonts w:hint="default" w:ascii="Times New Roman" w:hAnsi="Times New Roman" w:eastAsia="方正黑体_GBK" w:cs="Times New Roman"/>
          <w:b w:val="0"/>
          <w:lang w:val="en-US" w:eastAsia="zh-CN" w:bidi="ar-SA"/>
        </w:rPr>
        <w:t>十一、其他重要事项的情况说明</w:t>
      </w:r>
      <w:bookmarkEnd w:id="50"/>
      <w:bookmarkEnd w:id="51"/>
    </w:p>
    <w:p>
      <w:pPr>
        <w:pageBreakBefore w:val="0"/>
        <w:kinsoku/>
        <w:wordWrap/>
        <w:overflowPunct/>
        <w:topLinePunct w:val="0"/>
        <w:bidi w:val="0"/>
        <w:ind w:firstLine="722" w:firstLineChars="200"/>
        <w:textAlignment w:val="auto"/>
        <w:rPr>
          <w:rFonts w:hint="default" w:ascii="Times New Roman" w:hAnsi="Times New Roman" w:eastAsia="方正楷体_GBK" w:cs="Times New Roman"/>
          <w:b/>
          <w:bCs/>
          <w:sz w:val="36"/>
          <w:szCs w:val="36"/>
        </w:rPr>
      </w:pPr>
      <w:bookmarkStart w:id="52" w:name="_Toc15377222"/>
      <w:r>
        <w:rPr>
          <w:rFonts w:hint="default" w:ascii="Times New Roman" w:hAnsi="Times New Roman" w:eastAsia="方正楷体_GBK" w:cs="Times New Roman"/>
          <w:b/>
          <w:bCs/>
          <w:sz w:val="36"/>
          <w:szCs w:val="36"/>
        </w:rPr>
        <w:t>（一）机关运行经费支出情况</w:t>
      </w:r>
      <w:bookmarkEnd w:id="52"/>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rPr>
      </w:pPr>
      <w:bookmarkStart w:id="53" w:name="_Toc15377223"/>
      <w:r>
        <w:rPr>
          <w:rFonts w:hint="default" w:ascii="Times New Roman" w:hAnsi="Times New Roman" w:eastAsia="仿宋_GB2312" w:cs="Times New Roman"/>
          <w:color w:val="000000"/>
          <w:sz w:val="32"/>
          <w:szCs w:val="32"/>
        </w:rPr>
        <w:t>我部门为事业单位，202</w:t>
      </w: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年无机关运行经费支出。</w:t>
      </w:r>
    </w:p>
    <w:p>
      <w:pPr>
        <w:pageBreakBefore w:val="0"/>
        <w:kinsoku/>
        <w:wordWrap/>
        <w:overflowPunct/>
        <w:topLinePunct w:val="0"/>
        <w:bidi w:val="0"/>
        <w:ind w:firstLine="722" w:firstLineChars="200"/>
        <w:textAlignment w:val="auto"/>
        <w:rPr>
          <w:rFonts w:hint="default" w:ascii="Times New Roman" w:hAnsi="Times New Roman" w:eastAsia="方正楷体_GBK" w:cs="Times New Roman"/>
          <w:b/>
          <w:bCs/>
          <w:sz w:val="36"/>
          <w:szCs w:val="36"/>
        </w:rPr>
      </w:pPr>
      <w:r>
        <w:rPr>
          <w:rFonts w:hint="default" w:ascii="Times New Roman" w:hAnsi="Times New Roman" w:eastAsia="方正楷体_GBK" w:cs="Times New Roman"/>
          <w:b/>
          <w:bCs/>
          <w:sz w:val="36"/>
          <w:szCs w:val="36"/>
        </w:rPr>
        <w:t>（二）政府采购支出情况</w:t>
      </w:r>
      <w:bookmarkEnd w:id="53"/>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年，我部门</w:t>
      </w:r>
      <w:r>
        <w:rPr>
          <w:rFonts w:hint="default" w:ascii="Times New Roman" w:hAnsi="Times New Roman" w:eastAsia="仿宋_GB2312" w:cs="Times New Roman"/>
          <w:color w:val="000000"/>
          <w:sz w:val="32"/>
          <w:szCs w:val="32"/>
          <w:highlight w:val="none"/>
        </w:rPr>
        <w:t>政府采购支出总额</w:t>
      </w:r>
      <w:r>
        <w:rPr>
          <w:rFonts w:hint="eastAsia" w:eastAsia="仿宋_GB2312" w:cs="Times New Roman"/>
          <w:color w:val="000000"/>
          <w:sz w:val="32"/>
          <w:szCs w:val="32"/>
          <w:highlight w:val="none"/>
          <w:lang w:val="en-US" w:eastAsia="zh-CN"/>
        </w:rPr>
        <w:t>4.99</w:t>
      </w:r>
      <w:r>
        <w:rPr>
          <w:rFonts w:hint="default" w:ascii="Times New Roman" w:hAnsi="Times New Roman" w:eastAsia="仿宋_GB2312" w:cs="Times New Roman"/>
          <w:color w:val="000000"/>
          <w:sz w:val="32"/>
          <w:szCs w:val="32"/>
          <w:highlight w:val="none"/>
        </w:rPr>
        <w:t>万元，其中：政府采购货物支出</w:t>
      </w:r>
      <w:r>
        <w:rPr>
          <w:rFonts w:hint="eastAsia" w:eastAsia="仿宋_GB2312" w:cs="Times New Roman"/>
          <w:color w:val="000000"/>
          <w:sz w:val="32"/>
          <w:szCs w:val="32"/>
          <w:highlight w:val="none"/>
          <w:lang w:val="en-US" w:eastAsia="zh-CN"/>
        </w:rPr>
        <w:t>4.99</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color w:val="000000"/>
          <w:sz w:val="32"/>
          <w:szCs w:val="32"/>
        </w:rPr>
        <w:t>、政府采购工程支出0万元、政府采购服务支出0万元。授予中小企业合同金额0万元，占政府采购支出总额的0%，其中：授予小微企业合同金额</w:t>
      </w:r>
      <w:r>
        <w:rPr>
          <w:rFonts w:hint="eastAsia" w:eastAsia="仿宋_GB2312" w:cs="Times New Roman"/>
          <w:color w:val="000000"/>
          <w:sz w:val="32"/>
          <w:szCs w:val="32"/>
          <w:lang w:val="en-US" w:eastAsia="zh-CN"/>
        </w:rPr>
        <w:t>4.99</w:t>
      </w:r>
      <w:r>
        <w:rPr>
          <w:rFonts w:hint="default" w:ascii="Times New Roman" w:hAnsi="Times New Roman" w:eastAsia="仿宋_GB2312" w:cs="Times New Roman"/>
          <w:color w:val="000000"/>
          <w:sz w:val="32"/>
          <w:szCs w:val="32"/>
        </w:rPr>
        <w:t>万元，占政府采购支出总额的</w:t>
      </w:r>
      <w:r>
        <w:rPr>
          <w:rFonts w:hint="eastAsia" w:eastAsia="仿宋_GB2312" w:cs="Times New Roman"/>
          <w:color w:val="000000"/>
          <w:sz w:val="32"/>
          <w:szCs w:val="32"/>
          <w:lang w:val="en-US" w:eastAsia="zh-CN"/>
        </w:rPr>
        <w:t>100</w:t>
      </w:r>
      <w:r>
        <w:rPr>
          <w:rFonts w:hint="default" w:ascii="Times New Roman" w:hAnsi="Times New Roman" w:eastAsia="仿宋_GB2312" w:cs="Times New Roman"/>
          <w:color w:val="000000"/>
          <w:sz w:val="32"/>
          <w:szCs w:val="32"/>
        </w:rPr>
        <w:t>%。</w:t>
      </w:r>
    </w:p>
    <w:p>
      <w:pPr>
        <w:pageBreakBefore w:val="0"/>
        <w:kinsoku/>
        <w:wordWrap/>
        <w:overflowPunct/>
        <w:topLinePunct w:val="0"/>
        <w:bidi w:val="0"/>
        <w:ind w:firstLine="722" w:firstLineChars="200"/>
        <w:textAlignment w:val="auto"/>
        <w:rPr>
          <w:rFonts w:hint="default" w:ascii="Times New Roman" w:hAnsi="Times New Roman" w:eastAsia="方正楷体_GBK" w:cs="Times New Roman"/>
          <w:b/>
          <w:bCs/>
          <w:sz w:val="36"/>
          <w:szCs w:val="36"/>
        </w:rPr>
      </w:pPr>
      <w:bookmarkStart w:id="54" w:name="_Toc15377224"/>
      <w:r>
        <w:rPr>
          <w:rFonts w:hint="default" w:ascii="Times New Roman" w:hAnsi="Times New Roman" w:eastAsia="方正楷体_GBK" w:cs="Times New Roman"/>
          <w:b/>
          <w:bCs/>
          <w:sz w:val="36"/>
          <w:szCs w:val="36"/>
        </w:rPr>
        <w:t>（三）国有资产占有使用情况</w:t>
      </w:r>
      <w:bookmarkEnd w:id="54"/>
    </w:p>
    <w:p>
      <w:pPr>
        <w:keepNext w:val="0"/>
        <w:keepLines w:val="0"/>
        <w:pageBreakBefore w:val="0"/>
        <w:widowControl w:val="0"/>
        <w:kinsoku/>
        <w:wordWrap/>
        <w:overflowPunct/>
        <w:topLinePunct w:val="0"/>
        <w:autoSpaceDE w:val="0"/>
        <w:autoSpaceDN w:val="0"/>
        <w:bidi w:val="0"/>
        <w:adjustRightInd w:val="0"/>
        <w:snapToGrid/>
        <w:spacing w:line="590" w:lineRule="exact"/>
        <w:ind w:firstLine="640" w:firstLineChars="200"/>
        <w:jc w:val="left"/>
        <w:textAlignment w:val="auto"/>
        <w:rPr>
          <w:rFonts w:hint="default" w:ascii="Times New Roman" w:hAnsi="Times New Roman" w:eastAsia="仿宋" w:cs="Times New Roman"/>
          <w:b/>
          <w:color w:val="FF0000"/>
          <w:sz w:val="32"/>
          <w:szCs w:val="32"/>
        </w:rPr>
      </w:pPr>
      <w:r>
        <w:rPr>
          <w:rFonts w:hint="default" w:ascii="Times New Roman" w:hAnsi="Times New Roman" w:eastAsia="仿宋_GB2312" w:cs="Times New Roman"/>
          <w:color w:val="000000"/>
          <w:sz w:val="32"/>
          <w:szCs w:val="32"/>
        </w:rPr>
        <w:t>截至202</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年12月31日，邻水县公共资源交易管理服务办公室共有车辆</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辆，其中：主要领导干部用车0辆、机要通信用车0辆、应急保障用车0辆、其他用车</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w:t>
      </w:r>
      <w:r>
        <w:rPr>
          <w:rFonts w:hint="default" w:ascii="Times New Roman" w:hAnsi="Times New Roman" w:eastAsia="仿宋_GB2312" w:cs="Times New Roman"/>
          <w:color w:val="000000" w:themeColor="text1"/>
          <w:sz w:val="32"/>
          <w:szCs w:val="32"/>
          <w14:textFill>
            <w14:solidFill>
              <w14:schemeClr w14:val="tx1"/>
            </w14:solidFill>
          </w14:textFill>
        </w:rPr>
        <w:t>其他用车主要是用于开展日常项目踏勘工作、扶贫下乡。单价50万元以上通用设备0台（套），单价100</w:t>
      </w:r>
      <w:r>
        <w:rPr>
          <w:rFonts w:hint="default" w:ascii="Times New Roman" w:hAnsi="Times New Roman" w:eastAsia="仿宋_GB2312" w:cs="Times New Roman"/>
          <w:color w:val="000000"/>
          <w:sz w:val="32"/>
          <w:szCs w:val="32"/>
        </w:rPr>
        <w:t>万元以上专用设备0台（套）。</w:t>
      </w:r>
    </w:p>
    <w:p>
      <w:pPr>
        <w:keepNext w:val="0"/>
        <w:keepLines w:val="0"/>
        <w:pageBreakBefore w:val="0"/>
        <w:widowControl w:val="0"/>
        <w:kinsoku/>
        <w:wordWrap/>
        <w:overflowPunct/>
        <w:topLinePunct w:val="0"/>
        <w:bidi w:val="0"/>
        <w:snapToGrid/>
        <w:spacing w:line="590" w:lineRule="exact"/>
        <w:ind w:firstLine="722" w:firstLineChars="200"/>
        <w:textAlignment w:val="auto"/>
        <w:rPr>
          <w:rFonts w:hint="default" w:ascii="Times New Roman" w:hAnsi="Times New Roman" w:eastAsia="方正楷体_GBK" w:cs="Times New Roman"/>
          <w:b/>
          <w:bCs/>
          <w:sz w:val="36"/>
          <w:szCs w:val="36"/>
        </w:rPr>
      </w:pPr>
      <w:r>
        <w:rPr>
          <w:rFonts w:hint="default" w:ascii="Times New Roman" w:hAnsi="Times New Roman" w:eastAsia="方正楷体_GBK" w:cs="Times New Roman"/>
          <w:b/>
          <w:bCs/>
          <w:sz w:val="36"/>
          <w:szCs w:val="36"/>
        </w:rPr>
        <w:t>（四）预算绩效管理情况</w:t>
      </w:r>
    </w:p>
    <w:p>
      <w:pPr>
        <w:keepNext w:val="0"/>
        <w:keepLines w:val="0"/>
        <w:pageBreakBefore w:val="0"/>
        <w:widowControl w:val="0"/>
        <w:kinsoku/>
        <w:wordWrap/>
        <w:overflowPunct/>
        <w:topLinePunct w:val="0"/>
        <w:bidi w:val="0"/>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根据预算绩效管理要求，本部门在年初预算编制阶段，</w:t>
      </w:r>
      <w:r>
        <w:rPr>
          <w:rFonts w:hint="default" w:ascii="Times New Roman" w:hAnsi="Times New Roman" w:eastAsia="仿宋_GB2312" w:cs="Times New Roman"/>
          <w:sz w:val="32"/>
          <w:szCs w:val="32"/>
          <w:highlight w:val="none"/>
        </w:rPr>
        <w:t>对1个项目</w:t>
      </w:r>
      <w:r>
        <w:rPr>
          <w:rFonts w:hint="default" w:ascii="Times New Roman" w:hAnsi="Times New Roman" w:eastAsia="仿宋_GB2312" w:cs="Times New Roman"/>
          <w:sz w:val="32"/>
          <w:szCs w:val="32"/>
        </w:rPr>
        <w:t>全部编制了绩效目标，预算执行过程中，经财政预算调整，年初项目支出预算调整为基本支出预算，调整后本部门无专项预算项目，因此未进行绩效监控，未开展绩效目标完成情况自评。</w:t>
      </w:r>
    </w:p>
    <w:p>
      <w:pPr>
        <w:pageBreakBefore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本部门按要求对202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年部门整体支</w:t>
      </w:r>
      <w:r>
        <w:rPr>
          <w:rFonts w:hint="default" w:ascii="Times New Roman" w:hAnsi="Times New Roman" w:eastAsia="仿宋_GB2312" w:cs="Times New Roman"/>
          <w:sz w:val="32"/>
          <w:szCs w:val="32"/>
          <w:highlight w:val="none"/>
        </w:rPr>
        <w:t>出开展绩效自评，</w:t>
      </w:r>
      <w:r>
        <w:rPr>
          <w:rFonts w:hint="default" w:ascii="Times New Roman" w:hAnsi="Times New Roman" w:eastAsia="仿宋_GB2312" w:cs="Times New Roman"/>
          <w:sz w:val="32"/>
          <w:szCs w:val="32"/>
        </w:rPr>
        <w:t>从评价情况来看，保障了政府采购工作的高效运转，</w:t>
      </w:r>
      <w:r>
        <w:rPr>
          <w:rFonts w:hint="default" w:ascii="Times New Roman" w:hAnsi="Times New Roman" w:eastAsia="仿宋_GB2312" w:cs="Times New Roman"/>
          <w:bCs/>
          <w:sz w:val="32"/>
          <w:szCs w:val="28"/>
        </w:rPr>
        <w:t>完善了硬件配套设施。完善招标采购的配套硬件设施建设，为交易工作提供更好的服务环境，</w:t>
      </w:r>
      <w:r>
        <w:rPr>
          <w:rFonts w:hint="default" w:ascii="Times New Roman" w:hAnsi="Times New Roman" w:eastAsia="仿宋_GB2312" w:cs="Times New Roman"/>
          <w:sz w:val="32"/>
          <w:szCs w:val="32"/>
        </w:rPr>
        <w:t>有力促进了邻水经济的健康有序发展，为全县的经济发展作出了应有的贡献。本部门无专项预算项目，因此未组织开展项目支出绩效评价。</w:t>
      </w:r>
    </w:p>
    <w:p>
      <w:pPr>
        <w:pageBreakBefore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项目绩效目标完成情况</w:t>
      </w:r>
    </w:p>
    <w:p>
      <w:pPr>
        <w:pStyle w:val="2"/>
        <w:keepNext w:val="0"/>
        <w:keepLines w:val="0"/>
        <w:pageBreakBefore w:val="0"/>
        <w:widowControl w:val="0"/>
        <w:kinsoku/>
        <w:wordWrap/>
        <w:overflowPunct/>
        <w:topLinePunct w:val="0"/>
        <w:autoSpaceDE/>
        <w:autoSpaceDN/>
        <w:bidi w:val="0"/>
        <w:adjustRightInd/>
        <w:snapToGrid/>
        <w:spacing w:before="93"/>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本部门无专项预算项目</w:t>
      </w:r>
    </w:p>
    <w:p>
      <w:pPr>
        <w:pageBreakBefore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部门绩效评价结果</w:t>
      </w:r>
    </w:p>
    <w:p>
      <w:pPr>
        <w:pageBreakBefore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本部门按要求对202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年部门整体支出绩效评价情况开展自评，</w:t>
      </w:r>
      <w:r>
        <w:rPr>
          <w:rFonts w:hint="default" w:ascii="Times New Roman" w:hAnsi="Times New Roman" w:eastAsia="仿宋_GB2312" w:cs="Times New Roman"/>
          <w:b/>
          <w:bCs/>
          <w:sz w:val="32"/>
          <w:szCs w:val="32"/>
        </w:rPr>
        <w:t>《邻水县公共资源交易管理服务办公室202</w:t>
      </w: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年部门整体支出绩效评价报告》见附件（附件1）。</w:t>
      </w:r>
    </w:p>
    <w:p>
      <w:pPr>
        <w:pageBreakBefore w:val="0"/>
        <w:kinsoku/>
        <w:wordWrap/>
        <w:overflowPunct/>
        <w:topLinePunct w:val="0"/>
        <w:bidi w:val="0"/>
        <w:spacing w:line="600" w:lineRule="exact"/>
        <w:ind w:firstLine="640" w:firstLineChars="200"/>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本部门无专项预算项目，因此未组织开展项目支出绩效评价。</w:t>
      </w:r>
      <w:bookmarkStart w:id="55" w:name="_Toc15396613"/>
      <w:bookmarkStart w:id="56" w:name="_Toc15377225"/>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pageBreakBefore w:val="0"/>
        <w:kinsoku/>
        <w:wordWrap/>
        <w:overflowPunct/>
        <w:topLinePunct w:val="0"/>
        <w:bidi w:val="0"/>
        <w:textAlignment w:val="auto"/>
        <w:rPr>
          <w:rFonts w:hint="default" w:ascii="Times New Roman" w:hAnsi="Times New Roman" w:eastAsia="仿宋_GB2312" w:cs="Times New Roman"/>
          <w:sz w:val="32"/>
          <w:szCs w:val="32"/>
        </w:rPr>
      </w:pPr>
    </w:p>
    <w:p>
      <w:pPr>
        <w:pStyle w:val="2"/>
        <w:pageBreakBefore w:val="0"/>
        <w:kinsoku/>
        <w:wordWrap/>
        <w:overflowPunct/>
        <w:topLinePunct w:val="0"/>
        <w:bidi w:val="0"/>
        <w:textAlignment w:val="auto"/>
        <w:rPr>
          <w:rFonts w:hint="default" w:ascii="Times New Roman" w:hAnsi="Times New Roman" w:eastAsia="仿宋_GB2312" w:cs="Times New Roman"/>
          <w:sz w:val="32"/>
          <w:szCs w:val="32"/>
        </w:rPr>
      </w:pPr>
    </w:p>
    <w:p>
      <w:pPr>
        <w:pStyle w:val="2"/>
        <w:pageBreakBefore w:val="0"/>
        <w:kinsoku/>
        <w:wordWrap/>
        <w:overflowPunct/>
        <w:topLinePunct w:val="0"/>
        <w:bidi w:val="0"/>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2"/>
        </w:numPr>
        <w:kinsoku/>
        <w:wordWrap/>
        <w:overflowPunct/>
        <w:topLinePunct w:val="0"/>
        <w:bidi w:val="0"/>
        <w:snapToGrid/>
        <w:spacing w:line="600" w:lineRule="exact"/>
        <w:ind w:firstLine="880" w:firstLineChars="200"/>
        <w:jc w:val="center"/>
        <w:textAlignment w:val="auto"/>
        <w:outlineLvl w:val="0"/>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名词解释</w:t>
      </w:r>
      <w:bookmarkEnd w:id="55"/>
      <w:bookmarkEnd w:id="56"/>
    </w:p>
    <w:p>
      <w:pPr>
        <w:pStyle w:val="2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bookmarkStart w:id="57" w:name="_Toc15396614"/>
      <w:bookmarkStart w:id="58" w:name="_Toc15377226"/>
      <w:r>
        <w:rPr>
          <w:rFonts w:hint="default" w:ascii="Times New Roman" w:hAnsi="Times New Roman" w:eastAsia="仿宋_GB2312" w:cs="Times New Roman"/>
          <w:sz w:val="32"/>
          <w:szCs w:val="32"/>
        </w:rPr>
        <w:t>1.财政拨款收入：指单位从同级财政部门取得的财政预算资金。</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2.一般公共服务（类）政府办公厅（室）及相关机构事务（款）事业运行（项）：指为保障机构正常运转、完成日常工作任务而发生的人员支出和公用支出。</w:t>
      </w:r>
    </w:p>
    <w:p>
      <w:pPr>
        <w:pageBreakBefore w:val="0"/>
        <w:kinsoku/>
        <w:wordWrap/>
        <w:overflowPunct/>
        <w:topLinePunct w:val="0"/>
        <w:bidi w:val="0"/>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3.一般公共服务（类）政府办公厅（室）及相关机构事务（款）其他政府办公厅（室）及相关机构事务支出（项）指为保障机构正常运转、完成日常工作任务而发生的人员支出和公用支出。</w:t>
      </w:r>
    </w:p>
    <w:p>
      <w:pPr>
        <w:pageBreakBefore w:val="0"/>
        <w:kinsoku/>
        <w:wordWrap/>
        <w:overflowPunct/>
        <w:topLinePunct w:val="0"/>
        <w:bidi w:val="0"/>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4.社会保障和就业（类）行政事业单位养老支出（款） 机关事业单位基本养老保险缴费支出（项）：指单位为工作人员缴纳养老保险及失业工伤保险而发生的支出。</w:t>
      </w:r>
    </w:p>
    <w:p>
      <w:pPr>
        <w:pageBreakBefore w:val="0"/>
        <w:kinsoku/>
        <w:wordWrap/>
        <w:overflowPunct/>
        <w:topLinePunct w:val="0"/>
        <w:bidi w:val="0"/>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.社会保障和就业（类）行政事业单位养老支出（款）  机关事业单位职业年金缴费支出（项）：指单位为工作人员缴纳</w:t>
      </w:r>
      <w:r>
        <w:rPr>
          <w:rFonts w:hint="default" w:ascii="Times New Roman" w:hAnsi="Times New Roman" w:eastAsia="仿宋_GB2312" w:cs="Times New Roman"/>
          <w:color w:val="000000"/>
          <w:kern w:val="0"/>
          <w:sz w:val="32"/>
          <w:szCs w:val="32"/>
          <w:lang w:eastAsia="zh-CN"/>
        </w:rPr>
        <w:t>职业年金</w:t>
      </w:r>
      <w:r>
        <w:rPr>
          <w:rFonts w:hint="default" w:ascii="Times New Roman" w:hAnsi="Times New Roman" w:eastAsia="仿宋_GB2312" w:cs="Times New Roman"/>
          <w:color w:val="000000"/>
          <w:kern w:val="0"/>
          <w:sz w:val="32"/>
          <w:szCs w:val="32"/>
        </w:rPr>
        <w:t>而发生的支出。</w:t>
      </w:r>
    </w:p>
    <w:p>
      <w:pPr>
        <w:pageBreakBefore w:val="0"/>
        <w:kinsoku/>
        <w:wordWrap/>
        <w:overflowPunct/>
        <w:topLinePunct w:val="0"/>
        <w:bidi w:val="0"/>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rPr>
        <w:t>.卫生健康（类）计划生育事务（款）其他计划生育事务支出（项）:指单位为工作人员缴纳医疗保险而发生的支出。</w:t>
      </w:r>
    </w:p>
    <w:p>
      <w:pPr>
        <w:pageBreakBefore w:val="0"/>
        <w:kinsoku/>
        <w:wordWrap/>
        <w:overflowPunct/>
        <w:topLinePunct w:val="0"/>
        <w:bidi w:val="0"/>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7</w:t>
      </w:r>
      <w:r>
        <w:rPr>
          <w:rFonts w:hint="default" w:ascii="Times New Roman" w:hAnsi="Times New Roman" w:eastAsia="仿宋_GB2312" w:cs="Times New Roman"/>
          <w:color w:val="000000"/>
          <w:kern w:val="0"/>
          <w:sz w:val="32"/>
          <w:szCs w:val="32"/>
        </w:rPr>
        <w:t>.卫生健康（类）行政事业单位医疗（款）事业单位医疗（项）:指单位为工作人员缴纳医疗保险而发生的支出。</w:t>
      </w:r>
    </w:p>
    <w:p>
      <w:pPr>
        <w:pageBreakBefore w:val="0"/>
        <w:kinsoku/>
        <w:wordWrap/>
        <w:overflowPunct/>
        <w:topLinePunct w:val="0"/>
        <w:bidi w:val="0"/>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8</w:t>
      </w:r>
      <w:r>
        <w:rPr>
          <w:rFonts w:hint="default" w:ascii="Times New Roman" w:hAnsi="Times New Roman" w:eastAsia="仿宋_GB2312" w:cs="Times New Roman"/>
          <w:color w:val="000000"/>
          <w:kern w:val="0"/>
          <w:sz w:val="32"/>
          <w:szCs w:val="32"/>
        </w:rPr>
        <w:t>.住房保障支出（类）住房改革支出（款） 住房公积金（项）：指单位为工作人员购买住房公积金发生的支出。</w:t>
      </w:r>
    </w:p>
    <w:p>
      <w:pPr>
        <w:pageBreakBefore w:val="0"/>
        <w:kinsoku/>
        <w:wordWrap/>
        <w:overflowPunct/>
        <w:topLinePunct w:val="0"/>
        <w:bidi w:val="0"/>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.基本支出：指为保障机构正常运转、完成日常工作任务而发生的人员支出和公用支出。</w:t>
      </w:r>
    </w:p>
    <w:p>
      <w:pPr>
        <w:pStyle w:val="22"/>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“三公”经费</w:t>
      </w:r>
      <w:r>
        <w:rPr>
          <w:rFonts w:hint="default" w:ascii="Times New Roman" w:hAnsi="Times New Roman" w:eastAsia="仿宋_GB2312" w:cs="Times New Roman"/>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ageBreakBefore w:val="0"/>
        <w:kinsoku/>
        <w:wordWrap/>
        <w:overflowPunct/>
        <w:topLinePunct w:val="0"/>
        <w:bidi w:val="0"/>
        <w:spacing w:line="600" w:lineRule="exact"/>
        <w:ind w:firstLine="640" w:firstLineChars="200"/>
        <w:jc w:val="left"/>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kinsoku/>
        <w:wordWrap/>
        <w:overflowPunct/>
        <w:topLinePunct w:val="0"/>
        <w:bidi w:val="0"/>
        <w:spacing w:line="600" w:lineRule="exact"/>
        <w:ind w:firstLine="640" w:firstLineChars="200"/>
        <w:jc w:val="center"/>
        <w:textAlignment w:val="auto"/>
        <w:outlineLvl w:val="0"/>
        <w:rPr>
          <w:rFonts w:hint="default" w:ascii="Times New Roman" w:hAnsi="Times New Roman" w:eastAsia="仿宋_GB2312" w:cs="Times New Roman"/>
          <w:sz w:val="32"/>
          <w:szCs w:val="32"/>
        </w:rPr>
      </w:pPr>
    </w:p>
    <w:p>
      <w:pPr>
        <w:pStyle w:val="2"/>
        <w:pageBreakBefore w:val="0"/>
        <w:kinsoku/>
        <w:wordWrap/>
        <w:overflowPunct/>
        <w:topLinePunct w:val="0"/>
        <w:bidi w:val="0"/>
        <w:ind w:firstLine="640" w:firstLineChars="200"/>
        <w:textAlignment w:val="auto"/>
        <w:rPr>
          <w:rFonts w:hint="default" w:ascii="Times New Roman" w:hAnsi="Times New Roman" w:eastAsia="仿宋_GB2312" w:cs="Times New Roman"/>
          <w:sz w:val="32"/>
          <w:szCs w:val="32"/>
        </w:rPr>
      </w:pPr>
    </w:p>
    <w:p>
      <w:pPr>
        <w:pageBreakBefore w:val="0"/>
        <w:kinsoku/>
        <w:wordWrap/>
        <w:overflowPunct/>
        <w:topLinePunct w:val="0"/>
        <w:bidi w:val="0"/>
        <w:spacing w:line="600" w:lineRule="exact"/>
        <w:jc w:val="both"/>
        <w:textAlignment w:val="auto"/>
        <w:outlineLvl w:val="0"/>
        <w:rPr>
          <w:rFonts w:hint="default" w:ascii="Times New Roman" w:hAnsi="Times New Roman" w:eastAsia="黑体" w:cs="Times New Roman"/>
          <w:color w:val="000000"/>
          <w:sz w:val="44"/>
          <w:szCs w:val="44"/>
        </w:rPr>
      </w:pPr>
    </w:p>
    <w:p>
      <w:pPr>
        <w:pStyle w:val="2"/>
        <w:rPr>
          <w:rFonts w:hint="default" w:ascii="Times New Roman" w:hAnsi="Times New Roman" w:eastAsia="黑体" w:cs="Times New Roman"/>
          <w:color w:val="000000"/>
          <w:sz w:val="44"/>
          <w:szCs w:val="44"/>
        </w:rPr>
      </w:pPr>
    </w:p>
    <w:p>
      <w:pPr>
        <w:pStyle w:val="2"/>
        <w:rPr>
          <w:rFonts w:hint="default" w:ascii="Times New Roman" w:hAnsi="Times New Roman" w:eastAsia="黑体" w:cs="Times New Roman"/>
          <w:color w:val="000000"/>
          <w:sz w:val="44"/>
          <w:szCs w:val="44"/>
        </w:rPr>
      </w:pPr>
    </w:p>
    <w:p>
      <w:pPr>
        <w:pStyle w:val="2"/>
        <w:rPr>
          <w:rFonts w:hint="default" w:ascii="Times New Roman" w:hAnsi="Times New Roman" w:eastAsia="黑体" w:cs="Times New Roman"/>
          <w:color w:val="000000"/>
          <w:sz w:val="44"/>
          <w:szCs w:val="44"/>
        </w:rPr>
      </w:pPr>
    </w:p>
    <w:p>
      <w:pPr>
        <w:pageBreakBefore w:val="0"/>
        <w:kinsoku/>
        <w:wordWrap/>
        <w:overflowPunct/>
        <w:topLinePunct w:val="0"/>
        <w:bidi w:val="0"/>
        <w:spacing w:line="600" w:lineRule="exact"/>
        <w:ind w:firstLine="880" w:firstLineChars="200"/>
        <w:jc w:val="center"/>
        <w:textAlignment w:val="auto"/>
        <w:outlineLvl w:val="0"/>
        <w:rPr>
          <w:rStyle w:val="24"/>
          <w:rFonts w:hint="default" w:ascii="Times New Roman" w:hAnsi="Times New Roman" w:eastAsia="黑体" w:cs="Times New Roman"/>
          <w:b w:val="0"/>
        </w:rPr>
      </w:pPr>
      <w:r>
        <w:rPr>
          <w:rFonts w:hint="default" w:ascii="Times New Roman" w:hAnsi="Times New Roman" w:eastAsia="黑体" w:cs="Times New Roman"/>
          <w:color w:val="000000"/>
          <w:sz w:val="44"/>
          <w:szCs w:val="44"/>
        </w:rPr>
        <w:t>第</w:t>
      </w:r>
      <w:r>
        <w:rPr>
          <w:rStyle w:val="24"/>
          <w:rFonts w:hint="default" w:ascii="Times New Roman" w:hAnsi="Times New Roman" w:eastAsia="黑体" w:cs="Times New Roman"/>
          <w:b w:val="0"/>
        </w:rPr>
        <w:t>四部分 附件</w:t>
      </w:r>
      <w:bookmarkEnd w:id="57"/>
    </w:p>
    <w:p>
      <w:pPr>
        <w:pageBreakBefore w:val="0"/>
        <w:kinsoku/>
        <w:wordWrap/>
        <w:overflowPunct/>
        <w:topLinePunct w:val="0"/>
        <w:bidi w:val="0"/>
        <w:spacing w:line="600" w:lineRule="exact"/>
        <w:ind w:firstLine="640" w:firstLineChars="200"/>
        <w:jc w:val="left"/>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pageBreakBefore w:val="0"/>
        <w:kinsoku/>
        <w:wordWrap/>
        <w:overflowPunct/>
        <w:topLinePunct w:val="0"/>
        <w:bidi w:val="0"/>
        <w:spacing w:line="580" w:lineRule="exact"/>
        <w:ind w:firstLine="880" w:firstLineChars="200"/>
        <w:jc w:val="center"/>
        <w:textAlignment w:val="auto"/>
        <w:rPr>
          <w:rFonts w:hint="default" w:ascii="Times New Roman" w:hAnsi="Times New Roman" w:eastAsia="方正小标宋简体" w:cs="Times New Roman"/>
          <w:sz w:val="44"/>
          <w:szCs w:val="44"/>
        </w:rPr>
      </w:pPr>
    </w:p>
    <w:p>
      <w:pPr>
        <w:pageBreakBefore w:val="0"/>
        <w:kinsoku/>
        <w:wordWrap/>
        <w:overflowPunct/>
        <w:topLinePunct w:val="0"/>
        <w:bidi w:val="0"/>
        <w:spacing w:line="600" w:lineRule="exact"/>
        <w:ind w:firstLine="800" w:firstLineChars="200"/>
        <w:jc w:val="center"/>
        <w:textAlignment w:val="auto"/>
        <w:rPr>
          <w:rFonts w:hint="default" w:ascii="Times New Roman" w:hAnsi="Times New Roman" w:eastAsia="方正小标宋简体" w:cs="Times New Roman"/>
          <w:color w:val="000000"/>
          <w:kern w:val="0"/>
          <w:sz w:val="40"/>
          <w:szCs w:val="44"/>
          <w:lang w:val="zh-CN"/>
        </w:rPr>
      </w:pPr>
      <w:r>
        <w:rPr>
          <w:rFonts w:hint="default" w:ascii="Times New Roman" w:hAnsi="Times New Roman" w:eastAsia="方正小标宋简体" w:cs="Times New Roman"/>
          <w:color w:val="000000"/>
          <w:kern w:val="0"/>
          <w:sz w:val="40"/>
          <w:szCs w:val="44"/>
        </w:rPr>
        <w:t>邻水县公共资源交易管理服务办公室      202</w:t>
      </w:r>
      <w:r>
        <w:rPr>
          <w:rFonts w:hint="default" w:ascii="Times New Roman" w:hAnsi="Times New Roman" w:eastAsia="方正小标宋简体" w:cs="Times New Roman"/>
          <w:color w:val="000000"/>
          <w:kern w:val="0"/>
          <w:sz w:val="40"/>
          <w:szCs w:val="44"/>
          <w:lang w:val="en-US" w:eastAsia="zh-CN"/>
        </w:rPr>
        <w:t>2</w:t>
      </w:r>
      <w:r>
        <w:rPr>
          <w:rFonts w:hint="default" w:ascii="Times New Roman" w:hAnsi="Times New Roman" w:eastAsia="方正小标宋简体" w:cs="Times New Roman"/>
          <w:color w:val="000000"/>
          <w:kern w:val="0"/>
          <w:sz w:val="40"/>
          <w:szCs w:val="44"/>
        </w:rPr>
        <w:t>年部门</w:t>
      </w:r>
      <w:r>
        <w:rPr>
          <w:rFonts w:hint="default" w:ascii="Times New Roman" w:hAnsi="Times New Roman" w:eastAsia="方正小标宋简体" w:cs="Times New Roman"/>
          <w:color w:val="000000"/>
          <w:kern w:val="0"/>
          <w:sz w:val="40"/>
          <w:szCs w:val="44"/>
          <w:lang w:val="zh-CN"/>
        </w:rPr>
        <w:t>整体支出绩效评价报告</w:t>
      </w:r>
    </w:p>
    <w:p>
      <w:pPr>
        <w:pageBreakBefore w:val="0"/>
        <w:widowControl/>
        <w:kinsoku/>
        <w:wordWrap/>
        <w:overflowPunct/>
        <w:topLinePunct w:val="0"/>
        <w:bidi w:val="0"/>
        <w:adjustRightInd w:val="0"/>
        <w:snapToGrid w:val="0"/>
        <w:spacing w:line="580" w:lineRule="exact"/>
        <w:ind w:firstLine="640" w:firstLineChars="200"/>
        <w:contextualSpacing/>
        <w:jc w:val="left"/>
        <w:textAlignment w:val="auto"/>
        <w:rPr>
          <w:rFonts w:hint="default" w:ascii="Times New Roman" w:hAnsi="Times New Roman" w:eastAsia="黑体" w:cs="Times New Roman"/>
          <w:color w:val="000000"/>
          <w:kern w:val="0"/>
          <w:sz w:val="32"/>
          <w:szCs w:val="32"/>
          <w:shd w:val="clear" w:color="auto" w:fill="FFFFFF"/>
        </w:rPr>
      </w:pPr>
    </w:p>
    <w:p>
      <w:pPr>
        <w:pageBreakBefore w:val="0"/>
        <w:kinsoku/>
        <w:wordWrap/>
        <w:overflowPunct/>
        <w:topLinePunct w:val="0"/>
        <w:bidi w:val="0"/>
        <w:spacing w:line="600" w:lineRule="exact"/>
        <w:ind w:firstLine="640" w:firstLineChars="200"/>
        <w:textAlignment w:val="auto"/>
        <w:outlineLvl w:val="1"/>
        <w:rPr>
          <w:rStyle w:val="25"/>
          <w:rFonts w:hint="default" w:ascii="Times New Roman" w:hAnsi="Times New Roman" w:eastAsia="方正黑体_GBK" w:cs="Times New Roman"/>
          <w:b w:val="0"/>
          <w:lang w:val="zh-CN" w:eastAsia="zh-CN" w:bidi="ar-SA"/>
        </w:rPr>
      </w:pPr>
      <w:r>
        <w:rPr>
          <w:rStyle w:val="25"/>
          <w:rFonts w:hint="default" w:ascii="Times New Roman" w:hAnsi="Times New Roman" w:eastAsia="方正黑体_GBK" w:cs="Times New Roman"/>
          <w:b w:val="0"/>
          <w:lang w:val="en-US" w:eastAsia="zh-CN" w:bidi="ar-SA"/>
        </w:rPr>
        <w:t>一、</w:t>
      </w:r>
      <w:r>
        <w:rPr>
          <w:rStyle w:val="25"/>
          <w:rFonts w:hint="default" w:ascii="Times New Roman" w:hAnsi="Times New Roman" w:eastAsia="方正黑体_GBK" w:cs="Times New Roman"/>
          <w:b w:val="0"/>
          <w:lang w:val="zh-CN" w:eastAsia="zh-CN" w:bidi="ar-SA"/>
        </w:rPr>
        <w:t>部门（单位）概况</w:t>
      </w:r>
    </w:p>
    <w:p>
      <w:pPr>
        <w:pageBreakBefore w:val="0"/>
        <w:kinsoku/>
        <w:wordWrap/>
        <w:overflowPunct/>
        <w:topLinePunct w:val="0"/>
        <w:bidi w:val="0"/>
        <w:ind w:firstLine="722" w:firstLineChars="200"/>
        <w:textAlignment w:val="auto"/>
        <w:rPr>
          <w:rFonts w:hint="default" w:ascii="Times New Roman" w:hAnsi="Times New Roman" w:eastAsia="方正楷体_GBK" w:cs="Times New Roman"/>
          <w:b/>
          <w:bCs/>
          <w:sz w:val="36"/>
          <w:szCs w:val="36"/>
          <w:lang w:val="zh-CN"/>
        </w:rPr>
      </w:pPr>
      <w:r>
        <w:rPr>
          <w:rFonts w:hint="default" w:ascii="Times New Roman" w:hAnsi="Times New Roman" w:eastAsia="方正楷体_GBK" w:cs="Times New Roman"/>
          <w:b/>
          <w:bCs/>
          <w:sz w:val="36"/>
          <w:szCs w:val="36"/>
          <w:lang w:val="zh-CN"/>
        </w:rPr>
        <w:t>（一）机构组成</w:t>
      </w:r>
    </w:p>
    <w:p>
      <w:pPr>
        <w:pageBreakBefore w:val="0"/>
        <w:kinsoku/>
        <w:wordWrap/>
        <w:overflowPunct/>
        <w:topLinePunct w:val="0"/>
        <w:bidi w:val="0"/>
        <w:spacing w:line="560" w:lineRule="exact"/>
        <w:ind w:firstLine="640" w:firstLineChars="200"/>
        <w:textAlignment w:val="auto"/>
        <w:rPr>
          <w:rFonts w:hint="default" w:ascii="Times New Roman" w:hAnsi="Times New Roman" w:cs="Times New Roman"/>
          <w:lang w:val="zh-CN"/>
        </w:rPr>
      </w:pPr>
      <w:r>
        <w:rPr>
          <w:rFonts w:hint="default" w:ascii="Times New Roman" w:hAnsi="Times New Roman" w:eastAsia="方正仿宋_GBK" w:cs="Times New Roman"/>
          <w:color w:val="000000"/>
          <w:sz w:val="32"/>
          <w:szCs w:val="32"/>
        </w:rPr>
        <w:t>邻水县公共资源交易管理服务办公室为邻水县人民政府管理的公益一类正科级事业单位，内设综合股、交易受理股、交易编审股、交易组织股、交易评审股、交易监督股、信息技术股七个股室。</w:t>
      </w:r>
    </w:p>
    <w:p>
      <w:pPr>
        <w:pageBreakBefore w:val="0"/>
        <w:kinsoku/>
        <w:wordWrap/>
        <w:overflowPunct/>
        <w:topLinePunct w:val="0"/>
        <w:bidi w:val="0"/>
        <w:ind w:firstLine="722" w:firstLineChars="200"/>
        <w:textAlignment w:val="auto"/>
        <w:rPr>
          <w:rFonts w:hint="default" w:ascii="Times New Roman" w:hAnsi="Times New Roman" w:eastAsia="方正楷体_GBK" w:cs="Times New Roman"/>
          <w:b/>
          <w:bCs/>
          <w:sz w:val="36"/>
          <w:szCs w:val="36"/>
          <w:lang w:val="zh-CN"/>
        </w:rPr>
      </w:pPr>
      <w:r>
        <w:rPr>
          <w:rFonts w:hint="default" w:ascii="Times New Roman" w:hAnsi="Times New Roman" w:eastAsia="方正楷体_GBK" w:cs="Times New Roman"/>
          <w:b/>
          <w:bCs/>
          <w:sz w:val="36"/>
          <w:szCs w:val="36"/>
          <w:lang w:val="zh-CN"/>
        </w:rPr>
        <w:t>（二）机构职能</w:t>
      </w:r>
    </w:p>
    <w:p>
      <w:pPr>
        <w:pageBreakBefore w:val="0"/>
        <w:kinsoku/>
        <w:wordWrap/>
        <w:overflowPunct/>
        <w:topLinePunct w:val="0"/>
        <w:bidi w:val="0"/>
        <w:spacing w:line="560" w:lineRule="exact"/>
        <w:ind w:firstLine="640" w:firstLineChars="200"/>
        <w:textAlignment w:val="auto"/>
        <w:rPr>
          <w:rFonts w:hint="default" w:ascii="Times New Roman" w:hAnsi="Times New Roman" w:cs="Times New Roman"/>
          <w:lang w:val="zh-CN"/>
        </w:rPr>
      </w:pPr>
      <w:r>
        <w:rPr>
          <w:rFonts w:hint="default" w:ascii="Times New Roman" w:hAnsi="Times New Roman" w:eastAsia="方正仿宋_GBK" w:cs="Times New Roman"/>
          <w:sz w:val="32"/>
          <w:szCs w:val="32"/>
        </w:rPr>
        <w:t>贯彻实施公共资源交易服务相关法律、法规和政策，落实中省市县关于公共资源交易的决策部署。拟定全县公共资源交易管理办法和交易规则经研究后组织实施。对全县公共资源交易项目和农村产权交易项目进行综合管理和协调服务。受广安市公共资源交易中心委托，承担邻水县区域的公共资源交易实施和服务工作；负责公共资源交易目录以外项目交易实施和服务工作。承担县级公共资源交易平台和农村产权交易平台建设和管理服务工作。指导县级各部门（单位）、乡镇公共资源交易综合效益评价、评估工作。</w:t>
      </w:r>
    </w:p>
    <w:p>
      <w:pPr>
        <w:pageBreakBefore w:val="0"/>
        <w:kinsoku/>
        <w:wordWrap/>
        <w:overflowPunct/>
        <w:topLinePunct w:val="0"/>
        <w:bidi w:val="0"/>
        <w:ind w:firstLine="722" w:firstLineChars="200"/>
        <w:textAlignment w:val="auto"/>
        <w:rPr>
          <w:rFonts w:hint="default" w:ascii="Times New Roman" w:hAnsi="Times New Roman" w:eastAsia="方正楷体_GBK" w:cs="Times New Roman"/>
          <w:b/>
          <w:bCs/>
          <w:sz w:val="36"/>
          <w:szCs w:val="36"/>
          <w:lang w:val="zh-CN"/>
        </w:rPr>
      </w:pPr>
      <w:r>
        <w:rPr>
          <w:rFonts w:hint="default" w:ascii="Times New Roman" w:hAnsi="Times New Roman" w:eastAsia="方正楷体_GBK" w:cs="Times New Roman"/>
          <w:b/>
          <w:bCs/>
          <w:sz w:val="36"/>
          <w:szCs w:val="36"/>
          <w:lang w:val="zh-CN"/>
        </w:rPr>
        <w:t>（三）人员概况</w:t>
      </w:r>
    </w:p>
    <w:p>
      <w:pPr>
        <w:pageBreakBefore w:val="0"/>
        <w:kinsoku/>
        <w:wordWrap/>
        <w:overflowPunct/>
        <w:topLinePunct w:val="0"/>
        <w:bidi w:val="0"/>
        <w:spacing w:line="560" w:lineRule="exact"/>
        <w:ind w:firstLine="640" w:firstLineChars="200"/>
        <w:textAlignment w:val="auto"/>
        <w:rPr>
          <w:rFonts w:hint="default" w:ascii="Times New Roman" w:hAnsi="Times New Roman" w:cs="Times New Roman"/>
          <w:lang w:val="zh-CN"/>
        </w:rPr>
      </w:pPr>
      <w:r>
        <w:rPr>
          <w:rFonts w:hint="default" w:ascii="Times New Roman" w:hAnsi="Times New Roman" w:eastAsia="方正仿宋_GBK" w:cs="Times New Roman"/>
          <w:sz w:val="32"/>
          <w:szCs w:val="32"/>
        </w:rPr>
        <w:t>邻水县公共资源交易管理服务办公室核定编制</w:t>
      </w:r>
      <w:r>
        <w:rPr>
          <w:rFonts w:hint="eastAsia" w:eastAsia="方正仿宋_GBK" w:cs="Times New Roman"/>
          <w:sz w:val="32"/>
          <w:szCs w:val="32"/>
          <w:lang w:val="en-US" w:eastAsia="zh-CN"/>
        </w:rPr>
        <w:t>19</w:t>
      </w:r>
      <w:r>
        <w:rPr>
          <w:rFonts w:hint="default" w:ascii="Times New Roman" w:hAnsi="Times New Roman" w:eastAsia="方正仿宋_GBK" w:cs="Times New Roman"/>
          <w:sz w:val="32"/>
          <w:szCs w:val="32"/>
        </w:rPr>
        <w:t>名，</w:t>
      </w:r>
      <w:r>
        <w:rPr>
          <w:rFonts w:hint="eastAsia" w:eastAsia="方正仿宋_GBK" w:cs="Times New Roman"/>
          <w:sz w:val="32"/>
          <w:szCs w:val="32"/>
          <w:lang w:eastAsia="zh-CN"/>
        </w:rPr>
        <w:t>其中</w:t>
      </w:r>
      <w:r>
        <w:rPr>
          <w:rFonts w:hint="default" w:ascii="Times New Roman" w:hAnsi="Times New Roman" w:eastAsia="方正仿宋_GBK" w:cs="Times New Roman"/>
          <w:sz w:val="32"/>
          <w:szCs w:val="32"/>
        </w:rPr>
        <w:t>主任1名，副主任</w:t>
      </w: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rPr>
        <w:t>名，股级领导职数6名</w:t>
      </w:r>
      <w:r>
        <w:rPr>
          <w:rFonts w:hint="eastAsia" w:eastAsia="方正仿宋_GBK" w:cs="Times New Roman"/>
          <w:sz w:val="32"/>
          <w:szCs w:val="32"/>
          <w:lang w:eastAsia="zh-CN"/>
        </w:rPr>
        <w:t>，另有劳务派遣人员</w:t>
      </w:r>
      <w:r>
        <w:rPr>
          <w:rFonts w:hint="eastAsia" w:eastAsia="方正仿宋_GBK" w:cs="Times New Roman"/>
          <w:sz w:val="32"/>
          <w:szCs w:val="32"/>
          <w:lang w:val="en-US" w:eastAsia="zh-CN"/>
        </w:rPr>
        <w:t>2名，</w:t>
      </w:r>
      <w:r>
        <w:rPr>
          <w:rFonts w:hint="default" w:ascii="Times New Roman" w:hAnsi="Times New Roman" w:eastAsia="方正仿宋_GBK" w:cs="Times New Roman"/>
          <w:sz w:val="32"/>
          <w:szCs w:val="32"/>
        </w:rPr>
        <w:t>现有人员</w:t>
      </w:r>
      <w:r>
        <w:rPr>
          <w:rFonts w:hint="eastAsia" w:eastAsia="方正仿宋_GBK" w:cs="Times New Roman"/>
          <w:sz w:val="32"/>
          <w:szCs w:val="32"/>
          <w:lang w:val="en-US" w:eastAsia="zh-CN"/>
        </w:rPr>
        <w:t>22</w:t>
      </w:r>
      <w:r>
        <w:rPr>
          <w:rFonts w:hint="default" w:ascii="Times New Roman" w:hAnsi="Times New Roman" w:eastAsia="方正仿宋_GBK" w:cs="Times New Roman"/>
          <w:sz w:val="32"/>
          <w:szCs w:val="32"/>
        </w:rPr>
        <w:t>名。</w:t>
      </w:r>
    </w:p>
    <w:p>
      <w:pPr>
        <w:pageBreakBefore w:val="0"/>
        <w:kinsoku/>
        <w:wordWrap/>
        <w:overflowPunct/>
        <w:topLinePunct w:val="0"/>
        <w:bidi w:val="0"/>
        <w:spacing w:line="600" w:lineRule="exact"/>
        <w:ind w:firstLine="640" w:firstLineChars="200"/>
        <w:textAlignment w:val="auto"/>
        <w:outlineLvl w:val="1"/>
        <w:rPr>
          <w:rStyle w:val="25"/>
          <w:rFonts w:hint="default" w:ascii="Times New Roman" w:hAnsi="Times New Roman" w:eastAsia="方正黑体_GBK" w:cs="Times New Roman"/>
          <w:b w:val="0"/>
          <w:lang w:val="en-US" w:eastAsia="zh-CN" w:bidi="ar-SA"/>
        </w:rPr>
      </w:pPr>
      <w:r>
        <w:rPr>
          <w:rStyle w:val="25"/>
          <w:rFonts w:hint="default" w:ascii="Times New Roman" w:hAnsi="Times New Roman" w:eastAsia="方正黑体_GBK" w:cs="Times New Roman"/>
          <w:b w:val="0"/>
          <w:lang w:val="en-US" w:eastAsia="zh-CN" w:bidi="ar-SA"/>
        </w:rPr>
        <w:t>二、部门财政资金收支情况</w:t>
      </w:r>
    </w:p>
    <w:p>
      <w:pPr>
        <w:pageBreakBefore w:val="0"/>
        <w:kinsoku/>
        <w:wordWrap/>
        <w:overflowPunct/>
        <w:topLinePunct w:val="0"/>
        <w:bidi w:val="0"/>
        <w:ind w:firstLine="722" w:firstLineChars="200"/>
        <w:textAlignment w:val="auto"/>
        <w:rPr>
          <w:rFonts w:hint="default" w:ascii="Times New Roman" w:hAnsi="Times New Roman" w:eastAsia="方正楷体_GBK" w:cs="Times New Roman"/>
          <w:b/>
          <w:bCs/>
          <w:sz w:val="36"/>
          <w:szCs w:val="36"/>
          <w:lang w:val="zh-CN"/>
        </w:rPr>
      </w:pPr>
      <w:r>
        <w:rPr>
          <w:rFonts w:hint="default" w:ascii="Times New Roman" w:hAnsi="Times New Roman" w:eastAsia="方正楷体_GBK" w:cs="Times New Roman"/>
          <w:b/>
          <w:bCs/>
          <w:sz w:val="36"/>
          <w:szCs w:val="36"/>
          <w:lang w:val="zh-CN"/>
        </w:rPr>
        <w:t>（一）部门财政资金收入情况</w:t>
      </w:r>
    </w:p>
    <w:p>
      <w:pPr>
        <w:pageBreakBefore w:val="0"/>
        <w:kinsoku/>
        <w:wordWrap/>
        <w:overflowPunct/>
        <w:topLinePunct w:val="0"/>
        <w:bidi w:val="0"/>
        <w:spacing w:line="560" w:lineRule="exact"/>
        <w:ind w:firstLine="640" w:firstLineChars="200"/>
        <w:textAlignment w:val="auto"/>
        <w:rPr>
          <w:rFonts w:hint="default" w:ascii="Times New Roman" w:hAnsi="Times New Roman" w:cs="Times New Roman"/>
          <w:lang w:val="zh-CN"/>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年财政预算收入</w:t>
      </w:r>
      <w:r>
        <w:rPr>
          <w:rFonts w:hint="default" w:ascii="Times New Roman" w:hAnsi="Times New Roman" w:eastAsia="方正仿宋_GBK" w:cs="Times New Roman"/>
          <w:sz w:val="32"/>
          <w:szCs w:val="32"/>
          <w:lang w:val="en-US" w:eastAsia="zh-CN"/>
        </w:rPr>
        <w:t>458.08</w:t>
      </w:r>
      <w:r>
        <w:rPr>
          <w:rFonts w:hint="default" w:ascii="Times New Roman" w:hAnsi="Times New Roman" w:eastAsia="方正仿宋_GBK" w:cs="Times New Roman"/>
          <w:sz w:val="32"/>
          <w:szCs w:val="32"/>
        </w:rPr>
        <w:t>万元。其中一般公共财政预算收入</w:t>
      </w:r>
      <w:r>
        <w:rPr>
          <w:rFonts w:hint="default" w:ascii="Times New Roman" w:hAnsi="Times New Roman" w:eastAsia="方正仿宋_GBK" w:cs="Times New Roman"/>
          <w:sz w:val="32"/>
          <w:szCs w:val="32"/>
          <w:lang w:val="en-US" w:eastAsia="zh-CN"/>
        </w:rPr>
        <w:t>458.08</w:t>
      </w:r>
      <w:r>
        <w:rPr>
          <w:rFonts w:hint="default" w:ascii="Times New Roman" w:hAnsi="Times New Roman" w:eastAsia="方正仿宋_GBK" w:cs="Times New Roman"/>
          <w:sz w:val="32"/>
          <w:szCs w:val="32"/>
        </w:rPr>
        <w:t>万元。</w:t>
      </w:r>
    </w:p>
    <w:p>
      <w:pPr>
        <w:pageBreakBefore w:val="0"/>
        <w:kinsoku/>
        <w:wordWrap/>
        <w:overflowPunct/>
        <w:topLinePunct w:val="0"/>
        <w:bidi w:val="0"/>
        <w:ind w:firstLine="722" w:firstLineChars="200"/>
        <w:textAlignment w:val="auto"/>
        <w:rPr>
          <w:rFonts w:hint="default" w:ascii="Times New Roman" w:hAnsi="Times New Roman" w:eastAsia="方正楷体_GBK" w:cs="Times New Roman"/>
          <w:b/>
          <w:bCs/>
          <w:sz w:val="36"/>
          <w:szCs w:val="36"/>
          <w:lang w:val="zh-CN"/>
        </w:rPr>
      </w:pPr>
      <w:r>
        <w:rPr>
          <w:rFonts w:hint="default" w:ascii="Times New Roman" w:hAnsi="Times New Roman" w:eastAsia="方正楷体_GBK" w:cs="Times New Roman"/>
          <w:b/>
          <w:bCs/>
          <w:sz w:val="36"/>
          <w:szCs w:val="36"/>
          <w:lang w:val="zh-CN"/>
        </w:rPr>
        <w:t>（二）部门财政资金支出情况</w:t>
      </w:r>
    </w:p>
    <w:p>
      <w:pPr>
        <w:pageBreakBefore w:val="0"/>
        <w:kinsoku/>
        <w:wordWrap/>
        <w:overflowPunct/>
        <w:topLinePunct w:val="0"/>
        <w:bidi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年邻水县公共资源交易管理服务办公室支出总额为</w:t>
      </w:r>
      <w:r>
        <w:rPr>
          <w:rFonts w:hint="default" w:ascii="Times New Roman" w:hAnsi="Times New Roman" w:eastAsia="方正仿宋_GBK" w:cs="Times New Roman"/>
          <w:sz w:val="32"/>
          <w:szCs w:val="32"/>
          <w:lang w:val="en-US" w:eastAsia="zh-CN"/>
        </w:rPr>
        <w:t>458.08</w:t>
      </w:r>
      <w:r>
        <w:rPr>
          <w:rFonts w:hint="default" w:ascii="Times New Roman" w:hAnsi="Times New Roman" w:eastAsia="方正仿宋_GBK" w:cs="Times New Roman"/>
          <w:sz w:val="32"/>
          <w:szCs w:val="32"/>
        </w:rPr>
        <w:t>万元，其中：一般公共服务支出</w:t>
      </w:r>
      <w:r>
        <w:rPr>
          <w:rFonts w:hint="default" w:ascii="Times New Roman" w:hAnsi="Times New Roman" w:eastAsia="方正仿宋_GBK" w:cs="Times New Roman"/>
          <w:sz w:val="32"/>
          <w:szCs w:val="32"/>
          <w:lang w:val="en-US" w:eastAsia="zh-CN"/>
        </w:rPr>
        <w:t>404.6</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color w:val="000000"/>
          <w:sz w:val="32"/>
          <w:szCs w:val="32"/>
        </w:rPr>
        <w:t>社会保障和就业支出</w:t>
      </w:r>
      <w:r>
        <w:rPr>
          <w:rFonts w:hint="default" w:ascii="Times New Roman" w:hAnsi="Times New Roman" w:eastAsia="方正仿宋_GBK" w:cs="Times New Roman"/>
          <w:sz w:val="32"/>
          <w:szCs w:val="32"/>
          <w:lang w:val="en-US" w:eastAsia="zh-CN"/>
        </w:rPr>
        <w:t>20.48</w:t>
      </w:r>
      <w:r>
        <w:rPr>
          <w:rFonts w:hint="default" w:ascii="Times New Roman" w:hAnsi="Times New Roman" w:eastAsia="方正仿宋_GBK" w:cs="Times New Roman"/>
          <w:color w:val="000000"/>
          <w:sz w:val="32"/>
          <w:szCs w:val="32"/>
        </w:rPr>
        <w:t>万元</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sz w:val="32"/>
          <w:szCs w:val="32"/>
        </w:rPr>
        <w:t>卫生健康支出</w:t>
      </w:r>
      <w:r>
        <w:rPr>
          <w:rFonts w:hint="default" w:ascii="Times New Roman" w:hAnsi="Times New Roman" w:eastAsia="方正仿宋_GBK" w:cs="Times New Roman"/>
          <w:sz w:val="32"/>
          <w:szCs w:val="32"/>
          <w:lang w:val="en-US" w:eastAsia="zh-CN"/>
        </w:rPr>
        <w:t>8.04</w:t>
      </w:r>
      <w:r>
        <w:rPr>
          <w:rFonts w:hint="default" w:ascii="Times New Roman" w:hAnsi="Times New Roman" w:eastAsia="方正仿宋_GBK" w:cs="Times New Roman"/>
          <w:color w:val="000000"/>
          <w:sz w:val="32"/>
          <w:szCs w:val="32"/>
        </w:rPr>
        <w:t>万元</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sz w:val="32"/>
          <w:szCs w:val="32"/>
        </w:rPr>
        <w:t>住房保障支出</w:t>
      </w:r>
      <w:r>
        <w:rPr>
          <w:rFonts w:hint="default" w:ascii="Times New Roman" w:hAnsi="Times New Roman" w:eastAsia="方正仿宋_GBK" w:cs="Times New Roman"/>
          <w:sz w:val="32"/>
          <w:szCs w:val="32"/>
          <w:lang w:val="en-US" w:eastAsia="zh-CN"/>
        </w:rPr>
        <w:t>24.96</w:t>
      </w:r>
      <w:r>
        <w:rPr>
          <w:rFonts w:hint="default" w:ascii="Times New Roman" w:hAnsi="Times New Roman" w:eastAsia="方正仿宋_GBK" w:cs="Times New Roman"/>
          <w:color w:val="000000"/>
          <w:sz w:val="32"/>
          <w:szCs w:val="32"/>
        </w:rPr>
        <w:t>万元</w:t>
      </w:r>
      <w:r>
        <w:rPr>
          <w:rFonts w:hint="default" w:ascii="Times New Roman" w:hAnsi="Times New Roman" w:eastAsia="方正仿宋_GBK" w:cs="Times New Roman"/>
          <w:sz w:val="32"/>
          <w:szCs w:val="32"/>
        </w:rPr>
        <w:t>。</w:t>
      </w:r>
    </w:p>
    <w:p>
      <w:pPr>
        <w:pageBreakBefore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邻水县公共资源交易管理服务办公室财政资金支出主要用于保障部门机构正常运转、完成日常工作任务以及承担全县工程招投标、政府采购、国有产权交易、土地拍卖等事业发展相关工作。  </w:t>
      </w:r>
    </w:p>
    <w:p>
      <w:pPr>
        <w:pageBreakBefore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按支出功能分类主要用于以下方面:</w:t>
      </w:r>
    </w:p>
    <w:p>
      <w:pPr>
        <w:pageBreakBefore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一般公共服务支出</w:t>
      </w:r>
      <w:r>
        <w:rPr>
          <w:rFonts w:hint="default" w:ascii="Times New Roman" w:hAnsi="Times New Roman" w:eastAsia="方正仿宋_GBK" w:cs="Times New Roman"/>
          <w:sz w:val="32"/>
          <w:szCs w:val="32"/>
          <w:lang w:val="en-US" w:eastAsia="zh-CN"/>
        </w:rPr>
        <w:t>404.6</w:t>
      </w:r>
      <w:r>
        <w:rPr>
          <w:rFonts w:hint="default" w:ascii="Times New Roman" w:hAnsi="Times New Roman" w:eastAsia="方正仿宋_GBK" w:cs="Times New Roman"/>
          <w:sz w:val="32"/>
          <w:szCs w:val="32"/>
        </w:rPr>
        <w:t>万元，主要用于：基本支出及项目支出。基本支出指维持单位日常运转费用包含：职工工资、津补贴、办公费、印刷费、邮电费、差旅费、维修维护费、培训费、公务接待费等。项目支出指公共资源交易服务费及网络运行维护费，包括</w:t>
      </w:r>
      <w:r>
        <w:rPr>
          <w:rFonts w:hint="default" w:ascii="Times New Roman" w:hAnsi="Times New Roman" w:eastAsia="方正仿宋_GBK" w:cs="Times New Roman"/>
          <w:sz w:val="32"/>
          <w:szCs w:val="32"/>
          <w:lang w:val="zh-CN"/>
        </w:rPr>
        <w:t>专家评审劳务费、土地出让服务费、公共资源交易服务保障费用、网络平台运行维护费</w:t>
      </w:r>
      <w:r>
        <w:rPr>
          <w:rFonts w:hint="default" w:ascii="Times New Roman" w:hAnsi="Times New Roman" w:eastAsia="方正仿宋_GBK" w:cs="Times New Roman"/>
          <w:sz w:val="32"/>
          <w:szCs w:val="32"/>
        </w:rPr>
        <w:t>等。</w:t>
      </w:r>
    </w:p>
    <w:p>
      <w:pPr>
        <w:pageBreakBefore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社会保障和就业支出</w:t>
      </w:r>
      <w:r>
        <w:rPr>
          <w:rFonts w:hint="default" w:ascii="Times New Roman" w:hAnsi="Times New Roman" w:eastAsia="方正仿宋_GBK" w:cs="Times New Roman"/>
          <w:sz w:val="32"/>
          <w:szCs w:val="32"/>
          <w:lang w:val="en-US" w:eastAsia="zh-CN"/>
        </w:rPr>
        <w:t>20.48</w:t>
      </w:r>
      <w:r>
        <w:rPr>
          <w:rFonts w:hint="default" w:ascii="Times New Roman" w:hAnsi="Times New Roman" w:eastAsia="方正仿宋_GBK" w:cs="Times New Roman"/>
          <w:sz w:val="32"/>
          <w:szCs w:val="32"/>
        </w:rPr>
        <w:t>万元，主要用于：职工养老保险及职业年金失业保险。</w:t>
      </w:r>
    </w:p>
    <w:p>
      <w:pPr>
        <w:pageBreakBefore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卫生健康支出</w:t>
      </w:r>
      <w:r>
        <w:rPr>
          <w:rFonts w:hint="default" w:ascii="Times New Roman" w:hAnsi="Times New Roman" w:eastAsia="方正仿宋_GBK" w:cs="Times New Roman"/>
          <w:sz w:val="32"/>
          <w:szCs w:val="32"/>
          <w:lang w:val="en-US" w:eastAsia="zh-CN"/>
        </w:rPr>
        <w:t>8.04</w:t>
      </w:r>
      <w:r>
        <w:rPr>
          <w:rFonts w:hint="default" w:ascii="Times New Roman" w:hAnsi="Times New Roman" w:eastAsia="方正仿宋_GBK" w:cs="Times New Roman"/>
          <w:sz w:val="32"/>
          <w:szCs w:val="32"/>
        </w:rPr>
        <w:t>万元，主要用于单位职工医疗保障支出。</w:t>
      </w:r>
    </w:p>
    <w:p>
      <w:pPr>
        <w:pageBreakBefore w:val="0"/>
        <w:kinsoku/>
        <w:wordWrap/>
        <w:overflowPunct/>
        <w:topLinePunct w:val="0"/>
        <w:bidi w:val="0"/>
        <w:spacing w:line="58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lang w:val="en-US" w:eastAsia="zh-CN"/>
        </w:rPr>
        <w:t>24.96</w:t>
      </w:r>
      <w:r>
        <w:rPr>
          <w:rFonts w:hint="default" w:ascii="Times New Roman" w:hAnsi="Times New Roman" w:eastAsia="方正仿宋_GBK" w:cs="Times New Roman"/>
          <w:sz w:val="32"/>
          <w:szCs w:val="32"/>
        </w:rPr>
        <w:t>万元，主要用于：单位职工住房公积金。</w:t>
      </w:r>
    </w:p>
    <w:p>
      <w:pPr>
        <w:pageBreakBefore w:val="0"/>
        <w:kinsoku/>
        <w:wordWrap/>
        <w:overflowPunct/>
        <w:topLinePunct w:val="0"/>
        <w:bidi w:val="0"/>
        <w:spacing w:line="600" w:lineRule="exact"/>
        <w:ind w:firstLine="640" w:firstLineChars="200"/>
        <w:textAlignment w:val="auto"/>
        <w:outlineLvl w:val="1"/>
        <w:rPr>
          <w:rStyle w:val="25"/>
          <w:rFonts w:hint="default" w:ascii="Times New Roman" w:hAnsi="Times New Roman" w:eastAsia="方正黑体_GBK" w:cs="Times New Roman"/>
          <w:b w:val="0"/>
          <w:lang w:val="en-US" w:eastAsia="zh-CN" w:bidi="ar-SA"/>
        </w:rPr>
      </w:pPr>
      <w:r>
        <w:rPr>
          <w:rStyle w:val="25"/>
          <w:rFonts w:hint="default" w:ascii="Times New Roman" w:hAnsi="Times New Roman" w:eastAsia="方正黑体_GBK" w:cs="Times New Roman"/>
          <w:b w:val="0"/>
          <w:lang w:val="en-US" w:eastAsia="zh-CN" w:bidi="ar-SA"/>
        </w:rPr>
        <w:t>三、部门整体预算绩效管理情况</w:t>
      </w:r>
    </w:p>
    <w:p>
      <w:pPr>
        <w:pageBreakBefore w:val="0"/>
        <w:kinsoku/>
        <w:wordWrap/>
        <w:overflowPunct/>
        <w:topLinePunct w:val="0"/>
        <w:bidi w:val="0"/>
        <w:ind w:firstLine="722" w:firstLineChars="200"/>
        <w:textAlignment w:val="auto"/>
        <w:rPr>
          <w:rFonts w:hint="default" w:ascii="Times New Roman" w:hAnsi="Times New Roman" w:eastAsia="方正楷体_GBK" w:cs="Times New Roman"/>
          <w:b/>
          <w:bCs/>
          <w:sz w:val="36"/>
          <w:szCs w:val="36"/>
          <w:lang w:val="zh-CN"/>
        </w:rPr>
      </w:pPr>
      <w:r>
        <w:rPr>
          <w:rFonts w:hint="default" w:ascii="Times New Roman" w:hAnsi="Times New Roman" w:eastAsia="方正楷体_GBK" w:cs="Times New Roman"/>
          <w:b/>
          <w:bCs/>
          <w:sz w:val="36"/>
          <w:szCs w:val="36"/>
          <w:lang w:val="zh-CN"/>
        </w:rPr>
        <w:t>（一）部门预算绩效管理</w:t>
      </w:r>
    </w:p>
    <w:p>
      <w:pPr>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kern w:val="0"/>
          <w:szCs w:val="32"/>
          <w:shd w:val="clear" w:color="auto" w:fill="FFFFFF"/>
          <w:lang w:val="zh-CN"/>
        </w:rPr>
      </w:pPr>
      <w:r>
        <w:rPr>
          <w:rFonts w:hint="default" w:ascii="Times New Roman" w:hAnsi="Times New Roman" w:eastAsia="方正仿宋_GBK" w:cs="Times New Roman"/>
          <w:sz w:val="32"/>
          <w:szCs w:val="32"/>
        </w:rPr>
        <w:t>按照县财政局202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年部门预算编制通知要求，按时完成部门年初预算编制工作。部门绩效目标制定要素完整、</w:t>
      </w:r>
      <w:r>
        <w:rPr>
          <w:rFonts w:hint="default" w:ascii="Times New Roman" w:hAnsi="Times New Roman" w:eastAsia="方正仿宋_GBK" w:cs="Times New Roman"/>
          <w:sz w:val="32"/>
          <w:szCs w:val="32"/>
          <w:lang w:val="zh-CN"/>
        </w:rPr>
        <w:t>以县委、县政府绩效目标指标为核心细化量化，部门绩效目标实际实现程度与预期目标基本一致，预算编制准确度较高。</w:t>
      </w:r>
      <w:r>
        <w:rPr>
          <w:rFonts w:hint="default" w:ascii="Times New Roman" w:hAnsi="Times New Roman" w:eastAsia="方正仿宋_GBK" w:cs="Times New Roman"/>
          <w:sz w:val="32"/>
          <w:szCs w:val="32"/>
        </w:rPr>
        <w:t>在编制过程中，认真核实单位实际财政供养人数和单位实有编制情况，正确编制人员经费和公用经费等，做到尽量细化资金支出预算范围和科目，及时上报财政相关股室进行审核，对所编制的预算予以调整通过。</w:t>
      </w:r>
      <w:r>
        <w:rPr>
          <w:rFonts w:hint="default" w:ascii="Times New Roman" w:hAnsi="Times New Roman" w:eastAsia="方正仿宋_GBK" w:cs="Times New Roman"/>
          <w:sz w:val="32"/>
          <w:szCs w:val="32"/>
          <w:lang w:val="zh-CN"/>
        </w:rPr>
        <w:t>县公共资源交易管理服务办公室</w:t>
      </w:r>
      <w:r>
        <w:rPr>
          <w:rFonts w:hint="default" w:ascii="Times New Roman" w:hAnsi="Times New Roman" w:eastAsia="方正仿宋_GBK" w:cs="Times New Roman"/>
          <w:sz w:val="32"/>
          <w:szCs w:val="32"/>
        </w:rPr>
        <w:t>在执行各项资金预算中，严格按照中央、省、市、县各级财务规定，管好、用好每笔资金。在资金使用过程中，严格按照资金管理办法的规定切实做到专款专用在上一年度的审计监督和各项财政检查中没有发现问题。</w:t>
      </w:r>
    </w:p>
    <w:p>
      <w:pPr>
        <w:pageBreakBefore w:val="0"/>
        <w:kinsoku/>
        <w:wordWrap/>
        <w:overflowPunct/>
        <w:topLinePunct w:val="0"/>
        <w:bidi w:val="0"/>
        <w:ind w:firstLine="722" w:firstLineChars="200"/>
        <w:textAlignment w:val="auto"/>
        <w:rPr>
          <w:rFonts w:hint="default" w:ascii="Times New Roman" w:hAnsi="Times New Roman" w:eastAsia="方正楷体_GBK" w:cs="Times New Roman"/>
          <w:b/>
          <w:bCs/>
          <w:sz w:val="36"/>
          <w:szCs w:val="36"/>
          <w:lang w:val="zh-CN"/>
        </w:rPr>
      </w:pPr>
      <w:r>
        <w:rPr>
          <w:rFonts w:hint="default" w:ascii="Times New Roman" w:hAnsi="Times New Roman" w:eastAsia="方正楷体_GBK" w:cs="Times New Roman"/>
          <w:b/>
          <w:bCs/>
          <w:sz w:val="36"/>
          <w:szCs w:val="36"/>
          <w:lang w:val="zh-CN"/>
        </w:rPr>
        <w:t>（二）结果应用情况</w:t>
      </w:r>
    </w:p>
    <w:p>
      <w:pPr>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cs="Times New Roman"/>
          <w:lang w:val="zh-CN"/>
        </w:rPr>
      </w:pPr>
      <w:r>
        <w:rPr>
          <w:rFonts w:hint="default" w:ascii="Times New Roman" w:hAnsi="Times New Roman" w:eastAsia="方正仿宋_GBK" w:cs="Times New Roman"/>
          <w:sz w:val="32"/>
          <w:szCs w:val="32"/>
        </w:rPr>
        <w:t>按要求随同预算决算及时到财政监督股</w:t>
      </w:r>
      <w:r>
        <w:rPr>
          <w:rFonts w:hint="default" w:ascii="Times New Roman" w:hAnsi="Times New Roman" w:eastAsia="方正仿宋_GBK" w:cs="Times New Roman"/>
          <w:sz w:val="32"/>
          <w:szCs w:val="32"/>
          <w:lang w:val="zh-CN"/>
        </w:rPr>
        <w:t>在县政府门户网站</w:t>
      </w:r>
      <w:r>
        <w:rPr>
          <w:rFonts w:hint="default" w:ascii="Times New Roman" w:hAnsi="Times New Roman" w:eastAsia="方正仿宋_GBK" w:cs="Times New Roman"/>
          <w:sz w:val="32"/>
          <w:szCs w:val="32"/>
        </w:rPr>
        <w:t>进行公开并接受社会的监督</w:t>
      </w:r>
      <w:r>
        <w:rPr>
          <w:rFonts w:hint="default" w:ascii="Times New Roman" w:hAnsi="Times New Roman" w:eastAsia="方正仿宋_GBK" w:cs="Times New Roman"/>
          <w:sz w:val="32"/>
          <w:szCs w:val="32"/>
          <w:lang w:val="zh-CN"/>
        </w:rPr>
        <w:t>且基础数据信息和会计信息资料真实、完整、准确。同时按要求将部门整体绩效自评情况和自行组织的评价情况向社会公开。根据绩效管理结果整改问题、完善政策、改进管理的情况及时向财政部门反馈结果。</w:t>
      </w:r>
    </w:p>
    <w:p>
      <w:pPr>
        <w:pageBreakBefore w:val="0"/>
        <w:kinsoku/>
        <w:wordWrap/>
        <w:overflowPunct/>
        <w:topLinePunct w:val="0"/>
        <w:bidi w:val="0"/>
        <w:ind w:firstLine="722" w:firstLineChars="200"/>
        <w:textAlignment w:val="auto"/>
        <w:rPr>
          <w:rFonts w:hint="default" w:ascii="Times New Roman" w:hAnsi="Times New Roman" w:eastAsia="方正楷体_GBK" w:cs="Times New Roman"/>
          <w:b/>
          <w:bCs/>
          <w:sz w:val="36"/>
          <w:szCs w:val="36"/>
          <w:lang w:val="zh-CN"/>
        </w:rPr>
      </w:pPr>
      <w:r>
        <w:rPr>
          <w:rFonts w:hint="default" w:ascii="Times New Roman" w:hAnsi="Times New Roman" w:eastAsia="方正楷体_GBK" w:cs="Times New Roman"/>
          <w:b/>
          <w:bCs/>
          <w:sz w:val="36"/>
          <w:szCs w:val="36"/>
          <w:lang w:val="zh-CN"/>
        </w:rPr>
        <w:t>（三）自评质量</w:t>
      </w:r>
    </w:p>
    <w:p>
      <w:pPr>
        <w:pStyle w:val="2"/>
        <w:pageBreakBefore w:val="0"/>
        <w:kinsoku/>
        <w:wordWrap/>
        <w:overflowPunct/>
        <w:topLinePunct w:val="0"/>
        <w:bidi w:val="0"/>
        <w:spacing w:before="93"/>
        <w:ind w:firstLine="640" w:firstLineChars="200"/>
        <w:textAlignment w:val="auto"/>
        <w:rPr>
          <w:rFonts w:hint="default" w:ascii="Times New Roman" w:hAnsi="Times New Roman" w:cs="Times New Roman"/>
          <w:lang w:val="zh-CN"/>
        </w:rPr>
      </w:pPr>
      <w:r>
        <w:rPr>
          <w:rFonts w:hint="default" w:ascii="Times New Roman" w:hAnsi="Times New Roman" w:eastAsia="方正仿宋_GBK" w:cs="Times New Roman"/>
          <w:sz w:val="32"/>
          <w:szCs w:val="32"/>
        </w:rPr>
        <w:t>严格按照部门整体支出绩效评价指标体系进行部门绩效目标评价，</w:t>
      </w:r>
      <w:r>
        <w:rPr>
          <w:rFonts w:hint="default" w:ascii="Times New Roman" w:hAnsi="Times New Roman" w:eastAsia="方正仿宋_GBK" w:cs="Times New Roman"/>
          <w:sz w:val="32"/>
          <w:szCs w:val="32"/>
          <w:lang w:val="zh-CN"/>
        </w:rPr>
        <w:t>部门整体支出自评得分与评价组抽查得分差异在</w:t>
      </w:r>
      <w:r>
        <w:rPr>
          <w:rFonts w:hint="default" w:ascii="Times New Roman" w:hAnsi="Times New Roman" w:eastAsia="方正仿宋_GBK" w:cs="Times New Roman"/>
          <w:sz w:val="32"/>
          <w:szCs w:val="32"/>
        </w:rPr>
        <w:t>5%以内，自评质量较高。</w:t>
      </w:r>
    </w:p>
    <w:p>
      <w:pPr>
        <w:pageBreakBefore w:val="0"/>
        <w:kinsoku/>
        <w:wordWrap/>
        <w:overflowPunct/>
        <w:topLinePunct w:val="0"/>
        <w:bidi w:val="0"/>
        <w:spacing w:line="600" w:lineRule="exact"/>
        <w:ind w:firstLine="640" w:firstLineChars="200"/>
        <w:textAlignment w:val="auto"/>
        <w:outlineLvl w:val="1"/>
        <w:rPr>
          <w:rStyle w:val="25"/>
          <w:rFonts w:hint="default" w:ascii="Times New Roman" w:hAnsi="Times New Roman" w:eastAsia="方正黑体_GBK" w:cs="Times New Roman"/>
          <w:b w:val="0"/>
          <w:lang w:val="en-US" w:eastAsia="zh-CN" w:bidi="ar-SA"/>
        </w:rPr>
      </w:pPr>
      <w:r>
        <w:rPr>
          <w:rStyle w:val="25"/>
          <w:rFonts w:hint="default" w:ascii="Times New Roman" w:hAnsi="Times New Roman" w:eastAsia="方正黑体_GBK" w:cs="Times New Roman"/>
          <w:b w:val="0"/>
          <w:lang w:val="en-US" w:eastAsia="zh-CN" w:bidi="ar-SA"/>
        </w:rPr>
        <w:t>四、评价结论及建议</w:t>
      </w:r>
    </w:p>
    <w:p>
      <w:pPr>
        <w:pageBreakBefore w:val="0"/>
        <w:kinsoku/>
        <w:wordWrap/>
        <w:overflowPunct/>
        <w:topLinePunct w:val="0"/>
        <w:bidi w:val="0"/>
        <w:ind w:firstLine="722" w:firstLineChars="200"/>
        <w:textAlignment w:val="auto"/>
        <w:rPr>
          <w:rFonts w:hint="default" w:ascii="Times New Roman" w:hAnsi="Times New Roman" w:eastAsia="方正楷体_GBK" w:cs="Times New Roman"/>
          <w:b/>
          <w:bCs/>
          <w:sz w:val="36"/>
          <w:szCs w:val="36"/>
          <w:lang w:val="zh-CN"/>
        </w:rPr>
      </w:pPr>
      <w:r>
        <w:rPr>
          <w:rFonts w:hint="default" w:ascii="Times New Roman" w:hAnsi="Times New Roman" w:eastAsia="方正楷体_GBK" w:cs="Times New Roman"/>
          <w:b/>
          <w:bCs/>
          <w:sz w:val="36"/>
          <w:szCs w:val="36"/>
          <w:lang w:val="zh-CN"/>
        </w:rPr>
        <w:t>（一）评价结论</w:t>
      </w:r>
    </w:p>
    <w:p>
      <w:pPr>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cs="Times New Roman"/>
          <w:lang w:val="zh-C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年县公共资源交易管理服务办公室部门支出预算，保障了部门日常正常运转，</w:t>
      </w:r>
      <w:r>
        <w:rPr>
          <w:rFonts w:hint="default" w:ascii="Times New Roman" w:hAnsi="Times New Roman" w:eastAsia="仿宋_GB2312" w:cs="Times New Roman"/>
          <w:bCs/>
          <w:sz w:val="32"/>
          <w:szCs w:val="28"/>
        </w:rPr>
        <w:t>完善硬件配套设施。加大投入，建立交易自助服务区，完善招标采购的配套硬件设施建设，为交易工作提供更好的服务环境，</w:t>
      </w:r>
      <w:r>
        <w:rPr>
          <w:rFonts w:hint="default" w:ascii="Times New Roman" w:hAnsi="Times New Roman" w:eastAsia="仿宋_GB2312" w:cs="Times New Roman"/>
          <w:sz w:val="32"/>
          <w:szCs w:val="32"/>
        </w:rPr>
        <w:t>有力促进了邻水经济的健康有序发展，为全县的经济发展作出了应有的贡献。自评得分99分。</w:t>
      </w:r>
    </w:p>
    <w:p>
      <w:pPr>
        <w:pageBreakBefore w:val="0"/>
        <w:kinsoku/>
        <w:wordWrap/>
        <w:overflowPunct/>
        <w:topLinePunct w:val="0"/>
        <w:bidi w:val="0"/>
        <w:ind w:firstLine="722" w:firstLineChars="200"/>
        <w:textAlignment w:val="auto"/>
        <w:rPr>
          <w:rFonts w:hint="default" w:ascii="Times New Roman" w:hAnsi="Times New Roman" w:eastAsia="方正楷体_GBK" w:cs="Times New Roman"/>
          <w:b/>
          <w:bCs/>
          <w:sz w:val="36"/>
          <w:szCs w:val="36"/>
          <w:lang w:val="zh-CN"/>
        </w:rPr>
      </w:pPr>
      <w:r>
        <w:rPr>
          <w:rFonts w:hint="default" w:ascii="Times New Roman" w:hAnsi="Times New Roman" w:eastAsia="方正楷体_GBK" w:cs="Times New Roman"/>
          <w:b/>
          <w:bCs/>
          <w:sz w:val="36"/>
          <w:szCs w:val="36"/>
          <w:lang w:val="zh-CN"/>
        </w:rPr>
        <w:t>（二）存在问题</w:t>
      </w:r>
    </w:p>
    <w:p>
      <w:pPr>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cs="Times New Roman"/>
          <w:lang w:val="zh-CN"/>
        </w:rPr>
      </w:pPr>
      <w:r>
        <w:rPr>
          <w:rFonts w:hint="default" w:ascii="Times New Roman" w:hAnsi="Times New Roman" w:eastAsia="仿宋_GB2312" w:cs="Times New Roman"/>
          <w:sz w:val="32"/>
          <w:szCs w:val="32"/>
        </w:rPr>
        <w:t>部分资料收集不够完善，归档不够规范；对项目的跟踪服务不够主动；经办人员的业务能力有待提高。</w:t>
      </w:r>
    </w:p>
    <w:p>
      <w:pPr>
        <w:pageBreakBefore w:val="0"/>
        <w:kinsoku/>
        <w:wordWrap/>
        <w:overflowPunct/>
        <w:topLinePunct w:val="0"/>
        <w:bidi w:val="0"/>
        <w:ind w:firstLine="722" w:firstLineChars="200"/>
        <w:textAlignment w:val="auto"/>
        <w:rPr>
          <w:rFonts w:hint="default" w:ascii="Times New Roman" w:hAnsi="Times New Roman" w:eastAsia="方正楷体_GBK" w:cs="Times New Roman"/>
          <w:b/>
          <w:bCs/>
          <w:sz w:val="36"/>
          <w:szCs w:val="36"/>
          <w:lang w:val="zh-CN"/>
        </w:rPr>
      </w:pPr>
      <w:r>
        <w:rPr>
          <w:rFonts w:hint="default" w:ascii="Times New Roman" w:hAnsi="Times New Roman" w:eastAsia="方正楷体_GBK" w:cs="Times New Roman"/>
          <w:b/>
          <w:bCs/>
          <w:sz w:val="36"/>
          <w:szCs w:val="36"/>
          <w:lang w:val="zh-CN"/>
        </w:rPr>
        <w:t>（三）改进建议</w:t>
      </w:r>
    </w:p>
    <w:p>
      <w:pPr>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细化预算编制工作，认真做好预算的编制。进一步加强单位内部机构各股室的预算管理意识，严格按照预算编制的相关制度和要求进行预算编制。</w:t>
      </w:r>
    </w:p>
    <w:p>
      <w:pPr>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pPr>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完善资产管理，抓好“三公”经费控制。严格编制政府采购年初预算和计划，规范各类资产的购置审批制度、资产采购制度、使用管理制度、资产处置和报废审批制度、资产管理岗位职责制度等，加强单位内部的资产管理工作。严格控制“三公”经费的规模和比例，做好“三公”经费支出的审核、审批，杜绝挪用和挤占其他预算资金行为；进一步细化“三公”经费的管理，合理压缩“三公”经费支出。</w:t>
      </w:r>
    </w:p>
    <w:p>
      <w:pPr>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加强人员培训，特别是针对《预算法》、《行政事业单位会计制度》等学习培训，规范部门预算收支核算，切实提高部门预算收支管理水平。</w:t>
      </w:r>
    </w:p>
    <w:p>
      <w:pPr>
        <w:pStyle w:val="2"/>
        <w:pageBreakBefore w:val="0"/>
        <w:kinsoku/>
        <w:wordWrap/>
        <w:overflowPunct/>
        <w:topLinePunct w:val="0"/>
        <w:bidi w:val="0"/>
        <w:ind w:firstLine="640" w:firstLineChars="200"/>
        <w:textAlignment w:val="auto"/>
        <w:rPr>
          <w:rFonts w:hint="default" w:ascii="Times New Roman" w:hAnsi="Times New Roman" w:eastAsia="仿宋_GB2312" w:cs="Times New Roman"/>
          <w:sz w:val="32"/>
          <w:szCs w:val="32"/>
        </w:rPr>
      </w:pPr>
    </w:p>
    <w:p>
      <w:pPr>
        <w:pStyle w:val="2"/>
        <w:pageBreakBefore w:val="0"/>
        <w:kinsoku/>
        <w:wordWrap/>
        <w:overflowPunct/>
        <w:topLinePunct w:val="0"/>
        <w:bidi w:val="0"/>
        <w:ind w:firstLine="640" w:firstLineChars="200"/>
        <w:textAlignment w:val="auto"/>
        <w:rPr>
          <w:rFonts w:hint="default" w:ascii="Times New Roman" w:hAnsi="Times New Roman" w:eastAsia="仿宋_GB2312" w:cs="Times New Roman"/>
          <w:sz w:val="32"/>
          <w:szCs w:val="32"/>
        </w:rPr>
      </w:pPr>
    </w:p>
    <w:p>
      <w:pPr>
        <w:pStyle w:val="2"/>
        <w:pageBreakBefore w:val="0"/>
        <w:kinsoku/>
        <w:wordWrap/>
        <w:overflowPunct/>
        <w:topLinePunct w:val="0"/>
        <w:bidi w:val="0"/>
        <w:ind w:firstLine="640" w:firstLineChars="200"/>
        <w:textAlignment w:val="auto"/>
        <w:rPr>
          <w:rFonts w:hint="default" w:ascii="Times New Roman" w:hAnsi="Times New Roman" w:eastAsia="仿宋_GB2312" w:cs="Times New Roman"/>
          <w:sz w:val="32"/>
          <w:szCs w:val="32"/>
        </w:rPr>
      </w:pPr>
    </w:p>
    <w:p>
      <w:pPr>
        <w:pStyle w:val="2"/>
        <w:pageBreakBefore w:val="0"/>
        <w:kinsoku/>
        <w:wordWrap/>
        <w:overflowPunct/>
        <w:topLinePunct w:val="0"/>
        <w:bidi w:val="0"/>
        <w:ind w:firstLine="640" w:firstLineChars="200"/>
        <w:textAlignment w:val="auto"/>
        <w:rPr>
          <w:rFonts w:hint="default" w:ascii="Times New Roman" w:hAnsi="Times New Roman" w:eastAsia="仿宋_GB2312" w:cs="Times New Roman"/>
          <w:sz w:val="32"/>
          <w:szCs w:val="32"/>
        </w:rPr>
      </w:pPr>
    </w:p>
    <w:p>
      <w:pPr>
        <w:pStyle w:val="2"/>
        <w:pageBreakBefore w:val="0"/>
        <w:kinsoku/>
        <w:wordWrap/>
        <w:overflowPunct/>
        <w:topLinePunct w:val="0"/>
        <w:bidi w:val="0"/>
        <w:ind w:firstLine="640" w:firstLineChars="200"/>
        <w:textAlignment w:val="auto"/>
        <w:rPr>
          <w:rFonts w:hint="default" w:ascii="Times New Roman" w:hAnsi="Times New Roman" w:eastAsia="仿宋_GB2312" w:cs="Times New Roman"/>
          <w:sz w:val="32"/>
          <w:szCs w:val="32"/>
        </w:rPr>
      </w:pPr>
    </w:p>
    <w:p>
      <w:pPr>
        <w:pStyle w:val="2"/>
        <w:pageBreakBefore w:val="0"/>
        <w:kinsoku/>
        <w:wordWrap/>
        <w:overflowPunct/>
        <w:topLinePunct w:val="0"/>
        <w:bidi w:val="0"/>
        <w:ind w:firstLine="640" w:firstLineChars="200"/>
        <w:textAlignment w:val="auto"/>
        <w:rPr>
          <w:rFonts w:hint="default" w:ascii="Times New Roman" w:hAnsi="Times New Roman" w:eastAsia="仿宋_GB2312" w:cs="Times New Roman"/>
          <w:sz w:val="32"/>
          <w:szCs w:val="32"/>
        </w:rPr>
      </w:pPr>
    </w:p>
    <w:bookmarkEnd w:id="58"/>
    <w:p>
      <w:pPr>
        <w:pageBreakBefore w:val="0"/>
        <w:kinsoku/>
        <w:wordWrap/>
        <w:overflowPunct/>
        <w:topLinePunct w:val="0"/>
        <w:bidi w:val="0"/>
        <w:spacing w:line="580" w:lineRule="exact"/>
        <w:textAlignment w:val="auto"/>
        <w:rPr>
          <w:rFonts w:hint="default" w:ascii="Times New Roman" w:hAnsi="Times New Roman" w:eastAsia="黑体" w:cs="Times New Roman"/>
          <w:sz w:val="32"/>
          <w:szCs w:val="32"/>
        </w:rPr>
      </w:pPr>
    </w:p>
    <w:p>
      <w:pPr>
        <w:pageBreakBefore w:val="0"/>
        <w:kinsoku/>
        <w:wordWrap/>
        <w:overflowPunct/>
        <w:topLinePunct w:val="0"/>
        <w:bidi w:val="0"/>
        <w:spacing w:line="580" w:lineRule="exact"/>
        <w:ind w:firstLine="640" w:firstLineChars="200"/>
        <w:textAlignment w:val="auto"/>
        <w:rPr>
          <w:rFonts w:hint="default" w:ascii="Times New Roman" w:hAnsi="Times New Roman" w:eastAsia="黑体" w:cs="Times New Roman"/>
          <w:sz w:val="32"/>
          <w:szCs w:val="32"/>
        </w:rPr>
      </w:pPr>
    </w:p>
    <w:p>
      <w:pPr>
        <w:pageBreakBefore w:val="0"/>
        <w:kinsoku/>
        <w:wordWrap/>
        <w:overflowPunct/>
        <w:topLinePunct w:val="0"/>
        <w:bidi w:val="0"/>
        <w:spacing w:line="580" w:lineRule="exact"/>
        <w:ind w:firstLine="640" w:firstLineChars="200"/>
        <w:textAlignment w:val="auto"/>
        <w:rPr>
          <w:rFonts w:hint="default" w:ascii="Times New Roman" w:hAnsi="Times New Roman" w:eastAsia="黑体" w:cs="Times New Roman"/>
          <w:sz w:val="32"/>
          <w:szCs w:val="32"/>
        </w:rPr>
      </w:pPr>
    </w:p>
    <w:p>
      <w:pPr>
        <w:pageBreakBefore w:val="0"/>
        <w:kinsoku/>
        <w:wordWrap/>
        <w:overflowPunct/>
        <w:topLinePunct w:val="0"/>
        <w:bidi w:val="0"/>
        <w:spacing w:line="580" w:lineRule="exact"/>
        <w:ind w:firstLine="640" w:firstLineChars="200"/>
        <w:textAlignment w:val="auto"/>
        <w:rPr>
          <w:rFonts w:hint="default" w:ascii="Times New Roman" w:hAnsi="Times New Roman" w:eastAsia="黑体" w:cs="Times New Roman"/>
          <w:sz w:val="32"/>
          <w:szCs w:val="32"/>
        </w:rPr>
      </w:pPr>
    </w:p>
    <w:p>
      <w:pPr>
        <w:pageBreakBefore w:val="0"/>
        <w:kinsoku/>
        <w:wordWrap/>
        <w:overflowPunct/>
        <w:topLinePunct w:val="0"/>
        <w:bidi w:val="0"/>
        <w:spacing w:line="580" w:lineRule="exact"/>
        <w:ind w:firstLine="640" w:firstLineChars="200"/>
        <w:textAlignment w:val="auto"/>
        <w:rPr>
          <w:rFonts w:hint="default" w:ascii="Times New Roman" w:hAnsi="Times New Roman" w:eastAsia="黑体" w:cs="Times New Roman"/>
          <w:sz w:val="32"/>
          <w:szCs w:val="32"/>
        </w:rPr>
      </w:pPr>
    </w:p>
    <w:p>
      <w:pPr>
        <w:pageBreakBefore w:val="0"/>
        <w:kinsoku/>
        <w:wordWrap/>
        <w:overflowPunct/>
        <w:topLinePunct w:val="0"/>
        <w:bidi w:val="0"/>
        <w:spacing w:line="580" w:lineRule="exact"/>
        <w:ind w:firstLine="640" w:firstLineChars="200"/>
        <w:textAlignment w:val="auto"/>
        <w:rPr>
          <w:rFonts w:hint="default" w:ascii="Times New Roman" w:hAnsi="Times New Roman" w:eastAsia="黑体" w:cs="Times New Roman"/>
          <w:sz w:val="32"/>
          <w:szCs w:val="32"/>
        </w:rPr>
      </w:pPr>
    </w:p>
    <w:p>
      <w:pPr>
        <w:pageBreakBefore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仿宋_GB2312" w:cs="Times New Roman"/>
          <w:b w:val="0"/>
          <w:bCs w:val="0"/>
          <w:color w:val="auto"/>
          <w:sz w:val="32"/>
          <w:szCs w:val="32"/>
          <w:highlight w:val="none"/>
          <w:lang w:val="en-US" w:eastAsia="zh-CN"/>
        </w:rPr>
        <w:t>2</w:t>
      </w:r>
    </w:p>
    <w:p>
      <w:pPr>
        <w:pageBreakBefore w:val="0"/>
        <w:kinsoku/>
        <w:wordWrap/>
        <w:overflowPunct/>
        <w:topLinePunct w:val="0"/>
        <w:bidi w:val="0"/>
        <w:spacing w:line="580" w:lineRule="exact"/>
        <w:ind w:firstLine="640" w:firstLineChars="200"/>
        <w:textAlignment w:val="auto"/>
        <w:rPr>
          <w:rFonts w:hint="default" w:ascii="Times New Roman" w:hAnsi="Times New Roman" w:eastAsia="仿宋_GB2312" w:cs="Times New Roman"/>
          <w:sz w:val="32"/>
          <w:szCs w:val="32"/>
        </w:rPr>
      </w:pPr>
    </w:p>
    <w:p>
      <w:pPr>
        <w:pageBreakBefore w:val="0"/>
        <w:kinsoku/>
        <w:wordWrap/>
        <w:overflowPunct/>
        <w:topLinePunct w:val="0"/>
        <w:bidi w:val="0"/>
        <w:spacing w:line="600" w:lineRule="exact"/>
        <w:ind w:firstLine="880" w:firstLineChars="200"/>
        <w:jc w:val="center"/>
        <w:textAlignment w:val="auto"/>
        <w:rPr>
          <w:rFonts w:hint="default" w:ascii="Times New Roman" w:hAnsi="Times New Roman" w:eastAsia="方正小标宋简体" w:cs="Times New Roman"/>
          <w:color w:val="000000"/>
          <w:kern w:val="0"/>
          <w:sz w:val="44"/>
          <w:szCs w:val="44"/>
          <w:lang w:val="zh-CN"/>
        </w:rPr>
      </w:pPr>
      <w:r>
        <w:rPr>
          <w:rFonts w:hint="default" w:ascii="Times New Roman" w:hAnsi="Times New Roman" w:eastAsia="方正小标宋简体" w:cs="Times New Roman"/>
          <w:color w:val="000000"/>
          <w:kern w:val="0"/>
          <w:sz w:val="44"/>
          <w:szCs w:val="44"/>
          <w:lang w:val="zh-CN"/>
        </w:rPr>
        <w:t>项目</w:t>
      </w:r>
      <w:r>
        <w:rPr>
          <w:rFonts w:hint="default" w:ascii="Times New Roman" w:hAnsi="Times New Roman" w:eastAsia="方正小标宋简体" w:cs="Times New Roman"/>
          <w:color w:val="000000"/>
          <w:kern w:val="0"/>
          <w:sz w:val="44"/>
          <w:szCs w:val="44"/>
        </w:rPr>
        <w:t>202</w:t>
      </w:r>
      <w:r>
        <w:rPr>
          <w:rFonts w:hint="default" w:ascii="Times New Roman" w:hAnsi="Times New Roman" w:eastAsia="方正小标宋简体" w:cs="Times New Roman"/>
          <w:color w:val="000000"/>
          <w:kern w:val="0"/>
          <w:sz w:val="44"/>
          <w:szCs w:val="44"/>
          <w:lang w:val="en-US" w:eastAsia="zh-CN"/>
        </w:rPr>
        <w:t>2</w:t>
      </w:r>
      <w:r>
        <w:rPr>
          <w:rFonts w:hint="default" w:ascii="Times New Roman" w:hAnsi="Times New Roman" w:eastAsia="方正小标宋简体" w:cs="Times New Roman"/>
          <w:color w:val="000000"/>
          <w:kern w:val="0"/>
          <w:sz w:val="44"/>
          <w:szCs w:val="44"/>
        </w:rPr>
        <w:t>年</w:t>
      </w:r>
      <w:r>
        <w:rPr>
          <w:rFonts w:hint="default" w:ascii="Times New Roman" w:hAnsi="Times New Roman" w:eastAsia="方正小标宋简体" w:cs="Times New Roman"/>
          <w:color w:val="000000"/>
          <w:kern w:val="0"/>
          <w:sz w:val="44"/>
          <w:szCs w:val="44"/>
          <w:lang w:val="zh-CN"/>
        </w:rPr>
        <w:t>绩效评价报告</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highlight w:val="yellow"/>
          <w:lang w:val="en-US" w:eastAsia="zh-CN"/>
        </w:rPr>
      </w:pPr>
      <w:r>
        <w:rPr>
          <w:rFonts w:hint="default" w:ascii="Times New Roman" w:hAnsi="Times New Roman" w:cs="Times New Roman"/>
          <w:sz w:val="32"/>
          <w:szCs w:val="32"/>
          <w:lang w:val="en-US" w:eastAsia="zh-CN"/>
        </w:rPr>
        <w:t>2022年</w:t>
      </w:r>
      <w:r>
        <w:rPr>
          <w:rFonts w:hint="default" w:ascii="Times New Roman" w:hAnsi="Times New Roman" w:eastAsia="仿宋_GB2312" w:cs="Times New Roman"/>
          <w:sz w:val="32"/>
          <w:szCs w:val="32"/>
        </w:rPr>
        <w:t>根据预算绩效管理要求，本部门在预算执行过程中，经财政</w:t>
      </w:r>
      <w:r>
        <w:rPr>
          <w:rFonts w:hint="default" w:ascii="Times New Roman" w:hAnsi="Times New Roman" w:eastAsia="仿宋_GB2312" w:cs="Times New Roman"/>
          <w:sz w:val="32"/>
          <w:szCs w:val="32"/>
          <w:highlight w:val="none"/>
        </w:rPr>
        <w:t>预算调整，年初项目支出预算调整为基本支出预算，调整后本部门无专项预算项目</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2022年无项目绩效评价报告</w:t>
      </w:r>
      <w:r>
        <w:rPr>
          <w:rFonts w:hint="default" w:ascii="Times New Roman" w:hAnsi="Times New Roman" w:eastAsia="仿宋_GB2312" w:cs="Times New Roman"/>
          <w:sz w:val="32"/>
          <w:szCs w:val="32"/>
          <w:highlight w:val="none"/>
          <w:lang w:eastAsia="zh-CN"/>
        </w:rPr>
        <w:t>。</w:t>
      </w:r>
    </w:p>
    <w:p>
      <w:pPr>
        <w:pStyle w:val="2"/>
        <w:pageBreakBefore w:val="0"/>
        <w:kinsoku/>
        <w:wordWrap/>
        <w:overflowPunct/>
        <w:topLinePunct w:val="0"/>
        <w:bidi w:val="0"/>
        <w:spacing w:before="93"/>
        <w:ind w:firstLine="880" w:firstLineChars="200"/>
        <w:textAlignment w:val="auto"/>
        <w:rPr>
          <w:rStyle w:val="25"/>
          <w:rFonts w:hint="default" w:ascii="Times New Roman" w:hAnsi="Times New Roman" w:eastAsia="方正小标宋简体" w:cs="Times New Roman"/>
          <w:b w:val="0"/>
          <w:bCs w:val="0"/>
          <w:sz w:val="44"/>
          <w:szCs w:val="44"/>
        </w:rPr>
      </w:pPr>
    </w:p>
    <w:p>
      <w:pPr>
        <w:pStyle w:val="2"/>
        <w:pageBreakBefore w:val="0"/>
        <w:kinsoku/>
        <w:wordWrap/>
        <w:overflowPunct/>
        <w:topLinePunct w:val="0"/>
        <w:bidi w:val="0"/>
        <w:spacing w:before="93"/>
        <w:ind w:firstLine="880" w:firstLineChars="200"/>
        <w:textAlignment w:val="auto"/>
        <w:rPr>
          <w:rStyle w:val="25"/>
          <w:rFonts w:hint="default" w:ascii="Times New Roman" w:hAnsi="Times New Roman" w:eastAsia="方正小标宋简体" w:cs="Times New Roman"/>
          <w:b w:val="0"/>
          <w:bCs w:val="0"/>
          <w:sz w:val="44"/>
          <w:szCs w:val="44"/>
        </w:rPr>
      </w:pPr>
    </w:p>
    <w:p>
      <w:pPr>
        <w:pStyle w:val="2"/>
        <w:pageBreakBefore w:val="0"/>
        <w:kinsoku/>
        <w:wordWrap/>
        <w:overflowPunct/>
        <w:topLinePunct w:val="0"/>
        <w:bidi w:val="0"/>
        <w:spacing w:before="93"/>
        <w:ind w:firstLine="880" w:firstLineChars="200"/>
        <w:textAlignment w:val="auto"/>
        <w:rPr>
          <w:rStyle w:val="25"/>
          <w:rFonts w:hint="default" w:ascii="Times New Roman" w:hAnsi="Times New Roman" w:eastAsia="方正小标宋简体" w:cs="Times New Roman"/>
          <w:b w:val="0"/>
          <w:bCs w:val="0"/>
          <w:sz w:val="44"/>
          <w:szCs w:val="44"/>
        </w:rPr>
      </w:pPr>
    </w:p>
    <w:p>
      <w:pPr>
        <w:pStyle w:val="2"/>
        <w:pageBreakBefore w:val="0"/>
        <w:kinsoku/>
        <w:wordWrap/>
        <w:overflowPunct/>
        <w:topLinePunct w:val="0"/>
        <w:bidi w:val="0"/>
        <w:spacing w:before="93"/>
        <w:ind w:firstLine="880" w:firstLineChars="200"/>
        <w:textAlignment w:val="auto"/>
        <w:rPr>
          <w:rStyle w:val="25"/>
          <w:rFonts w:hint="default" w:ascii="Times New Roman" w:hAnsi="Times New Roman" w:eastAsia="方正小标宋简体" w:cs="Times New Roman"/>
          <w:b w:val="0"/>
          <w:bCs w:val="0"/>
          <w:sz w:val="44"/>
          <w:szCs w:val="44"/>
        </w:rPr>
      </w:pPr>
    </w:p>
    <w:p>
      <w:pPr>
        <w:pStyle w:val="2"/>
        <w:pageBreakBefore w:val="0"/>
        <w:kinsoku/>
        <w:wordWrap/>
        <w:overflowPunct/>
        <w:topLinePunct w:val="0"/>
        <w:bidi w:val="0"/>
        <w:spacing w:before="93"/>
        <w:ind w:firstLine="880" w:firstLineChars="200"/>
        <w:textAlignment w:val="auto"/>
        <w:rPr>
          <w:rStyle w:val="25"/>
          <w:rFonts w:hint="default" w:ascii="Times New Roman" w:hAnsi="Times New Roman" w:eastAsia="方正小标宋简体" w:cs="Times New Roman"/>
          <w:b w:val="0"/>
          <w:bCs w:val="0"/>
          <w:sz w:val="44"/>
          <w:szCs w:val="44"/>
        </w:rPr>
      </w:pPr>
    </w:p>
    <w:p>
      <w:pPr>
        <w:pStyle w:val="2"/>
        <w:pageBreakBefore w:val="0"/>
        <w:kinsoku/>
        <w:wordWrap/>
        <w:overflowPunct/>
        <w:topLinePunct w:val="0"/>
        <w:bidi w:val="0"/>
        <w:spacing w:before="93"/>
        <w:ind w:firstLine="880" w:firstLineChars="200"/>
        <w:textAlignment w:val="auto"/>
        <w:rPr>
          <w:rStyle w:val="25"/>
          <w:rFonts w:hint="default" w:ascii="Times New Roman" w:hAnsi="Times New Roman" w:eastAsia="方正小标宋简体" w:cs="Times New Roman"/>
          <w:b w:val="0"/>
          <w:bCs w:val="0"/>
          <w:sz w:val="44"/>
          <w:szCs w:val="44"/>
        </w:rPr>
      </w:pPr>
    </w:p>
    <w:p>
      <w:pPr>
        <w:pStyle w:val="2"/>
        <w:pageBreakBefore w:val="0"/>
        <w:kinsoku/>
        <w:wordWrap/>
        <w:overflowPunct/>
        <w:topLinePunct w:val="0"/>
        <w:bidi w:val="0"/>
        <w:spacing w:before="93"/>
        <w:ind w:firstLine="880" w:firstLineChars="200"/>
        <w:textAlignment w:val="auto"/>
        <w:rPr>
          <w:rStyle w:val="25"/>
          <w:rFonts w:hint="default" w:ascii="Times New Roman" w:hAnsi="Times New Roman" w:eastAsia="方正小标宋简体" w:cs="Times New Roman"/>
          <w:b w:val="0"/>
          <w:bCs w:val="0"/>
          <w:sz w:val="44"/>
          <w:szCs w:val="44"/>
        </w:rPr>
      </w:pPr>
    </w:p>
    <w:p>
      <w:pPr>
        <w:pStyle w:val="2"/>
        <w:pageBreakBefore w:val="0"/>
        <w:kinsoku/>
        <w:wordWrap/>
        <w:overflowPunct/>
        <w:topLinePunct w:val="0"/>
        <w:bidi w:val="0"/>
        <w:spacing w:before="93"/>
        <w:ind w:firstLine="880" w:firstLineChars="200"/>
        <w:textAlignment w:val="auto"/>
        <w:rPr>
          <w:rStyle w:val="25"/>
          <w:rFonts w:hint="default" w:ascii="Times New Roman" w:hAnsi="Times New Roman" w:eastAsia="方正小标宋简体" w:cs="Times New Roman"/>
          <w:b w:val="0"/>
          <w:bCs w:val="0"/>
          <w:sz w:val="44"/>
          <w:szCs w:val="44"/>
        </w:rPr>
      </w:pPr>
    </w:p>
    <w:p>
      <w:pPr>
        <w:pStyle w:val="2"/>
        <w:pageBreakBefore w:val="0"/>
        <w:kinsoku/>
        <w:wordWrap/>
        <w:overflowPunct/>
        <w:topLinePunct w:val="0"/>
        <w:bidi w:val="0"/>
        <w:spacing w:before="93"/>
        <w:ind w:firstLine="880" w:firstLineChars="200"/>
        <w:textAlignment w:val="auto"/>
        <w:rPr>
          <w:rStyle w:val="25"/>
          <w:rFonts w:hint="default" w:ascii="Times New Roman" w:hAnsi="Times New Roman" w:eastAsia="方正小标宋简体" w:cs="Times New Roman"/>
          <w:b w:val="0"/>
          <w:bCs w:val="0"/>
          <w:sz w:val="44"/>
          <w:szCs w:val="44"/>
        </w:rPr>
      </w:pPr>
    </w:p>
    <w:p>
      <w:pPr>
        <w:pageBreakBefore w:val="0"/>
        <w:kinsoku/>
        <w:wordWrap/>
        <w:overflowPunct/>
        <w:topLinePunct w:val="0"/>
        <w:bidi w:val="0"/>
        <w:spacing w:line="580" w:lineRule="exact"/>
        <w:ind w:firstLine="642" w:firstLineChars="200"/>
        <w:textAlignment w:val="auto"/>
        <w:rPr>
          <w:rFonts w:hint="default" w:ascii="Times New Roman" w:hAnsi="Times New Roman" w:eastAsia="仿宋_GB2312" w:cs="Times New Roman"/>
          <w:b/>
          <w:bCs/>
          <w:color w:val="auto"/>
          <w:sz w:val="32"/>
          <w:szCs w:val="32"/>
          <w:highlight w:val="none"/>
          <w:lang w:eastAsia="zh-CN"/>
        </w:rPr>
      </w:pPr>
    </w:p>
    <w:p>
      <w:pPr>
        <w:pageBreakBefore w:val="0"/>
        <w:kinsoku/>
        <w:wordWrap/>
        <w:overflowPunct/>
        <w:topLinePunct w:val="0"/>
        <w:bidi w:val="0"/>
        <w:spacing w:line="580" w:lineRule="exact"/>
        <w:ind w:firstLine="642" w:firstLineChars="200"/>
        <w:textAlignment w:val="auto"/>
        <w:rPr>
          <w:rFonts w:hint="default" w:ascii="Times New Roman" w:hAnsi="Times New Roman" w:eastAsia="仿宋_GB2312" w:cs="Times New Roman"/>
          <w:b/>
          <w:bCs/>
          <w:color w:val="auto"/>
          <w:sz w:val="32"/>
          <w:szCs w:val="32"/>
          <w:highlight w:val="none"/>
          <w:lang w:eastAsia="zh-CN"/>
        </w:rPr>
      </w:pPr>
    </w:p>
    <w:p>
      <w:pPr>
        <w:pageBreakBefore w:val="0"/>
        <w:kinsoku/>
        <w:wordWrap/>
        <w:overflowPunct/>
        <w:topLinePunct w:val="0"/>
        <w:bidi w:val="0"/>
        <w:spacing w:line="580" w:lineRule="exact"/>
        <w:ind w:firstLine="642" w:firstLineChars="200"/>
        <w:textAlignment w:val="auto"/>
        <w:rPr>
          <w:rFonts w:hint="default" w:ascii="Times New Roman" w:hAnsi="Times New Roman" w:eastAsia="仿宋_GB2312" w:cs="Times New Roman"/>
          <w:b/>
          <w:bCs/>
          <w:color w:val="auto"/>
          <w:sz w:val="32"/>
          <w:szCs w:val="32"/>
          <w:highlight w:val="none"/>
          <w:lang w:eastAsia="zh-CN"/>
        </w:rPr>
      </w:pPr>
    </w:p>
    <w:p>
      <w:pPr>
        <w:pageBreakBefore w:val="0"/>
        <w:kinsoku/>
        <w:wordWrap/>
        <w:overflowPunct/>
        <w:topLinePunct w:val="0"/>
        <w:bidi w:val="0"/>
        <w:spacing w:line="580" w:lineRule="exact"/>
        <w:ind w:firstLine="642" w:firstLineChars="200"/>
        <w:textAlignment w:val="auto"/>
        <w:rPr>
          <w:rFonts w:hint="default" w:ascii="Times New Roman" w:hAnsi="Times New Roman" w:eastAsia="仿宋_GB2312" w:cs="Times New Roman"/>
          <w:b/>
          <w:bCs/>
          <w:color w:val="auto"/>
          <w:sz w:val="32"/>
          <w:szCs w:val="32"/>
          <w:highlight w:val="none"/>
          <w:lang w:eastAsia="zh-CN"/>
        </w:rPr>
      </w:pPr>
    </w:p>
    <w:p>
      <w:pPr>
        <w:pageBreakBefore w:val="0"/>
        <w:kinsoku/>
        <w:wordWrap/>
        <w:overflowPunct/>
        <w:topLinePunct w:val="0"/>
        <w:bidi w:val="0"/>
        <w:spacing w:line="580" w:lineRule="exact"/>
        <w:ind w:firstLine="642" w:firstLineChars="200"/>
        <w:textAlignment w:val="auto"/>
        <w:rPr>
          <w:rFonts w:hint="default" w:ascii="Times New Roman" w:hAnsi="Times New Roman" w:eastAsia="仿宋_GB2312" w:cs="Times New Roman"/>
          <w:b/>
          <w:bCs/>
          <w:color w:val="auto"/>
          <w:sz w:val="32"/>
          <w:szCs w:val="32"/>
          <w:highlight w:val="none"/>
          <w:lang w:eastAsia="zh-CN"/>
        </w:rPr>
      </w:pPr>
    </w:p>
    <w:p>
      <w:pPr>
        <w:pageBreakBefore w:val="0"/>
        <w:kinsoku/>
        <w:wordWrap/>
        <w:overflowPunct/>
        <w:topLinePunct w:val="0"/>
        <w:bidi w:val="0"/>
        <w:spacing w:line="580" w:lineRule="exact"/>
        <w:ind w:firstLine="642"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eastAsia="zh-CN"/>
        </w:rPr>
        <w:t>附件</w:t>
      </w:r>
      <w:r>
        <w:rPr>
          <w:rFonts w:hint="default" w:ascii="Times New Roman" w:hAnsi="Times New Roman" w:eastAsia="仿宋_GB2312" w:cs="Times New Roman"/>
          <w:b/>
          <w:bCs/>
          <w:color w:val="auto"/>
          <w:sz w:val="32"/>
          <w:szCs w:val="32"/>
          <w:highlight w:val="none"/>
          <w:lang w:val="en-US" w:eastAsia="zh-CN"/>
        </w:rPr>
        <w:t>3</w:t>
      </w:r>
    </w:p>
    <w:p>
      <w:pPr>
        <w:pStyle w:val="2"/>
        <w:rPr>
          <w:rFonts w:hint="default"/>
          <w:lang w:eastAsia="zh-CN"/>
        </w:rPr>
      </w:pPr>
    </w:p>
    <w:p>
      <w:pPr>
        <w:pageBreakBefore w:val="0"/>
        <w:kinsoku/>
        <w:wordWrap/>
        <w:overflowPunct/>
        <w:topLinePunct w:val="0"/>
        <w:bidi w:val="0"/>
        <w:spacing w:line="580" w:lineRule="exact"/>
        <w:ind w:firstLine="883" w:firstLineChars="200"/>
        <w:jc w:val="center"/>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44"/>
          <w:szCs w:val="44"/>
          <w:highlight w:val="none"/>
          <w:lang w:val="en-US" w:eastAsia="zh-CN"/>
        </w:rPr>
        <w:t>2022</w:t>
      </w:r>
      <w:r>
        <w:rPr>
          <w:rFonts w:hint="default" w:ascii="Times New Roman" w:hAnsi="Times New Roman" w:eastAsia="方正小标宋简体" w:cs="Times New Roman"/>
          <w:color w:val="000000"/>
          <w:kern w:val="0"/>
          <w:sz w:val="44"/>
          <w:szCs w:val="44"/>
          <w:lang w:val="en-US" w:eastAsia="zh-CN"/>
        </w:rPr>
        <w:t>年部门预算项目绩效目标自评表</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2022年</w:t>
      </w:r>
      <w:r>
        <w:rPr>
          <w:rFonts w:hint="default" w:ascii="Times New Roman" w:hAnsi="Times New Roman" w:eastAsia="仿宋_GB2312" w:cs="Times New Roman"/>
          <w:sz w:val="32"/>
          <w:szCs w:val="32"/>
        </w:rPr>
        <w:t>根据预算绩效管理要求，本部门在预算执行过程中，经财政预算调整，年初项目支出预算调整为基本支出预算，调整后本部门无专项预算项目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2022年未开展部门预算项目</w:t>
      </w:r>
      <w:r>
        <w:rPr>
          <w:rFonts w:hint="default" w:ascii="Times New Roman" w:hAnsi="Times New Roman" w:eastAsia="仿宋_GB2312" w:cs="Times New Roman"/>
          <w:sz w:val="32"/>
          <w:szCs w:val="32"/>
          <w:highlight w:val="none"/>
          <w:lang w:val="en-US" w:eastAsia="zh-CN"/>
        </w:rPr>
        <w:t>绩效自评</w:t>
      </w:r>
      <w:r>
        <w:rPr>
          <w:rFonts w:hint="default" w:ascii="Times New Roman" w:hAnsi="Times New Roman" w:eastAsia="仿宋_GB2312" w:cs="Times New Roman"/>
          <w:sz w:val="32"/>
          <w:szCs w:val="32"/>
          <w:highlight w:val="none"/>
          <w:lang w:eastAsia="zh-CN"/>
        </w:rPr>
        <w:t>。</w:t>
      </w:r>
    </w:p>
    <w:p>
      <w:pPr>
        <w:pStyle w:val="2"/>
        <w:pageBreakBefore w:val="0"/>
        <w:kinsoku/>
        <w:wordWrap/>
        <w:overflowPunct/>
        <w:topLinePunct w:val="0"/>
        <w:bidi w:val="0"/>
        <w:spacing w:before="93"/>
        <w:ind w:firstLine="880" w:firstLineChars="200"/>
        <w:textAlignment w:val="auto"/>
        <w:rPr>
          <w:rStyle w:val="25"/>
          <w:rFonts w:hint="default" w:ascii="Times New Roman" w:hAnsi="Times New Roman" w:eastAsia="方正小标宋简体" w:cs="Times New Roman"/>
          <w:b w:val="0"/>
          <w:bCs w:val="0"/>
          <w:sz w:val="44"/>
          <w:szCs w:val="44"/>
        </w:rPr>
      </w:pPr>
    </w:p>
    <w:p>
      <w:pPr>
        <w:pStyle w:val="2"/>
        <w:pageBreakBefore w:val="0"/>
        <w:kinsoku/>
        <w:wordWrap/>
        <w:overflowPunct/>
        <w:topLinePunct w:val="0"/>
        <w:bidi w:val="0"/>
        <w:spacing w:before="93"/>
        <w:ind w:firstLine="880" w:firstLineChars="200"/>
        <w:textAlignment w:val="auto"/>
        <w:rPr>
          <w:rStyle w:val="25"/>
          <w:rFonts w:hint="default" w:ascii="Times New Roman" w:hAnsi="Times New Roman" w:eastAsia="方正小标宋简体" w:cs="Times New Roman"/>
          <w:b w:val="0"/>
          <w:bCs w:val="0"/>
          <w:sz w:val="44"/>
          <w:szCs w:val="44"/>
        </w:rPr>
      </w:pPr>
    </w:p>
    <w:p>
      <w:pPr>
        <w:pStyle w:val="2"/>
        <w:pageBreakBefore w:val="0"/>
        <w:kinsoku/>
        <w:wordWrap/>
        <w:overflowPunct/>
        <w:topLinePunct w:val="0"/>
        <w:bidi w:val="0"/>
        <w:spacing w:before="93"/>
        <w:ind w:firstLine="880" w:firstLineChars="200"/>
        <w:textAlignment w:val="auto"/>
        <w:rPr>
          <w:rStyle w:val="25"/>
          <w:rFonts w:hint="default" w:ascii="Times New Roman" w:hAnsi="Times New Roman" w:eastAsia="方正小标宋简体" w:cs="Times New Roman"/>
          <w:b w:val="0"/>
          <w:bCs w:val="0"/>
          <w:sz w:val="44"/>
          <w:szCs w:val="44"/>
        </w:rPr>
      </w:pPr>
    </w:p>
    <w:p>
      <w:pPr>
        <w:pStyle w:val="2"/>
        <w:pageBreakBefore w:val="0"/>
        <w:kinsoku/>
        <w:wordWrap/>
        <w:overflowPunct/>
        <w:topLinePunct w:val="0"/>
        <w:bidi w:val="0"/>
        <w:spacing w:before="93"/>
        <w:ind w:firstLine="880" w:firstLineChars="200"/>
        <w:textAlignment w:val="auto"/>
        <w:rPr>
          <w:rStyle w:val="25"/>
          <w:rFonts w:hint="default" w:ascii="Times New Roman" w:hAnsi="Times New Roman" w:eastAsia="方正小标宋简体" w:cs="Times New Roman"/>
          <w:b w:val="0"/>
          <w:bCs w:val="0"/>
          <w:sz w:val="44"/>
          <w:szCs w:val="44"/>
        </w:rPr>
      </w:pPr>
    </w:p>
    <w:p>
      <w:pPr>
        <w:pStyle w:val="2"/>
        <w:pageBreakBefore w:val="0"/>
        <w:kinsoku/>
        <w:wordWrap/>
        <w:overflowPunct/>
        <w:topLinePunct w:val="0"/>
        <w:bidi w:val="0"/>
        <w:spacing w:before="93"/>
        <w:ind w:firstLine="880" w:firstLineChars="200"/>
        <w:textAlignment w:val="auto"/>
        <w:rPr>
          <w:rStyle w:val="25"/>
          <w:rFonts w:hint="default" w:ascii="Times New Roman" w:hAnsi="Times New Roman" w:eastAsia="方正小标宋简体" w:cs="Times New Roman"/>
          <w:b w:val="0"/>
          <w:bCs w:val="0"/>
          <w:sz w:val="44"/>
          <w:szCs w:val="44"/>
        </w:rPr>
      </w:pPr>
    </w:p>
    <w:p>
      <w:pPr>
        <w:pStyle w:val="2"/>
        <w:pageBreakBefore w:val="0"/>
        <w:kinsoku/>
        <w:wordWrap/>
        <w:overflowPunct/>
        <w:topLinePunct w:val="0"/>
        <w:bidi w:val="0"/>
        <w:spacing w:before="93"/>
        <w:ind w:firstLine="880" w:firstLineChars="200"/>
        <w:textAlignment w:val="auto"/>
        <w:rPr>
          <w:rStyle w:val="25"/>
          <w:rFonts w:hint="default" w:ascii="Times New Roman" w:hAnsi="Times New Roman" w:eastAsia="方正小标宋简体" w:cs="Times New Roman"/>
          <w:b w:val="0"/>
          <w:bCs w:val="0"/>
          <w:sz w:val="44"/>
          <w:szCs w:val="44"/>
        </w:rPr>
      </w:pPr>
    </w:p>
    <w:p>
      <w:pPr>
        <w:pStyle w:val="2"/>
        <w:pageBreakBefore w:val="0"/>
        <w:kinsoku/>
        <w:wordWrap/>
        <w:overflowPunct/>
        <w:topLinePunct w:val="0"/>
        <w:bidi w:val="0"/>
        <w:spacing w:before="93"/>
        <w:ind w:firstLine="880" w:firstLineChars="200"/>
        <w:textAlignment w:val="auto"/>
        <w:rPr>
          <w:rStyle w:val="25"/>
          <w:rFonts w:hint="default" w:ascii="Times New Roman" w:hAnsi="Times New Roman" w:eastAsia="方正小标宋简体" w:cs="Times New Roman"/>
          <w:b w:val="0"/>
          <w:bCs w:val="0"/>
          <w:sz w:val="44"/>
          <w:szCs w:val="44"/>
        </w:rPr>
      </w:pPr>
    </w:p>
    <w:p>
      <w:pPr>
        <w:pStyle w:val="2"/>
        <w:pageBreakBefore w:val="0"/>
        <w:kinsoku/>
        <w:wordWrap/>
        <w:overflowPunct/>
        <w:topLinePunct w:val="0"/>
        <w:bidi w:val="0"/>
        <w:spacing w:before="93"/>
        <w:ind w:firstLine="880" w:firstLineChars="200"/>
        <w:textAlignment w:val="auto"/>
        <w:rPr>
          <w:rStyle w:val="25"/>
          <w:rFonts w:hint="default" w:ascii="Times New Roman" w:hAnsi="Times New Roman" w:eastAsia="方正小标宋简体" w:cs="Times New Roman"/>
          <w:b w:val="0"/>
          <w:bCs w:val="0"/>
          <w:sz w:val="44"/>
          <w:szCs w:val="44"/>
        </w:rPr>
      </w:pPr>
    </w:p>
    <w:p>
      <w:pPr>
        <w:pStyle w:val="2"/>
        <w:pageBreakBefore w:val="0"/>
        <w:kinsoku/>
        <w:wordWrap/>
        <w:overflowPunct/>
        <w:topLinePunct w:val="0"/>
        <w:bidi w:val="0"/>
        <w:spacing w:before="93"/>
        <w:ind w:firstLine="880" w:firstLineChars="200"/>
        <w:textAlignment w:val="auto"/>
        <w:rPr>
          <w:rStyle w:val="25"/>
          <w:rFonts w:hint="default" w:ascii="Times New Roman" w:hAnsi="Times New Roman" w:eastAsia="方正小标宋简体" w:cs="Times New Roman"/>
          <w:b w:val="0"/>
          <w:bCs w:val="0"/>
          <w:sz w:val="44"/>
          <w:szCs w:val="44"/>
        </w:rPr>
      </w:pPr>
    </w:p>
    <w:p>
      <w:pPr>
        <w:pStyle w:val="2"/>
        <w:pageBreakBefore w:val="0"/>
        <w:kinsoku/>
        <w:wordWrap/>
        <w:overflowPunct/>
        <w:topLinePunct w:val="0"/>
        <w:bidi w:val="0"/>
        <w:spacing w:before="93"/>
        <w:ind w:firstLine="880" w:firstLineChars="200"/>
        <w:textAlignment w:val="auto"/>
        <w:rPr>
          <w:rStyle w:val="25"/>
          <w:rFonts w:hint="default" w:ascii="Times New Roman" w:hAnsi="Times New Roman" w:eastAsia="方正小标宋简体" w:cs="Times New Roman"/>
          <w:b w:val="0"/>
          <w:bCs w:val="0"/>
          <w:sz w:val="44"/>
          <w:szCs w:val="44"/>
        </w:rPr>
      </w:pPr>
    </w:p>
    <w:p>
      <w:pPr>
        <w:pStyle w:val="2"/>
        <w:pageBreakBefore w:val="0"/>
        <w:kinsoku/>
        <w:wordWrap/>
        <w:overflowPunct/>
        <w:topLinePunct w:val="0"/>
        <w:bidi w:val="0"/>
        <w:spacing w:before="93"/>
        <w:ind w:firstLine="880" w:firstLineChars="200"/>
        <w:textAlignment w:val="auto"/>
        <w:rPr>
          <w:rStyle w:val="25"/>
          <w:rFonts w:hint="default" w:ascii="Times New Roman" w:hAnsi="Times New Roman" w:eastAsia="方正小标宋简体" w:cs="Times New Roman"/>
          <w:b w:val="0"/>
          <w:bCs w:val="0"/>
          <w:sz w:val="44"/>
          <w:szCs w:val="44"/>
        </w:rPr>
      </w:pPr>
    </w:p>
    <w:p>
      <w:pPr>
        <w:pStyle w:val="2"/>
        <w:pageBreakBefore w:val="0"/>
        <w:kinsoku/>
        <w:wordWrap/>
        <w:overflowPunct/>
        <w:topLinePunct w:val="0"/>
        <w:bidi w:val="0"/>
        <w:spacing w:before="93"/>
        <w:ind w:firstLine="880" w:firstLineChars="200"/>
        <w:textAlignment w:val="auto"/>
        <w:rPr>
          <w:rStyle w:val="25"/>
          <w:rFonts w:hint="default" w:ascii="Times New Roman" w:hAnsi="Times New Roman" w:eastAsia="方正小标宋简体" w:cs="Times New Roman"/>
          <w:b w:val="0"/>
          <w:bCs w:val="0"/>
          <w:sz w:val="44"/>
          <w:szCs w:val="44"/>
        </w:rPr>
      </w:pPr>
    </w:p>
    <w:p>
      <w:pPr>
        <w:pStyle w:val="2"/>
        <w:pageBreakBefore w:val="0"/>
        <w:kinsoku/>
        <w:wordWrap/>
        <w:overflowPunct/>
        <w:topLinePunct w:val="0"/>
        <w:bidi w:val="0"/>
        <w:spacing w:before="93"/>
        <w:ind w:firstLine="880" w:firstLineChars="200"/>
        <w:textAlignment w:val="auto"/>
        <w:rPr>
          <w:rStyle w:val="25"/>
          <w:rFonts w:hint="default" w:ascii="Times New Roman" w:hAnsi="Times New Roman" w:eastAsia="方正小标宋简体" w:cs="Times New Roman"/>
          <w:b w:val="0"/>
          <w:bCs w:val="0"/>
          <w:sz w:val="44"/>
          <w:szCs w:val="44"/>
        </w:rPr>
      </w:pPr>
    </w:p>
    <w:p>
      <w:pPr>
        <w:pStyle w:val="2"/>
        <w:pageBreakBefore w:val="0"/>
        <w:kinsoku/>
        <w:wordWrap/>
        <w:overflowPunct/>
        <w:topLinePunct w:val="0"/>
        <w:bidi w:val="0"/>
        <w:spacing w:before="93"/>
        <w:ind w:firstLine="880" w:firstLineChars="200"/>
        <w:textAlignment w:val="auto"/>
        <w:rPr>
          <w:rStyle w:val="25"/>
          <w:rFonts w:hint="default" w:ascii="Times New Roman" w:hAnsi="Times New Roman" w:eastAsia="方正小标宋简体" w:cs="Times New Roman"/>
          <w:b w:val="0"/>
          <w:bCs w:val="0"/>
          <w:sz w:val="44"/>
          <w:szCs w:val="44"/>
        </w:rPr>
      </w:pPr>
    </w:p>
    <w:p>
      <w:pPr>
        <w:pStyle w:val="2"/>
        <w:pageBreakBefore w:val="0"/>
        <w:kinsoku/>
        <w:wordWrap/>
        <w:overflowPunct/>
        <w:topLinePunct w:val="0"/>
        <w:bidi w:val="0"/>
        <w:spacing w:before="93"/>
        <w:ind w:firstLine="880" w:firstLineChars="200"/>
        <w:textAlignment w:val="auto"/>
        <w:rPr>
          <w:rStyle w:val="25"/>
          <w:rFonts w:hint="default" w:ascii="Times New Roman" w:hAnsi="Times New Roman" w:eastAsia="方正小标宋简体" w:cs="Times New Roman"/>
          <w:b w:val="0"/>
          <w:bCs w:val="0"/>
          <w:sz w:val="44"/>
          <w:szCs w:val="44"/>
        </w:rPr>
      </w:pPr>
      <w:r>
        <w:rPr>
          <w:rStyle w:val="25"/>
          <w:rFonts w:hint="default" w:ascii="Times New Roman" w:hAnsi="Times New Roman" w:eastAsia="方正小标宋简体" w:cs="Times New Roman"/>
          <w:b w:val="0"/>
          <w:bCs w:val="0"/>
          <w:sz w:val="44"/>
          <w:szCs w:val="44"/>
        </w:rPr>
        <w:t>第五部分：附表</w:t>
      </w:r>
    </w:p>
    <w:p>
      <w:pPr>
        <w:pStyle w:val="10"/>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w:t>
      </w:r>
      <w:r>
        <w:rPr>
          <w:rFonts w:hint="eastAsia" w:ascii="Times New Roman" w:hAnsi="Times New Roman" w:eastAsia="仿宋_GB2312" w:cs="Times New Roman"/>
          <w:kern w:val="2"/>
          <w:sz w:val="32"/>
          <w:szCs w:val="32"/>
          <w:lang w:val="en-US" w:eastAsia="zh-CN" w:bidi="ar-SA"/>
        </w:rPr>
        <w:t>收入支出决算总表</w:t>
      </w:r>
    </w:p>
    <w:p>
      <w:pPr>
        <w:pStyle w:val="10"/>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w:t>
      </w:r>
      <w:r>
        <w:rPr>
          <w:rFonts w:hint="eastAsia" w:ascii="Times New Roman" w:hAnsi="Times New Roman" w:eastAsia="仿宋_GB2312" w:cs="Times New Roman"/>
          <w:kern w:val="2"/>
          <w:sz w:val="32"/>
          <w:szCs w:val="32"/>
          <w:lang w:val="en-US" w:eastAsia="zh-CN" w:bidi="ar-SA"/>
        </w:rPr>
        <w:t>收入决算表</w:t>
      </w:r>
    </w:p>
    <w:p>
      <w:pPr>
        <w:pStyle w:val="10"/>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三、</w:t>
      </w:r>
      <w:r>
        <w:rPr>
          <w:rFonts w:hint="eastAsia" w:ascii="Times New Roman" w:hAnsi="Times New Roman" w:eastAsia="仿宋_GB2312" w:cs="Times New Roman"/>
          <w:kern w:val="2"/>
          <w:sz w:val="32"/>
          <w:szCs w:val="32"/>
          <w:lang w:val="en-US" w:eastAsia="zh-CN" w:bidi="ar-SA"/>
        </w:rPr>
        <w:t>支出决算表</w:t>
      </w:r>
    </w:p>
    <w:p>
      <w:pPr>
        <w:pStyle w:val="10"/>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四、财政拨款收入支出决算总表</w:t>
      </w:r>
    </w:p>
    <w:p>
      <w:pPr>
        <w:pStyle w:val="10"/>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五、财政拨款支出决算明细表</w:t>
      </w:r>
    </w:p>
    <w:p>
      <w:pPr>
        <w:pStyle w:val="10"/>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六、一般公共预算财政拨款支出决算表</w:t>
      </w:r>
    </w:p>
    <w:p>
      <w:pPr>
        <w:pStyle w:val="10"/>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七、一般公共预算财政拨款支出决算明细表</w:t>
      </w:r>
    </w:p>
    <w:p>
      <w:pPr>
        <w:pStyle w:val="10"/>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八、一般公共预算财政拨款基本支出决算明细表</w:t>
      </w:r>
    </w:p>
    <w:p>
      <w:pPr>
        <w:pStyle w:val="10"/>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九、一般公共预算财政拨款项目支出决算表</w:t>
      </w:r>
    </w:p>
    <w:p>
      <w:pPr>
        <w:pStyle w:val="10"/>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十、政府性基金预算财政拨款收入支出决算表</w:t>
      </w:r>
    </w:p>
    <w:p>
      <w:pPr>
        <w:pStyle w:val="10"/>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十一、国有资本经营预算财政拨款收入支出决算表</w:t>
      </w:r>
    </w:p>
    <w:p>
      <w:pPr>
        <w:pStyle w:val="10"/>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十二、国有资本经营预算财政拨款支出决算表</w:t>
      </w:r>
    </w:p>
    <w:p>
      <w:pPr>
        <w:pStyle w:val="10"/>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十三、财政拨款“三公”经费支出决算表</w:t>
      </w:r>
    </w:p>
    <w:p>
      <w:pPr>
        <w:pStyle w:val="2"/>
        <w:keepNext w:val="0"/>
        <w:keepLines w:val="0"/>
        <w:pageBreakBefore w:val="0"/>
        <w:widowControl w:val="0"/>
        <w:kinsoku/>
        <w:wordWrap/>
        <w:overflowPunct/>
        <w:topLinePunct w:val="0"/>
        <w:autoSpaceDE/>
        <w:autoSpaceDN/>
        <w:bidi w:val="0"/>
        <w:spacing w:before="93"/>
        <w:ind w:firstLine="600" w:firstLineChars="200"/>
        <w:textAlignment w:val="auto"/>
        <w:rPr>
          <w:rFonts w:hint="default" w:ascii="Times New Roman" w:hAnsi="Times New Roman" w:cs="Times New Roman"/>
        </w:rPr>
      </w:pPr>
    </w:p>
    <w:p>
      <w:pPr>
        <w:pStyle w:val="2"/>
        <w:pageBreakBefore w:val="0"/>
        <w:kinsoku/>
        <w:wordWrap/>
        <w:overflowPunct/>
        <w:topLinePunct w:val="0"/>
        <w:bidi w:val="0"/>
        <w:spacing w:before="93"/>
        <w:ind w:firstLine="600" w:firstLineChars="200"/>
        <w:textAlignment w:val="auto"/>
        <w:rPr>
          <w:rFonts w:hint="default" w:ascii="Times New Roman" w:hAnsi="Times New Roman" w:cs="Times New Roman"/>
        </w:rPr>
      </w:pPr>
    </w:p>
    <w:p>
      <w:pPr>
        <w:pStyle w:val="4"/>
        <w:pageBreakBefore w:val="0"/>
        <w:kinsoku/>
        <w:wordWrap/>
        <w:overflowPunct/>
        <w:topLinePunct w:val="0"/>
        <w:bidi w:val="0"/>
        <w:ind w:firstLine="642" w:firstLineChars="200"/>
        <w:textAlignment w:val="auto"/>
        <w:rPr>
          <w:rFonts w:hint="default" w:ascii="Times New Roman" w:hAnsi="Times New Roman" w:eastAsia="仿宋" w:cs="Times New Roman"/>
          <w:color w:val="000000" w:themeColor="text1"/>
          <w14:textFill>
            <w14:solidFill>
              <w14:schemeClr w14:val="tx1"/>
            </w14:solidFill>
          </w14:textFill>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ascii="方正小标宋_GBK" w:hAnsi="方正小标宋_GBK" w:eastAsia="方正小标宋_GBK" w:cs="方正小标宋_GBK"/>
        <w:sz w:val="44"/>
        <w:szCs w:val="44"/>
      </w:rPr>
    </w:lvl>
  </w:abstractNum>
  <w:abstractNum w:abstractNumId="1">
    <w:nsid w:val="57DCDBBD"/>
    <w:multiLevelType w:val="singleLevel"/>
    <w:tmpl w:val="57DCDBB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mNTcxZWM2M2M4MDZhZTBhMzJjYzNmNTk0YzQ1NjUifQ=="/>
  </w:docVars>
  <w:rsids>
    <w:rsidRoot w:val="00F1361C"/>
    <w:rsid w:val="000222C6"/>
    <w:rsid w:val="0002549F"/>
    <w:rsid w:val="000468DB"/>
    <w:rsid w:val="00055A8A"/>
    <w:rsid w:val="0006487A"/>
    <w:rsid w:val="00065F8F"/>
    <w:rsid w:val="00070A43"/>
    <w:rsid w:val="0007547B"/>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3D69"/>
    <w:rsid w:val="000E6613"/>
    <w:rsid w:val="000E7119"/>
    <w:rsid w:val="00114E9B"/>
    <w:rsid w:val="00142216"/>
    <w:rsid w:val="00144D6A"/>
    <w:rsid w:val="0014729F"/>
    <w:rsid w:val="00157BAB"/>
    <w:rsid w:val="001654D1"/>
    <w:rsid w:val="00170187"/>
    <w:rsid w:val="00174518"/>
    <w:rsid w:val="0018106D"/>
    <w:rsid w:val="001877A7"/>
    <w:rsid w:val="00191536"/>
    <w:rsid w:val="00196687"/>
    <w:rsid w:val="001C0962"/>
    <w:rsid w:val="001D7531"/>
    <w:rsid w:val="001E737D"/>
    <w:rsid w:val="001F0592"/>
    <w:rsid w:val="001F7506"/>
    <w:rsid w:val="002006CD"/>
    <w:rsid w:val="00202B36"/>
    <w:rsid w:val="00203980"/>
    <w:rsid w:val="00204B7A"/>
    <w:rsid w:val="00204CDE"/>
    <w:rsid w:val="0021101A"/>
    <w:rsid w:val="00220536"/>
    <w:rsid w:val="00235629"/>
    <w:rsid w:val="00260C38"/>
    <w:rsid w:val="002616C0"/>
    <w:rsid w:val="00265372"/>
    <w:rsid w:val="002662AA"/>
    <w:rsid w:val="00266B6B"/>
    <w:rsid w:val="00280496"/>
    <w:rsid w:val="00294DC9"/>
    <w:rsid w:val="00295495"/>
    <w:rsid w:val="002A31DE"/>
    <w:rsid w:val="002B2613"/>
    <w:rsid w:val="002D6D05"/>
    <w:rsid w:val="002F1818"/>
    <w:rsid w:val="002F567B"/>
    <w:rsid w:val="003216A9"/>
    <w:rsid w:val="00335A74"/>
    <w:rsid w:val="0036561B"/>
    <w:rsid w:val="0037013F"/>
    <w:rsid w:val="00377BF7"/>
    <w:rsid w:val="00380C92"/>
    <w:rsid w:val="003A484F"/>
    <w:rsid w:val="003A4883"/>
    <w:rsid w:val="003B0BE0"/>
    <w:rsid w:val="003B0C1B"/>
    <w:rsid w:val="003B39D8"/>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2798"/>
    <w:rsid w:val="004A711F"/>
    <w:rsid w:val="004B199D"/>
    <w:rsid w:val="004B4690"/>
    <w:rsid w:val="004E0A2D"/>
    <w:rsid w:val="004E206B"/>
    <w:rsid w:val="004E6DF7"/>
    <w:rsid w:val="004F0FBD"/>
    <w:rsid w:val="00505A47"/>
    <w:rsid w:val="00512FDA"/>
    <w:rsid w:val="00520DA0"/>
    <w:rsid w:val="005602B0"/>
    <w:rsid w:val="005664BB"/>
    <w:rsid w:val="00566FFA"/>
    <w:rsid w:val="0057481D"/>
    <w:rsid w:val="0058486E"/>
    <w:rsid w:val="00585B33"/>
    <w:rsid w:val="005863E1"/>
    <w:rsid w:val="0059014D"/>
    <w:rsid w:val="005A304C"/>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A7F8A"/>
    <w:rsid w:val="007D1682"/>
    <w:rsid w:val="007D312A"/>
    <w:rsid w:val="007D3F19"/>
    <w:rsid w:val="007E23B0"/>
    <w:rsid w:val="007E23E5"/>
    <w:rsid w:val="007F1991"/>
    <w:rsid w:val="007F2C2F"/>
    <w:rsid w:val="007F55FC"/>
    <w:rsid w:val="007F5665"/>
    <w:rsid w:val="00800112"/>
    <w:rsid w:val="00813348"/>
    <w:rsid w:val="00817B26"/>
    <w:rsid w:val="008253BB"/>
    <w:rsid w:val="0083706E"/>
    <w:rsid w:val="008408F6"/>
    <w:rsid w:val="008423A5"/>
    <w:rsid w:val="00850625"/>
    <w:rsid w:val="00853718"/>
    <w:rsid w:val="00855221"/>
    <w:rsid w:val="00860645"/>
    <w:rsid w:val="008669DF"/>
    <w:rsid w:val="00871F71"/>
    <w:rsid w:val="00872FD8"/>
    <w:rsid w:val="00885AF4"/>
    <w:rsid w:val="008939CD"/>
    <w:rsid w:val="008B768C"/>
    <w:rsid w:val="008C4DB1"/>
    <w:rsid w:val="008C4EAF"/>
    <w:rsid w:val="008C5176"/>
    <w:rsid w:val="008C7FD0"/>
    <w:rsid w:val="008E1DE7"/>
    <w:rsid w:val="008E707C"/>
    <w:rsid w:val="008F43BF"/>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3B3"/>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D6978"/>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1D89"/>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06D8"/>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D7009"/>
    <w:rsid w:val="00FF1E02"/>
    <w:rsid w:val="00FF30B4"/>
    <w:rsid w:val="02F72AEC"/>
    <w:rsid w:val="03136D67"/>
    <w:rsid w:val="04E672BC"/>
    <w:rsid w:val="0669648E"/>
    <w:rsid w:val="069129D9"/>
    <w:rsid w:val="06B801E1"/>
    <w:rsid w:val="074D27E3"/>
    <w:rsid w:val="07593D76"/>
    <w:rsid w:val="08217FA4"/>
    <w:rsid w:val="09285C46"/>
    <w:rsid w:val="09831C8A"/>
    <w:rsid w:val="09B3669D"/>
    <w:rsid w:val="0A2032A3"/>
    <w:rsid w:val="0ACB72E5"/>
    <w:rsid w:val="0BD1285F"/>
    <w:rsid w:val="0DE21480"/>
    <w:rsid w:val="0E65240A"/>
    <w:rsid w:val="0EA43B14"/>
    <w:rsid w:val="10C055FF"/>
    <w:rsid w:val="118107EC"/>
    <w:rsid w:val="12C86253"/>
    <w:rsid w:val="143B2804"/>
    <w:rsid w:val="16494EC1"/>
    <w:rsid w:val="16BB723D"/>
    <w:rsid w:val="1793097A"/>
    <w:rsid w:val="184B3046"/>
    <w:rsid w:val="18534BA8"/>
    <w:rsid w:val="19375FF7"/>
    <w:rsid w:val="1C7E2327"/>
    <w:rsid w:val="1D155CEE"/>
    <w:rsid w:val="1DC54782"/>
    <w:rsid w:val="1E422BA2"/>
    <w:rsid w:val="1E8B5456"/>
    <w:rsid w:val="1EE0794A"/>
    <w:rsid w:val="1F2B3E6A"/>
    <w:rsid w:val="21B43707"/>
    <w:rsid w:val="233C469F"/>
    <w:rsid w:val="240371BF"/>
    <w:rsid w:val="24270C66"/>
    <w:rsid w:val="243855B5"/>
    <w:rsid w:val="246D4839"/>
    <w:rsid w:val="253B107F"/>
    <w:rsid w:val="26172211"/>
    <w:rsid w:val="263C19B7"/>
    <w:rsid w:val="27194E78"/>
    <w:rsid w:val="277C78F6"/>
    <w:rsid w:val="27800519"/>
    <w:rsid w:val="299D3B3E"/>
    <w:rsid w:val="29FD04D3"/>
    <w:rsid w:val="2A982D35"/>
    <w:rsid w:val="2BD58DEE"/>
    <w:rsid w:val="2BDC73E3"/>
    <w:rsid w:val="2CF92D3D"/>
    <w:rsid w:val="2DFE01DB"/>
    <w:rsid w:val="2E5D0A8E"/>
    <w:rsid w:val="2F5D990D"/>
    <w:rsid w:val="3044116F"/>
    <w:rsid w:val="30B97C74"/>
    <w:rsid w:val="31981078"/>
    <w:rsid w:val="319F7F4E"/>
    <w:rsid w:val="31C06AA2"/>
    <w:rsid w:val="33354F1E"/>
    <w:rsid w:val="34585C73"/>
    <w:rsid w:val="34CD0532"/>
    <w:rsid w:val="34D66C80"/>
    <w:rsid w:val="36F358E7"/>
    <w:rsid w:val="37574EED"/>
    <w:rsid w:val="37940F14"/>
    <w:rsid w:val="37A8284F"/>
    <w:rsid w:val="384F1DA4"/>
    <w:rsid w:val="387E5813"/>
    <w:rsid w:val="399A2F0D"/>
    <w:rsid w:val="39B90593"/>
    <w:rsid w:val="3A63048C"/>
    <w:rsid w:val="3A8B515E"/>
    <w:rsid w:val="3C072580"/>
    <w:rsid w:val="3C66733D"/>
    <w:rsid w:val="3D065BAF"/>
    <w:rsid w:val="3D3F73AB"/>
    <w:rsid w:val="3DA74B34"/>
    <w:rsid w:val="3FA823D0"/>
    <w:rsid w:val="3FFA232E"/>
    <w:rsid w:val="404E284D"/>
    <w:rsid w:val="40E26EDF"/>
    <w:rsid w:val="41697413"/>
    <w:rsid w:val="4194777E"/>
    <w:rsid w:val="421666B2"/>
    <w:rsid w:val="44B335A2"/>
    <w:rsid w:val="4574072F"/>
    <w:rsid w:val="46245B4E"/>
    <w:rsid w:val="465B295F"/>
    <w:rsid w:val="46777686"/>
    <w:rsid w:val="47B01E42"/>
    <w:rsid w:val="482A15FB"/>
    <w:rsid w:val="49A30776"/>
    <w:rsid w:val="4E325838"/>
    <w:rsid w:val="4E6E319C"/>
    <w:rsid w:val="4EBB1DB6"/>
    <w:rsid w:val="4ECE2238"/>
    <w:rsid w:val="4F907F99"/>
    <w:rsid w:val="503244F3"/>
    <w:rsid w:val="50667B86"/>
    <w:rsid w:val="5100039B"/>
    <w:rsid w:val="51267386"/>
    <w:rsid w:val="51DC2191"/>
    <w:rsid w:val="53927A32"/>
    <w:rsid w:val="54D062C6"/>
    <w:rsid w:val="55C04EA2"/>
    <w:rsid w:val="56920B76"/>
    <w:rsid w:val="56C9FFDE"/>
    <w:rsid w:val="57002E75"/>
    <w:rsid w:val="57DB4A0B"/>
    <w:rsid w:val="58211797"/>
    <w:rsid w:val="584011B8"/>
    <w:rsid w:val="5A6C4845"/>
    <w:rsid w:val="5A79266A"/>
    <w:rsid w:val="5B377C37"/>
    <w:rsid w:val="5DA327CA"/>
    <w:rsid w:val="5DEA68CD"/>
    <w:rsid w:val="5F0D5088"/>
    <w:rsid w:val="5FFD1A70"/>
    <w:rsid w:val="60CD4EE0"/>
    <w:rsid w:val="6160373D"/>
    <w:rsid w:val="631122C9"/>
    <w:rsid w:val="63A808FD"/>
    <w:rsid w:val="656D05F8"/>
    <w:rsid w:val="66342A30"/>
    <w:rsid w:val="668B5700"/>
    <w:rsid w:val="67704F2B"/>
    <w:rsid w:val="67771F8D"/>
    <w:rsid w:val="697E0D23"/>
    <w:rsid w:val="6A7F3982"/>
    <w:rsid w:val="6A80152E"/>
    <w:rsid w:val="6AB346DE"/>
    <w:rsid w:val="6C4A05C8"/>
    <w:rsid w:val="6CEE2D6F"/>
    <w:rsid w:val="6D4D6A44"/>
    <w:rsid w:val="6DCE3657"/>
    <w:rsid w:val="6E7A7577"/>
    <w:rsid w:val="6E817694"/>
    <w:rsid w:val="6ED36BA4"/>
    <w:rsid w:val="6EE36145"/>
    <w:rsid w:val="6F072F89"/>
    <w:rsid w:val="70C075D3"/>
    <w:rsid w:val="71967AEE"/>
    <w:rsid w:val="71F25676"/>
    <w:rsid w:val="72734D90"/>
    <w:rsid w:val="75585ABA"/>
    <w:rsid w:val="759B6318"/>
    <w:rsid w:val="76950A1B"/>
    <w:rsid w:val="76C35F44"/>
    <w:rsid w:val="774F572B"/>
    <w:rsid w:val="781C51FB"/>
    <w:rsid w:val="78395EF6"/>
    <w:rsid w:val="7908556B"/>
    <w:rsid w:val="7A3F02C0"/>
    <w:rsid w:val="7B6BF4D3"/>
    <w:rsid w:val="7C716CEE"/>
    <w:rsid w:val="7CDC7CD3"/>
    <w:rsid w:val="7FAF5630"/>
    <w:rsid w:val="B9BDA6A3"/>
    <w:rsid w:val="EFFEF9CE"/>
    <w:rsid w:val="F73557F3"/>
    <w:rsid w:val="FDEA2DE3"/>
    <w:rsid w:val="FED51A50"/>
    <w:rsid w:val="FEEFAD60"/>
    <w:rsid w:val="FFFF392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3">
    <w:name w:val="列出段落1"/>
    <w:basedOn w:val="1"/>
    <w:qFormat/>
    <w:uiPriority w:val="34"/>
    <w:pPr>
      <w:ind w:firstLine="420" w:firstLineChars="200"/>
    </w:pPr>
  </w:style>
  <w:style w:type="character" w:customStyle="1" w:styleId="24">
    <w:name w:val="标题 1 字符"/>
    <w:basedOn w:val="13"/>
    <w:link w:val="3"/>
    <w:qFormat/>
    <w:uiPriority w:val="9"/>
    <w:rPr>
      <w:rFonts w:ascii="Times New Roman" w:hAnsi="Times New Roman"/>
      <w:b/>
      <w:bCs/>
      <w:kern w:val="44"/>
      <w:sz w:val="44"/>
      <w:szCs w:val="44"/>
    </w:rPr>
  </w:style>
  <w:style w:type="character" w:customStyle="1" w:styleId="25">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30">
    <w:name w:val="List Paragraph"/>
    <w:basedOn w:val="1"/>
    <w:qFormat/>
    <w:uiPriority w:val="99"/>
    <w:pPr>
      <w:ind w:firstLine="420" w:firstLineChars="200"/>
    </w:pPr>
  </w:style>
  <w:style w:type="paragraph" w:styleId="31">
    <w:name w:val="No Spacing"/>
    <w:qFormat/>
    <w:uiPriority w:val="1"/>
    <w:pPr>
      <w:widowControl w:val="0"/>
      <w:jc w:val="both"/>
    </w:pPr>
    <w:rPr>
      <w:rFonts w:ascii="Times New Roman" w:hAnsi="Times New Roman" w:eastAsia="仿宋_GB2312" w:cs="Times New Roman"/>
      <w:kern w:val="2"/>
      <w:sz w:val="32"/>
      <w:szCs w:val="24"/>
      <w:lang w:val="en-US" w:eastAsia="zh-CN" w:bidi="ar-SA"/>
    </w:rPr>
  </w:style>
  <w:style w:type="character" w:customStyle="1" w:styleId="32">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8842563783447"/>
          <c:y val="0.026191822121726"/>
          <c:w val="0.82005"/>
          <c:h val="0.883066666666667"/>
        </c:manualLayout>
      </c:layout>
      <c:barChart>
        <c:barDir val="col"/>
        <c:grouping val="clustered"/>
        <c:varyColors val="0"/>
        <c:ser>
          <c:idx val="0"/>
          <c:order val="0"/>
          <c:tx>
            <c:strRef>
              <c:f>Sheet1!$B$1</c:f>
              <c:strCache>
                <c:ptCount val="1"/>
                <c:pt idx="0">
                  <c:v>金额</c:v>
                </c:pt>
              </c:strCache>
            </c:strRef>
          </c:tx>
          <c:spPr>
            <a:solidFill>
              <a:schemeClr val="accent1"/>
            </a:solidFill>
            <a:ln>
              <a:noFill/>
            </a:ln>
            <a:effectLst/>
          </c:spPr>
          <c:invertIfNegative val="0"/>
          <c:dLbls>
            <c:delete val="1"/>
          </c:dLbls>
          <c:cat>
            <c:strRef>
              <c:f>Sheet1!$A$2:$A$5</c:f>
              <c:strCache>
                <c:ptCount val="4"/>
                <c:pt idx="0">
                  <c:v>本年收入合计</c:v>
                </c:pt>
                <c:pt idx="1">
                  <c:v>本年支出合计</c:v>
                </c:pt>
                <c:pt idx="2">
                  <c:v>上年收入合计</c:v>
                </c:pt>
                <c:pt idx="3">
                  <c:v>上年支出合计</c:v>
                </c:pt>
              </c:strCache>
            </c:strRef>
          </c:cat>
          <c:val>
            <c:numRef>
              <c:f>Sheet1!$B$2:$B$5</c:f>
              <c:numCache>
                <c:formatCode>#,##0.00</c:formatCode>
                <c:ptCount val="4"/>
                <c:pt idx="0">
                  <c:v>4580804.21</c:v>
                </c:pt>
                <c:pt idx="1">
                  <c:v>4580804.21</c:v>
                </c:pt>
                <c:pt idx="2">
                  <c:v>4443717.51</c:v>
                </c:pt>
                <c:pt idx="3">
                  <c:v>4443717.51</c:v>
                </c:pt>
              </c:numCache>
            </c:numRef>
          </c:val>
        </c:ser>
        <c:ser>
          <c:idx val="2"/>
          <c:order val="1"/>
          <c:tx>
            <c:strRef>
              <c:f>Sheet1!#REF!</c:f>
              <c:strCache>
                <c:ptCount val="1"/>
                <c:pt idx="0">
                  <c:v/>
                </c:pt>
              </c:strCache>
            </c:strRef>
          </c:tx>
          <c:spPr>
            <a:solidFill>
              <a:schemeClr val="accent3"/>
            </a:solidFill>
            <a:ln>
              <a:noFill/>
            </a:ln>
            <a:effectLst/>
          </c:spPr>
          <c:invertIfNegative val="0"/>
          <c:dLbls>
            <c:delete val="1"/>
          </c:dLbls>
          <c:cat>
            <c:strRef>
              <c:f>Sheet1!$A$2:$A$5</c:f>
              <c:strCache>
                <c:ptCount val="4"/>
                <c:pt idx="0">
                  <c:v>本年收入合计</c:v>
                </c:pt>
                <c:pt idx="1">
                  <c:v>本年支出合计</c:v>
                </c:pt>
                <c:pt idx="2">
                  <c:v>上年收入合计</c:v>
                </c:pt>
                <c:pt idx="3">
                  <c:v>上年支出合计</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132889980"/>
        <c:axId val="763839756"/>
      </c:barChart>
      <c:catAx>
        <c:axId val="13288998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3839756"/>
        <c:crosses val="autoZero"/>
        <c:auto val="1"/>
        <c:lblAlgn val="ctr"/>
        <c:lblOffset val="100"/>
        <c:noMultiLvlLbl val="0"/>
      </c:catAx>
      <c:valAx>
        <c:axId val="76383975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28899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收入决算结构图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w="19050">
                <a:solidFill>
                  <a:schemeClr val="lt1"/>
                </a:solidFill>
              </a:ln>
              <a:effectLst/>
            </c:spPr>
          </c:dPt>
          <c:dLbls>
            <c:delete val="1"/>
          </c:dLbls>
          <c:cat>
            <c:strRef>
              <c:f>Sheet1!$A$2:$B$2</c:f>
              <c:strCache>
                <c:ptCount val="2"/>
                <c:pt idx="0">
                  <c:v>一般公共预算财政拨款收入</c:v>
                </c:pt>
                <c:pt idx="1">
                  <c:v>4580804.21</c:v>
                </c:pt>
              </c:strCache>
            </c:strRef>
          </c:cat>
          <c:val>
            <c:numRef>
              <c:f>Sheet1!$B$2</c:f>
              <c:numCache>
                <c:formatCode>General</c:formatCode>
                <c:ptCount val="1"/>
                <c:pt idx="0">
                  <c:v>4580804.21</c:v>
                </c:pt>
              </c:numCache>
            </c:numRef>
          </c:val>
        </c:ser>
        <c:ser>
          <c:idx val="1"/>
          <c:order val="1"/>
          <c:tx>
            <c:strRef>
              <c:f>Sheet1!$C$1</c:f>
              <c:strCache>
                <c:ptCount val="1"/>
                <c:pt idx="0">
                  <c:v>比例</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elete val="1"/>
          </c:dLbls>
          <c:cat>
            <c:strRef>
              <c:f>Sheet1!$A$2:$B$2</c:f>
              <c:strCache>
                <c:ptCount val="2"/>
                <c:pt idx="0">
                  <c:v>一般公共预算财政拨款收入</c:v>
                </c:pt>
                <c:pt idx="1">
                  <c:v>4580804.21</c:v>
                </c:pt>
              </c:strCache>
            </c:strRef>
          </c:cat>
          <c:val>
            <c:numRef>
              <c:f>Sheet1!$C$2:$C$8</c:f>
              <c:numCache>
                <c:formatCode>0%</c:formatCode>
                <c:ptCount val="7"/>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支出算结构图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基本支出</c:v>
                </c:pt>
              </c:strCache>
            </c:strRef>
          </c:cat>
          <c:val>
            <c:numRef>
              <c:f>Sheet1!$B$2</c:f>
              <c:numCache>
                <c:formatCode>General</c:formatCode>
                <c:ptCount val="1"/>
                <c:pt idx="0">
                  <c:v>4580804.21</c:v>
                </c:pt>
              </c:numCache>
            </c:numRef>
          </c:val>
        </c:ser>
        <c:ser>
          <c:idx val="1"/>
          <c:order val="1"/>
          <c:tx>
            <c:strRef>
              <c:f>Sheet1!$C$1</c:f>
              <c:strCache>
                <c:ptCount val="1"/>
                <c:pt idx="0">
                  <c:v>比例</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基本支出</c:v>
                </c:pt>
              </c:strCache>
            </c:strRef>
          </c:cat>
          <c:val>
            <c:numRef>
              <c:f>Sheet1!$C$2</c:f>
              <c:numCache>
                <c:formatCode>0%</c:formatCode>
                <c:ptCount val="1"/>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财政拨款、收支决算总计变动情况</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本年收入</c:v>
                </c:pt>
              </c:strCache>
            </c:strRef>
          </c:tx>
          <c:spPr>
            <a:solidFill>
              <a:schemeClr val="accent1"/>
            </a:solidFill>
            <a:ln>
              <a:noFill/>
            </a:ln>
            <a:effectLst/>
          </c:spPr>
          <c:invertIfNegative val="0"/>
          <c:dLbls>
            <c:delete val="1"/>
          </c:dLbls>
          <c:cat>
            <c:strRef>
              <c:f>Sheet1!$A$2:$A$8</c:f>
              <c:strCache>
                <c:ptCount val="7"/>
                <c:pt idx="2">
                  <c:v>合计</c:v>
                </c:pt>
                <c:pt idx="3">
                  <c:v>一般公共服务支出</c:v>
                </c:pt>
                <c:pt idx="4">
                  <c:v>社会保障和就业支出</c:v>
                </c:pt>
                <c:pt idx="5">
                  <c:v>卫生健康支出</c:v>
                </c:pt>
                <c:pt idx="6">
                  <c:v>住房保障支出</c:v>
                </c:pt>
              </c:strCache>
            </c:strRef>
          </c:cat>
          <c:val>
            <c:numRef>
              <c:f>Sheet1!$B$2:$B$8</c:f>
              <c:numCache>
                <c:formatCode>General</c:formatCode>
                <c:ptCount val="7"/>
                <c:pt idx="0">
                  <c:v>0</c:v>
                </c:pt>
                <c:pt idx="2" c:formatCode="#,##0.00">
                  <c:v>4580804.21</c:v>
                </c:pt>
                <c:pt idx="3" c:formatCode="#,##0.00">
                  <c:v>4046001</c:v>
                </c:pt>
                <c:pt idx="4" c:formatCode="#,##0.00">
                  <c:v>204818.88</c:v>
                </c:pt>
                <c:pt idx="5" c:formatCode="#,##0.00">
                  <c:v>80368.17</c:v>
                </c:pt>
                <c:pt idx="6" c:formatCode="#,##0.00">
                  <c:v>249616.16</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Sheet1!$A$2:$A$8</c:f>
              <c:strCache>
                <c:ptCount val="7"/>
                <c:pt idx="2">
                  <c:v>合计</c:v>
                </c:pt>
                <c:pt idx="3">
                  <c:v>一般公共服务支出</c:v>
                </c:pt>
                <c:pt idx="4">
                  <c:v>社会保障和就业支出</c:v>
                </c:pt>
                <c:pt idx="5">
                  <c:v>卫生健康支出</c:v>
                </c:pt>
                <c:pt idx="6">
                  <c:v>住房保障支出</c:v>
                </c:pt>
              </c:strCache>
            </c:strRef>
          </c:cat>
          <c:val>
            <c:numRef>
              <c:f>Sheet1!$C$2:$C$8</c:f>
              <c:numCache>
                <c:formatCode>General</c:formatCode>
                <c:ptCount val="7"/>
                <c:pt idx="0">
                  <c:v>0</c:v>
                </c:pt>
                <c:pt idx="2" c:formatCode="#,##0.00">
                  <c:v>4580804.21</c:v>
                </c:pt>
                <c:pt idx="3" c:formatCode="#,##0.00">
                  <c:v>4046001</c:v>
                </c:pt>
                <c:pt idx="4" c:formatCode="#,##0.00">
                  <c:v>204818.88</c:v>
                </c:pt>
                <c:pt idx="5" c:formatCode="#,##0.00">
                  <c:v>80368.17</c:v>
                </c:pt>
                <c:pt idx="6" c:formatCode="#,##0.00">
                  <c:v>249616.16</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Sheet1!$A$2:$A$8</c:f>
              <c:strCache>
                <c:ptCount val="7"/>
                <c:pt idx="2">
                  <c:v>合计</c:v>
                </c:pt>
                <c:pt idx="3">
                  <c:v>一般公共服务支出</c:v>
                </c:pt>
                <c:pt idx="4">
                  <c:v>社会保障和就业支出</c:v>
                </c:pt>
                <c:pt idx="5">
                  <c:v>卫生健康支出</c:v>
                </c:pt>
                <c:pt idx="6">
                  <c:v>住房保障支出</c:v>
                </c:pt>
              </c:strCache>
            </c:strRef>
          </c:cat>
          <c:val>
            <c:numRef>
              <c:f>Sheet1!$D$2:$D$8</c:f>
              <c:numCache>
                <c:formatCode>General</c:formatCode>
                <c:ptCount val="7"/>
                <c:pt idx="0">
                  <c:v>0</c:v>
                </c:pt>
                <c:pt idx="2">
                  <c:v>0</c:v>
                </c:pt>
                <c:pt idx="3">
                  <c:v>0</c:v>
                </c:pt>
                <c:pt idx="4">
                  <c:v>0</c:v>
                </c:pt>
                <c:pt idx="5">
                  <c:v>0</c:v>
                </c:pt>
                <c:pt idx="6">
                  <c:v>0</c:v>
                </c:pt>
              </c:numCache>
            </c:numRef>
          </c:val>
        </c:ser>
        <c:ser>
          <c:idx val="3"/>
          <c:order val="3"/>
          <c:tx>
            <c:strRef>
              <c:f>Sheet1!$E$1</c:f>
              <c:strCache>
                <c:ptCount val="1"/>
                <c:pt idx="0">
                  <c:v>本年支出</c:v>
                </c:pt>
              </c:strCache>
            </c:strRef>
          </c:tx>
          <c:spPr>
            <a:solidFill>
              <a:schemeClr val="accent4"/>
            </a:solidFill>
            <a:ln>
              <a:noFill/>
            </a:ln>
            <a:effectLst/>
          </c:spPr>
          <c:invertIfNegative val="0"/>
          <c:dLbls>
            <c:delete val="1"/>
          </c:dLbls>
          <c:cat>
            <c:strRef>
              <c:f>Sheet1!$A$2:$A$8</c:f>
              <c:strCache>
                <c:ptCount val="7"/>
                <c:pt idx="2">
                  <c:v>合计</c:v>
                </c:pt>
                <c:pt idx="3">
                  <c:v>一般公共服务支出</c:v>
                </c:pt>
                <c:pt idx="4">
                  <c:v>社会保障和就业支出</c:v>
                </c:pt>
                <c:pt idx="5">
                  <c:v>卫生健康支出</c:v>
                </c:pt>
                <c:pt idx="6">
                  <c:v>住房保障支出</c:v>
                </c:pt>
              </c:strCache>
            </c:strRef>
          </c:cat>
          <c:val>
            <c:numRef>
              <c:f>Sheet1!$E$2:$E$8</c:f>
              <c:numCache>
                <c:formatCode>General</c:formatCode>
                <c:ptCount val="7"/>
                <c:pt idx="0">
                  <c:v>0</c:v>
                </c:pt>
                <c:pt idx="2" c:formatCode="#,##0.00">
                  <c:v>4580804.21</c:v>
                </c:pt>
                <c:pt idx="3" c:formatCode="#,##0.00">
                  <c:v>4046001</c:v>
                </c:pt>
                <c:pt idx="4" c:formatCode="#,##0.00">
                  <c:v>204818.88</c:v>
                </c:pt>
                <c:pt idx="5" c:formatCode="#,##0.00">
                  <c:v>80368.17</c:v>
                </c:pt>
                <c:pt idx="6" c:formatCode="#,##0.00">
                  <c:v>249616.16</c:v>
                </c:pt>
              </c:numCache>
            </c:numRef>
          </c:val>
        </c:ser>
        <c:ser>
          <c:idx val="4"/>
          <c:order val="4"/>
          <c:tx>
            <c:strRef>
              <c:f>Sheet1!$F$1</c:f>
              <c:strCache>
                <c:ptCount val="1"/>
                <c:pt idx="0">
                  <c:v/>
                </c:pt>
              </c:strCache>
            </c:strRef>
          </c:tx>
          <c:spPr>
            <a:solidFill>
              <a:schemeClr val="accent5"/>
            </a:solidFill>
            <a:ln>
              <a:noFill/>
            </a:ln>
            <a:effectLst/>
          </c:spPr>
          <c:invertIfNegative val="0"/>
          <c:dLbls>
            <c:delete val="1"/>
          </c:dLbls>
          <c:cat>
            <c:strRef>
              <c:f>Sheet1!$A$2:$A$8</c:f>
              <c:strCache>
                <c:ptCount val="7"/>
                <c:pt idx="2">
                  <c:v>合计</c:v>
                </c:pt>
                <c:pt idx="3">
                  <c:v>一般公共服务支出</c:v>
                </c:pt>
                <c:pt idx="4">
                  <c:v>社会保障和就业支出</c:v>
                </c:pt>
                <c:pt idx="5">
                  <c:v>卫生健康支出</c:v>
                </c:pt>
                <c:pt idx="6">
                  <c:v>住房保障支出</c:v>
                </c:pt>
              </c:strCache>
            </c:strRef>
          </c:cat>
          <c:val>
            <c:numRef>
              <c:f>Sheet1!$F$2:$F$8</c:f>
              <c:numCache>
                <c:formatCode>General</c:formatCode>
                <c:ptCount val="7"/>
                <c:pt idx="0">
                  <c:v>0</c:v>
                </c:pt>
                <c:pt idx="1">
                  <c:v>0</c:v>
                </c:pt>
                <c:pt idx="2" c:formatCode="#,##0.00">
                  <c:v>4580804.21</c:v>
                </c:pt>
                <c:pt idx="3" c:formatCode="#,##0.00">
                  <c:v>4046001</c:v>
                </c:pt>
                <c:pt idx="4" c:formatCode="#,##0.00">
                  <c:v>204818.88</c:v>
                </c:pt>
                <c:pt idx="5" c:formatCode="#,##0.00">
                  <c:v>80368.17</c:v>
                </c:pt>
                <c:pt idx="6" c:formatCode="#,##0.00">
                  <c:v>249616.16</c:v>
                </c:pt>
              </c:numCache>
            </c:numRef>
          </c:val>
        </c:ser>
        <c:ser>
          <c:idx val="5"/>
          <c:order val="5"/>
          <c:tx>
            <c:strRef>
              <c:f>Sheet1!$G$1</c:f>
              <c:strCache>
                <c:ptCount val="1"/>
                <c:pt idx="0">
                  <c:v/>
                </c:pt>
              </c:strCache>
            </c:strRef>
          </c:tx>
          <c:spPr>
            <a:solidFill>
              <a:schemeClr val="accent6"/>
            </a:solidFill>
            <a:ln>
              <a:noFill/>
            </a:ln>
            <a:effectLst/>
          </c:spPr>
          <c:invertIfNegative val="0"/>
          <c:dLbls>
            <c:delete val="1"/>
          </c:dLbls>
          <c:cat>
            <c:strRef>
              <c:f>Sheet1!$A$2:$A$8</c:f>
              <c:strCache>
                <c:ptCount val="7"/>
                <c:pt idx="2">
                  <c:v>合计</c:v>
                </c:pt>
                <c:pt idx="3">
                  <c:v>一般公共服务支出</c:v>
                </c:pt>
                <c:pt idx="4">
                  <c:v>社会保障和就业支出</c:v>
                </c:pt>
                <c:pt idx="5">
                  <c:v>卫生健康支出</c:v>
                </c:pt>
                <c:pt idx="6">
                  <c:v>住房保障支出</c:v>
                </c:pt>
              </c:strCache>
            </c:strRef>
          </c:cat>
          <c:val>
            <c:numRef>
              <c:f>Sheet1!$G$2:$G$8</c:f>
              <c:numCache>
                <c:formatCode>General</c:formatCode>
                <c:ptCount val="7"/>
                <c:pt idx="1">
                  <c:v>0</c:v>
                </c:pt>
                <c:pt idx="2" c:formatCode="#,##0.00">
                  <c:v>2664971.21</c:v>
                </c:pt>
                <c:pt idx="3" c:formatCode="#,##0.00">
                  <c:v>2130168</c:v>
                </c:pt>
                <c:pt idx="4" c:formatCode="#,##0.00">
                  <c:v>204818.88</c:v>
                </c:pt>
                <c:pt idx="5" c:formatCode="#,##0.00">
                  <c:v>80368.17</c:v>
                </c:pt>
                <c:pt idx="6" c:formatCode="#,##0.00">
                  <c:v>249616.16</c:v>
                </c:pt>
              </c:numCache>
            </c:numRef>
          </c:val>
        </c:ser>
        <c:ser>
          <c:idx val="6"/>
          <c:order val="6"/>
          <c:tx>
            <c:strRef>
              <c:f>Sheet1!$H$1</c:f>
              <c:strCache>
                <c:ptCount val="1"/>
                <c:pt idx="0">
                  <c:v/>
                </c:pt>
              </c:strCache>
            </c:strRef>
          </c:tx>
          <c:spPr>
            <a:solidFill>
              <a:schemeClr val="accent1">
                <a:lumMod val="60000"/>
              </a:schemeClr>
            </a:solidFill>
            <a:ln>
              <a:noFill/>
            </a:ln>
            <a:effectLst/>
          </c:spPr>
          <c:invertIfNegative val="0"/>
          <c:dLbls>
            <c:delete val="1"/>
          </c:dLbls>
          <c:cat>
            <c:strRef>
              <c:f>Sheet1!$A$2:$A$8</c:f>
              <c:strCache>
                <c:ptCount val="7"/>
                <c:pt idx="2">
                  <c:v>合计</c:v>
                </c:pt>
                <c:pt idx="3">
                  <c:v>一般公共服务支出</c:v>
                </c:pt>
                <c:pt idx="4">
                  <c:v>社会保障和就业支出</c:v>
                </c:pt>
                <c:pt idx="5">
                  <c:v>卫生健康支出</c:v>
                </c:pt>
                <c:pt idx="6">
                  <c:v>住房保障支出</c:v>
                </c:pt>
              </c:strCache>
            </c:strRef>
          </c:cat>
          <c:val>
            <c:numRef>
              <c:f>Sheet1!$H$2:$H$8</c:f>
              <c:numCache>
                <c:formatCode>General</c:formatCode>
                <c:ptCount val="7"/>
                <c:pt idx="1">
                  <c:v>0</c:v>
                </c:pt>
                <c:pt idx="2" c:formatCode="#,##0.00">
                  <c:v>1915833</c:v>
                </c:pt>
                <c:pt idx="3" c:formatCode="#,##0.00">
                  <c:v>1915833</c:v>
                </c:pt>
                <c:pt idx="4">
                  <c:v>0</c:v>
                </c:pt>
                <c:pt idx="5">
                  <c:v>0</c:v>
                </c:pt>
                <c:pt idx="6">
                  <c:v>0</c:v>
                </c:pt>
              </c:numCache>
            </c:numRef>
          </c:val>
        </c:ser>
        <c:ser>
          <c:idx val="7"/>
          <c:order val="7"/>
          <c:tx>
            <c:strRef>
              <c:f>Sheet1!$I$1</c:f>
              <c:strCache>
                <c:ptCount val="1"/>
                <c:pt idx="0">
                  <c:v/>
                </c:pt>
              </c:strCache>
            </c:strRef>
          </c:tx>
          <c:spPr>
            <a:solidFill>
              <a:schemeClr val="accent2">
                <a:lumMod val="60000"/>
              </a:schemeClr>
            </a:solidFill>
            <a:ln>
              <a:noFill/>
            </a:ln>
            <a:effectLst/>
          </c:spPr>
          <c:invertIfNegative val="0"/>
          <c:dLbls>
            <c:delete val="1"/>
          </c:dLbls>
          <c:cat>
            <c:strRef>
              <c:f>Sheet1!$A$2:$A$8</c:f>
              <c:strCache>
                <c:ptCount val="7"/>
                <c:pt idx="2">
                  <c:v>合计</c:v>
                </c:pt>
                <c:pt idx="3">
                  <c:v>一般公共服务支出</c:v>
                </c:pt>
                <c:pt idx="4">
                  <c:v>社会保障和就业支出</c:v>
                </c:pt>
                <c:pt idx="5">
                  <c:v>卫生健康支出</c:v>
                </c:pt>
                <c:pt idx="6">
                  <c:v>住房保障支出</c:v>
                </c:pt>
              </c:strCache>
            </c:strRef>
          </c:cat>
          <c:val>
            <c:numRef>
              <c:f>Sheet1!$I$2:$I$8</c:f>
              <c:numCache>
                <c:formatCode>General</c:formatCode>
                <c:ptCount val="7"/>
                <c:pt idx="0">
                  <c:v>0</c:v>
                </c:pt>
                <c:pt idx="2">
                  <c:v>0</c:v>
                </c:pt>
                <c:pt idx="3">
                  <c:v>0</c:v>
                </c:pt>
                <c:pt idx="4">
                  <c:v>0</c:v>
                </c:pt>
                <c:pt idx="5">
                  <c:v>0</c:v>
                </c:pt>
                <c:pt idx="6">
                  <c:v>0</c:v>
                </c:pt>
              </c:numCache>
            </c:numRef>
          </c:val>
        </c:ser>
        <c:dLbls>
          <c:showLegendKey val="0"/>
          <c:showVal val="0"/>
          <c:showCatName val="0"/>
          <c:showSerName val="0"/>
          <c:showPercent val="0"/>
          <c:showBubbleSize val="0"/>
        </c:dLbls>
        <c:gapWidth val="219"/>
        <c:overlap val="-27"/>
        <c:axId val="257717113"/>
        <c:axId val="108745975"/>
      </c:barChart>
      <c:catAx>
        <c:axId val="257717113"/>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8745975"/>
        <c:crosses val="autoZero"/>
        <c:auto val="1"/>
        <c:lblAlgn val="ctr"/>
        <c:lblOffset val="100"/>
        <c:noMultiLvlLbl val="0"/>
      </c:catAx>
      <c:valAx>
        <c:axId val="1087459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771711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一般公共预算财政拨款支出决算变动情况</a:t>
            </a:r>
            <a:endParaRPr lang="zh-CN" altLang="en-US"/>
          </a:p>
        </c:rich>
      </c:tx>
      <c:layout/>
      <c:overlay val="0"/>
      <c:spPr>
        <a:noFill/>
        <a:ln>
          <a:noFill/>
        </a:ln>
        <a:effectLst/>
      </c:spPr>
    </c:title>
    <c:autoTitleDeleted val="0"/>
    <c:plotArea>
      <c:layout>
        <c:manualLayout>
          <c:layoutTarget val="inner"/>
          <c:xMode val="edge"/>
          <c:yMode val="edge"/>
          <c:x val="0.126325"/>
          <c:y val="0.005"/>
          <c:w val="0.8528"/>
          <c:h val="0.760833333333333"/>
        </c:manualLayout>
      </c:layout>
      <c:barChart>
        <c:barDir val="col"/>
        <c:grouping val="clustered"/>
        <c:varyColors val="0"/>
        <c:ser>
          <c:idx val="0"/>
          <c:order val="0"/>
          <c:tx>
            <c:strRef>
              <c:f>Sheet1!$B$1</c:f>
              <c:strCache>
                <c:ptCount val="1"/>
                <c:pt idx="0">
                  <c:v>本年度</c:v>
                </c:pt>
              </c:strCache>
            </c:strRef>
          </c:tx>
          <c:spPr>
            <a:solidFill>
              <a:schemeClr val="accent1"/>
            </a:solidFill>
            <a:ln>
              <a:noFill/>
            </a:ln>
            <a:effectLst/>
          </c:spPr>
          <c:invertIfNegative val="0"/>
          <c:dLbls>
            <c:delete val="1"/>
          </c:dLbls>
          <c:cat>
            <c:strRef>
              <c:f>Sheet1!$A$2:$A$4</c:f>
              <c:strCache>
                <c:ptCount val="3"/>
                <c:pt idx="0">
                  <c:v>年初预算数</c:v>
                </c:pt>
                <c:pt idx="1">
                  <c:v>本年收入合计</c:v>
                </c:pt>
                <c:pt idx="2">
                  <c:v>本年支出合计</c:v>
                </c:pt>
              </c:strCache>
            </c:strRef>
          </c:cat>
          <c:val>
            <c:numRef>
              <c:f>Sheet1!$B$2:$B$4</c:f>
              <c:numCache>
                <c:formatCode>General</c:formatCode>
                <c:ptCount val="3"/>
                <c:pt idx="1" c:formatCode="#,##0.00">
                  <c:v>4580804.21</c:v>
                </c:pt>
                <c:pt idx="2" c:formatCode="#,##0.00">
                  <c:v>4580804.21</c:v>
                </c:pt>
              </c:numCache>
            </c:numRef>
          </c:val>
        </c:ser>
        <c:ser>
          <c:idx val="1"/>
          <c:order val="1"/>
          <c:tx>
            <c:strRef>
              <c:f>Sheet1!$C$1</c:f>
              <c:strCache>
                <c:ptCount val="1"/>
                <c:pt idx="0">
                  <c:v>上年度</c:v>
                </c:pt>
              </c:strCache>
            </c:strRef>
          </c:tx>
          <c:spPr>
            <a:solidFill>
              <a:schemeClr val="accent2"/>
            </a:solidFill>
            <a:ln>
              <a:noFill/>
            </a:ln>
            <a:effectLst/>
          </c:spPr>
          <c:invertIfNegative val="0"/>
          <c:dLbls>
            <c:delete val="1"/>
          </c:dLbls>
          <c:cat>
            <c:strRef>
              <c:f>Sheet1!$A$2:$A$4</c:f>
              <c:strCache>
                <c:ptCount val="3"/>
                <c:pt idx="0">
                  <c:v>年初预算数</c:v>
                </c:pt>
                <c:pt idx="1">
                  <c:v>本年收入合计</c:v>
                </c:pt>
                <c:pt idx="2">
                  <c:v>本年支出合计</c:v>
                </c:pt>
              </c:strCache>
            </c:strRef>
          </c:cat>
          <c:val>
            <c:numRef>
              <c:f>Sheet1!$C$2:$C$4</c:f>
              <c:numCache>
                <c:formatCode>General</c:formatCode>
                <c:ptCount val="3"/>
                <c:pt idx="1" c:formatCode="#,##0.00">
                  <c:v>4443717.51</c:v>
                </c:pt>
                <c:pt idx="2" c:formatCode="#,##0.00">
                  <c:v>4443717.51</c:v>
                </c:pt>
              </c:numCache>
            </c:numRef>
          </c:val>
        </c:ser>
        <c:ser>
          <c:idx val="2"/>
          <c:order val="2"/>
          <c:tx>
            <c:strRef>
              <c:f>Sheet1!$D$1</c:f>
              <c:strCache>
                <c:ptCount val="1"/>
                <c:pt idx="0">
                  <c:v>比上年增减</c:v>
                </c:pt>
              </c:strCache>
            </c:strRef>
          </c:tx>
          <c:spPr>
            <a:solidFill>
              <a:schemeClr val="accent3"/>
            </a:solidFill>
            <a:ln>
              <a:noFill/>
            </a:ln>
            <a:effectLst/>
          </c:spPr>
          <c:invertIfNegative val="0"/>
          <c:dLbls>
            <c:delete val="1"/>
          </c:dLbls>
          <c:cat>
            <c:strRef>
              <c:f>Sheet1!$A$2:$A$4</c:f>
              <c:strCache>
                <c:ptCount val="3"/>
                <c:pt idx="0">
                  <c:v>年初预算数</c:v>
                </c:pt>
                <c:pt idx="1">
                  <c:v>本年收入合计</c:v>
                </c:pt>
                <c:pt idx="2">
                  <c:v>本年支出合计</c:v>
                </c:pt>
              </c:strCache>
            </c:strRef>
          </c:cat>
          <c:val>
            <c:numRef>
              <c:f>Sheet1!$D$2:$D$4</c:f>
              <c:numCache>
                <c:formatCode>General</c:formatCode>
                <c:ptCount val="3"/>
                <c:pt idx="1" c:formatCode="#,##0.00">
                  <c:v>137086.7</c:v>
                </c:pt>
                <c:pt idx="2" c:formatCode="#,##0.00">
                  <c:v>137086.7</c:v>
                </c:pt>
              </c:numCache>
            </c:numRef>
          </c:val>
        </c:ser>
        <c:ser>
          <c:idx val="3"/>
          <c:order val="3"/>
          <c:tx>
            <c:strRef>
              <c:f>Sheet1!$E$1</c:f>
              <c:strCache>
                <c:ptCount val="1"/>
                <c:pt idx="0">
                  <c:v>增减％</c:v>
                </c:pt>
              </c:strCache>
            </c:strRef>
          </c:tx>
          <c:spPr>
            <a:solidFill>
              <a:schemeClr val="accent4"/>
            </a:solidFill>
            <a:ln>
              <a:noFill/>
            </a:ln>
            <a:effectLst/>
          </c:spPr>
          <c:invertIfNegative val="0"/>
          <c:dLbls>
            <c:delete val="1"/>
          </c:dLbls>
          <c:cat>
            <c:strRef>
              <c:f>Sheet1!$A$2:$A$4</c:f>
              <c:strCache>
                <c:ptCount val="3"/>
                <c:pt idx="0">
                  <c:v>年初预算数</c:v>
                </c:pt>
                <c:pt idx="1">
                  <c:v>本年收入合计</c:v>
                </c:pt>
                <c:pt idx="2">
                  <c:v>本年支出合计</c:v>
                </c:pt>
              </c:strCache>
            </c:strRef>
          </c:cat>
          <c:val>
            <c:numRef>
              <c:f>Sheet1!$E$2:$E$4</c:f>
              <c:numCache>
                <c:formatCode>General</c:formatCode>
                <c:ptCount val="3"/>
                <c:pt idx="1">
                  <c:v>3.08</c:v>
                </c:pt>
                <c:pt idx="2">
                  <c:v>3.08</c:v>
                </c:pt>
              </c:numCache>
            </c:numRef>
          </c:val>
        </c:ser>
        <c:dLbls>
          <c:showLegendKey val="0"/>
          <c:showVal val="0"/>
          <c:showCatName val="0"/>
          <c:showSerName val="0"/>
          <c:showPercent val="0"/>
          <c:showBubbleSize val="0"/>
        </c:dLbls>
        <c:gapWidth val="219"/>
        <c:overlap val="-27"/>
        <c:axId val="634325927"/>
        <c:axId val="581206150"/>
      </c:barChart>
      <c:catAx>
        <c:axId val="634325927"/>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1206150"/>
        <c:crosses val="autoZero"/>
        <c:auto val="1"/>
        <c:lblAlgn val="ctr"/>
        <c:lblOffset val="100"/>
        <c:noMultiLvlLbl val="0"/>
      </c:catAx>
      <c:valAx>
        <c:axId val="58120615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432592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a:t>
            </a:r>
          </a:p>
        </c:rich>
      </c:tx>
      <c:layout>
        <c:manualLayout>
          <c:xMode val="edge"/>
          <c:yMode val="edge"/>
          <c:x val="0.292514924230828"/>
          <c:y val="0.00681818181818182"/>
        </c:manualLayout>
      </c:layout>
      <c:overlay val="0"/>
      <c:spPr>
        <a:noFill/>
        <a:ln>
          <a:noFill/>
        </a:ln>
        <a:effectLst/>
      </c:spPr>
    </c:title>
    <c:autoTitleDeleted val="0"/>
    <c:plotArea>
      <c:layout/>
      <c:pieChart>
        <c:varyColors val="1"/>
        <c:ser>
          <c:idx val="0"/>
          <c:order val="0"/>
          <c:tx>
            <c:strRef>
              <c:f>Sheet1!$B$1</c:f>
              <c:strCache>
                <c:ptCount val="1"/>
                <c:pt idx="0">
                  <c:v>本年收入</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404.6</c:v>
                </c:pt>
                <c:pt idx="1" c:formatCode="#,##0.00">
                  <c:v>20.48</c:v>
                </c:pt>
                <c:pt idx="2" c:formatCode="#,##0.00">
                  <c:v>8.04</c:v>
                </c:pt>
                <c:pt idx="3" c:formatCode="#,##0.00">
                  <c:v>24.96</c:v>
                </c:pt>
              </c:numCache>
            </c:numRef>
          </c:val>
        </c:ser>
        <c:ser>
          <c:idx val="1"/>
          <c:order val="1"/>
          <c:tx>
            <c:strRef>
              <c:f>Sheet1!$C$1</c:f>
              <c:strCache>
                <c:ptCount val="1"/>
                <c:pt idx="0">
                  <c:v>占比</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Sheet1!$C$2:$C$5</c:f>
              <c:numCache>
                <c:formatCode>0.00%</c:formatCode>
                <c:ptCount val="4"/>
                <c:pt idx="0">
                  <c:v>0.8833</c:v>
                </c:pt>
                <c:pt idx="1">
                  <c:v>0.0447</c:v>
                </c:pt>
                <c:pt idx="2">
                  <c:v>0.0176</c:v>
                </c:pt>
                <c:pt idx="3">
                  <c:v>0.0544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“三公”经费财政拨款支出结构</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本年度</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elete val="1"/>
          </c:dLbls>
          <c:cat>
            <c:strRef>
              <c:f>Sheet1!$A$2:$A$7</c:f>
              <c:strCache>
                <c:ptCount val="6"/>
                <c:pt idx="0">
                  <c:v>“三公”经费支出</c:v>
                </c:pt>
                <c:pt idx="1">
                  <c:v>其中：因公出国（境）费</c:v>
                </c:pt>
                <c:pt idx="2">
                  <c:v>公务用车购置及运行维护费</c:v>
                </c:pt>
                <c:pt idx="3">
                  <c:v>其中：公务用车购置费</c:v>
                </c:pt>
                <c:pt idx="4">
                  <c:v>公务用车运行维护费</c:v>
                </c:pt>
                <c:pt idx="5">
                  <c:v>公务接待费</c:v>
                </c:pt>
              </c:strCache>
            </c:strRef>
          </c:cat>
          <c:val>
            <c:numRef>
              <c:f>Sheet1!$B$2:$B$7</c:f>
              <c:numCache>
                <c:formatCode>#,##0.00</c:formatCode>
                <c:ptCount val="6"/>
                <c:pt idx="0">
                  <c:v>18000</c:v>
                </c:pt>
                <c:pt idx="1" c:formatCode="General">
                  <c:v>0</c:v>
                </c:pt>
                <c:pt idx="2">
                  <c:v>0</c:v>
                </c:pt>
                <c:pt idx="3" c:formatCode="General">
                  <c:v>0</c:v>
                </c:pt>
                <c:pt idx="5">
                  <c:v>18000</c:v>
                </c:pt>
              </c:numCache>
            </c:numRef>
          </c:val>
        </c:ser>
        <c:ser>
          <c:idx val="1"/>
          <c:order val="1"/>
          <c:tx>
            <c:strRef>
              <c:f>Sheet1!$C$1</c:f>
              <c:strCache>
                <c:ptCount val="1"/>
                <c:pt idx="0">
                  <c:v>上年度</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elete val="1"/>
          </c:dLbls>
          <c:cat>
            <c:strRef>
              <c:f>Sheet1!$A$2:$A$7</c:f>
              <c:strCache>
                <c:ptCount val="6"/>
                <c:pt idx="0">
                  <c:v>“三公”经费支出</c:v>
                </c:pt>
                <c:pt idx="1">
                  <c:v>其中：因公出国（境）费</c:v>
                </c:pt>
                <c:pt idx="2">
                  <c:v>公务用车购置及运行维护费</c:v>
                </c:pt>
                <c:pt idx="3">
                  <c:v>其中：公务用车购置费</c:v>
                </c:pt>
                <c:pt idx="4">
                  <c:v>公务用车运行维护费</c:v>
                </c:pt>
                <c:pt idx="5">
                  <c:v>公务接待费</c:v>
                </c:pt>
              </c:strCache>
            </c:strRef>
          </c:cat>
          <c:val>
            <c:numRef>
              <c:f>Sheet1!$C$2:$C$7</c:f>
              <c:numCache>
                <c:formatCode>#,##0.00</c:formatCode>
                <c:ptCount val="6"/>
                <c:pt idx="0">
                  <c:v>29274.13</c:v>
                </c:pt>
                <c:pt idx="1" c:formatCode="General">
                  <c:v>0</c:v>
                </c:pt>
                <c:pt idx="2" c:formatCode="General">
                  <c:v>0</c:v>
                </c:pt>
                <c:pt idx="3" c:formatCode="General">
                  <c:v>0</c:v>
                </c:pt>
                <c:pt idx="4" c:formatCode="General">
                  <c:v>0</c:v>
                </c:pt>
                <c:pt idx="5">
                  <c:v>3785</c:v>
                </c:pt>
              </c:numCache>
            </c:numRef>
          </c:val>
        </c:ser>
        <c:ser>
          <c:idx val="2"/>
          <c:order val="2"/>
          <c:tx>
            <c:strRef>
              <c:f>Sheet1!$D$1</c:f>
              <c:strCache>
                <c:ptCount val="1"/>
                <c:pt idx="0">
                  <c:v>比上年增减</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elete val="1"/>
          </c:dLbls>
          <c:cat>
            <c:strRef>
              <c:f>Sheet1!$A$2:$A$7</c:f>
              <c:strCache>
                <c:ptCount val="6"/>
                <c:pt idx="0">
                  <c:v>“三公”经费支出</c:v>
                </c:pt>
                <c:pt idx="1">
                  <c:v>其中：因公出国（境）费</c:v>
                </c:pt>
                <c:pt idx="2">
                  <c:v>公务用车购置及运行维护费</c:v>
                </c:pt>
                <c:pt idx="3">
                  <c:v>其中：公务用车购置费</c:v>
                </c:pt>
                <c:pt idx="4">
                  <c:v>公务用车运行维护费</c:v>
                </c:pt>
                <c:pt idx="5">
                  <c:v>公务接待费</c:v>
                </c:pt>
              </c:strCache>
            </c:strRef>
          </c:cat>
          <c:val>
            <c:numRef>
              <c:f>Sheet1!$D$2:$D$7</c:f>
              <c:numCache>
                <c:formatCode>#,##0.00</c:formatCode>
                <c:ptCount val="6"/>
                <c:pt idx="0">
                  <c:v>-11274.13</c:v>
                </c:pt>
                <c:pt idx="1" c:formatCode="General">
                  <c:v>0</c:v>
                </c:pt>
                <c:pt idx="2">
                  <c:v>0</c:v>
                </c:pt>
                <c:pt idx="3" c:formatCode="General">
                  <c:v>0</c:v>
                </c:pt>
                <c:pt idx="5">
                  <c:v>14215</c:v>
                </c:pt>
              </c:numCache>
            </c:numRef>
          </c:val>
        </c:ser>
        <c:ser>
          <c:idx val="3"/>
          <c:order val="3"/>
          <c:tx>
            <c:strRef>
              <c:f>Sheet1!$E$1</c:f>
              <c:strCache>
                <c:ptCount val="1"/>
                <c:pt idx="0">
                  <c:v>增减％</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elete val="1"/>
          </c:dLbls>
          <c:cat>
            <c:strRef>
              <c:f>Sheet1!$A$2:$A$7</c:f>
              <c:strCache>
                <c:ptCount val="6"/>
                <c:pt idx="0">
                  <c:v>“三公”经费支出</c:v>
                </c:pt>
                <c:pt idx="1">
                  <c:v>其中：因公出国（境）费</c:v>
                </c:pt>
                <c:pt idx="2">
                  <c:v>公务用车购置及运行维护费</c:v>
                </c:pt>
                <c:pt idx="3">
                  <c:v>其中：公务用车购置费</c:v>
                </c:pt>
                <c:pt idx="4">
                  <c:v>公务用车运行维护费</c:v>
                </c:pt>
                <c:pt idx="5">
                  <c:v>公务接待费</c:v>
                </c:pt>
              </c:strCache>
            </c:strRef>
          </c:cat>
          <c:val>
            <c:numRef>
              <c:f>Sheet1!$E$2:$E$7</c:f>
              <c:numCache>
                <c:formatCode>General</c:formatCode>
                <c:ptCount val="6"/>
                <c:pt idx="0">
                  <c:v>38.5</c:v>
                </c:pt>
                <c:pt idx="1">
                  <c:v>0</c:v>
                </c:pt>
                <c:pt idx="2">
                  <c:v>0</c:v>
                </c:pt>
                <c:pt idx="3">
                  <c:v>0</c:v>
                </c:pt>
                <c:pt idx="4">
                  <c:v>0</c:v>
                </c:pt>
                <c:pt idx="5">
                  <c:v>375.6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26</Pages>
  <Words>7242</Words>
  <Characters>7892</Characters>
  <Lines>59</Lines>
  <Paragraphs>16</Paragraphs>
  <TotalTime>72</TotalTime>
  <ScaleCrop>false</ScaleCrop>
  <LinksUpToDate>false</LinksUpToDate>
  <CharactersWithSpaces>7942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2020-08-06T09:49:00Z</dcterms:created>
  <dc:creator>曹颖</dc:creator>
  <cp:lastModifiedBy>kylin</cp:lastModifiedBy>
  <cp:lastPrinted>2023-09-06T15:47:00Z</cp:lastPrinted>
  <dcterms:modified xsi:type="dcterms:W3CDTF">2024-12-24T10:10:46Z</dcterms:modified>
  <dc:title>四川省***</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E4925464F87E4DD4939DAE29A6A51F7D_13</vt:lpwstr>
  </property>
</Properties>
</file>