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000000"/>
          <w:sz w:val="30"/>
          <w:szCs w:val="30"/>
        </w:rPr>
      </w:pPr>
      <w:bookmarkStart w:id="0" w:name="_Toc15306267"/>
      <w:bookmarkStart w:id="73" w:name="_GoBack"/>
      <w:bookmarkEnd w:id="73"/>
      <w:r>
        <w:rPr>
          <w:rFonts w:hint="eastAsia" w:ascii="方正小标宋简体" w:hAnsi="宋体" w:eastAsia="方正小标宋简体"/>
          <w:color w:val="000000"/>
          <w:sz w:val="30"/>
          <w:szCs w:val="30"/>
        </w:rPr>
        <w:t>附件</w:t>
      </w:r>
      <w:r>
        <w:rPr>
          <w:rFonts w:ascii="方正小标宋简体" w:hAnsi="宋体" w:eastAsia="方正小标宋简体"/>
          <w:color w:val="000000"/>
          <w:sz w:val="30"/>
          <w:szCs w:val="30"/>
        </w:rPr>
        <w:t>4</w:t>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193"/>
      <w:bookmarkStart w:id="3" w:name="_Toc15396597"/>
      <w:bookmarkStart w:id="4" w:name="_Toc15378441"/>
      <w:bookmarkStart w:id="5" w:name="_Toc15377425"/>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06268"/>
      <w:bookmarkStart w:id="8" w:name="_Toc15377426"/>
      <w:bookmarkStart w:id="9" w:name="_Toc15377194"/>
      <w:bookmarkStart w:id="10" w:name="_Toc15396598"/>
      <w:bookmarkStart w:id="11" w:name="_Toc15396476"/>
      <w:r>
        <w:rPr>
          <w:rFonts w:hint="eastAsia" w:ascii="方正小标宋简体" w:hAnsi="宋体" w:eastAsia="方正小标宋简体"/>
          <w:color w:val="000000"/>
          <w:sz w:val="72"/>
          <w:szCs w:val="72"/>
          <w:lang w:eastAsia="zh-CN"/>
        </w:rPr>
        <w:t>邻水县公共资源交易管理服务办公室</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both"/>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7"/>
      </w:pPr>
      <w:r>
        <w:rPr>
          <w:rFonts w:hint="eastAsia"/>
        </w:rPr>
        <w:t>公开时间：</w:t>
      </w:r>
      <w:r>
        <w:t>2021</w:t>
      </w:r>
      <w:r>
        <w:rPr>
          <w:rFonts w:hint="eastAsia"/>
        </w:rPr>
        <w:t>年</w:t>
      </w:r>
      <w:r>
        <w:rPr>
          <w:rFonts w:hint="eastAsia"/>
          <w:lang w:val="en-US" w:eastAsia="zh-CN"/>
        </w:rPr>
        <w:t>8</w:t>
      </w:r>
      <w:r>
        <w:rPr>
          <w:rFonts w:hint="eastAsia"/>
        </w:rPr>
        <w:t>月</w:t>
      </w:r>
      <w:r>
        <w:rPr>
          <w:rFonts w:hint="eastAsia"/>
          <w:lang w:val="en-US" w:eastAsia="zh-CN"/>
        </w:rPr>
        <w:t>23</w:t>
      </w:r>
      <w:r>
        <w:rPr>
          <w:rFonts w:hint="eastAsia"/>
        </w:rPr>
        <w:t>日</w:t>
      </w:r>
    </w:p>
    <w:p/>
    <w:p>
      <w:pPr>
        <w:pStyle w:val="7"/>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r>
        <w:tab/>
      </w:r>
      <w:r>
        <w:rPr>
          <w:rFonts w:hint="eastAsia"/>
        </w:rPr>
        <w:t>4</w:t>
      </w:r>
    </w:p>
    <w:p>
      <w:pPr>
        <w:pStyle w:val="8"/>
        <w:adjustRightInd w:val="0"/>
        <w:snapToGrid w:val="0"/>
        <w:spacing w:line="440" w:lineRule="exact"/>
        <w:jc w:val="left"/>
        <w:rPr>
          <w:rFonts w:ascii="仿宋" w:hAnsi="仿宋" w:eastAsia="仿宋"/>
          <w:sz w:val="24"/>
        </w:rPr>
      </w:pPr>
      <w:r>
        <w:rPr>
          <w:rFonts w:hint="eastAsia"/>
          <w:sz w:val="24"/>
        </w:rPr>
        <w:t>一、基本职能及主要工作</w:t>
      </w:r>
      <w:r>
        <w:tab/>
      </w:r>
      <w:r>
        <w:rPr>
          <w:rFonts w:hint="eastAsia"/>
        </w:rPr>
        <w:t>4</w:t>
      </w:r>
    </w:p>
    <w:p>
      <w:pPr>
        <w:pStyle w:val="8"/>
        <w:adjustRightInd w:val="0"/>
        <w:snapToGrid w:val="0"/>
        <w:spacing w:line="440" w:lineRule="exact"/>
        <w:jc w:val="left"/>
        <w:rPr>
          <w:rFonts w:hint="eastAsia"/>
        </w:rPr>
      </w:pPr>
      <w:r>
        <w:rPr>
          <w:rFonts w:hint="eastAsia"/>
          <w:sz w:val="24"/>
        </w:rPr>
        <w:t>二、机构设置</w:t>
      </w:r>
      <w:r>
        <w:tab/>
      </w:r>
      <w:r>
        <w:rPr>
          <w:rFonts w:hint="eastAsia"/>
        </w:rPr>
        <w:t>4</w:t>
      </w:r>
    </w:p>
    <w:p>
      <w:pPr>
        <w:pStyle w:val="8"/>
        <w:adjustRightInd w:val="0"/>
        <w:snapToGrid w:val="0"/>
        <w:spacing w:line="440" w:lineRule="exact"/>
        <w:ind w:left="0" w:leftChars="0" w:firstLine="0" w:firstLineChars="0"/>
        <w:jc w:val="left"/>
        <w:rPr>
          <w:rFonts w:hint="eastAsia" w:eastAsia="宋体"/>
          <w:sz w:val="24"/>
          <w:szCs w:val="24"/>
          <w:lang w:val="en-US" w:eastAsia="zh-CN"/>
        </w:rPr>
      </w:pPr>
      <w:r>
        <w:rPr>
          <w:rFonts w:hint="eastAsia"/>
          <w:sz w:val="24"/>
        </w:rPr>
        <w:t>第二部分度部门决算情况说明</w:t>
      </w:r>
      <w:r>
        <w:tab/>
      </w:r>
      <w:r>
        <w:rPr>
          <w:rFonts w:hint="eastAsia"/>
          <w:lang w:val="en-US" w:eastAsia="zh-CN"/>
        </w:rPr>
        <w:t>5</w:t>
      </w:r>
    </w:p>
    <w:p>
      <w:pPr>
        <w:pStyle w:val="8"/>
        <w:adjustRightInd w:val="0"/>
        <w:snapToGrid w:val="0"/>
        <w:spacing w:line="440" w:lineRule="exact"/>
        <w:jc w:val="left"/>
        <w:rPr>
          <w:rFonts w:ascii="仿宋" w:hAnsi="仿宋" w:eastAsia="仿宋"/>
          <w:sz w:val="24"/>
        </w:rPr>
      </w:pPr>
      <w:r>
        <w:rPr>
          <w:rFonts w:hint="eastAsia"/>
          <w:sz w:val="24"/>
        </w:rPr>
        <w:t>一、收入支出决算总体情况说明</w:t>
      </w:r>
      <w:r>
        <w:tab/>
      </w:r>
      <w:r>
        <w:rPr>
          <w:rFonts w:hint="eastAsia"/>
          <w:lang w:val="en-US" w:eastAsia="zh-CN"/>
        </w:rPr>
        <w:t>5</w:t>
      </w:r>
    </w:p>
    <w:p>
      <w:pPr>
        <w:pStyle w:val="8"/>
        <w:adjustRightInd w:val="0"/>
        <w:snapToGrid w:val="0"/>
        <w:spacing w:line="440" w:lineRule="exact"/>
        <w:ind w:left="0" w:leftChars="0" w:firstLine="480" w:firstLineChars="200"/>
        <w:jc w:val="left"/>
        <w:rPr>
          <w:rFonts w:hint="eastAsia"/>
          <w:lang w:val="en-US" w:eastAsia="zh-CN"/>
        </w:rPr>
      </w:pPr>
      <w:r>
        <w:rPr>
          <w:rFonts w:hint="eastAsia"/>
          <w:sz w:val="24"/>
        </w:rPr>
        <w:t>二、收入决算情况说明</w:t>
      </w:r>
      <w:r>
        <w:tab/>
      </w:r>
      <w:r>
        <w:rPr>
          <w:rFonts w:hint="eastAsia"/>
          <w:lang w:val="en-US" w:eastAsia="zh-CN"/>
        </w:rPr>
        <w:t>5</w:t>
      </w:r>
    </w:p>
    <w:p>
      <w:pPr>
        <w:pStyle w:val="8"/>
        <w:adjustRightInd w:val="0"/>
        <w:snapToGrid w:val="0"/>
        <w:spacing w:line="440" w:lineRule="exact"/>
        <w:ind w:left="0" w:leftChars="0" w:firstLine="480" w:firstLineChars="200"/>
        <w:jc w:val="left"/>
        <w:rPr>
          <w:rFonts w:hint="eastAsia" w:eastAsia="宋体"/>
          <w:sz w:val="24"/>
          <w:szCs w:val="24"/>
          <w:lang w:val="en-US" w:eastAsia="zh-CN"/>
        </w:rPr>
      </w:pPr>
      <w:r>
        <w:rPr>
          <w:rFonts w:hint="eastAsia"/>
          <w:sz w:val="24"/>
        </w:rPr>
        <w:t>三、支出决算情况说明</w:t>
      </w:r>
      <w:r>
        <w:tab/>
      </w:r>
      <w:r>
        <w:rPr>
          <w:rFonts w:hint="eastAsia"/>
          <w:lang w:val="en-US" w:eastAsia="zh-CN"/>
        </w:rPr>
        <w:t>6</w:t>
      </w:r>
    </w:p>
    <w:p>
      <w:pPr>
        <w:pStyle w:val="8"/>
        <w:adjustRightInd w:val="0"/>
        <w:snapToGrid w:val="0"/>
        <w:spacing w:line="440" w:lineRule="exact"/>
        <w:ind w:left="0" w:leftChars="0" w:firstLine="480" w:firstLineChars="200"/>
        <w:jc w:val="left"/>
        <w:rPr>
          <w:rFonts w:ascii="仿宋" w:hAnsi="仿宋" w:eastAsia="仿宋"/>
          <w:sz w:val="24"/>
        </w:rPr>
      </w:pPr>
      <w:r>
        <w:rPr>
          <w:rFonts w:hint="eastAsia"/>
          <w:sz w:val="24"/>
        </w:rPr>
        <w:t>四、财政拨款收入支出决算总体情况说明</w:t>
      </w:r>
      <w:r>
        <w:tab/>
      </w:r>
      <w:r>
        <w:rPr>
          <w:rFonts w:hint="eastAsia"/>
          <w:lang w:val="en-US" w:eastAsia="zh-CN"/>
        </w:rPr>
        <w:t>7</w:t>
      </w:r>
    </w:p>
    <w:p>
      <w:pPr>
        <w:pStyle w:val="8"/>
        <w:adjustRightInd w:val="0"/>
        <w:snapToGrid w:val="0"/>
        <w:spacing w:line="440" w:lineRule="exact"/>
        <w:ind w:left="0" w:leftChars="0" w:firstLine="480" w:firstLineChars="200"/>
        <w:jc w:val="left"/>
        <w:rPr>
          <w:rFonts w:ascii="仿宋" w:hAnsi="仿宋" w:eastAsia="仿宋"/>
          <w:sz w:val="24"/>
        </w:rPr>
      </w:pPr>
      <w:r>
        <w:rPr>
          <w:rFonts w:hint="eastAsia"/>
          <w:sz w:val="24"/>
        </w:rPr>
        <w:t>五、一般公共预算财政拨款支出决算情况说明</w:t>
      </w:r>
      <w:r>
        <w:tab/>
      </w:r>
      <w:r>
        <w:rPr>
          <w:rFonts w:hint="eastAsia"/>
          <w:lang w:val="en-US" w:eastAsia="zh-CN"/>
        </w:rPr>
        <w:t>7</w:t>
      </w:r>
    </w:p>
    <w:p>
      <w:pPr>
        <w:pStyle w:val="8"/>
        <w:adjustRightInd w:val="0"/>
        <w:snapToGrid w:val="0"/>
        <w:spacing w:line="440" w:lineRule="exact"/>
        <w:ind w:left="0" w:leftChars="0" w:firstLine="480" w:firstLineChars="200"/>
        <w:jc w:val="left"/>
        <w:rPr>
          <w:rFonts w:hint="default" w:ascii="仿宋" w:hAnsi="仿宋" w:eastAsia="仿宋"/>
          <w:sz w:val="24"/>
          <w:lang w:val="en-US"/>
        </w:rPr>
      </w:pPr>
      <w:r>
        <w:rPr>
          <w:rFonts w:hint="eastAsia"/>
          <w:sz w:val="24"/>
        </w:rPr>
        <w:t>六、一般公共预算财政拨款基本支出决算情况说明</w:t>
      </w:r>
      <w:r>
        <w:tab/>
      </w:r>
      <w:r>
        <w:rPr>
          <w:rFonts w:hint="eastAsia"/>
          <w:lang w:val="en-US" w:eastAsia="zh-CN"/>
        </w:rPr>
        <w:t>8</w:t>
      </w:r>
    </w:p>
    <w:p>
      <w:pPr>
        <w:pStyle w:val="8"/>
        <w:adjustRightInd w:val="0"/>
        <w:snapToGrid w:val="0"/>
        <w:spacing w:line="440" w:lineRule="exact"/>
        <w:ind w:left="0" w:leftChars="0" w:firstLine="480" w:firstLineChars="200"/>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r>
        <w:tab/>
      </w:r>
      <w:r>
        <w:rPr>
          <w:rFonts w:hint="eastAsia"/>
          <w:lang w:val="en-US" w:eastAsia="zh-CN"/>
        </w:rPr>
        <w:t>10</w:t>
      </w:r>
    </w:p>
    <w:p>
      <w:pPr>
        <w:pStyle w:val="8"/>
        <w:adjustRightInd w:val="0"/>
        <w:snapToGrid w:val="0"/>
        <w:spacing w:line="440" w:lineRule="exact"/>
        <w:ind w:left="0" w:leftChars="0" w:firstLine="480" w:firstLineChars="200"/>
        <w:jc w:val="left"/>
        <w:rPr>
          <w:rFonts w:ascii="仿宋" w:hAnsi="仿宋" w:eastAsia="仿宋"/>
          <w:sz w:val="24"/>
        </w:rPr>
      </w:pPr>
      <w:r>
        <w:rPr>
          <w:rFonts w:hint="eastAsia"/>
          <w:sz w:val="24"/>
        </w:rPr>
        <w:t>八、政府性基金预算支出决算情况说明</w:t>
      </w:r>
      <w:r>
        <w:tab/>
      </w:r>
      <w:r>
        <w:rPr>
          <w:rFonts w:hint="eastAsia"/>
          <w:lang w:val="en-US" w:eastAsia="zh-CN"/>
        </w:rPr>
        <w:t>11</w:t>
      </w:r>
    </w:p>
    <w:p>
      <w:pPr>
        <w:pStyle w:val="8"/>
        <w:adjustRightInd w:val="0"/>
        <w:snapToGrid w:val="0"/>
        <w:spacing w:line="440" w:lineRule="exact"/>
        <w:ind w:left="0" w:leftChars="0" w:firstLine="480" w:firstLineChars="200"/>
        <w:jc w:val="left"/>
        <w:rPr>
          <w:rFonts w:ascii="仿宋" w:hAnsi="仿宋" w:eastAsia="仿宋"/>
          <w:sz w:val="24"/>
          <w:szCs w:val="24"/>
        </w:rPr>
      </w:pPr>
      <w:r>
        <w:rPr>
          <w:rFonts w:hint="eastAsia" w:ascii="仿宋" w:hAnsi="仿宋" w:eastAsia="仿宋"/>
          <w:sz w:val="24"/>
          <w:szCs w:val="24"/>
        </w:rPr>
        <w:t>九、</w:t>
      </w:r>
      <w:r>
        <w:rPr>
          <w:sz w:val="24"/>
          <w:szCs w:val="24"/>
        </w:rPr>
        <w:t xml:space="preserve"> </w:t>
      </w:r>
      <w:r>
        <w:rPr>
          <w:rFonts w:hint="eastAsia"/>
          <w:sz w:val="24"/>
          <w:szCs w:val="24"/>
        </w:rPr>
        <w:t>国有资本经营预算支出决算情况说明</w:t>
      </w:r>
      <w:r>
        <w:rPr>
          <w:sz w:val="24"/>
          <w:szCs w:val="24"/>
        </w:rPr>
        <w:tab/>
      </w:r>
      <w:r>
        <w:rPr>
          <w:rFonts w:hint="eastAsia"/>
          <w:sz w:val="24"/>
          <w:szCs w:val="24"/>
          <w:lang w:val="en-US" w:eastAsia="zh-CN"/>
        </w:rPr>
        <w:t>11</w:t>
      </w:r>
    </w:p>
    <w:p>
      <w:pPr>
        <w:pStyle w:val="7"/>
        <w:adjustRightInd w:val="0"/>
        <w:snapToGrid w:val="0"/>
        <w:spacing w:before="0" w:line="440" w:lineRule="exact"/>
        <w:ind w:firstLine="480" w:firstLineChars="200"/>
        <w:jc w:val="left"/>
        <w:rPr>
          <w:rFonts w:hint="default" w:eastAsia="仿宋"/>
          <w:sz w:val="24"/>
          <w:szCs w:val="24"/>
          <w:lang w:val="en-US" w:eastAsia="zh-CN"/>
        </w:rPr>
      </w:pPr>
      <w:r>
        <w:rPr>
          <w:rStyle w:val="14"/>
          <w:rFonts w:hint="eastAsia" w:ascii="仿宋" w:hAnsi="仿宋" w:eastAsia="仿宋"/>
          <w:color w:val="000000"/>
          <w:sz w:val="24"/>
          <w:szCs w:val="24"/>
          <w:u w:val="none"/>
        </w:rPr>
        <w:t>十、</w:t>
      </w:r>
      <w:r>
        <w:rPr>
          <w:rFonts w:hint="eastAsia"/>
          <w:sz w:val="24"/>
          <w:szCs w:val="24"/>
        </w:rPr>
        <w:t>其他重要事项的情况说明</w:t>
      </w:r>
      <w:r>
        <w:rPr>
          <w:rFonts w:ascii="仿宋" w:hAnsi="仿宋" w:eastAsia="仿宋"/>
          <w:sz w:val="24"/>
          <w:szCs w:val="24"/>
        </w:rPr>
        <w:tab/>
      </w:r>
      <w:r>
        <w:rPr>
          <w:rFonts w:hint="eastAsia"/>
          <w:sz w:val="24"/>
          <w:szCs w:val="24"/>
          <w:lang w:val="en-US" w:eastAsia="zh-CN"/>
        </w:rPr>
        <w:t>11</w:t>
      </w:r>
    </w:p>
    <w:p>
      <w:pPr>
        <w:pStyle w:val="8"/>
        <w:adjustRightInd w:val="0"/>
        <w:snapToGrid w:val="0"/>
        <w:spacing w:line="440" w:lineRule="exact"/>
        <w:ind w:left="0" w:leftChars="0" w:firstLine="0" w:firstLineChars="0"/>
        <w:jc w:val="left"/>
        <w:rPr>
          <w:sz w:val="24"/>
          <w:szCs w:val="24"/>
        </w:rPr>
      </w:pPr>
      <w:r>
        <w:rPr>
          <w:rFonts w:hint="eastAsia"/>
          <w:sz w:val="24"/>
        </w:rPr>
        <w:t>第三部分</w:t>
      </w:r>
      <w:r>
        <w:rPr>
          <w:sz w:val="24"/>
        </w:rPr>
        <w:t xml:space="preserve"> </w:t>
      </w:r>
      <w:r>
        <w:rPr>
          <w:rFonts w:hint="eastAsia"/>
          <w:sz w:val="24"/>
        </w:rPr>
        <w:t>名词解释</w:t>
      </w:r>
      <w:r>
        <w:tab/>
      </w:r>
      <w:r>
        <w:rPr>
          <w:rFonts w:hint="eastAsia"/>
          <w:lang w:val="en-US" w:eastAsia="zh-CN"/>
        </w:rPr>
        <w:t>15</w:t>
      </w:r>
    </w:p>
    <w:p>
      <w:pPr>
        <w:pStyle w:val="8"/>
        <w:adjustRightInd w:val="0"/>
        <w:snapToGrid w:val="0"/>
        <w:spacing w:line="440" w:lineRule="exact"/>
        <w:ind w:left="0" w:leftChars="0" w:firstLine="0" w:firstLineChars="0"/>
        <w:jc w:val="left"/>
        <w:rPr>
          <w:rFonts w:hint="default" w:ascii="仿宋" w:hAnsi="仿宋" w:eastAsia="仿宋"/>
          <w:sz w:val="24"/>
          <w:lang w:val="en-US"/>
        </w:rPr>
      </w:pPr>
      <w:r>
        <w:rPr>
          <w:rFonts w:hint="eastAsia"/>
          <w:sz w:val="24"/>
        </w:rPr>
        <w:t>第四部分</w:t>
      </w:r>
      <w:r>
        <w:rPr>
          <w:sz w:val="24"/>
        </w:rPr>
        <w:t xml:space="preserve"> </w:t>
      </w:r>
      <w:r>
        <w:rPr>
          <w:rFonts w:hint="eastAsia"/>
          <w:sz w:val="24"/>
        </w:rPr>
        <w:t>附件</w:t>
      </w:r>
      <w:r>
        <w:tab/>
      </w:r>
      <w:r>
        <w:rPr>
          <w:rFonts w:hint="eastAsia"/>
          <w:lang w:val="en-US" w:eastAsia="zh-CN"/>
        </w:rPr>
        <w:t>17</w:t>
      </w:r>
    </w:p>
    <w:p>
      <w:pPr>
        <w:pStyle w:val="8"/>
        <w:adjustRightInd w:val="0"/>
        <w:snapToGrid w:val="0"/>
        <w:spacing w:line="440" w:lineRule="exact"/>
        <w:ind w:left="0" w:leftChars="0" w:firstLine="480" w:firstLineChars="200"/>
        <w:jc w:val="left"/>
        <w:rPr>
          <w:rFonts w:ascii="仿宋" w:hAnsi="仿宋" w:eastAsia="仿宋"/>
          <w:sz w:val="24"/>
        </w:rPr>
      </w:pPr>
      <w:r>
        <w:rPr>
          <w:rFonts w:hint="eastAsia"/>
          <w:sz w:val="24"/>
        </w:rPr>
        <w:t>附件</w:t>
      </w:r>
      <w:r>
        <w:rPr>
          <w:sz w:val="24"/>
        </w:rPr>
        <w:t>1</w:t>
      </w:r>
      <w:r>
        <w:tab/>
      </w:r>
      <w:r>
        <w:rPr>
          <w:rFonts w:hint="eastAsia"/>
          <w:lang w:val="en-US" w:eastAsia="zh-CN"/>
        </w:rPr>
        <w:t>17</w:t>
      </w:r>
    </w:p>
    <w:p>
      <w:pPr>
        <w:pStyle w:val="8"/>
        <w:adjustRightInd w:val="0"/>
        <w:snapToGrid w:val="0"/>
        <w:spacing w:line="440" w:lineRule="exact"/>
        <w:ind w:left="0" w:leftChars="0" w:firstLine="480" w:firstLineChars="200"/>
        <w:jc w:val="left"/>
        <w:rPr>
          <w:rFonts w:ascii="仿宋" w:hAnsi="仿宋" w:eastAsia="仿宋"/>
          <w:sz w:val="24"/>
        </w:rPr>
      </w:pPr>
      <w:r>
        <w:rPr>
          <w:rFonts w:hint="eastAsia"/>
          <w:sz w:val="24"/>
        </w:rPr>
        <w:t>附件</w:t>
      </w:r>
      <w:r>
        <w:rPr>
          <w:sz w:val="24"/>
        </w:rPr>
        <w:t>2</w:t>
      </w:r>
      <w:r>
        <w:tab/>
      </w:r>
      <w:r>
        <w:rPr>
          <w:rFonts w:hint="eastAsia"/>
          <w:lang w:val="en-US" w:eastAsia="zh-CN"/>
        </w:rPr>
        <w:t>22</w:t>
      </w:r>
    </w:p>
    <w:p>
      <w:pPr>
        <w:pStyle w:val="7"/>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pPr>
        <w:pStyle w:val="8"/>
        <w:adjustRightInd w:val="0"/>
        <w:snapToGrid w:val="0"/>
        <w:spacing w:line="440" w:lineRule="exact"/>
        <w:jc w:val="left"/>
        <w:rPr>
          <w:rFonts w:ascii="仿宋" w:hAnsi="仿宋" w:eastAsia="仿宋"/>
          <w:sz w:val="24"/>
        </w:rPr>
      </w:pPr>
      <w:r>
        <w:rPr>
          <w:rFonts w:hint="eastAsia" w:ascii="仿宋" w:hAnsi="仿宋" w:eastAsia="仿宋"/>
          <w:sz w:val="24"/>
        </w:rPr>
        <w:t>一、</w:t>
      </w:r>
      <w:r>
        <w:rPr>
          <w:rFonts w:hint="eastAsia"/>
          <w:sz w:val="24"/>
        </w:rPr>
        <w:t>收入支出决算总表</w:t>
      </w:r>
    </w:p>
    <w:p>
      <w:pPr>
        <w:pStyle w:val="8"/>
        <w:adjustRightInd w:val="0"/>
        <w:snapToGrid w:val="0"/>
        <w:spacing w:line="440" w:lineRule="exact"/>
        <w:jc w:val="left"/>
        <w:rPr>
          <w:rFonts w:ascii="仿宋" w:hAnsi="仿宋" w:eastAsia="仿宋"/>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8"/>
        <w:adjustRightInd w:val="0"/>
        <w:snapToGrid w:val="0"/>
        <w:spacing w:line="440" w:lineRule="exact"/>
        <w:jc w:val="left"/>
        <w:rPr>
          <w:rFonts w:ascii="仿宋" w:hAnsi="仿宋" w:eastAsia="仿宋"/>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8"/>
        <w:adjustRightInd w:val="0"/>
        <w:snapToGrid w:val="0"/>
        <w:spacing w:line="440" w:lineRule="exact"/>
        <w:jc w:val="left"/>
        <w:rPr>
          <w:rFonts w:ascii="仿宋" w:hAnsi="仿宋" w:eastAsia="仿宋"/>
          <w:sz w:val="24"/>
        </w:rPr>
      </w:pPr>
      <w:r>
        <w:rPr>
          <w:rFonts w:hint="eastAsia" w:ascii="仿宋" w:hAnsi="仿宋" w:eastAsia="仿宋"/>
          <w:sz w:val="24"/>
        </w:rPr>
        <w:t>四、</w:t>
      </w:r>
      <w:r>
        <w:rPr>
          <w:rFonts w:hint="eastAsia"/>
          <w:sz w:val="24"/>
        </w:rPr>
        <w:t>财政拨款收入支出决算总表</w:t>
      </w:r>
    </w:p>
    <w:p>
      <w:pPr>
        <w:pStyle w:val="8"/>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8"/>
        <w:adjustRightInd w:val="0"/>
        <w:snapToGrid w:val="0"/>
        <w:spacing w:line="440" w:lineRule="exact"/>
        <w:jc w:val="left"/>
        <w:rPr>
          <w:rFonts w:ascii="仿宋" w:hAnsi="仿宋" w:eastAsia="仿宋"/>
          <w:sz w:val="24"/>
        </w:rPr>
      </w:pPr>
      <w:r>
        <w:rPr>
          <w:rFonts w:hint="eastAsia" w:ascii="仿宋" w:hAnsi="仿宋" w:eastAsia="仿宋"/>
          <w:sz w:val="24"/>
        </w:rPr>
        <w:t>六、</w:t>
      </w:r>
      <w:r>
        <w:rPr>
          <w:rFonts w:hint="eastAsia"/>
          <w:sz w:val="24"/>
        </w:rPr>
        <w:t>一般公共预算财政拨款支出决算表</w:t>
      </w:r>
    </w:p>
    <w:p>
      <w:pPr>
        <w:pStyle w:val="8"/>
        <w:adjustRightInd w:val="0"/>
        <w:snapToGrid w:val="0"/>
        <w:spacing w:line="440" w:lineRule="exact"/>
        <w:jc w:val="left"/>
        <w:rPr>
          <w:rFonts w:ascii="仿宋" w:hAnsi="仿宋" w:eastAsia="仿宋"/>
          <w:sz w:val="24"/>
        </w:rPr>
      </w:pPr>
      <w:r>
        <w:rPr>
          <w:rFonts w:hint="eastAsia" w:ascii="仿宋" w:hAnsi="仿宋" w:eastAsia="仿宋"/>
          <w:sz w:val="24"/>
        </w:rPr>
        <w:t>七、</w:t>
      </w:r>
      <w:r>
        <w:rPr>
          <w:rFonts w:hint="eastAsia"/>
          <w:sz w:val="24"/>
        </w:rPr>
        <w:t>一般公共预算财政拨款支出决算明细表</w:t>
      </w:r>
    </w:p>
    <w:p>
      <w:pPr>
        <w:pStyle w:val="8"/>
        <w:adjustRightInd w:val="0"/>
        <w:snapToGrid w:val="0"/>
        <w:spacing w:line="440" w:lineRule="exact"/>
        <w:jc w:val="left"/>
        <w:rPr>
          <w:rFonts w:ascii="仿宋" w:hAnsi="仿宋" w:eastAsia="仿宋"/>
          <w:sz w:val="24"/>
        </w:rPr>
      </w:pPr>
      <w:r>
        <w:rPr>
          <w:rFonts w:hint="eastAsia" w:ascii="仿宋" w:hAnsi="仿宋" w:eastAsia="仿宋"/>
          <w:sz w:val="24"/>
        </w:rPr>
        <w:t>八、</w:t>
      </w:r>
      <w:r>
        <w:rPr>
          <w:rFonts w:hint="eastAsia"/>
          <w:sz w:val="24"/>
        </w:rPr>
        <w:t>一般公共预算财政拨款基本支出决算表</w:t>
      </w:r>
    </w:p>
    <w:p>
      <w:pPr>
        <w:pStyle w:val="8"/>
        <w:adjustRightInd w:val="0"/>
        <w:snapToGrid w:val="0"/>
        <w:spacing w:line="440" w:lineRule="exact"/>
        <w:jc w:val="left"/>
        <w:rPr>
          <w:rFonts w:ascii="仿宋" w:hAnsi="仿宋" w:eastAsia="仿宋"/>
          <w:sz w:val="24"/>
        </w:rPr>
      </w:pPr>
      <w:r>
        <w:rPr>
          <w:rFonts w:hint="eastAsia" w:ascii="仿宋" w:hAnsi="仿宋" w:eastAsia="仿宋"/>
          <w:sz w:val="24"/>
        </w:rPr>
        <w:t>九、</w:t>
      </w:r>
      <w:r>
        <w:rPr>
          <w:rFonts w:hint="eastAsia"/>
          <w:sz w:val="24"/>
        </w:rPr>
        <w:t>一般公共预算财政拨款项目支出决算表</w:t>
      </w:r>
    </w:p>
    <w:p>
      <w:pPr>
        <w:pStyle w:val="8"/>
        <w:adjustRightInd w:val="0"/>
        <w:snapToGrid w:val="0"/>
        <w:spacing w:line="440" w:lineRule="exact"/>
        <w:jc w:val="left"/>
        <w:rPr>
          <w:rFonts w:ascii="仿宋" w:hAnsi="仿宋" w:eastAsia="仿宋"/>
          <w:sz w:val="24"/>
        </w:rPr>
      </w:pPr>
      <w:r>
        <w:rPr>
          <w:rFonts w:hint="eastAsia" w:ascii="仿宋" w:hAnsi="仿宋" w:eastAsia="仿宋"/>
          <w:sz w:val="24"/>
        </w:rPr>
        <w:t>十、</w:t>
      </w:r>
      <w:r>
        <w:rPr>
          <w:rFonts w:hint="eastAsia"/>
          <w:sz w:val="24"/>
        </w:rPr>
        <w:t>一般公共预算财政拨款“三公”经费支出决算表</w:t>
      </w:r>
    </w:p>
    <w:p>
      <w:pPr>
        <w:pStyle w:val="8"/>
        <w:adjustRightInd w:val="0"/>
        <w:snapToGrid w:val="0"/>
        <w:spacing w:line="440" w:lineRule="exact"/>
        <w:jc w:val="left"/>
        <w:rPr>
          <w:rFonts w:ascii="仿宋" w:hAnsi="仿宋" w:eastAsia="仿宋"/>
          <w:sz w:val="24"/>
        </w:rPr>
      </w:pPr>
      <w:r>
        <w:rPr>
          <w:rFonts w:hint="eastAsia" w:ascii="仿宋" w:hAnsi="仿宋" w:eastAsia="仿宋"/>
          <w:sz w:val="24"/>
        </w:rPr>
        <w:t>十一、</w:t>
      </w:r>
      <w:r>
        <w:rPr>
          <w:rFonts w:hint="eastAsia"/>
          <w:sz w:val="24"/>
        </w:rPr>
        <w:t>政府性基金预算财政拨款收入支出决算表</w:t>
      </w:r>
    </w:p>
    <w:p>
      <w:pPr>
        <w:pStyle w:val="8"/>
        <w:adjustRightInd w:val="0"/>
        <w:snapToGrid w:val="0"/>
        <w:spacing w:line="440" w:lineRule="exact"/>
        <w:jc w:val="left"/>
        <w:rPr>
          <w:rFonts w:ascii="仿宋" w:hAnsi="仿宋" w:eastAsia="仿宋"/>
          <w:sz w:val="24"/>
        </w:rPr>
      </w:pPr>
      <w:r>
        <w:rPr>
          <w:rFonts w:hint="eastAsia" w:ascii="仿宋" w:hAnsi="仿宋" w:eastAsia="仿宋"/>
          <w:sz w:val="24"/>
        </w:rPr>
        <w:t>十二、</w:t>
      </w:r>
      <w:r>
        <w:rPr>
          <w:rFonts w:hint="eastAsia"/>
          <w:sz w:val="24"/>
        </w:rPr>
        <w:t>政府性基金预算财政拨款“三公”经费支出决算表</w:t>
      </w:r>
    </w:p>
    <w:p>
      <w:pPr>
        <w:pStyle w:val="8"/>
        <w:adjustRightInd w:val="0"/>
        <w:snapToGrid w:val="0"/>
        <w:spacing w:line="440" w:lineRule="exact"/>
        <w:jc w:val="left"/>
        <w:rPr>
          <w:rFonts w:hint="eastAsia" w:ascii="仿宋" w:hAnsi="仿宋" w:eastAsia="仿宋"/>
          <w:sz w:val="24"/>
        </w:rPr>
      </w:pPr>
      <w:r>
        <w:rPr>
          <w:rFonts w:hint="eastAsia" w:ascii="仿宋" w:hAnsi="仿宋" w:eastAsia="仿宋"/>
          <w:sz w:val="24"/>
        </w:rPr>
        <w:t>十三、国有资本经营预算财政拨款收入支出决算表</w:t>
      </w:r>
    </w:p>
    <w:p>
      <w:pPr>
        <w:pStyle w:val="8"/>
        <w:adjustRightInd w:val="0"/>
        <w:snapToGrid w:val="0"/>
        <w:spacing w:line="440" w:lineRule="exact"/>
        <w:jc w:val="left"/>
        <w:rPr>
          <w:rFonts w:hint="eastAsia" w:ascii="仿宋" w:hAnsi="仿宋" w:eastAsia="仿宋"/>
          <w:sz w:val="24"/>
        </w:rPr>
      </w:pPr>
      <w:r>
        <w:rPr>
          <w:rFonts w:hint="eastAsia" w:ascii="仿宋" w:hAnsi="仿宋" w:eastAsia="仿宋"/>
          <w:sz w:val="24"/>
        </w:rPr>
        <w:t>十四、国有资本经营预算财政拨款支出决算表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15"/>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numPr>
          <w:ilvl w:val="0"/>
          <w:numId w:val="1"/>
        </w:numPr>
        <w:rPr>
          <w:rStyle w:val="16"/>
          <w:rFonts w:hint="eastAsia" w:ascii="黑体" w:hAnsi="黑体" w:eastAsia="黑体"/>
          <w:b w:val="0"/>
          <w:bCs w:val="0"/>
        </w:rPr>
      </w:pPr>
      <w:bookmarkStart w:id="14" w:name="_Toc15396600"/>
      <w:bookmarkStart w:id="15" w:name="_Toc15377197"/>
      <w:r>
        <w:rPr>
          <w:rFonts w:hint="eastAsia" w:ascii="黑体" w:hAnsi="黑体" w:eastAsia="黑体"/>
          <w:b w:val="0"/>
          <w:color w:val="000000"/>
        </w:rPr>
        <w:t>基</w:t>
      </w:r>
      <w:r>
        <w:rPr>
          <w:rStyle w:val="16"/>
          <w:rFonts w:hint="eastAsia" w:ascii="黑体" w:hAnsi="黑体" w:eastAsia="黑体"/>
          <w:b w:val="0"/>
          <w:bCs w:val="0"/>
        </w:rPr>
        <w:t>本职能及主要工作</w:t>
      </w:r>
      <w:bookmarkEnd w:id="14"/>
      <w:bookmarkEnd w:id="15"/>
      <w:bookmarkStart w:id="16" w:name="_Toc15377198"/>
      <w:bookmarkStart w:id="17" w:name="_Toc15378445"/>
      <w:bookmarkStart w:id="18" w:name="_Toc15378446"/>
      <w:bookmarkStart w:id="19" w:name="_Toc15377199"/>
    </w:p>
    <w:p>
      <w:pPr>
        <w:pStyle w:val="3"/>
        <w:numPr>
          <w:ilvl w:val="0"/>
          <w:numId w:val="0"/>
        </w:numPr>
        <w:ind w:firstLine="642" w:firstLineChars="200"/>
        <w:rPr>
          <w:rFonts w:ascii="仿宋" w:hAnsi="仿宋" w:eastAsia="仿宋"/>
          <w:bCs/>
          <w:color w:val="000000"/>
          <w:sz w:val="32"/>
          <w:szCs w:val="32"/>
        </w:rPr>
      </w:pPr>
      <w:r>
        <w:rPr>
          <w:rFonts w:hint="eastAsia" w:ascii="仿宋" w:hAnsi="仿宋" w:eastAsia="仿宋"/>
          <w:bCs/>
          <w:color w:val="000000"/>
          <w:sz w:val="32"/>
          <w:szCs w:val="32"/>
        </w:rPr>
        <w:t>（一）主要职能。</w:t>
      </w:r>
      <w:bookmarkEnd w:id="16"/>
      <w:bookmarkEnd w:id="17"/>
    </w:p>
    <w:p>
      <w:pPr>
        <w:pStyle w:val="4"/>
        <w:adjustRightInd w:val="0"/>
        <w:snapToGrid w:val="0"/>
        <w:spacing w:before="93" w:line="600" w:lineRule="exact"/>
        <w:ind w:firstLine="672" w:firstLineChars="210"/>
        <w:outlineLvl w:val="2"/>
        <w:rPr>
          <w:bCs/>
          <w:sz w:val="32"/>
          <w:szCs w:val="32"/>
        </w:rPr>
      </w:pPr>
      <w:r>
        <w:rPr>
          <w:rFonts w:hint="eastAsia"/>
          <w:bCs/>
          <w:sz w:val="32"/>
          <w:szCs w:val="32"/>
        </w:rPr>
        <w:t>我单位属于事业单位，承担实施公共资源交易服务相关法律、法规和政策，为各类公共资源交易提供交易活动场地、设施、信息、政策、咨询等具体服务；制订公共资源交易管理制度、工作流程并组织实施；承担全县政府投资工程建设项目的招标实施和服务工作；承担全县政府采购实施和服务工作；承担全县国有土地、矿产资源交易实施和服务工作；承担全县国有资产交易实施和服务工作；负责交易大厅、开评标场所秩序的维护；负责公共资源交易网络的日常运行和维护；承担上级交办的其他工作 。</w:t>
      </w:r>
    </w:p>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hint="default" w:ascii="Times New Roman" w:hAnsi="Times New Roman" w:eastAsia="仿宋" w:cs="Times New Roman"/>
          <w:bCs/>
          <w:color w:val="000000"/>
          <w:sz w:val="32"/>
          <w:szCs w:val="32"/>
        </w:rPr>
        <w:t>2020</w:t>
      </w:r>
      <w:r>
        <w:rPr>
          <w:rFonts w:hint="eastAsia" w:ascii="仿宋" w:hAnsi="仿宋" w:eastAsia="仿宋"/>
          <w:bCs/>
          <w:color w:val="000000"/>
          <w:sz w:val="32"/>
          <w:szCs w:val="32"/>
        </w:rPr>
        <w:t>年重点工作完成情况。</w:t>
      </w:r>
      <w:bookmarkEnd w:id="18"/>
      <w:bookmarkEnd w:id="19"/>
    </w:p>
    <w:p>
      <w:pPr>
        <w:adjustRightInd w:val="0"/>
        <w:snapToGrid w:val="0"/>
        <w:spacing w:line="600" w:lineRule="exact"/>
        <w:ind w:firstLine="640" w:firstLineChars="200"/>
        <w:rPr>
          <w:rFonts w:hint="eastAsia" w:ascii="仿宋" w:hAnsi="仿宋" w:eastAsia="方正仿宋_GBK"/>
          <w:bCs/>
          <w:color w:val="000000"/>
          <w:sz w:val="32"/>
          <w:szCs w:val="32"/>
          <w:lang w:eastAsia="zh-CN"/>
        </w:rPr>
      </w:pPr>
      <w:r>
        <w:rPr>
          <w:rFonts w:hint="default" w:ascii="Times New Roman" w:hAnsi="Times New Roman" w:eastAsia="方正仿宋_GBK" w:cs="Times New Roman"/>
          <w:bCs/>
          <w:color w:val="000000"/>
          <w:sz w:val="32"/>
          <w:szCs w:val="32"/>
          <w:lang w:val="en-US" w:eastAsia="zh-CN"/>
        </w:rPr>
        <w:t>2020</w:t>
      </w:r>
      <w:r>
        <w:rPr>
          <w:rFonts w:hint="eastAsia" w:ascii="方正仿宋_GBK" w:hAnsi="方正仿宋_GBK" w:eastAsia="方正仿宋_GBK" w:cs="方正仿宋_GBK"/>
          <w:bCs/>
          <w:color w:val="000000"/>
          <w:sz w:val="32"/>
          <w:szCs w:val="32"/>
        </w:rPr>
        <w:t>年，邻水县公管办围绕县委县政府的工作部署，按照操作电子化、程序规范化、管理制度化、干部廉洁化、交易阳光化、服务优质化建设标准，抓好平台、队伍、作风、制度建设，切实抓好了“四大”交易工作</w:t>
      </w:r>
      <w:r>
        <w:rPr>
          <w:rFonts w:hint="eastAsia" w:ascii="方正仿宋_GBK" w:hAnsi="方正仿宋_GBK" w:eastAsia="方正仿宋_GBK" w:cs="方正仿宋_GBK"/>
          <w:sz w:val="32"/>
        </w:rPr>
        <w:t>开展评审项目</w:t>
      </w:r>
      <w:r>
        <w:rPr>
          <w:rFonts w:hint="default" w:ascii="Times New Roman" w:hAnsi="Times New Roman" w:eastAsia="方正仿宋_GBK" w:cs="Times New Roman"/>
          <w:sz w:val="32"/>
        </w:rPr>
        <w:t>310</w:t>
      </w:r>
      <w:r>
        <w:rPr>
          <w:rFonts w:hint="eastAsia" w:ascii="方正仿宋_GBK" w:hAnsi="方正仿宋_GBK" w:eastAsia="方正仿宋_GBK" w:cs="方正仿宋_GBK"/>
          <w:sz w:val="32"/>
        </w:rPr>
        <w:t>宗，</w:t>
      </w:r>
      <w:r>
        <w:rPr>
          <w:rFonts w:hint="default" w:ascii="Times New Roman" w:hAnsi="Times New Roman" w:eastAsia="方正仿宋_GBK" w:cs="Times New Roman"/>
          <w:sz w:val="32"/>
          <w:lang w:val="en-US" w:eastAsia="zh-CN"/>
        </w:rPr>
        <w:t>2020</w:t>
      </w:r>
      <w:r>
        <w:rPr>
          <w:rFonts w:hint="eastAsia" w:ascii="方正仿宋_GBK" w:hAnsi="方正仿宋_GBK" w:eastAsia="方正仿宋_GBK" w:cs="方正仿宋_GBK"/>
          <w:sz w:val="32"/>
          <w:lang w:val="en-US" w:eastAsia="zh-CN"/>
        </w:rPr>
        <w:t>年</w:t>
      </w:r>
      <w:r>
        <w:rPr>
          <w:rFonts w:hint="eastAsia" w:ascii="方正仿宋_GBK" w:hAnsi="方正仿宋_GBK" w:eastAsia="方正仿宋_GBK" w:cs="方正仿宋_GBK"/>
          <w:sz w:val="32"/>
        </w:rPr>
        <w:t>成功办理交易项目</w:t>
      </w:r>
      <w:r>
        <w:rPr>
          <w:rFonts w:hint="default" w:ascii="Times New Roman" w:hAnsi="Times New Roman" w:eastAsia="方正仿宋_GBK" w:cs="Times New Roman"/>
          <w:sz w:val="32"/>
        </w:rPr>
        <w:t>596</w:t>
      </w:r>
      <w:r>
        <w:rPr>
          <w:rFonts w:hint="eastAsia" w:ascii="方正仿宋_GBK" w:hAnsi="方正仿宋_GBK" w:eastAsia="方正仿宋_GBK" w:cs="方正仿宋_GBK"/>
          <w:sz w:val="32"/>
        </w:rPr>
        <w:t>宗</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交易金额</w:t>
      </w:r>
      <w:r>
        <w:rPr>
          <w:rFonts w:hint="default" w:ascii="Times New Roman" w:hAnsi="Times New Roman" w:eastAsia="方正仿宋_GBK" w:cs="Times New Roman"/>
          <w:sz w:val="32"/>
        </w:rPr>
        <w:t>118012.39</w:t>
      </w:r>
      <w:r>
        <w:rPr>
          <w:rFonts w:hint="eastAsia" w:ascii="方正仿宋_GBK" w:hAnsi="方正仿宋_GBK" w:eastAsia="方正仿宋_GBK" w:cs="方正仿宋_GBK"/>
          <w:sz w:val="32"/>
        </w:rPr>
        <w:t>万元</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圆满完成了全年政府采购和工程招标业务，为政府增加收入</w:t>
      </w:r>
      <w:r>
        <w:rPr>
          <w:rFonts w:hint="default" w:ascii="Times New Roman" w:hAnsi="Times New Roman" w:eastAsia="方正仿宋_GBK" w:cs="Times New Roman"/>
          <w:bCs/>
          <w:color w:val="000000"/>
          <w:sz w:val="32"/>
          <w:szCs w:val="32"/>
        </w:rPr>
        <w:t>7537.6</w:t>
      </w:r>
      <w:r>
        <w:rPr>
          <w:rFonts w:hint="eastAsia" w:eastAsia="方正仿宋_GBK" w:cs="Times New Roman"/>
          <w:bCs/>
          <w:color w:val="000000"/>
          <w:sz w:val="32"/>
          <w:szCs w:val="32"/>
          <w:lang w:val="en-US" w:eastAsia="zh-CN"/>
        </w:rPr>
        <w:t>0</w:t>
      </w:r>
      <w:r>
        <w:rPr>
          <w:rFonts w:hint="eastAsia" w:ascii="方正仿宋_GBK" w:hAnsi="方正仿宋_GBK" w:eastAsia="方正仿宋_GBK" w:cs="方正仿宋_GBK"/>
          <w:bCs/>
          <w:color w:val="000000"/>
          <w:sz w:val="32"/>
          <w:szCs w:val="32"/>
        </w:rPr>
        <w:t>万元</w:t>
      </w:r>
      <w:r>
        <w:rPr>
          <w:rFonts w:hint="eastAsia" w:ascii="方正仿宋_GBK" w:hAnsi="方正仿宋_GBK" w:eastAsia="方正仿宋_GBK" w:cs="方正仿宋_GBK"/>
          <w:sz w:val="32"/>
        </w:rPr>
        <w:t>，节约资金</w:t>
      </w:r>
      <w:r>
        <w:rPr>
          <w:rFonts w:hint="default" w:ascii="Times New Roman" w:hAnsi="Times New Roman" w:eastAsia="方正仿宋_GBK" w:cs="Times New Roman"/>
          <w:bCs/>
          <w:color w:val="000000"/>
          <w:sz w:val="32"/>
          <w:szCs w:val="32"/>
        </w:rPr>
        <w:t>8360.12</w:t>
      </w:r>
      <w:r>
        <w:rPr>
          <w:rFonts w:hint="eastAsia" w:ascii="方正仿宋_GBK" w:hAnsi="方正仿宋_GBK" w:eastAsia="方正仿宋_GBK" w:cs="方正仿宋_GBK"/>
          <w:bCs/>
          <w:color w:val="000000"/>
          <w:sz w:val="32"/>
          <w:szCs w:val="32"/>
        </w:rPr>
        <w:t>万元</w:t>
      </w:r>
      <w:r>
        <w:rPr>
          <w:rFonts w:hint="eastAsia" w:ascii="方正仿宋_GBK" w:hAnsi="方正仿宋_GBK" w:eastAsia="方正仿宋_GBK" w:cs="方正仿宋_GBK"/>
          <w:bCs/>
          <w:color w:val="000000"/>
          <w:sz w:val="32"/>
          <w:szCs w:val="32"/>
          <w:lang w:eastAsia="zh-CN"/>
        </w:rPr>
        <w:t>。</w:t>
      </w:r>
    </w:p>
    <w:p>
      <w:pPr>
        <w:pStyle w:val="3"/>
        <w:ind w:firstLine="640" w:firstLineChars="200"/>
        <w:rPr>
          <w:rStyle w:val="1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16"/>
          <w:rFonts w:hint="eastAsia" w:ascii="黑体" w:hAnsi="黑体" w:eastAsia="黑体"/>
          <w:b w:val="0"/>
          <w:bCs w:val="0"/>
        </w:rPr>
        <w:t>构设置</w:t>
      </w:r>
      <w:bookmarkEnd w:id="20"/>
      <w:bookmarkEnd w:id="21"/>
    </w:p>
    <w:p>
      <w:pPr>
        <w:widowControl/>
        <w:ind w:firstLine="640" w:firstLineChars="200"/>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我单位为公益一类事业单位，</w:t>
      </w:r>
      <w:r>
        <w:rPr>
          <w:rFonts w:hint="eastAsia" w:ascii="方正仿宋_GBK" w:hAnsi="方正仿宋_GBK" w:eastAsia="方正仿宋_GBK" w:cs="方正仿宋_GBK"/>
          <w:sz w:val="32"/>
          <w:lang w:eastAsia="zh-CN"/>
        </w:rPr>
        <w:t>无下属单位。本单位</w:t>
      </w:r>
      <w:r>
        <w:rPr>
          <w:rFonts w:hint="eastAsia" w:ascii="方正仿宋_GBK" w:hAnsi="方正仿宋_GBK" w:eastAsia="方正仿宋_GBK" w:cs="方正仿宋_GBK"/>
          <w:sz w:val="32"/>
        </w:rPr>
        <w:t>事业编制</w:t>
      </w:r>
      <w:r>
        <w:rPr>
          <w:rFonts w:hint="default" w:ascii="Times New Roman" w:hAnsi="Times New Roman" w:eastAsia="方正仿宋_GBK" w:cs="Times New Roman"/>
          <w:sz w:val="32"/>
        </w:rPr>
        <w:t>19</w:t>
      </w:r>
      <w:r>
        <w:rPr>
          <w:rFonts w:hint="eastAsia" w:ascii="方正仿宋_GBK" w:hAnsi="方正仿宋_GBK" w:eastAsia="方正仿宋_GBK" w:cs="方正仿宋_GBK"/>
          <w:sz w:val="32"/>
        </w:rPr>
        <w:t>人，</w:t>
      </w:r>
      <w:r>
        <w:rPr>
          <w:rFonts w:hint="default" w:ascii="Times New Roman" w:hAnsi="Times New Roman" w:eastAsia="方正仿宋_GBK" w:cs="Times New Roman"/>
          <w:sz w:val="32"/>
        </w:rPr>
        <w:t>20</w:t>
      </w:r>
      <w:r>
        <w:rPr>
          <w:rFonts w:hint="default" w:ascii="Times New Roman" w:hAnsi="Times New Roman" w:eastAsia="方正仿宋_GBK" w:cs="Times New Roman"/>
          <w:sz w:val="32"/>
          <w:lang w:val="en-US" w:eastAsia="zh-CN"/>
        </w:rPr>
        <w:t>20</w:t>
      </w:r>
      <w:r>
        <w:rPr>
          <w:rFonts w:hint="eastAsia" w:ascii="方正仿宋_GBK" w:hAnsi="方正仿宋_GBK" w:eastAsia="方正仿宋_GBK" w:cs="方正仿宋_GBK"/>
          <w:sz w:val="32"/>
        </w:rPr>
        <w:t>年底实有事业人员</w:t>
      </w:r>
      <w:r>
        <w:rPr>
          <w:rFonts w:hint="default" w:ascii="Times New Roman" w:hAnsi="Times New Roman" w:eastAsia="方正仿宋_GBK" w:cs="Times New Roman"/>
          <w:sz w:val="32"/>
        </w:rPr>
        <w:t>1</w:t>
      </w:r>
      <w:r>
        <w:rPr>
          <w:rFonts w:hint="default" w:ascii="Times New Roman" w:hAnsi="Times New Roman" w:eastAsia="方正仿宋_GBK" w:cs="Times New Roman"/>
          <w:sz w:val="32"/>
          <w:lang w:val="en-US" w:eastAsia="zh-CN"/>
        </w:rPr>
        <w:t>8</w:t>
      </w:r>
      <w:r>
        <w:rPr>
          <w:rFonts w:hint="eastAsia" w:ascii="方正仿宋_GBK" w:hAnsi="方正仿宋_GBK" w:eastAsia="方正仿宋_GBK" w:cs="方正仿宋_GBK"/>
          <w:sz w:val="32"/>
        </w:rPr>
        <w:t xml:space="preserve">人，单位临时聘用 </w:t>
      </w:r>
      <w:r>
        <w:rPr>
          <w:rFonts w:hint="default" w:ascii="Times New Roman" w:hAnsi="Times New Roman" w:eastAsia="方正仿宋_GBK" w:cs="Times New Roman"/>
          <w:sz w:val="32"/>
        </w:rPr>
        <w:t>2</w:t>
      </w:r>
      <w:r>
        <w:rPr>
          <w:rFonts w:hint="eastAsia" w:ascii="方正仿宋_GBK" w:hAnsi="方正仿宋_GBK" w:eastAsia="方正仿宋_GBK" w:cs="方正仿宋_GBK"/>
          <w:sz w:val="32"/>
        </w:rPr>
        <w:t>人</w:t>
      </w:r>
      <w:bookmarkStart w:id="22" w:name="_Toc15377204"/>
      <w:bookmarkStart w:id="23" w:name="_Toc15396602"/>
    </w:p>
    <w:p>
      <w:pPr>
        <w:widowControl/>
        <w:ind w:firstLine="440" w:firstLineChars="100"/>
        <w:jc w:val="left"/>
      </w:pPr>
      <w:r>
        <w:rPr>
          <w:rFonts w:hint="eastAsia" w:ascii="黑体" w:hAnsi="黑体" w:eastAsia="黑体" w:cs="Times New Roman"/>
          <w:color w:val="000000"/>
          <w:sz w:val="44"/>
          <w:szCs w:val="44"/>
        </w:rPr>
        <w:t>第二部分</w:t>
      </w:r>
      <w:r>
        <w:rPr>
          <w:rStyle w:val="15"/>
          <w:rFonts w:ascii="黑体" w:hAnsi="黑体" w:eastAsia="黑体"/>
        </w:rPr>
        <w:t>2020</w:t>
      </w:r>
      <w:r>
        <w:rPr>
          <w:rFonts w:ascii="黑体" w:hAnsi="黑体" w:eastAsia="黑体"/>
          <w:color w:val="000000"/>
        </w:rPr>
        <w:t xml:space="preserve"> </w:t>
      </w:r>
      <w:r>
        <w:rPr>
          <w:rStyle w:val="15"/>
          <w:rFonts w:hint="eastAsia" w:ascii="黑体" w:hAnsi="黑体" w:eastAsia="黑体"/>
        </w:rPr>
        <w:t>年度部门决算情况说明</w:t>
      </w:r>
      <w:bookmarkEnd w:id="22"/>
      <w:bookmarkEnd w:id="23"/>
    </w:p>
    <w:p>
      <w:pPr>
        <w:pStyle w:val="17"/>
        <w:numPr>
          <w:ilvl w:val="0"/>
          <w:numId w:val="2"/>
        </w:numPr>
        <w:spacing w:line="600" w:lineRule="exact"/>
        <w:ind w:left="1350" w:leftChars="0" w:firstLineChars="0"/>
        <w:outlineLvl w:val="1"/>
        <w:rPr>
          <w:rStyle w:val="16"/>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16"/>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hint="default" w:ascii="Times New Roman" w:hAnsi="Times New Roman" w:eastAsia="仿宋" w:cs="Times New Roman"/>
          <w:color w:val="000000"/>
          <w:sz w:val="32"/>
          <w:szCs w:val="32"/>
        </w:rPr>
        <w:t>2020</w:t>
      </w:r>
      <w:r>
        <w:rPr>
          <w:rFonts w:hint="eastAsia" w:ascii="仿宋" w:hAnsi="仿宋" w:eastAsia="仿宋"/>
          <w:color w:val="000000"/>
          <w:sz w:val="32"/>
          <w:szCs w:val="32"/>
        </w:rPr>
        <w:t>年度收、支总计</w:t>
      </w:r>
      <w:r>
        <w:rPr>
          <w:rFonts w:hint="default" w:ascii="Times New Roman" w:hAnsi="Times New Roman" w:eastAsia="仿宋" w:cs="Times New Roman"/>
          <w:color w:val="000000"/>
          <w:sz w:val="32"/>
          <w:szCs w:val="32"/>
          <w:lang w:val="en-US" w:eastAsia="zh-CN"/>
        </w:rPr>
        <w:t>993.26</w:t>
      </w:r>
      <w:r>
        <w:rPr>
          <w:rFonts w:hint="eastAsia" w:ascii="仿宋" w:hAnsi="仿宋" w:eastAsia="仿宋"/>
          <w:color w:val="000000"/>
          <w:sz w:val="32"/>
          <w:szCs w:val="32"/>
        </w:rPr>
        <w:t>万元。与</w:t>
      </w:r>
      <w:r>
        <w:rPr>
          <w:rFonts w:hint="default" w:ascii="Times New Roman" w:hAnsi="Times New Roman" w:eastAsia="仿宋" w:cs="Times New Roman"/>
          <w:color w:val="000000"/>
          <w:sz w:val="32"/>
          <w:szCs w:val="32"/>
        </w:rPr>
        <w:t>2019</w:t>
      </w:r>
      <w:r>
        <w:rPr>
          <w:rFonts w:hint="eastAsia" w:ascii="仿宋" w:hAnsi="仿宋" w:eastAsia="仿宋"/>
          <w:color w:val="000000"/>
          <w:sz w:val="32"/>
          <w:szCs w:val="32"/>
        </w:rPr>
        <w:t>年相比，收、支总计各增加</w:t>
      </w:r>
      <w:r>
        <w:rPr>
          <w:rFonts w:hint="default" w:ascii="Times New Roman" w:hAnsi="Times New Roman" w:eastAsia="仿宋" w:cs="Times New Roman"/>
          <w:color w:val="000000"/>
          <w:sz w:val="32"/>
          <w:szCs w:val="32"/>
          <w:lang w:val="en-US" w:eastAsia="zh-CN"/>
        </w:rPr>
        <w:t>167.02</w:t>
      </w:r>
      <w:r>
        <w:rPr>
          <w:rFonts w:hint="eastAsia" w:ascii="仿宋" w:hAnsi="仿宋" w:eastAsia="仿宋"/>
          <w:color w:val="000000"/>
          <w:sz w:val="32"/>
          <w:szCs w:val="32"/>
        </w:rPr>
        <w:t>万元，增长</w:t>
      </w:r>
      <w:r>
        <w:rPr>
          <w:rFonts w:hint="default" w:ascii="Times New Roman" w:hAnsi="Times New Roman" w:eastAsia="仿宋" w:cs="Times New Roman"/>
          <w:color w:val="000000"/>
          <w:sz w:val="32"/>
          <w:szCs w:val="32"/>
          <w:lang w:val="en-US" w:eastAsia="zh-CN"/>
        </w:rPr>
        <w:t>16.82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新招考录用人员，增加工作经费。</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pict>
          <v:shape id="Object 4" o:spid="_x0000_s1027" o:spt="75" type="#_x0000_t75" style="position:absolute;left:0pt;margin-left:38.7pt;margin-top:2.3pt;height:152.95pt;width:280.9pt;z-index:251659264;mso-width-relative:page;mso-height-relative:page;" o:ole="t" filled="f" o:preferrelative="t" stroked="f" coordsize="21600,21600">
            <v:path/>
            <v:fill on="f" focussize="0,0"/>
            <v:stroke on="f"/>
            <v:imagedata r:id="rId7" o:title=""/>
            <o:lock v:ext="edit" aspectratio="t"/>
          </v:shape>
          <o:OLEObject Type="Embed" ProgID="Excel.Chart.8" ShapeID="Object 4" DrawAspect="Content" ObjectID="_1468075725" r:id="rId6">
            <o:LockedField>false</o:LockedField>
          </o:OLEObject>
        </w:pict>
      </w:r>
    </w:p>
    <w:p>
      <w:pPr>
        <w:spacing w:line="600" w:lineRule="exact"/>
        <w:ind w:firstLine="640" w:firstLineChars="200"/>
        <w:jc w:val="left"/>
        <w:rPr>
          <w:rFonts w:hint="eastAsia" w:ascii="仿宋" w:hAnsi="仿宋" w:eastAsia="仿宋"/>
          <w:color w:val="000000"/>
          <w:sz w:val="32"/>
          <w:szCs w:val="32"/>
          <w:lang w:eastAsia="zh-CN"/>
        </w:rPr>
      </w:pPr>
    </w:p>
    <w:p>
      <w:pPr>
        <w:spacing w:line="600" w:lineRule="exact"/>
        <w:ind w:firstLine="640" w:firstLineChars="200"/>
        <w:jc w:val="left"/>
        <w:rPr>
          <w:rFonts w:hint="eastAsia" w:ascii="仿宋" w:hAnsi="仿宋" w:eastAsia="仿宋"/>
          <w:color w:val="000000"/>
          <w:sz w:val="32"/>
          <w:szCs w:val="32"/>
          <w:lang w:eastAsia="zh-CN"/>
        </w:rPr>
      </w:pPr>
    </w:p>
    <w:p>
      <w:pPr>
        <w:spacing w:line="600" w:lineRule="exact"/>
        <w:ind w:firstLine="640" w:firstLineChars="200"/>
        <w:jc w:val="left"/>
        <w:rPr>
          <w:rFonts w:hint="eastAsia" w:ascii="仿宋" w:hAnsi="仿宋" w:eastAsia="仿宋"/>
          <w:color w:val="000000"/>
          <w:sz w:val="32"/>
          <w:szCs w:val="32"/>
          <w:lang w:eastAsia="zh-CN"/>
        </w:rPr>
      </w:pPr>
    </w:p>
    <w:p>
      <w:pPr>
        <w:spacing w:line="600" w:lineRule="exact"/>
        <w:jc w:val="left"/>
        <w:rPr>
          <w:rFonts w:hint="eastAsia" w:ascii="仿宋" w:hAnsi="仿宋" w:eastAsia="仿宋"/>
          <w:color w:val="000000"/>
          <w:sz w:val="32"/>
          <w:szCs w:val="32"/>
          <w:lang w:eastAsia="zh-CN"/>
        </w:rPr>
      </w:pPr>
    </w:p>
    <w:p>
      <w:pPr>
        <w:pStyle w:val="17"/>
        <w:numPr>
          <w:ilvl w:val="0"/>
          <w:numId w:val="2"/>
        </w:numPr>
        <w:spacing w:line="600" w:lineRule="exact"/>
        <w:ind w:left="1350" w:leftChars="0" w:firstLineChars="0"/>
        <w:outlineLvl w:val="1"/>
        <w:rPr>
          <w:rStyle w:val="1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16"/>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b/>
          <w:color w:val="FF0000"/>
          <w:sz w:val="32"/>
          <w:szCs w:val="32"/>
          <w:lang w:eastAsia="zh-CN"/>
        </w:rPr>
      </w:pPr>
      <w:r>
        <w:rPr>
          <w:rFonts w:hint="default" w:ascii="Times New Roman" w:hAnsi="Times New Roman" w:eastAsia="仿宋" w:cs="Times New Roman"/>
          <w:color w:val="000000"/>
          <w:sz w:val="32"/>
          <w:szCs w:val="32"/>
        </w:rPr>
        <w:t>2020</w:t>
      </w:r>
      <w:r>
        <w:rPr>
          <w:rFonts w:hint="eastAsia" w:ascii="仿宋" w:hAnsi="仿宋" w:eastAsia="仿宋"/>
          <w:color w:val="000000"/>
          <w:sz w:val="32"/>
          <w:szCs w:val="32"/>
        </w:rPr>
        <w:t>年本年收入合计</w:t>
      </w:r>
      <w:r>
        <w:rPr>
          <w:rFonts w:hint="default" w:ascii="Times New Roman" w:hAnsi="Times New Roman" w:eastAsia="仿宋" w:cs="Times New Roman"/>
          <w:color w:val="000000"/>
          <w:sz w:val="32"/>
          <w:szCs w:val="32"/>
          <w:lang w:val="en-US" w:eastAsia="zh-CN"/>
        </w:rPr>
        <w:t>493.63</w:t>
      </w:r>
      <w:r>
        <w:rPr>
          <w:rFonts w:hint="eastAsia" w:ascii="仿宋" w:hAnsi="仿宋" w:eastAsia="仿宋"/>
          <w:color w:val="000000"/>
          <w:sz w:val="32"/>
          <w:szCs w:val="32"/>
        </w:rPr>
        <w:t>万元，其中：一般公共预算财政拨款收入</w:t>
      </w:r>
      <w:r>
        <w:rPr>
          <w:rFonts w:hint="default" w:ascii="Times New Roman" w:hAnsi="Times New Roman" w:eastAsia="仿宋" w:cs="Times New Roman"/>
          <w:color w:val="000000"/>
          <w:sz w:val="32"/>
          <w:szCs w:val="32"/>
          <w:lang w:val="en-US" w:eastAsia="zh-CN"/>
        </w:rPr>
        <w:t>493.63</w:t>
      </w:r>
      <w:r>
        <w:rPr>
          <w:rFonts w:hint="eastAsia" w:ascii="仿宋" w:hAnsi="仿宋" w:eastAsia="仿宋"/>
          <w:color w:val="000000"/>
          <w:sz w:val="32"/>
          <w:szCs w:val="32"/>
        </w:rPr>
        <w:t>万元，占</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1600" w:firstLineChars="5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spacing w:line="600" w:lineRule="exact"/>
        <w:ind w:firstLine="642" w:firstLineChars="200"/>
        <w:rPr>
          <w:rFonts w:ascii="仿宋_GB2312" w:eastAsia="仿宋_GB2312"/>
          <w:color w:val="FF0000"/>
          <w:sz w:val="32"/>
          <w:szCs w:val="32"/>
        </w:rPr>
      </w:pPr>
      <w:r>
        <w:rPr>
          <w:rFonts w:hint="eastAsia" w:ascii="仿宋" w:hAnsi="仿宋" w:eastAsia="仿宋"/>
          <w:b/>
          <w:color w:val="FF0000"/>
          <w:sz w:val="32"/>
          <w:szCs w:val="32"/>
          <w:lang w:eastAsia="zh-CN"/>
        </w:rPr>
        <w:drawing>
          <wp:anchor distT="0" distB="0" distL="114300" distR="114300" simplePos="0" relativeHeight="251660288" behindDoc="1" locked="0" layoutInCell="1" allowOverlap="1">
            <wp:simplePos x="0" y="0"/>
            <wp:positionH relativeFrom="column">
              <wp:posOffset>156845</wp:posOffset>
            </wp:positionH>
            <wp:positionV relativeFrom="paragraph">
              <wp:posOffset>308610</wp:posOffset>
            </wp:positionV>
            <wp:extent cx="5080000" cy="2724785"/>
            <wp:effectExtent l="4445" t="4445" r="20955" b="1397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17"/>
        <w:numPr>
          <w:ilvl w:val="0"/>
          <w:numId w:val="0"/>
        </w:numPr>
        <w:spacing w:line="600" w:lineRule="exact"/>
        <w:outlineLvl w:val="1"/>
        <w:rPr>
          <w:rStyle w:val="16"/>
          <w:rFonts w:ascii="黑体" w:hAnsi="黑体" w:eastAsia="黑体"/>
          <w:b w:val="0"/>
        </w:rPr>
      </w:pPr>
      <w:bookmarkStart w:id="28" w:name="_Toc15377207"/>
      <w:bookmarkStart w:id="29" w:name="_Toc15396605"/>
    </w:p>
    <w:p>
      <w:pPr>
        <w:pStyle w:val="17"/>
        <w:numPr>
          <w:ilvl w:val="0"/>
          <w:numId w:val="0"/>
        </w:numPr>
        <w:spacing w:line="600" w:lineRule="exact"/>
        <w:outlineLvl w:val="1"/>
        <w:rPr>
          <w:rStyle w:val="16"/>
          <w:rFonts w:ascii="黑体" w:hAnsi="黑体" w:eastAsia="黑体"/>
          <w:b w:val="0"/>
        </w:rPr>
      </w:pPr>
    </w:p>
    <w:p>
      <w:pPr>
        <w:pStyle w:val="17"/>
        <w:numPr>
          <w:ilvl w:val="0"/>
          <w:numId w:val="0"/>
        </w:numPr>
        <w:spacing w:line="600" w:lineRule="exact"/>
        <w:outlineLvl w:val="1"/>
        <w:rPr>
          <w:rStyle w:val="16"/>
          <w:rFonts w:ascii="黑体" w:hAnsi="黑体" w:eastAsia="黑体"/>
          <w:b w:val="0"/>
        </w:rPr>
      </w:pPr>
    </w:p>
    <w:p>
      <w:pPr>
        <w:pStyle w:val="17"/>
        <w:numPr>
          <w:ilvl w:val="0"/>
          <w:numId w:val="0"/>
        </w:numPr>
        <w:spacing w:line="600" w:lineRule="exact"/>
        <w:outlineLvl w:val="1"/>
        <w:rPr>
          <w:rStyle w:val="16"/>
          <w:rFonts w:ascii="黑体" w:hAnsi="黑体" w:eastAsia="黑体"/>
          <w:b w:val="0"/>
        </w:rPr>
      </w:pPr>
    </w:p>
    <w:p>
      <w:pPr>
        <w:pStyle w:val="17"/>
        <w:numPr>
          <w:ilvl w:val="0"/>
          <w:numId w:val="0"/>
        </w:numPr>
        <w:spacing w:line="600" w:lineRule="exact"/>
        <w:outlineLvl w:val="1"/>
        <w:rPr>
          <w:rStyle w:val="16"/>
          <w:rFonts w:ascii="黑体" w:hAnsi="黑体" w:eastAsia="黑体"/>
          <w:b w:val="0"/>
        </w:rPr>
      </w:pPr>
    </w:p>
    <w:p>
      <w:pPr>
        <w:pStyle w:val="17"/>
        <w:numPr>
          <w:ilvl w:val="0"/>
          <w:numId w:val="0"/>
        </w:numPr>
        <w:spacing w:line="600" w:lineRule="exact"/>
        <w:outlineLvl w:val="1"/>
        <w:rPr>
          <w:rStyle w:val="16"/>
          <w:rFonts w:ascii="黑体" w:hAnsi="黑体" w:eastAsia="黑体"/>
          <w:b w:val="0"/>
        </w:rPr>
      </w:pPr>
    </w:p>
    <w:p>
      <w:pPr>
        <w:pStyle w:val="17"/>
        <w:numPr>
          <w:ilvl w:val="0"/>
          <w:numId w:val="0"/>
        </w:numPr>
        <w:spacing w:line="600" w:lineRule="exact"/>
        <w:outlineLvl w:val="1"/>
        <w:rPr>
          <w:rStyle w:val="16"/>
          <w:rFonts w:ascii="黑体" w:hAnsi="黑体" w:eastAsia="黑体"/>
          <w:b w:val="0"/>
        </w:rPr>
      </w:pPr>
    </w:p>
    <w:p>
      <w:pPr>
        <w:pStyle w:val="17"/>
        <w:numPr>
          <w:ilvl w:val="0"/>
          <w:numId w:val="2"/>
        </w:numPr>
        <w:spacing w:line="600" w:lineRule="exact"/>
        <w:ind w:left="1350" w:leftChars="0" w:firstLineChars="0"/>
        <w:outlineLvl w:val="1"/>
        <w:rPr>
          <w:rStyle w:val="16"/>
          <w:rFonts w:ascii="黑体" w:hAnsi="黑体" w:eastAsia="黑体"/>
          <w:b w:val="0"/>
        </w:rPr>
      </w:pPr>
      <w:r>
        <w:rPr>
          <w:rFonts w:hint="eastAsia" w:ascii="黑体" w:hAnsi="黑体" w:eastAsia="黑体"/>
          <w:color w:val="000000"/>
          <w:sz w:val="32"/>
          <w:szCs w:val="32"/>
        </w:rPr>
        <w:t>支</w:t>
      </w:r>
      <w:r>
        <w:rPr>
          <w:rStyle w:val="16"/>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493.63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493.63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1600" w:firstLineChars="500"/>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（图</w:t>
      </w:r>
      <w:r>
        <w:rPr>
          <w:rFonts w:hint="eastAsia" w:ascii="仿宋" w:hAnsi="仿宋" w:eastAsia="仿宋"/>
          <w:color w:val="000000"/>
          <w:sz w:val="32"/>
          <w:szCs w:val="32"/>
          <w:lang w:val="en-US" w:eastAsia="zh-CN"/>
        </w:rPr>
        <w:t>3：支出决算结构图</w:t>
      </w:r>
      <w:r>
        <w:rPr>
          <w:rFonts w:hint="eastAsia" w:ascii="仿宋" w:hAnsi="仿宋" w:eastAsia="仿宋"/>
          <w:color w:val="000000"/>
          <w:sz w:val="32"/>
          <w:szCs w:val="32"/>
          <w:lang w:eastAsia="zh-CN"/>
        </w:rPr>
        <w:t>）</w:t>
      </w:r>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125095</wp:posOffset>
            </wp:positionH>
            <wp:positionV relativeFrom="paragraph">
              <wp:posOffset>280035</wp:posOffset>
            </wp:positionV>
            <wp:extent cx="5080000" cy="2209165"/>
            <wp:effectExtent l="4445" t="4445" r="20955" b="1524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1600" w:firstLineChars="500"/>
        <w:rPr>
          <w:rFonts w:hint="eastAsia" w:ascii="仿宋" w:hAnsi="仿宋" w:eastAsia="仿宋"/>
          <w:color w:val="000000"/>
          <w:sz w:val="32"/>
          <w:szCs w:val="32"/>
          <w:lang w:eastAsia="zh-CN"/>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Fonts w:hint="eastAsia" w:ascii="黑体" w:hAnsi="黑体" w:eastAsia="黑体"/>
          <w:color w:val="000000"/>
          <w:sz w:val="32"/>
          <w:szCs w:val="32"/>
        </w:rPr>
      </w:pPr>
      <w:bookmarkStart w:id="30" w:name="_Toc15377208"/>
      <w:bookmarkStart w:id="31" w:name="_Toc15396606"/>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16"/>
          <w:rFonts w:ascii="黑体" w:hAnsi="黑体" w:eastAsia="黑体"/>
          <w:b w:val="0"/>
        </w:rPr>
      </w:pPr>
      <w:r>
        <w:rPr>
          <w:rFonts w:hint="eastAsia" w:ascii="黑体" w:hAnsi="黑体" w:eastAsia="黑体"/>
          <w:color w:val="000000"/>
          <w:sz w:val="32"/>
          <w:szCs w:val="32"/>
        </w:rPr>
        <w:t>四、财</w:t>
      </w:r>
      <w:r>
        <w:rPr>
          <w:rStyle w:val="16"/>
          <w:rFonts w:hint="eastAsia" w:ascii="黑体" w:hAnsi="黑体" w:eastAsia="黑体"/>
          <w:b w:val="0"/>
        </w:rPr>
        <w:t>政拨款收入支出决算总体情况说明</w:t>
      </w:r>
      <w:bookmarkEnd w:id="30"/>
      <w:bookmarkEnd w:id="31"/>
    </w:p>
    <w:p>
      <w:pPr>
        <w:spacing w:line="600" w:lineRule="exact"/>
        <w:ind w:firstLine="640"/>
        <w:rPr>
          <w:rFonts w:hint="default" w:ascii="仿宋" w:hAnsi="仿宋" w:eastAsia="仿宋"/>
          <w:b/>
          <w:color w:val="FF0000"/>
          <w:sz w:val="32"/>
          <w:szCs w:val="32"/>
          <w:lang w:val="en-US"/>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993.26</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年相比，财政拨款收、支总计各增加</w:t>
      </w:r>
      <w:r>
        <w:rPr>
          <w:rFonts w:hint="eastAsia" w:ascii="仿宋" w:hAnsi="仿宋" w:eastAsia="仿宋"/>
          <w:color w:val="000000"/>
          <w:sz w:val="32"/>
          <w:szCs w:val="32"/>
          <w:lang w:val="en-US" w:eastAsia="zh-CN"/>
        </w:rPr>
        <w:t>167.02</w:t>
      </w:r>
      <w:r>
        <w:rPr>
          <w:rFonts w:hint="eastAsia" w:ascii="仿宋" w:hAnsi="仿宋" w:eastAsia="仿宋"/>
          <w:color w:val="000000"/>
          <w:sz w:val="32"/>
          <w:szCs w:val="32"/>
        </w:rPr>
        <w:t>万元，增长</w:t>
      </w:r>
      <w:r>
        <w:rPr>
          <w:rFonts w:hint="default" w:ascii="Times New Roman" w:hAnsi="Times New Roman" w:eastAsia="仿宋" w:cs="Times New Roman"/>
          <w:color w:val="000000"/>
          <w:sz w:val="32"/>
          <w:szCs w:val="32"/>
          <w:lang w:val="en-US" w:eastAsia="zh-CN"/>
        </w:rPr>
        <w:t>16.82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新招考录用人员，增加工作经费</w:t>
      </w:r>
      <w:r>
        <w:rPr>
          <w:rFonts w:hint="eastAsia" w:ascii="仿宋" w:hAnsi="仿宋" w:eastAsia="仿宋"/>
          <w:color w:val="000000"/>
          <w:sz w:val="32"/>
          <w:szCs w:val="32"/>
          <w:lang w:val="en-US" w:eastAsia="zh-CN"/>
        </w:rPr>
        <w:t>。</w:t>
      </w:r>
    </w:p>
    <w:p>
      <w:pPr>
        <w:spacing w:line="600" w:lineRule="exact"/>
        <w:ind w:firstLine="960" w:firstLineChars="3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320" w:firstLineChars="1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0288" behindDoc="0" locked="0" layoutInCell="1" allowOverlap="1">
            <wp:simplePos x="0" y="0"/>
            <wp:positionH relativeFrom="column">
              <wp:posOffset>102870</wp:posOffset>
            </wp:positionH>
            <wp:positionV relativeFrom="paragraph">
              <wp:posOffset>89535</wp:posOffset>
            </wp:positionV>
            <wp:extent cx="5080000" cy="1829435"/>
            <wp:effectExtent l="4445" t="4445" r="20955" b="1397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320" w:firstLineChars="100"/>
        <w:rPr>
          <w:rFonts w:hint="eastAsia" w:ascii="仿宋" w:hAnsi="仿宋" w:eastAsia="仿宋"/>
          <w:color w:val="000000"/>
          <w:sz w:val="32"/>
          <w:szCs w:val="32"/>
        </w:rPr>
      </w:pPr>
    </w:p>
    <w:p>
      <w:pPr>
        <w:spacing w:line="600" w:lineRule="exact"/>
        <w:ind w:firstLine="320" w:firstLineChars="100"/>
        <w:rPr>
          <w:rFonts w:hint="eastAsia" w:ascii="仿宋" w:hAnsi="仿宋" w:eastAsia="仿宋"/>
          <w:color w:val="000000"/>
          <w:sz w:val="32"/>
          <w:szCs w:val="32"/>
        </w:rPr>
      </w:pPr>
    </w:p>
    <w:p>
      <w:pPr>
        <w:spacing w:line="600" w:lineRule="exact"/>
        <w:ind w:firstLine="320" w:firstLineChars="100"/>
        <w:rPr>
          <w:rFonts w:hint="eastAsia" w:ascii="仿宋" w:hAnsi="仿宋" w:eastAsia="仿宋"/>
          <w:color w:val="000000"/>
          <w:sz w:val="32"/>
          <w:szCs w:val="32"/>
        </w:rPr>
      </w:pPr>
    </w:p>
    <w:p>
      <w:pPr>
        <w:spacing w:line="600" w:lineRule="exact"/>
        <w:outlineLvl w:val="1"/>
        <w:rPr>
          <w:rFonts w:hint="eastAsia" w:ascii="黑体" w:hAnsi="黑体" w:eastAsia="黑体"/>
          <w:color w:val="000000"/>
          <w:sz w:val="32"/>
          <w:szCs w:val="32"/>
        </w:rPr>
      </w:pPr>
      <w:bookmarkStart w:id="32" w:name="_Toc15377209"/>
      <w:bookmarkStart w:id="33" w:name="_Toc15396607"/>
    </w:p>
    <w:p>
      <w:pPr>
        <w:spacing w:line="600" w:lineRule="exact"/>
        <w:ind w:firstLine="640" w:firstLineChars="200"/>
        <w:outlineLvl w:val="1"/>
        <w:rPr>
          <w:rStyle w:val="16"/>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6"/>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493.63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80.51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16.30</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是新招考录用人员，增加工作经费。</w:t>
      </w:r>
    </w:p>
    <w:p>
      <w:pPr>
        <w:spacing w:line="600" w:lineRule="exact"/>
        <w:ind w:firstLine="320" w:firstLineChars="1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spacing w:line="600" w:lineRule="exact"/>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1312" behindDoc="0" locked="0" layoutInCell="1" allowOverlap="1">
            <wp:simplePos x="0" y="0"/>
            <wp:positionH relativeFrom="column">
              <wp:posOffset>287020</wp:posOffset>
            </wp:positionH>
            <wp:positionV relativeFrom="paragraph">
              <wp:posOffset>43180</wp:posOffset>
            </wp:positionV>
            <wp:extent cx="4422775" cy="1990725"/>
            <wp:effectExtent l="4445" t="4445" r="11430" b="508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hint="eastAsia" w:ascii="仿宋" w:hAnsi="仿宋" w:eastAsia="仿宋"/>
          <w:b/>
          <w:color w:val="000000"/>
          <w:sz w:val="32"/>
          <w:szCs w:val="32"/>
        </w:rPr>
      </w:pPr>
      <w:bookmarkStart w:id="35" w:name="_Toc15377211"/>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496.63</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457.79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92.18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16.85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3.39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6.35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1.28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住房保障支出</w:t>
      </w:r>
      <w:r>
        <w:rPr>
          <w:rFonts w:hint="eastAsia" w:ascii="仿宋" w:hAnsi="仿宋" w:eastAsia="仿宋"/>
          <w:color w:val="000000"/>
          <w:sz w:val="32"/>
          <w:szCs w:val="32"/>
          <w:lang w:val="en-US" w:eastAsia="zh-CN"/>
        </w:rPr>
        <w:t>15.65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3.15</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：一般公共预算财政拨款支出决算</w:t>
      </w:r>
      <w:r>
        <w:rPr>
          <w:rFonts w:hint="eastAsia" w:ascii="仿宋" w:hAnsi="仿宋" w:eastAsia="仿宋"/>
          <w:color w:val="000000"/>
          <w:sz w:val="32"/>
          <w:szCs w:val="32"/>
          <w:lang w:eastAsia="zh-CN"/>
        </w:rPr>
        <w:t>结构</w:t>
      </w:r>
      <w:r>
        <w:rPr>
          <w:rFonts w:hint="eastAsia" w:ascii="仿宋" w:hAnsi="仿宋" w:eastAsia="仿宋"/>
          <w:color w:val="000000"/>
          <w:sz w:val="32"/>
          <w:szCs w:val="32"/>
        </w:rPr>
        <w:t>情况）</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2336" behindDoc="0" locked="0" layoutInCell="1" allowOverlap="1">
            <wp:simplePos x="0" y="0"/>
            <wp:positionH relativeFrom="column">
              <wp:posOffset>363220</wp:posOffset>
            </wp:positionH>
            <wp:positionV relativeFrom="paragraph">
              <wp:posOffset>99695</wp:posOffset>
            </wp:positionV>
            <wp:extent cx="5080000" cy="2428875"/>
            <wp:effectExtent l="4445" t="4445" r="20955" b="508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2" w:firstLineChars="200"/>
        <w:outlineLvl w:val="2"/>
        <w:rPr>
          <w:rFonts w:ascii="仿宋" w:hAnsi="仿宋" w:eastAsia="仿宋"/>
          <w:color w:val="FF0000"/>
          <w:sz w:val="32"/>
          <w:szCs w:val="32"/>
        </w:rPr>
      </w:pPr>
      <w:bookmarkStart w:id="37" w:name="_Toc15377444"/>
      <w:bookmarkStart w:id="38" w:name="_Toc15377213"/>
      <w:bookmarkStart w:id="39" w:name="_Toc15378460"/>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w:t>
      </w:r>
      <w:r>
        <w:rPr>
          <w:rFonts w:hint="eastAsia" w:ascii="仿宋" w:hAnsi="仿宋" w:eastAsia="仿宋"/>
          <w:b/>
          <w:color w:val="000000"/>
          <w:sz w:val="32"/>
          <w:szCs w:val="32"/>
          <w:lang w:val="en-US" w:eastAsia="zh-CN"/>
        </w:rPr>
        <w:t>496.63</w:t>
      </w:r>
      <w:r>
        <w:rPr>
          <w:rFonts w:hint="eastAsia" w:ascii="仿宋" w:hAnsi="仿宋" w:eastAsia="仿宋"/>
          <w:color w:val="000000"/>
          <w:sz w:val="32"/>
          <w:szCs w:val="32"/>
        </w:rPr>
        <w:t>，</w:t>
      </w:r>
      <w:r>
        <w:rPr>
          <w:rStyle w:val="12"/>
          <w:rFonts w:hint="eastAsia" w:ascii="仿宋" w:hAnsi="仿宋" w:eastAsia="仿宋"/>
          <w:bCs/>
          <w:color w:val="000000"/>
          <w:sz w:val="32"/>
          <w:szCs w:val="32"/>
        </w:rPr>
        <w:t>完成预算</w:t>
      </w:r>
      <w:r>
        <w:rPr>
          <w:rStyle w:val="12"/>
          <w:rFonts w:hint="eastAsia" w:ascii="仿宋" w:hAnsi="仿宋" w:eastAsia="仿宋"/>
          <w:bCs/>
          <w:color w:val="000000"/>
          <w:sz w:val="32"/>
          <w:szCs w:val="32"/>
          <w:lang w:val="en-US" w:eastAsia="zh-CN"/>
        </w:rPr>
        <w:t>100</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。其中：</w:t>
      </w:r>
      <w:bookmarkEnd w:id="37"/>
      <w:bookmarkEnd w:id="38"/>
      <w:bookmarkEnd w:id="39"/>
    </w:p>
    <w:p>
      <w:pPr>
        <w:numPr>
          <w:ilvl w:val="0"/>
          <w:numId w:val="0"/>
        </w:numPr>
        <w:spacing w:line="600" w:lineRule="exact"/>
        <w:ind w:firstLine="642"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lang w:val="en-US" w:eastAsia="zh-CN"/>
        </w:rPr>
        <w:t>1.</w:t>
      </w:r>
      <w:r>
        <w:rPr>
          <w:rStyle w:val="12"/>
          <w:rFonts w:hint="eastAsia" w:ascii="仿宋" w:hAnsi="仿宋" w:eastAsia="仿宋"/>
          <w:bCs/>
          <w:color w:val="000000"/>
          <w:sz w:val="32"/>
          <w:szCs w:val="32"/>
        </w:rPr>
        <w:t>一般公共服务（类）政府办公厅（室）及相关机构事务（款）事业运行（项）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123.69</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numPr>
          <w:ilvl w:val="0"/>
          <w:numId w:val="0"/>
        </w:numPr>
        <w:spacing w:line="600" w:lineRule="exact"/>
        <w:ind w:firstLine="642"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lang w:val="en-US" w:eastAsia="zh-CN"/>
        </w:rPr>
        <w:t>2.</w:t>
      </w:r>
      <w:r>
        <w:rPr>
          <w:rStyle w:val="12"/>
          <w:rFonts w:hint="eastAsia" w:ascii="仿宋" w:hAnsi="仿宋" w:eastAsia="仿宋"/>
          <w:bCs/>
          <w:color w:val="000000"/>
          <w:sz w:val="32"/>
          <w:szCs w:val="32"/>
        </w:rPr>
        <w:t>一般公共服务（类）政府办公厅（室）及相关机构事务（款）其他政府办公厅（室）及相关机构事务支出（项）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334.09</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3</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社会保障和就业（类）行政事业单位养老支出（款） 机关事业单位基本养老保险缴费支出（项）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16.85</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4</w:t>
      </w:r>
      <w:r>
        <w:rPr>
          <w:rStyle w:val="12"/>
          <w:rFonts w:ascii="仿宋" w:hAnsi="仿宋" w:eastAsia="仿宋"/>
          <w:bCs/>
          <w:color w:val="000000"/>
          <w:sz w:val="32"/>
          <w:szCs w:val="32"/>
        </w:rPr>
        <w:t>.</w:t>
      </w:r>
      <w:r>
        <w:rPr>
          <w:rFonts w:hint="eastAsia" w:ascii="仿宋" w:hAnsi="仿宋" w:eastAsia="仿宋"/>
          <w:b/>
          <w:bCs/>
          <w:color w:val="000000"/>
          <w:sz w:val="32"/>
          <w:szCs w:val="32"/>
        </w:rPr>
        <w:t>卫生健康</w:t>
      </w:r>
      <w:r>
        <w:rPr>
          <w:rStyle w:val="12"/>
          <w:rFonts w:hint="eastAsia" w:ascii="仿宋" w:hAnsi="仿宋" w:eastAsia="仿宋"/>
          <w:bCs/>
          <w:color w:val="000000"/>
          <w:sz w:val="32"/>
          <w:szCs w:val="32"/>
        </w:rPr>
        <w:t>（类）计划生育事务（款）其他计划生育事务支出（项）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0.03</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5</w:t>
      </w:r>
      <w:r>
        <w:rPr>
          <w:rStyle w:val="12"/>
          <w:rFonts w:ascii="仿宋" w:hAnsi="仿宋" w:eastAsia="仿宋"/>
          <w:bCs/>
          <w:color w:val="000000"/>
          <w:sz w:val="32"/>
          <w:szCs w:val="32"/>
        </w:rPr>
        <w:t>.</w:t>
      </w:r>
      <w:r>
        <w:rPr>
          <w:rFonts w:hint="eastAsia" w:ascii="仿宋" w:hAnsi="仿宋" w:eastAsia="仿宋"/>
          <w:b/>
          <w:bCs/>
          <w:color w:val="000000"/>
          <w:sz w:val="32"/>
          <w:szCs w:val="32"/>
        </w:rPr>
        <w:t>卫生健康</w:t>
      </w:r>
      <w:r>
        <w:rPr>
          <w:rStyle w:val="12"/>
          <w:rFonts w:hint="eastAsia" w:ascii="仿宋" w:hAnsi="仿宋" w:eastAsia="仿宋"/>
          <w:bCs/>
          <w:color w:val="000000"/>
          <w:sz w:val="32"/>
          <w:szCs w:val="32"/>
        </w:rPr>
        <w:t>（类）行政事业单位医疗（款）事业单位医疗（项）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6.32</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2" w:firstLineChars="200"/>
        <w:rPr>
          <w:rFonts w:hint="default"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6.</w:t>
      </w: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eastAsia="zh-CN"/>
        </w:rPr>
        <w:t>（类）住房改革支出（款） 住房公积金（项）：</w:t>
      </w:r>
      <w:r>
        <w:rPr>
          <w:rFonts w:hint="eastAsia" w:ascii="仿宋" w:hAnsi="仿宋" w:eastAsia="仿宋"/>
          <w:color w:val="000000"/>
          <w:sz w:val="32"/>
          <w:szCs w:val="32"/>
          <w:lang w:eastAsia="zh-CN"/>
        </w:rPr>
        <w:t>支出就算为</w:t>
      </w:r>
      <w:r>
        <w:rPr>
          <w:rFonts w:hint="eastAsia" w:ascii="仿宋" w:hAnsi="仿宋" w:eastAsia="仿宋"/>
          <w:color w:val="000000"/>
          <w:sz w:val="32"/>
          <w:szCs w:val="32"/>
          <w:lang w:val="en-US" w:eastAsia="zh-CN"/>
        </w:rPr>
        <w:t>15.65万元，完成预算100%。</w:t>
      </w:r>
    </w:p>
    <w:p>
      <w:pPr>
        <w:tabs>
          <w:tab w:val="right" w:pos="8306"/>
        </w:tabs>
        <w:spacing w:line="600" w:lineRule="exact"/>
        <w:ind w:firstLine="640"/>
        <w:outlineLvl w:val="1"/>
        <w:rPr>
          <w:rStyle w:val="16"/>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6"/>
          <w:rFonts w:hint="eastAsia" w:ascii="黑体" w:hAnsi="黑体" w:eastAsia="黑体"/>
          <w:b w:val="0"/>
        </w:rPr>
        <w:t>般公共预算财政拨款基本支出决算情况说明</w:t>
      </w:r>
      <w:bookmarkEnd w:id="40"/>
      <w:bookmarkEnd w:id="41"/>
      <w:r>
        <w:rPr>
          <w:rStyle w:val="1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496.63</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377.26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119.37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16"/>
          <w:rFonts w:hint="eastAsia" w:ascii="黑体" w:hAnsi="黑体" w:eastAsia="黑体"/>
        </w:rPr>
        <w:t>“</w:t>
      </w:r>
      <w:r>
        <w:rPr>
          <w:rStyle w:val="1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0.71</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39</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厉行节约</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0.71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3360" behindDoc="0" locked="0" layoutInCell="1" allowOverlap="1">
            <wp:simplePos x="0" y="0"/>
            <wp:positionH relativeFrom="column">
              <wp:posOffset>753745</wp:posOffset>
            </wp:positionH>
            <wp:positionV relativeFrom="paragraph">
              <wp:posOffset>80645</wp:posOffset>
            </wp:positionV>
            <wp:extent cx="3566160" cy="2687320"/>
            <wp:effectExtent l="4445" t="4445" r="10795" b="1333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lang w:eastAsia="zh-CN"/>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0.71</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39</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0.07</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0.09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为创建示范交易中心，各区市县相互交流学习机会增加</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0.71</w:t>
      </w:r>
      <w:r>
        <w:rPr>
          <w:rFonts w:hint="eastAsia" w:ascii="仿宋_GB2312" w:eastAsia="仿宋_GB2312"/>
          <w:color w:val="000000"/>
          <w:sz w:val="32"/>
          <w:szCs w:val="32"/>
        </w:rPr>
        <w:t>万元，主要用于用于执行公务、开展业务活动开支的住宿费</w:t>
      </w:r>
      <w:r>
        <w:rPr>
          <w:rFonts w:hint="eastAsia" w:ascii="仿宋_GB2312" w:eastAsia="仿宋_GB2312"/>
          <w:color w:val="000000"/>
          <w:sz w:val="32"/>
          <w:szCs w:val="32"/>
          <w:lang w:eastAsia="zh-CN"/>
        </w:rPr>
        <w:t>、</w:t>
      </w:r>
      <w:r>
        <w:rPr>
          <w:rFonts w:hint="eastAsia" w:ascii="仿宋_GB2312" w:eastAsia="仿宋_GB2312"/>
          <w:color w:val="000000"/>
          <w:sz w:val="32"/>
          <w:szCs w:val="32"/>
        </w:rPr>
        <w:t>用餐费等。国内公务接待</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0.71</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土地拍卖工作用餐</w:t>
      </w:r>
      <w:r>
        <w:rPr>
          <w:rFonts w:hint="eastAsia" w:ascii="仿宋_GB2312" w:eastAsia="仿宋_GB2312"/>
          <w:color w:val="000000"/>
          <w:sz w:val="32"/>
          <w:szCs w:val="32"/>
          <w:lang w:val="en-US" w:eastAsia="zh-CN"/>
        </w:rPr>
        <w:t>0.27万元，示范交易中心创建交流学习接单用餐0.19万元，考核验示范交易中心考评组住宿费0.10万元，用餐费0.10万元，市中心验收示范交易中心接待费0.05</w:t>
      </w:r>
      <w:r>
        <w:rPr>
          <w:rFonts w:hint="eastAsia" w:ascii="仿宋_GB2312" w:eastAsia="仿宋_GB2312"/>
          <w:color w:val="000000"/>
          <w:sz w:val="32"/>
          <w:szCs w:val="32"/>
          <w:lang w:eastAsia="zh-CN"/>
        </w:rPr>
        <w:t>万元</w:t>
      </w:r>
      <w:r>
        <w:rPr>
          <w:rFonts w:hint="eastAsia" w:ascii="仿宋_GB2312" w:eastAsia="仿宋_GB2312"/>
          <w:color w:val="000000"/>
          <w:sz w:val="32"/>
          <w:szCs w:val="32"/>
        </w:rPr>
        <w:t>。</w:t>
      </w:r>
    </w:p>
    <w:p>
      <w:pPr>
        <w:spacing w:line="600" w:lineRule="exact"/>
        <w:ind w:firstLine="640"/>
        <w:outlineLvl w:val="1"/>
        <w:rPr>
          <w:rFonts w:hint="eastAsia" w:ascii="仿宋_GB2312" w:eastAsia="仿宋_GB2312"/>
          <w:color w:val="000000"/>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bookmarkStart w:id="46" w:name="_Toc15396610"/>
      <w:bookmarkStart w:id="47" w:name="_Toc15377218"/>
      <w:r>
        <w:rPr>
          <w:rFonts w:hint="eastAsia" w:ascii="仿宋_GB2312" w:eastAsia="仿宋_GB2312"/>
          <w:color w:val="000000"/>
          <w:sz w:val="32"/>
          <w:szCs w:val="32"/>
          <w:lang w:eastAsia="zh-CN"/>
        </w:rPr>
        <w:t>。</w:t>
      </w:r>
    </w:p>
    <w:p>
      <w:pPr>
        <w:spacing w:line="600" w:lineRule="exact"/>
        <w:ind w:firstLine="640"/>
        <w:outlineLvl w:val="1"/>
        <w:rPr>
          <w:rStyle w:val="16"/>
          <w:rFonts w:ascii="黑体" w:hAnsi="黑体" w:eastAsia="黑体"/>
        </w:rPr>
      </w:pPr>
      <w:r>
        <w:rPr>
          <w:rFonts w:hint="eastAsia" w:ascii="黑体" w:eastAsia="黑体"/>
          <w:color w:val="000000"/>
          <w:sz w:val="32"/>
          <w:szCs w:val="32"/>
        </w:rPr>
        <w:t>八、</w:t>
      </w:r>
      <w:r>
        <w:rPr>
          <w:rStyle w:val="1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16"/>
          <w:rFonts w:ascii="黑体" w:hAnsi="黑体" w:eastAsia="黑体"/>
          <w:b w:val="0"/>
        </w:rPr>
      </w:pPr>
      <w:bookmarkStart w:id="48" w:name="_Toc15396611"/>
      <w:bookmarkStart w:id="49" w:name="_Toc15377219"/>
      <w:r>
        <w:rPr>
          <w:rStyle w:val="16"/>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1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16"/>
          <w:rFonts w:hint="eastAsia" w:ascii="黑体" w:hAnsi="黑体" w:eastAsia="黑体"/>
        </w:rPr>
        <w:t>、</w:t>
      </w:r>
      <w:r>
        <w:rPr>
          <w:rStyle w:val="16"/>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事业单位</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新考聘人员增加工作经费</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年，政府采购支出总额</w:t>
      </w:r>
      <w:r>
        <w:rPr>
          <w:rFonts w:hint="eastAsia" w:ascii="仿宋_GB2312" w:eastAsia="仿宋_GB2312"/>
          <w:color w:val="000000"/>
          <w:sz w:val="32"/>
          <w:szCs w:val="32"/>
          <w:lang w:val="en-US" w:eastAsia="zh-CN"/>
        </w:rPr>
        <w:t>6.88</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6.88</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购买办公所需的办公设备</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 w:hAnsi="仿宋" w:eastAsia="仿宋_GB2312"/>
          <w:b/>
          <w:color w:val="FF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公共资源交易及网络运行维护费</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adjustRightInd w:val="0"/>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公共资源交易及网络运行维护项目</w:t>
      </w:r>
      <w:r>
        <w:rPr>
          <w:rFonts w:hint="eastAsia" w:ascii="仿宋_GB2312" w:hAnsi="仿宋_GB2312" w:eastAsia="仿宋_GB2312" w:cs="仿宋_GB2312"/>
          <w:sz w:val="32"/>
          <w:szCs w:val="32"/>
        </w:rPr>
        <w:t>，保障了</w:t>
      </w:r>
      <w:r>
        <w:rPr>
          <w:rFonts w:hint="eastAsia" w:ascii="仿宋_GB2312" w:hAnsi="仿宋_GB2312" w:eastAsia="仿宋_GB2312" w:cs="仿宋_GB2312"/>
          <w:sz w:val="32"/>
          <w:szCs w:val="32"/>
          <w:lang w:eastAsia="zh-CN"/>
        </w:rPr>
        <w:t>政府采购工作的高效运转</w:t>
      </w:r>
      <w:r>
        <w:rPr>
          <w:rFonts w:hint="eastAsia" w:ascii="仿宋_GB2312" w:hAnsi="仿宋_GB2312" w:eastAsia="仿宋_GB2312" w:cs="仿宋_GB2312"/>
          <w:sz w:val="32"/>
          <w:szCs w:val="32"/>
        </w:rPr>
        <w:t>，</w:t>
      </w:r>
      <w:r>
        <w:rPr>
          <w:rFonts w:hint="eastAsia" w:ascii="仿宋_GB2312" w:eastAsia="仿宋_GB2312"/>
          <w:bCs/>
          <w:sz w:val="32"/>
          <w:szCs w:val="28"/>
        </w:rPr>
        <w:t>完善</w:t>
      </w:r>
      <w:r>
        <w:rPr>
          <w:rFonts w:hint="eastAsia" w:ascii="仿宋_GB2312" w:eastAsia="仿宋_GB2312"/>
          <w:bCs/>
          <w:sz w:val="32"/>
          <w:szCs w:val="28"/>
          <w:lang w:eastAsia="zh-CN"/>
        </w:rPr>
        <w:t>了</w:t>
      </w:r>
      <w:r>
        <w:rPr>
          <w:rFonts w:hint="eastAsia" w:ascii="仿宋_GB2312" w:eastAsia="仿宋_GB2312"/>
          <w:bCs/>
          <w:sz w:val="32"/>
          <w:szCs w:val="28"/>
        </w:rPr>
        <w:t>硬件配套设施。完善招标采购的配套硬件设施建设，为交易工作提供更好的服务环境，</w:t>
      </w:r>
      <w:r>
        <w:rPr>
          <w:rFonts w:hint="eastAsia" w:ascii="仿宋_GB2312" w:hAnsi="仿宋_GB2312" w:eastAsia="仿宋_GB2312" w:cs="仿宋_GB2312"/>
          <w:sz w:val="32"/>
          <w:szCs w:val="32"/>
        </w:rPr>
        <w:t>有力促进了邻水经济的健康有序发展，为全县的经济发展作出了应有的贡献。本部门还自行组织了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公共资源交易及网络运行维护费</w:t>
      </w:r>
      <w:r>
        <w:rPr>
          <w:rFonts w:hint="eastAsia" w:ascii="仿宋_GB2312" w:hAnsi="仿宋_GB2312" w:eastAsia="仿宋_GB2312" w:cs="仿宋_GB2312"/>
          <w:sz w:val="32"/>
          <w:szCs w:val="32"/>
        </w:rPr>
        <w:t>绩效目标完成情况综述：</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成功办理交易项目</w:t>
      </w:r>
      <w:r>
        <w:rPr>
          <w:rFonts w:hint="default" w:ascii="仿宋_GB2312" w:hAnsi="仿宋_GB2312" w:eastAsia="仿宋_GB2312" w:cs="仿宋_GB2312"/>
          <w:sz w:val="32"/>
          <w:szCs w:val="32"/>
        </w:rPr>
        <w:t>596</w:t>
      </w:r>
      <w:r>
        <w:rPr>
          <w:rFonts w:hint="eastAsia" w:ascii="仿宋_GB2312" w:hAnsi="仿宋_GB2312" w:eastAsia="仿宋_GB2312" w:cs="仿宋_GB2312"/>
          <w:sz w:val="32"/>
          <w:szCs w:val="32"/>
        </w:rPr>
        <w:t>宗，</w:t>
      </w:r>
      <w:r>
        <w:rPr>
          <w:rFonts w:hint="eastAsia" w:ascii="方正仿宋_GBK" w:hAnsi="方正仿宋_GBK" w:eastAsia="方正仿宋_GBK" w:cs="方正仿宋_GBK"/>
          <w:sz w:val="32"/>
        </w:rPr>
        <w:t>为政府增加收入</w:t>
      </w:r>
      <w:r>
        <w:rPr>
          <w:rFonts w:hint="default" w:ascii="Times New Roman" w:hAnsi="Times New Roman" w:eastAsia="方正仿宋_GBK" w:cs="Times New Roman"/>
          <w:bCs/>
          <w:color w:val="000000"/>
          <w:sz w:val="32"/>
          <w:szCs w:val="32"/>
        </w:rPr>
        <w:t>7537.6</w:t>
      </w:r>
      <w:r>
        <w:rPr>
          <w:rFonts w:hint="eastAsia" w:ascii="方正仿宋_GBK" w:hAnsi="方正仿宋_GBK" w:eastAsia="方正仿宋_GBK" w:cs="方正仿宋_GBK"/>
          <w:bCs/>
          <w:color w:val="000000"/>
          <w:sz w:val="32"/>
          <w:szCs w:val="32"/>
        </w:rPr>
        <w:t>万元</w:t>
      </w:r>
      <w:r>
        <w:rPr>
          <w:rFonts w:hint="eastAsia" w:ascii="方正仿宋_GBK" w:hAnsi="方正仿宋_GBK" w:eastAsia="方正仿宋_GBK" w:cs="方正仿宋_GBK"/>
          <w:sz w:val="32"/>
        </w:rPr>
        <w:t>，节约资金</w:t>
      </w:r>
      <w:r>
        <w:rPr>
          <w:rFonts w:hint="default" w:ascii="Times New Roman" w:hAnsi="Times New Roman" w:eastAsia="方正仿宋_GBK" w:cs="Times New Roman"/>
          <w:bCs/>
          <w:color w:val="000000"/>
          <w:sz w:val="32"/>
          <w:szCs w:val="32"/>
        </w:rPr>
        <w:t>8360.12</w:t>
      </w:r>
      <w:r>
        <w:rPr>
          <w:rFonts w:hint="eastAsia" w:ascii="方正仿宋_GBK" w:hAnsi="方正仿宋_GBK" w:eastAsia="方正仿宋_GBK" w:cs="方正仿宋_GBK"/>
          <w:bCs/>
          <w:color w:val="000000"/>
          <w:sz w:val="32"/>
          <w:szCs w:val="32"/>
        </w:rPr>
        <w:t>万元</w:t>
      </w:r>
      <w:r>
        <w:rPr>
          <w:rFonts w:hint="eastAsia" w:ascii="方正仿宋_GBK" w:hAnsi="方正仿宋_GBK" w:eastAsia="方正仿宋_GBK" w:cs="方正仿宋_GBK"/>
          <w:bCs/>
          <w:color w:val="000000"/>
          <w:sz w:val="32"/>
          <w:szCs w:val="32"/>
          <w:lang w:eastAsia="zh-CN"/>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公共资源交易及网络运行维护</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239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239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。通过项目实施保障政</w:t>
      </w:r>
      <w:r>
        <w:rPr>
          <w:rFonts w:hint="eastAsia" w:ascii="仿宋_GB2312" w:hAnsi="仿宋_GB2312" w:eastAsia="仿宋_GB2312" w:cs="仿宋_GB2312"/>
          <w:sz w:val="32"/>
          <w:szCs w:val="32"/>
          <w:lang w:val="zh-CN"/>
        </w:rPr>
        <w:t>府采购活动公开、公平、公正原则，维护国家利益和社会公共利益，保护政府采购当事人各方的合法权益，从源头上预防和治理腐败，具有十分重要的作用，</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zh-CN"/>
        </w:rPr>
        <w:t>目前主要问题是废标率高，专家费开支大。</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zh-CN"/>
        </w:rPr>
        <w:t>一是主管部门、采购单位对采购文件严格把关，降低废标率，二是加大电子化交易、加强异地评标，减少专家评审费中交通费开支。</w:t>
      </w:r>
    </w:p>
    <w:tbl>
      <w:tblPr>
        <w:tblStyle w:val="1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lang w:eastAsia="zh-CN"/>
              </w:rPr>
              <w:t>公共资源交易及网络运行维护</w:t>
            </w:r>
            <w:r>
              <w:rPr>
                <w:rFonts w:hint="eastAsia" w:ascii="仿宋_GB2312" w:hAnsi="仿宋_GB2312" w:eastAsia="仿宋_GB2312" w:cs="仿宋_GB2312"/>
                <w:sz w:val="32"/>
                <w:szCs w:val="32"/>
              </w:rPr>
              <w:t>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邻水县公共资源交易管理服务办公室</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239</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239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239</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239</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2"/>
                <w:szCs w:val="22"/>
              </w:rPr>
              <w:t>完成全年评审项目300综以上</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2"/>
                <w:szCs w:val="22"/>
              </w:rPr>
              <w:t>完成全年评审项目</w:t>
            </w:r>
            <w:r>
              <w:rPr>
                <w:rFonts w:hint="eastAsia" w:ascii="宋体" w:hAnsi="宋体" w:cs="宋体"/>
                <w:color w:val="000000"/>
                <w:sz w:val="22"/>
                <w:szCs w:val="22"/>
                <w:lang w:val="en-US" w:eastAsia="zh-CN"/>
              </w:rPr>
              <w:t>596</w:t>
            </w:r>
            <w:r>
              <w:rPr>
                <w:rFonts w:hint="eastAsia" w:ascii="宋体" w:hAnsi="宋体" w:cs="宋体"/>
                <w:color w:val="000000"/>
                <w:sz w:val="22"/>
                <w:szCs w:val="22"/>
              </w:rPr>
              <w:t>综</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保证评审工作公开、公正</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保证评审工作公开、公正</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ab/>
            </w:r>
            <w:r>
              <w:rPr>
                <w:rFonts w:hint="eastAsia" w:ascii="宋体" w:hAnsi="宋体" w:cs="宋体"/>
                <w:color w:val="000000"/>
                <w:kern w:val="0"/>
                <w:sz w:val="24"/>
                <w:lang w:val="en-US" w:eastAsia="zh-CN" w:bidi="ar"/>
              </w:rPr>
              <w:t>为政府节约资金，增加财政收入的年度经济效益指标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为政府节约资金，增加财政收入的年度经济效益指标</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降低交易成本、提升交易便利性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降低交易成本、提升交易便利性</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满意度</w:t>
            </w:r>
            <w:r>
              <w:rPr>
                <w:rFonts w:hint="eastAsia" w:ascii="宋体" w:hAnsi="宋体" w:cs="宋体"/>
                <w:color w:val="000000"/>
                <w:kern w:val="0"/>
                <w:sz w:val="24"/>
                <w:lang w:val="en-US" w:eastAsia="zh-CN" w:bidi="ar"/>
              </w:rPr>
              <w:t>90</w:t>
            </w:r>
            <w:r>
              <w:rPr>
                <w:rFonts w:hint="eastAsia" w:ascii="宋体" w:hAnsi="宋体" w:cs="宋体"/>
                <w:color w:val="000000"/>
                <w:kern w:val="0"/>
                <w:sz w:val="24"/>
                <w:lang w:bidi="ar"/>
              </w:rPr>
              <w:t>%</w:t>
            </w:r>
            <w:r>
              <w:rPr>
                <w:rFonts w:hint="eastAsia" w:ascii="宋体" w:hAnsi="宋体" w:cs="宋体"/>
                <w:color w:val="000000"/>
                <w:kern w:val="0"/>
                <w:sz w:val="24"/>
                <w:lang w:eastAsia="zh-CN" w:bidi="ar"/>
              </w:rPr>
              <w:t>以上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满意度</w:t>
            </w:r>
            <w:r>
              <w:rPr>
                <w:rFonts w:hint="eastAsia" w:ascii="宋体" w:hAnsi="宋体" w:cs="宋体"/>
                <w:color w:val="000000"/>
                <w:kern w:val="0"/>
                <w:sz w:val="24"/>
                <w:lang w:val="en-US" w:eastAsia="zh-CN" w:bidi="ar"/>
              </w:rPr>
              <w:t>90</w:t>
            </w:r>
            <w:r>
              <w:rPr>
                <w:rFonts w:hint="eastAsia" w:ascii="宋体" w:hAnsi="宋体" w:cs="宋体"/>
                <w:color w:val="000000"/>
                <w:kern w:val="0"/>
                <w:sz w:val="24"/>
                <w:lang w:bidi="ar"/>
              </w:rPr>
              <w:t>%</w:t>
            </w:r>
            <w:r>
              <w:rPr>
                <w:rFonts w:hint="eastAsia" w:ascii="宋体" w:hAnsi="宋体" w:cs="宋体"/>
                <w:color w:val="000000"/>
                <w:kern w:val="0"/>
                <w:sz w:val="24"/>
                <w:lang w:eastAsia="zh-CN" w:bidi="ar"/>
              </w:rPr>
              <w:t>以上</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邻水县公共资源交易管理服务办公室</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公共资源交易及网络运行维护</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公共资源交易及网络运行维护</w:t>
      </w:r>
      <w:r>
        <w:rPr>
          <w:rFonts w:hint="eastAsia" w:ascii="仿宋_GB2312" w:hAnsi="仿宋_GB2312" w:eastAsia="仿宋_GB2312" w:cs="仿宋_GB2312"/>
          <w:sz w:val="32"/>
          <w:szCs w:val="32"/>
        </w:rPr>
        <w:t>项目项目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15"/>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1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1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2.一般公共服务（类）政府办公厅（室）及相关机构事务（款）事业运行（项）：指为保障机构正常运转、完成日常工作任务而发生的人员支出和公用支出。</w:t>
      </w:r>
    </w:p>
    <w:p>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3.一般公共服务（类）政府办公厅（室）及相关机构事务（款）其他政府办公厅（室）及相关机构事务支出（项）指为保障机构正常运转、完成日常工作任务而发生的人员支出和公用支出。</w:t>
      </w:r>
    </w:p>
    <w:p>
      <w:pPr>
        <w:ind w:firstLine="640" w:firstLineChars="200"/>
        <w:rPr>
          <w:rFonts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4</w:t>
      </w:r>
      <w:r>
        <w:rPr>
          <w:rFonts w:ascii="仿宋_GB2312" w:hAnsi="Calibri" w:eastAsia="仿宋_GB2312" w:cs="仿宋"/>
          <w:color w:val="000000"/>
          <w:kern w:val="0"/>
          <w:sz w:val="32"/>
          <w:szCs w:val="32"/>
          <w:lang w:val="en-US" w:eastAsia="zh-CN" w:bidi="ar-SA"/>
        </w:rPr>
        <w:t>.</w:t>
      </w:r>
      <w:r>
        <w:rPr>
          <w:rFonts w:hint="eastAsia" w:ascii="仿宋_GB2312" w:hAnsi="Calibri" w:eastAsia="仿宋_GB2312" w:cs="仿宋"/>
          <w:color w:val="000000"/>
          <w:kern w:val="0"/>
          <w:sz w:val="32"/>
          <w:szCs w:val="32"/>
          <w:lang w:val="en-US" w:eastAsia="zh-CN" w:bidi="ar-SA"/>
        </w:rPr>
        <w:t>社会保障和就业（类）行政事业单位养老支出（款） 机关事业单位基本养老保险缴费支出（项）：指单位为工作人员缴纳养老保险及失业工伤保险而发生的支出。</w:t>
      </w:r>
    </w:p>
    <w:p>
      <w:pPr>
        <w:ind w:firstLine="640" w:firstLineChars="200"/>
        <w:rPr>
          <w:rFonts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5.卫生健康（类）计划生育事务（款）其他计划生育事务支出（项）</w:t>
      </w:r>
      <w:r>
        <w:rPr>
          <w:rFonts w:ascii="仿宋_GB2312" w:hAnsi="Calibri" w:eastAsia="仿宋_GB2312" w:cs="仿宋"/>
          <w:color w:val="000000"/>
          <w:kern w:val="0"/>
          <w:sz w:val="32"/>
          <w:szCs w:val="32"/>
          <w:lang w:val="en-US" w:eastAsia="zh-CN" w:bidi="ar-SA"/>
        </w:rPr>
        <w:t>:</w:t>
      </w:r>
      <w:r>
        <w:rPr>
          <w:rFonts w:hint="eastAsia" w:ascii="仿宋_GB2312" w:hAnsi="Calibri" w:eastAsia="仿宋_GB2312" w:cs="仿宋"/>
          <w:color w:val="000000"/>
          <w:kern w:val="0"/>
          <w:sz w:val="32"/>
          <w:szCs w:val="32"/>
          <w:lang w:val="en-US" w:eastAsia="zh-CN" w:bidi="ar-SA"/>
        </w:rPr>
        <w:t>指单位为工作人员缴纳医疗保险而发生的支出。</w:t>
      </w:r>
    </w:p>
    <w:p>
      <w:pPr>
        <w:ind w:firstLine="640" w:firstLineChars="200"/>
        <w:rPr>
          <w:rFonts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6</w:t>
      </w:r>
      <w:r>
        <w:rPr>
          <w:rFonts w:ascii="仿宋_GB2312" w:hAnsi="Calibri" w:eastAsia="仿宋_GB2312" w:cs="仿宋"/>
          <w:color w:val="000000"/>
          <w:kern w:val="0"/>
          <w:sz w:val="32"/>
          <w:szCs w:val="32"/>
          <w:lang w:val="en-US" w:eastAsia="zh-CN" w:bidi="ar-SA"/>
        </w:rPr>
        <w:t>.</w:t>
      </w:r>
      <w:r>
        <w:rPr>
          <w:rFonts w:hint="eastAsia" w:ascii="仿宋_GB2312" w:hAnsi="Calibri" w:eastAsia="仿宋_GB2312" w:cs="仿宋"/>
          <w:color w:val="000000"/>
          <w:kern w:val="0"/>
          <w:sz w:val="32"/>
          <w:szCs w:val="32"/>
          <w:lang w:val="en-US" w:eastAsia="zh-CN" w:bidi="ar-SA"/>
        </w:rPr>
        <w:t>卫生健康（类）行政事业单位医疗（款）事业单位医疗（项）</w:t>
      </w:r>
      <w:r>
        <w:rPr>
          <w:rFonts w:ascii="仿宋_GB2312" w:hAnsi="Calibri" w:eastAsia="仿宋_GB2312" w:cs="仿宋"/>
          <w:color w:val="000000"/>
          <w:kern w:val="0"/>
          <w:sz w:val="32"/>
          <w:szCs w:val="32"/>
          <w:lang w:val="en-US" w:eastAsia="zh-CN" w:bidi="ar-SA"/>
        </w:rPr>
        <w:t>:</w:t>
      </w:r>
      <w:r>
        <w:rPr>
          <w:rFonts w:hint="eastAsia" w:ascii="仿宋_GB2312" w:hAnsi="Calibri" w:eastAsia="仿宋_GB2312" w:cs="仿宋"/>
          <w:color w:val="000000"/>
          <w:kern w:val="0"/>
          <w:sz w:val="32"/>
          <w:szCs w:val="32"/>
          <w:lang w:val="en-US" w:eastAsia="zh-CN" w:bidi="ar-SA"/>
        </w:rPr>
        <w:t>指单位为工作人员缴纳医疗保险而发生的支出。</w:t>
      </w:r>
    </w:p>
    <w:p>
      <w:pPr>
        <w:ind w:firstLine="640" w:firstLineChars="200"/>
        <w:rPr>
          <w:rFonts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7.住房保障支出（类）住房改革支出（款） 住房公积金（项）：指单位为工作人员购买住房公积金发生的支出。</w:t>
      </w:r>
    </w:p>
    <w:p>
      <w:pPr>
        <w:spacing w:line="600" w:lineRule="exact"/>
        <w:rPr>
          <w:rFonts w:hint="default" w:ascii="仿宋_GB2312" w:hAnsi="Calibri" w:eastAsia="仿宋_GB2312" w:cs="仿宋"/>
          <w:color w:val="000000"/>
          <w:kern w:val="0"/>
          <w:sz w:val="32"/>
          <w:szCs w:val="32"/>
          <w:lang w:val="en-US" w:eastAsia="zh-CN" w:bidi="ar-SA"/>
        </w:rPr>
      </w:pP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8"/>
        <w:spacing w:line="560" w:lineRule="exact"/>
        <w:ind w:firstLine="640" w:firstLineChars="200"/>
        <w:rPr>
          <w:rStyle w:val="15"/>
          <w:rFonts w:ascii="黑体" w:hAnsi="黑体" w:eastAsia="黑体"/>
          <w:b w:val="0"/>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15"/>
          <w:rFonts w:hint="eastAsia" w:ascii="黑体" w:hAnsi="黑体" w:eastAsia="黑体"/>
          <w:b w:val="0"/>
        </w:rPr>
        <w:t>四部分</w:t>
      </w:r>
      <w:r>
        <w:rPr>
          <w:rStyle w:val="15"/>
          <w:rFonts w:ascii="黑体" w:hAnsi="黑体" w:eastAsia="黑体"/>
          <w:b w:val="0"/>
        </w:rPr>
        <w:t xml:space="preserve"> </w:t>
      </w:r>
      <w:r>
        <w:rPr>
          <w:rStyle w:val="15"/>
          <w:rFonts w:hint="eastAsia" w:ascii="黑体" w:hAnsi="黑体" w:eastAsia="黑体"/>
          <w:b w:val="0"/>
        </w:rPr>
        <w:t>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邻水县公共资源交易管理服务办公室</w:t>
      </w: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spacing w:line="700" w:lineRule="exact"/>
        <w:ind w:firstLine="560" w:firstLineChars="200"/>
        <w:contextualSpacing/>
        <w:jc w:val="both"/>
        <w:rPr>
          <w:rFonts w:ascii="方正黑体_GBK" w:hAnsi="宋体" w:eastAsia="方正黑体_GBK" w:cs="宋体"/>
          <w:color w:val="auto"/>
          <w:kern w:val="0"/>
          <w:sz w:val="28"/>
          <w:szCs w:val="28"/>
          <w:shd w:val="clear" w:color="auto" w:fill="FFFFFF"/>
          <w:lang w:val="zh-CN"/>
        </w:rPr>
      </w:pPr>
      <w:r>
        <w:rPr>
          <w:rFonts w:hint="eastAsia" w:ascii="方正小标宋_GBK" w:hAnsi="宋体" w:eastAsia="方正小标宋_GBK"/>
          <w:sz w:val="28"/>
          <w:szCs w:val="28"/>
          <w:shd w:val="clear" w:color="auto" w:fill="FFFFFF"/>
        </w:rPr>
        <w:t>一、</w:t>
      </w:r>
      <w:r>
        <w:rPr>
          <w:rFonts w:hint="eastAsia" w:ascii="方正小标宋_GBK" w:hAnsi="宋体" w:eastAsia="方正小标宋_GBK"/>
          <w:sz w:val="28"/>
          <w:szCs w:val="28"/>
          <w:shd w:val="clear" w:color="auto" w:fill="FFFFFF"/>
          <w:lang w:val="zh-CN"/>
        </w:rPr>
        <w:t>部门（单位）概况</w:t>
      </w:r>
    </w:p>
    <w:p>
      <w:pPr>
        <w:adjustRightInd w:val="0"/>
        <w:snapToGrid w:val="0"/>
        <w:spacing w:line="590" w:lineRule="exact"/>
        <w:ind w:firstLine="660" w:firstLineChars="200"/>
        <w:contextualSpacing/>
        <w:rPr>
          <w:rFonts w:hint="eastAsia"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（一）机构组成。</w:t>
      </w:r>
    </w:p>
    <w:p>
      <w:pPr>
        <w:numPr>
          <w:ilvl w:val="0"/>
          <w:numId w:val="0"/>
        </w:numPr>
        <w:spacing w:line="560" w:lineRule="exact"/>
        <w:ind w:firstLine="640"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color w:val="000000"/>
          <w:sz w:val="32"/>
          <w:szCs w:val="32"/>
        </w:rPr>
        <w:t>邻水县公共资源交易</w:t>
      </w:r>
      <w:r>
        <w:rPr>
          <w:rFonts w:hint="eastAsia" w:ascii="方正仿宋_GBK" w:hAnsi="方正仿宋_GBK" w:eastAsia="方正仿宋_GBK" w:cs="方正仿宋_GBK"/>
          <w:color w:val="000000"/>
          <w:sz w:val="32"/>
          <w:szCs w:val="32"/>
          <w:lang w:eastAsia="zh-CN"/>
        </w:rPr>
        <w:t>管理服务办公室为邻水县人民政府管理的公益一类正科级</w:t>
      </w:r>
      <w:r>
        <w:rPr>
          <w:rFonts w:hint="eastAsia" w:ascii="方正仿宋_GBK" w:hAnsi="方正仿宋_GBK" w:eastAsia="方正仿宋_GBK" w:cs="方正仿宋_GBK"/>
          <w:color w:val="000000"/>
          <w:sz w:val="32"/>
          <w:szCs w:val="32"/>
        </w:rPr>
        <w:t>事业单位，内设</w:t>
      </w:r>
      <w:r>
        <w:rPr>
          <w:rFonts w:hint="eastAsia" w:ascii="方正仿宋_GBK" w:hAnsi="方正仿宋_GBK" w:eastAsia="方正仿宋_GBK" w:cs="方正仿宋_GBK"/>
          <w:color w:val="000000"/>
          <w:sz w:val="32"/>
          <w:szCs w:val="32"/>
          <w:lang w:eastAsia="zh-CN"/>
        </w:rPr>
        <w:t>综合股、交易受理股、交易编审股、交易组织股、交易评审股、交易监督股、信息技术股七个股室。</w:t>
      </w:r>
    </w:p>
    <w:p>
      <w:pPr>
        <w:numPr>
          <w:ilvl w:val="0"/>
          <w:numId w:val="5"/>
        </w:numPr>
        <w:adjustRightInd w:val="0"/>
        <w:snapToGrid w:val="0"/>
        <w:spacing w:line="590" w:lineRule="exact"/>
        <w:ind w:firstLine="660" w:firstLineChars="200"/>
        <w:contextualSpacing/>
        <w:rPr>
          <w:rFonts w:hint="eastAsia"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机构职能。</w:t>
      </w:r>
    </w:p>
    <w:p>
      <w:pPr>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贯彻实施公共资源交易服务相关法律、法规和政策，</w:t>
      </w:r>
      <w:r>
        <w:rPr>
          <w:rFonts w:hint="eastAsia" w:ascii="方正仿宋_GBK" w:hAnsi="方正仿宋_GBK" w:eastAsia="方正仿宋_GBK" w:cs="方正仿宋_GBK"/>
          <w:sz w:val="32"/>
          <w:szCs w:val="32"/>
          <w:lang w:eastAsia="zh-CN"/>
        </w:rPr>
        <w:t>落实中省市县关于公共资源交易的决策部署。拟定全县公共资源交易管理办法和交易规则经研究后组织实施。对全县公共资源交易项目和农村产权交易项目进行综合管理和协调服务。受广安市公共资源交易中心委托，承担邻水县区域的公共资源交易实施和服务工作；负责公共资源交易目录以外项目交易实施和服务工作。承担县级公共资源交易平台和农村产权交易平台建设和管理服务工作。指导县级各部门（单位）、乡镇公共资源交易综合效益评价、评估工作。</w:t>
      </w:r>
    </w:p>
    <w:p>
      <w:pPr>
        <w:numPr>
          <w:ilvl w:val="0"/>
          <w:numId w:val="5"/>
        </w:numPr>
        <w:adjustRightInd w:val="0"/>
        <w:snapToGrid w:val="0"/>
        <w:spacing w:line="590" w:lineRule="exact"/>
        <w:ind w:left="0" w:leftChars="0" w:firstLine="660" w:firstLineChars="200"/>
        <w:contextualSpacing/>
        <w:rPr>
          <w:rFonts w:hint="eastAsia"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人员概况。</w:t>
      </w:r>
    </w:p>
    <w:p>
      <w:pPr>
        <w:numPr>
          <w:ilvl w:val="0"/>
          <w:numId w:val="0"/>
        </w:numPr>
        <w:spacing w:line="560" w:lineRule="exact"/>
        <w:ind w:firstLine="640"/>
        <w:rPr>
          <w:rFonts w:hint="eastAsia" w:ascii="仿宋_GB2312" w:hAnsi="宋体" w:eastAsia="仿宋_GB2312" w:cs="宋体"/>
          <w:sz w:val="32"/>
          <w:szCs w:val="32"/>
          <w:lang w:val="en-US" w:eastAsia="zh-CN"/>
        </w:rPr>
      </w:pPr>
      <w:r>
        <w:rPr>
          <w:rFonts w:hint="eastAsia" w:ascii="方正仿宋_GBK" w:hAnsi="方正仿宋_GBK" w:eastAsia="方正仿宋_GBK" w:cs="方正仿宋_GBK"/>
          <w:sz w:val="32"/>
          <w:szCs w:val="32"/>
          <w:lang w:val="en-US" w:eastAsia="zh-CN"/>
        </w:rPr>
        <w:t>邻水县公共资源交易管理服务办公室核定编制</w:t>
      </w:r>
      <w:r>
        <w:rPr>
          <w:rFonts w:hint="default" w:ascii="Times New Roman" w:hAnsi="Times New Roman" w:eastAsia="方正仿宋_GBK" w:cs="Times New Roman"/>
          <w:sz w:val="32"/>
          <w:szCs w:val="32"/>
          <w:lang w:val="en-US" w:eastAsia="zh-CN"/>
        </w:rPr>
        <w:t>19</w:t>
      </w:r>
      <w:r>
        <w:rPr>
          <w:rFonts w:hint="eastAsia" w:ascii="方正仿宋_GBK" w:hAnsi="方正仿宋_GBK" w:eastAsia="方正仿宋_GBK" w:cs="方正仿宋_GBK"/>
          <w:sz w:val="32"/>
          <w:szCs w:val="32"/>
          <w:lang w:val="en-US" w:eastAsia="zh-CN"/>
        </w:rPr>
        <w:t>名，主任</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名，副主任</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名，股级领导职数7名。现有人员</w:t>
      </w:r>
      <w:r>
        <w:rPr>
          <w:rFonts w:hint="eastAsia" w:eastAsia="方正仿宋_GBK" w:cs="Times New Roman"/>
          <w:sz w:val="32"/>
          <w:szCs w:val="32"/>
          <w:lang w:val="en-US" w:eastAsia="zh-CN"/>
        </w:rPr>
        <w:t>18</w:t>
      </w:r>
      <w:r>
        <w:rPr>
          <w:rFonts w:hint="eastAsia" w:ascii="方正仿宋_GBK" w:hAnsi="方正仿宋_GBK" w:eastAsia="方正仿宋_GBK" w:cs="方正仿宋_GBK"/>
          <w:sz w:val="32"/>
          <w:szCs w:val="32"/>
          <w:lang w:val="en-US" w:eastAsia="zh-CN"/>
        </w:rPr>
        <w:t>名。</w:t>
      </w:r>
    </w:p>
    <w:p>
      <w:pPr>
        <w:numPr>
          <w:ilvl w:val="0"/>
          <w:numId w:val="0"/>
        </w:numPr>
        <w:adjustRightInd w:val="0"/>
        <w:snapToGrid w:val="0"/>
        <w:spacing w:line="590" w:lineRule="exact"/>
        <w:ind w:leftChars="200"/>
        <w:contextualSpacing/>
        <w:rPr>
          <w:rFonts w:hint="eastAsia" w:ascii="方正仿宋_GBK" w:hAnsi="宋体" w:eastAsia="方正仿宋_GBK" w:cs="宋体"/>
          <w:color w:val="000000"/>
          <w:kern w:val="0"/>
          <w:sz w:val="33"/>
          <w:szCs w:val="33"/>
          <w:shd w:val="clear" w:color="auto" w:fill="FFFFFF"/>
          <w:lang w:val="zh-CN"/>
        </w:rPr>
      </w:pPr>
    </w:p>
    <w:p>
      <w:pPr>
        <w:adjustRightInd w:val="0"/>
        <w:snapToGrid w:val="0"/>
        <w:spacing w:line="590" w:lineRule="exact"/>
        <w:ind w:firstLine="660" w:firstLineChars="200"/>
        <w:contextualSpacing/>
        <w:rPr>
          <w:rFonts w:ascii="方正黑体_GBK" w:hAnsi="宋体" w:eastAsia="方正黑体_GBK" w:cs="宋体"/>
          <w:color w:val="000000"/>
          <w:kern w:val="0"/>
          <w:sz w:val="33"/>
          <w:szCs w:val="33"/>
          <w:shd w:val="clear" w:color="auto" w:fill="FFFFFF"/>
        </w:rPr>
      </w:pPr>
      <w:r>
        <w:rPr>
          <w:rFonts w:hint="eastAsia" w:ascii="方正黑体_GBK" w:hAnsi="宋体" w:eastAsia="方正黑体_GBK" w:cs="宋体"/>
          <w:color w:val="000000"/>
          <w:kern w:val="0"/>
          <w:sz w:val="33"/>
          <w:szCs w:val="33"/>
          <w:shd w:val="clear" w:color="auto" w:fill="FFFFFF"/>
        </w:rPr>
        <w:t>二、部门财政资金收支情况</w:t>
      </w:r>
    </w:p>
    <w:p>
      <w:pPr>
        <w:adjustRightInd w:val="0"/>
        <w:snapToGrid w:val="0"/>
        <w:spacing w:line="590" w:lineRule="exact"/>
        <w:ind w:firstLine="660" w:firstLineChars="200"/>
        <w:contextualSpacing/>
        <w:rPr>
          <w:rFonts w:hint="eastAsia"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（一）部门财政资金收入情况。</w:t>
      </w:r>
    </w:p>
    <w:p>
      <w:pPr>
        <w:numPr>
          <w:ilvl w:val="0"/>
          <w:numId w:val="0"/>
        </w:numPr>
        <w:spacing w:line="560" w:lineRule="exact"/>
        <w:ind w:firstLine="640"/>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val="en-US" w:eastAsia="zh-CN"/>
        </w:rPr>
        <w:t>20</w:t>
      </w:r>
      <w:r>
        <w:rPr>
          <w:rFonts w:hint="eastAsia" w:eastAsia="方正仿宋_GBK" w:cs="Times New Roman"/>
          <w:sz w:val="32"/>
          <w:szCs w:val="32"/>
          <w:lang w:val="en-US" w:eastAsia="zh-CN"/>
        </w:rPr>
        <w:t>20</w:t>
      </w:r>
      <w:r>
        <w:rPr>
          <w:rFonts w:hint="eastAsia" w:ascii="方正仿宋_GBK" w:hAnsi="方正仿宋_GBK" w:eastAsia="方正仿宋_GBK" w:cs="方正仿宋_GBK"/>
          <w:sz w:val="32"/>
          <w:szCs w:val="32"/>
          <w:lang w:val="en-US" w:eastAsia="zh-CN"/>
        </w:rPr>
        <w:t>年财政预算收入</w:t>
      </w:r>
      <w:r>
        <w:rPr>
          <w:rFonts w:hint="eastAsia" w:ascii="Times New Roman" w:hAnsi="Times New Roman" w:eastAsia="方正仿宋_GBK" w:cs="Times New Roman"/>
          <w:sz w:val="32"/>
          <w:szCs w:val="32"/>
          <w:lang w:val="en-US" w:eastAsia="zh-CN"/>
        </w:rPr>
        <w:t>496.63</w:t>
      </w:r>
      <w:r>
        <w:rPr>
          <w:rFonts w:hint="eastAsia" w:ascii="方正仿宋_GBK" w:hAnsi="方正仿宋_GBK" w:eastAsia="方正仿宋_GBK" w:cs="方正仿宋_GBK"/>
          <w:sz w:val="32"/>
          <w:szCs w:val="32"/>
          <w:lang w:val="en-US" w:eastAsia="zh-CN"/>
        </w:rPr>
        <w:t>万元</w:t>
      </w:r>
    </w:p>
    <w:p>
      <w:pPr>
        <w:numPr>
          <w:ilvl w:val="0"/>
          <w:numId w:val="6"/>
        </w:numPr>
        <w:adjustRightInd w:val="0"/>
        <w:snapToGrid w:val="0"/>
        <w:spacing w:line="590" w:lineRule="exact"/>
        <w:ind w:left="70" w:leftChars="0" w:firstLine="660" w:firstLineChars="0"/>
        <w:contextualSpacing/>
        <w:rPr>
          <w:rFonts w:hint="eastAsia"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部门财政资金支出情况。</w:t>
      </w:r>
    </w:p>
    <w:p>
      <w:pPr>
        <w:numPr>
          <w:ilvl w:val="0"/>
          <w:numId w:val="0"/>
        </w:numPr>
        <w:spacing w:line="560" w:lineRule="exact"/>
        <w:ind w:firstLine="640" w:firstLineChars="200"/>
        <w:rPr>
          <w:rFonts w:hint="eastAsia" w:ascii="方正仿宋_GBK" w:hAnsi="方正仿宋_GBK" w:eastAsia="方正仿宋_GBK" w:cs="方正仿宋_GBK"/>
          <w:b w:val="0"/>
          <w:bCs w:val="0"/>
          <w:color w:val="auto"/>
          <w:sz w:val="32"/>
          <w:szCs w:val="32"/>
          <w:shd w:val="clear" w:color="auto" w:fill="auto"/>
          <w:lang w:eastAsia="zh-CN"/>
        </w:rPr>
      </w:pPr>
      <w:r>
        <w:rPr>
          <w:rFonts w:hint="eastAsia" w:ascii="Times New Roman" w:hAnsi="Times New Roman" w:eastAsia="方正仿宋_GBK" w:cs="Times New Roman"/>
          <w:sz w:val="32"/>
          <w:szCs w:val="32"/>
          <w:lang w:val="en-US" w:eastAsia="zh-CN"/>
        </w:rPr>
        <w:t>2020</w:t>
      </w:r>
      <w:r>
        <w:rPr>
          <w:rFonts w:hint="eastAsia"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rPr>
        <w:t>邻水县公共资源交易</w:t>
      </w:r>
      <w:r>
        <w:rPr>
          <w:rFonts w:hint="eastAsia" w:ascii="方正仿宋_GBK" w:hAnsi="方正仿宋_GBK" w:eastAsia="方正仿宋_GBK" w:cs="方正仿宋_GBK"/>
          <w:sz w:val="32"/>
          <w:szCs w:val="32"/>
          <w:lang w:eastAsia="zh-CN"/>
        </w:rPr>
        <w:t>管理服务办公室</w:t>
      </w:r>
      <w:r>
        <w:rPr>
          <w:rFonts w:hint="eastAsia" w:ascii="方正仿宋_GBK" w:hAnsi="方正仿宋_GBK" w:eastAsia="方正仿宋_GBK" w:cs="方正仿宋_GBK"/>
          <w:sz w:val="32"/>
          <w:szCs w:val="32"/>
        </w:rPr>
        <w:t>支出总额为</w:t>
      </w:r>
      <w:r>
        <w:rPr>
          <w:rFonts w:hint="eastAsia" w:ascii="Times New Roman" w:hAnsi="Times New Roman" w:eastAsia="方正仿宋_GBK" w:cs="Times New Roman"/>
          <w:sz w:val="32"/>
          <w:szCs w:val="32"/>
          <w:lang w:val="en-US" w:eastAsia="zh-CN"/>
        </w:rPr>
        <w:t>496.63</w:t>
      </w:r>
      <w:r>
        <w:rPr>
          <w:rFonts w:hint="eastAsia" w:ascii="方正仿宋_GBK" w:hAnsi="方正仿宋_GBK" w:eastAsia="方正仿宋_GBK" w:cs="方正仿宋_GBK"/>
          <w:sz w:val="32"/>
          <w:szCs w:val="32"/>
        </w:rPr>
        <w:t>万元，其中：</w:t>
      </w:r>
      <w:r>
        <w:rPr>
          <w:rFonts w:hint="eastAsia" w:ascii="方正仿宋_GBK" w:hAnsi="方正仿宋_GBK" w:eastAsia="方正仿宋_GBK" w:cs="方正仿宋_GBK"/>
          <w:b w:val="0"/>
          <w:bCs w:val="0"/>
          <w:color w:val="auto"/>
          <w:sz w:val="32"/>
          <w:szCs w:val="32"/>
          <w:shd w:val="clear" w:color="auto" w:fill="auto"/>
        </w:rPr>
        <w:t>一般公共服务支出</w:t>
      </w:r>
      <w:r>
        <w:rPr>
          <w:rFonts w:hint="eastAsia" w:eastAsia="方正仿宋_GBK" w:cs="Times New Roman"/>
          <w:color w:val="000000"/>
          <w:sz w:val="32"/>
          <w:szCs w:val="32"/>
          <w:lang w:val="en-US" w:eastAsia="zh-CN"/>
        </w:rPr>
        <w:t>457.78</w:t>
      </w:r>
      <w:r>
        <w:rPr>
          <w:rFonts w:hint="eastAsia" w:ascii="方正仿宋_GBK" w:hAnsi="方正仿宋_GBK" w:eastAsia="方正仿宋_GBK" w:cs="方正仿宋_GBK"/>
          <w:b w:val="0"/>
          <w:bCs w:val="0"/>
          <w:color w:val="auto"/>
          <w:sz w:val="32"/>
          <w:szCs w:val="32"/>
          <w:shd w:val="clear" w:color="auto" w:fill="auto"/>
        </w:rPr>
        <w:t>万元，</w:t>
      </w:r>
      <w:r>
        <w:rPr>
          <w:rFonts w:hint="eastAsia" w:ascii="方正仿宋_GBK" w:hAnsi="方正仿宋_GBK" w:eastAsia="方正仿宋_GBK" w:cs="方正仿宋_GBK"/>
          <w:color w:val="000000"/>
          <w:sz w:val="32"/>
          <w:szCs w:val="32"/>
        </w:rPr>
        <w:t>社会保障和就业支出</w:t>
      </w:r>
      <w:r>
        <w:rPr>
          <w:rFonts w:hint="eastAsia" w:ascii="Times New Roman" w:hAnsi="Times New Roman" w:eastAsia="方正仿宋_GBK" w:cs="Times New Roman"/>
          <w:color w:val="000000"/>
          <w:sz w:val="32"/>
          <w:szCs w:val="32"/>
          <w:lang w:val="en-US" w:eastAsia="zh-CN"/>
        </w:rPr>
        <w:t>16.85</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b w:val="0"/>
          <w:bCs w:val="0"/>
          <w:color w:val="auto"/>
          <w:sz w:val="32"/>
          <w:szCs w:val="32"/>
          <w:shd w:val="clear" w:color="auto" w:fill="auto"/>
        </w:rPr>
        <w:t>，</w:t>
      </w:r>
      <w:r>
        <w:rPr>
          <w:rFonts w:hint="eastAsia" w:ascii="方正仿宋_GBK" w:hAnsi="方正仿宋_GBK" w:eastAsia="方正仿宋_GBK" w:cs="方正仿宋_GBK"/>
          <w:color w:val="000000"/>
          <w:sz w:val="32"/>
          <w:szCs w:val="32"/>
          <w:lang w:eastAsia="zh-CN"/>
        </w:rPr>
        <w:t>卫生健康</w:t>
      </w:r>
      <w:r>
        <w:rPr>
          <w:rFonts w:hint="eastAsia" w:ascii="方正仿宋_GBK" w:hAnsi="方正仿宋_GBK" w:eastAsia="方正仿宋_GBK" w:cs="方正仿宋_GBK"/>
          <w:color w:val="000000"/>
          <w:sz w:val="32"/>
          <w:szCs w:val="32"/>
        </w:rPr>
        <w:t>支出</w:t>
      </w:r>
      <w:r>
        <w:rPr>
          <w:rFonts w:hint="eastAsia" w:ascii="Times New Roman" w:hAnsi="Times New Roman" w:eastAsia="方正仿宋_GBK" w:cs="Times New Roman"/>
          <w:color w:val="000000"/>
          <w:sz w:val="32"/>
          <w:szCs w:val="32"/>
          <w:lang w:val="en-US" w:eastAsia="zh-CN"/>
        </w:rPr>
        <w:t>6.35</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b w:val="0"/>
          <w:bCs w:val="0"/>
          <w:color w:val="auto"/>
          <w:sz w:val="32"/>
          <w:szCs w:val="32"/>
          <w:shd w:val="clear" w:color="auto" w:fill="auto"/>
        </w:rPr>
        <w:t>，</w:t>
      </w:r>
      <w:r>
        <w:rPr>
          <w:rFonts w:hint="eastAsia" w:ascii="方正仿宋_GBK" w:hAnsi="方正仿宋_GBK" w:eastAsia="方正仿宋_GBK" w:cs="方正仿宋_GBK"/>
          <w:color w:val="000000"/>
          <w:sz w:val="32"/>
          <w:szCs w:val="32"/>
        </w:rPr>
        <w:t>住房保障支出</w:t>
      </w:r>
      <w:r>
        <w:rPr>
          <w:rFonts w:hint="eastAsia" w:eastAsia="方正仿宋_GBK" w:cs="Times New Roman"/>
          <w:color w:val="000000"/>
          <w:sz w:val="32"/>
          <w:szCs w:val="32"/>
          <w:lang w:val="en-US" w:eastAsia="zh-CN"/>
        </w:rPr>
        <w:t>15.65</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b w:val="0"/>
          <w:bCs w:val="0"/>
          <w:color w:val="auto"/>
          <w:sz w:val="32"/>
          <w:szCs w:val="32"/>
          <w:shd w:val="clear" w:color="auto" w:fill="auto"/>
          <w:lang w:eastAsia="zh-CN"/>
        </w:rPr>
        <w:t>。</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邻水县公共资源交易</w:t>
      </w:r>
      <w:r>
        <w:rPr>
          <w:rFonts w:hint="eastAsia" w:ascii="方正仿宋_GBK" w:hAnsi="方正仿宋_GBK" w:eastAsia="方正仿宋_GBK" w:cs="方正仿宋_GBK"/>
          <w:sz w:val="32"/>
          <w:szCs w:val="32"/>
          <w:lang w:eastAsia="zh-CN"/>
        </w:rPr>
        <w:t>管理服务办公室</w:t>
      </w:r>
      <w:r>
        <w:rPr>
          <w:rFonts w:hint="eastAsia" w:ascii="方正仿宋_GBK" w:hAnsi="方正仿宋_GBK" w:eastAsia="方正仿宋_GBK" w:cs="方正仿宋_GBK"/>
          <w:sz w:val="32"/>
          <w:szCs w:val="32"/>
        </w:rPr>
        <w:t>财政</w:t>
      </w:r>
      <w:r>
        <w:rPr>
          <w:rFonts w:hint="eastAsia" w:ascii="方正仿宋_GBK" w:hAnsi="方正仿宋_GBK" w:eastAsia="方正仿宋_GBK" w:cs="方正仿宋_GBK"/>
          <w:sz w:val="32"/>
          <w:szCs w:val="32"/>
          <w:lang w:eastAsia="zh-CN"/>
        </w:rPr>
        <w:t>资金</w:t>
      </w:r>
      <w:r>
        <w:rPr>
          <w:rFonts w:hint="eastAsia" w:ascii="方正仿宋_GBK" w:hAnsi="方正仿宋_GBK" w:eastAsia="方正仿宋_GBK" w:cs="方正仿宋_GBK"/>
          <w:sz w:val="32"/>
          <w:szCs w:val="32"/>
        </w:rPr>
        <w:t xml:space="preserve">支出主要用于保障部门机构正常运转、完成日常工作任务以及承担全县工程招投标、政府采购、国有产权交易、土地拍卖等事业发展相关工作。  </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按支出功能分类主要用于以下方面:</w:t>
      </w:r>
    </w:p>
    <w:p>
      <w:pPr>
        <w:spacing w:line="58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一般公共服务支出</w:t>
      </w:r>
      <w:r>
        <w:rPr>
          <w:rFonts w:hint="eastAsia" w:eastAsia="方正仿宋_GBK" w:cs="Times New Roman"/>
          <w:b w:val="0"/>
          <w:bCs w:val="0"/>
          <w:color w:val="auto"/>
          <w:sz w:val="32"/>
          <w:szCs w:val="32"/>
          <w:highlight w:val="none"/>
          <w:shd w:val="clear" w:color="auto" w:fill="auto"/>
          <w:lang w:val="en-US" w:eastAsia="zh-CN"/>
        </w:rPr>
        <w:t>457.78</w:t>
      </w:r>
      <w:r>
        <w:rPr>
          <w:rFonts w:hint="eastAsia" w:ascii="方正仿宋_GBK" w:hAnsi="方正仿宋_GBK" w:eastAsia="方正仿宋_GBK" w:cs="方正仿宋_GBK"/>
          <w:sz w:val="32"/>
          <w:szCs w:val="32"/>
          <w:highlight w:val="none"/>
        </w:rPr>
        <w:t>万元，主要用于：</w:t>
      </w:r>
      <w:r>
        <w:rPr>
          <w:rFonts w:hint="eastAsia" w:ascii="方正仿宋_GBK" w:hAnsi="方正仿宋_GBK" w:eastAsia="方正仿宋_GBK" w:cs="方正仿宋_GBK"/>
          <w:sz w:val="32"/>
          <w:szCs w:val="32"/>
          <w:highlight w:val="none"/>
          <w:lang w:eastAsia="zh-CN"/>
        </w:rPr>
        <w:t>基本支出及项目支出。基本支出指维持</w:t>
      </w:r>
      <w:r>
        <w:rPr>
          <w:rFonts w:hint="eastAsia" w:ascii="方正仿宋_GBK" w:hAnsi="方正仿宋_GBK" w:eastAsia="方正仿宋_GBK" w:cs="方正仿宋_GBK"/>
          <w:sz w:val="32"/>
          <w:szCs w:val="32"/>
          <w:highlight w:val="none"/>
        </w:rPr>
        <w:t>单位日常运转</w:t>
      </w:r>
      <w:r>
        <w:rPr>
          <w:rFonts w:hint="eastAsia" w:ascii="方正仿宋_GBK" w:hAnsi="方正仿宋_GBK" w:eastAsia="方正仿宋_GBK" w:cs="方正仿宋_GBK"/>
          <w:sz w:val="32"/>
          <w:szCs w:val="32"/>
          <w:highlight w:val="none"/>
          <w:lang w:eastAsia="zh-CN"/>
        </w:rPr>
        <w:t>费用包含：职工工资、津补贴、办公费、印刷费、邮电费、差旅费、维修维护费、培训费、公务接待费等。项目支出指公共资源交易服务费及网络运行维护费，包括</w:t>
      </w:r>
      <w:r>
        <w:rPr>
          <w:rFonts w:hint="eastAsia" w:ascii="方正仿宋_GBK" w:hAnsi="方正仿宋_GBK" w:eastAsia="方正仿宋_GBK" w:cs="方正仿宋_GBK"/>
          <w:b w:val="0"/>
          <w:bCs/>
          <w:color w:val="auto"/>
          <w:sz w:val="28"/>
          <w:szCs w:val="28"/>
          <w:lang w:val="zh-CN"/>
        </w:rPr>
        <w:t>专家评审劳务费、土地出让服务费、公共资源交易服务保障费用、网络平台运行维护费</w:t>
      </w:r>
      <w:r>
        <w:rPr>
          <w:rFonts w:hint="eastAsia" w:ascii="方正仿宋_GBK" w:hAnsi="方正仿宋_GBK" w:eastAsia="方正仿宋_GBK" w:cs="方正仿宋_GBK"/>
          <w:sz w:val="28"/>
          <w:szCs w:val="28"/>
          <w:highlight w:val="none"/>
          <w:lang w:eastAsia="zh-CN"/>
        </w:rPr>
        <w:t>等。</w:t>
      </w:r>
    </w:p>
    <w:p>
      <w:pPr>
        <w:spacing w:line="58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社会保障和就业支出</w:t>
      </w:r>
      <w:r>
        <w:rPr>
          <w:rFonts w:hint="eastAsia" w:eastAsia="方正仿宋_GBK" w:cs="Times New Roman"/>
          <w:b w:val="0"/>
          <w:bCs w:val="0"/>
          <w:color w:val="auto"/>
          <w:sz w:val="32"/>
          <w:szCs w:val="32"/>
          <w:highlight w:val="none"/>
          <w:shd w:val="clear" w:color="auto" w:fill="auto"/>
          <w:lang w:val="en-US" w:eastAsia="zh-CN"/>
        </w:rPr>
        <w:t>16.85</w:t>
      </w:r>
      <w:r>
        <w:rPr>
          <w:rFonts w:hint="eastAsia" w:ascii="方正仿宋_GBK" w:hAnsi="方正仿宋_GBK" w:eastAsia="方正仿宋_GBK" w:cs="方正仿宋_GBK"/>
          <w:sz w:val="32"/>
          <w:szCs w:val="32"/>
          <w:highlight w:val="none"/>
        </w:rPr>
        <w:t>万元，主要用于：职工</w:t>
      </w:r>
      <w:r>
        <w:rPr>
          <w:rFonts w:hint="eastAsia" w:ascii="方正仿宋_GBK" w:hAnsi="方正仿宋_GBK" w:eastAsia="方正仿宋_GBK" w:cs="方正仿宋_GBK"/>
          <w:sz w:val="32"/>
          <w:szCs w:val="32"/>
          <w:highlight w:val="none"/>
          <w:lang w:eastAsia="zh-CN"/>
        </w:rPr>
        <w:t>养老保险及职业年金失业保险。</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卫生</w:t>
      </w:r>
      <w:r>
        <w:rPr>
          <w:rFonts w:hint="eastAsia" w:ascii="方正仿宋_GBK" w:hAnsi="方正仿宋_GBK" w:eastAsia="方正仿宋_GBK" w:cs="方正仿宋_GBK"/>
          <w:sz w:val="32"/>
          <w:szCs w:val="32"/>
          <w:lang w:eastAsia="zh-CN"/>
        </w:rPr>
        <w:t>健康</w:t>
      </w:r>
      <w:r>
        <w:rPr>
          <w:rFonts w:hint="eastAsia" w:ascii="方正仿宋_GBK" w:hAnsi="方正仿宋_GBK" w:eastAsia="方正仿宋_GBK" w:cs="方正仿宋_GBK"/>
          <w:sz w:val="32"/>
          <w:szCs w:val="32"/>
        </w:rPr>
        <w:t>支出</w:t>
      </w:r>
      <w:r>
        <w:rPr>
          <w:rFonts w:hint="eastAsia" w:eastAsia="方正仿宋_GBK" w:cs="Times New Roman"/>
          <w:b w:val="0"/>
          <w:bCs w:val="0"/>
          <w:color w:val="auto"/>
          <w:sz w:val="32"/>
          <w:szCs w:val="32"/>
          <w:shd w:val="clear" w:color="auto" w:fill="auto"/>
          <w:lang w:val="en-US" w:eastAsia="zh-CN"/>
        </w:rPr>
        <w:t>6.35</w:t>
      </w:r>
      <w:r>
        <w:rPr>
          <w:rFonts w:hint="eastAsia" w:ascii="方正仿宋_GBK" w:hAnsi="方正仿宋_GBK" w:eastAsia="方正仿宋_GBK" w:cs="方正仿宋_GBK"/>
          <w:sz w:val="32"/>
          <w:szCs w:val="32"/>
        </w:rPr>
        <w:t>万元，主要用于</w:t>
      </w:r>
      <w:r>
        <w:rPr>
          <w:rFonts w:hint="eastAsia" w:ascii="方正仿宋_GBK" w:hAnsi="方正仿宋_GBK" w:eastAsia="方正仿宋_GBK" w:cs="方正仿宋_GBK"/>
          <w:sz w:val="32"/>
          <w:szCs w:val="32"/>
          <w:lang w:eastAsia="zh-CN"/>
        </w:rPr>
        <w:t>单位职工</w:t>
      </w:r>
      <w:r>
        <w:rPr>
          <w:rFonts w:hint="eastAsia" w:ascii="方正仿宋_GBK" w:hAnsi="方正仿宋_GBK" w:eastAsia="方正仿宋_GBK" w:cs="方正仿宋_GBK"/>
          <w:sz w:val="32"/>
          <w:szCs w:val="32"/>
        </w:rPr>
        <w:t>医疗保障支出。</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住房保障支出</w:t>
      </w:r>
      <w:r>
        <w:rPr>
          <w:rFonts w:hint="eastAsia" w:eastAsia="方正仿宋_GBK" w:cs="Times New Roman"/>
          <w:b w:val="0"/>
          <w:bCs w:val="0"/>
          <w:color w:val="auto"/>
          <w:sz w:val="32"/>
          <w:szCs w:val="32"/>
          <w:shd w:val="clear" w:color="auto" w:fill="auto"/>
          <w:lang w:val="en-US" w:eastAsia="zh-CN"/>
        </w:rPr>
        <w:t>15.56</w:t>
      </w:r>
      <w:r>
        <w:rPr>
          <w:rFonts w:hint="eastAsia" w:ascii="方正仿宋_GBK" w:hAnsi="方正仿宋_GBK" w:eastAsia="方正仿宋_GBK" w:cs="方正仿宋_GBK"/>
          <w:sz w:val="32"/>
          <w:szCs w:val="32"/>
        </w:rPr>
        <w:t>万元，主要用于：</w:t>
      </w:r>
      <w:r>
        <w:rPr>
          <w:rFonts w:hint="eastAsia" w:ascii="方正仿宋_GBK" w:hAnsi="方正仿宋_GBK" w:eastAsia="方正仿宋_GBK" w:cs="方正仿宋_GBK"/>
          <w:sz w:val="32"/>
          <w:szCs w:val="32"/>
          <w:lang w:eastAsia="zh-CN"/>
        </w:rPr>
        <w:t>单位职工住房</w:t>
      </w:r>
      <w:r>
        <w:rPr>
          <w:rFonts w:hint="eastAsia" w:ascii="方正仿宋_GBK" w:hAnsi="方正仿宋_GBK" w:eastAsia="方正仿宋_GBK" w:cs="方正仿宋_GBK"/>
          <w:sz w:val="32"/>
          <w:szCs w:val="32"/>
        </w:rPr>
        <w:t>公积金。</w:t>
      </w:r>
    </w:p>
    <w:p>
      <w:pPr>
        <w:adjustRightInd w:val="0"/>
        <w:snapToGrid w:val="0"/>
        <w:spacing w:line="590" w:lineRule="exact"/>
        <w:ind w:firstLine="660" w:firstLineChars="200"/>
        <w:contextualSpacing/>
        <w:rPr>
          <w:rFonts w:ascii="方正黑体_GBK" w:hAnsi="宋体" w:eastAsia="方正黑体_GBK" w:cs="宋体"/>
          <w:color w:val="000000"/>
          <w:kern w:val="0"/>
          <w:sz w:val="33"/>
          <w:szCs w:val="33"/>
          <w:shd w:val="clear" w:color="auto" w:fill="FFFFFF"/>
        </w:rPr>
      </w:pPr>
      <w:r>
        <w:rPr>
          <w:rFonts w:hint="eastAsia" w:ascii="方正黑体_GBK" w:hAnsi="宋体" w:eastAsia="方正黑体_GBK" w:cs="宋体"/>
          <w:color w:val="000000"/>
          <w:kern w:val="0"/>
          <w:sz w:val="33"/>
          <w:szCs w:val="33"/>
          <w:shd w:val="clear" w:color="auto" w:fill="FFFFFF"/>
        </w:rPr>
        <w:t>三、部门整体预算绩效管理情况</w:t>
      </w:r>
    </w:p>
    <w:p>
      <w:pPr>
        <w:adjustRightInd w:val="0"/>
        <w:snapToGrid w:val="0"/>
        <w:spacing w:line="590" w:lineRule="exact"/>
        <w:ind w:firstLine="660" w:firstLineChars="200"/>
        <w:contextualSpacing/>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（一）部门预算管理。</w:t>
      </w:r>
    </w:p>
    <w:p>
      <w:pPr>
        <w:adjustRightInd w:val="0"/>
        <w:snapToGrid w:val="0"/>
        <w:spacing w:line="560" w:lineRule="exact"/>
        <w:ind w:firstLine="640" w:firstLineChars="200"/>
        <w:rPr>
          <w:rFonts w:hint="eastAsia" w:ascii="方正仿宋_GBK" w:hAnsi="方正仿宋_GBK" w:eastAsia="方正仿宋_GBK" w:cs="方正仿宋_GBK"/>
          <w:color w:val="000000"/>
          <w:kern w:val="0"/>
          <w:szCs w:val="32"/>
          <w:shd w:val="clear" w:color="auto" w:fill="FFFFFF"/>
          <w:lang w:val="zh-CN"/>
        </w:rPr>
      </w:pPr>
      <w:r>
        <w:rPr>
          <w:rFonts w:hint="eastAsia" w:ascii="方正仿宋_GBK" w:hAnsi="方正仿宋_GBK" w:eastAsia="方正仿宋_GBK" w:cs="方正仿宋_GBK"/>
          <w:color w:val="auto"/>
          <w:sz w:val="32"/>
          <w:szCs w:val="32"/>
        </w:rPr>
        <w:t>按照县财政局</w:t>
      </w:r>
      <w:r>
        <w:rPr>
          <w:rFonts w:hint="default" w:ascii="Times New Roman" w:hAnsi="Times New Roman" w:eastAsia="方正仿宋_GBK" w:cs="Times New Roman"/>
          <w:color w:val="auto"/>
          <w:sz w:val="32"/>
          <w:szCs w:val="32"/>
          <w:lang w:val="en-US" w:eastAsia="zh-CN"/>
        </w:rPr>
        <w:t>2020</w:t>
      </w:r>
      <w:r>
        <w:rPr>
          <w:rFonts w:hint="eastAsia" w:ascii="方正仿宋_GBK" w:hAnsi="方正仿宋_GBK" w:eastAsia="方正仿宋_GBK" w:cs="方正仿宋_GBK"/>
          <w:color w:val="auto"/>
          <w:sz w:val="32"/>
          <w:szCs w:val="32"/>
        </w:rPr>
        <w:t>年部门预算编制通知要求，按时完成</w:t>
      </w:r>
      <w:r>
        <w:rPr>
          <w:rFonts w:hint="eastAsia" w:ascii="方正仿宋_GBK" w:hAnsi="方正仿宋_GBK" w:eastAsia="方正仿宋_GBK" w:cs="方正仿宋_GBK"/>
          <w:color w:val="auto"/>
          <w:sz w:val="32"/>
          <w:szCs w:val="32"/>
          <w:lang w:eastAsia="zh-CN"/>
        </w:rPr>
        <w:t>部门</w:t>
      </w:r>
      <w:r>
        <w:rPr>
          <w:rFonts w:hint="eastAsia" w:ascii="方正仿宋_GBK" w:hAnsi="方正仿宋_GBK" w:eastAsia="方正仿宋_GBK" w:cs="方正仿宋_GBK"/>
          <w:color w:val="auto"/>
          <w:sz w:val="32"/>
          <w:szCs w:val="32"/>
        </w:rPr>
        <w:t>年初预算编制工作。在编制过程中，认真核实单位实际财政供养人数和单位实有编制情况，正确编制人员经费和公用经费等，做到尽量细化项目资金支出预算范围和科目，及时上报</w:t>
      </w:r>
      <w:r>
        <w:rPr>
          <w:rFonts w:hint="eastAsia" w:ascii="方正仿宋_GBK" w:hAnsi="方正仿宋_GBK" w:eastAsia="方正仿宋_GBK" w:cs="方正仿宋_GBK"/>
          <w:color w:val="auto"/>
          <w:sz w:val="32"/>
          <w:szCs w:val="32"/>
          <w:lang w:eastAsia="zh-CN"/>
        </w:rPr>
        <w:t>财政</w:t>
      </w:r>
      <w:r>
        <w:rPr>
          <w:rFonts w:hint="eastAsia" w:ascii="方正仿宋_GBK" w:hAnsi="方正仿宋_GBK" w:eastAsia="方正仿宋_GBK" w:cs="方正仿宋_GBK"/>
          <w:color w:val="auto"/>
          <w:sz w:val="32"/>
          <w:szCs w:val="32"/>
        </w:rPr>
        <w:t>相关股室进行审核，对所编制的预算予以调整通过。</w:t>
      </w:r>
      <w:r>
        <w:rPr>
          <w:rFonts w:hint="eastAsia" w:ascii="方正仿宋_GBK" w:hAnsi="方正仿宋_GBK" w:eastAsia="方正仿宋_GBK" w:cs="方正仿宋_GBK"/>
          <w:color w:val="auto"/>
          <w:sz w:val="32"/>
          <w:szCs w:val="32"/>
          <w:lang w:eastAsia="zh-CN"/>
        </w:rPr>
        <w:t>部门绩效目标要素完整、</w:t>
      </w:r>
      <w:r>
        <w:rPr>
          <w:rFonts w:hint="eastAsia" w:ascii="方正仿宋_GBK" w:hAnsi="方正仿宋_GBK" w:eastAsia="方正仿宋_GBK" w:cs="方正仿宋_GBK"/>
          <w:color w:val="auto"/>
          <w:sz w:val="32"/>
          <w:szCs w:val="32"/>
          <w:lang w:val="zh-CN"/>
        </w:rPr>
        <w:t>以项目完成数量指标为核心</w:t>
      </w:r>
      <w:r>
        <w:rPr>
          <w:rFonts w:hint="eastAsia" w:ascii="方正仿宋_GBK" w:hAnsi="方正仿宋_GBK" w:eastAsia="方正仿宋_GBK" w:cs="方正仿宋_GBK"/>
          <w:color w:val="auto"/>
          <w:sz w:val="32"/>
          <w:szCs w:val="32"/>
          <w:lang w:val="zh-CN" w:eastAsia="zh-CN"/>
        </w:rPr>
        <w:t>细化量化，部门绩效目标实际实现程度与预期目标基本一致，预算编制准确度较高。县公共资源交易管理服务办公室</w:t>
      </w:r>
      <w:r>
        <w:rPr>
          <w:rFonts w:hint="eastAsia" w:ascii="方正仿宋_GBK" w:hAnsi="方正仿宋_GBK" w:eastAsia="方正仿宋_GBK" w:cs="方正仿宋_GBK"/>
          <w:color w:val="auto"/>
          <w:sz w:val="32"/>
          <w:szCs w:val="32"/>
        </w:rPr>
        <w:t>在执行各项资金预算中，严格按照中央、省、市、县各级财务规定，管好、用好每笔资金。在项目资金使用过程中，严格按照项目资金管理办法的规定切实做到专款专用，从而发挥好项目</w:t>
      </w:r>
      <w:r>
        <w:rPr>
          <w:rFonts w:hint="eastAsia" w:ascii="方正仿宋_GBK" w:hAnsi="方正仿宋_GBK" w:eastAsia="方正仿宋_GBK" w:cs="方正仿宋_GBK"/>
          <w:color w:val="auto"/>
          <w:sz w:val="32"/>
          <w:szCs w:val="32"/>
          <w:lang w:eastAsia="zh-CN"/>
        </w:rPr>
        <w:t>经费</w:t>
      </w:r>
      <w:r>
        <w:rPr>
          <w:rFonts w:hint="eastAsia" w:ascii="方正仿宋_GBK" w:hAnsi="方正仿宋_GBK" w:eastAsia="方正仿宋_GBK" w:cs="方正仿宋_GBK"/>
          <w:color w:val="auto"/>
          <w:sz w:val="32"/>
          <w:szCs w:val="32"/>
        </w:rPr>
        <w:t>对项目实施的促进作用。</w:t>
      </w:r>
      <w:r>
        <w:rPr>
          <w:rFonts w:hint="eastAsia" w:eastAsia="方正仿宋_GBK" w:cs="Times New Roman"/>
          <w:color w:val="auto"/>
          <w:sz w:val="32"/>
          <w:szCs w:val="32"/>
          <w:lang w:val="en-US" w:eastAsia="zh-CN"/>
        </w:rPr>
        <w:t>2020</w:t>
      </w:r>
      <w:r>
        <w:rPr>
          <w:rFonts w:hint="eastAsia" w:ascii="方正仿宋_GBK" w:hAnsi="方正仿宋_GBK" w:eastAsia="方正仿宋_GBK" w:cs="方正仿宋_GBK"/>
          <w:color w:val="auto"/>
          <w:sz w:val="32"/>
          <w:szCs w:val="32"/>
        </w:rPr>
        <w:t>年严格执行中央八项规定、省、市十项规定，着力控制“三公”经费预算支出。全年无因公出国（境）费用；严格执行党政机关厉行节约反对浪费条例，加强内部财务管理。“三公”支出逐年递减。</w:t>
      </w:r>
      <w:r>
        <w:rPr>
          <w:rFonts w:hint="eastAsia" w:ascii="方正仿宋_GBK" w:hAnsi="方正仿宋_GBK" w:eastAsia="方正仿宋_GBK" w:cs="方正仿宋_GBK"/>
          <w:color w:val="auto"/>
          <w:sz w:val="32"/>
          <w:szCs w:val="32"/>
          <w:lang w:eastAsia="zh-CN"/>
        </w:rPr>
        <w:t>且做到了决算数与财务账一致，部门预算项目在</w:t>
      </w:r>
      <w:r>
        <w:rPr>
          <w:rFonts w:hint="default" w:ascii="Times New Roman" w:hAnsi="Times New Roman" w:eastAsia="方正仿宋_GBK" w:cs="Times New Roman"/>
          <w:color w:val="auto"/>
          <w:sz w:val="32"/>
          <w:szCs w:val="32"/>
          <w:lang w:val="en-US" w:eastAsia="zh-CN"/>
        </w:rPr>
        <w:t>12</w:t>
      </w:r>
      <w:r>
        <w:rPr>
          <w:rFonts w:hint="eastAsia" w:ascii="方正仿宋_GBK" w:hAnsi="方正仿宋_GBK" w:eastAsia="方正仿宋_GBK" w:cs="方正仿宋_GBK"/>
          <w:color w:val="auto"/>
          <w:sz w:val="32"/>
          <w:szCs w:val="32"/>
          <w:lang w:val="en-US" w:eastAsia="zh-CN"/>
        </w:rPr>
        <w:t>月份达到执行进度的</w:t>
      </w:r>
      <w:r>
        <w:rPr>
          <w:rFonts w:hint="default" w:ascii="Times New Roman" w:hAnsi="Times New Roman" w:eastAsia="方正仿宋_GBK" w:cs="Times New Roman"/>
          <w:color w:val="auto"/>
          <w:sz w:val="32"/>
          <w:szCs w:val="32"/>
          <w:lang w:val="en-US" w:eastAsia="zh-CN"/>
        </w:rPr>
        <w:t>100%</w:t>
      </w:r>
      <w:r>
        <w:rPr>
          <w:rFonts w:hint="eastAsia" w:ascii="方正仿宋_GBK" w:hAnsi="方正仿宋_GBK" w:eastAsia="方正仿宋_GBK" w:cs="方正仿宋_GBK"/>
          <w:color w:val="auto"/>
          <w:sz w:val="32"/>
          <w:szCs w:val="32"/>
          <w:lang w:val="en-US" w:eastAsia="zh-CN"/>
        </w:rPr>
        <w:t>。在上一年度的审计监督和各项财政检查中没有发现问题。</w:t>
      </w:r>
    </w:p>
    <w:p>
      <w:pPr>
        <w:numPr>
          <w:ilvl w:val="0"/>
          <w:numId w:val="6"/>
        </w:numPr>
        <w:adjustRightInd w:val="0"/>
        <w:snapToGrid w:val="0"/>
        <w:spacing w:line="560" w:lineRule="exact"/>
        <w:ind w:left="70" w:leftChars="0" w:firstLine="560" w:firstLineChars="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项目预算管理。</w:t>
      </w:r>
    </w:p>
    <w:p>
      <w:pPr>
        <w:spacing w:line="600" w:lineRule="exact"/>
        <w:ind w:firstLine="704" w:firstLineChars="220"/>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bCs/>
          <w:sz w:val="32"/>
          <w:szCs w:val="32"/>
          <w:lang w:val="zh-CN"/>
        </w:rPr>
        <w:t>公共交易服务费及网络运行维护项目是为</w:t>
      </w:r>
      <w:r>
        <w:rPr>
          <w:rFonts w:hint="eastAsia" w:ascii="仿宋_GB2312" w:hAnsi="仿宋_GB2312" w:eastAsia="仿宋_GB2312" w:cs="仿宋_GB2312"/>
          <w:sz w:val="32"/>
          <w:szCs w:val="32"/>
        </w:rPr>
        <w:t>保障全县工程招投标、政府采购、国有产权交易、土地拍卖等相关工作任务</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用于专项业务工作的经费支出</w:t>
      </w:r>
      <w:r>
        <w:rPr>
          <w:rFonts w:hint="eastAsia" w:ascii="仿宋_GB2312" w:hAnsi="仿宋_GB2312" w:eastAsia="仿宋_GB2312" w:cs="仿宋_GB2312"/>
          <w:sz w:val="32"/>
          <w:szCs w:val="32"/>
          <w:lang w:val="zh-CN"/>
        </w:rPr>
        <w:t>，包含</w:t>
      </w:r>
      <w:r>
        <w:rPr>
          <w:rFonts w:hint="eastAsia" w:ascii="仿宋_GB2312" w:hAnsi="仿宋_GB2312" w:eastAsia="仿宋_GB2312" w:cs="仿宋_GB2312"/>
          <w:b w:val="0"/>
          <w:bCs/>
          <w:color w:val="auto"/>
          <w:sz w:val="32"/>
          <w:szCs w:val="32"/>
          <w:lang w:val="zh-CN"/>
        </w:rPr>
        <w:t>专家评审劳务费、土地出让服务费、公共资源交易服务保障费用、网络平台运行维护费</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b w:val="0"/>
          <w:sz w:val="32"/>
          <w:szCs w:val="32"/>
          <w:lang w:val="en-US" w:eastAsia="zh-CN"/>
        </w:rPr>
        <w:t>2020年，开展评审项目596宗，圆满完成了全年政府采购和工程招标业务，为政府增收7537.6万元，节资8360.12万元。</w:t>
      </w:r>
    </w:p>
    <w:p>
      <w:pPr>
        <w:numPr>
          <w:ilvl w:val="0"/>
          <w:numId w:val="6"/>
        </w:numPr>
        <w:adjustRightInd w:val="0"/>
        <w:snapToGrid w:val="0"/>
        <w:spacing w:line="590" w:lineRule="exact"/>
        <w:ind w:left="70" w:leftChars="0" w:firstLine="560" w:firstLineChars="0"/>
        <w:contextualSpacing/>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结果应用情况。</w:t>
      </w:r>
    </w:p>
    <w:p>
      <w:pPr>
        <w:adjustRightInd w:val="0"/>
        <w:snapToGrid w:val="0"/>
        <w:spacing w:line="560" w:lineRule="exact"/>
        <w:ind w:firstLine="640" w:firstLineChars="200"/>
        <w:rPr>
          <w:rFonts w:ascii="方正仿宋_GBK" w:hAnsi="宋体" w:eastAsia="方正仿宋_GBK" w:cs="宋体"/>
          <w:color w:val="000000"/>
          <w:kern w:val="0"/>
          <w:sz w:val="32"/>
          <w:szCs w:val="32"/>
          <w:shd w:val="clear" w:color="auto" w:fill="FFFFFF"/>
          <w:lang w:val="zh-CN"/>
        </w:rPr>
      </w:pPr>
      <w:r>
        <w:rPr>
          <w:rFonts w:hint="eastAsia" w:ascii="方正仿宋_GBK" w:hAnsi="方正仿宋_GBK" w:eastAsia="方正仿宋_GBK" w:cs="方正仿宋_GBK"/>
          <w:color w:val="auto"/>
          <w:sz w:val="32"/>
          <w:szCs w:val="32"/>
          <w:lang w:val="en-US" w:eastAsia="zh-CN"/>
        </w:rPr>
        <w:t>严格按照部门整体支出绩效评价指标体系进行部门绩效目标评价，</w:t>
      </w:r>
      <w:r>
        <w:rPr>
          <w:rFonts w:hint="eastAsia" w:ascii="方正仿宋_GBK" w:hAnsi="方正仿宋_GBK" w:eastAsia="方正仿宋_GBK" w:cs="方正仿宋_GBK"/>
          <w:color w:val="auto"/>
          <w:sz w:val="32"/>
          <w:szCs w:val="32"/>
          <w:lang w:val="zh-CN"/>
        </w:rPr>
        <w:t>部门整体支出自评得分与评价组抽查得分差异在</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lang w:val="en-US" w:eastAsia="zh-CN"/>
        </w:rPr>
        <w:t>以内，评价效果好。按要求随同预算决算及时到财政监督股</w:t>
      </w:r>
      <w:r>
        <w:rPr>
          <w:rFonts w:hint="eastAsia" w:ascii="方正仿宋_GBK" w:hAnsi="方正仿宋_GBK" w:eastAsia="方正仿宋_GBK" w:cs="方正仿宋_GBK"/>
          <w:color w:val="auto"/>
          <w:sz w:val="32"/>
          <w:szCs w:val="32"/>
          <w:lang w:val="zh-CN"/>
        </w:rPr>
        <w:t>在县政府门户网站</w:t>
      </w:r>
      <w:r>
        <w:rPr>
          <w:rFonts w:hint="eastAsia" w:ascii="方正仿宋_GBK" w:hAnsi="方正仿宋_GBK" w:eastAsia="方正仿宋_GBK" w:cs="方正仿宋_GBK"/>
          <w:color w:val="auto"/>
          <w:sz w:val="32"/>
          <w:szCs w:val="32"/>
          <w:lang w:val="en-US" w:eastAsia="zh-CN"/>
        </w:rPr>
        <w:t>进行公开并接受社会的监督</w:t>
      </w:r>
      <w:r>
        <w:rPr>
          <w:rFonts w:hint="eastAsia" w:ascii="方正仿宋_GBK" w:hAnsi="方正仿宋_GBK" w:eastAsia="方正仿宋_GBK" w:cs="方正仿宋_GBK"/>
          <w:color w:val="auto"/>
          <w:sz w:val="32"/>
          <w:szCs w:val="32"/>
          <w:lang w:val="zh-CN"/>
        </w:rPr>
        <w:t>且基础数据信息和会计信息资料真实、完整、准确。同时按要求将部门整体绩效自评情况和自行组织的评价情况向社会公开。根据绩效管理结果整改问题、完善政策、改进管理的情况及时向财政部门反馈结果。</w:t>
      </w:r>
    </w:p>
    <w:p>
      <w:pPr>
        <w:adjustRightInd w:val="0"/>
        <w:snapToGrid w:val="0"/>
        <w:spacing w:line="590" w:lineRule="exact"/>
        <w:ind w:firstLine="660" w:firstLineChars="200"/>
        <w:contextualSpacing/>
        <w:rPr>
          <w:rFonts w:ascii="方正黑体_GBK" w:hAnsi="宋体" w:eastAsia="方正黑体_GBK" w:cs="宋体"/>
          <w:color w:val="000000"/>
          <w:kern w:val="0"/>
          <w:sz w:val="33"/>
          <w:szCs w:val="33"/>
          <w:shd w:val="clear" w:color="auto" w:fill="FFFFFF"/>
        </w:rPr>
      </w:pPr>
      <w:r>
        <w:rPr>
          <w:rFonts w:hint="eastAsia" w:ascii="方正黑体_GBK" w:hAnsi="宋体" w:eastAsia="方正黑体_GBK" w:cs="宋体"/>
          <w:color w:val="000000"/>
          <w:kern w:val="0"/>
          <w:sz w:val="33"/>
          <w:szCs w:val="33"/>
          <w:shd w:val="clear" w:color="auto" w:fill="FFFFFF"/>
        </w:rPr>
        <w:t>四、评价结论及建议</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（一）评价结论。</w:t>
      </w:r>
      <w:r>
        <w:rPr>
          <w:rFonts w:hint="eastAsia" w:eastAsia="仿宋_GB2312" w:cs="Times New Roman"/>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县公共资源交易管理服务办公室</w:t>
      </w:r>
      <w:r>
        <w:rPr>
          <w:rFonts w:hint="eastAsia" w:ascii="仿宋_GB2312" w:hAnsi="仿宋_GB2312" w:eastAsia="仿宋_GB2312" w:cs="仿宋_GB2312"/>
          <w:sz w:val="32"/>
          <w:szCs w:val="32"/>
        </w:rPr>
        <w:t>部门支出预算，保障了</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日常正常运转，</w:t>
      </w:r>
      <w:r>
        <w:rPr>
          <w:rFonts w:hint="eastAsia" w:ascii="仿宋_GB2312" w:eastAsia="仿宋_GB2312"/>
          <w:b w:val="0"/>
          <w:bCs/>
          <w:i w:val="0"/>
          <w:iCs w:val="0"/>
          <w:sz w:val="32"/>
          <w:szCs w:val="28"/>
          <w:lang w:val="en-US" w:eastAsia="zh-CN"/>
        </w:rPr>
        <w:t>完善硬件配套设施。加大投入，建立交易自助服务区，完善招标采购的配套硬件设施建设，为交易工作提供更好的服务环境，</w:t>
      </w:r>
      <w:r>
        <w:rPr>
          <w:rFonts w:hint="eastAsia" w:ascii="仿宋_GB2312" w:hAnsi="仿宋_GB2312" w:eastAsia="仿宋_GB2312" w:cs="仿宋_GB2312"/>
          <w:sz w:val="32"/>
          <w:szCs w:val="32"/>
        </w:rPr>
        <w:t>有力促进了</w:t>
      </w:r>
      <w:r>
        <w:rPr>
          <w:rFonts w:hint="eastAsia" w:ascii="仿宋_GB2312" w:hAnsi="仿宋_GB2312" w:eastAsia="仿宋_GB2312" w:cs="仿宋_GB2312"/>
          <w:sz w:val="32"/>
          <w:szCs w:val="32"/>
          <w:lang w:eastAsia="zh-CN"/>
        </w:rPr>
        <w:t>邻水</w:t>
      </w:r>
      <w:r>
        <w:rPr>
          <w:rFonts w:hint="eastAsia" w:ascii="仿宋_GB2312" w:hAnsi="仿宋_GB2312" w:eastAsia="仿宋_GB2312" w:cs="仿宋_GB2312"/>
          <w:sz w:val="32"/>
          <w:szCs w:val="32"/>
        </w:rPr>
        <w:t>经济的健康有序发展，为全县的经济发展作出了应有的贡献。自评得分</w:t>
      </w:r>
      <w:r>
        <w:rPr>
          <w:rFonts w:hint="eastAsia" w:eastAsia="仿宋_GB2312" w:cs="Times New Roman"/>
          <w:sz w:val="32"/>
          <w:szCs w:val="32"/>
          <w:lang w:val="en-US" w:eastAsia="zh-CN"/>
        </w:rPr>
        <w:t>99</w:t>
      </w:r>
      <w:r>
        <w:rPr>
          <w:rFonts w:hint="eastAsia" w:ascii="仿宋_GB2312" w:hAnsi="仿宋_GB2312" w:eastAsia="仿宋_GB2312" w:cs="仿宋_GB2312"/>
          <w:sz w:val="32"/>
          <w:szCs w:val="32"/>
        </w:rPr>
        <w:t>分。</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（二）存在问题。部分资料收集不够完善，归档不够规范；对项目的跟踪服务不够主动；经办人员的业务能力有待提高。</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（三）改进</w:t>
      </w:r>
      <w:r>
        <w:rPr>
          <w:rFonts w:hint="eastAsia" w:ascii="仿宋_GB2312" w:hAnsi="仿宋_GB2312" w:eastAsia="仿宋_GB2312" w:cs="仿宋_GB2312"/>
          <w:sz w:val="32"/>
          <w:szCs w:val="32"/>
          <w:lang w:eastAsia="zh-CN"/>
        </w:rPr>
        <w:t>建议</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细化预算编制工作，认真做好预算的编制。进一步加强单位内部机构各股室的预算管理意识，严格按照预算编制的相关制度和要求进行预算编制。</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3、完善资产管理，抓好“三公”经费控制。严格编制政府采购年初预算和计划，规范各类资产的购置审批制度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资产采购制度、使用管理制度、资产处置和报废审批制度、资产管理岗位职责制度等，加强单位内部的资产管理工作。严格控制“三公”经费的规模和比例，</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“三公”经费支出的审核、审批，杜绝挪用和挤占其他预算资金行为；进一步细化“三公”经费的管理，合理压缩“三公”经费支出。</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培训，特别是针对《预算法》、《行政事业单位会计制度》等学习培训，规范部门预算收支核算，切实提高部门预算收支管理水平。</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邻水县公共资源交易管理服务办公室</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2021年8月23日</w:t>
      </w:r>
    </w:p>
    <w:p>
      <w:pPr>
        <w:adjustRightInd w:val="0"/>
        <w:snapToGrid w:val="0"/>
        <w:spacing w:line="590" w:lineRule="exact"/>
        <w:ind w:firstLine="660" w:firstLineChars="200"/>
        <w:contextualSpacing/>
        <w:rPr>
          <w:rFonts w:ascii="方正仿宋_GBK" w:hAnsi="宋体" w:eastAsia="方正仿宋_GBK" w:cs="宋体"/>
          <w:color w:val="000000"/>
          <w:kern w:val="0"/>
          <w:sz w:val="33"/>
          <w:szCs w:val="33"/>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hint="eastAsia" w:ascii="Times New Roman" w:hAnsi="Times New Roman" w:eastAsia="方正小标宋_GBK" w:cs="Times New Roman"/>
          <w:color w:val="000000"/>
          <w:kern w:val="0"/>
          <w:sz w:val="44"/>
          <w:szCs w:val="44"/>
          <w:lang w:val="zh-CN" w:eastAsia="zh-CN" w:bidi="ar-SA"/>
        </w:rPr>
      </w:pPr>
      <w:r>
        <w:rPr>
          <w:rFonts w:hint="eastAsia" w:ascii="Times New Roman" w:hAnsi="Times New Roman" w:eastAsia="方正小标宋_GBK" w:cs="Times New Roman"/>
          <w:color w:val="000000"/>
          <w:kern w:val="0"/>
          <w:sz w:val="44"/>
          <w:szCs w:val="44"/>
          <w:lang w:val="zh-CN" w:eastAsia="zh-CN" w:bidi="ar-SA"/>
        </w:rPr>
        <w:t>邻水县公共资源交易管理服务办公室</w:t>
      </w:r>
    </w:p>
    <w:p>
      <w:pPr>
        <w:pStyle w:val="19"/>
        <w:spacing w:line="600" w:lineRule="exact"/>
        <w:jc w:val="center"/>
        <w:rPr>
          <w:rFonts w:ascii="Times New Roman" w:hAnsi="Times New Roman" w:eastAsia="方正小标宋_GBK"/>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rPr>
        <w:t>1</w:t>
      </w:r>
      <w:r>
        <w:rPr>
          <w:rFonts w:hint="eastAsia" w:ascii="Times New Roman" w:hAnsi="Times New Roman" w:eastAsia="方正小标宋_GBK"/>
          <w:sz w:val="44"/>
          <w:szCs w:val="44"/>
        </w:rPr>
        <w:t>年县级项目支出绩效自评报告</w:t>
      </w:r>
    </w:p>
    <w:p>
      <w:pPr>
        <w:spacing w:line="600" w:lineRule="exact"/>
        <w:ind w:firstLine="660" w:firstLineChars="200"/>
        <w:jc w:val="both"/>
        <w:rPr>
          <w:rFonts w:eastAsia="方正仿宋_GBK"/>
          <w:sz w:val="33"/>
          <w:szCs w:val="33"/>
        </w:rPr>
      </w:pPr>
      <w:r>
        <w:rPr>
          <w:rFonts w:hint="eastAsia" w:eastAsia="方正仿宋_GBK"/>
          <w:sz w:val="33"/>
          <w:szCs w:val="33"/>
        </w:rPr>
        <w:t>（</w:t>
      </w:r>
      <w:r>
        <w:rPr>
          <w:rFonts w:hint="eastAsia" w:eastAsia="方正仿宋_GBK"/>
          <w:sz w:val="33"/>
          <w:szCs w:val="33"/>
          <w:lang w:eastAsia="zh-CN"/>
        </w:rPr>
        <w:t>公共资源交易管理服务费及网络运行维护</w:t>
      </w:r>
      <w:r>
        <w:rPr>
          <w:rFonts w:hint="eastAsia" w:eastAsia="方正仿宋_GBK"/>
          <w:sz w:val="33"/>
          <w:szCs w:val="33"/>
        </w:rPr>
        <w:t>项目）</w:t>
      </w:r>
    </w:p>
    <w:p>
      <w:pPr>
        <w:pStyle w:val="19"/>
        <w:spacing w:line="590" w:lineRule="exact"/>
        <w:ind w:firstLine="660" w:firstLineChars="200"/>
        <w:jc w:val="center"/>
        <w:rPr>
          <w:rFonts w:ascii="Times New Roman" w:hAnsi="Times New Roman" w:eastAsia="方正仿宋_GBK"/>
          <w:color w:val="auto"/>
          <w:kern w:val="2"/>
          <w:sz w:val="33"/>
          <w:szCs w:val="33"/>
        </w:rPr>
      </w:pPr>
    </w:p>
    <w:p>
      <w:pPr>
        <w:adjustRightInd w:val="0"/>
        <w:snapToGrid w:val="0"/>
        <w:spacing w:line="600" w:lineRule="exact"/>
        <w:ind w:firstLine="660" w:firstLineChars="200"/>
        <w:rPr>
          <w:rFonts w:eastAsia="方正黑体_GBK"/>
          <w:sz w:val="33"/>
          <w:szCs w:val="33"/>
          <w:lang w:val="zh-CN"/>
        </w:rPr>
      </w:pPr>
      <w:r>
        <w:rPr>
          <w:rFonts w:hint="eastAsia" w:eastAsia="方正黑体_GBK"/>
          <w:sz w:val="33"/>
          <w:szCs w:val="33"/>
        </w:rPr>
        <w:t>一、</w:t>
      </w:r>
      <w:r>
        <w:rPr>
          <w:rFonts w:hint="eastAsia" w:eastAsia="方正黑体_GBK"/>
          <w:sz w:val="33"/>
          <w:szCs w:val="33"/>
          <w:lang w:val="zh-CN"/>
        </w:rPr>
        <w:t>项目概况</w:t>
      </w:r>
    </w:p>
    <w:p>
      <w:pPr>
        <w:adjustRightInd w:val="0"/>
        <w:snapToGrid w:val="0"/>
        <w:spacing w:line="600" w:lineRule="exact"/>
        <w:ind w:firstLine="662" w:firstLineChars="200"/>
        <w:rPr>
          <w:rFonts w:hint="eastAsia" w:eastAsia="方正楷体_GBK"/>
          <w:b/>
          <w:sz w:val="33"/>
          <w:szCs w:val="33"/>
          <w:lang w:val="zh-CN"/>
        </w:rPr>
      </w:pPr>
      <w:r>
        <w:rPr>
          <w:rFonts w:hint="eastAsia" w:eastAsia="方正楷体_GBK"/>
          <w:b/>
          <w:sz w:val="33"/>
          <w:szCs w:val="33"/>
          <w:lang w:val="zh-CN"/>
        </w:rPr>
        <w:t>（一）项目基本情况</w:t>
      </w:r>
    </w:p>
    <w:p>
      <w:pPr>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000000"/>
          <w:sz w:val="32"/>
          <w:szCs w:val="32"/>
        </w:rPr>
        <w:t>邻水县公共资源交易</w:t>
      </w:r>
      <w:r>
        <w:rPr>
          <w:rFonts w:hint="eastAsia" w:ascii="方正仿宋_GBK" w:hAnsi="方正仿宋_GBK" w:eastAsia="方正仿宋_GBK" w:cs="方正仿宋_GBK"/>
          <w:color w:val="000000"/>
          <w:sz w:val="32"/>
          <w:szCs w:val="32"/>
          <w:lang w:eastAsia="zh-CN"/>
        </w:rPr>
        <w:t>管理服务办公室为邻水县人民政府管理的公益一类正科级</w:t>
      </w:r>
      <w:r>
        <w:rPr>
          <w:rFonts w:hint="eastAsia" w:ascii="方正仿宋_GBK" w:hAnsi="方正仿宋_GBK" w:eastAsia="方正仿宋_GBK" w:cs="方正仿宋_GBK"/>
          <w:color w:val="000000"/>
          <w:sz w:val="32"/>
          <w:szCs w:val="32"/>
        </w:rPr>
        <w:t>事业单位，</w:t>
      </w:r>
      <w:r>
        <w:rPr>
          <w:rFonts w:hint="eastAsia" w:ascii="方正仿宋_GBK" w:hAnsi="方正仿宋_GBK" w:eastAsia="方正仿宋_GBK" w:cs="方正仿宋_GBK"/>
          <w:sz w:val="32"/>
          <w:szCs w:val="32"/>
        </w:rPr>
        <w:t>贯彻实施公共资源交易服务相关法律、法规和政策，</w:t>
      </w:r>
      <w:r>
        <w:rPr>
          <w:rFonts w:hint="eastAsia" w:ascii="方正仿宋_GBK" w:hAnsi="方正仿宋_GBK" w:eastAsia="方正仿宋_GBK" w:cs="方正仿宋_GBK"/>
          <w:sz w:val="32"/>
          <w:szCs w:val="32"/>
          <w:lang w:eastAsia="zh-CN"/>
        </w:rPr>
        <w:t>落实中省市县关于公共资源交易的决策部署。拟定全县公共资源交易管理办法和交易规则经研究后组织实施。对全县公共资源交易项目和农村产权交易项目进行综合管理和协调服务。受广安市公共资源交易中心委托，承担邻水县区域的公共资源交易实施和服务工作；负责公共资源交易目录以外项目交易实施和服务工作。承担县级公共资源交易平台和农村产权交易平台建设和管理服务工作。指导县级各部门（单位）、乡镇公共资源交易综合效益评价、评估工作。</w:t>
      </w:r>
    </w:p>
    <w:p>
      <w:pPr>
        <w:numPr>
          <w:ilvl w:val="0"/>
          <w:numId w:val="7"/>
        </w:num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项目立项资金申报依据。</w:t>
      </w:r>
    </w:p>
    <w:p>
      <w:pPr>
        <w:numPr>
          <w:ilvl w:val="0"/>
          <w:numId w:val="0"/>
        </w:num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zh-CN"/>
        </w:rPr>
        <w:t>我办项目为经常性项目支出，每年根据上一年度实际使用情况并结合下一年度预计业务开展情况编制项目资金预算，通过年初预算获得预算指标，预算资金下达文号为邻财预非税</w:t>
      </w:r>
      <w:r>
        <w:rPr>
          <w:rFonts w:hint="default" w:ascii="Times New Roman" w:hAnsi="Times New Roman" w:eastAsia="方正小标宋_GBK" w:cs="Times New Roman"/>
          <w:sz w:val="32"/>
          <w:szCs w:val="32"/>
          <w:lang w:val="en-US" w:eastAsia="zh-CN"/>
        </w:rPr>
        <w:t>[2020]5</w:t>
      </w:r>
      <w:r>
        <w:rPr>
          <w:rFonts w:hint="eastAsia" w:ascii="方正仿宋_GBK" w:hAnsi="方正仿宋_GBK" w:eastAsia="方正仿宋_GBK" w:cs="方正仿宋_GBK"/>
          <w:sz w:val="32"/>
          <w:szCs w:val="32"/>
          <w:lang w:val="en-US" w:eastAsia="zh-CN"/>
        </w:rPr>
        <w:t>号</w:t>
      </w:r>
      <w:r>
        <w:rPr>
          <w:rFonts w:hint="eastAsia" w:ascii="方正小标宋_GBK" w:hAnsi="方正小标宋_GBK" w:eastAsia="方正小标宋_GBK" w:cs="方正小标宋_GBK"/>
          <w:sz w:val="32"/>
          <w:szCs w:val="32"/>
          <w:lang w:val="en-US" w:eastAsia="zh-CN"/>
        </w:rPr>
        <w:t>、</w:t>
      </w:r>
      <w:r>
        <w:rPr>
          <w:rFonts w:hint="eastAsia" w:ascii="方正仿宋_GBK" w:hAnsi="方正仿宋_GBK" w:eastAsia="方正仿宋_GBK" w:cs="方正仿宋_GBK"/>
          <w:sz w:val="32"/>
          <w:szCs w:val="32"/>
          <w:lang w:val="zh-CN"/>
        </w:rPr>
        <w:t>邻财预非税</w:t>
      </w:r>
      <w:r>
        <w:rPr>
          <w:rFonts w:hint="default" w:ascii="Times New Roman" w:hAnsi="Times New Roman" w:eastAsia="方正小标宋_GBK" w:cs="Times New Roman"/>
          <w:sz w:val="32"/>
          <w:szCs w:val="32"/>
          <w:lang w:val="en-US" w:eastAsia="zh-CN"/>
        </w:rPr>
        <w:t>[2020]76</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val="zh-CN"/>
        </w:rPr>
        <w:t>邻财预非税</w:t>
      </w:r>
      <w:r>
        <w:rPr>
          <w:rFonts w:hint="default" w:ascii="Times New Roman" w:hAnsi="Times New Roman" w:eastAsia="方正小标宋_GBK" w:cs="Times New Roman"/>
          <w:sz w:val="32"/>
          <w:szCs w:val="32"/>
          <w:lang w:val="en-US" w:eastAsia="zh-CN"/>
        </w:rPr>
        <w:t>[2020]111</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val="zh-CN"/>
        </w:rPr>
        <w:t>邻财预非税</w:t>
      </w:r>
      <w:r>
        <w:rPr>
          <w:rFonts w:hint="default" w:ascii="Times New Roman" w:hAnsi="Times New Roman" w:eastAsia="方正小标宋_GBK" w:cs="Times New Roman"/>
          <w:sz w:val="32"/>
          <w:szCs w:val="32"/>
          <w:lang w:val="en-US" w:eastAsia="zh-CN"/>
        </w:rPr>
        <w:t>[2020]163</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val="zh-CN"/>
        </w:rPr>
        <w:t>邻财预非税</w:t>
      </w:r>
      <w:r>
        <w:rPr>
          <w:rFonts w:hint="default" w:ascii="Times New Roman" w:hAnsi="Times New Roman" w:eastAsia="方正小标宋_GBK" w:cs="Times New Roman"/>
          <w:sz w:val="32"/>
          <w:szCs w:val="32"/>
          <w:lang w:val="en-US" w:eastAsia="zh-CN"/>
        </w:rPr>
        <w:t>[2020]242</w:t>
      </w:r>
      <w:r>
        <w:rPr>
          <w:rFonts w:hint="eastAsia" w:ascii="方正仿宋_GBK" w:hAnsi="方正仿宋_GBK" w:eastAsia="方正仿宋_GBK" w:cs="方正仿宋_GBK"/>
          <w:sz w:val="32"/>
          <w:szCs w:val="32"/>
          <w:lang w:val="en-US" w:eastAsia="zh-CN"/>
        </w:rPr>
        <w:t>号。</w:t>
      </w:r>
    </w:p>
    <w:p>
      <w:pPr>
        <w:numPr>
          <w:ilvl w:val="0"/>
          <w:numId w:val="7"/>
        </w:num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资金管理办法制定情况，资金支出具体项目的条件、范围及支持方式概况。</w:t>
      </w:r>
    </w:p>
    <w:p>
      <w:pPr>
        <w:numPr>
          <w:ilvl w:val="0"/>
          <w:numId w:val="0"/>
        </w:numPr>
        <w:adjustRightInd w:val="0"/>
        <w:snapToGrid w:val="0"/>
        <w:spacing w:line="560" w:lineRule="exact"/>
        <w:ind w:firstLine="640" w:firstLineChars="200"/>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sz w:val="32"/>
          <w:szCs w:val="32"/>
          <w:lang w:val="zh-CN"/>
        </w:rPr>
        <w:t>资金管理通过单位财务制度统一管理，</w:t>
      </w:r>
      <w:r>
        <w:rPr>
          <w:rFonts w:hint="eastAsia" w:ascii="方正仿宋_GBK" w:hAnsi="方正仿宋_GBK" w:eastAsia="方正仿宋_GBK" w:cs="方正仿宋_GBK"/>
          <w:sz w:val="32"/>
          <w:szCs w:val="32"/>
          <w:lang w:eastAsia="zh-CN"/>
        </w:rPr>
        <w:t>公共资源交易管理服务费及网络运行维护</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b w:val="0"/>
          <w:bCs/>
          <w:sz w:val="32"/>
          <w:szCs w:val="32"/>
          <w:lang w:val="zh-CN"/>
        </w:rPr>
        <w:t>是为</w:t>
      </w:r>
      <w:r>
        <w:rPr>
          <w:rFonts w:hint="eastAsia" w:ascii="方正仿宋_GBK" w:hAnsi="方正仿宋_GBK" w:eastAsia="方正仿宋_GBK" w:cs="方正仿宋_GBK"/>
          <w:sz w:val="32"/>
          <w:szCs w:val="32"/>
        </w:rPr>
        <w:t>保障全县工程招投标、政府采购、国有产权交易、土地拍卖等相关工作任务</w:t>
      </w:r>
      <w:r>
        <w:rPr>
          <w:rFonts w:hint="eastAsia" w:ascii="方正仿宋_GBK" w:hAnsi="方正仿宋_GBK" w:eastAsia="方正仿宋_GBK" w:cs="方正仿宋_GBK"/>
          <w:sz w:val="32"/>
          <w:szCs w:val="32"/>
          <w:lang w:eastAsia="zh-CN"/>
        </w:rPr>
        <w:t>中</w:t>
      </w:r>
      <w:r>
        <w:rPr>
          <w:rFonts w:hint="eastAsia" w:ascii="方正仿宋_GBK" w:hAnsi="方正仿宋_GBK" w:eastAsia="方正仿宋_GBK" w:cs="方正仿宋_GBK"/>
          <w:sz w:val="32"/>
          <w:szCs w:val="32"/>
        </w:rPr>
        <w:t>用于专项业务工作的经费支出</w:t>
      </w:r>
      <w:r>
        <w:rPr>
          <w:rFonts w:hint="eastAsia" w:ascii="方正仿宋_GBK" w:hAnsi="方正仿宋_GBK" w:eastAsia="方正仿宋_GBK" w:cs="方正仿宋_GBK"/>
          <w:sz w:val="32"/>
          <w:szCs w:val="32"/>
          <w:lang w:eastAsia="zh-CN"/>
        </w:rPr>
        <w:t>，其中包含</w:t>
      </w:r>
      <w:r>
        <w:rPr>
          <w:rFonts w:hint="eastAsia" w:ascii="方正仿宋_GBK" w:hAnsi="方正仿宋_GBK" w:eastAsia="方正仿宋_GBK" w:cs="方正仿宋_GBK"/>
          <w:b w:val="0"/>
          <w:bCs/>
          <w:sz w:val="32"/>
          <w:szCs w:val="32"/>
          <w:lang w:val="zh-CN"/>
        </w:rPr>
        <w:t>：</w:t>
      </w:r>
      <w:r>
        <w:rPr>
          <w:rFonts w:hint="eastAsia" w:ascii="方正仿宋_GBK" w:hAnsi="方正仿宋_GBK" w:eastAsia="方正仿宋_GBK" w:cs="方正仿宋_GBK"/>
          <w:b w:val="0"/>
          <w:bCs/>
          <w:color w:val="auto"/>
          <w:sz w:val="32"/>
          <w:szCs w:val="32"/>
          <w:lang w:val="zh-CN"/>
        </w:rPr>
        <w:t>专家评审劳务费、土地出让服务费、公共资源交易服务保障费用、网络平台运行维护费。实际使用时大平台录入一般计划，填报项目指标用款计划审批单对项目资金申报，经单位主要领导审核后送财政归口股室和分管领导审核批复，获得审批后按照专款专用直接用于公共资源交易管理服务运行维护项目费用开支。</w:t>
      </w:r>
    </w:p>
    <w:p>
      <w:pPr>
        <w:numPr>
          <w:ilvl w:val="0"/>
          <w:numId w:val="0"/>
        </w:numPr>
        <w:adjustRightInd w:val="0"/>
        <w:snapToGrid w:val="0"/>
        <w:spacing w:line="560" w:lineRule="exact"/>
        <w:ind w:firstLine="640" w:firstLineChars="200"/>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4、资金分配的原则及考虑因素。</w:t>
      </w:r>
    </w:p>
    <w:p>
      <w:pPr>
        <w:numPr>
          <w:ilvl w:val="0"/>
          <w:numId w:val="0"/>
        </w:numPr>
        <w:adjustRightInd w:val="0"/>
        <w:snapToGrid w:val="0"/>
        <w:spacing w:line="560" w:lineRule="exact"/>
        <w:ind w:firstLine="640" w:firstLineChars="200"/>
        <w:rPr>
          <w:rFonts w:hint="eastAsia" w:ascii="方正仿宋_GBK" w:hAnsi="方正仿宋_GBK" w:eastAsia="方正仿宋_GBK" w:cs="方正仿宋_GBK"/>
          <w:b w:val="0"/>
          <w:bCs/>
          <w:color w:val="auto"/>
          <w:sz w:val="32"/>
          <w:szCs w:val="32"/>
          <w:lang w:val="zh-CN" w:eastAsia="zh-CN"/>
        </w:rPr>
      </w:pPr>
      <w:r>
        <w:rPr>
          <w:rFonts w:hint="eastAsia" w:ascii="方正仿宋_GBK" w:hAnsi="方正仿宋_GBK" w:eastAsia="方正仿宋_GBK" w:cs="方正仿宋_GBK"/>
          <w:b w:val="0"/>
          <w:bCs/>
          <w:color w:val="auto"/>
          <w:sz w:val="32"/>
          <w:szCs w:val="32"/>
          <w:lang w:val="zh-CN" w:eastAsia="zh-CN"/>
        </w:rPr>
        <w:t>项目资金按照项目实际发生金额支付，优先保障专家评审劳务费发放到位。</w:t>
      </w:r>
    </w:p>
    <w:p>
      <w:pPr>
        <w:adjustRightInd w:val="0"/>
        <w:snapToGrid w:val="0"/>
        <w:spacing w:line="600" w:lineRule="exact"/>
        <w:ind w:firstLine="642" w:firstLineChars="200"/>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lang w:val="zh-CN"/>
        </w:rPr>
        <w:t>1．项目主要内容。</w:t>
      </w:r>
      <w:r>
        <w:rPr>
          <w:rFonts w:hint="eastAsia" w:ascii="方正仿宋_GBK" w:hAnsi="方正仿宋_GBK" w:eastAsia="方正仿宋_GBK" w:cs="方正仿宋_GBK"/>
          <w:color w:val="auto"/>
          <w:sz w:val="32"/>
          <w:szCs w:val="32"/>
          <w:lang w:val="zh-CN"/>
        </w:rPr>
        <w:t>专家评审劳务费主要用于支付政府采购项目评审专家劳务费和交通费。为了保证政府采购公开公平公正高效进行，按照政府采购法的要求，必须通过专家评审。专家评审劳务费的计算和支付标准严格按照四川省政府采购专家评审费支付办法实施，目前已经完全实现了转账支付制度。</w:t>
      </w:r>
      <w:r>
        <w:rPr>
          <w:rFonts w:hint="eastAsia" w:ascii="方正仿宋_GBK" w:hAnsi="方正仿宋_GBK" w:eastAsia="方正仿宋_GBK" w:cs="方正仿宋_GBK"/>
          <w:color w:val="auto"/>
          <w:kern w:val="2"/>
          <w:sz w:val="32"/>
          <w:szCs w:val="32"/>
          <w:lang w:val="zh-CN" w:eastAsia="zh-CN" w:bidi="ar-SA"/>
        </w:rPr>
        <w:t>土地出让服务费主要用于支付在国有土地拍卖等活动中申请邻水县公证处到现场进行监督的产生的公证法律服务费，以及在国有土地拍卖活动中聘请拍卖公司到现场进行拍卖活动所支付的拍卖佣金。公共资源交易保障费用主要用于支付为保障政府采购、工程项目、土地拍卖、国有产权等综合交易</w:t>
      </w:r>
      <w:r>
        <w:rPr>
          <w:rFonts w:hint="eastAsia" w:ascii="方正仿宋_GBK" w:hAnsi="方正仿宋_GBK" w:eastAsia="方正仿宋_GBK" w:cs="方正仿宋_GBK"/>
          <w:color w:val="auto"/>
          <w:sz w:val="32"/>
          <w:szCs w:val="32"/>
          <w:lang w:eastAsia="zh-CN"/>
        </w:rPr>
        <w:t>日常运转</w:t>
      </w:r>
      <w:r>
        <w:rPr>
          <w:rFonts w:hint="eastAsia" w:ascii="方正仿宋_GBK" w:hAnsi="方正仿宋_GBK" w:eastAsia="方正仿宋_GBK" w:cs="方正仿宋_GBK"/>
          <w:color w:val="auto"/>
          <w:kern w:val="2"/>
          <w:sz w:val="32"/>
          <w:szCs w:val="32"/>
          <w:lang w:val="zh-CN" w:eastAsia="zh-CN" w:bidi="ar-SA"/>
        </w:rPr>
        <w:t>所产生的</w:t>
      </w:r>
      <w:r>
        <w:rPr>
          <w:rFonts w:hint="eastAsia" w:ascii="方正仿宋_GBK" w:hAnsi="方正仿宋_GBK" w:eastAsia="方正仿宋_GBK" w:cs="方正仿宋_GBK"/>
          <w:color w:val="auto"/>
          <w:sz w:val="32"/>
          <w:szCs w:val="32"/>
          <w:lang w:eastAsia="zh-CN"/>
        </w:rPr>
        <w:t>各项</w:t>
      </w:r>
      <w:r>
        <w:rPr>
          <w:rFonts w:hint="eastAsia" w:ascii="方正仿宋_GBK" w:hAnsi="方正仿宋_GBK" w:eastAsia="方正仿宋_GBK" w:cs="方正仿宋_GBK"/>
          <w:color w:val="auto"/>
          <w:sz w:val="32"/>
          <w:szCs w:val="32"/>
        </w:rPr>
        <w:t>经费支出</w:t>
      </w:r>
      <w:r>
        <w:rPr>
          <w:rFonts w:hint="eastAsia" w:ascii="方正仿宋_GBK" w:hAnsi="方正仿宋_GBK" w:eastAsia="方正仿宋_GBK" w:cs="方正仿宋_GBK"/>
          <w:color w:val="auto"/>
          <w:sz w:val="32"/>
          <w:szCs w:val="32"/>
          <w:lang w:eastAsia="zh-CN"/>
        </w:rPr>
        <w:t>，如：人员经费和材料损耗费用以及平台建设费用等</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网络平台运行维护项目</w:t>
      </w:r>
      <w:r>
        <w:rPr>
          <w:rFonts w:hint="eastAsia" w:ascii="方正仿宋_GBK" w:hAnsi="方正仿宋_GBK" w:eastAsia="方正仿宋_GBK" w:cs="方正仿宋_GBK"/>
          <w:color w:val="auto"/>
          <w:sz w:val="32"/>
          <w:szCs w:val="32"/>
          <w:lang w:val="en-US" w:eastAsia="zh-CN"/>
        </w:rPr>
        <w:t>按照“统一规范、公开透明、服务高效、监督到位”的要求，依托全市“市县（区）一体”公共资源交易平台，基本实现公共资源交易全程电子化，促进公共资源交易平台从依托有形场所向以电子化平台为主转变。购买专业的网络设备，与市公共资源交易中心电子交易平台直连，保障了公共资源交易各系统之间网络畅通。</w:t>
      </w:r>
    </w:p>
    <w:p>
      <w:pPr>
        <w:adjustRightInd w:val="0"/>
        <w:snapToGrid w:val="0"/>
        <w:spacing w:line="600" w:lineRule="exact"/>
        <w:ind w:firstLine="640" w:firstLineChars="200"/>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2．项目应实现的具体绩效目标。在</w:t>
      </w:r>
      <w:r>
        <w:rPr>
          <w:rFonts w:hint="default" w:ascii="Times New Roman" w:hAnsi="Times New Roman" w:eastAsia="方正仿宋_GBK" w:cs="Times New Roman"/>
          <w:sz w:val="32"/>
          <w:szCs w:val="32"/>
          <w:lang w:val="en-US" w:eastAsia="zh-CN"/>
        </w:rPr>
        <w:t>2020</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31</w:t>
      </w:r>
      <w:r>
        <w:rPr>
          <w:rFonts w:hint="eastAsia" w:ascii="方正仿宋_GBK" w:hAnsi="方正仿宋_GBK" w:eastAsia="方正仿宋_GBK" w:cs="方正仿宋_GBK"/>
          <w:sz w:val="32"/>
          <w:szCs w:val="32"/>
          <w:lang w:val="en-US" w:eastAsia="zh-CN"/>
        </w:rPr>
        <w:t>日前，完成县委县政府下达的目标任务，完成公共资源交易</w:t>
      </w:r>
      <w:r>
        <w:rPr>
          <w:rFonts w:hint="default" w:ascii="Times New Roman" w:hAnsi="Times New Roman" w:eastAsia="方正仿宋_GBK" w:cs="Times New Roman"/>
          <w:sz w:val="32"/>
          <w:szCs w:val="32"/>
          <w:lang w:val="en-US" w:eastAsia="zh-CN"/>
        </w:rPr>
        <w:t>300</w:t>
      </w:r>
      <w:r>
        <w:rPr>
          <w:rFonts w:hint="eastAsia" w:ascii="方正仿宋_GBK" w:hAnsi="方正仿宋_GBK" w:eastAsia="方正仿宋_GBK" w:cs="方正仿宋_GBK"/>
          <w:sz w:val="32"/>
          <w:szCs w:val="32"/>
          <w:lang w:val="en-US" w:eastAsia="zh-CN"/>
        </w:rPr>
        <w:t>宗以上。</w:t>
      </w:r>
      <w:r>
        <w:rPr>
          <w:rFonts w:hint="default"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sz w:val="32"/>
          <w:szCs w:val="32"/>
          <w:lang w:val="en-US" w:eastAsia="zh-CN"/>
        </w:rPr>
        <w:t>保证公共资源交易的公开公正公平，全年预算金额</w:t>
      </w:r>
      <w:r>
        <w:rPr>
          <w:rFonts w:hint="default" w:ascii="Times New Roman" w:hAnsi="Times New Roman" w:eastAsia="方正仿宋_GBK" w:cs="Times New Roman"/>
          <w:sz w:val="32"/>
          <w:szCs w:val="32"/>
          <w:lang w:val="en-US" w:eastAsia="zh-CN"/>
        </w:rPr>
        <w:t>239</w:t>
      </w:r>
      <w:r>
        <w:rPr>
          <w:rFonts w:hint="eastAsia" w:ascii="方正仿宋_GBK" w:hAnsi="方正仿宋_GBK" w:eastAsia="方正仿宋_GBK" w:cs="方正仿宋_GBK"/>
          <w:sz w:val="32"/>
          <w:szCs w:val="32"/>
          <w:lang w:val="en-US" w:eastAsia="zh-CN"/>
        </w:rPr>
        <w:t>万元，按照具体公共资源交易业务开展据实支出</w:t>
      </w:r>
      <w:r>
        <w:rPr>
          <w:rFonts w:hint="eastAsia" w:ascii="方正仿宋_GBK" w:hAnsi="方正仿宋_GBK" w:eastAsia="方正仿宋_GBK" w:cs="方正仿宋_GBK"/>
          <w:sz w:val="32"/>
          <w:szCs w:val="32"/>
          <w:lang w:val="zh-CN"/>
        </w:rPr>
        <w:t>。</w:t>
      </w:r>
    </w:p>
    <w:p>
      <w:pPr>
        <w:adjustRightInd w:val="0"/>
        <w:snapToGrid w:val="0"/>
        <w:spacing w:line="600" w:lineRule="exact"/>
        <w:ind w:firstLine="640" w:firstLineChars="200"/>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zh-CN"/>
        </w:rPr>
        <w:t>项目资金申报相符性。</w:t>
      </w:r>
      <w:r>
        <w:rPr>
          <w:rFonts w:hint="eastAsia" w:ascii="方正仿宋_GBK" w:hAnsi="方正仿宋_GBK" w:eastAsia="方正仿宋_GBK" w:cs="方正仿宋_GBK"/>
          <w:color w:val="auto"/>
          <w:sz w:val="32"/>
          <w:szCs w:val="32"/>
          <w:lang w:val="zh-CN"/>
        </w:rPr>
        <w:t>项目申报内容与具体实施内容完全相符且申报目标合理可行。</w:t>
      </w:r>
    </w:p>
    <w:p>
      <w:pPr>
        <w:adjustRightInd w:val="0"/>
        <w:snapToGrid w:val="0"/>
        <w:spacing w:line="600" w:lineRule="exact"/>
        <w:ind w:firstLine="662" w:firstLineChars="200"/>
        <w:rPr>
          <w:rFonts w:hint="eastAsia" w:eastAsia="方正楷体_GBK"/>
          <w:b/>
          <w:color w:val="auto"/>
          <w:sz w:val="33"/>
          <w:szCs w:val="33"/>
          <w:lang w:val="zh-CN"/>
        </w:rPr>
      </w:pPr>
      <w:r>
        <w:rPr>
          <w:rFonts w:hint="eastAsia" w:eastAsia="方正楷体_GBK"/>
          <w:b/>
          <w:color w:val="auto"/>
          <w:sz w:val="33"/>
          <w:szCs w:val="33"/>
          <w:lang w:val="zh-CN"/>
        </w:rPr>
        <w:t>（三）项目自评步骤及方法</w:t>
      </w:r>
    </w:p>
    <w:p>
      <w:pPr>
        <w:adjustRightInd w:val="0"/>
        <w:snapToGrid w:val="0"/>
        <w:spacing w:line="600" w:lineRule="exact"/>
        <w:ind w:firstLine="660" w:firstLineChars="200"/>
        <w:rPr>
          <w:rFonts w:hint="eastAsia" w:ascii="Times New Roman" w:hAnsi="Times New Roman" w:eastAsia="方正仿宋_GBK" w:cs="Times New Roman"/>
          <w:sz w:val="33"/>
          <w:szCs w:val="33"/>
          <w:lang w:val="zh-CN"/>
        </w:rPr>
      </w:pPr>
      <w:r>
        <w:rPr>
          <w:rFonts w:hint="eastAsia" w:ascii="Times New Roman" w:hAnsi="Times New Roman" w:eastAsia="方正仿宋_GBK" w:cs="Times New Roman"/>
          <w:sz w:val="33"/>
          <w:szCs w:val="33"/>
          <w:lang w:val="zh-CN"/>
        </w:rPr>
        <w:t>为了做好绩效评价工作，规范和加强专项资金管理，切实提高项目资金的使用绩效和管理水平，本项目绩效自遵循客观公正的原则，依据资金使用的方向和对象，围绕财政局评价指标体系对</w:t>
      </w:r>
      <w:r>
        <w:rPr>
          <w:rFonts w:hint="eastAsia" w:ascii="Times New Roman" w:hAnsi="Times New Roman" w:eastAsia="方正仿宋_GBK" w:cs="Times New Roman"/>
          <w:sz w:val="33"/>
          <w:szCs w:val="33"/>
          <w:lang w:val="en-US" w:eastAsia="zh-CN"/>
        </w:rPr>
        <w:t>2020</w:t>
      </w:r>
      <w:r>
        <w:rPr>
          <w:rFonts w:hint="eastAsia" w:ascii="Times New Roman" w:hAnsi="Times New Roman" w:eastAsia="方正仿宋_GBK" w:cs="Times New Roman"/>
          <w:sz w:val="33"/>
          <w:szCs w:val="33"/>
          <w:lang w:val="zh-CN"/>
        </w:rPr>
        <w:t>年度项目开展了绩效自</w:t>
      </w:r>
      <w:r>
        <w:rPr>
          <w:rFonts w:hint="eastAsia" w:eastAsia="方正仿宋_GBK" w:cs="Times New Roman"/>
          <w:sz w:val="33"/>
          <w:szCs w:val="33"/>
          <w:lang w:val="zh-CN"/>
        </w:rPr>
        <w:t>评</w:t>
      </w:r>
      <w:r>
        <w:rPr>
          <w:rFonts w:hint="eastAsia" w:ascii="Times New Roman" w:hAnsi="Times New Roman" w:eastAsia="方正仿宋_GBK" w:cs="Times New Roman"/>
          <w:sz w:val="33"/>
          <w:szCs w:val="33"/>
          <w:lang w:val="zh-CN"/>
        </w:rPr>
        <w:t>工作。</w:t>
      </w:r>
    </w:p>
    <w:p>
      <w:pPr>
        <w:adjustRightInd w:val="0"/>
        <w:snapToGrid w:val="0"/>
        <w:spacing w:line="600" w:lineRule="exact"/>
        <w:ind w:firstLine="660" w:firstLineChars="200"/>
        <w:rPr>
          <w:rFonts w:eastAsia="方正黑体_GBK"/>
          <w:sz w:val="33"/>
          <w:szCs w:val="33"/>
        </w:rPr>
      </w:pPr>
      <w:r>
        <w:rPr>
          <w:rFonts w:hint="eastAsia" w:eastAsia="方正黑体_GBK"/>
          <w:sz w:val="33"/>
          <w:szCs w:val="33"/>
        </w:rPr>
        <w:t>二、项目资金申报及使用情况</w:t>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（一）项目资金申报及批复情况</w:t>
      </w:r>
    </w:p>
    <w:p>
      <w:pPr>
        <w:adjustRightInd w:val="0"/>
        <w:snapToGrid w:val="0"/>
        <w:spacing w:line="600" w:lineRule="exact"/>
        <w:ind w:firstLine="640" w:firstLineChars="200"/>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每年根据上一年度实际使用情况并结合下一年度预计业务开展情况编制项目资金预算，通过年初预算获得预算指标，实际使用时大平台录入一般计划，填报项目指标用款计划审批单对项目资金申报，经单位主要领导审核后送财政归口股室和分管领导审核批复，获得审批后按照专款专用直接用于公共资源交易管理服务运行维护项目费用开支。</w:t>
      </w:r>
    </w:p>
    <w:p>
      <w:pPr>
        <w:adjustRightInd w:val="0"/>
        <w:snapToGrid w:val="0"/>
        <w:spacing w:line="600" w:lineRule="exact"/>
        <w:ind w:firstLine="662" w:firstLineChars="200"/>
        <w:rPr>
          <w:rFonts w:eastAsia="方正楷体_GBK"/>
          <w:sz w:val="33"/>
          <w:szCs w:val="33"/>
          <w:lang w:val="zh-CN"/>
        </w:rPr>
      </w:pPr>
      <w:r>
        <w:rPr>
          <w:rFonts w:hint="eastAsia" w:eastAsia="方正楷体_GBK"/>
          <w:b/>
          <w:sz w:val="33"/>
          <w:szCs w:val="33"/>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sz w:val="32"/>
          <w:szCs w:val="32"/>
          <w:lang w:val="zh-CN"/>
        </w:rPr>
      </w:pPr>
      <w:r>
        <w:rPr>
          <w:rFonts w:hint="eastAsia" w:ascii="方正楷体_GBK" w:hAnsi="方正楷体_GBK" w:eastAsia="方正楷体_GBK" w:cs="方正楷体_GBK"/>
          <w:sz w:val="32"/>
          <w:szCs w:val="32"/>
          <w:lang w:val="zh-CN"/>
        </w:rPr>
        <w:t>1．资金计划及到位。</w:t>
      </w:r>
      <w:r>
        <w:rPr>
          <w:rFonts w:hint="eastAsia" w:ascii="方正仿宋_GBK" w:hAnsi="方正仿宋_GBK" w:eastAsia="方正仿宋_GBK" w:cs="方正仿宋_GBK"/>
          <w:sz w:val="32"/>
          <w:szCs w:val="32"/>
          <w:lang w:val="zh-CN"/>
        </w:rPr>
        <w:t>年初通过项目资金预算当年的资金计划，财政按照非税收入完成进度对照下达指标，实际支付时按照费用发生据实申报资金计划，财政各相关股室审核计划后在财政资金大平台上进行拨付</w:t>
      </w:r>
      <w:r>
        <w:rPr>
          <w:rFonts w:hint="eastAsia" w:ascii="仿宋_GB2312" w:hAnsi="宋体"/>
          <w:sz w:val="32"/>
          <w:szCs w:val="32"/>
          <w:lang w:val="zh-CN"/>
        </w:rPr>
        <w:t>。</w:t>
      </w:r>
    </w:p>
    <w:p>
      <w:pPr>
        <w:adjustRightInd w:val="0"/>
        <w:snapToGrid w:val="0"/>
        <w:spacing w:line="560" w:lineRule="exact"/>
        <w:ind w:firstLine="72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zh-CN"/>
        </w:rPr>
        <w:t>2．资金使用</w:t>
      </w:r>
      <w:r>
        <w:rPr>
          <w:rFonts w:hint="eastAsia" w:ascii="楷体_GB2312" w:hAnsi="宋体" w:eastAsia="楷体_GB2312"/>
          <w:sz w:val="32"/>
          <w:szCs w:val="32"/>
          <w:lang w:val="zh-CN"/>
        </w:rPr>
        <w:t>。</w:t>
      </w:r>
      <w:r>
        <w:rPr>
          <w:rFonts w:hint="default" w:ascii="Times New Roman" w:hAnsi="Times New Roman" w:eastAsia="方正仿宋_GBK" w:cs="Times New Roman"/>
          <w:sz w:val="32"/>
          <w:szCs w:val="32"/>
          <w:lang w:val="en-US" w:eastAsia="zh-CN"/>
        </w:rPr>
        <w:t>2020</w:t>
      </w:r>
      <w:r>
        <w:rPr>
          <w:rFonts w:hint="eastAsia" w:ascii="方正仿宋_GBK" w:hAnsi="方正仿宋_GBK" w:eastAsia="方正仿宋_GBK" w:cs="方正仿宋_GBK"/>
          <w:sz w:val="32"/>
          <w:szCs w:val="32"/>
          <w:lang w:val="en-US" w:eastAsia="zh-CN"/>
        </w:rPr>
        <w:t>年共支付</w:t>
      </w:r>
      <w:r>
        <w:rPr>
          <w:rFonts w:hint="eastAsia" w:eastAsia="方正仿宋_GBK"/>
          <w:sz w:val="32"/>
          <w:szCs w:val="32"/>
          <w:lang w:eastAsia="zh-CN"/>
        </w:rPr>
        <w:t>公共资源交易管理服务费及网络运行维护</w:t>
      </w:r>
      <w:r>
        <w:rPr>
          <w:rFonts w:hint="eastAsia" w:eastAsia="方正仿宋_GBK"/>
          <w:sz w:val="32"/>
          <w:szCs w:val="32"/>
        </w:rPr>
        <w:t>项目</w:t>
      </w:r>
      <w:r>
        <w:rPr>
          <w:rFonts w:hint="default" w:ascii="Times New Roman" w:hAnsi="Times New Roman" w:eastAsia="方正仿宋_GBK" w:cs="Times New Roman"/>
          <w:sz w:val="32"/>
          <w:szCs w:val="32"/>
          <w:lang w:val="en-US" w:eastAsia="zh-CN"/>
        </w:rPr>
        <w:t>239</w:t>
      </w:r>
      <w:r>
        <w:rPr>
          <w:rFonts w:hint="eastAsia" w:ascii="方正仿宋_GBK" w:hAnsi="方正仿宋_GBK" w:eastAsia="方正仿宋_GBK" w:cs="方正仿宋_GBK"/>
          <w:sz w:val="32"/>
          <w:szCs w:val="32"/>
          <w:lang w:val="en-US" w:eastAsia="zh-CN"/>
        </w:rPr>
        <w:t>万元，资金开支范围主要用于支付全年政府采购活动中的各项经费。其中专家评标费严格按照《四川省财政厅关于政府采购评审专家劳务报酬支付标准指导意见》（川政采</w:t>
      </w:r>
      <w:r>
        <w:rPr>
          <w:rFonts w:hint="default" w:ascii="Times New Roman" w:hAnsi="Times New Roman" w:eastAsia="方正仿宋_GBK" w:cs="Times New Roman"/>
          <w:sz w:val="32"/>
          <w:szCs w:val="32"/>
          <w:lang w:val="en-US" w:eastAsia="zh-CN"/>
        </w:rPr>
        <w:t>[2014]8</w:t>
      </w:r>
      <w:r>
        <w:rPr>
          <w:rFonts w:hint="eastAsia" w:ascii="方正仿宋_GBK" w:hAnsi="方正仿宋_GBK" w:eastAsia="方正仿宋_GBK" w:cs="方正仿宋_GBK"/>
          <w:sz w:val="32"/>
          <w:szCs w:val="32"/>
          <w:lang w:val="en-US" w:eastAsia="zh-CN"/>
        </w:rPr>
        <w:t>号）、《广安市公共资源交易中心关于调整政府采购评标专家交通费发放标准的函》（广市资交函</w:t>
      </w:r>
      <w:r>
        <w:rPr>
          <w:rFonts w:hint="default" w:ascii="Times New Roman" w:hAnsi="Times New Roman" w:eastAsia="方正仿宋_GBK" w:cs="Times New Roman"/>
          <w:sz w:val="32"/>
          <w:szCs w:val="32"/>
          <w:lang w:val="en-US" w:eastAsia="zh-CN"/>
        </w:rPr>
        <w:t>[2017]16</w:t>
      </w:r>
      <w:r>
        <w:rPr>
          <w:rFonts w:hint="eastAsia" w:ascii="方正仿宋_GBK" w:hAnsi="方正仿宋_GBK" w:eastAsia="方正仿宋_GBK" w:cs="方正仿宋_GBK"/>
          <w:sz w:val="32"/>
          <w:szCs w:val="32"/>
          <w:lang w:val="en-US" w:eastAsia="zh-CN"/>
        </w:rPr>
        <w:t>号）、《邻水县公共资源交易管理服务办公室关于调整政府采购评标专家劳务报酬支付标准的请示》 （邻公管办</w:t>
      </w:r>
      <w:r>
        <w:rPr>
          <w:rFonts w:hint="default" w:ascii="Times New Roman" w:hAnsi="Times New Roman" w:eastAsia="方正仿宋_GBK" w:cs="Times New Roman"/>
          <w:sz w:val="32"/>
          <w:szCs w:val="32"/>
          <w:lang w:val="en-US" w:eastAsia="zh-CN"/>
        </w:rPr>
        <w:t>[2018]33</w:t>
      </w:r>
      <w:r>
        <w:rPr>
          <w:rFonts w:hint="eastAsia" w:ascii="方正仿宋_GBK" w:hAnsi="方正仿宋_GBK" w:eastAsia="方正仿宋_GBK" w:cs="方正仿宋_GBK"/>
          <w:sz w:val="32"/>
          <w:szCs w:val="32"/>
          <w:lang w:val="en-US" w:eastAsia="zh-CN"/>
        </w:rPr>
        <w:t>号）执行，当月发生，下月支付。土地出让服务费按照同拍卖公司和邻水县公证处签署的合同要求支付。</w:t>
      </w:r>
      <w:r>
        <w:rPr>
          <w:rFonts w:hint="eastAsia" w:ascii="方正仿宋_GBK" w:hAnsi="方正仿宋_GBK" w:eastAsia="方正仿宋_GBK" w:cs="方正仿宋_GBK"/>
          <w:sz w:val="32"/>
          <w:szCs w:val="32"/>
          <w:lang w:eastAsia="zh-CN"/>
        </w:rPr>
        <w:t>网络平台运行维护费由广安市公共资源交易中心统一公开招标确定供应商，我办按照合同要求支付，公共资源交易保障费用按照实际发生金额据实支付。资金支付在预算范围内。</w:t>
      </w:r>
    </w:p>
    <w:p>
      <w:pPr>
        <w:adjustRightInd w:val="0"/>
        <w:snapToGrid w:val="0"/>
        <w:spacing w:line="600" w:lineRule="exact"/>
        <w:ind w:firstLine="662" w:firstLineChars="200"/>
        <w:rPr>
          <w:rFonts w:hint="eastAsia" w:ascii="Times New Roman" w:hAnsi="Times New Roman" w:eastAsia="方正楷体_GBK" w:cs="Times New Roman"/>
          <w:b/>
          <w:sz w:val="33"/>
          <w:szCs w:val="33"/>
          <w:lang w:val="zh-CN"/>
        </w:rPr>
      </w:pPr>
      <w:r>
        <w:rPr>
          <w:rFonts w:hint="eastAsia" w:ascii="Times New Roman" w:hAnsi="Times New Roman" w:eastAsia="方正楷体_GBK" w:cs="Times New Roman"/>
          <w:b/>
          <w:sz w:val="33"/>
          <w:szCs w:val="33"/>
          <w:lang w:val="zh-CN"/>
        </w:rPr>
        <w:t>（三）项目财务管理情况。</w:t>
      </w:r>
    </w:p>
    <w:p>
      <w:pPr>
        <w:adjustRightInd w:val="0"/>
        <w:snapToGrid w:val="0"/>
        <w:spacing w:line="560" w:lineRule="exact"/>
        <w:ind w:firstLine="720"/>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财务管理制度健全，机构设置按照《中共邻水县委机构编制委员会关于邻水县公共资源交易管理服务办公室机构编制事项的批复》（邻机编</w:t>
      </w:r>
      <w:r>
        <w:rPr>
          <w:rFonts w:hint="default" w:ascii="Times New Roman" w:hAnsi="Times New Roman" w:eastAsia="方正仿宋_GBK" w:cs="Times New Roman"/>
          <w:sz w:val="32"/>
          <w:szCs w:val="32"/>
          <w:lang w:val="en-US" w:eastAsia="zh-CN"/>
        </w:rPr>
        <w:t>[2017]11</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val="zh-CN"/>
        </w:rPr>
        <w:t>）设立股室，并严格执行国家相关法律发规及财务管理制度。会计核算和账务处理规范，入账及时。</w:t>
      </w:r>
    </w:p>
    <w:p>
      <w:pPr>
        <w:adjustRightInd w:val="0"/>
        <w:snapToGrid w:val="0"/>
        <w:spacing w:line="600" w:lineRule="exact"/>
        <w:ind w:firstLine="660" w:firstLineChars="200"/>
        <w:rPr>
          <w:rFonts w:eastAsia="方正黑体_GBK"/>
          <w:color w:val="auto"/>
          <w:sz w:val="33"/>
          <w:szCs w:val="33"/>
          <w:shd w:val="clear" w:color="auto" w:fill="auto"/>
        </w:rPr>
      </w:pPr>
      <w:r>
        <w:rPr>
          <w:rFonts w:hint="eastAsia" w:eastAsia="方正黑体_GBK"/>
          <w:color w:val="auto"/>
          <w:sz w:val="33"/>
          <w:szCs w:val="33"/>
          <w:shd w:val="clear" w:color="auto" w:fill="auto"/>
        </w:rPr>
        <w:t>三、项目实施及管理情况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40" w:firstLineChars="200"/>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（一）项目组织架构及实施流程。</w:t>
      </w:r>
      <w:r>
        <w:rPr>
          <w:rFonts w:hint="eastAsia" w:eastAsia="方正仿宋_GBK"/>
          <w:sz w:val="32"/>
          <w:szCs w:val="32"/>
          <w:lang w:eastAsia="zh-CN"/>
        </w:rPr>
        <w:t>公共资源交易管理服务费及网络运行维护</w:t>
      </w:r>
      <w:r>
        <w:rPr>
          <w:rFonts w:hint="eastAsia" w:ascii="方正仿宋_GBK" w:hAnsi="方正仿宋_GBK" w:eastAsia="方正仿宋_GBK" w:cs="方正仿宋_GBK"/>
          <w:color w:val="auto"/>
          <w:kern w:val="2"/>
          <w:sz w:val="32"/>
          <w:szCs w:val="32"/>
          <w:lang w:val="zh-CN" w:eastAsia="zh-CN" w:bidi="ar-SA"/>
        </w:rPr>
        <w:t>项目由财务每月按照实际发生金额报主要领导签字后向财政归口股室申报资金计划，将相关资料复印报归口股室审核后在大平台进行支付，并做好记账及资料存放。</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40" w:firstLineChars="200"/>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（二）项目管理情况。项目参照单位财务制度和内控制度管理。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zh-CN" w:eastAsia="zh-CN" w:bidi="ar-SA"/>
        </w:rPr>
        <w:t>（三）项目监管情况。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zh-CN" w:eastAsia="zh-CN" w:bidi="ar-SA"/>
        </w:rPr>
        <w:t>  </w:t>
      </w: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kern w:val="2"/>
          <w:sz w:val="32"/>
          <w:szCs w:val="32"/>
          <w:lang w:val="zh-CN" w:eastAsia="zh-CN" w:bidi="ar-SA"/>
        </w:rPr>
        <w:t>项目资金到位后，由经办人员审核后填单，分管领导签字审核送主要领导签字确认后才能进行支付。</w:t>
      </w:r>
    </w:p>
    <w:p>
      <w:pPr>
        <w:adjustRightInd w:val="0"/>
        <w:snapToGrid w:val="0"/>
        <w:spacing w:line="600" w:lineRule="exact"/>
        <w:ind w:firstLine="640" w:firstLineChars="200"/>
        <w:rPr>
          <w:rFonts w:eastAsia="方正黑体_GBK"/>
          <w:sz w:val="32"/>
          <w:szCs w:val="32"/>
        </w:rPr>
      </w:pPr>
      <w:r>
        <w:rPr>
          <w:rFonts w:hint="eastAsia" w:eastAsia="方正黑体_GBK"/>
          <w:sz w:val="32"/>
          <w:szCs w:val="32"/>
        </w:rPr>
        <w:t>四、项目绩效情况</w:t>
      </w:r>
      <w:r>
        <w:rPr>
          <w:rFonts w:eastAsia="方正黑体_GBK"/>
          <w:sz w:val="32"/>
          <w:szCs w:val="32"/>
        </w:rPr>
        <w:tab/>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（一）项目完成情况</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2020</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成功办理交易项目</w:t>
      </w:r>
      <w:r>
        <w:rPr>
          <w:rFonts w:hint="default" w:ascii="Times New Roman" w:hAnsi="Times New Roman" w:eastAsia="仿宋_GB2312" w:cs="Times New Roman"/>
          <w:sz w:val="32"/>
          <w:szCs w:val="32"/>
        </w:rPr>
        <w:t>596</w:t>
      </w:r>
      <w:r>
        <w:rPr>
          <w:rFonts w:hint="eastAsia" w:ascii="仿宋_GB2312" w:hAnsi="仿宋_GB2312" w:eastAsia="仿宋_GB2312" w:cs="仿宋_GB2312"/>
          <w:sz w:val="32"/>
          <w:szCs w:val="32"/>
        </w:rPr>
        <w:t>宗，交易金额</w:t>
      </w:r>
      <w:r>
        <w:rPr>
          <w:rFonts w:hint="default" w:ascii="Times New Roman" w:hAnsi="Times New Roman" w:eastAsia="仿宋_GB2312" w:cs="Times New Roman"/>
          <w:sz w:val="32"/>
          <w:szCs w:val="32"/>
        </w:rPr>
        <w:t>118012.39</w:t>
      </w:r>
      <w:r>
        <w:rPr>
          <w:rFonts w:hint="eastAsia" w:ascii="仿宋_GB2312" w:hAnsi="仿宋_GB2312" w:eastAsia="仿宋_GB2312" w:cs="仿宋_GB2312"/>
          <w:sz w:val="32"/>
          <w:szCs w:val="32"/>
        </w:rPr>
        <w:t>万元，为政府增收节资</w:t>
      </w:r>
      <w:r>
        <w:rPr>
          <w:rFonts w:hint="default" w:ascii="Times New Roman" w:hAnsi="Times New Roman" w:eastAsia="仿宋_GB2312" w:cs="Times New Roman"/>
          <w:sz w:val="32"/>
          <w:szCs w:val="32"/>
        </w:rPr>
        <w:t>15897.72</w:t>
      </w:r>
      <w:r>
        <w:rPr>
          <w:rFonts w:hint="eastAsia" w:ascii="仿宋_GB2312" w:hAnsi="仿宋_GB2312" w:eastAsia="仿宋_GB2312" w:cs="仿宋_GB2312"/>
          <w:sz w:val="32"/>
          <w:szCs w:val="32"/>
        </w:rPr>
        <w:t>万元（增收</w:t>
      </w:r>
      <w:r>
        <w:rPr>
          <w:rFonts w:hint="default" w:ascii="Times New Roman" w:hAnsi="Times New Roman" w:eastAsia="仿宋_GB2312" w:cs="Times New Roman"/>
          <w:sz w:val="32"/>
          <w:szCs w:val="32"/>
        </w:rPr>
        <w:t>7537.</w:t>
      </w:r>
      <w:r>
        <w:rPr>
          <w:rFonts w:hint="eastAsia" w:ascii="仿宋_GB2312" w:hAnsi="仿宋_GB2312" w:eastAsia="仿宋_GB2312" w:cs="仿宋_GB2312"/>
          <w:sz w:val="32"/>
          <w:szCs w:val="32"/>
        </w:rPr>
        <w:t>6万元，节资</w:t>
      </w:r>
      <w:r>
        <w:rPr>
          <w:rFonts w:hint="default" w:ascii="Times New Roman" w:hAnsi="Times New Roman" w:eastAsia="仿宋_GB2312" w:cs="Times New Roman"/>
          <w:sz w:val="32"/>
          <w:szCs w:val="32"/>
        </w:rPr>
        <w:t>8360.12</w:t>
      </w:r>
      <w:r>
        <w:rPr>
          <w:rFonts w:hint="eastAsia" w:ascii="仿宋_GB2312" w:hAnsi="仿宋_GB2312" w:eastAsia="仿宋_GB2312" w:cs="仿宋_GB2312"/>
          <w:sz w:val="32"/>
          <w:szCs w:val="32"/>
        </w:rPr>
        <w:t>万元）。其中：办理</w:t>
      </w:r>
      <w:r>
        <w:rPr>
          <w:rFonts w:hint="eastAsia" w:ascii="仿宋_GB2312" w:hAnsi="仿宋_GB2312" w:eastAsia="仿宋_GB2312" w:cs="仿宋_GB2312"/>
          <w:b/>
          <w:sz w:val="32"/>
          <w:szCs w:val="32"/>
        </w:rPr>
        <w:t>工程建设项目</w:t>
      </w:r>
      <w:r>
        <w:rPr>
          <w:rFonts w:hint="eastAsia" w:ascii="仿宋_GB2312" w:hAnsi="仿宋_GB2312" w:eastAsia="仿宋_GB2312" w:cs="仿宋_GB2312"/>
          <w:sz w:val="32"/>
          <w:szCs w:val="32"/>
        </w:rPr>
        <w:t>7宗，控制价为</w:t>
      </w:r>
      <w:r>
        <w:rPr>
          <w:rFonts w:hint="default" w:ascii="Times New Roman" w:hAnsi="Times New Roman" w:eastAsia="仿宋_GB2312" w:cs="Times New Roman"/>
          <w:sz w:val="32"/>
          <w:szCs w:val="32"/>
        </w:rPr>
        <w:t>3673.59</w:t>
      </w:r>
      <w:r>
        <w:rPr>
          <w:rFonts w:hint="eastAsia" w:ascii="仿宋_GB2312" w:hAnsi="仿宋_GB2312" w:eastAsia="仿宋_GB2312" w:cs="仿宋_GB2312"/>
          <w:sz w:val="32"/>
          <w:szCs w:val="32"/>
        </w:rPr>
        <w:t>万元，中标价为</w:t>
      </w:r>
      <w:r>
        <w:rPr>
          <w:rFonts w:hint="default" w:ascii="Times New Roman" w:hAnsi="Times New Roman" w:eastAsia="仿宋_GB2312" w:cs="Times New Roman"/>
          <w:sz w:val="32"/>
          <w:szCs w:val="32"/>
        </w:rPr>
        <w:t>3346.63</w:t>
      </w:r>
      <w:r>
        <w:rPr>
          <w:rFonts w:hint="eastAsia" w:ascii="仿宋_GB2312" w:hAnsi="仿宋_GB2312" w:eastAsia="仿宋_GB2312" w:cs="仿宋_GB2312"/>
          <w:sz w:val="32"/>
          <w:szCs w:val="32"/>
        </w:rPr>
        <w:t>万元，节资</w:t>
      </w:r>
      <w:r>
        <w:rPr>
          <w:rFonts w:hint="default" w:ascii="Times New Roman" w:hAnsi="Times New Roman" w:eastAsia="仿宋_GB2312" w:cs="Times New Roman"/>
          <w:sz w:val="32"/>
          <w:szCs w:val="32"/>
        </w:rPr>
        <w:t>326.96</w:t>
      </w:r>
      <w:r>
        <w:rPr>
          <w:rFonts w:hint="eastAsia" w:ascii="仿宋_GB2312" w:hAnsi="仿宋_GB2312" w:eastAsia="仿宋_GB2312" w:cs="仿宋_GB2312"/>
          <w:sz w:val="32"/>
          <w:szCs w:val="32"/>
        </w:rPr>
        <w:t>万元，节资率为8.9%。办理</w:t>
      </w:r>
      <w:r>
        <w:rPr>
          <w:rFonts w:hint="eastAsia" w:ascii="仿宋_GB2312" w:hAnsi="仿宋_GB2312" w:eastAsia="仿宋_GB2312" w:cs="仿宋_GB2312"/>
          <w:b/>
          <w:sz w:val="32"/>
          <w:szCs w:val="32"/>
        </w:rPr>
        <w:t>政府采购项目</w:t>
      </w:r>
      <w:r>
        <w:rPr>
          <w:rFonts w:hint="default" w:ascii="Times New Roman" w:hAnsi="Times New Roman" w:eastAsia="仿宋_GB2312" w:cs="Times New Roman"/>
          <w:sz w:val="32"/>
          <w:szCs w:val="32"/>
        </w:rPr>
        <w:t>566</w:t>
      </w:r>
      <w:r>
        <w:rPr>
          <w:rFonts w:hint="eastAsia" w:ascii="仿宋_GB2312" w:hAnsi="仿宋_GB2312" w:eastAsia="仿宋_GB2312" w:cs="仿宋_GB2312"/>
          <w:sz w:val="32"/>
          <w:szCs w:val="32"/>
        </w:rPr>
        <w:t>宗，预算金额为</w:t>
      </w:r>
      <w:r>
        <w:rPr>
          <w:rFonts w:hint="default" w:ascii="Times New Roman" w:hAnsi="Times New Roman" w:eastAsia="仿宋_GB2312" w:cs="Times New Roman"/>
          <w:sz w:val="32"/>
          <w:szCs w:val="32"/>
        </w:rPr>
        <w:t>41769.1</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万元，实际采购金额为</w:t>
      </w:r>
      <w:r>
        <w:rPr>
          <w:rFonts w:hint="default" w:ascii="Times New Roman" w:hAnsi="Times New Roman" w:eastAsia="仿宋_GB2312" w:cs="Times New Roman"/>
          <w:sz w:val="32"/>
          <w:szCs w:val="32"/>
        </w:rPr>
        <w:t>33735.</w:t>
      </w:r>
      <w:r>
        <w:rPr>
          <w:rFonts w:hint="eastAsia" w:eastAsia="仿宋_GB2312" w:cs="Times New Roman"/>
          <w:sz w:val="32"/>
          <w:szCs w:val="32"/>
          <w:lang w:val="en-US" w:eastAsia="zh-CN"/>
        </w:rPr>
        <w:t>99</w:t>
      </w:r>
      <w:r>
        <w:rPr>
          <w:rFonts w:hint="eastAsia" w:ascii="仿宋_GB2312" w:hAnsi="仿宋_GB2312" w:eastAsia="仿宋_GB2312" w:cs="仿宋_GB2312"/>
          <w:sz w:val="32"/>
          <w:szCs w:val="32"/>
        </w:rPr>
        <w:t>万元，节资</w:t>
      </w:r>
      <w:r>
        <w:rPr>
          <w:rFonts w:hint="default" w:ascii="Times New Roman" w:hAnsi="Times New Roman" w:eastAsia="仿宋_GB2312" w:cs="Times New Roman"/>
          <w:sz w:val="32"/>
          <w:szCs w:val="32"/>
        </w:rPr>
        <w:t>8033.16</w:t>
      </w:r>
      <w:r>
        <w:rPr>
          <w:rFonts w:hint="eastAsia" w:ascii="仿宋_GB2312" w:hAnsi="仿宋_GB2312" w:eastAsia="仿宋_GB2312" w:cs="仿宋_GB2312"/>
          <w:sz w:val="32"/>
          <w:szCs w:val="32"/>
        </w:rPr>
        <w:t>万元，节资率为19.23%。办理</w:t>
      </w:r>
      <w:r>
        <w:rPr>
          <w:rFonts w:hint="eastAsia" w:ascii="仿宋_GB2312" w:hAnsi="仿宋_GB2312" w:eastAsia="仿宋_GB2312" w:cs="仿宋_GB2312"/>
          <w:b/>
          <w:sz w:val="32"/>
          <w:szCs w:val="32"/>
        </w:rPr>
        <w:t>国有产权交易</w:t>
      </w:r>
      <w:r>
        <w:rPr>
          <w:rFonts w:hint="eastAsia" w:ascii="仿宋_GB2312" w:hAnsi="仿宋_GB2312" w:eastAsia="仿宋_GB2312" w:cs="仿宋_GB2312"/>
          <w:sz w:val="32"/>
          <w:szCs w:val="32"/>
        </w:rPr>
        <w:t>2宗，起租价为</w:t>
      </w:r>
      <w:r>
        <w:rPr>
          <w:rFonts w:hint="default" w:ascii="Times New Roman" w:hAnsi="Times New Roman" w:eastAsia="仿宋_GB2312" w:cs="Times New Roman"/>
          <w:sz w:val="32"/>
          <w:szCs w:val="32"/>
        </w:rPr>
        <w:t>60.0</w:t>
      </w:r>
      <w:r>
        <w:rPr>
          <w:rFonts w:hint="eastAsia" w:eastAsia="仿宋_GB2312" w:cs="Times New Roman"/>
          <w:sz w:val="32"/>
          <w:szCs w:val="32"/>
          <w:lang w:val="en-US" w:eastAsia="zh-CN"/>
        </w:rPr>
        <w:t>8</w:t>
      </w:r>
      <w:r>
        <w:rPr>
          <w:rFonts w:hint="eastAsia" w:ascii="仿宋_GB2312" w:hAnsi="仿宋_GB2312" w:eastAsia="仿宋_GB2312" w:cs="仿宋_GB2312"/>
          <w:sz w:val="32"/>
          <w:szCs w:val="32"/>
        </w:rPr>
        <w:t>万元，成交价为</w:t>
      </w:r>
      <w:r>
        <w:rPr>
          <w:rFonts w:hint="default" w:ascii="Times New Roman" w:hAnsi="Times New Roman" w:eastAsia="仿宋_GB2312" w:cs="Times New Roman"/>
          <w:sz w:val="32"/>
          <w:szCs w:val="32"/>
        </w:rPr>
        <w:t>87.6</w:t>
      </w:r>
      <w:r>
        <w:rPr>
          <w:rFonts w:hint="eastAsia" w:eastAsia="仿宋_GB2312" w:cs="Times New Roman"/>
          <w:sz w:val="32"/>
          <w:szCs w:val="32"/>
          <w:lang w:val="en-US" w:eastAsia="zh-CN"/>
        </w:rPr>
        <w:t>8</w:t>
      </w:r>
      <w:r>
        <w:rPr>
          <w:rFonts w:hint="eastAsia" w:ascii="仿宋_GB2312" w:hAnsi="仿宋_GB2312" w:eastAsia="仿宋_GB2312" w:cs="仿宋_GB2312"/>
          <w:sz w:val="32"/>
          <w:szCs w:val="32"/>
        </w:rPr>
        <w:t>万元，增资</w:t>
      </w:r>
      <w:r>
        <w:rPr>
          <w:rFonts w:hint="default" w:ascii="Times New Roman" w:hAnsi="Times New Roman" w:eastAsia="仿宋_GB2312" w:cs="Times New Roman"/>
          <w:sz w:val="32"/>
          <w:szCs w:val="32"/>
        </w:rPr>
        <w:t>27.6</w:t>
      </w:r>
      <w:r>
        <w:rPr>
          <w:rFonts w:hint="eastAsia" w:ascii="仿宋_GB2312" w:hAnsi="仿宋_GB2312" w:eastAsia="仿宋_GB2312" w:cs="仿宋_GB2312"/>
          <w:sz w:val="32"/>
          <w:szCs w:val="32"/>
        </w:rPr>
        <w:t>万元，增资率</w:t>
      </w:r>
      <w:r>
        <w:rPr>
          <w:rFonts w:hint="default" w:ascii="Times New Roman" w:hAnsi="Times New Roman" w:eastAsia="仿宋_GB2312" w:cs="Times New Roman"/>
          <w:sz w:val="32"/>
          <w:szCs w:val="32"/>
        </w:rPr>
        <w:t>45.94%。</w:t>
      </w:r>
      <w:r>
        <w:rPr>
          <w:rFonts w:hint="eastAsia" w:ascii="仿宋_GB2312" w:hAnsi="仿宋_GB2312" w:eastAsia="仿宋_GB2312" w:cs="仿宋_GB2312"/>
          <w:sz w:val="32"/>
          <w:szCs w:val="32"/>
        </w:rPr>
        <w:t>办理</w:t>
      </w:r>
      <w:r>
        <w:rPr>
          <w:rFonts w:hint="eastAsia" w:ascii="仿宋_GB2312" w:hAnsi="仿宋_GB2312" w:eastAsia="仿宋_GB2312" w:cs="仿宋_GB2312"/>
          <w:b/>
          <w:sz w:val="32"/>
          <w:szCs w:val="32"/>
        </w:rPr>
        <w:t>国有土地出让交易</w:t>
      </w:r>
      <w:r>
        <w:rPr>
          <w:rFonts w:hint="default" w:ascii="Times New Roman" w:hAnsi="Times New Roman" w:eastAsia="仿宋_GB2312" w:cs="Times New Roman"/>
          <w:sz w:val="32"/>
          <w:szCs w:val="32"/>
        </w:rPr>
        <w:t>21</w:t>
      </w:r>
      <w:r>
        <w:rPr>
          <w:rFonts w:hint="eastAsia" w:ascii="仿宋_GB2312" w:hAnsi="仿宋_GB2312" w:eastAsia="仿宋_GB2312" w:cs="仿宋_GB2312"/>
          <w:sz w:val="32"/>
          <w:szCs w:val="32"/>
        </w:rPr>
        <w:t>宗，起始价为</w:t>
      </w:r>
      <w:r>
        <w:rPr>
          <w:rFonts w:hint="default" w:ascii="Times New Roman" w:hAnsi="Times New Roman" w:eastAsia="仿宋_GB2312" w:cs="Times New Roman"/>
          <w:sz w:val="32"/>
          <w:szCs w:val="32"/>
        </w:rPr>
        <w:t>73332.1</w:t>
      </w:r>
      <w:r>
        <w:rPr>
          <w:rFonts w:hint="eastAsia" w:ascii="仿宋_GB2312" w:hAnsi="仿宋_GB2312" w:eastAsia="仿宋_GB2312" w:cs="仿宋_GB2312"/>
          <w:sz w:val="32"/>
          <w:szCs w:val="32"/>
        </w:rPr>
        <w:t>万元，成交价为</w:t>
      </w:r>
      <w:r>
        <w:rPr>
          <w:rFonts w:hint="default" w:ascii="Times New Roman" w:hAnsi="Times New Roman" w:eastAsia="仿宋_GB2312" w:cs="Times New Roman"/>
          <w:sz w:val="32"/>
          <w:szCs w:val="32"/>
        </w:rPr>
        <w:t>80842.1</w:t>
      </w:r>
      <w:r>
        <w:rPr>
          <w:rFonts w:hint="eastAsia" w:ascii="仿宋_GB2312" w:hAnsi="仿宋_GB2312" w:eastAsia="仿宋_GB2312" w:cs="仿宋_GB2312"/>
          <w:sz w:val="32"/>
          <w:szCs w:val="32"/>
        </w:rPr>
        <w:t>万元，溢价</w:t>
      </w:r>
      <w:r>
        <w:rPr>
          <w:rFonts w:hint="default" w:ascii="Times New Roman" w:hAnsi="Times New Roman" w:eastAsia="仿宋_GB2312" w:cs="Times New Roman"/>
          <w:sz w:val="32"/>
          <w:szCs w:val="32"/>
        </w:rPr>
        <w:t>7510</w:t>
      </w:r>
      <w:r>
        <w:rPr>
          <w:rFonts w:hint="eastAsia" w:ascii="仿宋_GB2312" w:hAnsi="仿宋_GB2312" w:eastAsia="仿宋_GB2312" w:cs="仿宋_GB2312"/>
          <w:sz w:val="32"/>
          <w:szCs w:val="32"/>
        </w:rPr>
        <w:t>万元，溢价率</w:t>
      </w:r>
      <w:r>
        <w:rPr>
          <w:rFonts w:hint="default" w:ascii="Times New Roman" w:hAnsi="Times New Roman" w:eastAsia="仿宋_GB2312" w:cs="Times New Roman"/>
          <w:sz w:val="32"/>
          <w:szCs w:val="32"/>
        </w:rPr>
        <w:t>10.24%。</w:t>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（二）项目效益情况。</w:t>
      </w:r>
    </w:p>
    <w:p>
      <w:pPr>
        <w:spacing w:line="600" w:lineRule="exact"/>
        <w:ind w:firstLine="704" w:firstLineChars="22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一年来，我</w:t>
      </w:r>
      <w:r>
        <w:rPr>
          <w:rFonts w:hint="eastAsia" w:ascii="仿宋_GB2312" w:hAnsi="仿宋_GB2312" w:eastAsia="仿宋_GB2312" w:cs="仿宋_GB2312"/>
          <w:color w:val="000000"/>
          <w:sz w:val="32"/>
          <w:szCs w:val="32"/>
          <w:shd w:val="clear" w:color="auto" w:fill="FFFFFF"/>
          <w:lang w:eastAsia="zh-CN"/>
        </w:rPr>
        <w:t>办</w:t>
      </w:r>
      <w:r>
        <w:rPr>
          <w:rFonts w:hint="eastAsia" w:ascii="仿宋_GB2312" w:hAnsi="仿宋_GB2312" w:eastAsia="仿宋_GB2312" w:cs="仿宋_GB2312"/>
          <w:color w:val="000000"/>
          <w:sz w:val="32"/>
          <w:szCs w:val="32"/>
          <w:shd w:val="clear" w:color="auto" w:fill="FFFFFF"/>
        </w:rPr>
        <w:t>坚持以习近平新时代中国特色社会主义思想为指引，在</w:t>
      </w:r>
      <w:r>
        <w:rPr>
          <w:rFonts w:hint="eastAsia" w:ascii="仿宋_GB2312" w:hAnsi="仿宋_GB2312" w:eastAsia="仿宋_GB2312" w:cs="仿宋_GB2312"/>
          <w:color w:val="000000"/>
          <w:sz w:val="32"/>
          <w:szCs w:val="32"/>
          <w:shd w:val="clear" w:color="auto" w:fill="FFFFFF"/>
          <w:lang w:eastAsia="zh-CN"/>
        </w:rPr>
        <w:t>县</w:t>
      </w:r>
      <w:r>
        <w:rPr>
          <w:rFonts w:hint="eastAsia" w:ascii="仿宋_GB2312" w:hAnsi="仿宋_GB2312" w:eastAsia="仿宋_GB2312" w:cs="仿宋_GB2312"/>
          <w:color w:val="000000"/>
          <w:sz w:val="32"/>
          <w:szCs w:val="32"/>
          <w:shd w:val="clear" w:color="auto" w:fill="FFFFFF"/>
        </w:rPr>
        <w:t>委、</w:t>
      </w:r>
      <w:r>
        <w:rPr>
          <w:rFonts w:hint="eastAsia" w:ascii="仿宋_GB2312" w:hAnsi="仿宋_GB2312" w:eastAsia="仿宋_GB2312" w:cs="仿宋_GB2312"/>
          <w:color w:val="000000"/>
          <w:sz w:val="32"/>
          <w:szCs w:val="32"/>
          <w:shd w:val="clear" w:color="auto" w:fill="FFFFFF"/>
          <w:lang w:eastAsia="zh-CN"/>
        </w:rPr>
        <w:t>县</w:t>
      </w:r>
      <w:r>
        <w:rPr>
          <w:rFonts w:hint="eastAsia" w:ascii="仿宋_GB2312" w:hAnsi="仿宋_GB2312" w:eastAsia="仿宋_GB2312" w:cs="仿宋_GB2312"/>
          <w:color w:val="000000"/>
          <w:sz w:val="32"/>
          <w:szCs w:val="32"/>
          <w:shd w:val="clear" w:color="auto" w:fill="FFFFFF"/>
        </w:rPr>
        <w:t>政府的坚强领导下，进一步突出公共服务职能定位，取得一定成效。</w:t>
      </w:r>
    </w:p>
    <w:p>
      <w:pPr>
        <w:numPr>
          <w:ilvl w:val="0"/>
          <w:numId w:val="8"/>
        </w:numPr>
        <w:spacing w:line="600" w:lineRule="exact"/>
        <w:ind w:firstLine="704" w:firstLineChars="2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经济效益</w:t>
      </w:r>
    </w:p>
    <w:p>
      <w:pPr>
        <w:numPr>
          <w:ilvl w:val="0"/>
          <w:numId w:val="0"/>
        </w:numPr>
        <w:spacing w:line="60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共受理交易项目665宗，受理金额176388.</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万元，成功办理交易项目596宗，交易金额118012.39万元，为政府增收节资15897.72万元（增收7537.6万元，节资8360.12万元）。</w:t>
      </w:r>
      <w:r>
        <w:rPr>
          <w:rFonts w:hint="eastAsia" w:ascii="仿宋_GB2312" w:hAnsi="仿宋_GB2312" w:eastAsia="仿宋_GB2312" w:cs="仿宋_GB2312"/>
          <w:sz w:val="32"/>
          <w:szCs w:val="32"/>
          <w:lang w:eastAsia="zh-CN"/>
        </w:rPr>
        <w:t>完成了全年开展评审项目</w:t>
      </w:r>
      <w:r>
        <w:rPr>
          <w:rFonts w:hint="eastAsia" w:ascii="仿宋_GB2312" w:hAnsi="仿宋_GB2312" w:eastAsia="仿宋_GB2312" w:cs="仿宋_GB2312"/>
          <w:sz w:val="32"/>
          <w:szCs w:val="32"/>
          <w:lang w:val="en-US" w:eastAsia="zh-CN"/>
        </w:rPr>
        <w:t>300宗以上，为政府节约资金，增加财政收入的年度经济效益指标。</w:t>
      </w:r>
    </w:p>
    <w:p>
      <w:pPr>
        <w:numPr>
          <w:ilvl w:val="0"/>
          <w:numId w:val="0"/>
        </w:numPr>
        <w:spacing w:line="600" w:lineRule="exact"/>
        <w:ind w:left="320" w:leftChars="0" w:firstLine="320" w:firstLineChars="1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lang w:eastAsia="zh-CN"/>
        </w:rPr>
        <w:t>社会效益</w:t>
      </w:r>
    </w:p>
    <w:p>
      <w:pPr>
        <w:spacing w:line="600" w:lineRule="exact"/>
        <w:ind w:firstLine="704" w:firstLineChars="22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积极推进全流程电子化交易</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积极抓好政府采购电子化交易，做好政府采购竞争性谈判项目的网上交易，抓好远程异地评标，积极开展政府采购、工程建设项目远程评标，提高评标实效。持续抓好国有产权、土地矿权的网上交易，做到网上全流程、线下无交易。完成了降低交易成本、提升交易便利性的年度</w:t>
      </w:r>
      <w:r>
        <w:rPr>
          <w:rFonts w:hint="eastAsia" w:ascii="仿宋_GB2312" w:hAnsi="仿宋_GB2312" w:eastAsia="仿宋_GB2312" w:cs="仿宋_GB2312"/>
          <w:kern w:val="2"/>
          <w:sz w:val="32"/>
          <w:szCs w:val="32"/>
          <w:lang w:eastAsia="zh-CN"/>
        </w:rPr>
        <w:t>社会效益</w:t>
      </w:r>
      <w:r>
        <w:rPr>
          <w:rFonts w:hint="eastAsia" w:ascii="仿宋_GB2312" w:hAnsi="仿宋_GB2312" w:eastAsia="仿宋_GB2312" w:cs="仿宋_GB2312"/>
          <w:kern w:val="2"/>
          <w:sz w:val="32"/>
          <w:szCs w:val="32"/>
        </w:rPr>
        <w:t>指标。</w:t>
      </w:r>
    </w:p>
    <w:p>
      <w:pPr>
        <w:spacing w:line="600" w:lineRule="exact"/>
        <w:ind w:firstLine="704" w:firstLineChars="22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eastAsia="zh-CN"/>
        </w:rPr>
        <w:t>服务对象满意度</w:t>
      </w:r>
    </w:p>
    <w:p>
      <w:pPr>
        <w:spacing w:line="600" w:lineRule="exact"/>
        <w:ind w:firstLine="704" w:firstLineChars="220"/>
        <w:rPr>
          <w:rFonts w:eastAsia="方正仿宋_GBK"/>
          <w:sz w:val="32"/>
          <w:szCs w:val="32"/>
          <w:lang w:val="zh-CN"/>
        </w:rPr>
      </w:pPr>
      <w:r>
        <w:rPr>
          <w:rFonts w:hint="eastAsia" w:ascii="仿宋_GB2312" w:hAnsi="仿宋_GB2312" w:eastAsia="仿宋_GB2312" w:cs="仿宋_GB2312"/>
          <w:kern w:val="2"/>
          <w:sz w:val="32"/>
          <w:szCs w:val="32"/>
          <w:lang w:eastAsia="zh-CN"/>
        </w:rPr>
        <w:t>我们向服务对象发放问卷调查，从收回的问卷调查了解，社会公众我本部门的工作现状以及服</w:t>
      </w:r>
      <w:r>
        <w:rPr>
          <w:rFonts w:hint="eastAsia" w:ascii="仿宋_GB2312" w:hAnsi="仿宋_GB2312" w:eastAsia="仿宋_GB2312" w:cs="仿宋_GB2312"/>
          <w:color w:val="000000"/>
          <w:sz w:val="32"/>
          <w:szCs w:val="32"/>
          <w:shd w:val="clear" w:color="auto" w:fill="FFFFFF"/>
          <w:lang w:eastAsia="zh-CN"/>
        </w:rPr>
        <w:t>务态度、服务质量等各方面均给予了满意的评价，完成了服务对象满意度</w:t>
      </w:r>
      <w:r>
        <w:rPr>
          <w:rFonts w:hint="eastAsia" w:ascii="仿宋_GB2312" w:hAnsi="仿宋_GB2312" w:eastAsia="仿宋_GB2312" w:cs="仿宋_GB2312"/>
          <w:color w:val="000000"/>
          <w:sz w:val="32"/>
          <w:szCs w:val="32"/>
          <w:shd w:val="clear" w:color="auto" w:fill="FFFFFF"/>
          <w:lang w:val="en-US" w:eastAsia="zh-CN"/>
        </w:rPr>
        <w:t>90%的满意度</w:t>
      </w:r>
      <w:r>
        <w:rPr>
          <w:rFonts w:hint="eastAsia" w:ascii="仿宋_GB2312" w:hAnsi="仿宋_GB2312" w:eastAsia="仿宋_GB2312" w:cs="仿宋_GB2312"/>
          <w:color w:val="000000"/>
          <w:sz w:val="32"/>
          <w:szCs w:val="32"/>
          <w:shd w:val="clear" w:color="auto" w:fill="FFFFFF"/>
          <w:lang w:eastAsia="zh-CN"/>
        </w:rPr>
        <w:t>指标。</w:t>
      </w:r>
    </w:p>
    <w:p>
      <w:pPr>
        <w:adjustRightInd w:val="0"/>
        <w:snapToGrid w:val="0"/>
        <w:spacing w:line="600" w:lineRule="exact"/>
        <w:ind w:firstLine="640" w:firstLineChars="200"/>
        <w:rPr>
          <w:rFonts w:eastAsia="方正黑体_GBK"/>
          <w:sz w:val="32"/>
          <w:szCs w:val="32"/>
        </w:rPr>
      </w:pPr>
      <w:r>
        <w:rPr>
          <w:rFonts w:hint="eastAsia" w:eastAsia="方正黑体_GBK"/>
          <w:sz w:val="32"/>
          <w:szCs w:val="32"/>
        </w:rPr>
        <w:t>五、评价结论及建议</w:t>
      </w:r>
    </w:p>
    <w:p>
      <w:pPr>
        <w:adjustRightInd w:val="0"/>
        <w:snapToGrid w:val="0"/>
        <w:spacing w:line="600" w:lineRule="exact"/>
        <w:ind w:firstLine="642" w:firstLineChars="200"/>
        <w:rPr>
          <w:rFonts w:eastAsia="方正楷体_GBK"/>
          <w:b/>
          <w:color w:val="auto"/>
          <w:sz w:val="32"/>
          <w:szCs w:val="32"/>
          <w:lang w:val="zh-CN"/>
        </w:rPr>
      </w:pPr>
      <w:r>
        <w:rPr>
          <w:rFonts w:hint="eastAsia" w:eastAsia="方正楷体_GBK"/>
          <w:b/>
          <w:color w:val="auto"/>
          <w:sz w:val="32"/>
          <w:szCs w:val="32"/>
          <w:lang w:val="zh-CN"/>
        </w:rPr>
        <w:t>（一）评价结论</w:t>
      </w:r>
    </w:p>
    <w:p>
      <w:pPr>
        <w:numPr>
          <w:ilvl w:val="0"/>
          <w:numId w:val="0"/>
        </w:numPr>
        <w:spacing w:line="600" w:lineRule="exac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2020年我办</w:t>
      </w:r>
      <w:r>
        <w:rPr>
          <w:rFonts w:hint="eastAsia" w:ascii="仿宋_GB2312" w:hAnsi="仿宋_GB2312" w:eastAsia="仿宋_GB2312" w:cs="仿宋_GB2312"/>
          <w:color w:val="000000"/>
          <w:sz w:val="32"/>
          <w:szCs w:val="32"/>
          <w:shd w:val="clear" w:color="auto" w:fill="FFFFFF"/>
          <w:lang w:eastAsia="zh-CN"/>
        </w:rPr>
        <w:t>在县政府高度重视和大力支持下，为公共资源交易营造了良好的氛围，社会满意度不断提高，</w:t>
      </w:r>
      <w:r>
        <w:rPr>
          <w:rFonts w:hint="eastAsia" w:ascii="仿宋_GB2312" w:hAnsi="仿宋_GB2312" w:eastAsia="仿宋_GB2312" w:cs="仿宋_GB2312"/>
          <w:color w:val="000000"/>
          <w:sz w:val="32"/>
          <w:szCs w:val="32"/>
          <w:shd w:val="clear" w:color="auto" w:fill="FFFFFF"/>
          <w:lang w:val="en-US" w:eastAsia="zh-CN"/>
        </w:rPr>
        <w:t>2020</w:t>
      </w:r>
      <w:r>
        <w:rPr>
          <w:rFonts w:hint="eastAsia" w:ascii="仿宋_GB2312" w:hAnsi="仿宋_GB2312" w:eastAsia="仿宋_GB2312" w:cs="仿宋_GB2312"/>
          <w:color w:val="000000"/>
          <w:sz w:val="32"/>
          <w:szCs w:val="32"/>
          <w:shd w:val="clear" w:color="auto" w:fill="FFFFFF"/>
          <w:lang w:eastAsia="zh-CN"/>
        </w:rPr>
        <w:t>年度该项目支出绩效评价得分</w:t>
      </w:r>
      <w:r>
        <w:rPr>
          <w:rFonts w:hint="eastAsia" w:ascii="仿宋_GB2312" w:hAnsi="仿宋_GB2312" w:eastAsia="仿宋_GB2312" w:cs="仿宋_GB2312"/>
          <w:color w:val="000000"/>
          <w:sz w:val="32"/>
          <w:szCs w:val="32"/>
          <w:shd w:val="clear" w:color="auto" w:fill="FFFFFF"/>
          <w:lang w:val="en-US" w:eastAsia="zh-CN"/>
        </w:rPr>
        <w:t>99</w:t>
      </w:r>
      <w:r>
        <w:rPr>
          <w:rFonts w:hint="eastAsia" w:ascii="仿宋_GB2312" w:hAnsi="仿宋_GB2312" w:eastAsia="仿宋_GB2312" w:cs="仿宋_GB2312"/>
          <w:color w:val="000000"/>
          <w:sz w:val="32"/>
          <w:szCs w:val="32"/>
          <w:shd w:val="clear" w:color="auto" w:fill="FFFFFF"/>
          <w:lang w:eastAsia="zh-CN"/>
        </w:rPr>
        <w:t>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绩效目标设定不够科学。在申报部门预算时，绩效目标设定指向不够明确，目标选用重点不突出，定性指标较多，定量指标较少。</w:t>
      </w:r>
    </w:p>
    <w:p>
      <w:pPr>
        <w:adjustRightInd w:val="0"/>
        <w:snapToGrid w:val="0"/>
        <w:spacing w:line="56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废标率较高，专家费开支较大。</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adjustRightInd w:val="0"/>
        <w:snapToGrid w:val="0"/>
        <w:spacing w:line="560" w:lineRule="exact"/>
        <w:ind w:firstLine="1040" w:firstLineChars="32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一、进一步加强预算绩效管理。规范绩效目标编制，科学选定绩效指标，尽量多使用定量指标，合理确定指标标准，加强绩效评价工作，增强单位的支出责任，提高财政资金的使用效益。</w:t>
      </w:r>
    </w:p>
    <w:p>
      <w:pPr>
        <w:adjustRightInd w:val="0"/>
        <w:snapToGrid w:val="0"/>
        <w:spacing w:line="56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二、严格把关采购文件，降低废标率，加大电子化交易、加强异地评标，减少专家评审费中交通费开支。</w:t>
      </w:r>
    </w:p>
    <w:p>
      <w:pPr>
        <w:adjustRightInd w:val="0"/>
        <w:snapToGrid w:val="0"/>
        <w:spacing w:line="560" w:lineRule="exact"/>
        <w:ind w:firstLine="720"/>
        <w:rPr>
          <w:rFonts w:hint="eastAsia" w:ascii="仿宋_GB2312" w:hAnsi="仿宋_GB2312" w:eastAsia="仿宋_GB2312" w:cs="仿宋_GB2312"/>
          <w:sz w:val="32"/>
          <w:szCs w:val="32"/>
          <w:lang w:val="zh-CN" w:eastAsia="zh-CN"/>
        </w:rPr>
      </w:pPr>
    </w:p>
    <w:p>
      <w:pPr>
        <w:adjustRightInd w:val="0"/>
        <w:snapToGrid w:val="0"/>
        <w:spacing w:line="56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邻水县公共资源交易管理服务办公室</w:t>
      </w:r>
    </w:p>
    <w:p>
      <w:pPr>
        <w:adjustRightInd w:val="0"/>
        <w:snapToGrid w:val="0"/>
        <w:spacing w:line="56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32"/>
          <w:szCs w:val="32"/>
          <w:lang w:val="en-US" w:eastAsia="zh-CN"/>
        </w:rPr>
        <w:t>2021年8月23日</w:t>
      </w:r>
    </w:p>
    <w:p>
      <w:pPr>
        <w:rPr>
          <w:sz w:val="32"/>
          <w:szCs w:val="32"/>
        </w:rPr>
      </w:pPr>
    </w:p>
    <w:p/>
    <w:p>
      <w:pPr>
        <w:spacing w:line="580" w:lineRule="exact"/>
        <w:ind w:firstLine="640"/>
        <w:rPr>
          <w:rFonts w:ascii="仿宋_GB2312" w:hAnsi="仿宋_GB2312" w:eastAsia="仿宋_GB2312" w:cs="仿宋_GB2312"/>
          <w:sz w:val="32"/>
          <w:szCs w:val="32"/>
        </w:rPr>
      </w:pPr>
    </w:p>
    <w:p>
      <w:pPr>
        <w:widowControl/>
        <w:jc w:val="left"/>
        <w:rPr>
          <w:rStyle w:val="15"/>
          <w:rFonts w:ascii="黑体" w:hAnsi="黑体" w:eastAsia="黑体"/>
          <w:b w:val="0"/>
        </w:rPr>
      </w:pPr>
    </w:p>
    <w:p>
      <w:pPr>
        <w:widowControl/>
        <w:jc w:val="left"/>
        <w:rPr>
          <w:rStyle w:val="15"/>
          <w:rFonts w:ascii="黑体" w:hAnsi="黑体" w:eastAsia="黑体"/>
          <w:b w:val="0"/>
        </w:rPr>
      </w:pPr>
      <w:r>
        <w:rPr>
          <w:rStyle w:val="15"/>
          <w:rFonts w:ascii="黑体" w:hAnsi="黑体" w:eastAsia="黑体"/>
          <w:b w:val="0"/>
        </w:rPr>
        <w:br w:type="page"/>
      </w:r>
    </w:p>
    <w:p>
      <w:pPr>
        <w:spacing w:line="600" w:lineRule="exact"/>
        <w:jc w:val="center"/>
        <w:outlineLvl w:val="0"/>
        <w:rPr>
          <w:rStyle w:val="15"/>
          <w:rFonts w:ascii="黑体" w:hAnsi="黑体" w:eastAsia="黑体"/>
          <w:b w:val="0"/>
        </w:rPr>
      </w:pPr>
    </w:p>
    <w:p>
      <w:pPr>
        <w:spacing w:line="600" w:lineRule="exact"/>
        <w:jc w:val="center"/>
        <w:outlineLvl w:val="0"/>
        <w:rPr>
          <w:rStyle w:val="15"/>
          <w:rFonts w:ascii="黑体" w:hAnsi="黑体" w:eastAsia="黑体"/>
          <w:b w:val="0"/>
        </w:rPr>
      </w:pPr>
      <w:bookmarkStart w:id="59" w:name="_Toc15396618"/>
      <w:r>
        <w:rPr>
          <w:rFonts w:hint="eastAsia" w:ascii="黑体" w:hAnsi="黑体" w:eastAsia="黑体"/>
          <w:color w:val="000000"/>
          <w:sz w:val="44"/>
          <w:szCs w:val="44"/>
        </w:rPr>
        <w:t>第</w:t>
      </w:r>
      <w:r>
        <w:rPr>
          <w:rStyle w:val="15"/>
          <w:rFonts w:hint="eastAsia" w:ascii="黑体" w:hAnsi="黑体" w:eastAsia="黑体"/>
          <w:b w:val="0"/>
        </w:rPr>
        <w:t>五部分</w:t>
      </w:r>
      <w:r>
        <w:rPr>
          <w:rStyle w:val="15"/>
          <w:rFonts w:ascii="黑体" w:hAnsi="黑体" w:eastAsia="黑体"/>
          <w:b w:val="0"/>
        </w:rPr>
        <w:t xml:space="preserve"> </w:t>
      </w:r>
      <w:r>
        <w:rPr>
          <w:rStyle w:val="15"/>
          <w:rFonts w:hint="eastAsia" w:ascii="黑体" w:hAnsi="黑体" w:eastAsia="黑体"/>
          <w:b w:val="0"/>
        </w:rPr>
        <w:t>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1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1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16"/>
          <w:rFonts w:hint="eastAsia" w:ascii="仿宋" w:hAnsi="仿宋" w:eastAsia="仿宋"/>
          <w:b w:val="0"/>
          <w:bCs w:val="0"/>
        </w:rPr>
        <w:t>三、</w:t>
      </w:r>
      <w:r>
        <w:rPr>
          <w:rFonts w:hint="eastAsia" w:ascii="仿宋" w:hAnsi="仿宋" w:eastAsia="仿宋"/>
          <w:b w:val="0"/>
          <w:color w:val="000000"/>
        </w:rPr>
        <w:t>支</w:t>
      </w:r>
      <w:r>
        <w:rPr>
          <w:rStyle w:val="1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16"/>
          <w:rFonts w:hint="eastAsia" w:ascii="仿宋" w:hAnsi="仿宋" w:eastAsia="仿宋"/>
          <w:b w:val="0"/>
          <w:bCs w:val="0"/>
        </w:rPr>
        <w:t>四、</w:t>
      </w:r>
      <w:r>
        <w:rPr>
          <w:rFonts w:hint="eastAsia" w:ascii="仿宋" w:hAnsi="仿宋" w:eastAsia="仿宋"/>
          <w:b w:val="0"/>
          <w:color w:val="000000"/>
        </w:rPr>
        <w:t>财</w:t>
      </w:r>
      <w:r>
        <w:rPr>
          <w:rStyle w:val="16"/>
          <w:rFonts w:hint="eastAsia" w:ascii="仿宋" w:hAnsi="仿宋" w:eastAsia="仿宋"/>
          <w:b w:val="0"/>
          <w:bCs w:val="0"/>
        </w:rPr>
        <w:t>政拨款收入支出决算总表</w:t>
      </w:r>
      <w:bookmarkEnd w:id="63"/>
    </w:p>
    <w:p>
      <w:pPr>
        <w:pStyle w:val="3"/>
        <w:rPr>
          <w:rStyle w:val="16"/>
          <w:rFonts w:ascii="仿宋" w:hAnsi="仿宋" w:eastAsia="仿宋"/>
          <w:b w:val="0"/>
          <w:bCs w:val="0"/>
        </w:rPr>
      </w:pPr>
      <w:bookmarkStart w:id="64" w:name="_Toc15396623"/>
      <w:r>
        <w:rPr>
          <w:rStyle w:val="16"/>
          <w:rFonts w:hint="eastAsia" w:ascii="仿宋" w:hAnsi="仿宋" w:eastAsia="仿宋"/>
          <w:b w:val="0"/>
          <w:bCs w:val="0"/>
        </w:rPr>
        <w:t>五、</w:t>
      </w:r>
      <w:r>
        <w:rPr>
          <w:rFonts w:hint="eastAsia" w:ascii="仿宋" w:hAnsi="仿宋" w:eastAsia="仿宋"/>
          <w:b w:val="0"/>
          <w:color w:val="000000"/>
        </w:rPr>
        <w:t>财</w:t>
      </w:r>
      <w:r>
        <w:rPr>
          <w:rStyle w:val="1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16"/>
          <w:rFonts w:hint="eastAsia" w:ascii="仿宋" w:hAnsi="仿宋" w:eastAsia="仿宋"/>
          <w:b w:val="0"/>
          <w:bCs w:val="0"/>
        </w:rPr>
        <w:t>六、</w:t>
      </w:r>
      <w:r>
        <w:rPr>
          <w:rFonts w:hint="eastAsia" w:ascii="仿宋" w:hAnsi="仿宋" w:eastAsia="仿宋"/>
          <w:b w:val="0"/>
          <w:color w:val="000000"/>
        </w:rPr>
        <w:t>一</w:t>
      </w:r>
      <w:r>
        <w:rPr>
          <w:rStyle w:val="1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16"/>
          <w:rFonts w:hint="eastAsia" w:ascii="仿宋" w:hAnsi="仿宋" w:eastAsia="仿宋"/>
          <w:b w:val="0"/>
          <w:bCs w:val="0"/>
        </w:rPr>
        <w:t>七、</w:t>
      </w:r>
      <w:r>
        <w:rPr>
          <w:rFonts w:hint="eastAsia" w:ascii="仿宋" w:hAnsi="仿宋" w:eastAsia="仿宋"/>
          <w:b w:val="0"/>
          <w:color w:val="000000"/>
        </w:rPr>
        <w:t>一</w:t>
      </w:r>
      <w:r>
        <w:rPr>
          <w:rStyle w:val="1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16"/>
          <w:rFonts w:hint="eastAsia" w:ascii="仿宋" w:hAnsi="仿宋" w:eastAsia="仿宋"/>
          <w:b w:val="0"/>
          <w:bCs w:val="0"/>
        </w:rPr>
        <w:t>八、</w:t>
      </w:r>
      <w:r>
        <w:rPr>
          <w:rFonts w:hint="eastAsia" w:ascii="仿宋" w:hAnsi="仿宋" w:eastAsia="仿宋"/>
          <w:b w:val="0"/>
          <w:color w:val="000000"/>
        </w:rPr>
        <w:t>一</w:t>
      </w:r>
      <w:r>
        <w:rPr>
          <w:rStyle w:val="1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16"/>
          <w:rFonts w:hint="eastAsia" w:ascii="仿宋" w:hAnsi="仿宋" w:eastAsia="仿宋"/>
          <w:b w:val="0"/>
          <w:bCs w:val="0"/>
        </w:rPr>
        <w:t>九、</w:t>
      </w:r>
      <w:r>
        <w:rPr>
          <w:rFonts w:hint="eastAsia" w:ascii="仿宋" w:hAnsi="仿宋" w:eastAsia="仿宋"/>
          <w:b w:val="0"/>
          <w:color w:val="000000"/>
        </w:rPr>
        <w:t>一</w:t>
      </w:r>
      <w:r>
        <w:rPr>
          <w:rStyle w:val="1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16"/>
          <w:rFonts w:hint="eastAsia" w:ascii="仿宋" w:hAnsi="仿宋" w:eastAsia="仿宋"/>
          <w:b w:val="0"/>
          <w:bCs w:val="0"/>
        </w:rPr>
        <w:t>十、</w:t>
      </w:r>
      <w:r>
        <w:rPr>
          <w:rFonts w:hint="eastAsia" w:ascii="仿宋" w:hAnsi="仿宋" w:eastAsia="仿宋"/>
          <w:b w:val="0"/>
          <w:color w:val="000000"/>
        </w:rPr>
        <w:t>一</w:t>
      </w:r>
      <w:r>
        <w:rPr>
          <w:rStyle w:val="1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16"/>
          <w:rFonts w:hint="eastAsia" w:ascii="仿宋" w:hAnsi="仿宋" w:eastAsia="仿宋"/>
          <w:b w:val="0"/>
          <w:bCs w:val="0"/>
        </w:rPr>
        <w:t>十一、</w:t>
      </w:r>
      <w:r>
        <w:rPr>
          <w:rFonts w:hint="eastAsia" w:ascii="仿宋" w:hAnsi="仿宋" w:eastAsia="仿宋"/>
          <w:b w:val="0"/>
          <w:color w:val="000000"/>
        </w:rPr>
        <w:t>政</w:t>
      </w:r>
      <w:r>
        <w:rPr>
          <w:rStyle w:val="1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16"/>
          <w:rFonts w:hint="eastAsia" w:ascii="仿宋" w:hAnsi="仿宋" w:eastAsia="仿宋"/>
          <w:b w:val="0"/>
          <w:bCs w:val="0"/>
        </w:rPr>
        <w:t>十二、</w:t>
      </w:r>
      <w:r>
        <w:rPr>
          <w:rFonts w:hint="eastAsia" w:ascii="仿宋" w:hAnsi="仿宋" w:eastAsia="仿宋"/>
          <w:b w:val="0"/>
          <w:color w:val="000000"/>
        </w:rPr>
        <w:t>政</w:t>
      </w:r>
      <w:r>
        <w:rPr>
          <w:rStyle w:val="16"/>
          <w:rFonts w:hint="eastAsia" w:ascii="仿宋" w:hAnsi="仿宋" w:eastAsia="仿宋"/>
          <w:b w:val="0"/>
          <w:bCs w:val="0"/>
        </w:rPr>
        <w:t>府性基金预算财政拨款“三公”经费支出决算表</w:t>
      </w:r>
      <w:bookmarkEnd w:id="71"/>
    </w:p>
    <w:p>
      <w:pPr>
        <w:pStyle w:val="3"/>
        <w:rPr>
          <w:rFonts w:ascii="仿宋" w:hAnsi="仿宋" w:eastAsia="仿宋"/>
          <w:color w:val="000000"/>
        </w:rPr>
      </w:pPr>
      <w:bookmarkStart w:id="72" w:name="_Toc15396631"/>
      <w:r>
        <w:rPr>
          <w:rStyle w:val="16"/>
          <w:rFonts w:hint="eastAsia" w:ascii="仿宋" w:hAnsi="仿宋" w:eastAsia="仿宋"/>
          <w:b w:val="0"/>
          <w:bCs w:val="0"/>
        </w:rPr>
        <w:t>十三、</w:t>
      </w:r>
      <w:r>
        <w:rPr>
          <w:rFonts w:hint="eastAsia" w:ascii="仿宋" w:hAnsi="仿宋" w:eastAsia="仿宋"/>
          <w:b w:val="0"/>
          <w:color w:val="000000"/>
        </w:rPr>
        <w:t>国</w:t>
      </w:r>
      <w:r>
        <w:rPr>
          <w:rStyle w:val="16"/>
          <w:rFonts w:hint="eastAsia" w:ascii="仿宋" w:hAnsi="仿宋" w:eastAsia="仿宋"/>
          <w:b w:val="0"/>
          <w:bCs w:val="0"/>
        </w:rPr>
        <w:t>有资本经营预算财政拨款支出决算表</w:t>
      </w:r>
      <w:bookmarkEnd w:id="72"/>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3</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B07C8"/>
    <w:multiLevelType w:val="singleLevel"/>
    <w:tmpl w:val="8A5B07C8"/>
    <w:lvl w:ilvl="0" w:tentative="0">
      <w:start w:val="2"/>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FF72F7C3"/>
    <w:multiLevelType w:val="singleLevel"/>
    <w:tmpl w:val="FF72F7C3"/>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5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204CE997"/>
    <w:multiLevelType w:val="singleLevel"/>
    <w:tmpl w:val="204CE997"/>
    <w:lvl w:ilvl="0" w:tentative="0">
      <w:start w:val="2"/>
      <w:numFmt w:val="chineseCounting"/>
      <w:suff w:val="nothing"/>
      <w:lvlText w:val="（%1）"/>
      <w:lvlJc w:val="left"/>
      <w:pPr>
        <w:ind w:left="70"/>
      </w:pPr>
      <w:rPr>
        <w:rFonts w:hint="eastAsia"/>
      </w:rPr>
    </w:lvl>
  </w:abstractNum>
  <w:abstractNum w:abstractNumId="6">
    <w:nsid w:val="315FFB2D"/>
    <w:multiLevelType w:val="singleLevel"/>
    <w:tmpl w:val="315FFB2D"/>
    <w:lvl w:ilvl="0" w:tentative="0">
      <w:start w:val="2"/>
      <w:numFmt w:val="chineseCounting"/>
      <w:suff w:val="nothing"/>
      <w:lvlText w:val="（%1）"/>
      <w:lvlJc w:val="left"/>
      <w:rPr>
        <w:rFonts w:hint="eastAsia"/>
      </w:rPr>
    </w:lvl>
  </w:abstractNum>
  <w:abstractNum w:abstractNumId="7">
    <w:nsid w:val="56B87F0E"/>
    <w:multiLevelType w:val="singleLevel"/>
    <w:tmpl w:val="56B87F0E"/>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YTRkM2MzNTZlYzc5Njk3MjMzYmEwZGQzZTM1ZWIifQ=="/>
  </w:docVars>
  <w:rsids>
    <w:rsidRoot w:val="012C4DE7"/>
    <w:rsid w:val="012C4DE7"/>
    <w:rsid w:val="15573A04"/>
    <w:rsid w:val="1B982E17"/>
    <w:rsid w:val="20C5169D"/>
    <w:rsid w:val="2D9F5A1D"/>
    <w:rsid w:val="56C00728"/>
    <w:rsid w:val="591159D6"/>
    <w:rsid w:val="65517E92"/>
    <w:rsid w:val="EEAF28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24"/>
      <w:szCs w:val="2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99"/>
    <w:rPr>
      <w:rFonts w:cs="Times New Roman"/>
      <w:b/>
    </w:rPr>
  </w:style>
  <w:style w:type="character" w:styleId="13">
    <w:name w:val="page number"/>
    <w:basedOn w:val="11"/>
    <w:qFormat/>
    <w:uiPriority w:val="99"/>
    <w:rPr>
      <w:rFonts w:cs="Times New Roman"/>
    </w:rPr>
  </w:style>
  <w:style w:type="character" w:styleId="14">
    <w:name w:val="Hyperlink"/>
    <w:basedOn w:val="11"/>
    <w:unhideWhenUsed/>
    <w:qFormat/>
    <w:uiPriority w:val="99"/>
    <w:rPr>
      <w:rFonts w:cs="Times New Roman"/>
      <w:color w:val="0000FF"/>
      <w:u w:val="single"/>
    </w:rPr>
  </w:style>
  <w:style w:type="character" w:customStyle="1" w:styleId="15">
    <w:name w:val=" Char Char6"/>
    <w:basedOn w:val="11"/>
    <w:link w:val="2"/>
    <w:qFormat/>
    <w:locked/>
    <w:uiPriority w:val="9"/>
    <w:rPr>
      <w:b/>
      <w:bCs/>
      <w:kern w:val="44"/>
      <w:sz w:val="44"/>
      <w:szCs w:val="44"/>
    </w:rPr>
  </w:style>
  <w:style w:type="character" w:customStyle="1" w:styleId="16">
    <w:name w:val=" Char Char5"/>
    <w:basedOn w:val="11"/>
    <w:link w:val="3"/>
    <w:qFormat/>
    <w:locked/>
    <w:uiPriority w:val="9"/>
    <w:rPr>
      <w:rFonts w:ascii="Cambria" w:hAnsi="Cambria"/>
      <w:b/>
      <w:bCs/>
      <w:sz w:val="32"/>
      <w:szCs w:val="32"/>
    </w:rPr>
  </w:style>
  <w:style w:type="paragraph" w:customStyle="1" w:styleId="17">
    <w:name w:val="List Paragraph"/>
    <w:basedOn w:val="1"/>
    <w:qFormat/>
    <w:uiPriority w:val="34"/>
    <w:pPr>
      <w:ind w:firstLine="420" w:firstLineChars="200"/>
    </w:p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四号正文"/>
    <w:basedOn w:val="1"/>
    <w:qFormat/>
    <w:uiPriority w:val="99"/>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tx>
            <c:strRef>
              <c:f>Sheet1!$B$1</c:f>
              <c:strCache>
                <c:ptCount val="1"/>
                <c:pt idx="0">
                  <c:v>金额</c:v>
                </c:pt>
              </c:strCache>
            </c:strRef>
          </c:tx>
          <c:spPr/>
          <c:explosion val="0"/>
          <c:dPt>
            <c:idx val="0"/>
            <c:bubble3D val="false"/>
            <c:explosion val="1"/>
            <c:spPr>
              <a:solidFill>
                <a:schemeClr val="accent1"/>
              </a:solidFill>
              <a:ln w="19050">
                <a:solidFill>
                  <a:schemeClr val="lt1"/>
                </a:solidFill>
              </a:ln>
              <a:effectLst/>
            </c:spPr>
          </c:dPt>
          <c:dPt>
            <c:idx val="1"/>
            <c:bubble3D val="false"/>
            <c:explosion val="6"/>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elete val="true"/>
          </c:dLbls>
          <c:cat>
            <c:strRef>
              <c:f>Sheet1!$A$2:$A$5</c:f>
              <c:strCache>
                <c:ptCount val="4"/>
                <c:pt idx="0">
                  <c:v>一般公共预算财政拨款收入</c:v>
                </c:pt>
                <c:pt idx="1">
                  <c:v>政府性基金预算财政拨款收入</c:v>
                </c:pt>
                <c:pt idx="2">
                  <c:v>上级补助收入</c:v>
                </c:pt>
                <c:pt idx="3">
                  <c:v>事业收入</c:v>
                </c:pt>
              </c:strCache>
            </c:strRef>
          </c:cat>
          <c:val>
            <c:numRef>
              <c:f>Sheet1!$B$2:$B$5</c:f>
              <c:numCache>
                <c:formatCode>General</c:formatCode>
                <c:ptCount val="4"/>
                <c:pt idx="0">
                  <c:v>493.63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tx>
            <c:strRef>
              <c:f>Sheet1!$B$1</c:f>
              <c:strCache>
                <c:ptCount val="1"/>
                <c:pt idx="0">
                  <c:v>金额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elete val="true"/>
          </c:dLbls>
          <c:cat>
            <c:strRef>
              <c:f>Sheet1!$A$2:$A$5</c:f>
              <c:strCache>
                <c:ptCount val="4"/>
                <c:pt idx="0">
                  <c:v>基本支出</c:v>
                </c:pt>
                <c:pt idx="1">
                  <c:v>项目支出</c:v>
                </c:pt>
                <c:pt idx="2">
                  <c:v>上缴上级支出</c:v>
                </c:pt>
                <c:pt idx="3">
                  <c:v>经营支出</c:v>
                </c:pt>
              </c:strCache>
            </c:strRef>
          </c:cat>
          <c:val>
            <c:numRef>
              <c:f>Sheet1!$B$2:$B$5</c:f>
              <c:numCache>
                <c:formatCode>General</c:formatCode>
                <c:ptCount val="4"/>
                <c:pt idx="0">
                  <c:v>493.63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2781875"/>
          <c:y val="0.9395"/>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243"/>
          <c:y val="0.0853194038972061"/>
        </c:manualLayout>
      </c:layout>
      <c:overlay val="false"/>
      <c:spPr>
        <a:noFill/>
        <a:ln>
          <a:noFill/>
        </a:ln>
        <a:effectLst/>
      </c:spPr>
    </c:title>
    <c:autoTitleDeleted val="false"/>
    <c:plotArea>
      <c:layout>
        <c:manualLayout>
          <c:layoutTarget val="inner"/>
          <c:xMode val="edge"/>
          <c:yMode val="edge"/>
          <c:x val="0.047075"/>
          <c:y val="0.291420383844567"/>
          <c:w val="0.927925"/>
          <c:h val="0.469294880275169"/>
        </c:manualLayout>
      </c:layout>
      <c:barChart>
        <c:barDir val="col"/>
        <c:grouping val="clustered"/>
        <c:varyColors val="false"/>
        <c:ser>
          <c:idx val="0"/>
          <c:order val="0"/>
          <c:tx>
            <c:strRef>
              <c:f>Sheet1!$B$1</c:f>
              <c:strCache>
                <c:ptCount val="1"/>
                <c:pt idx="0">
                  <c:v>2019年</c:v>
                </c:pt>
              </c:strCache>
            </c:strRef>
          </c:tx>
          <c:spPr>
            <a:solidFill>
              <a:schemeClr val="accent1"/>
            </a:solidFill>
            <a:ln>
              <a:noFill/>
            </a:ln>
            <a:effectLst/>
          </c:spPr>
          <c:invertIfNegative val="false"/>
          <c:dLbls>
            <c:delete val="true"/>
          </c:dLbls>
          <c:cat>
            <c:strRef>
              <c:f>Sheet1!$A$2:$A$3</c:f>
              <c:strCache>
                <c:ptCount val="2"/>
                <c:pt idx="0">
                  <c:v>2019年</c:v>
                </c:pt>
                <c:pt idx="1">
                  <c:v>2020年</c:v>
                </c:pt>
              </c:strCache>
            </c:strRef>
          </c:cat>
          <c:val>
            <c:numRef>
              <c:f>Sheet1!$B$2:$B$3</c:f>
              <c:numCache>
                <c:formatCode>General</c:formatCode>
                <c:ptCount val="2"/>
                <c:pt idx="0">
                  <c:v>826.24</c:v>
                </c:pt>
              </c:numCache>
            </c:numRef>
          </c:val>
        </c:ser>
        <c:ser>
          <c:idx val="1"/>
          <c:order val="1"/>
          <c:tx>
            <c:strRef>
              <c:f>Sheet1!$C$1</c:f>
              <c:strCache>
                <c:ptCount val="1"/>
                <c:pt idx="0">
                  <c:v>2020年</c:v>
                </c:pt>
              </c:strCache>
            </c:strRef>
          </c:tx>
          <c:spPr>
            <a:solidFill>
              <a:schemeClr val="accent2"/>
            </a:solidFill>
            <a:ln>
              <a:noFill/>
            </a:ln>
            <a:effectLst/>
          </c:spPr>
          <c:invertIfNegative val="false"/>
          <c:dLbls>
            <c:delete val="true"/>
          </c:dLbls>
          <c:cat>
            <c:strRef>
              <c:f>Sheet1!$A$2:$A$3</c:f>
              <c:strCache>
                <c:ptCount val="2"/>
                <c:pt idx="0">
                  <c:v>2019年</c:v>
                </c:pt>
                <c:pt idx="1">
                  <c:v>2020年</c:v>
                </c:pt>
              </c:strCache>
            </c:strRef>
          </c:cat>
          <c:val>
            <c:numRef>
              <c:f>Sheet1!$C$2:$C$3</c:f>
              <c:numCache>
                <c:formatCode>General</c:formatCode>
                <c:ptCount val="2"/>
                <c:pt idx="1">
                  <c:v>993.26</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465131314"/>
        <c:axId val="881638013"/>
      </c:barChart>
      <c:catAx>
        <c:axId val="46513131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81638013"/>
        <c:crosses val="autoZero"/>
        <c:auto val="true"/>
        <c:lblAlgn val="ctr"/>
        <c:lblOffset val="100"/>
        <c:noMultiLvlLbl val="false"/>
      </c:catAx>
      <c:valAx>
        <c:axId val="88163801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65131314"/>
        <c:crosses val="autoZero"/>
        <c:crossBetween val="between"/>
      </c:valAx>
      <c:spPr>
        <a:noFill/>
        <a:ln>
          <a:noFill/>
        </a:ln>
        <a:effectLst/>
      </c:spPr>
    </c:plotArea>
    <c:legend>
      <c:legendPos val="b"/>
      <c:legendEntry>
        <c:idx val="2"/>
        <c:delete val="true"/>
      </c:legendEntry>
      <c:layout>
        <c:manualLayout>
          <c:xMode val="edge"/>
          <c:yMode val="edge"/>
          <c:x val="0.369375"/>
          <c:y val="0.939166666666667"/>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2020年</c:v>
                </c:pt>
              </c:strCache>
            </c:strRef>
          </c:tx>
          <c:spPr>
            <a:solidFill>
              <a:schemeClr val="accent1"/>
            </a:solidFill>
            <a:ln>
              <a:noFill/>
            </a:ln>
            <a:effectLst/>
          </c:spPr>
          <c:invertIfNegative val="false"/>
          <c:dLbls>
            <c:delete val="true"/>
          </c:dLbls>
          <c:cat>
            <c:strRef>
              <c:f>Sheet1!$A$2:$A$3</c:f>
              <c:strCache>
                <c:ptCount val="2"/>
                <c:pt idx="0">
                  <c:v>2020年</c:v>
                </c:pt>
                <c:pt idx="1">
                  <c:v>2019年</c:v>
                </c:pt>
              </c:strCache>
            </c:strRef>
          </c:cat>
          <c:val>
            <c:numRef>
              <c:f>Sheet1!$B$2:$B$3</c:f>
              <c:numCache>
                <c:formatCode>General</c:formatCode>
                <c:ptCount val="2"/>
                <c:pt idx="0">
                  <c:v>493.63</c:v>
                </c:pt>
              </c:numCache>
            </c:numRef>
          </c:val>
        </c:ser>
        <c:ser>
          <c:idx val="1"/>
          <c:order val="1"/>
          <c:tx>
            <c:strRef>
              <c:f>Sheet1!$C$1</c:f>
              <c:strCache>
                <c:ptCount val="1"/>
                <c:pt idx="0">
                  <c:v>2019年</c:v>
                </c:pt>
              </c:strCache>
            </c:strRef>
          </c:tx>
          <c:spPr>
            <a:solidFill>
              <a:schemeClr val="accent2"/>
            </a:solidFill>
            <a:ln>
              <a:noFill/>
            </a:ln>
            <a:effectLst/>
          </c:spPr>
          <c:invertIfNegative val="false"/>
          <c:dLbls>
            <c:delete val="true"/>
          </c:dLbls>
          <c:cat>
            <c:strRef>
              <c:f>Sheet1!$A$2:$A$3</c:f>
              <c:strCache>
                <c:ptCount val="2"/>
                <c:pt idx="0">
                  <c:v>2020年</c:v>
                </c:pt>
                <c:pt idx="1">
                  <c:v>2019年</c:v>
                </c:pt>
              </c:strCache>
            </c:strRef>
          </c:cat>
          <c:val>
            <c:numRef>
              <c:f>Sheet1!$C$2:$C$3</c:f>
              <c:numCache>
                <c:formatCode>General</c:formatCode>
                <c:ptCount val="2"/>
                <c:pt idx="1">
                  <c:v>413.12</c:v>
                </c:pt>
              </c:numCache>
            </c:numRef>
          </c:val>
        </c:ser>
        <c:dLbls>
          <c:showLegendKey val="false"/>
          <c:showVal val="false"/>
          <c:showCatName val="false"/>
          <c:showSerName val="false"/>
          <c:showPercent val="false"/>
          <c:showBubbleSize val="false"/>
        </c:dLbls>
        <c:gapWidth val="219"/>
        <c:overlap val="-27"/>
        <c:axId val="313664381"/>
        <c:axId val="736114021"/>
      </c:barChart>
      <c:catAx>
        <c:axId val="31366438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36114021"/>
        <c:crosses val="autoZero"/>
        <c:auto val="true"/>
        <c:lblAlgn val="ctr"/>
        <c:lblOffset val="100"/>
        <c:noMultiLvlLbl val="false"/>
      </c:catAx>
      <c:valAx>
        <c:axId val="736114021"/>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3664381"/>
        <c:crosses val="autoZero"/>
        <c:crossBetween val="between"/>
      </c:valAx>
      <c:spPr>
        <a:noFill/>
        <a:ln>
          <a:noFill/>
        </a:ln>
        <a:effectLst/>
      </c:spPr>
    </c:plotArea>
    <c:legend>
      <c:legendPos val="b"/>
      <c:layout>
        <c:manualLayout>
          <c:xMode val="edge"/>
          <c:yMode val="edge"/>
          <c:x val="0.358125"/>
          <c:y val="0.83984752162251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8625"/>
          <c:y val="0.00784313725490196"/>
        </c:manualLayout>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金额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c:v>
                </c:pt>
                <c:pt idx="1">
                  <c:v>社会保障和就业</c:v>
                </c:pt>
                <c:pt idx="2">
                  <c:v>卫生健康支出</c:v>
                </c:pt>
                <c:pt idx="3">
                  <c:v>住房保障支出</c:v>
                </c:pt>
              </c:strCache>
            </c:strRef>
          </c:cat>
          <c:val>
            <c:numRef>
              <c:f>Sheet1!$B$2:$B$5</c:f>
              <c:numCache>
                <c:formatCode>General</c:formatCode>
                <c:ptCount val="4"/>
                <c:pt idx="0">
                  <c:v>457.79</c:v>
                </c:pt>
                <c:pt idx="1">
                  <c:v>16.85</c:v>
                </c:pt>
                <c:pt idx="2">
                  <c:v>6.35</c:v>
                </c:pt>
                <c:pt idx="3">
                  <c:v>15.65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三公经费财政拨款支出结构</a:t>
            </a:r>
            <a:r>
              <a:rPr lang="en-US" altLang="zh-CN"/>
              <a:t>”</a:t>
            </a:r>
            <a:endParaRPr lang="en-US" altLang="zh-CN"/>
          </a:p>
        </c:rich>
      </c:tx>
      <c:layout>
        <c:manualLayout>
          <c:xMode val="edge"/>
          <c:yMode val="edge"/>
          <c:x val="0.161502849002849"/>
          <c:y val="0.0459255770136599"/>
        </c:manualLayout>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Sheet1!$A$2:$A$4</c:f>
              <c:strCache>
                <c:ptCount val="3"/>
                <c:pt idx="0">
                  <c:v>因公出国（境）费支出决算</c:v>
                </c:pt>
                <c:pt idx="1">
                  <c:v>公务用车购置及运行维护费支出决算</c:v>
                </c:pt>
                <c:pt idx="2">
                  <c:v>公务接待费支出决算</c:v>
                </c:pt>
              </c:strCache>
            </c:strRef>
          </c:cat>
          <c:val>
            <c:numRef>
              <c:f>Sheet1!$B$2:$B$4</c:f>
              <c:numCache>
                <c:formatCode>General</c:formatCode>
                <c:ptCount val="3"/>
                <c:pt idx="0">
                  <c:v>0</c:v>
                </c:pt>
                <c:pt idx="1">
                  <c:v>0</c:v>
                </c:pt>
                <c:pt idx="2">
                  <c:v>0.71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11007</Words>
  <Characters>11792</Characters>
  <Lines>0</Lines>
  <Paragraphs>0</Paragraphs>
  <TotalTime>3</TotalTime>
  <ScaleCrop>false</ScaleCrop>
  <LinksUpToDate>false</LinksUpToDate>
  <CharactersWithSpaces>11934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2021-08-23T16:57:00Z</dcterms:created>
  <dc:creator>koala</dc:creator>
  <cp:lastModifiedBy>kylin</cp:lastModifiedBy>
  <dcterms:modified xsi:type="dcterms:W3CDTF">2024-01-31T08:38:24Z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CBEDBA304B7C4B9B95C3DF43A10C2798</vt:lpwstr>
  </property>
</Properties>
</file>