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880" w:firstLineChars="200"/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邻水县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  <w:lang w:eastAsia="zh-CN"/>
        </w:rPr>
        <w:t>公共资源交易管理服务办公室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国有资产占用使用情况</w:t>
      </w: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年末固定资产金额为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178.93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万元,其中：办公用房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平方米，价值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万元；车辆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 辆，价值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万元；土地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平米，价值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万元；通用设备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295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件，价值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140.68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万元；专用设备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件，价值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0.66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万元；家具类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177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件，价值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37.59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万元，其它类资产件，价值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万元。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4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widowControl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邻水县公共资源交易管理服务办公室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/>
        <w:spacing w:line="4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2020年6月5日</w:t>
      </w: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763EC8"/>
    <w:rsid w:val="000553BE"/>
    <w:rsid w:val="00684205"/>
    <w:rsid w:val="007471A9"/>
    <w:rsid w:val="00E31A6A"/>
    <w:rsid w:val="0E4A1DFC"/>
    <w:rsid w:val="1D763EC8"/>
    <w:rsid w:val="237E38A7"/>
    <w:rsid w:val="359B6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2019-05-20T03:43:00Z</dcterms:created>
  <dc:creator>我要一颗糖</dc:creator>
  <cp:lastModifiedBy>koala</cp:lastModifiedBy>
  <cp:lastPrinted>2019-05-20T08:50:00Z</cp:lastPrinted>
  <dcterms:modified xsi:type="dcterms:W3CDTF">2020-06-12T07:20:47Z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