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73" w:name="_GoBack"/>
      <w:bookmarkEnd w:id="73"/>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4</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52"/>
          <w:szCs w:val="52"/>
        </w:rPr>
      </w:pPr>
      <w:bookmarkStart w:id="6" w:name="_Toc15377194"/>
      <w:bookmarkStart w:id="7" w:name="_Toc15378442"/>
      <w:bookmarkStart w:id="8" w:name="_Toc15396476"/>
      <w:bookmarkStart w:id="9" w:name="_Toc15396598"/>
      <w:bookmarkStart w:id="10" w:name="_Toc15377426"/>
      <w:r>
        <w:rPr>
          <w:rFonts w:hint="eastAsia" w:ascii="方正小标宋简体" w:hAnsi="宋体" w:eastAsia="方正小标宋简体"/>
          <w:color w:val="000000"/>
          <w:sz w:val="52"/>
          <w:szCs w:val="52"/>
        </w:rPr>
        <w:t>四川省</w:t>
      </w:r>
      <w:bookmarkEnd w:id="0"/>
      <w:bookmarkStart w:id="11" w:name="_Toc15306268"/>
      <w:r>
        <w:rPr>
          <w:rFonts w:hint="eastAsia" w:ascii="方正小标宋简体" w:hAnsi="宋体" w:eastAsia="方正小标宋简体"/>
          <w:color w:val="000000"/>
          <w:sz w:val="52"/>
          <w:szCs w:val="52"/>
        </w:rPr>
        <w:t>邻水县人大常委会办公室</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w:t>
      </w:r>
      <w:r>
        <w:t>2021</w:t>
      </w:r>
      <w:r>
        <w:rPr>
          <w:rFonts w:hint="eastAsia"/>
        </w:rPr>
        <w:t>年8月23日</w:t>
      </w: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sz w:val="24"/>
        </w:rPr>
      </w:pPr>
      <w:r>
        <w:rPr>
          <w:rFonts w:hint="eastAsia"/>
          <w:sz w:val="24"/>
        </w:rPr>
        <w:t>二、收入决算情况说明</w:t>
      </w:r>
    </w:p>
    <w:p>
      <w:pPr>
        <w:pStyle w:val="11"/>
        <w:adjustRightInd w:val="0"/>
        <w:snapToGrid w:val="0"/>
        <w:spacing w:line="440" w:lineRule="exact"/>
        <w:jc w:val="left"/>
        <w:rPr>
          <w:rFonts w:ascii="仿宋" w:hAnsi="仿宋" w:eastAsia="仿宋"/>
          <w:sz w:val="24"/>
        </w:rPr>
      </w:pPr>
      <w:r>
        <w:rPr>
          <w:rFonts w:hint="eastAsia"/>
          <w:sz w:val="24"/>
        </w:rPr>
        <w:t>三、支出决算情况说明</w:t>
      </w:r>
    </w:p>
    <w:p>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p>
    <w:p>
      <w:pPr>
        <w:adjustRightInd w:val="0"/>
        <w:snapToGrid w:val="0"/>
        <w:spacing w:line="440" w:lineRule="exact"/>
        <w:ind w:firstLine="480" w:firstLineChars="200"/>
        <w:jc w:val="left"/>
        <w:rPr>
          <w:rFonts w:ascii="仿宋" w:hAnsi="仿宋" w:eastAsia="仿宋"/>
          <w:sz w:val="24"/>
        </w:rPr>
      </w:pPr>
      <w:r>
        <w:rPr>
          <w:rStyle w:val="1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sz w:val="24"/>
        </w:rPr>
      </w:pPr>
      <w:r>
        <w:rPr>
          <w:rFonts w:hint="eastAsia"/>
          <w:sz w:val="24"/>
        </w:rPr>
        <w:t>附件</w:t>
      </w:r>
      <w:r>
        <w:rPr>
          <w:sz w:val="24"/>
        </w:rPr>
        <w:t>2</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hint="eastAsia" w:ascii="仿宋" w:hAnsi="仿宋" w:eastAsia="仿宋"/>
          <w:sz w:val="24"/>
        </w:rPr>
      </w:pPr>
      <w:r>
        <w:rPr>
          <w:rFonts w:hint="eastAsia" w:ascii="仿宋" w:hAnsi="仿宋" w:eastAsia="仿宋"/>
          <w:sz w:val="24"/>
        </w:rPr>
        <w:t>十三、国有资本经营预算财政拨款收入支出决算表</w:t>
      </w:r>
    </w:p>
    <w:p>
      <w:pPr>
        <w:pStyle w:val="11"/>
        <w:adjustRightInd w:val="0"/>
        <w:snapToGrid w:val="0"/>
        <w:spacing w:line="440" w:lineRule="exact"/>
        <w:jc w:val="left"/>
        <w:rPr>
          <w:rFonts w:hint="eastAsia" w:ascii="仿宋" w:hAnsi="仿宋" w:eastAsia="仿宋"/>
          <w:sz w:val="24"/>
        </w:rPr>
      </w:pPr>
      <w:r>
        <w:rPr>
          <w:rFonts w:hint="eastAsia" w:ascii="仿宋" w:hAnsi="仿宋" w:eastAsia="仿宋"/>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1.对县人民政府相关部门的工作联系，定期召开联</w:t>
      </w:r>
      <w:r>
        <w:rPr>
          <w:rFonts w:hint="eastAsia" w:ascii="仿宋" w:hAnsi="仿宋" w:eastAsia="仿宋"/>
          <w:bCs/>
          <w:color w:val="000000"/>
          <w:sz w:val="32"/>
          <w:szCs w:val="32"/>
          <w:lang w:eastAsia="zh-CN"/>
        </w:rPr>
        <w:t>席</w:t>
      </w:r>
      <w:r>
        <w:rPr>
          <w:rFonts w:hint="eastAsia" w:ascii="仿宋" w:hAnsi="仿宋" w:eastAsia="仿宋"/>
          <w:bCs/>
          <w:color w:val="000000"/>
          <w:sz w:val="32"/>
          <w:szCs w:val="32"/>
        </w:rPr>
        <w:t>会议制度。</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2.认真对县政府相关部门和法检两院实行执法检查、工作监督等具体工作。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3.开展法律法规及各级人大常委会关于有关方面的决议、决定在本县的贯彻实施情况，提出调查报告。</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4.开展好代表小组活动，并将代表的建议和意见报主任会议批准后交有关单位认真办理。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5.承办代表大会会议、常委会会议、主任会议和常委会党组会议的筹备和会务工作；负责县人大及其常委会文电、档案、保密、文印工作。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6.负责县人大常委会的对外宣传工作，组织对县</w:t>
      </w:r>
      <w:r>
        <w:rPr>
          <w:rFonts w:hint="default" w:ascii="仿宋" w:hAnsi="仿宋" w:eastAsia="仿宋"/>
          <w:bCs/>
          <w:color w:val="000000"/>
          <w:sz w:val="32"/>
          <w:szCs w:val="32"/>
          <w:lang w:val="en"/>
        </w:rPr>
        <w:t>人民代表大会</w:t>
      </w:r>
      <w:r>
        <w:rPr>
          <w:rFonts w:hint="eastAsia" w:ascii="仿宋" w:hAnsi="仿宋" w:eastAsia="仿宋"/>
          <w:bCs/>
          <w:color w:val="000000"/>
          <w:sz w:val="32"/>
          <w:szCs w:val="32"/>
        </w:rPr>
        <w:t>、县人大常委会会议以及民主法制建设、人大制度、人大工作的宣传。</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7.负责县人大常委会及工作委员会人事管理和安全保卫工作，负责对县人大机关退休人员的统一管理和服务。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8.承担县人大机关的行政事务工作和对上级人大、外地人大来县考察的接待工作。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rPr>
      </w:pPr>
      <w:r>
        <w:rPr>
          <w:rFonts w:hint="eastAsia" w:ascii="仿宋" w:hAnsi="仿宋" w:eastAsia="仿宋"/>
          <w:bCs/>
          <w:color w:val="000000"/>
          <w:sz w:val="32"/>
          <w:szCs w:val="32"/>
        </w:rPr>
        <w:t>9.围绕县人大及其常委会会议审议的议案开展调查研究，提供调研报告及国内外、省内外、县内外有关资料。</w:t>
      </w:r>
    </w:p>
    <w:bookmarkEnd w:id="16"/>
    <w:bookmarkEnd w:id="17"/>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pPr>
        <w:widowControl/>
        <w:spacing w:line="590" w:lineRule="exact"/>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一年来，我们在县委的坚强领导下，认真履行宪法和法律赋予的职责，圆满完成了县十八届人大六次会议确定的目标任务，为助力夺取疫情防控和经济社会发展双胜利，加快邻水进城入圈贡献了人大力量。先后召集县</w:t>
      </w:r>
      <w:r>
        <w:rPr>
          <w:rFonts w:hint="default" w:ascii="仿宋" w:hAnsi="仿宋" w:eastAsia="仿宋"/>
          <w:bCs/>
          <w:color w:val="000000"/>
          <w:kern w:val="0"/>
          <w:sz w:val="32"/>
          <w:szCs w:val="32"/>
          <w:lang w:val="en"/>
        </w:rPr>
        <w:t>人民代表大会</w:t>
      </w:r>
      <w:r>
        <w:rPr>
          <w:rFonts w:hint="eastAsia" w:ascii="仿宋" w:hAnsi="仿宋" w:eastAsia="仿宋"/>
          <w:bCs/>
          <w:color w:val="000000"/>
          <w:kern w:val="0"/>
          <w:sz w:val="32"/>
          <w:szCs w:val="32"/>
        </w:rPr>
        <w:t>1次、举行常委会会议10次、召开主任会议15次、听取和审议“一府两院”专项工作报告26个、执法检查1项、专题询问2项、代表视察6次、作出决议决定11个、工作评议4个部门、述职测评5人、选举任免国家工作人员78人次。一年来，我们工作的主要特点是：一是在贯彻县委决策部署上坚决有力；二是在夺取疫情防控胜利上勇于担当；三是在助推经济社会发展上务实监督；四是在推进民主法治建设上积极作为；五是在依法保障代表履职上彰显力度；六是在全面加强自身建设上持续用力。</w:t>
      </w:r>
    </w:p>
    <w:p>
      <w:pPr>
        <w:pStyle w:val="3"/>
        <w:rPr>
          <w:rFonts w:ascii="黑体" w:hAnsi="黑体" w:eastAsia="黑体"/>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pStyle w:val="5"/>
        <w:adjustRightInd w:val="0"/>
        <w:snapToGrid w:val="0"/>
        <w:spacing w:before="93"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邻水县人民代表大会常务委员会机关属于</w:t>
      </w:r>
      <w:r>
        <w:rPr>
          <w:rFonts w:hint="eastAsia" w:ascii="仿宋" w:hAnsi="仿宋" w:eastAsia="仿宋"/>
          <w:bCs/>
          <w:color w:val="000000"/>
          <w:sz w:val="32"/>
          <w:szCs w:val="32"/>
          <w:lang w:eastAsia="zh-CN"/>
        </w:rPr>
        <w:t>独立核算的一级</w:t>
      </w:r>
      <w:r>
        <w:rPr>
          <w:rFonts w:hint="eastAsia" w:ascii="仿宋" w:hAnsi="仿宋" w:eastAsia="仿宋"/>
          <w:bCs/>
          <w:color w:val="000000"/>
          <w:sz w:val="32"/>
          <w:szCs w:val="32"/>
        </w:rPr>
        <w:t>行政单位</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内设8个联系委员会（正科级单位），即（监察和司法委员会、经济委员会、农业和农村委员会、教育科学文化卫生委员会、城乡建设环境资源保护委员会、备案审查委员会、预算委员会、社会建设委员会）；3个办事机构（正科级单位），即（人大常委会办公室、研究室、信访办）；1个工作机构（正科级单位），即选举任免和代表联络工作委员会。人大常委会办公室设股室2个，研究室设股室2个，单位人员编制21个，在职实有人员28人，退休人员29人。</w:t>
      </w:r>
    </w:p>
    <w:p>
      <w:pPr>
        <w:widowControl/>
        <w:jc w:val="left"/>
        <w:rPr>
          <w:rFonts w:ascii="仿宋" w:hAnsi="仿宋" w:eastAsia="仿宋"/>
          <w:color w:val="000000"/>
          <w:kern w:val="0"/>
          <w:sz w:val="32"/>
          <w:szCs w:val="32"/>
        </w:rPr>
      </w:pPr>
    </w:p>
    <w:p>
      <w:pPr>
        <w:pStyle w:val="2"/>
        <w:ind w:right="440"/>
        <w:jc w:val="right"/>
        <w:rPr>
          <w:rStyle w:val="1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2020</w:t>
      </w:r>
      <w:r>
        <w:rPr>
          <w:rStyle w:val="16"/>
          <w:rFonts w:hint="eastAsia" w:ascii="黑体" w:hAnsi="黑体" w:eastAsia="黑体"/>
          <w:b w:val="0"/>
          <w:bCs w:val="0"/>
        </w:rPr>
        <w:t>年度部门决算情况说明</w:t>
      </w:r>
      <w:bookmarkEnd w:id="22"/>
      <w:bookmarkEnd w:id="23"/>
    </w:p>
    <w:p/>
    <w:p>
      <w:pPr>
        <w:pStyle w:val="27"/>
        <w:numPr>
          <w:ilvl w:val="0"/>
          <w:numId w:val="1"/>
        </w:numPr>
        <w:spacing w:line="600" w:lineRule="exact"/>
        <w:ind w:firstLineChars="0"/>
        <w:outlineLvl w:val="1"/>
        <w:rPr>
          <w:rStyle w:val="1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年度收、支总计931.62万元。与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年相比，收、支总计各增加15.39万元，增长1</w:t>
      </w:r>
      <w:r>
        <w:rPr>
          <w:rFonts w:ascii="仿宋" w:hAnsi="仿宋" w:eastAsia="仿宋"/>
          <w:color w:val="000000"/>
          <w:sz w:val="32"/>
          <w:szCs w:val="32"/>
        </w:rPr>
        <w:t>%</w:t>
      </w:r>
      <w:r>
        <w:rPr>
          <w:rFonts w:hint="eastAsia" w:ascii="仿宋" w:hAnsi="仿宋" w:eastAsia="仿宋"/>
          <w:color w:val="000000"/>
          <w:sz w:val="32"/>
          <w:szCs w:val="32"/>
        </w:rPr>
        <w:t>。主要变动原因是人员有新增。</w:t>
      </w:r>
    </w:p>
    <w:p>
      <w:pPr>
        <w:spacing w:line="59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rPr>
          <w:rFonts w:hint="eastAsia"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657225</wp:posOffset>
            </wp:positionH>
            <wp:positionV relativeFrom="paragraph">
              <wp:posOffset>179705</wp:posOffset>
            </wp:positionV>
            <wp:extent cx="3873500" cy="2545715"/>
            <wp:effectExtent l="4445" t="5080" r="8255" b="20955"/>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pStyle w:val="27"/>
        <w:numPr>
          <w:ilvl w:val="0"/>
          <w:numId w:val="1"/>
        </w:numPr>
        <w:spacing w:line="600" w:lineRule="exact"/>
        <w:ind w:firstLineChars="0"/>
        <w:outlineLvl w:val="1"/>
        <w:rPr>
          <w:rStyle w:val="1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年本年收入合计931.62万元，其中：一般公共预算财政拨款收入931.62万元，占100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420" w:firstLineChars="200"/>
        <w:outlineLvl w:val="1"/>
        <w:rPr>
          <w:rFonts w:hint="eastAsia" w:ascii="仿宋" w:hAnsi="仿宋" w:eastAsia="仿宋"/>
          <w:color w:val="000000"/>
          <w:sz w:val="32"/>
          <w:szCs w:val="32"/>
        </w:rPr>
      </w:pPr>
      <w:r>
        <w:drawing>
          <wp:anchor distT="0" distB="0" distL="114300" distR="114300" simplePos="0" relativeHeight="251660288" behindDoc="1" locked="0" layoutInCell="1" allowOverlap="1">
            <wp:simplePos x="0" y="0"/>
            <wp:positionH relativeFrom="column">
              <wp:posOffset>309245</wp:posOffset>
            </wp:positionH>
            <wp:positionV relativeFrom="paragraph">
              <wp:posOffset>80645</wp:posOffset>
            </wp:positionV>
            <wp:extent cx="4572000" cy="2743200"/>
            <wp:effectExtent l="4445" t="4445" r="14605" b="14605"/>
            <wp:wrapTight wrapText="bothSides">
              <wp:wrapPolygon>
                <wp:start x="21591" y="-2"/>
                <wp:lineTo x="0" y="0"/>
                <wp:lineTo x="0" y="21600"/>
                <wp:lineTo x="21591" y="21602"/>
                <wp:lineTo x="8" y="21602"/>
                <wp:lineTo x="21599" y="21600"/>
                <wp:lineTo x="21599" y="0"/>
                <wp:lineTo x="8" y="-2"/>
                <wp:lineTo x="21591" y="-2"/>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numPr>
          <w:ilvl w:val="0"/>
          <w:numId w:val="1"/>
        </w:numPr>
        <w:spacing w:line="600" w:lineRule="exact"/>
        <w:ind w:firstLineChars="0"/>
        <w:outlineLvl w:val="1"/>
        <w:rPr>
          <w:rStyle w:val="1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年本年支出合计931.62万元，其中：基本支出716.62万元，占77</w:t>
      </w:r>
      <w:r>
        <w:rPr>
          <w:rFonts w:ascii="仿宋" w:hAnsi="仿宋" w:eastAsia="仿宋"/>
          <w:color w:val="000000"/>
          <w:sz w:val="32"/>
          <w:szCs w:val="32"/>
        </w:rPr>
        <w:t>%</w:t>
      </w:r>
      <w:r>
        <w:rPr>
          <w:rFonts w:hint="eastAsia" w:ascii="仿宋" w:hAnsi="仿宋" w:eastAsia="仿宋"/>
          <w:color w:val="000000"/>
          <w:sz w:val="32"/>
          <w:szCs w:val="32"/>
        </w:rPr>
        <w:t>；项目支出215万元，占23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bookmarkStart w:id="30" w:name="_Toc15396606"/>
      <w:bookmarkStart w:id="31" w:name="_Toc15377208"/>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420" w:firstLineChars="200"/>
        <w:outlineLvl w:val="1"/>
        <w:rPr>
          <w:rFonts w:hint="eastAsia" w:ascii="黑体" w:hAnsi="黑体" w:eastAsia="黑体"/>
          <w:color w:val="000000"/>
          <w:sz w:val="32"/>
          <w:szCs w:val="32"/>
        </w:rPr>
      </w:pPr>
      <w:r>
        <w:drawing>
          <wp:anchor distT="0" distB="0" distL="114300" distR="114300" simplePos="0" relativeHeight="251661312" behindDoc="1" locked="0" layoutInCell="1" allowOverlap="1">
            <wp:simplePos x="0" y="0"/>
            <wp:positionH relativeFrom="column">
              <wp:posOffset>223520</wp:posOffset>
            </wp:positionH>
            <wp:positionV relativeFrom="paragraph">
              <wp:posOffset>229870</wp:posOffset>
            </wp:positionV>
            <wp:extent cx="4277360" cy="2566035"/>
            <wp:effectExtent l="4445" t="4445" r="23495" b="20320"/>
            <wp:wrapTight wrapText="bothSides">
              <wp:wrapPolygon>
                <wp:start x="21591" y="-2"/>
                <wp:lineTo x="0" y="0"/>
                <wp:lineTo x="0" y="21600"/>
                <wp:lineTo x="21591" y="21602"/>
                <wp:lineTo x="8" y="21602"/>
                <wp:lineTo x="21599" y="21600"/>
                <wp:lineTo x="21599" y="0"/>
                <wp:lineTo x="8" y="-2"/>
                <wp:lineTo x="21591" y="-2"/>
              </wp:wrapPolygon>
            </wp:wrapTight>
            <wp:docPr id="3" name="图片 7"/>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17"/>
          <w:rFonts w:ascii="黑体" w:hAnsi="黑体" w:eastAsia="黑体"/>
          <w:b w:val="0"/>
        </w:rPr>
      </w:pPr>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年财政拨款收、支总计931.62万元。与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年相比，财政拨款收、支总计各增加15.39万元，增长1</w:t>
      </w:r>
      <w:r>
        <w:rPr>
          <w:rFonts w:ascii="仿宋" w:hAnsi="仿宋" w:eastAsia="仿宋"/>
          <w:color w:val="000000"/>
          <w:sz w:val="32"/>
          <w:szCs w:val="32"/>
        </w:rPr>
        <w:t>%</w:t>
      </w:r>
      <w:r>
        <w:rPr>
          <w:rFonts w:hint="eastAsia" w:ascii="仿宋" w:hAnsi="仿宋" w:eastAsia="仿宋"/>
          <w:color w:val="000000"/>
          <w:sz w:val="32"/>
          <w:szCs w:val="32"/>
        </w:rPr>
        <w:t>。主要变动原因是人员有新增。</w:t>
      </w:r>
    </w:p>
    <w:p>
      <w:pPr>
        <w:spacing w:line="600" w:lineRule="exact"/>
        <w:ind w:firstLine="320" w:firstLineChars="100"/>
        <w:rPr>
          <w:rFonts w:ascii="仿宋" w:hAnsi="仿宋" w:eastAsia="仿宋"/>
          <w:color w:val="000000"/>
          <w:sz w:val="32"/>
          <w:szCs w:val="32"/>
        </w:rPr>
      </w:pPr>
      <w:bookmarkStart w:id="32" w:name="_Toc15396607"/>
      <w:bookmarkStart w:id="33" w:name="_Toc15377209"/>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420" w:firstLineChars="200"/>
        <w:outlineLvl w:val="1"/>
        <w:rPr>
          <w:rFonts w:hint="eastAsia" w:ascii="黑体" w:hAnsi="黑体" w:eastAsia="黑体"/>
          <w:color w:val="000000"/>
          <w:sz w:val="32"/>
          <w:szCs w:val="32"/>
        </w:rPr>
      </w:pPr>
      <w:r>
        <w:drawing>
          <wp:anchor distT="0" distB="0" distL="114300" distR="114300" simplePos="0" relativeHeight="251662336" behindDoc="1" locked="0" layoutInCell="1" allowOverlap="1">
            <wp:simplePos x="0" y="0"/>
            <wp:positionH relativeFrom="column">
              <wp:posOffset>251460</wp:posOffset>
            </wp:positionH>
            <wp:positionV relativeFrom="paragraph">
              <wp:posOffset>109220</wp:posOffset>
            </wp:positionV>
            <wp:extent cx="4224020" cy="2470150"/>
            <wp:effectExtent l="4445" t="4445" r="19685" b="20955"/>
            <wp:wrapTight wrapText="bothSides">
              <wp:wrapPolygon>
                <wp:start x="21592" y="-2"/>
                <wp:lineTo x="0" y="0"/>
                <wp:lineTo x="0" y="21600"/>
                <wp:lineTo x="21592" y="21602"/>
                <wp:lineTo x="8" y="21602"/>
                <wp:lineTo x="21600" y="21600"/>
                <wp:lineTo x="21600" y="0"/>
                <wp:lineTo x="8" y="-2"/>
                <wp:lineTo x="21592" y="-2"/>
              </wp:wrapPolygon>
            </wp:wrapTight>
            <wp:docPr id="4" name="图片 8"/>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1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年一般公共预算财政拨款支出931.62万元，占本年支出合计的100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年相比，一般公共预算财政拨款增加15.39万元，增长1</w:t>
      </w:r>
      <w:r>
        <w:rPr>
          <w:rFonts w:ascii="仿宋" w:hAnsi="仿宋" w:eastAsia="仿宋"/>
          <w:color w:val="000000"/>
          <w:sz w:val="32"/>
          <w:szCs w:val="32"/>
        </w:rPr>
        <w:t>%</w:t>
      </w:r>
      <w:r>
        <w:rPr>
          <w:rFonts w:hint="eastAsia" w:ascii="仿宋" w:hAnsi="仿宋" w:eastAsia="仿宋"/>
          <w:color w:val="000000"/>
          <w:sz w:val="32"/>
          <w:szCs w:val="32"/>
        </w:rPr>
        <w:t>。主要变动原因是人员新增。</w:t>
      </w:r>
    </w:p>
    <w:p>
      <w:pPr>
        <w:spacing w:line="600" w:lineRule="exact"/>
        <w:rPr>
          <w:rFonts w:ascii="仿宋" w:hAnsi="仿宋" w:eastAsia="仿宋"/>
          <w:color w:val="000000"/>
          <w:sz w:val="32"/>
          <w:szCs w:val="32"/>
        </w:rPr>
      </w:pPr>
      <w:r>
        <w:drawing>
          <wp:anchor distT="0" distB="0" distL="114300" distR="114300" simplePos="0" relativeHeight="251663360" behindDoc="1" locked="0" layoutInCell="1" allowOverlap="1">
            <wp:simplePos x="0" y="0"/>
            <wp:positionH relativeFrom="column">
              <wp:posOffset>669925</wp:posOffset>
            </wp:positionH>
            <wp:positionV relativeFrom="paragraph">
              <wp:posOffset>541655</wp:posOffset>
            </wp:positionV>
            <wp:extent cx="3556635" cy="1948815"/>
            <wp:effectExtent l="4445" t="4445" r="20320" b="8890"/>
            <wp:wrapTight wrapText="bothSides">
              <wp:wrapPolygon>
                <wp:start x="21591" y="-2"/>
                <wp:lineTo x="0" y="0"/>
                <wp:lineTo x="0" y="21600"/>
                <wp:lineTo x="21591" y="21602"/>
                <wp:lineTo x="8" y="21602"/>
                <wp:lineTo x="21599" y="21600"/>
                <wp:lineTo x="21599" y="0"/>
                <wp:lineTo x="8" y="-2"/>
                <wp:lineTo x="21591" y="-2"/>
              </wp:wrapPolygon>
            </wp:wrapTight>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年一般公共预算财政拨款支出931.62万元，主要用于以下方面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支出498.92万元，占54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支出358.14万元，占38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19.15万元，占2</w:t>
      </w:r>
      <w:r>
        <w:rPr>
          <w:rFonts w:ascii="仿宋" w:hAnsi="仿宋" w:eastAsia="仿宋"/>
          <w:color w:val="000000"/>
          <w:sz w:val="32"/>
          <w:szCs w:val="32"/>
        </w:rPr>
        <w:t>%</w:t>
      </w:r>
      <w:r>
        <w:rPr>
          <w:rFonts w:hint="eastAsia" w:ascii="仿宋" w:hAnsi="仿宋" w:eastAsia="仿宋"/>
          <w:color w:val="000000"/>
          <w:sz w:val="32"/>
          <w:szCs w:val="32"/>
        </w:rPr>
        <w:t>；住房保障支出55.41万元，占6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r>
        <w:drawing>
          <wp:anchor distT="0" distB="0" distL="114300" distR="114300" simplePos="0" relativeHeight="251664384" behindDoc="1" locked="0" layoutInCell="1" allowOverlap="1">
            <wp:simplePos x="0" y="0"/>
            <wp:positionH relativeFrom="column">
              <wp:posOffset>86995</wp:posOffset>
            </wp:positionH>
            <wp:positionV relativeFrom="paragraph">
              <wp:posOffset>109220</wp:posOffset>
            </wp:positionV>
            <wp:extent cx="5276850" cy="2876550"/>
            <wp:effectExtent l="4445" t="4445" r="14605" b="14605"/>
            <wp:wrapTight wrapText="bothSides">
              <wp:wrapPolygon>
                <wp:start x="21592" y="-2"/>
                <wp:lineTo x="0" y="0"/>
                <wp:lineTo x="0" y="21600"/>
                <wp:lineTo x="21592" y="21602"/>
                <wp:lineTo x="8" y="21602"/>
                <wp:lineTo x="21600" y="21600"/>
                <wp:lineTo x="21600" y="0"/>
                <wp:lineTo x="8" y="-2"/>
                <wp:lineTo x="21592" y="-2"/>
              </wp:wrapPolygon>
            </wp:wrapTight>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年一般公共预算支出决算数为931.62万元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一般公共服务（类）201（款）01（项）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sz w:val="32"/>
          <w:szCs w:val="32"/>
        </w:rPr>
        <w:t>498.92</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社会保障和就业（类）208（款）01-99（项）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sz w:val="32"/>
          <w:szCs w:val="32"/>
        </w:rPr>
        <w:t>358.14</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（类）210（款）07-11（项）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支出决算为19.15万元，完成预算100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Fonts w:hint="eastAsia" w:ascii="仿宋" w:hAnsi="仿宋" w:eastAsia="仿宋"/>
          <w:b/>
          <w:bCs/>
          <w:color w:val="000000"/>
          <w:sz w:val="32"/>
          <w:szCs w:val="32"/>
        </w:rPr>
        <w:t xml:space="preserve"> 住房保障</w:t>
      </w:r>
      <w:r>
        <w:rPr>
          <w:rStyle w:val="14"/>
          <w:rFonts w:hint="eastAsia" w:ascii="仿宋" w:hAnsi="仿宋" w:eastAsia="仿宋"/>
          <w:bCs/>
          <w:color w:val="000000"/>
          <w:sz w:val="32"/>
          <w:szCs w:val="32"/>
        </w:rPr>
        <w:t>（类）221（款）02（项）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 xml:space="preserve"> 支出决算为55.41万元，完成预算100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1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年一般公共预算财政拨款基本支出931.62万元，其中：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726.62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215万元，主要包括：办公费、印刷费、水费、电费、邮电费、差旅费、维修（护）费、会议费、培训费、公务接待费、劳务费、工会经费、福利费、其他交通费、其他商品和服务支出、办公设备购置等。</w:t>
      </w:r>
    </w:p>
    <w:p>
      <w:pPr>
        <w:spacing w:line="600" w:lineRule="exact"/>
        <w:ind w:firstLine="640" w:firstLineChars="200"/>
        <w:outlineLvl w:val="1"/>
        <w:rPr>
          <w:rStyle w:val="1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年“三公”经费财政拨款支出决算为0.53万元，完成预算6</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，决算数小于预算数的主要原因是节约开支。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年“三公”经费财政拨款支出决算中，因公出国（境）费支出决算0万元；公务用车购置及运行维护费支出决算0万元；公务接待费支出决算0.53万元，占100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1" locked="0" layoutInCell="1" allowOverlap="1">
            <wp:simplePos x="0" y="0"/>
            <wp:positionH relativeFrom="column">
              <wp:posOffset>239395</wp:posOffset>
            </wp:positionH>
            <wp:positionV relativeFrom="paragraph">
              <wp:posOffset>404495</wp:posOffset>
            </wp:positionV>
            <wp:extent cx="5276850" cy="2057400"/>
            <wp:effectExtent l="4445" t="4445" r="14605" b="14605"/>
            <wp:wrapTight wrapText="bothSides">
              <wp:wrapPolygon>
                <wp:start x="21592" y="-2"/>
                <wp:lineTo x="0" y="0"/>
                <wp:lineTo x="0" y="21600"/>
                <wp:lineTo x="21592" y="21602"/>
                <wp:lineTo x="8" y="21602"/>
                <wp:lineTo x="21600" y="21600"/>
                <wp:lineTo x="21600" y="0"/>
                <wp:lineTo x="8" y="-2"/>
                <wp:lineTo x="21592" y="-2"/>
              </wp:wrapPolygon>
            </wp:wrapTight>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0.53万元，</w:t>
      </w:r>
      <w:r>
        <w:rPr>
          <w:rStyle w:val="14"/>
          <w:rFonts w:hint="eastAsia" w:ascii="仿宋" w:hAnsi="仿宋" w:eastAsia="仿宋"/>
          <w:b w:val="0"/>
          <w:bCs/>
          <w:color w:val="000000"/>
          <w:sz w:val="32"/>
          <w:szCs w:val="32"/>
        </w:rPr>
        <w:t>完成预算6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年减少0.26万元，下降33</w:t>
      </w:r>
      <w:r>
        <w:rPr>
          <w:rFonts w:ascii="仿宋_GB2312" w:eastAsia="仿宋_GB2312"/>
          <w:color w:val="000000"/>
          <w:sz w:val="32"/>
          <w:szCs w:val="32"/>
        </w:rPr>
        <w:t>%</w:t>
      </w:r>
      <w:r>
        <w:rPr>
          <w:rFonts w:hint="eastAsia" w:ascii="仿宋_GB2312" w:eastAsia="仿宋_GB2312"/>
          <w:color w:val="000000"/>
          <w:sz w:val="32"/>
          <w:szCs w:val="32"/>
        </w:rPr>
        <w:t>。主要原因是节约开支。其中：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0.53</w:t>
      </w:r>
      <w:r>
        <w:rPr>
          <w:rFonts w:hint="eastAsia" w:ascii="仿宋_GB2312" w:eastAsia="仿宋_GB2312"/>
          <w:color w:val="000000"/>
          <w:sz w:val="32"/>
          <w:szCs w:val="32"/>
        </w:rPr>
        <w:t>万元，主要用于人大常委会相关工作</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2批次，22人次（不包括陪同人员），共计支出0.53万元，具体内容包括：1、省人大常委会机关一行来邻开展视察工作，住宿费4200元；2、省人大农业农村委一行来邻开展走访企业、群众等工作公务接待费1106元。</w:t>
      </w:r>
      <w:bookmarkStart w:id="46" w:name="_Toc15396610"/>
      <w:bookmarkStart w:id="47" w:name="_Toc15377218"/>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pPr>
        <w:numPr>
          <w:ilvl w:val="0"/>
          <w:numId w:val="2"/>
        </w:numPr>
        <w:spacing w:line="600" w:lineRule="exact"/>
        <w:ind w:firstLine="640"/>
        <w:outlineLvl w:val="1"/>
        <w:rPr>
          <w:rStyle w:val="17"/>
          <w:rFonts w:ascii="黑体" w:hAnsi="黑体" w:eastAsia="黑体"/>
          <w:b w:val="0"/>
        </w:rPr>
      </w:pPr>
      <w:bookmarkStart w:id="48" w:name="_Toc15377219"/>
      <w:bookmarkStart w:id="49" w:name="_Toc15396611"/>
      <w:r>
        <w:rPr>
          <w:rStyle w:val="1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年，邻水县人大常委会办公室机关运行经费支出283.42万元，比</w:t>
      </w:r>
      <w:r>
        <w:rPr>
          <w:rFonts w:ascii="仿宋_GB2312" w:eastAsia="仿宋_GB2312"/>
          <w:color w:val="000000"/>
          <w:sz w:val="32"/>
          <w:szCs w:val="32"/>
        </w:rPr>
        <w:t>2019</w:t>
      </w:r>
      <w:r>
        <w:rPr>
          <w:rFonts w:hint="eastAsia" w:ascii="仿宋_GB2312" w:eastAsia="仿宋_GB2312"/>
          <w:color w:val="000000"/>
          <w:sz w:val="32"/>
          <w:szCs w:val="32"/>
        </w:rPr>
        <w:t>年增加32.08万元，增长12</w:t>
      </w:r>
      <w:r>
        <w:rPr>
          <w:rFonts w:ascii="仿宋_GB2312" w:eastAsia="仿宋_GB2312"/>
          <w:color w:val="000000"/>
          <w:sz w:val="32"/>
          <w:szCs w:val="32"/>
        </w:rPr>
        <w:t>%</w:t>
      </w:r>
      <w:r>
        <w:rPr>
          <w:rFonts w:hint="eastAsia" w:ascii="仿宋_GB2312" w:eastAsia="仿宋_GB2312"/>
          <w:color w:val="000000"/>
          <w:sz w:val="32"/>
          <w:szCs w:val="32"/>
        </w:rPr>
        <w:t>。主要原因是人大监督、视察和调研工作、法制专题工作、工作评议、专委会工作、常委会工作、</w:t>
      </w:r>
      <w:r>
        <w:rPr>
          <w:rFonts w:hint="default" w:ascii="仿宋_GB2312" w:eastAsia="仿宋_GB2312"/>
          <w:color w:val="000000"/>
          <w:sz w:val="32"/>
          <w:szCs w:val="32"/>
          <w:lang w:val="en"/>
        </w:rPr>
        <w:t>人民代表大会</w:t>
      </w:r>
      <w:r>
        <w:rPr>
          <w:rFonts w:hint="eastAsia" w:ascii="仿宋_GB2312" w:eastAsia="仿宋_GB2312"/>
          <w:color w:val="000000"/>
          <w:sz w:val="32"/>
          <w:szCs w:val="32"/>
        </w:rPr>
        <w:t>会议、人大代表活动等相关工作量增加。</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年，邻水县人大常委会办公室政府采购支出总额13.38万元，其中：政府采购办公用品支出13.38万元，主要用于日常办公用品购置、人大会议等具体工作。</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日，邻水县人大常委会办公室共有车辆0辆，其中：主要领导干部用车0辆、机要通信用车0辆、应急保障用车0辆、其他用车0辆……其他用车主要是用于……单价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人大专项经费和人大专项经费1这2个项目开展了预算事前绩效评估，对2个项目编制了绩效目标，预算执行过程中，选取2个项目开展绩效监控，年终执行完毕后，对2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年部门整体支出开展绩效自评。本部门还自行组织了2个项目支出绩效评价，从评价情况来看2020年人大监督、视察和调研工作、法制专题工作、工作评议、专委会工作、常委会工作、</w:t>
      </w:r>
      <w:r>
        <w:rPr>
          <w:rFonts w:hint="default" w:ascii="仿宋_GB2312" w:hAnsi="仿宋_GB2312" w:eastAsia="仿宋_GB2312" w:cs="仿宋_GB2312"/>
          <w:sz w:val="32"/>
          <w:szCs w:val="32"/>
          <w:lang w:val="en"/>
        </w:rPr>
        <w:t>人民代表大会</w:t>
      </w:r>
      <w:r>
        <w:rPr>
          <w:rFonts w:hint="eastAsia" w:ascii="仿宋_GB2312" w:hAnsi="仿宋_GB2312" w:eastAsia="仿宋_GB2312" w:cs="仿宋_GB2312"/>
          <w:sz w:val="32"/>
          <w:szCs w:val="32"/>
        </w:rPr>
        <w:t>会议、人大代表活动等相关工作开展了项目支出绩效评价，达到了预期效果。</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年度部门决算中反映2个项目绩效目标实际完成情况。（本单位部门项目绩效目标个数在5个以上的，选取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）人大经费项目绩效目标完成情况综述。项目全年预算数215万元，执行数为215万元，完成预算的100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。通过项目实施，保障人大日常工作的正常运行，促进了经济发展建设的务实监督、完成了2020年人大监督、视察和调研工作、法制专题工作、工作评议、专委会工作、常委会工作、</w:t>
      </w:r>
      <w:r>
        <w:rPr>
          <w:rFonts w:hint="default" w:ascii="仿宋_GB2312" w:hAnsi="仿宋_GB2312" w:eastAsia="仿宋_GB2312" w:cs="仿宋_GB2312"/>
          <w:sz w:val="32"/>
          <w:szCs w:val="32"/>
          <w:lang w:val="en"/>
        </w:rPr>
        <w:t>人民代表大会</w:t>
      </w:r>
      <w:r>
        <w:rPr>
          <w:rFonts w:hint="eastAsia" w:ascii="仿宋_GB2312" w:hAnsi="仿宋_GB2312" w:eastAsia="仿宋_GB2312" w:cs="仿宋_GB2312"/>
          <w:sz w:val="32"/>
          <w:szCs w:val="32"/>
        </w:rPr>
        <w:t>会议、人大代表活动等相关工作等工作，提高了工作效率和工作质量，发现的主要问题：人大工作水平还有待提升。下一步改进措施：切实发挥代表作用，提高人大工作水平。</w:t>
      </w: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1175"/>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人大专项经费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邻水县人大常委会办公室</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185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185</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185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185</w:t>
            </w:r>
          </w:p>
        </w:tc>
      </w:tr>
      <w:tr>
        <w:tblPrEx>
          <w:tblCellMar>
            <w:top w:w="0" w:type="dxa"/>
            <w:left w:w="0" w:type="dxa"/>
            <w:bottom w:w="0" w:type="dxa"/>
            <w:right w:w="0" w:type="dxa"/>
          </w:tblCellMar>
        </w:tblPrEx>
        <w:trPr>
          <w:trHeight w:val="158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2020年人大监督、视察和调研工作、法制专题工作、工作评议、专委会工作、常委会工作、</w:t>
            </w:r>
            <w:r>
              <w:rPr>
                <w:rFonts w:hint="default" w:ascii="宋体" w:cs="宋体"/>
                <w:color w:val="000000"/>
                <w:sz w:val="24"/>
                <w:lang w:val="en"/>
              </w:rPr>
              <w:t>人民代表大会</w:t>
            </w:r>
            <w:r>
              <w:rPr>
                <w:rFonts w:hint="eastAsia" w:ascii="宋体" w:cs="宋体"/>
                <w:color w:val="000000"/>
                <w:sz w:val="24"/>
              </w:rPr>
              <w:t>会议、人大代表活动等相关工作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2020年人大监督、视察和调研工作、法制专题工作、工作评议、专委会工作、常委会工作、</w:t>
            </w:r>
            <w:r>
              <w:rPr>
                <w:rFonts w:hint="default" w:ascii="宋体" w:cs="宋体"/>
                <w:color w:val="000000"/>
                <w:sz w:val="24"/>
                <w:lang w:val="en"/>
              </w:rPr>
              <w:t>人民代表大会</w:t>
            </w:r>
            <w:r>
              <w:rPr>
                <w:rFonts w:hint="eastAsia" w:ascii="宋体" w:cs="宋体"/>
                <w:color w:val="000000"/>
                <w:sz w:val="24"/>
              </w:rPr>
              <w:t>会议、人大代表活动等相关工作</w:t>
            </w:r>
          </w:p>
        </w:tc>
      </w:tr>
      <w:tr>
        <w:tblPrEx>
          <w:tblCellMar>
            <w:top w:w="0" w:type="dxa"/>
            <w:left w:w="0" w:type="dxa"/>
            <w:bottom w:w="0" w:type="dxa"/>
            <w:right w:w="0" w:type="dxa"/>
          </w:tblCellMar>
        </w:tblPrEx>
        <w:trPr>
          <w:trHeight w:val="867" w:hRule="atLeast"/>
          <w:jc w:val="center"/>
        </w:trPr>
        <w:tc>
          <w:tcPr>
            <w:tcW w:w="58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预期指标值</w:t>
            </w:r>
            <w:r>
              <w:rPr>
                <w:rFonts w:ascii="宋体" w:hAnsi="宋体" w:cs="宋体"/>
                <w:color w:val="000000"/>
                <w:kern w:val="0"/>
                <w:szCs w:val="21"/>
                <w:lang w:bidi="ar"/>
              </w:rPr>
              <w:t>(</w:t>
            </w:r>
            <w:r>
              <w:rPr>
                <w:rFonts w:hint="eastAsia" w:ascii="宋体" w:hAnsi="宋体" w:cs="宋体"/>
                <w:color w:val="000000"/>
                <w:kern w:val="0"/>
                <w:szCs w:val="21"/>
                <w:lang w:bidi="ar"/>
              </w:rPr>
              <w:t>包含数字及文字描述</w:t>
            </w:r>
            <w:r>
              <w:rPr>
                <w:rFonts w:ascii="宋体" w:hAnsi="宋体" w:cs="宋体"/>
                <w:color w:val="000000"/>
                <w:kern w:val="0"/>
                <w:szCs w:val="21"/>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实际完成指标值</w:t>
            </w:r>
            <w:r>
              <w:rPr>
                <w:rFonts w:ascii="宋体" w:hAnsi="宋体" w:cs="宋体"/>
                <w:color w:val="000000"/>
                <w:kern w:val="0"/>
                <w:szCs w:val="21"/>
                <w:lang w:bidi="ar"/>
              </w:rPr>
              <w:t>(</w:t>
            </w:r>
            <w:r>
              <w:rPr>
                <w:rFonts w:hint="eastAsia" w:ascii="宋体" w:hAnsi="宋体" w:cs="宋体"/>
                <w:color w:val="000000"/>
                <w:kern w:val="0"/>
                <w:szCs w:val="21"/>
                <w:lang w:bidi="ar"/>
              </w:rPr>
              <w:t>包含数字及文字描述</w:t>
            </w:r>
            <w:r>
              <w:rPr>
                <w:rFonts w:ascii="宋体" w:hAnsi="宋体" w:cs="宋体"/>
                <w:color w:val="000000"/>
                <w:kern w:val="0"/>
                <w:szCs w:val="21"/>
                <w:lang w:bidi="ar"/>
              </w:rPr>
              <w:t>)</w:t>
            </w:r>
          </w:p>
        </w:tc>
      </w:tr>
      <w:tr>
        <w:tblPrEx>
          <w:tblCellMar>
            <w:top w:w="0" w:type="dxa"/>
            <w:left w:w="0" w:type="dxa"/>
            <w:bottom w:w="0" w:type="dxa"/>
            <w:right w:w="0" w:type="dxa"/>
          </w:tblCellMar>
        </w:tblPrEx>
        <w:trPr>
          <w:trHeight w:val="953"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专项经费范围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人大监督、视察和调研工作、法制专题工作、工作评议、专委会工作、常委会工作、</w:t>
            </w:r>
            <w:r>
              <w:rPr>
                <w:rFonts w:hint="default" w:ascii="宋体" w:cs="宋体"/>
                <w:color w:val="000000"/>
                <w:szCs w:val="21"/>
                <w:lang w:val="en"/>
              </w:rPr>
              <w:t>人民代表大会</w:t>
            </w:r>
            <w:r>
              <w:rPr>
                <w:rFonts w:hint="eastAsia" w:ascii="宋体" w:cs="宋体"/>
                <w:color w:val="000000"/>
                <w:szCs w:val="21"/>
              </w:rPr>
              <w:t>会议、人大代表活动等相关工作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人大监督、视察和调研工作、法制专题工作、工作评议、专委会工作、常委会工作、</w:t>
            </w:r>
            <w:r>
              <w:rPr>
                <w:rFonts w:hint="default" w:ascii="宋体" w:cs="宋体"/>
                <w:color w:val="000000"/>
                <w:szCs w:val="21"/>
                <w:lang w:val="en"/>
              </w:rPr>
              <w:t>人民代表大会</w:t>
            </w:r>
            <w:r>
              <w:rPr>
                <w:rFonts w:hint="eastAsia" w:ascii="宋体" w:cs="宋体"/>
                <w:color w:val="000000"/>
                <w:szCs w:val="21"/>
              </w:rPr>
              <w:t>会议、人大代表活动等相关工作</w:t>
            </w:r>
          </w:p>
        </w:tc>
      </w:tr>
      <w:tr>
        <w:tblPrEx>
          <w:tblCellMar>
            <w:top w:w="0" w:type="dxa"/>
            <w:left w:w="0" w:type="dxa"/>
            <w:bottom w:w="0" w:type="dxa"/>
            <w:right w:w="0" w:type="dxa"/>
          </w:tblCellMar>
        </w:tblPrEx>
        <w:trPr>
          <w:trHeight w:val="520"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高质量完成全年各项工作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r>
      <w:tr>
        <w:tblPrEx>
          <w:tblCellMar>
            <w:top w:w="0" w:type="dxa"/>
            <w:left w:w="0" w:type="dxa"/>
            <w:bottom w:w="0" w:type="dxa"/>
            <w:right w:w="0" w:type="dxa"/>
          </w:tblCellMar>
        </w:tblPrEx>
        <w:trPr>
          <w:trHeight w:val="571"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及时高效完成相关工作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r>
      <w:tr>
        <w:tblPrEx>
          <w:tblCellMar>
            <w:top w:w="0" w:type="dxa"/>
            <w:left w:w="0" w:type="dxa"/>
            <w:bottom w:w="0" w:type="dxa"/>
            <w:right w:w="0" w:type="dxa"/>
          </w:tblCellMar>
        </w:tblPrEx>
        <w:trPr>
          <w:trHeight w:val="482"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Cs w:val="21"/>
                <w:lang w:bidi="ar"/>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建设节约型机关</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≤185万元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≤185万元</w:t>
            </w:r>
          </w:p>
        </w:tc>
      </w:tr>
      <w:tr>
        <w:tblPrEx>
          <w:tblCellMar>
            <w:top w:w="0" w:type="dxa"/>
            <w:left w:w="0" w:type="dxa"/>
            <w:bottom w:w="0" w:type="dxa"/>
            <w:right w:w="0" w:type="dxa"/>
          </w:tblCellMar>
        </w:tblPrEx>
        <w:trPr>
          <w:trHeight w:val="548"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形成良好的社会效益</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更好地服务于民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更好地服务于民</w:t>
            </w:r>
          </w:p>
        </w:tc>
      </w:tr>
      <w:tr>
        <w:tblPrEx>
          <w:tblCellMar>
            <w:top w:w="0" w:type="dxa"/>
            <w:left w:w="0" w:type="dxa"/>
            <w:bottom w:w="0" w:type="dxa"/>
            <w:right w:w="0" w:type="dxa"/>
          </w:tblCellMar>
        </w:tblPrEx>
        <w:trPr>
          <w:trHeight w:val="755"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≥90%</w:t>
            </w:r>
          </w:p>
        </w:tc>
      </w:tr>
    </w:tbl>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1175"/>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人大专项经费1</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邻水县人大常委会办公室</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30</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30</w:t>
            </w:r>
          </w:p>
        </w:tc>
      </w:tr>
      <w:tr>
        <w:tblPrEx>
          <w:tblCellMar>
            <w:top w:w="0" w:type="dxa"/>
            <w:left w:w="0" w:type="dxa"/>
            <w:bottom w:w="0" w:type="dxa"/>
            <w:right w:w="0" w:type="dxa"/>
          </w:tblCellMar>
        </w:tblPrEx>
        <w:trPr>
          <w:trHeight w:val="158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2020年人大监督、视察和调研工作、法制专题工作、工作评议、专委会工作、常委会工作、</w:t>
            </w:r>
            <w:r>
              <w:rPr>
                <w:rFonts w:hint="default" w:ascii="宋体" w:cs="宋体"/>
                <w:color w:val="000000"/>
                <w:sz w:val="24"/>
                <w:lang w:val="en"/>
              </w:rPr>
              <w:t>人民代表大会</w:t>
            </w:r>
            <w:r>
              <w:rPr>
                <w:rFonts w:hint="eastAsia" w:ascii="宋体" w:cs="宋体"/>
                <w:color w:val="000000"/>
                <w:sz w:val="24"/>
              </w:rPr>
              <w:t>会议、人大代表活动等相关工作</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2020年人大监督、视察和调研工作、法制专题工作、工作评议、专委会工作、常委会工作、</w:t>
            </w:r>
            <w:r>
              <w:rPr>
                <w:rFonts w:hint="default" w:ascii="宋体" w:cs="宋体"/>
                <w:color w:val="000000"/>
                <w:sz w:val="24"/>
                <w:lang w:val="en"/>
              </w:rPr>
              <w:t>人民代表大会</w:t>
            </w:r>
            <w:r>
              <w:rPr>
                <w:rFonts w:hint="eastAsia" w:ascii="宋体" w:cs="宋体"/>
                <w:color w:val="000000"/>
                <w:sz w:val="24"/>
              </w:rPr>
              <w:t>会议、人大代表活动等相关工作</w:t>
            </w:r>
          </w:p>
        </w:tc>
      </w:tr>
      <w:tr>
        <w:tblPrEx>
          <w:tblCellMar>
            <w:top w:w="0" w:type="dxa"/>
            <w:left w:w="0" w:type="dxa"/>
            <w:bottom w:w="0" w:type="dxa"/>
            <w:right w:w="0" w:type="dxa"/>
          </w:tblCellMar>
        </w:tblPrEx>
        <w:trPr>
          <w:trHeight w:val="867" w:hRule="atLeast"/>
          <w:jc w:val="center"/>
        </w:trPr>
        <w:tc>
          <w:tcPr>
            <w:tcW w:w="58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预期指标值</w:t>
            </w:r>
            <w:r>
              <w:rPr>
                <w:rFonts w:ascii="宋体" w:hAnsi="宋体" w:cs="宋体"/>
                <w:color w:val="000000"/>
                <w:kern w:val="0"/>
                <w:szCs w:val="21"/>
                <w:lang w:bidi="ar"/>
              </w:rPr>
              <w:t>(</w:t>
            </w:r>
            <w:r>
              <w:rPr>
                <w:rFonts w:hint="eastAsia" w:ascii="宋体" w:hAnsi="宋体" w:cs="宋体"/>
                <w:color w:val="000000"/>
                <w:kern w:val="0"/>
                <w:szCs w:val="21"/>
                <w:lang w:bidi="ar"/>
              </w:rPr>
              <w:t>包含数字及文字描述</w:t>
            </w:r>
            <w:r>
              <w:rPr>
                <w:rFonts w:ascii="宋体" w:hAnsi="宋体" w:cs="宋体"/>
                <w:color w:val="000000"/>
                <w:kern w:val="0"/>
                <w:szCs w:val="21"/>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实际完成指标值</w:t>
            </w:r>
            <w:r>
              <w:rPr>
                <w:rFonts w:ascii="宋体" w:hAnsi="宋体" w:cs="宋体"/>
                <w:color w:val="000000"/>
                <w:kern w:val="0"/>
                <w:szCs w:val="21"/>
                <w:lang w:bidi="ar"/>
              </w:rPr>
              <w:t>(</w:t>
            </w:r>
            <w:r>
              <w:rPr>
                <w:rFonts w:hint="eastAsia" w:ascii="宋体" w:hAnsi="宋体" w:cs="宋体"/>
                <w:color w:val="000000"/>
                <w:kern w:val="0"/>
                <w:szCs w:val="21"/>
                <w:lang w:bidi="ar"/>
              </w:rPr>
              <w:t>包含数字及文字描述</w:t>
            </w:r>
            <w:r>
              <w:rPr>
                <w:rFonts w:ascii="宋体" w:hAnsi="宋体" w:cs="宋体"/>
                <w:color w:val="000000"/>
                <w:kern w:val="0"/>
                <w:szCs w:val="21"/>
                <w:lang w:bidi="ar"/>
              </w:rPr>
              <w:t>)</w:t>
            </w:r>
          </w:p>
        </w:tc>
      </w:tr>
      <w:tr>
        <w:tblPrEx>
          <w:tblCellMar>
            <w:top w:w="0" w:type="dxa"/>
            <w:left w:w="0" w:type="dxa"/>
            <w:bottom w:w="0" w:type="dxa"/>
            <w:right w:w="0" w:type="dxa"/>
          </w:tblCellMar>
        </w:tblPrEx>
        <w:trPr>
          <w:trHeight w:val="953"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专项经费范围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人大监督、视察和调研工作、法制专题工作、工作评议、专委会工作、常委会工作、</w:t>
            </w:r>
            <w:r>
              <w:rPr>
                <w:rFonts w:hint="default" w:ascii="宋体" w:cs="宋体"/>
                <w:color w:val="000000"/>
                <w:szCs w:val="21"/>
                <w:lang w:val="en"/>
              </w:rPr>
              <w:t>人民代表大会</w:t>
            </w:r>
            <w:r>
              <w:rPr>
                <w:rFonts w:hint="eastAsia" w:ascii="宋体" w:cs="宋体"/>
                <w:color w:val="000000"/>
                <w:szCs w:val="21"/>
              </w:rPr>
              <w:t>会议、人大代表活动等相关工作</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人大监督、视察和调研工作、法制专题工作、工作评议、专委会工作、常委会工作、</w:t>
            </w:r>
            <w:r>
              <w:rPr>
                <w:rFonts w:hint="default" w:ascii="宋体" w:cs="宋体"/>
                <w:color w:val="000000"/>
                <w:szCs w:val="21"/>
                <w:lang w:val="en"/>
              </w:rPr>
              <w:t>人民代表大会</w:t>
            </w:r>
            <w:r>
              <w:rPr>
                <w:rFonts w:hint="eastAsia" w:ascii="宋体" w:cs="宋体"/>
                <w:color w:val="000000"/>
                <w:szCs w:val="21"/>
              </w:rPr>
              <w:t>会议、人大代表活动等相关工作</w:t>
            </w:r>
          </w:p>
        </w:tc>
      </w:tr>
      <w:tr>
        <w:tblPrEx>
          <w:tblCellMar>
            <w:top w:w="0" w:type="dxa"/>
            <w:left w:w="0" w:type="dxa"/>
            <w:bottom w:w="0" w:type="dxa"/>
            <w:right w:w="0" w:type="dxa"/>
          </w:tblCellMar>
        </w:tblPrEx>
        <w:trPr>
          <w:trHeight w:val="520"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高质量完成全年各项工作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r>
      <w:tr>
        <w:tblPrEx>
          <w:tblCellMar>
            <w:top w:w="0" w:type="dxa"/>
            <w:left w:w="0" w:type="dxa"/>
            <w:bottom w:w="0" w:type="dxa"/>
            <w:right w:w="0" w:type="dxa"/>
          </w:tblCellMar>
        </w:tblPrEx>
        <w:trPr>
          <w:trHeight w:val="571"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及时高效完成相关工作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100%</w:t>
            </w:r>
          </w:p>
        </w:tc>
      </w:tr>
      <w:tr>
        <w:tblPrEx>
          <w:tblCellMar>
            <w:top w:w="0" w:type="dxa"/>
            <w:left w:w="0" w:type="dxa"/>
            <w:bottom w:w="0" w:type="dxa"/>
            <w:right w:w="0" w:type="dxa"/>
          </w:tblCellMar>
        </w:tblPrEx>
        <w:trPr>
          <w:trHeight w:val="482"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kern w:val="0"/>
                <w:szCs w:val="21"/>
                <w:lang w:bidi="ar"/>
              </w:rPr>
            </w:pPr>
            <w:r>
              <w:rPr>
                <w:rFonts w:hint="eastAsia" w:ascii="宋体" w:hAnsi="宋体" w:cs="宋体"/>
                <w:color w:val="000000"/>
                <w:kern w:val="0"/>
                <w:szCs w:val="21"/>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建设节约型机关</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≤30万元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≤30万元</w:t>
            </w:r>
          </w:p>
        </w:tc>
      </w:tr>
      <w:tr>
        <w:tblPrEx>
          <w:tblCellMar>
            <w:top w:w="0" w:type="dxa"/>
            <w:left w:w="0" w:type="dxa"/>
            <w:bottom w:w="0" w:type="dxa"/>
            <w:right w:w="0" w:type="dxa"/>
          </w:tblCellMar>
        </w:tblPrEx>
        <w:trPr>
          <w:trHeight w:val="548"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形成良好的社会效益</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更好地服务于民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更好地服务于民</w:t>
            </w:r>
          </w:p>
        </w:tc>
      </w:tr>
      <w:tr>
        <w:tblPrEx>
          <w:tblCellMar>
            <w:top w:w="0" w:type="dxa"/>
            <w:left w:w="0" w:type="dxa"/>
            <w:bottom w:w="0" w:type="dxa"/>
            <w:right w:w="0" w:type="dxa"/>
          </w:tblCellMar>
        </w:tblPrEx>
        <w:trPr>
          <w:trHeight w:val="755" w:hRule="atLeast"/>
          <w:jc w:val="center"/>
        </w:trPr>
        <w:tc>
          <w:tcPr>
            <w:tcW w:w="58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≥90%</w:t>
            </w:r>
          </w:p>
        </w:tc>
      </w:tr>
    </w:tbl>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年部门整体支出绩效评价情况开展自评，《邻水县人大常委会办公室部门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本部门自行组织对人大专项经费项目开展了绩效评价，《邻水县人大常委会办公室项目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Fonts w:ascii="黑体" w:hAnsi="黑体" w:eastAsia="黑体"/>
          <w:bCs/>
          <w:kern w:val="44"/>
          <w:sz w:val="44"/>
          <w:szCs w:val="44"/>
        </w:rPr>
      </w:pPr>
      <w:bookmarkStart w:id="55" w:name="_Toc15396613"/>
      <w:bookmarkStart w:id="56" w:name="_Toc15377225"/>
      <w:bookmarkStart w:id="57" w:name="_Toc15396614"/>
      <w:bookmarkStart w:id="58" w:name="_Toc15377226"/>
      <w:r>
        <w:rPr>
          <w:rFonts w:hint="eastAsia" w:ascii="黑体" w:hAnsi="黑体" w:eastAsia="黑体"/>
          <w:color w:val="000000"/>
          <w:sz w:val="44"/>
          <w:szCs w:val="44"/>
        </w:rPr>
        <w:t>名</w:t>
      </w:r>
      <w:r>
        <w:rPr>
          <w:rStyle w:val="16"/>
          <w:rFonts w:hint="eastAsia" w:ascii="黑体" w:hAnsi="黑体" w:eastAsia="黑体"/>
          <w:b w:val="0"/>
        </w:rPr>
        <w:t>词解释</w:t>
      </w:r>
      <w:bookmarkEnd w:id="55"/>
      <w:bookmarkEnd w:id="56"/>
    </w:p>
    <w:p>
      <w:pPr>
        <w:pStyle w:val="26"/>
        <w:spacing w:line="530" w:lineRule="exact"/>
        <w:ind w:firstLine="640" w:firstLineChars="200"/>
        <w:rPr>
          <w:rFonts w:hint="eastAsia" w:ascii="方正仿宋_GBK" w:eastAsia="方正仿宋_GBK"/>
          <w:sz w:val="32"/>
          <w:szCs w:val="32"/>
        </w:rPr>
      </w:pP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1.财政拨款收入：指单位从同级财政部门取得的财政预算资金。</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2.事业收入：指事业单位开展专业业务活动及辅助活动取得的收入。</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3.经营收入：指事业单位在专业业务活动及其辅助活动之外开展非独立核算经营活动取得的收入。</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4.其他收入：指单位取得的除上述收入以外的各项收入。主要是…（收入类型）等。 </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5.使用非财政拨款结余：指事业单位使用以前年度积累的非财政拨款结余弥补当年收支差额的金额。 </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6.年初结转和结余：指以前年度尚未完成、结转到本年按有关规定继续使用的资金。 </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7.结余分配：指事业单位按照会计制度规定缴纳的所得税、提取的专用结余以及转入非财政拨款结余的金额等。</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8、年末结转和结余：指单位按有关规定结转到下年或以后年度继续使用的资金。</w:t>
      </w:r>
    </w:p>
    <w:p>
      <w:pPr>
        <w:spacing w:line="53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9.一般公共服务：（类）一般公共服务支出（款）政协事务（项）行政运行：指反映行政单位（包括实行公务员管理的事业单位）的基本支出；（类）一般公共服务支出（款）政协事务（项）一般行政管理事务：指反映行政单位（包括实行公务员管理的事业单位）未单独设置项级科目的其他项目支出；（类）一般公共服务支出（款）政协事务（项）政协会议：指反映各级政协召开政治协商会议等专门会议的支出； （类）一般公共服务支出（款）政协事务（项）委员视察：指反映政协委员开展各类视察的支出；（类）一般公共服务支出（款）政协事务（项）参政议政：反映政协为参政议政进行调研、检查等方面的支出；（类）一般公共服务支出（款）政协事务（项）其他政协事务支出：反映除上述项目以外的其他政协事务支出。</w:t>
      </w:r>
    </w:p>
    <w:p>
      <w:pPr>
        <w:spacing w:line="53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10. 社会保障和就业：（类）社会保障和就业支出（款）行政事业单位离退休（项）机关事业单位基本养老保险缴费支出：指反映机关事业单位实施养老保险制度由单位缴纳的基本养老保险费支出；（类）社会保障和就业支出（款）行政事业单位离退休（项）其他行政事业单位离退休支出：指反映除上述项目以外其他用于行政事业单位离退休方面的支出；（类）社会保障和就业支出（款）抚恤（项）其他优抚支出：反映除上述项目以外其他用于优抚方面的支出；（类）社会保障和就业支出（款）其他社会保障和就业支出（项）其他社会保障和就业支出：指反映除上述项目以外其他用于社会保障和就业方面的支出。</w:t>
      </w:r>
    </w:p>
    <w:p>
      <w:pPr>
        <w:spacing w:line="53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11. 医疗卫生与计划生育：（类）医疗卫生与计划生育支出（款）计划生育事务（项）其他计划生育事务支出：指反映计划生育方面的支出；（类）医疗卫生与计划生育支出（款）行政事业单位医疗（项）行政单位医疗：指反映财政部门集中安排的行政事业单位基本医疗保险缴费经费，未参加医疗保险的行政单位的公费医疗经费，按国家规定享受离休人员、红军老战士待遇人员的医疗经费；（类）社会保障和就业支出（款）其他社会保障和就业支出（项）财政对其他基本医疗保险基金的补助：指反映财政对其他基本医疗保险基金的补助支出。</w:t>
      </w:r>
      <w:r>
        <w:rPr>
          <w:rFonts w:hint="eastAsia" w:ascii="方正仿宋_GBK" w:hAnsi="宋体" w:eastAsia="方正仿宋_GBK"/>
          <w:sz w:val="32"/>
          <w:szCs w:val="32"/>
        </w:rPr>
        <w:tab/>
      </w:r>
    </w:p>
    <w:p>
      <w:pPr>
        <w:spacing w:line="53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12. 住房保障：（类）住房保障支出（款）住房改革支出其（项）住房公积金：指反映行政事业单位按人力资源和社会保障部、财政部规定的基本工资和津贴补贴以及规定比例为职工缴纳的住房公积金。</w:t>
      </w:r>
    </w:p>
    <w:p>
      <w:pPr>
        <w:spacing w:line="53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13.基本支出：指为保障机构正常运转、完成日常工作任务而发生的人员支出和公用支出。</w:t>
      </w:r>
    </w:p>
    <w:p>
      <w:pPr>
        <w:spacing w:line="53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 xml:space="preserve">14.项目支出：指在基本支出之外为完成特定行政任务和事业发展目标所发生的支出。 </w:t>
      </w:r>
    </w:p>
    <w:p>
      <w:pPr>
        <w:spacing w:line="530" w:lineRule="exact"/>
        <w:ind w:firstLine="640" w:firstLineChars="200"/>
        <w:rPr>
          <w:rFonts w:hint="eastAsia" w:ascii="方正仿宋_GBK" w:eastAsia="方正仿宋_GBK"/>
          <w:color w:val="000000"/>
          <w:sz w:val="32"/>
          <w:szCs w:val="32"/>
        </w:rPr>
      </w:pPr>
      <w:r>
        <w:rPr>
          <w:rFonts w:hint="eastAsia" w:ascii="方正仿宋_GBK" w:eastAsia="方正仿宋_GBK"/>
          <w:color w:val="000000"/>
          <w:sz w:val="32"/>
          <w:szCs w:val="32"/>
        </w:rPr>
        <w:t>15.经营支出：指事业单位在专业业务活动及其辅助活动之外开展非独立核算经营活动发生的支出。</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30" w:lineRule="exact"/>
        <w:ind w:firstLine="640" w:firstLineChars="200"/>
        <w:rPr>
          <w:rFonts w:hint="eastAsia" w:ascii="方正仿宋_GBK" w:eastAsia="方正仿宋_GBK"/>
          <w:sz w:val="32"/>
          <w:szCs w:val="32"/>
        </w:rPr>
      </w:pPr>
      <w:r>
        <w:rPr>
          <w:rFonts w:hint="eastAsia" w:ascii="方正仿宋_GBK" w:eastAsia="方正仿宋_GBK"/>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widowControl/>
        <w:spacing w:line="700" w:lineRule="exact"/>
        <w:contextualSpacing/>
        <w:jc w:val="center"/>
        <w:rPr>
          <w:rFonts w:ascii="方正小标宋_GBK" w:hAnsi="宋体" w:eastAsia="方正小标宋_GBK"/>
          <w:sz w:val="44"/>
          <w:szCs w:val="44"/>
          <w:shd w:val="clear" w:color="auto" w:fill="FFFFFF"/>
        </w:rPr>
      </w:pPr>
      <w:r>
        <w:rPr>
          <w:rFonts w:hint="eastAsia" w:ascii="方正小标宋_GBK" w:hAnsi="宋体" w:eastAsia="方正小标宋_GBK"/>
          <w:sz w:val="44"/>
          <w:szCs w:val="44"/>
          <w:shd w:val="clear" w:color="auto" w:fill="FFFFFF"/>
        </w:rPr>
        <w:t>邻水县人大常委会办公室</w:t>
      </w:r>
    </w:p>
    <w:p>
      <w:pPr>
        <w:widowControl/>
        <w:spacing w:line="700" w:lineRule="exact"/>
        <w:contextualSpacing/>
        <w:jc w:val="center"/>
        <w:rPr>
          <w:rFonts w:ascii="方正小标宋_GBK" w:eastAsia="方正小标宋_GBK"/>
          <w:sz w:val="44"/>
          <w:szCs w:val="44"/>
          <w:shd w:val="clear" w:color="auto" w:fill="FFFFFF"/>
        </w:rPr>
      </w:pPr>
      <w:r>
        <w:rPr>
          <w:rFonts w:ascii="方正小标宋_GBK" w:hAnsi="宋体" w:eastAsia="方正小标宋_GBK"/>
          <w:sz w:val="44"/>
          <w:szCs w:val="44"/>
          <w:shd w:val="clear" w:color="auto" w:fill="FFFFFF"/>
        </w:rPr>
        <w:t>2021</w:t>
      </w:r>
      <w:r>
        <w:rPr>
          <w:rFonts w:hint="eastAsia" w:ascii="方正小标宋_GBK" w:hAnsi="宋体" w:eastAsia="方正小标宋_GBK"/>
          <w:sz w:val="44"/>
          <w:szCs w:val="44"/>
          <w:shd w:val="clear" w:color="auto" w:fill="FFFFFF"/>
        </w:rPr>
        <w:t>年整体支出绩效自评报告</w:t>
      </w:r>
    </w:p>
    <w:p>
      <w:pPr>
        <w:widowControl/>
        <w:adjustRightInd w:val="0"/>
        <w:snapToGrid w:val="0"/>
        <w:spacing w:line="59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lang w:val="zh-CN"/>
        </w:rPr>
      </w:pPr>
      <w:r>
        <w:rPr>
          <w:rFonts w:hint="eastAsia" w:ascii="方正黑体_GBK" w:hAnsi="宋体" w:eastAsia="方正黑体_GBK" w:cs="宋体"/>
          <w:color w:val="000000"/>
          <w:kern w:val="0"/>
          <w:sz w:val="33"/>
          <w:szCs w:val="33"/>
          <w:shd w:val="clear" w:color="auto" w:fill="FFFFFF"/>
        </w:rPr>
        <w:t>一、</w:t>
      </w:r>
      <w:r>
        <w:rPr>
          <w:rFonts w:hint="eastAsia" w:ascii="方正黑体_GBK" w:hAnsi="宋体" w:eastAsia="方正黑体_GBK" w:cs="宋体"/>
          <w:color w:val="000000"/>
          <w:kern w:val="0"/>
          <w:sz w:val="33"/>
          <w:szCs w:val="33"/>
          <w:shd w:val="clear" w:color="auto" w:fill="FFFFFF"/>
          <w:lang w:val="zh-CN"/>
        </w:rPr>
        <w:t>部门（单位）概况</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（一）机构组成。</w:t>
      </w:r>
    </w:p>
    <w:p>
      <w:pPr>
        <w:widowControl/>
        <w:adjustRightInd w:val="0"/>
        <w:snapToGrid w:val="0"/>
        <w:spacing w:line="560" w:lineRule="exact"/>
        <w:ind w:left="433" w:leftChars="206" w:firstLine="660" w:firstLineChars="200"/>
        <w:contextualSpacing/>
        <w:jc w:val="left"/>
        <w:rPr>
          <w:rFonts w:ascii="仿宋_GB2312" w:eastAsia="仿宋_GB2312"/>
          <w:sz w:val="33"/>
          <w:szCs w:val="33"/>
          <w:lang w:val="zh-CN"/>
        </w:rPr>
      </w:pPr>
      <w:r>
        <w:rPr>
          <w:rFonts w:hint="eastAsia" w:ascii="仿宋_GB2312" w:eastAsia="仿宋_GB2312"/>
          <w:sz w:val="33"/>
          <w:szCs w:val="33"/>
          <w:lang w:val="zh-CN"/>
        </w:rPr>
        <w:t>邻水县人民代表大会常务委员会机关属于行政单位，内设8个联系委员会（正科级单位），即（监察和司法委员会、经济委员会、农业和农村委员会、教育科学文化卫生委员会、城乡建设环境资源保护委员会、备案审查委员会、预算委员会、社会建设委员会）；3个办事机构（正科级单位），即（人大常委会办公室、研究室、信访办）；1个工作机构（正科级单位），即选举任免和代表联络工作委员会。</w:t>
      </w:r>
    </w:p>
    <w:p>
      <w:pPr>
        <w:numPr>
          <w:ilvl w:val="0"/>
          <w:numId w:val="4"/>
        </w:num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机构职能。</w:t>
      </w:r>
    </w:p>
    <w:p>
      <w:pPr>
        <w:pStyle w:val="5"/>
        <w:adjustRightInd w:val="0"/>
        <w:snapToGrid w:val="0"/>
        <w:spacing w:before="93" w:line="560" w:lineRule="exact"/>
        <w:ind w:left="433" w:leftChars="206" w:firstLine="660" w:firstLineChars="200"/>
        <w:rPr>
          <w:bCs/>
          <w:sz w:val="33"/>
          <w:szCs w:val="33"/>
          <w:lang w:val="zh-CN"/>
        </w:rPr>
      </w:pPr>
      <w:r>
        <w:rPr>
          <w:rFonts w:hint="eastAsia"/>
          <w:sz w:val="33"/>
          <w:szCs w:val="33"/>
          <w:lang w:val="zh-CN"/>
        </w:rPr>
        <w:t>对县人民政府相关部门的工作联系，定期召开联席会议制度。认真对县政府相关部门和法检两院实行执法检查、工作监督等具体工作。开展法律法规及各级人大常委会关于有关方面的决议、决定在本县的贯彻实施情况，提出调查报告。开展好代表小组活动，并将代表的建议和意见报主任会议批准后交有关单位认真办理。承办代表大会会议、常委会会议、主任会议和常委会党组会议的筹备和会务工作；负责县人大及其常委会文电、档案、保密、文印工作。负责县人大常委会的对外宣传工作，组织对县</w:t>
      </w:r>
      <w:r>
        <w:rPr>
          <w:rFonts w:hint="default"/>
          <w:sz w:val="33"/>
          <w:szCs w:val="33"/>
          <w:lang w:val="en"/>
        </w:rPr>
        <w:t>人民代表大会</w:t>
      </w:r>
      <w:r>
        <w:rPr>
          <w:rFonts w:hint="eastAsia"/>
          <w:sz w:val="33"/>
          <w:szCs w:val="33"/>
          <w:lang w:val="zh-CN"/>
        </w:rPr>
        <w:t>、县人大常委会会议以及民主法制建设、人大制度、人大工作的宣传。负责县人大常委会及工作委员会人事管理和安全保卫工作，负责对县人大机关退休人员的统一管理和服务。承担县人大机关的行政事务工作和对上级人大、外地人大来县考察的接待工作。围绕县人大及其常委会会议审议的议案开展调查研究，提供调研报告及国内外、省内外、县内外有关资料。</w:t>
      </w:r>
    </w:p>
    <w:p>
      <w:pPr>
        <w:numPr>
          <w:ilvl w:val="0"/>
          <w:numId w:val="4"/>
        </w:num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人员概况。</w:t>
      </w:r>
    </w:p>
    <w:p>
      <w:pPr>
        <w:pStyle w:val="5"/>
        <w:adjustRightInd w:val="0"/>
        <w:snapToGrid w:val="0"/>
        <w:spacing w:before="93" w:line="580" w:lineRule="exact"/>
        <w:ind w:left="433" w:leftChars="206" w:firstLine="660" w:firstLineChars="200"/>
        <w:rPr>
          <w:bCs/>
          <w:sz w:val="33"/>
          <w:szCs w:val="33"/>
          <w:lang w:val="zh-CN"/>
        </w:rPr>
      </w:pPr>
      <w:r>
        <w:rPr>
          <w:rFonts w:hint="eastAsia"/>
          <w:sz w:val="33"/>
          <w:szCs w:val="33"/>
          <w:lang w:val="zh-CN"/>
        </w:rPr>
        <w:t>人大常委会办公室设股室2个，研究室设股室2个，单位人员编制23个，在职实有人员28人，离退休人员29人。</w:t>
      </w: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二、部门财政资金收支情况</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方正仿宋_GBK" w:eastAsia="仿宋_GB2312" w:cs="方正仿宋_GBK"/>
          <w:color w:val="000000"/>
          <w:kern w:val="0"/>
          <w:sz w:val="32"/>
          <w:szCs w:val="32"/>
        </w:rPr>
        <w:t>2020年收入合计</w:t>
      </w:r>
      <w:r>
        <w:rPr>
          <w:rFonts w:hint="eastAsia" w:ascii="仿宋_GB2312" w:hAnsi="方正仿宋_GBK" w:eastAsia="仿宋_GB2312" w:cs="方正仿宋_GBK"/>
          <w:sz w:val="32"/>
          <w:szCs w:val="32"/>
        </w:rPr>
        <w:t>931.61</w:t>
      </w:r>
      <w:r>
        <w:rPr>
          <w:rFonts w:hint="eastAsia" w:ascii="仿宋_GB2312" w:hAnsi="方正仿宋_GBK" w:eastAsia="仿宋_GB2312" w:cs="方正仿宋_GBK"/>
          <w:color w:val="000000"/>
          <w:kern w:val="0"/>
          <w:sz w:val="32"/>
          <w:szCs w:val="32"/>
        </w:rPr>
        <w:t>万元，其中：财政拨款收入</w:t>
      </w:r>
      <w:r>
        <w:rPr>
          <w:rFonts w:hint="eastAsia" w:ascii="仿宋_GB2312" w:hAnsi="方正仿宋_GBK" w:eastAsia="仿宋_GB2312" w:cs="方正仿宋_GBK"/>
          <w:sz w:val="32"/>
          <w:szCs w:val="32"/>
        </w:rPr>
        <w:t>931.61万元</w:t>
      </w:r>
      <w:r>
        <w:rPr>
          <w:rFonts w:hint="eastAsia" w:ascii="仿宋_GB2312" w:hAnsi="方正仿宋_GBK" w:eastAsia="仿宋_GB2312" w:cs="方正仿宋_GBK"/>
          <w:color w:val="000000"/>
          <w:kern w:val="0"/>
          <w:sz w:val="32"/>
          <w:szCs w:val="32"/>
        </w:rPr>
        <w:t>，占100%。</w:t>
      </w:r>
    </w:p>
    <w:p>
      <w:pPr>
        <w:numPr>
          <w:ilvl w:val="0"/>
          <w:numId w:val="5"/>
        </w:num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部门财政资金支出情况。</w:t>
      </w:r>
    </w:p>
    <w:p>
      <w:pPr>
        <w:spacing w:line="60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方正仿宋_GBK" w:eastAsia="仿宋_GB2312" w:cs="方正仿宋_GBK"/>
          <w:color w:val="000000"/>
          <w:sz w:val="32"/>
          <w:szCs w:val="32"/>
        </w:rPr>
        <w:t>2020年本年支出合计</w:t>
      </w:r>
      <w:r>
        <w:rPr>
          <w:rFonts w:hint="eastAsia" w:ascii="仿宋_GB2312" w:hAnsi="方正仿宋_GBK" w:eastAsia="仿宋_GB2312" w:cs="方正仿宋_GBK"/>
          <w:sz w:val="32"/>
          <w:szCs w:val="32"/>
        </w:rPr>
        <w:t>931.61</w:t>
      </w:r>
      <w:r>
        <w:rPr>
          <w:rFonts w:hint="eastAsia" w:ascii="仿宋_GB2312" w:hAnsi="方正仿宋_GBK" w:eastAsia="仿宋_GB2312" w:cs="方正仿宋_GBK"/>
          <w:color w:val="000000"/>
          <w:sz w:val="32"/>
          <w:szCs w:val="32"/>
        </w:rPr>
        <w:t>万元，其中：基本支出</w:t>
      </w:r>
      <w:r>
        <w:rPr>
          <w:rFonts w:hint="eastAsia" w:ascii="仿宋_GB2312" w:hAnsi="方正仿宋_GBK" w:eastAsia="仿宋_GB2312" w:cs="方正仿宋_GBK"/>
          <w:sz w:val="32"/>
          <w:szCs w:val="32"/>
        </w:rPr>
        <w:t>716.61</w:t>
      </w:r>
      <w:r>
        <w:rPr>
          <w:rFonts w:hint="eastAsia" w:ascii="仿宋_GB2312" w:hAnsi="方正仿宋_GBK" w:eastAsia="仿宋_GB2312" w:cs="方正仿宋_GBK"/>
          <w:color w:val="000000"/>
          <w:sz w:val="32"/>
          <w:szCs w:val="32"/>
        </w:rPr>
        <w:t>万元，占76.92%，项目支出</w:t>
      </w:r>
      <w:r>
        <w:rPr>
          <w:rFonts w:hint="eastAsia" w:ascii="仿宋_GB2312" w:hAnsi="方正仿宋_GBK" w:eastAsia="仿宋_GB2312" w:cs="方正仿宋_GBK"/>
          <w:sz w:val="32"/>
          <w:szCs w:val="32"/>
        </w:rPr>
        <w:t>215</w:t>
      </w:r>
      <w:r>
        <w:rPr>
          <w:rFonts w:hint="eastAsia" w:ascii="仿宋_GB2312" w:hAnsi="方正仿宋_GBK" w:eastAsia="仿宋_GB2312" w:cs="方正仿宋_GBK"/>
          <w:color w:val="000000"/>
          <w:sz w:val="32"/>
          <w:szCs w:val="32"/>
        </w:rPr>
        <w:t>万元，占23.08%。</w:t>
      </w: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三、部门整体预算绩效管理情况</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（一）部门预算管理。</w:t>
      </w:r>
    </w:p>
    <w:p>
      <w:pPr>
        <w:adjustRightInd w:val="0"/>
        <w:snapToGrid w:val="0"/>
        <w:spacing w:line="590" w:lineRule="exact"/>
        <w:ind w:firstLine="640" w:firstLineChars="200"/>
        <w:contextualSpacing/>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本单位按相关要求及时组织财务人员进行预算的编制，对本年度相应用款进行及时清理和处理，做到账账相符、账实相符、财证相符，先有预算再有支出的原则，及时处理相关事务；对专项预算提前细化，分科目上报，做到收支平衡。从整体情况来看，严格按照年初预算进行部门整体支出。在支出过程中，严格遵守各种规章制度，严格控制“三项经费”。在专项资金上，做到专款专用，按照项目实施的进度情况进行资金拨付，无截留、无挪用等现象。落实了“先有预算，后有执行的原则”。</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rPr>
      </w:pPr>
      <w:r>
        <w:rPr>
          <w:rFonts w:hint="eastAsia" w:ascii="方正仿宋_GBK" w:hAnsi="宋体" w:eastAsia="方正仿宋_GBK" w:cs="宋体"/>
          <w:color w:val="000000"/>
          <w:kern w:val="0"/>
          <w:sz w:val="33"/>
          <w:szCs w:val="33"/>
          <w:shd w:val="clear" w:color="auto" w:fill="FFFFFF"/>
          <w:lang w:val="zh-CN"/>
        </w:rPr>
        <w:t>（二）项目预算管理。（有</w:t>
      </w:r>
      <w:r>
        <w:rPr>
          <w:rFonts w:hint="eastAsia" w:ascii="方正仿宋_GBK" w:hAnsi="宋体" w:eastAsia="方正仿宋_GBK" w:cs="宋体"/>
          <w:color w:val="000000"/>
          <w:kern w:val="0"/>
          <w:sz w:val="33"/>
          <w:szCs w:val="33"/>
          <w:shd w:val="clear" w:color="auto" w:fill="FFFFFF"/>
        </w:rPr>
        <w:t>项目</w:t>
      </w:r>
      <w:r>
        <w:rPr>
          <w:rFonts w:hint="eastAsia" w:ascii="方正仿宋_GBK" w:hAnsi="宋体" w:eastAsia="方正仿宋_GBK" w:cs="宋体"/>
          <w:color w:val="000000"/>
          <w:kern w:val="0"/>
          <w:sz w:val="33"/>
          <w:szCs w:val="33"/>
          <w:shd w:val="clear" w:color="auto" w:fill="FFFFFF"/>
          <w:lang w:val="zh-CN"/>
        </w:rPr>
        <w:t>预算的部门</w:t>
      </w:r>
      <w:r>
        <w:rPr>
          <w:rFonts w:hint="eastAsia" w:ascii="方正仿宋_GBK" w:hAnsi="宋体" w:eastAsia="方正仿宋_GBK" w:cs="宋体"/>
          <w:color w:val="000000"/>
          <w:kern w:val="0"/>
          <w:sz w:val="33"/>
          <w:szCs w:val="33"/>
          <w:shd w:val="clear" w:color="auto" w:fill="FFFFFF"/>
        </w:rPr>
        <w:t>需要阐述此部分）</w:t>
      </w:r>
    </w:p>
    <w:p>
      <w:pPr>
        <w:adjustRightInd w:val="0"/>
        <w:snapToGrid w:val="0"/>
        <w:spacing w:line="590" w:lineRule="exact"/>
        <w:ind w:firstLine="640" w:firstLineChars="200"/>
        <w:contextualSpacing/>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人大专项活动经费主要用于人大监督、视察调研、法制专题、工作评议、专委会工作、常委会工作、</w:t>
      </w:r>
      <w:r>
        <w:rPr>
          <w:rFonts w:hint="default" w:ascii="仿宋_GB2312" w:hAnsi="方正仿宋_GBK" w:eastAsia="仿宋_GB2312" w:cs="方正仿宋_GBK"/>
          <w:sz w:val="32"/>
          <w:szCs w:val="32"/>
          <w:lang w:val="en"/>
        </w:rPr>
        <w:t>人民代表大会</w:t>
      </w:r>
      <w:r>
        <w:rPr>
          <w:rFonts w:hint="eastAsia" w:ascii="仿宋_GB2312" w:hAnsi="方正仿宋_GBK" w:eastAsia="仿宋_GB2312" w:cs="方正仿宋_GBK"/>
          <w:sz w:val="32"/>
          <w:szCs w:val="32"/>
        </w:rPr>
        <w:t>工作、人大代表活动、办公设备采购等工作。</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w:t>
      </w:r>
      <w:r>
        <w:rPr>
          <w:rFonts w:hint="eastAsia" w:ascii="方正仿宋_GBK" w:hAnsi="宋体" w:eastAsia="方正仿宋_GBK" w:cs="宋体"/>
          <w:color w:val="000000"/>
          <w:kern w:val="0"/>
          <w:sz w:val="33"/>
          <w:szCs w:val="33"/>
          <w:shd w:val="clear" w:color="auto" w:fill="FFFFFF"/>
        </w:rPr>
        <w:t>三</w:t>
      </w:r>
      <w:r>
        <w:rPr>
          <w:rFonts w:hint="eastAsia" w:ascii="方正仿宋_GBK" w:hAnsi="宋体" w:eastAsia="方正仿宋_GBK" w:cs="宋体"/>
          <w:color w:val="000000"/>
          <w:kern w:val="0"/>
          <w:sz w:val="33"/>
          <w:szCs w:val="33"/>
          <w:shd w:val="clear" w:color="auto" w:fill="FFFFFF"/>
          <w:lang w:val="zh-CN"/>
        </w:rPr>
        <w:t>）结果应用情况。</w:t>
      </w:r>
    </w:p>
    <w:p>
      <w:pPr>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1、预决算公开：2020年按照上级部门要求，单位按规定时间内在邻水县财政公开网站上进行了预决算公开。</w:t>
      </w:r>
    </w:p>
    <w:p>
      <w:pPr>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2、资产管理：2020年单位进行了全面的资产清查，并就清查中发现的问题进行了全面整改，并完善了资产管理制度及财务管理制度，确保各项资产核算准确、账实相符、管理到位。</w:t>
      </w:r>
    </w:p>
    <w:p>
      <w:pPr>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color w:val="000000"/>
          <w:kern w:val="0"/>
          <w:sz w:val="32"/>
          <w:szCs w:val="32"/>
        </w:rPr>
        <w:t>3、“三公经费”控制情况：贯彻落实上级有关精神，严格控制三公经费支出，取得了良好效果。</w:t>
      </w:r>
      <w:r>
        <w:rPr>
          <w:rFonts w:hint="eastAsia" w:ascii="仿宋_GB2312" w:hAnsi="方正仿宋_GBK" w:eastAsia="仿宋_GB2312" w:cs="方正仿宋_GBK"/>
          <w:sz w:val="32"/>
          <w:szCs w:val="32"/>
        </w:rPr>
        <w:t>同时，按</w:t>
      </w:r>
      <w:r>
        <w:rPr>
          <w:rFonts w:hint="eastAsia" w:ascii="仿宋_GB2312" w:hAnsi="方正仿宋_GBK" w:eastAsia="仿宋_GB2312" w:cs="方正仿宋_GBK"/>
          <w:color w:val="000000"/>
          <w:kern w:val="0"/>
          <w:sz w:val="32"/>
          <w:szCs w:val="32"/>
        </w:rPr>
        <w:t>规定时间内在邻水县财政公开网站上进行了公示。</w:t>
      </w:r>
    </w:p>
    <w:p>
      <w:pPr>
        <w:adjustRightInd w:val="0"/>
        <w:snapToGrid w:val="0"/>
        <w:spacing w:line="590" w:lineRule="exact"/>
        <w:ind w:firstLine="640" w:firstLineChars="200"/>
        <w:contextualSpacing/>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4、内控管理制度建设情况：近年来，内控工作备受重视，单位及时成立内部控制小组，并完善了《邻水县人大常委会办公室内控管理制度》。</w:t>
      </w:r>
    </w:p>
    <w:p>
      <w:pPr>
        <w:adjustRightInd w:val="0"/>
        <w:snapToGrid w:val="0"/>
        <w:spacing w:line="590" w:lineRule="exact"/>
        <w:ind w:firstLine="660" w:firstLineChars="200"/>
        <w:contextualSpacing/>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四、评价结论及建议</w:t>
      </w:r>
    </w:p>
    <w:p>
      <w:p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（一）评价结论。</w:t>
      </w:r>
    </w:p>
    <w:p>
      <w:pPr>
        <w:adjustRightInd w:val="0"/>
        <w:snapToGrid w:val="0"/>
        <w:spacing w:line="590" w:lineRule="exact"/>
        <w:ind w:firstLine="640" w:firstLineChars="200"/>
        <w:contextualSpacing/>
        <w:rPr>
          <w:rFonts w:ascii="仿宋_GB2312" w:hAnsi="宋体" w:eastAsia="仿宋_GB2312" w:cs="宋体"/>
          <w:color w:val="000000"/>
          <w:kern w:val="0"/>
          <w:sz w:val="32"/>
          <w:szCs w:val="32"/>
          <w:shd w:val="clear" w:color="auto" w:fill="FFFFFF"/>
          <w:lang w:val="zh-CN"/>
        </w:rPr>
      </w:pPr>
      <w:r>
        <w:rPr>
          <w:rFonts w:hint="eastAsia" w:ascii="仿宋_GB2312" w:hAnsi="方正仿宋_GBK" w:eastAsia="仿宋_GB2312" w:cs="方正仿宋_GBK"/>
          <w:sz w:val="32"/>
          <w:szCs w:val="32"/>
        </w:rPr>
        <w:t>2020年单位将部门整体支出绩效评价作为财政预算资金使用管理的一项重要工作，切实加强预算收支管理，全面梳理内部管理流程，建立健全内部管理制度，有效提升了部门整体支出的管理水平。</w:t>
      </w:r>
    </w:p>
    <w:p>
      <w:pPr>
        <w:numPr>
          <w:ilvl w:val="0"/>
          <w:numId w:val="5"/>
        </w:num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存在问题。</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方正仿宋_GBK" w:eastAsia="仿宋_GB2312" w:cs="方正仿宋_GBK"/>
          <w:sz w:val="32"/>
          <w:szCs w:val="32"/>
        </w:rPr>
        <w:t>预算管理不够精细。在预算管理过程中，需加强单位内部资金的管理，保证预算编制的合理与精细，并保证预算资金的合理使用和按期完成；财务室应加强与财政部门的沟通和协调，确保预算资金的及时下达。</w:t>
      </w:r>
    </w:p>
    <w:p>
      <w:pPr>
        <w:numPr>
          <w:ilvl w:val="0"/>
          <w:numId w:val="5"/>
        </w:numPr>
        <w:adjustRightInd w:val="0"/>
        <w:snapToGrid w:val="0"/>
        <w:spacing w:line="590" w:lineRule="exact"/>
        <w:ind w:firstLine="660" w:firstLineChars="200"/>
        <w:contextualSpacing/>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改进建议。</w:t>
      </w:r>
    </w:p>
    <w:p>
      <w:pPr>
        <w:spacing w:line="58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针对上述存在的问题及我单位整体支出管理工作的需要，今后着重在以下二个方面予以改进：</w:t>
      </w:r>
    </w:p>
    <w:p>
      <w:pPr>
        <w:spacing w:line="58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1、细化整体预算编制工作。严格按照预算编制的相关制度和要求进行预算编制。全面编制预算项目，优先保障固定性的、相对刚性的费用支出项目，尽量压缩变动性的、提高预算编制的科学性、严谨性和可控性。</w:t>
      </w:r>
    </w:p>
    <w:p>
      <w:pPr>
        <w:adjustRightInd w:val="0"/>
        <w:snapToGrid w:val="0"/>
        <w:spacing w:line="590" w:lineRule="exact"/>
        <w:ind w:firstLine="640" w:firstLineChars="200"/>
        <w:contextualSpacing/>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2、坚持定期进行财务分析。每季度进行财务收支分析，对收支不合理现象做出预警，并及时改正。落实项目专项的报批进度和指标文的下达，加强项目实施进度</w:t>
      </w:r>
      <w:r>
        <w:rPr>
          <w:rFonts w:hint="eastAsia" w:ascii="仿宋_GB2312" w:hAnsi="方正仿宋_GBK" w:eastAsia="仿宋_GB2312" w:cs="方正仿宋_GBK"/>
          <w:sz w:val="32"/>
          <w:szCs w:val="32"/>
          <w:lang w:eastAsia="zh-CN"/>
        </w:rPr>
        <w:t>跟踪</w:t>
      </w:r>
      <w:r>
        <w:rPr>
          <w:rFonts w:hint="eastAsia" w:ascii="仿宋_GB2312" w:hAnsi="方正仿宋_GBK" w:eastAsia="仿宋_GB2312" w:cs="方正仿宋_GBK"/>
          <w:sz w:val="32"/>
          <w:szCs w:val="32"/>
        </w:rPr>
        <w:t>，开展项目绩效评价，确保项目绩效目标完成。</w:t>
      </w:r>
    </w:p>
    <w:p>
      <w:pPr>
        <w:adjustRightInd w:val="0"/>
        <w:snapToGrid w:val="0"/>
        <w:spacing w:line="590" w:lineRule="exact"/>
        <w:ind w:left="420" w:leftChars="200"/>
        <w:contextualSpacing/>
        <w:rPr>
          <w:rFonts w:ascii="仿宋_GB2312" w:hAnsi="宋体" w:eastAsia="仿宋_GB2312" w:cs="宋体"/>
          <w:color w:val="000000"/>
          <w:kern w:val="0"/>
          <w:sz w:val="33"/>
          <w:szCs w:val="33"/>
          <w:shd w:val="clear" w:color="auto" w:fill="FFFFFF"/>
          <w:lang w:val="zh-CN"/>
        </w:rPr>
      </w:pPr>
    </w:p>
    <w:p>
      <w:pPr>
        <w:adjustRightInd w:val="0"/>
        <w:snapToGrid w:val="0"/>
        <w:spacing w:line="590" w:lineRule="exact"/>
        <w:ind w:left="420" w:leftChars="200"/>
        <w:contextualSpacing/>
        <w:rPr>
          <w:rFonts w:ascii="仿宋_GB2312" w:hAnsi="宋体" w:eastAsia="仿宋_GB2312" w:cs="宋体"/>
          <w:color w:val="000000"/>
          <w:kern w:val="0"/>
          <w:sz w:val="33"/>
          <w:szCs w:val="33"/>
          <w:shd w:val="clear" w:color="auto" w:fill="FFFFFF"/>
          <w:lang w:val="zh-CN"/>
        </w:rPr>
      </w:pPr>
      <w:r>
        <w:rPr>
          <w:rFonts w:hint="eastAsia" w:ascii="仿宋_GB2312" w:hAnsi="宋体" w:eastAsia="仿宋_GB2312" w:cs="宋体"/>
          <w:color w:val="000000"/>
          <w:kern w:val="0"/>
          <w:sz w:val="33"/>
          <w:szCs w:val="33"/>
          <w:shd w:val="clear" w:color="auto" w:fill="FFFFFF"/>
          <w:lang w:val="zh-CN"/>
        </w:rPr>
        <w:t xml:space="preserve">                          </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pStyle w:val="3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邻水县人大常委会办公室</w:t>
      </w:r>
    </w:p>
    <w:p>
      <w:pPr>
        <w:pStyle w:val="30"/>
        <w:spacing w:line="600" w:lineRule="exact"/>
        <w:jc w:val="center"/>
        <w:rPr>
          <w:rFonts w:ascii="Times New Roman" w:hAnsi="Times New Roman" w:eastAsia="方正小标宋_GBK"/>
          <w:sz w:val="44"/>
          <w:szCs w:val="44"/>
          <w:lang w:val="en-US"/>
        </w:rPr>
      </w:pPr>
      <w:r>
        <w:rPr>
          <w:rFonts w:hint="eastAsia" w:ascii="Times New Roman" w:hAnsi="Times New Roman" w:eastAsia="方正小标宋_GBK"/>
          <w:sz w:val="44"/>
          <w:szCs w:val="44"/>
          <w:lang w:val="en-US"/>
        </w:rPr>
        <w:t>2021年项目</w:t>
      </w:r>
      <w:r>
        <w:rPr>
          <w:rFonts w:hint="eastAsia" w:ascii="Times New Roman" w:hAnsi="Times New Roman" w:eastAsia="方正小标宋_GBK"/>
          <w:sz w:val="44"/>
          <w:szCs w:val="44"/>
        </w:rPr>
        <w:t>支出绩效自评报告</w:t>
      </w:r>
    </w:p>
    <w:p>
      <w:pPr>
        <w:pStyle w:val="30"/>
        <w:spacing w:line="590" w:lineRule="exact"/>
        <w:ind w:firstLine="660" w:firstLineChars="200"/>
        <w:jc w:val="center"/>
        <w:rPr>
          <w:rFonts w:ascii="Times New Roman" w:hAnsi="Times New Roman" w:eastAsia="方正仿宋_GBK"/>
          <w:color w:val="auto"/>
          <w:kern w:val="2"/>
          <w:sz w:val="33"/>
          <w:szCs w:val="33"/>
        </w:rPr>
      </w:pPr>
    </w:p>
    <w:p>
      <w:pPr>
        <w:adjustRightInd w:val="0"/>
        <w:snapToGrid w:val="0"/>
        <w:spacing w:line="600" w:lineRule="exact"/>
        <w:ind w:firstLine="660" w:firstLineChars="200"/>
        <w:rPr>
          <w:rFonts w:eastAsia="方正黑体_GBK"/>
          <w:sz w:val="33"/>
          <w:szCs w:val="33"/>
          <w:lang w:val="zh-CN"/>
        </w:rPr>
      </w:pPr>
      <w:r>
        <w:rPr>
          <w:rFonts w:hint="eastAsia" w:eastAsia="方正黑体_GBK"/>
          <w:sz w:val="33"/>
          <w:szCs w:val="33"/>
        </w:rPr>
        <w:t>一、</w:t>
      </w:r>
      <w:r>
        <w:rPr>
          <w:rFonts w:hint="eastAsia" w:eastAsia="方正黑体_GBK"/>
          <w:sz w:val="33"/>
          <w:szCs w:val="33"/>
          <w:lang w:val="zh-CN"/>
        </w:rPr>
        <w:t>项目概况</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（一）项目基本情况</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2020年度我办项目全年计划安排了2个项目，开展人大监督、视察和调研工作、法制专题工作、工作评议、专委会工作、常委会工作、</w:t>
      </w:r>
      <w:r>
        <w:rPr>
          <w:rFonts w:hint="default" w:ascii="仿宋_GB2312" w:eastAsia="仿宋_GB2312"/>
          <w:sz w:val="32"/>
          <w:szCs w:val="32"/>
          <w:lang w:val="en"/>
        </w:rPr>
        <w:t>人民代表大会</w:t>
      </w:r>
      <w:r>
        <w:rPr>
          <w:rFonts w:hint="eastAsia" w:ascii="仿宋_GB2312" w:eastAsia="仿宋_GB2312"/>
          <w:sz w:val="32"/>
          <w:szCs w:val="32"/>
        </w:rPr>
        <w:t>会议、人大代表活动等相关工作。</w:t>
      </w:r>
    </w:p>
    <w:p>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2</w:t>
      </w:r>
      <w:r>
        <w:rPr>
          <w:rFonts w:hint="eastAsia" w:eastAsia="方正仿宋_GBK"/>
          <w:sz w:val="33"/>
          <w:szCs w:val="33"/>
          <w:lang w:val="zh-CN"/>
        </w:rPr>
        <w:t>．项目立项、资金申报的依据。</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2020年度开展人大监督、视察和调研工作、法制专题工作、工作评议、专委会工作、常委会工作、</w:t>
      </w:r>
      <w:r>
        <w:rPr>
          <w:rFonts w:hint="default" w:ascii="仿宋_GB2312" w:eastAsia="仿宋_GB2312"/>
          <w:sz w:val="32"/>
          <w:szCs w:val="32"/>
          <w:lang w:val="en"/>
        </w:rPr>
        <w:t>人民代表大会</w:t>
      </w:r>
      <w:r>
        <w:rPr>
          <w:rFonts w:hint="eastAsia" w:ascii="仿宋_GB2312" w:eastAsia="仿宋_GB2312"/>
          <w:sz w:val="32"/>
          <w:szCs w:val="32"/>
        </w:rPr>
        <w:t>会议、人大代表活动等相关工作。</w:t>
      </w:r>
    </w:p>
    <w:p>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3</w:t>
      </w:r>
      <w:r>
        <w:rPr>
          <w:rFonts w:hint="eastAsia" w:eastAsia="方正仿宋_GBK"/>
          <w:sz w:val="33"/>
          <w:szCs w:val="33"/>
          <w:lang w:val="zh-CN"/>
        </w:rPr>
        <w:t>．项目资金实行专款专用，严格管理，绝不拖用。</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（二）项目绩效目标</w:t>
      </w:r>
    </w:p>
    <w:p>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1</w:t>
      </w:r>
      <w:r>
        <w:rPr>
          <w:rFonts w:hint="eastAsia" w:eastAsia="方正仿宋_GBK"/>
          <w:sz w:val="33"/>
          <w:szCs w:val="33"/>
          <w:lang w:val="zh-CN"/>
        </w:rPr>
        <w:t>．项目主要内容。</w:t>
      </w:r>
    </w:p>
    <w:p>
      <w:pPr>
        <w:pStyle w:val="8"/>
        <w:ind w:firstLine="640" w:firstLineChars="200"/>
        <w:rPr>
          <w:rFonts w:ascii="仿宋_GB2312" w:eastAsia="仿宋_GB2312"/>
          <w:sz w:val="32"/>
          <w:szCs w:val="32"/>
        </w:rPr>
      </w:pPr>
      <w:r>
        <w:rPr>
          <w:rFonts w:hint="eastAsia" w:ascii="仿宋_GB2312" w:eastAsia="仿宋_GB2312"/>
          <w:sz w:val="32"/>
          <w:szCs w:val="32"/>
        </w:rPr>
        <w:t>2020年度上半年开展人大监督、视察和调研工作、法制专题工作、工作评议、专委会工作、常委会工作、</w:t>
      </w:r>
      <w:r>
        <w:rPr>
          <w:rFonts w:hint="default" w:ascii="仿宋_GB2312" w:eastAsia="仿宋_GB2312"/>
          <w:sz w:val="32"/>
          <w:szCs w:val="32"/>
          <w:lang w:val="en"/>
        </w:rPr>
        <w:t>人民代表大会</w:t>
      </w:r>
      <w:r>
        <w:rPr>
          <w:rFonts w:hint="eastAsia" w:ascii="仿宋_GB2312" w:eastAsia="仿宋_GB2312"/>
          <w:sz w:val="32"/>
          <w:szCs w:val="32"/>
        </w:rPr>
        <w:t>会议、人大代表活动等相关工作。</w:t>
      </w:r>
    </w:p>
    <w:p>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2</w:t>
      </w:r>
      <w:r>
        <w:rPr>
          <w:rFonts w:hint="eastAsia" w:eastAsia="方正仿宋_GBK"/>
          <w:sz w:val="33"/>
          <w:szCs w:val="33"/>
          <w:lang w:val="zh-CN"/>
        </w:rPr>
        <w:t>．项目应实现的具体绩效目标，包括目标的量化、细化情况以及项目实施进度计划等。</w:t>
      </w:r>
    </w:p>
    <w:p>
      <w:pPr>
        <w:adjustRightInd w:val="0"/>
        <w:snapToGrid w:val="0"/>
        <w:spacing w:line="600" w:lineRule="exact"/>
        <w:ind w:firstLine="660" w:firstLineChars="200"/>
        <w:rPr>
          <w:rFonts w:eastAsia="方正仿宋_GBK"/>
          <w:sz w:val="33"/>
          <w:szCs w:val="33"/>
          <w:lang w:val="zh-CN"/>
        </w:rPr>
      </w:pPr>
      <w:r>
        <w:rPr>
          <w:rFonts w:eastAsia="方正仿宋_GBK"/>
          <w:sz w:val="33"/>
          <w:szCs w:val="33"/>
          <w:lang w:val="zh-CN"/>
        </w:rPr>
        <w:t>3</w:t>
      </w:r>
      <w:r>
        <w:rPr>
          <w:rFonts w:hint="eastAsia" w:eastAsia="方正仿宋_GBK"/>
          <w:sz w:val="33"/>
          <w:szCs w:val="33"/>
          <w:lang w:val="zh-CN"/>
        </w:rPr>
        <w:t>．分析评价申报内容是否与实际相符，申报目标是否合理可行。</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（三）项目自评步骤及方法</w:t>
      </w:r>
    </w:p>
    <w:p>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本单位项目绩效评价工作是以县财政局所提出的绩效评价指标制定原则为指导，根据项目的决策依据、实施过程、绩效情况及自评进行评价。分别对项目依据的充分性、绩效目标的合理性、绩效指标的明确性、资金到位率、到位及时率、管理制度的规范性、资金使用率、实际完成率、质量达标率、项目效益、自评实施情况等进行自评打分。</w:t>
      </w:r>
    </w:p>
    <w:p>
      <w:pPr>
        <w:adjustRightInd w:val="0"/>
        <w:snapToGrid w:val="0"/>
        <w:spacing w:line="600" w:lineRule="exact"/>
        <w:ind w:firstLine="660" w:firstLineChars="200"/>
        <w:rPr>
          <w:rFonts w:eastAsia="方正黑体_GBK"/>
          <w:sz w:val="33"/>
          <w:szCs w:val="33"/>
        </w:rPr>
      </w:pPr>
      <w:r>
        <w:rPr>
          <w:rFonts w:hint="eastAsia" w:eastAsia="方正黑体_GBK"/>
          <w:sz w:val="33"/>
          <w:szCs w:val="33"/>
        </w:rPr>
        <w:t>二、项目资金申报及使用情况</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（一）项目资金申报及批复情况</w:t>
      </w:r>
    </w:p>
    <w:p>
      <w:pPr>
        <w:adjustRightInd w:val="0"/>
        <w:snapToGrid w:val="0"/>
        <w:spacing w:line="600" w:lineRule="exact"/>
        <w:ind w:firstLine="640" w:firstLineChars="200"/>
        <w:rPr>
          <w:rFonts w:eastAsia="方正仿宋_GBK"/>
          <w:sz w:val="32"/>
          <w:szCs w:val="32"/>
        </w:rPr>
      </w:pPr>
      <w:r>
        <w:rPr>
          <w:rFonts w:hint="eastAsia" w:ascii="仿宋_GB2312" w:eastAsia="仿宋_GB2312"/>
          <w:sz w:val="32"/>
          <w:szCs w:val="32"/>
        </w:rPr>
        <w:t>2020年初</w:t>
      </w:r>
      <w:r>
        <w:rPr>
          <w:rFonts w:hint="eastAsia" w:ascii="仿宋_GB2312" w:eastAsia="仿宋_GB2312"/>
          <w:sz w:val="32"/>
          <w:szCs w:val="32"/>
          <w:lang w:val="zh-CN"/>
        </w:rPr>
        <w:t>项目预算经费</w:t>
      </w:r>
      <w:r>
        <w:rPr>
          <w:rFonts w:hint="eastAsia" w:ascii="仿宋_GB2312" w:eastAsia="仿宋_GB2312"/>
          <w:sz w:val="32"/>
          <w:szCs w:val="32"/>
        </w:rPr>
        <w:t>215万元。按年度进行申报，经财政局分管股室审核，纳入财政年初预算，并按预决算相关规定进行统一公开</w:t>
      </w:r>
      <w:r>
        <w:rPr>
          <w:rFonts w:hint="eastAsia" w:eastAsia="方正仿宋_GBK"/>
          <w:sz w:val="32"/>
          <w:szCs w:val="32"/>
        </w:rPr>
        <w:t>。</w:t>
      </w:r>
    </w:p>
    <w:p>
      <w:pPr>
        <w:adjustRightInd w:val="0"/>
        <w:snapToGrid w:val="0"/>
        <w:spacing w:line="600" w:lineRule="exact"/>
        <w:ind w:firstLine="662" w:firstLineChars="200"/>
        <w:rPr>
          <w:rFonts w:eastAsia="方正楷体_GBK"/>
          <w:sz w:val="33"/>
          <w:szCs w:val="33"/>
          <w:lang w:val="zh-CN"/>
        </w:rPr>
      </w:pPr>
      <w:r>
        <w:rPr>
          <w:rFonts w:hint="eastAsia" w:eastAsia="方正楷体_GBK"/>
          <w:b/>
          <w:sz w:val="33"/>
          <w:szCs w:val="33"/>
          <w:lang w:val="zh-CN"/>
        </w:rPr>
        <w:t>（二）资金计划、到位及使用情况（可用表格形式反映）</w:t>
      </w:r>
    </w:p>
    <w:p>
      <w:pPr>
        <w:adjustRightInd w:val="0"/>
        <w:snapToGrid w:val="0"/>
        <w:spacing w:line="600" w:lineRule="exact"/>
        <w:ind w:firstLine="660" w:firstLineChars="200"/>
        <w:rPr>
          <w:rFonts w:ascii="仿宋_GB2312" w:eastAsia="仿宋_GB2312"/>
          <w:lang w:val="zh-CN"/>
        </w:rPr>
      </w:pPr>
      <w:r>
        <w:rPr>
          <w:rFonts w:hint="eastAsia" w:eastAsia="方正仿宋_GBK"/>
          <w:sz w:val="33"/>
          <w:szCs w:val="33"/>
        </w:rPr>
        <w:t>1、</w:t>
      </w:r>
      <w:r>
        <w:rPr>
          <w:rFonts w:hint="eastAsia" w:eastAsia="方正仿宋_GBK"/>
          <w:sz w:val="33"/>
          <w:szCs w:val="33"/>
          <w:lang w:val="zh-CN"/>
        </w:rPr>
        <w:t>资金计划。</w:t>
      </w:r>
      <w:r>
        <w:rPr>
          <w:rFonts w:hint="eastAsia" w:ascii="仿宋_GB2312" w:eastAsia="仿宋_GB2312"/>
          <w:sz w:val="32"/>
          <w:szCs w:val="32"/>
        </w:rPr>
        <w:t>2020年初财政预算项目经费215万元。</w:t>
      </w:r>
    </w:p>
    <w:p>
      <w:pPr>
        <w:adjustRightInd w:val="0"/>
        <w:snapToGrid w:val="0"/>
        <w:spacing w:line="600" w:lineRule="exact"/>
        <w:ind w:firstLine="660" w:firstLineChars="200"/>
        <w:rPr>
          <w:rFonts w:ascii="仿宋_GB2312" w:eastAsia="仿宋_GB2312"/>
          <w:lang w:val="zh-CN"/>
        </w:rPr>
      </w:pPr>
      <w:r>
        <w:rPr>
          <w:rFonts w:hint="eastAsia" w:eastAsia="方正仿宋_GBK"/>
          <w:sz w:val="33"/>
          <w:szCs w:val="33"/>
        </w:rPr>
        <w:t>2、资金到位。</w:t>
      </w:r>
      <w:r>
        <w:rPr>
          <w:rFonts w:hint="eastAsia" w:ascii="仿宋_GB2312" w:eastAsia="仿宋_GB2312"/>
          <w:sz w:val="32"/>
          <w:szCs w:val="32"/>
        </w:rPr>
        <w:t>全年共到位资金215万元。</w:t>
      </w:r>
    </w:p>
    <w:p>
      <w:pPr>
        <w:adjustRightInd w:val="0"/>
        <w:snapToGrid w:val="0"/>
        <w:spacing w:line="600" w:lineRule="exact"/>
        <w:ind w:firstLine="660" w:firstLineChars="200"/>
        <w:rPr>
          <w:rFonts w:eastAsia="方正仿宋_GBK"/>
          <w:sz w:val="32"/>
          <w:szCs w:val="32"/>
          <w:lang w:val="zh-CN"/>
        </w:rPr>
      </w:pPr>
      <w:r>
        <w:rPr>
          <w:rFonts w:hint="eastAsia" w:eastAsia="方正仿宋_GBK"/>
          <w:sz w:val="33"/>
          <w:szCs w:val="33"/>
        </w:rPr>
        <w:t>3、资金使用。</w:t>
      </w:r>
      <w:r>
        <w:rPr>
          <w:rFonts w:hint="eastAsia" w:ascii="仿宋_GB2312" w:eastAsia="仿宋_GB2312"/>
          <w:sz w:val="32"/>
          <w:szCs w:val="32"/>
        </w:rPr>
        <w:t>2020年3月，县财政年初预算资金到位后，在规定期限内将全部项目完成并支付。</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（三）项目财务管理情况</w:t>
      </w:r>
    </w:p>
    <w:p>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rPr>
        <w:t>2020年县财政纳入年初预算项目经费215万元，实际支出215万元，资金到位及时。</w:t>
      </w:r>
      <w:r>
        <w:rPr>
          <w:rFonts w:hint="eastAsia" w:ascii="仿宋_GB2312" w:eastAsia="仿宋_GB2312"/>
          <w:sz w:val="32"/>
          <w:szCs w:val="32"/>
          <w:lang w:val="zh-CN"/>
        </w:rPr>
        <w:t>严格按照国家财务管理相关规定，按照项目管理实施方案的活动内容进行会计核算，真实反映收支情况，并建立专帐核算，杜绝资金的截留、挤占、挪用等情况，确保项目资金专款专用。</w:t>
      </w:r>
    </w:p>
    <w:p>
      <w:pPr>
        <w:adjustRightInd w:val="0"/>
        <w:snapToGrid w:val="0"/>
        <w:spacing w:line="600" w:lineRule="exact"/>
        <w:ind w:firstLine="660" w:firstLineChars="200"/>
        <w:rPr>
          <w:rFonts w:eastAsia="方正黑体_GBK"/>
          <w:sz w:val="33"/>
          <w:szCs w:val="33"/>
        </w:rPr>
      </w:pPr>
      <w:r>
        <w:rPr>
          <w:rFonts w:hint="eastAsia" w:eastAsia="方正黑体_GBK"/>
          <w:sz w:val="33"/>
          <w:szCs w:val="33"/>
        </w:rPr>
        <w:t>三、项目实施及管理情况</w:t>
      </w:r>
    </w:p>
    <w:p>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结合项目组织实施管理办法，重点围绕以下内容进行分析评价，并对自评中发现的问题分析说明。</w:t>
      </w:r>
    </w:p>
    <w:p>
      <w:pPr>
        <w:numPr>
          <w:ilvl w:val="0"/>
          <w:numId w:val="6"/>
        </w:num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项目组织架构及实施流程</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邻水县党人大办为实施的责任单位，负责制定和完成</w:t>
      </w:r>
      <w:r>
        <w:rPr>
          <w:rFonts w:hint="eastAsia" w:ascii="仿宋_GB2312" w:eastAsia="仿宋_GB2312"/>
          <w:sz w:val="32"/>
          <w:szCs w:val="32"/>
        </w:rPr>
        <w:t>2020年本单位的具体项目工作。</w:t>
      </w:r>
    </w:p>
    <w:p>
      <w:pPr>
        <w:pStyle w:val="8"/>
      </w:pP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（二）项目管理情况</w:t>
      </w:r>
    </w:p>
    <w:p>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根据单位制定的《内控制度管理办法规定》，单位严格执行询价采购，并按照合同及时完善相关工作。</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（三）项目监管情况</w:t>
      </w:r>
    </w:p>
    <w:p>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严格按照采购法和单位《内控制度管理办法》执行。</w:t>
      </w:r>
    </w:p>
    <w:p>
      <w:pPr>
        <w:adjustRightInd w:val="0"/>
        <w:snapToGrid w:val="0"/>
        <w:spacing w:line="600" w:lineRule="exact"/>
        <w:ind w:firstLine="660" w:firstLineChars="200"/>
        <w:rPr>
          <w:rFonts w:eastAsia="方正黑体_GBK"/>
          <w:sz w:val="33"/>
          <w:szCs w:val="33"/>
        </w:rPr>
      </w:pPr>
      <w:r>
        <w:rPr>
          <w:rFonts w:hint="eastAsia" w:eastAsia="方正黑体_GBK"/>
          <w:sz w:val="33"/>
          <w:szCs w:val="33"/>
        </w:rPr>
        <w:t>四、项目绩效情况</w:t>
      </w:r>
      <w:r>
        <w:rPr>
          <w:rFonts w:eastAsia="方正黑体_GBK"/>
          <w:sz w:val="33"/>
          <w:szCs w:val="33"/>
        </w:rPr>
        <w:tab/>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（一）项目完成情况</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人大监督、视察和调研工作、法制专题工作、工作评议、专委会工作、常委会工作、</w:t>
      </w:r>
      <w:r>
        <w:rPr>
          <w:rFonts w:hint="default" w:ascii="仿宋_GB2312" w:eastAsia="仿宋_GB2312"/>
          <w:sz w:val="32"/>
          <w:szCs w:val="32"/>
          <w:lang w:val="en"/>
        </w:rPr>
        <w:t>人民代表大会</w:t>
      </w:r>
      <w:r>
        <w:rPr>
          <w:rFonts w:hint="eastAsia" w:ascii="仿宋_GB2312" w:eastAsia="仿宋_GB2312"/>
          <w:sz w:val="32"/>
          <w:szCs w:val="32"/>
        </w:rPr>
        <w:t>会议、人大代表活动等相关工作，在规定期限内完成。</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（二）项目效益情况。</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我办2020年度2个绩效项目的实施，规范资金使用管理，不断提高资金使用效率。</w:t>
      </w:r>
    </w:p>
    <w:p>
      <w:pPr>
        <w:adjustRightInd w:val="0"/>
        <w:snapToGrid w:val="0"/>
        <w:spacing w:line="600" w:lineRule="exact"/>
        <w:ind w:firstLine="660" w:firstLineChars="200"/>
        <w:rPr>
          <w:rFonts w:eastAsia="方正黑体_GBK"/>
          <w:sz w:val="33"/>
          <w:szCs w:val="33"/>
        </w:rPr>
      </w:pPr>
      <w:r>
        <w:rPr>
          <w:rFonts w:hint="eastAsia" w:eastAsia="方正黑体_GBK"/>
          <w:sz w:val="33"/>
          <w:szCs w:val="33"/>
        </w:rPr>
        <w:t>五、评价结论及建议</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（一）评价结论</w:t>
      </w:r>
    </w:p>
    <w:p>
      <w:pPr>
        <w:adjustRightInd w:val="0"/>
        <w:snapToGrid w:val="0"/>
        <w:spacing w:line="600" w:lineRule="exact"/>
        <w:ind w:firstLine="640" w:firstLineChars="200"/>
        <w:rPr>
          <w:rFonts w:ascii="仿宋_GB2312" w:eastAsia="仿宋_GB2312"/>
          <w:sz w:val="32"/>
          <w:szCs w:val="32"/>
          <w:bdr w:val="single" w:color="auto" w:sz="4" w:space="0"/>
          <w:lang w:val="zh-CN"/>
        </w:rPr>
      </w:pPr>
      <w:r>
        <w:rPr>
          <w:rFonts w:hint="eastAsia" w:ascii="仿宋_GB2312" w:eastAsia="仿宋_GB2312"/>
          <w:sz w:val="32"/>
          <w:szCs w:val="32"/>
        </w:rPr>
        <w:t>2020年人大办年初项目绩效自评结果相对较好，按年初预算和实施方案完成了全年的各项指标，达到了较好的效果，为领导和社会人士提供了真实有效的资料依据。</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（二）存在的问题</w:t>
      </w:r>
    </w:p>
    <w:p>
      <w:pPr>
        <w:adjustRightInd w:val="0"/>
        <w:snapToGrid w:val="0"/>
        <w:spacing w:line="600" w:lineRule="exact"/>
        <w:ind w:firstLine="640" w:firstLineChars="200"/>
        <w:rPr>
          <w:rFonts w:ascii="仿宋_GB2312" w:hAnsi="仿宋" w:eastAsia="仿宋_GB2312" w:cs="仿宋"/>
          <w:bCs/>
          <w:sz w:val="32"/>
          <w:szCs w:val="32"/>
          <w:lang w:val="zh-CN"/>
        </w:rPr>
      </w:pPr>
      <w:r>
        <w:rPr>
          <w:rFonts w:hint="eastAsia" w:ascii="仿宋_GB2312" w:hAnsi="仿宋" w:eastAsia="仿宋_GB2312" w:cs="仿宋"/>
          <w:bCs/>
          <w:sz w:val="32"/>
          <w:szCs w:val="32"/>
        </w:rPr>
        <w:t>部门整体预算执行滞后的主要问题是收集原始资料难,工作应该更加精细化 ,但总的不会影响市上对邻水县绩效目标的考核</w:t>
      </w:r>
      <w:r>
        <w:rPr>
          <w:rFonts w:hint="eastAsia" w:ascii="仿宋_GB2312" w:hAnsi="仿宋" w:eastAsia="仿宋_GB2312" w:cs="仿宋"/>
          <w:bCs/>
          <w:sz w:val="32"/>
          <w:szCs w:val="32"/>
          <w:lang w:val="zh-CN"/>
        </w:rPr>
        <w:tab/>
      </w:r>
      <w:r>
        <w:rPr>
          <w:rFonts w:hint="eastAsia" w:ascii="仿宋_GB2312" w:hAnsi="仿宋" w:eastAsia="仿宋_GB2312" w:cs="仿宋"/>
          <w:bCs/>
          <w:sz w:val="32"/>
          <w:szCs w:val="32"/>
          <w:lang w:val="zh-CN"/>
        </w:rPr>
        <w:t>。</w:t>
      </w:r>
    </w:p>
    <w:p>
      <w:pPr>
        <w:adjustRightInd w:val="0"/>
        <w:snapToGrid w:val="0"/>
        <w:spacing w:line="600" w:lineRule="exact"/>
        <w:ind w:firstLine="662" w:firstLineChars="200"/>
        <w:rPr>
          <w:rFonts w:eastAsia="方正楷体_GBK"/>
          <w:b/>
          <w:sz w:val="33"/>
          <w:szCs w:val="33"/>
          <w:lang w:val="zh-CN"/>
        </w:rPr>
      </w:pPr>
      <w:r>
        <w:rPr>
          <w:rFonts w:hint="eastAsia" w:eastAsia="方正楷体_GBK"/>
          <w:b/>
          <w:sz w:val="33"/>
          <w:szCs w:val="33"/>
          <w:lang w:val="zh-CN"/>
        </w:rPr>
        <w:t>（三）相关建议</w:t>
      </w:r>
    </w:p>
    <w:p>
      <w:pPr>
        <w:adjustRightInd w:val="0"/>
        <w:snapToGrid w:val="0"/>
        <w:spacing w:line="600" w:lineRule="exact"/>
        <w:ind w:firstLine="640" w:firstLineChars="200"/>
        <w:rPr>
          <w:rFonts w:ascii="仿宋_GB2312" w:eastAsia="仿宋_GB2312"/>
          <w:sz w:val="32"/>
          <w:szCs w:val="32"/>
        </w:rPr>
      </w:pPr>
      <w:r>
        <w:rPr>
          <w:rFonts w:hint="eastAsia" w:ascii="仿宋_GB2312" w:hAnsi="宋体" w:eastAsia="仿宋_GB2312" w:cs="宋体"/>
          <w:sz w:val="32"/>
          <w:szCs w:val="32"/>
        </w:rPr>
        <w:t>强化业务管理，提高业务人员专业能力</w:t>
      </w:r>
      <w:r>
        <w:rPr>
          <w:rFonts w:hint="eastAsia" w:ascii="仿宋_GB2312" w:eastAsia="仿宋_GB2312"/>
          <w:sz w:val="32"/>
          <w:szCs w:val="32"/>
        </w:rPr>
        <w:t>。</w:t>
      </w:r>
    </w:p>
    <w:p>
      <w:pPr>
        <w:pStyle w:val="8"/>
        <w:rPr>
          <w:rFonts w:eastAsia="方正仿宋_GBK"/>
          <w:sz w:val="33"/>
          <w:szCs w:val="33"/>
        </w:rPr>
      </w:pPr>
    </w:p>
    <w:p/>
    <w:p>
      <w:pPr>
        <w:widowControl/>
        <w:jc w:val="left"/>
        <w:rPr>
          <w:rStyle w:val="16"/>
          <w:rFonts w:ascii="黑体" w:hAnsi="黑体" w:eastAsia="黑体"/>
          <w:b w:val="0"/>
        </w:rPr>
      </w:pPr>
      <w:r>
        <w:rPr>
          <w:rStyle w:val="16"/>
          <w:rFonts w:ascii="黑体" w:hAnsi="黑体" w:eastAsia="黑体"/>
          <w:b w:val="0"/>
        </w:rPr>
        <w:br w:type="page"/>
      </w:r>
    </w:p>
    <w:p>
      <w:pPr>
        <w:spacing w:line="600" w:lineRule="exact"/>
        <w:jc w:val="center"/>
        <w:outlineLvl w:val="0"/>
        <w:rPr>
          <w:rStyle w:val="16"/>
          <w:rFonts w:ascii="黑体" w:hAnsi="黑体" w:eastAsia="黑体"/>
          <w:b w:val="0"/>
        </w:rPr>
      </w:pPr>
    </w:p>
    <w:p>
      <w:pPr>
        <w:spacing w:line="600" w:lineRule="exact"/>
        <w:jc w:val="center"/>
        <w:outlineLvl w:val="0"/>
        <w:rPr>
          <w:rStyle w:val="16"/>
          <w:rFonts w:ascii="黑体" w:hAnsi="黑体" w:eastAsia="黑体"/>
          <w:b w:val="0"/>
        </w:rPr>
      </w:pPr>
      <w:bookmarkStart w:id="59"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3"/>
    </w:p>
    <w:p>
      <w:pPr>
        <w:pStyle w:val="3"/>
        <w:rPr>
          <w:rStyle w:val="17"/>
          <w:rFonts w:ascii="仿宋" w:hAnsi="仿宋" w:eastAsia="仿宋"/>
          <w:b w:val="0"/>
          <w:bCs w:val="0"/>
        </w:rPr>
      </w:pPr>
      <w:bookmarkStart w:id="64"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有资本经营预算财政拨款支出决算表</w:t>
      </w:r>
      <w:bookmarkEnd w:id="72"/>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28</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F0D70CA"/>
    <w:multiLevelType w:val="singleLevel"/>
    <w:tmpl w:val="DF0D70C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B812A14"/>
    <w:multiLevelType w:val="singleLevel"/>
    <w:tmpl w:val="EB812A14"/>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9CA036E"/>
    <w:multiLevelType w:val="singleLevel"/>
    <w:tmpl w:val="39CA036E"/>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2Q2YWI5MDBlZGE5YzA3OGJlNjI4MjAxZjE5NjMifQ=="/>
  </w:docVars>
  <w:rsids>
    <w:rsidRoot w:val="00F1361C"/>
    <w:rsid w:val="000222C6"/>
    <w:rsid w:val="0002549F"/>
    <w:rsid w:val="00036530"/>
    <w:rsid w:val="0003714A"/>
    <w:rsid w:val="0004040B"/>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B75"/>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323A"/>
    <w:rsid w:val="00280496"/>
    <w:rsid w:val="00294DC9"/>
    <w:rsid w:val="00295495"/>
    <w:rsid w:val="002A31DE"/>
    <w:rsid w:val="002B2613"/>
    <w:rsid w:val="002D6D05"/>
    <w:rsid w:val="002F1818"/>
    <w:rsid w:val="002F567B"/>
    <w:rsid w:val="003216A9"/>
    <w:rsid w:val="00335A74"/>
    <w:rsid w:val="0035427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1C79"/>
    <w:rsid w:val="00443880"/>
    <w:rsid w:val="004464F4"/>
    <w:rsid w:val="004616BC"/>
    <w:rsid w:val="00471401"/>
    <w:rsid w:val="00473F31"/>
    <w:rsid w:val="0048263A"/>
    <w:rsid w:val="00487E5D"/>
    <w:rsid w:val="004A711F"/>
    <w:rsid w:val="004B199D"/>
    <w:rsid w:val="004B4690"/>
    <w:rsid w:val="004D5E8A"/>
    <w:rsid w:val="004E0A2D"/>
    <w:rsid w:val="004E1D00"/>
    <w:rsid w:val="004E206B"/>
    <w:rsid w:val="004E6DF7"/>
    <w:rsid w:val="004F0FBD"/>
    <w:rsid w:val="00505A47"/>
    <w:rsid w:val="00512FDA"/>
    <w:rsid w:val="00520DA0"/>
    <w:rsid w:val="005269D7"/>
    <w:rsid w:val="00535A32"/>
    <w:rsid w:val="005664BB"/>
    <w:rsid w:val="00566FFA"/>
    <w:rsid w:val="0057481D"/>
    <w:rsid w:val="0058441F"/>
    <w:rsid w:val="0058486E"/>
    <w:rsid w:val="00585B33"/>
    <w:rsid w:val="0059014D"/>
    <w:rsid w:val="005B5C64"/>
    <w:rsid w:val="005C1FA0"/>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87E"/>
    <w:rsid w:val="006936E3"/>
    <w:rsid w:val="006A3141"/>
    <w:rsid w:val="006A4C4D"/>
    <w:rsid w:val="006A5E34"/>
    <w:rsid w:val="006B2422"/>
    <w:rsid w:val="006B2B9A"/>
    <w:rsid w:val="006C0510"/>
    <w:rsid w:val="006C1937"/>
    <w:rsid w:val="006F020C"/>
    <w:rsid w:val="00704DDF"/>
    <w:rsid w:val="007065E1"/>
    <w:rsid w:val="007127B7"/>
    <w:rsid w:val="0071798E"/>
    <w:rsid w:val="0073573D"/>
    <w:rsid w:val="007416B6"/>
    <w:rsid w:val="00746F48"/>
    <w:rsid w:val="0075404D"/>
    <w:rsid w:val="0076182A"/>
    <w:rsid w:val="00767B7E"/>
    <w:rsid w:val="007770C3"/>
    <w:rsid w:val="00784D24"/>
    <w:rsid w:val="00785FBA"/>
    <w:rsid w:val="00786E4A"/>
    <w:rsid w:val="007875EB"/>
    <w:rsid w:val="00790C84"/>
    <w:rsid w:val="0079426B"/>
    <w:rsid w:val="007D1682"/>
    <w:rsid w:val="007D312A"/>
    <w:rsid w:val="007D3F19"/>
    <w:rsid w:val="007E23B0"/>
    <w:rsid w:val="007E23E5"/>
    <w:rsid w:val="007F1991"/>
    <w:rsid w:val="007F2C2F"/>
    <w:rsid w:val="007F55FC"/>
    <w:rsid w:val="007F5665"/>
    <w:rsid w:val="00800112"/>
    <w:rsid w:val="00813348"/>
    <w:rsid w:val="008253BB"/>
    <w:rsid w:val="008304E9"/>
    <w:rsid w:val="0083706E"/>
    <w:rsid w:val="008408F6"/>
    <w:rsid w:val="008423A5"/>
    <w:rsid w:val="00850625"/>
    <w:rsid w:val="00853718"/>
    <w:rsid w:val="00855221"/>
    <w:rsid w:val="00860645"/>
    <w:rsid w:val="00871F71"/>
    <w:rsid w:val="00872FD8"/>
    <w:rsid w:val="00885AF4"/>
    <w:rsid w:val="00885F54"/>
    <w:rsid w:val="008939CD"/>
    <w:rsid w:val="008B768C"/>
    <w:rsid w:val="008C4DB1"/>
    <w:rsid w:val="008C4EAF"/>
    <w:rsid w:val="008C5176"/>
    <w:rsid w:val="008C7FD0"/>
    <w:rsid w:val="008E1DE7"/>
    <w:rsid w:val="008E707C"/>
    <w:rsid w:val="00900B08"/>
    <w:rsid w:val="00902155"/>
    <w:rsid w:val="009026A3"/>
    <w:rsid w:val="00902FA3"/>
    <w:rsid w:val="00923174"/>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94394"/>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1881"/>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4751"/>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0A54"/>
    <w:rsid w:val="00F36D8F"/>
    <w:rsid w:val="00F417B1"/>
    <w:rsid w:val="00F45853"/>
    <w:rsid w:val="00F602DF"/>
    <w:rsid w:val="00F754A1"/>
    <w:rsid w:val="00F81FD9"/>
    <w:rsid w:val="00F82BAB"/>
    <w:rsid w:val="00F841AA"/>
    <w:rsid w:val="00F84A94"/>
    <w:rsid w:val="00F87E96"/>
    <w:rsid w:val="00FA23E8"/>
    <w:rsid w:val="00FD3CC1"/>
    <w:rsid w:val="00FF1E02"/>
    <w:rsid w:val="00FF30B4"/>
    <w:rsid w:val="02F414BE"/>
    <w:rsid w:val="0A2032A3"/>
    <w:rsid w:val="10C055FF"/>
    <w:rsid w:val="118107EC"/>
    <w:rsid w:val="1611225C"/>
    <w:rsid w:val="16BB723D"/>
    <w:rsid w:val="1D155CEE"/>
    <w:rsid w:val="240371BF"/>
    <w:rsid w:val="29FD04D3"/>
    <w:rsid w:val="319F7F4E"/>
    <w:rsid w:val="399FF9A8"/>
    <w:rsid w:val="4ECE2238"/>
    <w:rsid w:val="65567BE8"/>
    <w:rsid w:val="67E7303C"/>
    <w:rsid w:val="6C4A05C8"/>
    <w:rsid w:val="72734D90"/>
    <w:rsid w:val="763D4365"/>
    <w:rsid w:val="AB5F8EED"/>
    <w:rsid w:val="BFDD317B"/>
    <w:rsid w:val="CFB77685"/>
    <w:rsid w:val="FF5E89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19"/>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0"/>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unhideWhenUsed/>
    <w:qFormat/>
    <w:uiPriority w:val="99"/>
    <w:rPr>
      <w:rFonts w:cs="Times New Roman"/>
      <w:color w:val="0000FF"/>
      <w:u w:val="single"/>
    </w:rPr>
  </w:style>
  <w:style w:type="character" w:customStyle="1" w:styleId="16">
    <w:name w:val="标题 1 Char"/>
    <w:basedOn w:val="13"/>
    <w:link w:val="2"/>
    <w:qFormat/>
    <w:locked/>
    <w:uiPriority w:val="9"/>
    <w:rPr>
      <w:rFonts w:ascii="Times New Roman" w:hAnsi="Times New Roman" w:cs="Times New Roman"/>
      <w:b/>
      <w:bCs/>
      <w:kern w:val="44"/>
      <w:sz w:val="44"/>
      <w:szCs w:val="44"/>
    </w:rPr>
  </w:style>
  <w:style w:type="character" w:customStyle="1" w:styleId="17">
    <w:name w:val="标题 2 Char"/>
    <w:basedOn w:val="13"/>
    <w:link w:val="3"/>
    <w:qFormat/>
    <w:locked/>
    <w:uiPriority w:val="9"/>
    <w:rPr>
      <w:rFonts w:ascii="Cambria" w:hAnsi="Cambria" w:eastAsia="宋体" w:cs="Times New Roman"/>
      <w:b/>
      <w:bCs/>
      <w:kern w:val="2"/>
      <w:sz w:val="32"/>
      <w:szCs w:val="32"/>
    </w:rPr>
  </w:style>
  <w:style w:type="character" w:customStyle="1" w:styleId="18">
    <w:name w:val="标题 3 Char"/>
    <w:basedOn w:val="13"/>
    <w:link w:val="4"/>
    <w:qFormat/>
    <w:locked/>
    <w:uiPriority w:val="9"/>
    <w:rPr>
      <w:rFonts w:ascii="Times New Roman" w:hAnsi="Times New Roman" w:cs="Times New Roman"/>
      <w:b/>
      <w:bCs/>
      <w:kern w:val="2"/>
      <w:sz w:val="32"/>
      <w:szCs w:val="32"/>
    </w:rPr>
  </w:style>
  <w:style w:type="character" w:customStyle="1" w:styleId="19">
    <w:name w:val="正文文本 Char"/>
    <w:link w:val="5"/>
    <w:qFormat/>
    <w:locked/>
    <w:uiPriority w:val="99"/>
    <w:rPr>
      <w:rFonts w:ascii="仿宋_GB2312" w:hAnsi="Times New Roman" w:eastAsia="仿宋_GB2312"/>
      <w:sz w:val="24"/>
    </w:rPr>
  </w:style>
  <w:style w:type="character" w:customStyle="1" w:styleId="20">
    <w:name w:val="批注框文本 Char"/>
    <w:basedOn w:val="13"/>
    <w:link w:val="7"/>
    <w:semiHidden/>
    <w:qFormat/>
    <w:locked/>
    <w:uiPriority w:val="99"/>
    <w:rPr>
      <w:rFonts w:ascii="Times New Roman" w:hAnsi="Times New Roman" w:cs="Times New Roman"/>
      <w:kern w:val="2"/>
      <w:sz w:val="18"/>
      <w:szCs w:val="18"/>
    </w:rPr>
  </w:style>
  <w:style w:type="character" w:customStyle="1" w:styleId="21">
    <w:name w:val="页脚 Char"/>
    <w:link w:val="8"/>
    <w:qFormat/>
    <w:locked/>
    <w:uiPriority w:val="99"/>
    <w:rPr>
      <w:sz w:val="18"/>
    </w:rPr>
  </w:style>
  <w:style w:type="character" w:customStyle="1" w:styleId="22">
    <w:name w:val="页眉 Char"/>
    <w:link w:val="9"/>
    <w:semiHidden/>
    <w:qFormat/>
    <w:locked/>
    <w:uiPriority w:val="99"/>
    <w:rPr>
      <w:sz w:val="18"/>
    </w:rPr>
  </w:style>
  <w:style w:type="character" w:customStyle="1" w:styleId="23">
    <w:name w:val="Header Char"/>
    <w:basedOn w:val="13"/>
    <w:semiHidden/>
    <w:qFormat/>
    <w:uiPriority w:val="99"/>
    <w:rPr>
      <w:rFonts w:ascii="Times New Roman" w:hAnsi="Times New Roman" w:cs="Times New Roman"/>
      <w:sz w:val="18"/>
      <w:szCs w:val="18"/>
    </w:rPr>
  </w:style>
  <w:style w:type="character" w:customStyle="1" w:styleId="24">
    <w:name w:val="Body Text Char"/>
    <w:basedOn w:val="13"/>
    <w:semiHidden/>
    <w:qFormat/>
    <w:uiPriority w:val="99"/>
    <w:rPr>
      <w:rFonts w:ascii="Times New Roman" w:hAnsi="Times New Roman" w:cs="Times New Roman"/>
      <w:sz w:val="24"/>
      <w:szCs w:val="24"/>
    </w:rPr>
  </w:style>
  <w:style w:type="character" w:customStyle="1" w:styleId="25">
    <w:name w:val="Footer Char"/>
    <w:basedOn w:val="13"/>
    <w:semiHidden/>
    <w:qFormat/>
    <w:uiPriority w:val="99"/>
    <w:rPr>
      <w:rFonts w:ascii="Times New Roman" w:hAnsi="Times New Roman" w:cs="Times New Roman"/>
      <w:sz w:val="18"/>
      <w:szCs w:val="18"/>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四号正文"/>
    <w:basedOn w:val="1"/>
    <w:qFormat/>
    <w:uiPriority w:val="99"/>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36130;&#21153;\&#36130;&#21153;\&#20915;&#31639;\&#22270;&#349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1153;\&#36130;&#21153;\&#20915;&#31639;\&#22270;&#349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1153;\&#36130;&#21153;\&#20915;&#31639;\&#22270;&#34920;%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36130;&#21153;\&#36130;&#21153;\&#20915;&#31639;\&#22270;&#34920;%2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36130;&#21153;\&#36130;&#21153;\&#20915;&#31639;\&#22270;&#34920;%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6130;&#21153;\&#36130;&#21153;\&#20915;&#31639;\&#22270;&#34920;%20(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36130;&#21153;\&#36130;&#21153;\&#20915;&#31639;\&#22270;&#349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200" b="1" i="0" u="none" strike="noStrike" kern="1200" baseline="0">
                <a:solidFill>
                  <a:srgbClr val="000000"/>
                </a:solidFill>
                <a:latin typeface="+mn-lt"/>
                <a:ea typeface="+mn-ea"/>
                <a:cs typeface="+mn-cs"/>
              </a:defRPr>
            </a:pPr>
            <a:r>
              <a:rPr altLang="en-US" sz="1200"/>
              <a:t>收、支决算总计变动情况图</a:t>
            </a:r>
            <a:endParaRPr altLang="en-US" sz="1200"/>
          </a:p>
        </c:rich>
      </c:tx>
      <c:layout>
        <c:manualLayout>
          <c:xMode val="edge"/>
          <c:yMode val="edge"/>
          <c:x val="0.278350982520844"/>
          <c:y val="0.0381231671554252"/>
        </c:manualLayout>
      </c:layout>
      <c:overlay val="false"/>
      <c:spPr>
        <a:noFill/>
        <a:ln w="25400">
          <a:noFill/>
        </a:ln>
      </c:spPr>
    </c:title>
    <c:autoTitleDeleted val="false"/>
    <c:plotArea>
      <c:layout>
        <c:manualLayout>
          <c:layoutTarget val="inner"/>
          <c:xMode val="edge"/>
          <c:yMode val="edge"/>
          <c:x val="0.156484392738105"/>
          <c:y val="0.169268671298986"/>
          <c:w val="0.708832458442695"/>
          <c:h val="0.725890723771924"/>
        </c:manualLayout>
      </c:layout>
      <c:barChart>
        <c:barDir val="col"/>
        <c:grouping val="clustered"/>
        <c:varyColors val="false"/>
        <c:ser>
          <c:idx val="1"/>
          <c:order val="0"/>
          <c:tx>
            <c:strRef>
              <c:f>'[图表 (1).xlsx]Sheet2'!$A$3</c:f>
              <c:strCache>
                <c:ptCount val="1"/>
                <c:pt idx="0">
                  <c:v>2020年</c:v>
                </c:pt>
              </c:strCache>
            </c:strRef>
          </c:tx>
          <c:invertIfNegative val="false"/>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 (1).xlsx]Sheet2'!$B$1:$C$1</c:f>
              <c:strCache>
                <c:ptCount val="2"/>
                <c:pt idx="0">
                  <c:v>收入</c:v>
                </c:pt>
                <c:pt idx="1">
                  <c:v>支出</c:v>
                </c:pt>
              </c:strCache>
            </c:strRef>
          </c:cat>
          <c:val>
            <c:numRef>
              <c:f>'[图表 (1).xlsx]Sheet2'!$B$3:$C$3</c:f>
              <c:numCache>
                <c:formatCode>General</c:formatCode>
                <c:ptCount val="2"/>
                <c:pt idx="0">
                  <c:v>931.62</c:v>
                </c:pt>
                <c:pt idx="1">
                  <c:v>931.62</c:v>
                </c:pt>
              </c:numCache>
            </c:numRef>
          </c:val>
        </c:ser>
        <c:ser>
          <c:idx val="0"/>
          <c:order val="1"/>
          <c:tx>
            <c:strRef>
              <c:f>'[图表 (1).xlsx]Sheet2'!$A$2</c:f>
              <c:strCache>
                <c:ptCount val="1"/>
                <c:pt idx="0">
                  <c:v>2019年</c:v>
                </c:pt>
              </c:strCache>
            </c:strRef>
          </c:tx>
          <c:invertIfNegative val="false"/>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 (1).xlsx]Sheet2'!$B$1:$C$1</c:f>
              <c:strCache>
                <c:ptCount val="2"/>
                <c:pt idx="0">
                  <c:v>收入</c:v>
                </c:pt>
                <c:pt idx="1">
                  <c:v>支出</c:v>
                </c:pt>
              </c:strCache>
            </c:strRef>
          </c:cat>
          <c:val>
            <c:numRef>
              <c:f>'[图表 (1).xlsx]Sheet2'!$B$2:$C$2</c:f>
              <c:numCache>
                <c:formatCode>General</c:formatCode>
                <c:ptCount val="2"/>
                <c:pt idx="0">
                  <c:v>916.23</c:v>
                </c:pt>
                <c:pt idx="1">
                  <c:v>916.23</c:v>
                </c:pt>
              </c:numCache>
            </c:numRef>
          </c:val>
        </c:ser>
        <c:dLbls>
          <c:showLegendKey val="false"/>
          <c:showVal val="true"/>
          <c:showCatName val="false"/>
          <c:showSerName val="false"/>
          <c:showPercent val="false"/>
          <c:showBubbleSize val="false"/>
        </c:dLbls>
        <c:gapWidth val="150"/>
        <c:axId val="102517760"/>
        <c:axId val="102531840"/>
      </c:barChart>
      <c:catAx>
        <c:axId val="102517760"/>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crossAx val="102531840"/>
        <c:crosses val="autoZero"/>
        <c:auto val="true"/>
        <c:lblAlgn val="ctr"/>
        <c:lblOffset val="100"/>
        <c:noMultiLvlLbl val="false"/>
      </c:catAx>
      <c:valAx>
        <c:axId val="10253184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crossAx val="102517760"/>
        <c:crosses val="autoZero"/>
        <c:crossBetween val="between"/>
      </c:valAx>
    </c:plotArea>
    <c:legend>
      <c:legendPos val="r"/>
      <c:layout>
        <c:manualLayout>
          <c:xMode val="edge"/>
          <c:yMode val="edge"/>
          <c:x val="0.876290130158214"/>
          <c:y val="0.478005865102639"/>
          <c:w val="0.108247604313662"/>
          <c:h val="0.140762463343109"/>
        </c:manualLayout>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r>
              <a:rPr lang="zh-CN" altLang="en-US" sz="1400"/>
              <a:t>收入决算结构图</a:t>
            </a:r>
            <a:r>
              <a:rPr lang="zh-CN" altLang="en-US" sz="900" b="0"/>
              <a:t>（单位：万元）</a:t>
            </a:r>
            <a:endParaRPr lang="en-US" altLang="zh-CN" sz="900" b="0"/>
          </a:p>
        </c:rich>
      </c:tx>
      <c:layout>
        <c:manualLayout>
          <c:xMode val="edge"/>
          <c:yMode val="edge"/>
          <c:x val="0.2625"/>
          <c:y val="0.0104166666666667"/>
        </c:manualLayout>
      </c:layout>
      <c:overlay val="false"/>
      <c:spPr>
        <a:noFill/>
        <a:ln w="25400">
          <a:noFill/>
        </a:ln>
      </c:spPr>
    </c:title>
    <c:autoTitleDeleted val="false"/>
    <c:plotArea>
      <c:layout/>
      <c:pieChart>
        <c:varyColors val="true"/>
        <c:ser>
          <c:idx val="0"/>
          <c:order val="0"/>
          <c:tx>
            <c:strRef>
              <c:f>'[图表 (1).xlsx]Sheet1'!$B$1</c:f>
              <c:strCache>
                <c:ptCount val="1"/>
                <c:pt idx="0">
                  <c:v>支出金额</c:v>
                </c:pt>
              </c:strCache>
            </c:strRef>
          </c:tx>
          <c:explosion val="0"/>
          <c:dPt>
            <c:idx val="0"/>
            <c:bubble3D val="false"/>
          </c:dPt>
          <c:dPt>
            <c:idx val="1"/>
            <c:bubble3D val="false"/>
          </c:dPt>
          <c:dLbls>
            <c:dLbl>
              <c:idx val="1"/>
              <c:layout>
                <c:manualLayout>
                  <c:x val="0.166666666666667"/>
                  <c:y val="0.0416666666666667"/>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 (1).xlsx]Sheet1'!$A$2:$A$3</c:f>
              <c:strCache>
                <c:ptCount val="2"/>
                <c:pt idx="0">
                  <c:v>财政拨款收入</c:v>
                </c:pt>
                <c:pt idx="1">
                  <c:v>其他收入</c:v>
                </c:pt>
              </c:strCache>
            </c:strRef>
          </c:cat>
          <c:val>
            <c:numRef>
              <c:f>'[图表 (1).xlsx]Sheet1'!$B$2:$B$3</c:f>
              <c:numCache>
                <c:formatCode>General</c:formatCode>
                <c:ptCount val="2"/>
                <c:pt idx="0">
                  <c:v>931.62</c:v>
                </c:pt>
                <c:pt idx="1">
                  <c:v>0</c:v>
                </c:pt>
              </c:numCache>
            </c:numRef>
          </c:val>
        </c:ser>
        <c:dLbls>
          <c:showLegendKey val="false"/>
          <c:showVal val="false"/>
          <c:showCatName val="true"/>
          <c:showSerName val="false"/>
          <c:showPercent val="true"/>
          <c:showBubbleSize val="false"/>
          <c:showLeaderLines val="true"/>
        </c:dLbls>
        <c:firstSliceAng val="0"/>
      </c:pieChart>
      <c:spPr>
        <a:noFill/>
        <a:ln w="25400">
          <a:noFill/>
        </a:ln>
      </c:spPr>
    </c:plotArea>
    <c:legend>
      <c:legendPos val="r"/>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r>
              <a:rPr lang="zh-CN" altLang="en-US" sz="1400"/>
              <a:t>支出决算结构图</a:t>
            </a:r>
            <a:r>
              <a:rPr lang="zh-CN" altLang="en-US" sz="900" b="0"/>
              <a:t>（单位：万元）</a:t>
            </a:r>
            <a:endParaRPr lang="en-US" altLang="zh-CN" sz="900" b="0"/>
          </a:p>
        </c:rich>
      </c:tx>
      <c:layout>
        <c:manualLayout>
          <c:xMode val="edge"/>
          <c:yMode val="edge"/>
          <c:x val="0.2625"/>
          <c:y val="0.0104166666666667"/>
        </c:manualLayout>
      </c:layout>
      <c:overlay val="false"/>
      <c:spPr>
        <a:noFill/>
        <a:ln w="25400">
          <a:noFill/>
        </a:ln>
      </c:spPr>
    </c:title>
    <c:autoTitleDeleted val="false"/>
    <c:plotArea>
      <c:layout/>
      <c:pieChart>
        <c:varyColors val="true"/>
        <c:ser>
          <c:idx val="0"/>
          <c:order val="0"/>
          <c:tx>
            <c:strRef>
              <c:f>'[图表 (1).xlsx]Sheet1'!$B$1</c:f>
              <c:strCache>
                <c:ptCount val="1"/>
                <c:pt idx="0">
                  <c:v>支出金额</c:v>
                </c:pt>
              </c:strCache>
            </c:strRef>
          </c:tx>
          <c:explosion val="0"/>
          <c:dPt>
            <c:idx val="0"/>
            <c:bubble3D val="false"/>
          </c:dPt>
          <c:dPt>
            <c:idx val="1"/>
            <c:bubble3D val="false"/>
          </c:dPt>
          <c:dLbls>
            <c:dLbl>
              <c:idx val="1"/>
              <c:layout>
                <c:manualLayout>
                  <c:x val="0.166666666666667"/>
                  <c:y val="0.0416666666666667"/>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 (1).xlsx]Sheet1'!$A$2:$A$3</c:f>
              <c:strCache>
                <c:ptCount val="2"/>
                <c:pt idx="0">
                  <c:v>基本支出</c:v>
                </c:pt>
                <c:pt idx="1">
                  <c:v>项目支出</c:v>
                </c:pt>
              </c:strCache>
            </c:strRef>
          </c:cat>
          <c:val>
            <c:numRef>
              <c:f>'[图表 (1).xlsx]Sheet1'!$B$2:$B$3</c:f>
              <c:numCache>
                <c:formatCode>General</c:formatCode>
                <c:ptCount val="2"/>
                <c:pt idx="0">
                  <c:v>716.62</c:v>
                </c:pt>
                <c:pt idx="1">
                  <c:v>215</c:v>
                </c:pt>
              </c:numCache>
            </c:numRef>
          </c:val>
        </c:ser>
        <c:dLbls>
          <c:showLegendKey val="false"/>
          <c:showVal val="false"/>
          <c:showCatName val="true"/>
          <c:showSerName val="false"/>
          <c:showPercent val="true"/>
          <c:showBubbleSize val="false"/>
          <c:showLeaderLines val="true"/>
        </c:dLbls>
        <c:firstSliceAng val="0"/>
      </c:pieChart>
      <c:spPr>
        <a:noFill/>
        <a:ln w="25400">
          <a:noFill/>
        </a:ln>
      </c:spPr>
    </c:plotArea>
    <c:legend>
      <c:legendPos val="r"/>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200" b="1" i="0" u="none" strike="noStrike" kern="1200" baseline="0">
                <a:solidFill>
                  <a:srgbClr val="000000"/>
                </a:solidFill>
                <a:latin typeface="+mn-lt"/>
                <a:ea typeface="+mn-ea"/>
                <a:cs typeface="+mn-cs"/>
              </a:defRPr>
            </a:pPr>
            <a:r>
              <a:rPr altLang="en-US" sz="1200"/>
              <a:t>财政拨款收入支出决算总体情况说明</a:t>
            </a:r>
            <a:endParaRPr altLang="en-US" sz="1200"/>
          </a:p>
        </c:rich>
      </c:tx>
      <c:layout>
        <c:manualLayout>
          <c:xMode val="edge"/>
          <c:yMode val="edge"/>
          <c:x val="0.278350982520844"/>
          <c:y val="0.0381231671554252"/>
        </c:manualLayout>
      </c:layout>
      <c:overlay val="false"/>
      <c:spPr>
        <a:noFill/>
        <a:ln w="25400">
          <a:noFill/>
        </a:ln>
      </c:spPr>
    </c:title>
    <c:autoTitleDeleted val="false"/>
    <c:plotArea>
      <c:layout>
        <c:manualLayout>
          <c:layoutTarget val="inner"/>
          <c:xMode val="edge"/>
          <c:yMode val="edge"/>
          <c:x val="0.156484392738105"/>
          <c:y val="0.169268671298986"/>
          <c:w val="0.708832458442695"/>
          <c:h val="0.725890723771924"/>
        </c:manualLayout>
      </c:layout>
      <c:barChart>
        <c:barDir val="col"/>
        <c:grouping val="clustered"/>
        <c:varyColors val="false"/>
        <c:ser>
          <c:idx val="1"/>
          <c:order val="0"/>
          <c:tx>
            <c:strRef>
              <c:f>'[图表 (1).xlsx]Sheet2'!$A$3</c:f>
              <c:strCache>
                <c:ptCount val="1"/>
                <c:pt idx="0">
                  <c:v>2020年</c:v>
                </c:pt>
              </c:strCache>
            </c:strRef>
          </c:tx>
          <c:invertIfNegative val="false"/>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 (1).xlsx]Sheet2'!$B$1:$C$1</c:f>
              <c:strCache>
                <c:ptCount val="2"/>
                <c:pt idx="0">
                  <c:v>收入</c:v>
                </c:pt>
                <c:pt idx="1">
                  <c:v>支出</c:v>
                </c:pt>
              </c:strCache>
            </c:strRef>
          </c:cat>
          <c:val>
            <c:numRef>
              <c:f>'[图表 (1).xlsx]Sheet2'!$B$3:$C$3</c:f>
              <c:numCache>
                <c:formatCode>General</c:formatCode>
                <c:ptCount val="2"/>
                <c:pt idx="0">
                  <c:v>931.62</c:v>
                </c:pt>
                <c:pt idx="1">
                  <c:v>931.62</c:v>
                </c:pt>
              </c:numCache>
            </c:numRef>
          </c:val>
        </c:ser>
        <c:ser>
          <c:idx val="0"/>
          <c:order val="1"/>
          <c:tx>
            <c:strRef>
              <c:f>'[图表 (1).xlsx]Sheet2'!$A$2</c:f>
              <c:strCache>
                <c:ptCount val="1"/>
                <c:pt idx="0">
                  <c:v>2019年</c:v>
                </c:pt>
              </c:strCache>
            </c:strRef>
          </c:tx>
          <c:invertIfNegative val="false"/>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 (1).xlsx]Sheet2'!$B$1:$C$1</c:f>
              <c:strCache>
                <c:ptCount val="2"/>
                <c:pt idx="0">
                  <c:v>收入</c:v>
                </c:pt>
                <c:pt idx="1">
                  <c:v>支出</c:v>
                </c:pt>
              </c:strCache>
            </c:strRef>
          </c:cat>
          <c:val>
            <c:numRef>
              <c:f>'[图表 (1).xlsx]Sheet2'!$B$2:$C$2</c:f>
              <c:numCache>
                <c:formatCode>General</c:formatCode>
                <c:ptCount val="2"/>
                <c:pt idx="0">
                  <c:v>916.23</c:v>
                </c:pt>
                <c:pt idx="1">
                  <c:v>916.23</c:v>
                </c:pt>
              </c:numCache>
            </c:numRef>
          </c:val>
        </c:ser>
        <c:dLbls>
          <c:showLegendKey val="false"/>
          <c:showVal val="true"/>
          <c:showCatName val="false"/>
          <c:showSerName val="false"/>
          <c:showPercent val="false"/>
          <c:showBubbleSize val="false"/>
        </c:dLbls>
        <c:gapWidth val="150"/>
        <c:axId val="102517760"/>
        <c:axId val="102531840"/>
      </c:barChart>
      <c:catAx>
        <c:axId val="102517760"/>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crossAx val="102531840"/>
        <c:crosses val="autoZero"/>
        <c:auto val="true"/>
        <c:lblAlgn val="ctr"/>
        <c:lblOffset val="100"/>
        <c:noMultiLvlLbl val="false"/>
      </c:catAx>
      <c:valAx>
        <c:axId val="10253184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crossAx val="102517760"/>
        <c:crosses val="autoZero"/>
        <c:crossBetween val="between"/>
      </c:valAx>
    </c:plotArea>
    <c:legend>
      <c:legendPos val="r"/>
      <c:layout>
        <c:manualLayout>
          <c:xMode val="edge"/>
          <c:yMode val="edge"/>
          <c:x val="0.876290130158214"/>
          <c:y val="0.478005865102639"/>
          <c:w val="0.108247604313662"/>
          <c:h val="0.140762463343109"/>
        </c:manualLayout>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r>
              <a:rPr lang="zh-CN" altLang="en-US" sz="1200"/>
              <a:t>一般公共预算财政拨款支出决算变动情况</a:t>
            </a:r>
            <a:endParaRPr lang="zh-CN" altLang="en-US" sz="1200"/>
          </a:p>
        </c:rich>
      </c:tx>
      <c:layout>
        <c:manualLayout>
          <c:xMode val="edge"/>
          <c:yMode val="edge"/>
          <c:x val="0.197916666666667"/>
          <c:y val="0.0416666666666667"/>
        </c:manualLayout>
      </c:layout>
      <c:overlay val="false"/>
      <c:spPr>
        <a:noFill/>
        <a:ln w="25400">
          <a:noFill/>
        </a:ln>
      </c:spPr>
    </c:title>
    <c:autoTitleDeleted val="false"/>
    <c:plotArea>
      <c:layout>
        <c:manualLayout>
          <c:layoutTarget val="inner"/>
          <c:xMode val="edge"/>
          <c:yMode val="edge"/>
          <c:x val="0.0675"/>
          <c:y val="0.162037037037037"/>
          <c:w val="0.901944444444444"/>
          <c:h val="0.712731481481481"/>
        </c:manualLayout>
      </c:layout>
      <c:barChart>
        <c:barDir val="col"/>
        <c:grouping val="clustered"/>
        <c:varyColors val="false"/>
        <c:ser>
          <c:idx val="0"/>
          <c:order val="0"/>
          <c:invertIfNegative val="false"/>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'[图表 (1).xlsx]Sheet3'!$A$2:$A$3</c:f>
              <c:strCache>
                <c:ptCount val="2"/>
                <c:pt idx="0">
                  <c:v>2019年</c:v>
                </c:pt>
                <c:pt idx="1">
                  <c:v>2020年</c:v>
                </c:pt>
              </c:strCache>
            </c:strRef>
          </c:cat>
          <c:val>
            <c:numRef>
              <c:f>'[图表 (1).xlsx]Sheet3'!$B$2:$B$3</c:f>
              <c:numCache>
                <c:formatCode>General</c:formatCode>
                <c:ptCount val="2"/>
                <c:pt idx="0">
                  <c:v>916.23</c:v>
                </c:pt>
                <c:pt idx="1">
                  <c:v>931.62</c:v>
                </c:pt>
              </c:numCache>
            </c:numRef>
          </c:val>
        </c:ser>
        <c:dLbls>
          <c:showLegendKey val="false"/>
          <c:showVal val="true"/>
          <c:showCatName val="false"/>
          <c:showSerName val="false"/>
          <c:showPercent val="false"/>
          <c:showBubbleSize val="false"/>
        </c:dLbls>
        <c:gapWidth val="150"/>
        <c:axId val="103286656"/>
        <c:axId val="103288192"/>
      </c:barChart>
      <c:catAx>
        <c:axId val="103286656"/>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crossAx val="103288192"/>
        <c:crosses val="autoZero"/>
        <c:auto val="true"/>
        <c:lblAlgn val="ctr"/>
        <c:lblOffset val="100"/>
        <c:noMultiLvlLbl val="false"/>
      </c:catAx>
      <c:valAx>
        <c:axId val="10328819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crossAx val="103286656"/>
        <c:crosses val="autoZero"/>
        <c:crossBetween val="between"/>
      </c:valAx>
    </c:plotArea>
    <c:plotVisOnly val="true"/>
    <c:dispBlanksAs val="gap"/>
    <c:showDLblsOverMax val="false"/>
  </c:chart>
  <c:txPr>
    <a:bodyPr/>
    <a:lstStyle/>
    <a:p>
      <a:pPr>
        <a:defRPr lang="zh-CN"/>
      </a:pPr>
    </a:p>
  </c:txPr>
  <c:externalData r:id="rId1">
    <c:autoUpdate val="false"/>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r>
              <a:rPr lang="zh-CN" altLang="en-US" sz="1400"/>
              <a:t>一般公共预算财政拨款支出决算结构</a:t>
            </a:r>
            <a:endParaRPr lang="zh-CN" altLang="en-US" sz="1400"/>
          </a:p>
        </c:rich>
      </c:tx>
      <c:layout>
        <c:manualLayout>
          <c:xMode val="edge"/>
          <c:yMode val="edge"/>
          <c:x val="0.217993079584775"/>
          <c:y val="0.0349206349206349"/>
        </c:manualLayout>
      </c:layout>
      <c:overlay val="false"/>
      <c:spPr>
        <a:noFill/>
        <a:ln w="25400">
          <a:noFill/>
        </a:ln>
      </c:spPr>
    </c:title>
    <c:autoTitleDeleted val="false"/>
    <c:plotArea>
      <c:layout/>
      <c:pieChart>
        <c:varyColors val="true"/>
        <c:ser>
          <c:idx val="0"/>
          <c:order val="0"/>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 (1).xlsx]Sheet4'!$A$1:$A$7</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'[图表 (1).xlsx]Sheet4'!$B$1:$B$7</c:f>
              <c:numCache>
                <c:formatCode>#,##0.00</c:formatCode>
                <c:ptCount val="7"/>
                <c:pt idx="0">
                  <c:v>498.92</c:v>
                </c:pt>
                <c:pt idx="1">
                  <c:v>0</c:v>
                </c:pt>
                <c:pt idx="2">
                  <c:v>0</c:v>
                </c:pt>
                <c:pt idx="3">
                  <c:v>0</c:v>
                </c:pt>
                <c:pt idx="4">
                  <c:v>358.14</c:v>
                </c:pt>
                <c:pt idx="5">
                  <c:v>19.15</c:v>
                </c:pt>
                <c:pt idx="6">
                  <c:v>55.41</c:v>
                </c:pt>
              </c:numCache>
            </c:numRef>
          </c:val>
        </c:ser>
        <c:dLbls>
          <c:showLegendKey val="false"/>
          <c:showVal val="true"/>
          <c:showCatName val="false"/>
          <c:showSerName val="false"/>
          <c:showPercent val="false"/>
          <c:showBubbleSize val="false"/>
          <c:showLeaderLines val="true"/>
        </c:dLbls>
        <c:firstSliceAng val="0"/>
      </c:pieChart>
      <c:spPr>
        <a:noFill/>
        <a:ln w="25400">
          <a:noFill/>
        </a:ln>
      </c:spPr>
    </c:plotArea>
    <c:legend>
      <c:legendPos val="r"/>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000000"/>
                </a:solidFill>
                <a:latin typeface="+mn-lt"/>
                <a:ea typeface="+mn-ea"/>
                <a:cs typeface="+mn-cs"/>
              </a:defRPr>
            </a:pPr>
            <a:r>
              <a:rPr lang="zh-CN" altLang="en-US" sz="1400" b="1"/>
              <a:t>“三公”经费财政拨款支出结构</a:t>
            </a:r>
            <a:endParaRPr lang="en-US" altLang="zh-CN" sz="1400" b="1"/>
          </a:p>
        </c:rich>
      </c:tx>
      <c:layout>
        <c:manualLayout>
          <c:xMode val="edge"/>
          <c:yMode val="edge"/>
          <c:x val="0.296411856474259"/>
          <c:y val="0.04"/>
        </c:manualLayout>
      </c:layout>
      <c:overlay val="false"/>
      <c:spPr>
        <a:noFill/>
        <a:ln w="25400">
          <a:noFill/>
        </a:ln>
      </c:spPr>
    </c:title>
    <c:autoTitleDeleted val="false"/>
    <c:plotArea>
      <c:layout/>
      <c:pieChart>
        <c:varyColors val="true"/>
        <c:ser>
          <c:idx val="0"/>
          <c:order val="0"/>
          <c:explosion val="0"/>
          <c:dPt>
            <c:idx val="0"/>
            <c:bubble3D val="false"/>
          </c:dPt>
          <c:dPt>
            <c:idx val="1"/>
            <c:bubble3D val="false"/>
          </c:dPt>
          <c:dPt>
            <c:idx val="2"/>
            <c:bubble3D val="false"/>
          </c:dPt>
          <c:dLbls>
            <c:dLbl>
              <c:idx val="0"/>
              <c:layout>
                <c:manualLayout>
                  <c:x val="-0.221528861154446"/>
                  <c:y val="0.248"/>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2"/>
              <c:layout>
                <c:manualLayout>
                  <c:x val="-0.207488299531981"/>
                  <c:y val="0.088"/>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manualLayout>
                      <c:w val="0.195735829433177"/>
                      <c:h val="0.144533333333333"/>
                    </c:manualLayout>
                  </c15:layout>
                </c:ext>
              </c:extLst>
            </c:dLbl>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'[图表 (1).xlsx]Sheet5'!$A$2:$A$4</c:f>
              <c:strCache>
                <c:ptCount val="3"/>
                <c:pt idx="0">
                  <c:v>公务用车购置及运行维护费</c:v>
                </c:pt>
                <c:pt idx="1">
                  <c:v>公务接待费</c:v>
                </c:pt>
                <c:pt idx="2">
                  <c:v>因公出国（境）</c:v>
                </c:pt>
              </c:strCache>
            </c:strRef>
          </c:cat>
          <c:val>
            <c:numRef>
              <c:f>'[图表 (1).xlsx]Sheet5'!$B$2:$B$4</c:f>
              <c:numCache>
                <c:formatCode>General</c:formatCode>
                <c:ptCount val="3"/>
                <c:pt idx="0">
                  <c:v>0</c:v>
                </c:pt>
                <c:pt idx="1">
                  <c:v>0.53</c:v>
                </c:pt>
                <c:pt idx="2">
                  <c:v>0</c:v>
                </c:pt>
              </c:numCache>
            </c:numRef>
          </c:val>
        </c:ser>
        <c:dLbls>
          <c:showLegendKey val="false"/>
          <c:showVal val="false"/>
          <c:showCatName val="true"/>
          <c:showSerName val="false"/>
          <c:showPercent val="true"/>
          <c:showBubbleSize val="false"/>
          <c:showLeaderLines val="true"/>
        </c:dLbls>
        <c:firstSliceAng val="0"/>
      </c:pieChart>
      <c:spPr>
        <a:noFill/>
        <a:ln w="25400">
          <a:noFill/>
        </a:ln>
      </c:spPr>
    </c:plotArea>
    <c:legend>
      <c:legendPos val="r"/>
      <c:layout/>
      <c:overlay val="false"/>
      <c:txPr>
        <a:bodyPr rot="0" spcFirstLastPara="0" vertOverflow="ellipsis" vert="horz" wrap="square" anchor="ctr" anchorCtr="true"/>
        <a:lstStyle/>
        <a:p>
          <a:pPr>
            <a:defRPr lang="zh-CN" sz="1000" b="0" i="0" u="none" strike="noStrike" kern="1200" baseline="0">
              <a:solidFill>
                <a:srgbClr val="000000"/>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userShapes r:id="rId2"/>
</c:chartSpace>
</file>

<file path=word/drawings/drawing1.xml><?xml version="1.0" encoding="utf-8"?>
<c:userShapes xmlns:c="http://schemas.openxmlformats.org/drawingml/2006/chart">
  <cdr:relSizeAnchor xmlns:cdr="http://schemas.openxmlformats.org/drawingml/2006/chartDrawing">
    <cdr:from>
      <cdr:x>0.8218</cdr:x>
      <cdr:y>0.04336</cdr:y>
    </cdr:from>
    <cdr:to>
      <cdr:x>1</cdr:x>
      <cdr:y>0.12195</cdr:y>
    </cdr:to>
    <cdr:sp>
      <cdr:nvSpPr>
        <cdr:cNvPr id="2" name="矩形 1"/>
        <cdr:cNvSpPr/>
      </cdr:nvSpPr>
      <cdr:spPr xmlns:a="http://schemas.openxmlformats.org/drawingml/2006/main">
        <a:xfrm xmlns:a="http://schemas.openxmlformats.org/drawingml/2006/main">
          <a:off x="4562474" y="152401"/>
          <a:ext cx="981076" cy="276225"/>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0.81042</cdr:x>
      <cdr:y>0.06944</cdr:y>
    </cdr:from>
    <cdr:to>
      <cdr:x>0.98333</cdr:x>
      <cdr:y>0.21528</cdr:y>
    </cdr:to>
    <cdr:sp>
      <cdr:nvSpPr>
        <cdr:cNvPr id="2" name="矩形 1"/>
        <cdr:cNvSpPr/>
      </cdr:nvSpPr>
      <cdr:spPr xmlns:a="http://schemas.openxmlformats.org/drawingml/2006/main">
        <a:xfrm xmlns:a="http://schemas.openxmlformats.org/drawingml/2006/main">
          <a:off x="3705225" y="190500"/>
          <a:ext cx="790575" cy="400050"/>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900"/>
            <a:t>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0.8218</cdr:x>
      <cdr:y>0.04336</cdr:y>
    </cdr:from>
    <cdr:to>
      <cdr:x>1</cdr:x>
      <cdr:y>0.12195</cdr:y>
    </cdr:to>
    <cdr:sp>
      <cdr:nvSpPr>
        <cdr:cNvPr id="2" name="矩形 1"/>
        <cdr:cNvSpPr/>
      </cdr:nvSpPr>
      <cdr:spPr xmlns:a="http://schemas.openxmlformats.org/drawingml/2006/main">
        <a:xfrm xmlns:a="http://schemas.openxmlformats.org/drawingml/2006/main">
          <a:off x="4562474" y="152401"/>
          <a:ext cx="981076" cy="276225"/>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0.72083</cdr:x>
      <cdr:y>0.22917</cdr:y>
    </cdr:from>
    <cdr:to>
      <cdr:x>0.95208</cdr:x>
      <cdr:y>0.32292</cdr:y>
    </cdr:to>
    <cdr:sp>
      <cdr:nvSpPr>
        <cdr:cNvPr id="2" name="矩形 1"/>
        <cdr:cNvSpPr/>
      </cdr:nvSpPr>
      <cdr:spPr xmlns:a="http://schemas.openxmlformats.org/drawingml/2006/main">
        <a:xfrm xmlns:a="http://schemas.openxmlformats.org/drawingml/2006/main">
          <a:off x="3295649" y="628650"/>
          <a:ext cx="1057275" cy="257175"/>
        </a:xfrm>
        <a:prstGeom xmlns:a="http://schemas.openxmlformats.org/drawingml/2006/main" prst="rect">
          <a:avLst/>
        </a:prstGeom>
      </cdr:spPr>
      <cdr:txBody xmlns:a="http://schemas.openxmlformats.org/drawingml/2006/main">
        <a:bodyPr vert="horz" wrap="square" lIns="45720" tIns="45720" rIns="45720" bIns="45720" rtlCol="0" anchor="t" anchorCtr="false">
          <a:normAutofit/>
        </a:bodyPr>
        <a:lstStyle/>
        <a:p>
          <a:r>
            <a:rPr lang="zh-CN" altLang="en-US" sz="1000"/>
            <a:t>单位：万元</a:t>
          </a:r>
          <a:endParaRPr lang="en-US" altLang="zh-CN" sz="1000"/>
        </a:p>
        <a:p>
          <a:endParaRPr lang="zh-CN" altLang="en-US"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10240</Words>
  <Characters>10775</Characters>
  <Lines>78</Lines>
  <Paragraphs>22</Paragraphs>
  <TotalTime>3</TotalTime>
  <ScaleCrop>false</ScaleCrop>
  <LinksUpToDate>false</LinksUpToDate>
  <CharactersWithSpaces>10834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2021-08-25T10:06:00Z</dcterms:created>
  <dc:creator>曹颖</dc:creator>
  <cp:lastModifiedBy>kylin</cp:lastModifiedBy>
  <cp:lastPrinted>2021-07-30T11:56:00Z</cp:lastPrinted>
  <dcterms:modified xsi:type="dcterms:W3CDTF">2024-02-01T09:19:51Z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6300277FF2194BA1AB6047A4D621C877</vt:lpwstr>
  </property>
</Properties>
</file>